
<file path=[Content_Types].xml><?xml version="1.0" encoding="utf-8"?>
<Types xmlns="http://schemas.openxmlformats.org/package/2006/content-types">
  <Default Extension="xml" ContentType="application/xml"/>
  <Default Extension="bin" ContentType="application/vnd.openxmlformats-officedocument.oleObject"/>
  <Default Extension="jpeg" ContentType="image/jpeg"/>
  <Default Extension="JPG" ContentType="image/.jpg"/>
  <Default Extension="png" ContentType="image/png"/>
  <Default Extension="wmf" ContentType="image/x-wmf"/>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0DB4DCF3">
      <w:pPr>
        <w:adjustRightInd w:val="0"/>
        <w:snapToGrid w:val="0"/>
        <w:jc w:val="center"/>
        <w:outlineLvl w:val="0"/>
        <w:rPr>
          <w:rFonts w:eastAsia="方正小标宋_GBK"/>
          <w:bCs/>
          <w:sz w:val="72"/>
          <w:szCs w:val="72"/>
        </w:rPr>
      </w:pPr>
      <w:bookmarkStart w:id="0" w:name="_Toc21438"/>
      <w:r>
        <w:rPr>
          <w:rFonts w:eastAsia="方正小标宋_GBK"/>
          <w:bCs/>
          <w:sz w:val="72"/>
          <w:szCs w:val="72"/>
        </w:rPr>
        <w:t>建设项目环境影响报告表</w:t>
      </w:r>
      <w:bookmarkEnd w:id="0"/>
    </w:p>
    <w:p w14:paraId="6E8D0973">
      <w:pPr>
        <w:adjustRightInd w:val="0"/>
        <w:snapToGrid w:val="0"/>
        <w:spacing w:before="192" w:beforeLines="80"/>
        <w:jc w:val="center"/>
        <w:rPr>
          <w:rFonts w:eastAsia="楷体_GB2312"/>
          <w:bCs/>
          <w:sz w:val="48"/>
          <w:szCs w:val="48"/>
        </w:rPr>
      </w:pPr>
      <w:r>
        <w:rPr>
          <w:rFonts w:eastAsia="楷体_GB2312"/>
          <w:bCs/>
          <w:sz w:val="48"/>
          <w:szCs w:val="48"/>
        </w:rPr>
        <w:t>（污染影响类）</w:t>
      </w:r>
    </w:p>
    <w:p w14:paraId="33B0834E">
      <w:pPr>
        <w:adjustRightInd w:val="0"/>
        <w:snapToGrid w:val="0"/>
        <w:spacing w:line="288" w:lineRule="auto"/>
        <w:jc w:val="center"/>
        <w:outlineLvl w:val="0"/>
        <w:rPr>
          <w:rFonts w:eastAsia="华文仿宋"/>
          <w:kern w:val="44"/>
          <w:sz w:val="44"/>
          <w:szCs w:val="44"/>
        </w:rPr>
      </w:pPr>
    </w:p>
    <w:p w14:paraId="15AA0B00">
      <w:pPr>
        <w:jc w:val="center"/>
        <w:rPr>
          <w:rFonts w:eastAsia="仿宋"/>
          <w:sz w:val="52"/>
          <w:szCs w:val="52"/>
        </w:rPr>
      </w:pPr>
    </w:p>
    <w:p w14:paraId="3774B34D">
      <w:pPr>
        <w:ind w:firstLine="1040"/>
        <w:rPr>
          <w:rFonts w:eastAsia="仿宋"/>
          <w:sz w:val="44"/>
          <w:szCs w:val="44"/>
        </w:rPr>
      </w:pPr>
    </w:p>
    <w:p w14:paraId="130F6293">
      <w:pPr>
        <w:ind w:firstLine="1040"/>
        <w:rPr>
          <w:rFonts w:eastAsia="仿宋"/>
          <w:sz w:val="44"/>
          <w:szCs w:val="44"/>
        </w:rPr>
      </w:pPr>
    </w:p>
    <w:p w14:paraId="50454D76">
      <w:pPr>
        <w:ind w:firstLine="1040"/>
        <w:rPr>
          <w:rFonts w:eastAsia="仿宋"/>
          <w:sz w:val="44"/>
          <w:szCs w:val="44"/>
        </w:rPr>
      </w:pPr>
    </w:p>
    <w:p w14:paraId="0DB97A37">
      <w:pPr>
        <w:ind w:firstLine="1040"/>
        <w:jc w:val="center"/>
        <w:rPr>
          <w:rFonts w:eastAsia="仿宋"/>
          <w:sz w:val="44"/>
          <w:szCs w:val="44"/>
        </w:rPr>
      </w:pPr>
    </w:p>
    <w:p w14:paraId="308965B2">
      <w:pPr>
        <w:adjustRightInd w:val="0"/>
        <w:snapToGrid w:val="0"/>
        <w:spacing w:line="288" w:lineRule="auto"/>
        <w:jc w:val="center"/>
        <w:rPr>
          <w:rFonts w:eastAsia="仿宋_GB2312"/>
          <w:sz w:val="36"/>
          <w:szCs w:val="36"/>
          <w:u w:val="single"/>
        </w:rPr>
      </w:pPr>
      <w:r>
        <w:rPr>
          <w:rFonts w:eastAsia="仿宋_GB2312"/>
          <w:sz w:val="36"/>
          <w:szCs w:val="36"/>
        </w:rPr>
        <w:t>项目名称：</w:t>
      </w:r>
      <w:r>
        <w:rPr>
          <w:rFonts w:eastAsia="仿宋_GB2312"/>
          <w:sz w:val="36"/>
          <w:szCs w:val="36"/>
          <w:u w:val="single"/>
        </w:rPr>
        <w:t>北票市邦瑞机械加工及报废机动车拆解项目</w:t>
      </w:r>
    </w:p>
    <w:p w14:paraId="1F925B5C">
      <w:pPr>
        <w:adjustRightInd w:val="0"/>
        <w:snapToGrid w:val="0"/>
        <w:spacing w:line="288" w:lineRule="auto"/>
        <w:jc w:val="center"/>
        <w:rPr>
          <w:rFonts w:eastAsia="仿宋_GB2312"/>
          <w:sz w:val="36"/>
          <w:szCs w:val="36"/>
          <w:u w:val="single"/>
        </w:rPr>
      </w:pPr>
      <w:r>
        <w:rPr>
          <w:rFonts w:eastAsia="仿宋_GB2312"/>
          <w:sz w:val="36"/>
          <w:szCs w:val="36"/>
        </w:rPr>
        <w:t>建设单位（盖章）：</w:t>
      </w:r>
      <w:r>
        <w:rPr>
          <w:rFonts w:eastAsia="仿宋_GB2312"/>
          <w:sz w:val="36"/>
          <w:szCs w:val="36"/>
          <w:u w:val="single"/>
        </w:rPr>
        <w:t>北票市邦瑞机械加工</w:t>
      </w:r>
    </w:p>
    <w:p w14:paraId="4CC7A7EC">
      <w:pPr>
        <w:adjustRightInd w:val="0"/>
        <w:snapToGrid w:val="0"/>
        <w:spacing w:line="288" w:lineRule="auto"/>
        <w:jc w:val="center"/>
        <w:rPr>
          <w:rFonts w:eastAsia="仿宋_GB2312"/>
          <w:sz w:val="36"/>
          <w:szCs w:val="36"/>
          <w:u w:val="single"/>
        </w:rPr>
      </w:pPr>
      <w:r>
        <w:rPr>
          <w:rFonts w:eastAsia="仿宋_GB2312"/>
          <w:sz w:val="36"/>
          <w:szCs w:val="36"/>
          <w:u w:val="single"/>
        </w:rPr>
        <w:t>有限</w:t>
      </w:r>
      <w:r>
        <w:rPr>
          <w:rFonts w:hint="eastAsia" w:eastAsia="仿宋_GB2312"/>
          <w:sz w:val="36"/>
          <w:szCs w:val="36"/>
          <w:u w:val="single"/>
        </w:rPr>
        <w:t>责任</w:t>
      </w:r>
      <w:r>
        <w:rPr>
          <w:rFonts w:eastAsia="仿宋_GB2312"/>
          <w:sz w:val="36"/>
          <w:szCs w:val="36"/>
          <w:u w:val="single"/>
        </w:rPr>
        <w:t>公司</w:t>
      </w:r>
    </w:p>
    <w:p w14:paraId="2281D7DC">
      <w:pPr>
        <w:adjustRightInd w:val="0"/>
        <w:snapToGrid w:val="0"/>
        <w:spacing w:line="288" w:lineRule="auto"/>
        <w:jc w:val="center"/>
        <w:rPr>
          <w:rFonts w:eastAsia="仿宋_GB2312"/>
          <w:sz w:val="36"/>
          <w:szCs w:val="36"/>
          <w:u w:val="single"/>
        </w:rPr>
      </w:pPr>
      <w:r>
        <w:rPr>
          <w:rFonts w:eastAsia="仿宋_GB2312"/>
          <w:sz w:val="36"/>
          <w:szCs w:val="36"/>
        </w:rPr>
        <w:t>编制日期：</w:t>
      </w:r>
      <w:r>
        <w:rPr>
          <w:rFonts w:eastAsia="仿宋_GB2312"/>
          <w:sz w:val="36"/>
          <w:szCs w:val="36"/>
          <w:u w:val="single"/>
        </w:rPr>
        <w:t>二〇二</w:t>
      </w:r>
      <w:r>
        <w:rPr>
          <w:rFonts w:hint="eastAsia" w:eastAsia="仿宋_GB2312"/>
          <w:sz w:val="36"/>
          <w:szCs w:val="36"/>
          <w:u w:val="single"/>
        </w:rPr>
        <w:t>五</w:t>
      </w:r>
      <w:r>
        <w:rPr>
          <w:rFonts w:eastAsia="仿宋_GB2312"/>
          <w:sz w:val="36"/>
          <w:szCs w:val="36"/>
          <w:u w:val="single"/>
        </w:rPr>
        <w:t>年</w:t>
      </w:r>
      <w:r>
        <w:rPr>
          <w:rFonts w:hint="eastAsia" w:eastAsia="仿宋_GB2312"/>
          <w:sz w:val="36"/>
          <w:szCs w:val="36"/>
          <w:u w:val="single"/>
        </w:rPr>
        <w:t>五</w:t>
      </w:r>
      <w:r>
        <w:rPr>
          <w:rFonts w:eastAsia="仿宋_GB2312"/>
          <w:sz w:val="36"/>
          <w:szCs w:val="36"/>
          <w:u w:val="single"/>
        </w:rPr>
        <w:t>月</w:t>
      </w:r>
    </w:p>
    <w:p w14:paraId="6A42E591">
      <w:pPr>
        <w:adjustRightInd w:val="0"/>
        <w:snapToGrid w:val="0"/>
        <w:spacing w:line="288" w:lineRule="auto"/>
        <w:ind w:firstLine="1040"/>
        <w:rPr>
          <w:rFonts w:eastAsia="仿宋_GB2312"/>
          <w:sz w:val="36"/>
          <w:szCs w:val="36"/>
          <w:u w:val="single"/>
        </w:rPr>
      </w:pPr>
      <w:bookmarkStart w:id="1" w:name="_Hlk57884087"/>
    </w:p>
    <w:p w14:paraId="236DD2EE">
      <w:pPr>
        <w:adjustRightInd w:val="0"/>
        <w:snapToGrid w:val="0"/>
        <w:spacing w:line="288" w:lineRule="auto"/>
        <w:ind w:firstLine="1040"/>
        <w:rPr>
          <w:rFonts w:eastAsia="仿宋_GB2312"/>
          <w:sz w:val="36"/>
          <w:szCs w:val="36"/>
        </w:rPr>
      </w:pPr>
    </w:p>
    <w:p w14:paraId="4741B37A">
      <w:pPr>
        <w:pStyle w:val="49"/>
        <w:rPr>
          <w:rFonts w:ascii="Times New Roman" w:hAnsi="Times New Roman"/>
          <w:sz w:val="36"/>
          <w:szCs w:val="36"/>
        </w:rPr>
      </w:pPr>
    </w:p>
    <w:p w14:paraId="3E8F1FF2">
      <w:pPr>
        <w:rPr>
          <w:rFonts w:eastAsia="仿宋_GB2312"/>
          <w:sz w:val="36"/>
          <w:szCs w:val="36"/>
        </w:rPr>
      </w:pPr>
    </w:p>
    <w:p w14:paraId="13C94B7A">
      <w:pPr>
        <w:pStyle w:val="49"/>
        <w:rPr>
          <w:rFonts w:ascii="Times New Roman" w:hAnsi="Times New Roman"/>
          <w:sz w:val="36"/>
          <w:szCs w:val="36"/>
        </w:rPr>
      </w:pPr>
    </w:p>
    <w:p w14:paraId="2C614284"/>
    <w:p w14:paraId="2A418876">
      <w:pPr>
        <w:adjustRightInd w:val="0"/>
        <w:snapToGrid w:val="0"/>
        <w:spacing w:line="288" w:lineRule="auto"/>
        <w:ind w:firstLine="2160" w:firstLineChars="600"/>
        <w:rPr>
          <w:rFonts w:eastAsia="仿宋_GB2312"/>
          <w:sz w:val="36"/>
          <w:szCs w:val="36"/>
        </w:rPr>
      </w:pPr>
      <w:r>
        <w:rPr>
          <w:rFonts w:eastAsia="楷体_GB2312"/>
          <w:sz w:val="36"/>
          <w:szCs w:val="36"/>
        </w:rPr>
        <w:t>中华人民共和国生态环境部制</w:t>
      </w:r>
    </w:p>
    <w:bookmarkEnd w:id="1"/>
    <w:p w14:paraId="2F1CEDC9">
      <w:pPr>
        <w:pStyle w:val="49"/>
        <w:rPr>
          <w:rFonts w:ascii="Times New Roman" w:hAnsi="Times New Roman"/>
        </w:rPr>
        <w:sectPr>
          <w:footerReference r:id="rId3" w:type="default"/>
          <w:pgSz w:w="11906" w:h="16838"/>
          <w:pgMar w:top="1701" w:right="1531" w:bottom="1701" w:left="1531" w:header="851" w:footer="1077" w:gutter="0"/>
          <w:pgBorders>
            <w:top w:val="none" w:sz="0" w:space="0"/>
            <w:left w:val="none" w:sz="0" w:space="0"/>
            <w:bottom w:val="none" w:sz="0" w:space="0"/>
            <w:right w:val="none" w:sz="0" w:space="0"/>
          </w:pgBorders>
          <w:pgNumType w:fmt="numberInDash" w:start="3"/>
          <w:cols w:space="720" w:num="1"/>
          <w:docGrid w:linePitch="312" w:charSpace="0"/>
        </w:sectPr>
      </w:pPr>
    </w:p>
    <w:p w14:paraId="03DB0679">
      <w:pPr>
        <w:rPr>
          <w:rFonts w:ascii="仿宋_GB2312" w:hAnsi="仿宋_GB2312" w:eastAsia="仿宋_GB2312" w:cs="仿宋_GB2312"/>
          <w:sz w:val="36"/>
          <w:szCs w:val="36"/>
        </w:rPr>
      </w:pPr>
      <w:r>
        <w:rPr>
          <w:rFonts w:hint="eastAsia" w:ascii="仿宋_GB2312" w:hAnsi="仿宋_GB2312" w:eastAsia="仿宋_GB2312" w:cs="仿宋_GB2312"/>
          <w:sz w:val="36"/>
          <w:szCs w:val="36"/>
        </w:rPr>
        <w:br w:type="page"/>
      </w:r>
    </w:p>
    <w:p w14:paraId="04940A41"/>
    <w:p w14:paraId="3E5A1F3A">
      <w:r>
        <w:rPr>
          <w:rFonts w:hint="eastAsia"/>
        </w:rPr>
        <w:drawing>
          <wp:inline distT="0" distB="0" distL="114300" distR="114300">
            <wp:extent cx="5606415" cy="7934960"/>
            <wp:effectExtent l="0" t="0" r="13335" b="8890"/>
            <wp:docPr id="2" name="图片 2" descr="资质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资质_00"/>
                    <pic:cNvPicPr>
                      <a:picLocks noChangeAspect="1"/>
                    </pic:cNvPicPr>
                  </pic:nvPicPr>
                  <pic:blipFill>
                    <a:blip r:embed="rId11"/>
                    <a:stretch>
                      <a:fillRect/>
                    </a:stretch>
                  </pic:blipFill>
                  <pic:spPr>
                    <a:xfrm>
                      <a:off x="0" y="0"/>
                      <a:ext cx="5606415" cy="7934960"/>
                    </a:xfrm>
                    <a:prstGeom prst="rect">
                      <a:avLst/>
                    </a:prstGeom>
                  </pic:spPr>
                </pic:pic>
              </a:graphicData>
            </a:graphic>
          </wp:inline>
        </w:drawing>
      </w:r>
    </w:p>
    <w:p w14:paraId="226CD614">
      <w:r>
        <w:rPr>
          <w:rFonts w:hint="eastAsia"/>
        </w:rPr>
        <w:br w:type="page"/>
      </w:r>
    </w:p>
    <w:p w14:paraId="445D8738">
      <w:pPr>
        <w:rPr>
          <w:rFonts w:eastAsia="仿宋_GB2312"/>
        </w:rPr>
      </w:pPr>
      <w:r>
        <w:rPr>
          <w:rFonts w:eastAsia="仿宋_GB2312"/>
        </w:rPr>
        <w:br w:type="page"/>
      </w:r>
    </w:p>
    <w:p w14:paraId="531953E6">
      <w:pPr>
        <w:rPr>
          <w:rFonts w:eastAsia="仿宋_GB2312"/>
        </w:rPr>
      </w:pPr>
      <w:r>
        <w:rPr>
          <w:rFonts w:eastAsia="仿宋_GB2312"/>
        </w:rPr>
        <w:drawing>
          <wp:inline distT="0" distB="0" distL="114300" distR="114300">
            <wp:extent cx="7987665" cy="5652135"/>
            <wp:effectExtent l="0" t="0" r="5715" b="13335"/>
            <wp:docPr id="249" name="图片 249" descr="众信营业执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图片 249" descr="众信营业执照"/>
                    <pic:cNvPicPr>
                      <a:picLocks noChangeAspect="1"/>
                    </pic:cNvPicPr>
                  </pic:nvPicPr>
                  <pic:blipFill>
                    <a:blip r:embed="rId12"/>
                    <a:stretch>
                      <a:fillRect/>
                    </a:stretch>
                  </pic:blipFill>
                  <pic:spPr>
                    <a:xfrm rot="16200000">
                      <a:off x="0" y="0"/>
                      <a:ext cx="7987665" cy="5652135"/>
                    </a:xfrm>
                    <a:prstGeom prst="rect">
                      <a:avLst/>
                    </a:prstGeom>
                  </pic:spPr>
                </pic:pic>
              </a:graphicData>
            </a:graphic>
          </wp:inline>
        </w:drawing>
      </w:r>
    </w:p>
    <w:p w14:paraId="0DB46F41">
      <w:pPr>
        <w:rPr>
          <w:rFonts w:eastAsia="仿宋_GB2312"/>
        </w:rPr>
      </w:pPr>
      <w:r>
        <w:rPr>
          <w:rFonts w:eastAsia="仿宋_GB2312"/>
        </w:rPr>
        <w:br w:type="page"/>
      </w:r>
    </w:p>
    <w:p w14:paraId="5E1CDC24">
      <w:r>
        <w:br w:type="page"/>
      </w:r>
    </w:p>
    <w:p w14:paraId="14362E84">
      <w:r>
        <w:drawing>
          <wp:inline distT="0" distB="0" distL="114300" distR="114300">
            <wp:extent cx="7916545" cy="5598795"/>
            <wp:effectExtent l="0" t="0" r="1905" b="8255"/>
            <wp:docPr id="82" name="图片 82" descr="唐勇戡证书"/>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82" descr="唐勇戡证书"/>
                    <pic:cNvPicPr>
                      <a:picLocks noChangeAspect="1"/>
                    </pic:cNvPicPr>
                  </pic:nvPicPr>
                  <pic:blipFill>
                    <a:blip r:embed="rId13"/>
                    <a:stretch>
                      <a:fillRect/>
                    </a:stretch>
                  </pic:blipFill>
                  <pic:spPr>
                    <a:xfrm rot="16200000">
                      <a:off x="0" y="0"/>
                      <a:ext cx="7916545" cy="5598795"/>
                    </a:xfrm>
                    <a:prstGeom prst="rect">
                      <a:avLst/>
                    </a:prstGeom>
                  </pic:spPr>
                </pic:pic>
              </a:graphicData>
            </a:graphic>
          </wp:inline>
        </w:drawing>
      </w:r>
    </w:p>
    <w:p w14:paraId="7DA344D5">
      <w:r>
        <w:br w:type="page"/>
      </w:r>
    </w:p>
    <w:p w14:paraId="7B949922">
      <w:r>
        <w:br w:type="page"/>
      </w:r>
    </w:p>
    <w:p w14:paraId="0EC3B400">
      <w:pPr>
        <w:sectPr>
          <w:footerReference r:id="rId4" w:type="default"/>
          <w:pgSz w:w="11906" w:h="16838"/>
          <w:pgMar w:top="1701" w:right="1531" w:bottom="1701" w:left="1531" w:header="851" w:footer="1077" w:gutter="0"/>
          <w:pgBorders>
            <w:top w:val="none" w:sz="0" w:space="0"/>
            <w:left w:val="none" w:sz="0" w:space="0"/>
            <w:bottom w:val="none" w:sz="0" w:space="0"/>
            <w:right w:val="none" w:sz="0" w:space="0"/>
          </w:pgBorders>
          <w:pgNumType w:fmt="numberInDash" w:start="1"/>
          <w:cols w:space="720" w:num="1"/>
          <w:docGrid w:linePitch="312" w:charSpace="0"/>
        </w:sectPr>
      </w:pPr>
    </w:p>
    <w:p w14:paraId="04DD2737">
      <w:pPr>
        <w:pStyle w:val="30"/>
        <w:jc w:val="center"/>
        <w:outlineLvl w:val="0"/>
        <w:rPr>
          <w:rFonts w:hint="eastAsia" w:ascii="黑体" w:hAnsi="黑体" w:eastAsia="黑体"/>
          <w:snapToGrid w:val="0"/>
          <w:sz w:val="30"/>
          <w:szCs w:val="30"/>
        </w:rPr>
      </w:pPr>
      <w:bookmarkStart w:id="2" w:name="_Toc10966"/>
      <w:r>
        <w:rPr>
          <w:rFonts w:hint="eastAsia" w:ascii="黑体" w:hAnsi="黑体" w:eastAsia="黑体"/>
          <w:snapToGrid w:val="0"/>
          <w:sz w:val="30"/>
          <w:szCs w:val="30"/>
        </w:rPr>
        <w:t>一、建设项目基本情况</w:t>
      </w:r>
      <w:bookmarkEnd w:id="2"/>
    </w:p>
    <w:tbl>
      <w:tblPr>
        <w:tblStyle w:val="34"/>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0" w:type="dxa"/>
          <w:bottom w:w="0" w:type="dxa"/>
          <w:right w:w="0" w:type="dxa"/>
        </w:tblCellMar>
      </w:tblPr>
      <w:tblGrid>
        <w:gridCol w:w="1120"/>
        <w:gridCol w:w="2596"/>
        <w:gridCol w:w="2122"/>
        <w:gridCol w:w="3032"/>
      </w:tblGrid>
      <w:tr w14:paraId="6EFDCB9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631" w:type="pct"/>
            <w:tcMar>
              <w:top w:w="16" w:type="dxa"/>
              <w:left w:w="16" w:type="dxa"/>
              <w:right w:w="16" w:type="dxa"/>
            </w:tcMar>
            <w:vAlign w:val="center"/>
          </w:tcPr>
          <w:p w14:paraId="333619D6">
            <w:pPr>
              <w:adjustRightInd w:val="0"/>
              <w:snapToGrid w:val="0"/>
              <w:jc w:val="center"/>
              <w:rPr>
                <w:sz w:val="24"/>
              </w:rPr>
            </w:pPr>
            <w:r>
              <w:rPr>
                <w:sz w:val="24"/>
              </w:rPr>
              <w:t>建设项目名称</w:t>
            </w:r>
          </w:p>
        </w:tc>
        <w:tc>
          <w:tcPr>
            <w:tcW w:w="4368" w:type="pct"/>
            <w:gridSpan w:val="3"/>
            <w:vAlign w:val="center"/>
          </w:tcPr>
          <w:p w14:paraId="3D89EAB4">
            <w:pPr>
              <w:adjustRightInd w:val="0"/>
              <w:snapToGrid w:val="0"/>
              <w:jc w:val="center"/>
              <w:rPr>
                <w:sz w:val="24"/>
              </w:rPr>
            </w:pPr>
            <w:r>
              <w:rPr>
                <w:sz w:val="24"/>
              </w:rPr>
              <w:t>北票市邦瑞机械加工及报废机动车拆解项目</w:t>
            </w:r>
          </w:p>
        </w:tc>
      </w:tr>
      <w:tr w14:paraId="29E7F37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631" w:type="pct"/>
            <w:tcMar>
              <w:top w:w="16" w:type="dxa"/>
              <w:left w:w="16" w:type="dxa"/>
              <w:right w:w="16" w:type="dxa"/>
            </w:tcMar>
            <w:vAlign w:val="center"/>
          </w:tcPr>
          <w:p w14:paraId="19773ACB">
            <w:pPr>
              <w:adjustRightInd w:val="0"/>
              <w:snapToGrid w:val="0"/>
              <w:jc w:val="center"/>
              <w:rPr>
                <w:sz w:val="24"/>
              </w:rPr>
            </w:pPr>
            <w:r>
              <w:rPr>
                <w:sz w:val="24"/>
              </w:rPr>
              <w:t>项目代码</w:t>
            </w:r>
          </w:p>
        </w:tc>
        <w:tc>
          <w:tcPr>
            <w:tcW w:w="4368" w:type="pct"/>
            <w:gridSpan w:val="3"/>
            <w:vAlign w:val="center"/>
          </w:tcPr>
          <w:p w14:paraId="0E172B61">
            <w:pPr>
              <w:adjustRightInd w:val="0"/>
              <w:snapToGrid w:val="0"/>
              <w:jc w:val="center"/>
              <w:rPr>
                <w:sz w:val="24"/>
              </w:rPr>
            </w:pPr>
            <w:r>
              <w:rPr>
                <w:sz w:val="24"/>
              </w:rPr>
              <w:t>2503-211381-04-05-245552</w:t>
            </w:r>
          </w:p>
        </w:tc>
      </w:tr>
      <w:tr w14:paraId="62627AA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631" w:type="pct"/>
            <w:tcMar>
              <w:top w:w="16" w:type="dxa"/>
              <w:left w:w="16" w:type="dxa"/>
              <w:right w:w="16" w:type="dxa"/>
            </w:tcMar>
            <w:vAlign w:val="center"/>
          </w:tcPr>
          <w:p w14:paraId="42740428">
            <w:pPr>
              <w:adjustRightInd w:val="0"/>
              <w:snapToGrid w:val="0"/>
              <w:jc w:val="center"/>
              <w:rPr>
                <w:sz w:val="24"/>
              </w:rPr>
            </w:pPr>
            <w:r>
              <w:rPr>
                <w:sz w:val="24"/>
              </w:rPr>
              <w:t>建设单位联系人</w:t>
            </w:r>
          </w:p>
        </w:tc>
        <w:tc>
          <w:tcPr>
            <w:tcW w:w="1463" w:type="pct"/>
            <w:vAlign w:val="center"/>
          </w:tcPr>
          <w:p w14:paraId="77D049E5">
            <w:pPr>
              <w:adjustRightInd w:val="0"/>
              <w:snapToGrid w:val="0"/>
              <w:jc w:val="center"/>
              <w:rPr>
                <w:sz w:val="24"/>
              </w:rPr>
            </w:pPr>
            <w:r>
              <w:rPr>
                <w:rFonts w:hint="eastAsia"/>
                <w:sz w:val="24"/>
              </w:rPr>
              <w:t>李红生</w:t>
            </w:r>
          </w:p>
        </w:tc>
        <w:tc>
          <w:tcPr>
            <w:tcW w:w="1196" w:type="pct"/>
            <w:vAlign w:val="center"/>
          </w:tcPr>
          <w:p w14:paraId="0CAFCE74">
            <w:pPr>
              <w:adjustRightInd w:val="0"/>
              <w:snapToGrid w:val="0"/>
              <w:jc w:val="center"/>
              <w:rPr>
                <w:sz w:val="24"/>
              </w:rPr>
            </w:pPr>
            <w:r>
              <w:rPr>
                <w:sz w:val="24"/>
              </w:rPr>
              <w:t>联系方式</w:t>
            </w:r>
          </w:p>
        </w:tc>
        <w:tc>
          <w:tcPr>
            <w:tcW w:w="1708" w:type="pct"/>
            <w:vAlign w:val="center"/>
          </w:tcPr>
          <w:p w14:paraId="4F900025">
            <w:pPr>
              <w:adjustRightInd w:val="0"/>
              <w:snapToGrid w:val="0"/>
              <w:jc w:val="center"/>
              <w:rPr>
                <w:sz w:val="24"/>
              </w:rPr>
            </w:pPr>
            <w:r>
              <w:rPr>
                <w:rFonts w:hint="eastAsia"/>
                <w:sz w:val="24"/>
              </w:rPr>
              <w:t>15242151111</w:t>
            </w:r>
          </w:p>
        </w:tc>
      </w:tr>
      <w:tr w14:paraId="2786BFF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631" w:type="pct"/>
            <w:tcMar>
              <w:top w:w="16" w:type="dxa"/>
              <w:left w:w="16" w:type="dxa"/>
              <w:right w:w="16" w:type="dxa"/>
            </w:tcMar>
            <w:vAlign w:val="center"/>
          </w:tcPr>
          <w:p w14:paraId="770787F8">
            <w:pPr>
              <w:adjustRightInd w:val="0"/>
              <w:snapToGrid w:val="0"/>
              <w:jc w:val="center"/>
              <w:rPr>
                <w:sz w:val="24"/>
              </w:rPr>
            </w:pPr>
            <w:r>
              <w:rPr>
                <w:sz w:val="24"/>
              </w:rPr>
              <w:t>建设地点</w:t>
            </w:r>
          </w:p>
        </w:tc>
        <w:tc>
          <w:tcPr>
            <w:tcW w:w="4368" w:type="pct"/>
            <w:gridSpan w:val="3"/>
            <w:vAlign w:val="center"/>
          </w:tcPr>
          <w:p w14:paraId="76F81D3E">
            <w:pPr>
              <w:adjustRightInd w:val="0"/>
              <w:snapToGrid w:val="0"/>
              <w:jc w:val="center"/>
              <w:rPr>
                <w:sz w:val="24"/>
              </w:rPr>
            </w:pPr>
            <w:r>
              <w:rPr>
                <w:sz w:val="24"/>
              </w:rPr>
              <w:t>辽宁省朝阳市北票市宝锦线凉水河北侧3幢01023</w:t>
            </w:r>
          </w:p>
        </w:tc>
      </w:tr>
      <w:tr w14:paraId="331A62B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631" w:type="pct"/>
            <w:tcMar>
              <w:top w:w="16" w:type="dxa"/>
              <w:left w:w="16" w:type="dxa"/>
              <w:right w:w="16" w:type="dxa"/>
            </w:tcMar>
            <w:vAlign w:val="center"/>
          </w:tcPr>
          <w:p w14:paraId="777E7A75">
            <w:pPr>
              <w:adjustRightInd w:val="0"/>
              <w:snapToGrid w:val="0"/>
              <w:jc w:val="center"/>
              <w:rPr>
                <w:sz w:val="24"/>
              </w:rPr>
            </w:pPr>
            <w:r>
              <w:rPr>
                <w:sz w:val="24"/>
              </w:rPr>
              <w:t>地理坐标</w:t>
            </w:r>
          </w:p>
        </w:tc>
        <w:tc>
          <w:tcPr>
            <w:tcW w:w="4368" w:type="pct"/>
            <w:gridSpan w:val="3"/>
            <w:vAlign w:val="center"/>
          </w:tcPr>
          <w:p w14:paraId="4A2CC8A6">
            <w:pPr>
              <w:jc w:val="center"/>
              <w:rPr>
                <w:sz w:val="24"/>
              </w:rPr>
            </w:pPr>
            <w:r>
              <w:rPr>
                <w:sz w:val="24"/>
              </w:rPr>
              <w:t>（东经</w:t>
            </w:r>
            <w:r>
              <w:rPr>
                <w:sz w:val="24"/>
                <w:u w:val="single"/>
              </w:rPr>
              <w:t>120°45′17.795″</w:t>
            </w:r>
            <w:r>
              <w:rPr>
                <w:sz w:val="24"/>
              </w:rPr>
              <w:t>，北纬</w:t>
            </w:r>
            <w:r>
              <w:rPr>
                <w:sz w:val="24"/>
                <w:u w:val="single"/>
              </w:rPr>
              <w:t>41°46′36.594″</w:t>
            </w:r>
            <w:r>
              <w:rPr>
                <w:sz w:val="24"/>
              </w:rPr>
              <w:t>）</w:t>
            </w:r>
          </w:p>
        </w:tc>
      </w:tr>
      <w:tr w14:paraId="0766CC9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1203" w:hRule="atLeast"/>
          <w:jc w:val="center"/>
        </w:trPr>
        <w:tc>
          <w:tcPr>
            <w:tcW w:w="631" w:type="pct"/>
            <w:tcMar>
              <w:top w:w="16" w:type="dxa"/>
              <w:left w:w="16" w:type="dxa"/>
              <w:right w:w="16" w:type="dxa"/>
            </w:tcMar>
            <w:vAlign w:val="center"/>
          </w:tcPr>
          <w:p w14:paraId="164AF615">
            <w:pPr>
              <w:adjustRightInd w:val="0"/>
              <w:snapToGrid w:val="0"/>
              <w:jc w:val="center"/>
              <w:rPr>
                <w:sz w:val="24"/>
              </w:rPr>
            </w:pPr>
            <w:r>
              <w:rPr>
                <w:sz w:val="24"/>
              </w:rPr>
              <w:t>国民经济</w:t>
            </w:r>
          </w:p>
          <w:p w14:paraId="54CF3C0D">
            <w:pPr>
              <w:adjustRightInd w:val="0"/>
              <w:snapToGrid w:val="0"/>
              <w:jc w:val="center"/>
              <w:rPr>
                <w:sz w:val="24"/>
              </w:rPr>
            </w:pPr>
            <w:r>
              <w:rPr>
                <w:sz w:val="24"/>
              </w:rPr>
              <w:t>行业类别</w:t>
            </w:r>
          </w:p>
        </w:tc>
        <w:tc>
          <w:tcPr>
            <w:tcW w:w="1463" w:type="pct"/>
            <w:vAlign w:val="center"/>
          </w:tcPr>
          <w:p w14:paraId="2D3F8FF2">
            <w:pPr>
              <w:adjustRightInd w:val="0"/>
              <w:snapToGrid w:val="0"/>
              <w:jc w:val="center"/>
              <w:rPr>
                <w:sz w:val="24"/>
              </w:rPr>
            </w:pPr>
            <w:r>
              <w:rPr>
                <w:sz w:val="24"/>
              </w:rPr>
              <w:t>C4210 金属废料和碎屑加工处理</w:t>
            </w:r>
          </w:p>
        </w:tc>
        <w:tc>
          <w:tcPr>
            <w:tcW w:w="1196" w:type="pct"/>
            <w:vAlign w:val="center"/>
          </w:tcPr>
          <w:p w14:paraId="7A820CDB">
            <w:pPr>
              <w:adjustRightInd w:val="0"/>
              <w:snapToGrid w:val="0"/>
              <w:jc w:val="center"/>
              <w:rPr>
                <w:sz w:val="24"/>
              </w:rPr>
            </w:pPr>
            <w:bookmarkStart w:id="3" w:name="_Hlk49843745"/>
            <w:r>
              <w:rPr>
                <w:sz w:val="24"/>
              </w:rPr>
              <w:t>建设项目</w:t>
            </w:r>
          </w:p>
          <w:p w14:paraId="6A341482">
            <w:pPr>
              <w:adjustRightInd w:val="0"/>
              <w:snapToGrid w:val="0"/>
              <w:jc w:val="center"/>
              <w:rPr>
                <w:sz w:val="24"/>
              </w:rPr>
            </w:pPr>
            <w:r>
              <w:rPr>
                <w:sz w:val="24"/>
              </w:rPr>
              <w:t>行业类别</w:t>
            </w:r>
            <w:bookmarkEnd w:id="3"/>
          </w:p>
        </w:tc>
        <w:tc>
          <w:tcPr>
            <w:tcW w:w="1708" w:type="pct"/>
            <w:vAlign w:val="center"/>
          </w:tcPr>
          <w:p w14:paraId="6B03AF3E">
            <w:pPr>
              <w:widowControl/>
              <w:jc w:val="left"/>
              <w:rPr>
                <w:sz w:val="24"/>
              </w:rPr>
            </w:pPr>
            <w:r>
              <w:rPr>
                <w:sz w:val="24"/>
              </w:rPr>
              <w:t>三十九、废弃资源综合利用业42，85金属废料和碎屑加工处理</w:t>
            </w:r>
            <w:r>
              <w:rPr>
                <w:rFonts w:hint="eastAsia"/>
                <w:sz w:val="24"/>
              </w:rPr>
              <w:t>421</w:t>
            </w:r>
          </w:p>
        </w:tc>
      </w:tr>
      <w:tr w14:paraId="2B37487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1219" w:hRule="atLeast"/>
          <w:jc w:val="center"/>
        </w:trPr>
        <w:tc>
          <w:tcPr>
            <w:tcW w:w="631" w:type="pct"/>
            <w:tcMar>
              <w:top w:w="16" w:type="dxa"/>
              <w:left w:w="16" w:type="dxa"/>
              <w:right w:w="16" w:type="dxa"/>
            </w:tcMar>
            <w:vAlign w:val="center"/>
          </w:tcPr>
          <w:p w14:paraId="0DC2B803">
            <w:pPr>
              <w:adjustRightInd w:val="0"/>
              <w:snapToGrid w:val="0"/>
              <w:jc w:val="center"/>
              <w:rPr>
                <w:sz w:val="24"/>
              </w:rPr>
            </w:pPr>
            <w:r>
              <w:rPr>
                <w:sz w:val="24"/>
              </w:rPr>
              <w:t>建设性质</w:t>
            </w:r>
          </w:p>
        </w:tc>
        <w:tc>
          <w:tcPr>
            <w:tcW w:w="1463" w:type="pct"/>
            <w:vAlign w:val="center"/>
          </w:tcPr>
          <w:p w14:paraId="0219FCB2">
            <w:pPr>
              <w:jc w:val="left"/>
              <w:rPr>
                <w:sz w:val="24"/>
              </w:rPr>
            </w:pPr>
            <w:r>
              <w:rPr>
                <w:sz w:val="24"/>
              </w:rPr>
              <w:t>√新建（迁建）</w:t>
            </w:r>
          </w:p>
          <w:p w14:paraId="39FFF595">
            <w:pPr>
              <w:jc w:val="left"/>
              <w:rPr>
                <w:sz w:val="24"/>
              </w:rPr>
            </w:pPr>
            <w:r>
              <w:rPr>
                <w:sz w:val="24"/>
              </w:rPr>
              <w:t>□改建</w:t>
            </w:r>
          </w:p>
          <w:p w14:paraId="2B7D2275">
            <w:pPr>
              <w:jc w:val="left"/>
              <w:rPr>
                <w:sz w:val="24"/>
              </w:rPr>
            </w:pPr>
            <w:r>
              <w:rPr>
                <w:sz w:val="24"/>
              </w:rPr>
              <w:t>□扩建</w:t>
            </w:r>
          </w:p>
          <w:p w14:paraId="7A9FBE5D">
            <w:pPr>
              <w:jc w:val="left"/>
              <w:rPr>
                <w:sz w:val="24"/>
              </w:rPr>
            </w:pPr>
            <w:r>
              <w:rPr>
                <w:sz w:val="24"/>
              </w:rPr>
              <w:t>□技术改造</w:t>
            </w:r>
          </w:p>
        </w:tc>
        <w:tc>
          <w:tcPr>
            <w:tcW w:w="1196" w:type="pct"/>
            <w:vAlign w:val="center"/>
          </w:tcPr>
          <w:p w14:paraId="5D56EA26">
            <w:pPr>
              <w:adjustRightInd w:val="0"/>
              <w:snapToGrid w:val="0"/>
              <w:jc w:val="center"/>
              <w:rPr>
                <w:sz w:val="24"/>
              </w:rPr>
            </w:pPr>
            <w:r>
              <w:rPr>
                <w:sz w:val="24"/>
              </w:rPr>
              <w:t>建设项目</w:t>
            </w:r>
          </w:p>
          <w:p w14:paraId="6A619117">
            <w:pPr>
              <w:adjustRightInd w:val="0"/>
              <w:snapToGrid w:val="0"/>
              <w:jc w:val="center"/>
              <w:rPr>
                <w:sz w:val="24"/>
              </w:rPr>
            </w:pPr>
            <w:r>
              <w:rPr>
                <w:sz w:val="24"/>
              </w:rPr>
              <w:t>申报情形</w:t>
            </w:r>
          </w:p>
        </w:tc>
        <w:tc>
          <w:tcPr>
            <w:tcW w:w="1708" w:type="pct"/>
            <w:vAlign w:val="center"/>
          </w:tcPr>
          <w:p w14:paraId="3C07FEAA">
            <w:pPr>
              <w:jc w:val="left"/>
              <w:rPr>
                <w:sz w:val="24"/>
              </w:rPr>
            </w:pPr>
            <w:r>
              <w:rPr>
                <w:sz w:val="24"/>
              </w:rPr>
              <w:t>√首次申报项目</w:t>
            </w:r>
          </w:p>
          <w:p w14:paraId="19C19B66">
            <w:pPr>
              <w:jc w:val="left"/>
              <w:rPr>
                <w:sz w:val="24"/>
              </w:rPr>
            </w:pPr>
            <w:r>
              <w:rPr>
                <w:sz w:val="24"/>
              </w:rPr>
              <w:t>□不予批准后再次申报项目</w:t>
            </w:r>
          </w:p>
          <w:p w14:paraId="33735127">
            <w:pPr>
              <w:jc w:val="left"/>
              <w:rPr>
                <w:sz w:val="24"/>
              </w:rPr>
            </w:pPr>
            <w:r>
              <w:rPr>
                <w:sz w:val="24"/>
              </w:rPr>
              <w:t>□超五年重新审核项目</w:t>
            </w:r>
          </w:p>
          <w:p w14:paraId="69FD0860">
            <w:pPr>
              <w:jc w:val="left"/>
              <w:rPr>
                <w:sz w:val="24"/>
              </w:rPr>
            </w:pPr>
            <w:r>
              <w:rPr>
                <w:sz w:val="24"/>
              </w:rPr>
              <w:t>□重大变动重新报批项目</w:t>
            </w:r>
          </w:p>
        </w:tc>
      </w:tr>
      <w:tr w14:paraId="2D38543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851" w:hRule="atLeast"/>
          <w:jc w:val="center"/>
        </w:trPr>
        <w:tc>
          <w:tcPr>
            <w:tcW w:w="631" w:type="pct"/>
            <w:tcMar>
              <w:top w:w="16" w:type="dxa"/>
              <w:left w:w="16" w:type="dxa"/>
              <w:right w:w="16" w:type="dxa"/>
            </w:tcMar>
            <w:vAlign w:val="center"/>
          </w:tcPr>
          <w:p w14:paraId="02E37478">
            <w:pPr>
              <w:adjustRightInd w:val="0"/>
              <w:snapToGrid w:val="0"/>
              <w:jc w:val="center"/>
              <w:rPr>
                <w:sz w:val="24"/>
              </w:rPr>
            </w:pPr>
            <w:r>
              <w:rPr>
                <w:sz w:val="24"/>
              </w:rPr>
              <w:t>项目审批（核准/备案）部门（选填）</w:t>
            </w:r>
          </w:p>
        </w:tc>
        <w:tc>
          <w:tcPr>
            <w:tcW w:w="1463" w:type="pct"/>
            <w:vAlign w:val="center"/>
          </w:tcPr>
          <w:p w14:paraId="6AF7C967">
            <w:pPr>
              <w:adjustRightInd w:val="0"/>
              <w:snapToGrid w:val="0"/>
              <w:jc w:val="center"/>
              <w:rPr>
                <w:sz w:val="24"/>
              </w:rPr>
            </w:pPr>
            <w:r>
              <w:rPr>
                <w:rFonts w:hint="eastAsia"/>
                <w:sz w:val="24"/>
              </w:rPr>
              <w:t>北票市发展和改革局</w:t>
            </w:r>
          </w:p>
        </w:tc>
        <w:tc>
          <w:tcPr>
            <w:tcW w:w="1196" w:type="pct"/>
            <w:vAlign w:val="center"/>
          </w:tcPr>
          <w:p w14:paraId="3EF65BE6">
            <w:pPr>
              <w:adjustRightInd w:val="0"/>
              <w:snapToGrid w:val="0"/>
              <w:jc w:val="center"/>
              <w:rPr>
                <w:sz w:val="24"/>
              </w:rPr>
            </w:pPr>
            <w:r>
              <w:rPr>
                <w:sz w:val="24"/>
              </w:rPr>
              <w:t>项目审批（核准/</w:t>
            </w:r>
          </w:p>
          <w:p w14:paraId="0C304B1E">
            <w:pPr>
              <w:adjustRightInd w:val="0"/>
              <w:snapToGrid w:val="0"/>
              <w:jc w:val="center"/>
              <w:rPr>
                <w:sz w:val="24"/>
              </w:rPr>
            </w:pPr>
            <w:r>
              <w:rPr>
                <w:sz w:val="24"/>
              </w:rPr>
              <w:t>备案）文号（选填）</w:t>
            </w:r>
          </w:p>
        </w:tc>
        <w:tc>
          <w:tcPr>
            <w:tcW w:w="1708" w:type="pct"/>
            <w:vAlign w:val="center"/>
          </w:tcPr>
          <w:p w14:paraId="33BE7918">
            <w:pPr>
              <w:adjustRightInd w:val="0"/>
              <w:snapToGrid w:val="0"/>
              <w:jc w:val="center"/>
              <w:rPr>
                <w:sz w:val="24"/>
              </w:rPr>
            </w:pPr>
            <w:r>
              <w:rPr>
                <w:rFonts w:hint="eastAsia"/>
                <w:sz w:val="24"/>
              </w:rPr>
              <w:t>北发改</w:t>
            </w:r>
            <w:r>
              <w:rPr>
                <w:sz w:val="24"/>
              </w:rPr>
              <w:t>备</w:t>
            </w:r>
            <w:r>
              <w:rPr>
                <w:rFonts w:eastAsia="微软雅黑"/>
                <w:sz w:val="24"/>
              </w:rPr>
              <w:t>〔2025〕</w:t>
            </w:r>
            <w:r>
              <w:rPr>
                <w:sz w:val="24"/>
              </w:rPr>
              <w:t>1</w:t>
            </w:r>
            <w:r>
              <w:rPr>
                <w:rFonts w:hint="eastAsia"/>
                <w:sz w:val="24"/>
              </w:rPr>
              <w:t>5</w:t>
            </w:r>
            <w:r>
              <w:rPr>
                <w:sz w:val="24"/>
              </w:rPr>
              <w:t>号</w:t>
            </w:r>
          </w:p>
        </w:tc>
      </w:tr>
      <w:tr w14:paraId="61C36A8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635" w:hRule="atLeast"/>
          <w:jc w:val="center"/>
        </w:trPr>
        <w:tc>
          <w:tcPr>
            <w:tcW w:w="631" w:type="pct"/>
            <w:tcMar>
              <w:top w:w="16" w:type="dxa"/>
              <w:left w:w="16" w:type="dxa"/>
              <w:right w:w="16" w:type="dxa"/>
            </w:tcMar>
            <w:vAlign w:val="center"/>
          </w:tcPr>
          <w:p w14:paraId="65040BFC">
            <w:pPr>
              <w:adjustRightInd w:val="0"/>
              <w:snapToGrid w:val="0"/>
              <w:jc w:val="center"/>
              <w:rPr>
                <w:sz w:val="24"/>
              </w:rPr>
            </w:pPr>
            <w:r>
              <w:rPr>
                <w:sz w:val="24"/>
              </w:rPr>
              <w:t>总投资（万元）</w:t>
            </w:r>
          </w:p>
        </w:tc>
        <w:tc>
          <w:tcPr>
            <w:tcW w:w="1463" w:type="pct"/>
            <w:vAlign w:val="center"/>
          </w:tcPr>
          <w:p w14:paraId="674CB75C">
            <w:pPr>
              <w:adjustRightInd w:val="0"/>
              <w:snapToGrid w:val="0"/>
              <w:jc w:val="center"/>
              <w:rPr>
                <w:sz w:val="24"/>
              </w:rPr>
            </w:pPr>
            <w:r>
              <w:rPr>
                <w:sz w:val="24"/>
              </w:rPr>
              <w:t>800</w:t>
            </w:r>
          </w:p>
        </w:tc>
        <w:tc>
          <w:tcPr>
            <w:tcW w:w="1196" w:type="pct"/>
            <w:tcMar>
              <w:top w:w="16" w:type="dxa"/>
              <w:left w:w="16" w:type="dxa"/>
              <w:right w:w="16" w:type="dxa"/>
            </w:tcMar>
            <w:vAlign w:val="center"/>
          </w:tcPr>
          <w:p w14:paraId="05232515">
            <w:pPr>
              <w:adjustRightInd w:val="0"/>
              <w:snapToGrid w:val="0"/>
              <w:jc w:val="center"/>
              <w:rPr>
                <w:sz w:val="24"/>
              </w:rPr>
            </w:pPr>
            <w:r>
              <w:rPr>
                <w:sz w:val="24"/>
              </w:rPr>
              <w:t>环保投资（万元）</w:t>
            </w:r>
          </w:p>
        </w:tc>
        <w:tc>
          <w:tcPr>
            <w:tcW w:w="1708" w:type="pct"/>
            <w:vAlign w:val="center"/>
          </w:tcPr>
          <w:p w14:paraId="3052563F">
            <w:pPr>
              <w:adjustRightInd w:val="0"/>
              <w:snapToGrid w:val="0"/>
              <w:jc w:val="center"/>
              <w:rPr>
                <w:sz w:val="24"/>
              </w:rPr>
            </w:pPr>
            <w:r>
              <w:rPr>
                <w:rFonts w:hint="eastAsia"/>
                <w:sz w:val="24"/>
              </w:rPr>
              <w:t>107</w:t>
            </w:r>
          </w:p>
        </w:tc>
      </w:tr>
      <w:tr w14:paraId="273ADC4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694" w:hRule="atLeast"/>
          <w:jc w:val="center"/>
        </w:trPr>
        <w:tc>
          <w:tcPr>
            <w:tcW w:w="631" w:type="pct"/>
            <w:tcMar>
              <w:top w:w="16" w:type="dxa"/>
              <w:left w:w="16" w:type="dxa"/>
              <w:right w:w="16" w:type="dxa"/>
            </w:tcMar>
            <w:vAlign w:val="center"/>
          </w:tcPr>
          <w:p w14:paraId="20DAAD5D">
            <w:pPr>
              <w:adjustRightInd w:val="0"/>
              <w:snapToGrid w:val="0"/>
              <w:jc w:val="center"/>
              <w:rPr>
                <w:sz w:val="24"/>
              </w:rPr>
            </w:pPr>
            <w:r>
              <w:rPr>
                <w:sz w:val="24"/>
              </w:rPr>
              <w:t>环保投资占比（%）</w:t>
            </w:r>
          </w:p>
        </w:tc>
        <w:tc>
          <w:tcPr>
            <w:tcW w:w="1463" w:type="pct"/>
            <w:vAlign w:val="center"/>
          </w:tcPr>
          <w:p w14:paraId="003986FB">
            <w:pPr>
              <w:adjustRightInd w:val="0"/>
              <w:snapToGrid w:val="0"/>
              <w:jc w:val="center"/>
              <w:rPr>
                <w:sz w:val="24"/>
              </w:rPr>
            </w:pPr>
            <w:r>
              <w:rPr>
                <w:rFonts w:hint="eastAsia"/>
                <w:sz w:val="24"/>
              </w:rPr>
              <w:t>13.38</w:t>
            </w:r>
          </w:p>
        </w:tc>
        <w:tc>
          <w:tcPr>
            <w:tcW w:w="1196" w:type="pct"/>
            <w:tcMar>
              <w:top w:w="16" w:type="dxa"/>
              <w:left w:w="16" w:type="dxa"/>
              <w:right w:w="16" w:type="dxa"/>
            </w:tcMar>
            <w:vAlign w:val="center"/>
          </w:tcPr>
          <w:p w14:paraId="39FBF585">
            <w:pPr>
              <w:adjustRightInd w:val="0"/>
              <w:snapToGrid w:val="0"/>
              <w:jc w:val="center"/>
              <w:rPr>
                <w:sz w:val="24"/>
              </w:rPr>
            </w:pPr>
            <w:r>
              <w:rPr>
                <w:sz w:val="24"/>
              </w:rPr>
              <w:t>施工工期</w:t>
            </w:r>
          </w:p>
        </w:tc>
        <w:tc>
          <w:tcPr>
            <w:tcW w:w="1708" w:type="pct"/>
            <w:vAlign w:val="center"/>
          </w:tcPr>
          <w:p w14:paraId="1206BAD9">
            <w:pPr>
              <w:adjustRightInd w:val="0"/>
              <w:snapToGrid w:val="0"/>
              <w:jc w:val="center"/>
              <w:rPr>
                <w:sz w:val="24"/>
              </w:rPr>
            </w:pPr>
            <w:r>
              <w:rPr>
                <w:rFonts w:hint="eastAsia"/>
                <w:sz w:val="24"/>
              </w:rPr>
              <w:t>6</w:t>
            </w:r>
            <w:r>
              <w:rPr>
                <w:sz w:val="24"/>
              </w:rPr>
              <w:t>个月</w:t>
            </w:r>
          </w:p>
        </w:tc>
      </w:tr>
      <w:tr w14:paraId="6363446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778" w:hRule="atLeast"/>
          <w:jc w:val="center"/>
        </w:trPr>
        <w:tc>
          <w:tcPr>
            <w:tcW w:w="631" w:type="pct"/>
            <w:tcMar>
              <w:top w:w="16" w:type="dxa"/>
              <w:left w:w="16" w:type="dxa"/>
              <w:right w:w="16" w:type="dxa"/>
            </w:tcMar>
            <w:vAlign w:val="center"/>
          </w:tcPr>
          <w:p w14:paraId="1821EB56">
            <w:pPr>
              <w:adjustRightInd w:val="0"/>
              <w:snapToGrid w:val="0"/>
              <w:jc w:val="center"/>
              <w:rPr>
                <w:sz w:val="24"/>
              </w:rPr>
            </w:pPr>
            <w:r>
              <w:rPr>
                <w:sz w:val="24"/>
              </w:rPr>
              <w:t>是否开工建设</w:t>
            </w:r>
          </w:p>
        </w:tc>
        <w:tc>
          <w:tcPr>
            <w:tcW w:w="1463" w:type="pct"/>
            <w:vAlign w:val="center"/>
          </w:tcPr>
          <w:p w14:paraId="684DFDA8">
            <w:pPr>
              <w:adjustRightInd w:val="0"/>
              <w:snapToGrid w:val="0"/>
              <w:rPr>
                <w:sz w:val="24"/>
              </w:rPr>
            </w:pPr>
            <w:r>
              <w:rPr>
                <w:sz w:val="24"/>
              </w:rPr>
              <w:sym w:font="Wingdings 2" w:char="0052"/>
            </w:r>
            <w:r>
              <w:rPr>
                <w:sz w:val="24"/>
              </w:rPr>
              <w:t>否</w:t>
            </w:r>
          </w:p>
          <w:p w14:paraId="130917CF">
            <w:pPr>
              <w:adjustRightInd w:val="0"/>
              <w:snapToGrid w:val="0"/>
              <w:rPr>
                <w:sz w:val="24"/>
              </w:rPr>
            </w:pPr>
            <w:r>
              <w:rPr>
                <w:sz w:val="24"/>
              </w:rPr>
              <w:sym w:font="Wingdings 2" w:char="00A3"/>
            </w:r>
            <w:r>
              <w:rPr>
                <w:sz w:val="24"/>
              </w:rPr>
              <w:t>是：</w:t>
            </w:r>
          </w:p>
        </w:tc>
        <w:tc>
          <w:tcPr>
            <w:tcW w:w="1196" w:type="pct"/>
            <w:tcMar>
              <w:top w:w="16" w:type="dxa"/>
              <w:left w:w="16" w:type="dxa"/>
              <w:right w:w="16" w:type="dxa"/>
            </w:tcMar>
            <w:vAlign w:val="center"/>
          </w:tcPr>
          <w:p w14:paraId="5EE32AC0">
            <w:pPr>
              <w:adjustRightInd w:val="0"/>
              <w:snapToGrid w:val="0"/>
              <w:jc w:val="center"/>
              <w:rPr>
                <w:color w:val="FF0000"/>
                <w:spacing w:val="-6"/>
                <w:sz w:val="24"/>
              </w:rPr>
            </w:pPr>
            <w:r>
              <w:rPr>
                <w:color w:val="FF0000"/>
                <w:spacing w:val="-6"/>
                <w:sz w:val="24"/>
              </w:rPr>
              <w:t>用地（用海）</w:t>
            </w:r>
          </w:p>
          <w:p w14:paraId="4BEBFDB0">
            <w:pPr>
              <w:adjustRightInd w:val="0"/>
              <w:snapToGrid w:val="0"/>
              <w:jc w:val="center"/>
              <w:rPr>
                <w:color w:val="FF0000"/>
                <w:sz w:val="24"/>
              </w:rPr>
            </w:pPr>
            <w:r>
              <w:rPr>
                <w:color w:val="FF0000"/>
                <w:spacing w:val="-6"/>
                <w:sz w:val="24"/>
              </w:rPr>
              <w:t>面积（m</w:t>
            </w:r>
            <w:r>
              <w:rPr>
                <w:color w:val="FF0000"/>
                <w:spacing w:val="-6"/>
                <w:sz w:val="24"/>
                <w:vertAlign w:val="superscript"/>
              </w:rPr>
              <w:t>2</w:t>
            </w:r>
            <w:r>
              <w:rPr>
                <w:color w:val="FF0000"/>
                <w:spacing w:val="-6"/>
                <w:sz w:val="24"/>
              </w:rPr>
              <w:t>）</w:t>
            </w:r>
          </w:p>
        </w:tc>
        <w:tc>
          <w:tcPr>
            <w:tcW w:w="1708" w:type="pct"/>
            <w:vAlign w:val="center"/>
          </w:tcPr>
          <w:p w14:paraId="37701F08">
            <w:pPr>
              <w:adjustRightInd w:val="0"/>
              <w:snapToGrid w:val="0"/>
              <w:jc w:val="center"/>
              <w:rPr>
                <w:rFonts w:hint="eastAsia" w:eastAsia="宋体"/>
                <w:color w:val="FF0000"/>
                <w:sz w:val="24"/>
                <w:lang w:eastAsia="zh-CN"/>
              </w:rPr>
            </w:pPr>
            <w:r>
              <w:rPr>
                <w:rFonts w:hint="eastAsia"/>
                <w:color w:val="FF0000"/>
                <w:sz w:val="24"/>
                <w:lang w:val="en-US" w:eastAsia="zh-CN"/>
              </w:rPr>
              <w:t>0</w:t>
            </w:r>
          </w:p>
        </w:tc>
      </w:tr>
      <w:tr w14:paraId="5A190F6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70" w:hRule="atLeast"/>
          <w:jc w:val="center"/>
        </w:trPr>
        <w:tc>
          <w:tcPr>
            <w:tcW w:w="631" w:type="pct"/>
            <w:vAlign w:val="center"/>
          </w:tcPr>
          <w:p w14:paraId="72451796">
            <w:pPr>
              <w:autoSpaceDE w:val="0"/>
              <w:autoSpaceDN w:val="0"/>
              <w:adjustRightInd w:val="0"/>
              <w:snapToGrid w:val="0"/>
              <w:jc w:val="center"/>
              <w:rPr>
                <w:kern w:val="0"/>
                <w:sz w:val="24"/>
              </w:rPr>
            </w:pPr>
            <w:r>
              <w:rPr>
                <w:kern w:val="0"/>
                <w:sz w:val="24"/>
              </w:rPr>
              <w:t>专项评价设置情况</w:t>
            </w:r>
          </w:p>
        </w:tc>
        <w:tc>
          <w:tcPr>
            <w:tcW w:w="4368" w:type="pct"/>
            <w:gridSpan w:val="3"/>
            <w:vAlign w:val="center"/>
          </w:tcPr>
          <w:p w14:paraId="5FA6B759">
            <w:pPr>
              <w:pStyle w:val="10"/>
              <w:spacing w:line="240" w:lineRule="auto"/>
              <w:rPr>
                <w:sz w:val="21"/>
                <w:szCs w:val="21"/>
              </w:rPr>
            </w:pPr>
            <w:r>
              <w:rPr>
                <w:b/>
                <w:bCs/>
                <w:sz w:val="21"/>
                <w:szCs w:val="21"/>
              </w:rPr>
              <w:t>表1-1    专项评价设置情况表</w:t>
            </w:r>
          </w:p>
          <w:tbl>
            <w:tblPr>
              <w:tblStyle w:val="34"/>
              <w:tblW w:w="4999" w:type="pct"/>
              <w:tblInd w:w="0" w:type="dxa"/>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325"/>
              <w:gridCol w:w="2899"/>
              <w:gridCol w:w="3308"/>
            </w:tblGrid>
            <w:tr w14:paraId="20E74AFC">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79" w:type="pct"/>
                  <w:vAlign w:val="center"/>
                </w:tcPr>
                <w:p w14:paraId="19D4B3DE">
                  <w:pPr>
                    <w:adjustRightInd w:val="0"/>
                    <w:snapToGrid w:val="0"/>
                    <w:jc w:val="center"/>
                    <w:rPr>
                      <w:szCs w:val="21"/>
                    </w:rPr>
                  </w:pPr>
                  <w:r>
                    <w:rPr>
                      <w:szCs w:val="21"/>
                    </w:rPr>
                    <w:t>专项评价的类别</w:t>
                  </w:r>
                </w:p>
              </w:tc>
              <w:tc>
                <w:tcPr>
                  <w:tcW w:w="1924" w:type="pct"/>
                  <w:vAlign w:val="center"/>
                </w:tcPr>
                <w:p w14:paraId="1004F9A8">
                  <w:pPr>
                    <w:adjustRightInd w:val="0"/>
                    <w:snapToGrid w:val="0"/>
                    <w:jc w:val="center"/>
                    <w:rPr>
                      <w:szCs w:val="21"/>
                    </w:rPr>
                  </w:pPr>
                  <w:r>
                    <w:rPr>
                      <w:szCs w:val="21"/>
                    </w:rPr>
                    <w:t>设置原则</w:t>
                  </w:r>
                </w:p>
              </w:tc>
              <w:tc>
                <w:tcPr>
                  <w:tcW w:w="2195" w:type="pct"/>
                  <w:vAlign w:val="center"/>
                </w:tcPr>
                <w:p w14:paraId="29EA69BD">
                  <w:pPr>
                    <w:adjustRightInd w:val="0"/>
                    <w:snapToGrid w:val="0"/>
                    <w:jc w:val="center"/>
                    <w:rPr>
                      <w:szCs w:val="21"/>
                    </w:rPr>
                  </w:pPr>
                  <w:r>
                    <w:rPr>
                      <w:szCs w:val="21"/>
                    </w:rPr>
                    <w:t>本项目情况</w:t>
                  </w:r>
                </w:p>
              </w:tc>
            </w:tr>
            <w:tr w14:paraId="3E4F2718">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79" w:type="pct"/>
                  <w:vAlign w:val="center"/>
                </w:tcPr>
                <w:p w14:paraId="6434586C">
                  <w:pPr>
                    <w:adjustRightInd w:val="0"/>
                    <w:snapToGrid w:val="0"/>
                    <w:jc w:val="center"/>
                    <w:rPr>
                      <w:szCs w:val="21"/>
                    </w:rPr>
                  </w:pPr>
                  <w:r>
                    <w:rPr>
                      <w:szCs w:val="21"/>
                    </w:rPr>
                    <w:t>大气</w:t>
                  </w:r>
                </w:p>
              </w:tc>
              <w:tc>
                <w:tcPr>
                  <w:tcW w:w="1924" w:type="pct"/>
                  <w:vAlign w:val="center"/>
                </w:tcPr>
                <w:p w14:paraId="47310DE3">
                  <w:pPr>
                    <w:widowControl/>
                    <w:adjustRightInd w:val="0"/>
                    <w:snapToGrid w:val="0"/>
                    <w:jc w:val="center"/>
                    <w:rPr>
                      <w:szCs w:val="21"/>
                    </w:rPr>
                  </w:pPr>
                  <w:r>
                    <w:rPr>
                      <w:kern w:val="0"/>
                      <w:szCs w:val="21"/>
                      <w:lang w:bidi="ar"/>
                    </w:rPr>
                    <w:t>排放废气含有毒有害污染物、二噁英、苯并</w:t>
                  </w:r>
                  <w:r>
                    <w:rPr>
                      <w:rFonts w:hint="eastAsia"/>
                      <w:kern w:val="0"/>
                      <w:szCs w:val="21"/>
                      <w:lang w:eastAsia="zh-CN" w:bidi="ar"/>
                    </w:rPr>
                    <w:t>〔</w:t>
                  </w:r>
                  <w:r>
                    <w:rPr>
                      <w:i/>
                      <w:iCs/>
                      <w:kern w:val="0"/>
                      <w:szCs w:val="21"/>
                      <w:lang w:bidi="ar"/>
                    </w:rPr>
                    <w:t>a</w:t>
                  </w:r>
                  <w:r>
                    <w:rPr>
                      <w:rFonts w:hint="eastAsia"/>
                      <w:kern w:val="0"/>
                      <w:szCs w:val="21"/>
                      <w:lang w:eastAsia="zh-CN" w:bidi="ar"/>
                    </w:rPr>
                    <w:t>〕</w:t>
                  </w:r>
                  <w:r>
                    <w:rPr>
                      <w:kern w:val="0"/>
                      <w:szCs w:val="21"/>
                      <w:lang w:bidi="ar"/>
                    </w:rPr>
                    <w:t>芘、氰化物、氯气且厂界外500 米范围内有环境空气保护目标的建设项目</w:t>
                  </w:r>
                </w:p>
              </w:tc>
              <w:tc>
                <w:tcPr>
                  <w:tcW w:w="2195" w:type="pct"/>
                  <w:vAlign w:val="center"/>
                </w:tcPr>
                <w:p w14:paraId="3FEE9176">
                  <w:pPr>
                    <w:adjustRightInd w:val="0"/>
                    <w:snapToGrid w:val="0"/>
                    <w:jc w:val="center"/>
                    <w:rPr>
                      <w:szCs w:val="21"/>
                      <w:highlight w:val="green"/>
                    </w:rPr>
                  </w:pPr>
                  <w:r>
                    <w:t>本项目排放的废气为颗粒物、</w:t>
                  </w:r>
                  <w:r>
                    <w:rPr>
                      <w:rFonts w:hint="eastAsia"/>
                    </w:rPr>
                    <w:t>非甲烷总烃，无</w:t>
                  </w:r>
                  <w:r>
                    <w:rPr>
                      <w:kern w:val="0"/>
                      <w:szCs w:val="21"/>
                      <w:lang w:bidi="ar"/>
                    </w:rPr>
                    <w:t>有毒有害污染物、二噁英、苯并</w:t>
                  </w:r>
                  <w:r>
                    <w:rPr>
                      <w:rFonts w:hint="eastAsia"/>
                      <w:kern w:val="0"/>
                      <w:szCs w:val="21"/>
                      <w:lang w:eastAsia="zh-CN" w:bidi="ar"/>
                    </w:rPr>
                    <w:t>〔</w:t>
                  </w:r>
                  <w:r>
                    <w:rPr>
                      <w:i/>
                      <w:iCs/>
                      <w:kern w:val="0"/>
                      <w:szCs w:val="21"/>
                      <w:lang w:bidi="ar"/>
                    </w:rPr>
                    <w:t>a</w:t>
                  </w:r>
                  <w:r>
                    <w:rPr>
                      <w:rFonts w:hint="eastAsia"/>
                      <w:kern w:val="0"/>
                      <w:szCs w:val="21"/>
                      <w:lang w:eastAsia="zh-CN" w:bidi="ar"/>
                    </w:rPr>
                    <w:t>〕</w:t>
                  </w:r>
                  <w:r>
                    <w:rPr>
                      <w:kern w:val="0"/>
                      <w:szCs w:val="21"/>
                      <w:lang w:bidi="ar"/>
                    </w:rPr>
                    <w:t>芘、氰化物、氯气，因此不设置专项评价</w:t>
                  </w:r>
                </w:p>
              </w:tc>
            </w:tr>
            <w:tr w14:paraId="5A3CAD41">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879" w:type="pct"/>
                  <w:vAlign w:val="center"/>
                </w:tcPr>
                <w:p w14:paraId="7D9BABA4">
                  <w:pPr>
                    <w:adjustRightInd w:val="0"/>
                    <w:snapToGrid w:val="0"/>
                    <w:jc w:val="center"/>
                    <w:rPr>
                      <w:szCs w:val="21"/>
                    </w:rPr>
                  </w:pPr>
                  <w:r>
                    <w:rPr>
                      <w:szCs w:val="21"/>
                    </w:rPr>
                    <w:t>地表水</w:t>
                  </w:r>
                </w:p>
              </w:tc>
              <w:tc>
                <w:tcPr>
                  <w:tcW w:w="1924" w:type="pct"/>
                  <w:vAlign w:val="center"/>
                </w:tcPr>
                <w:p w14:paraId="5814B04F">
                  <w:pPr>
                    <w:widowControl/>
                    <w:adjustRightInd w:val="0"/>
                    <w:snapToGrid w:val="0"/>
                    <w:jc w:val="center"/>
                    <w:rPr>
                      <w:kern w:val="0"/>
                      <w:szCs w:val="21"/>
                      <w:lang w:bidi="ar"/>
                    </w:rPr>
                  </w:pPr>
                  <w:r>
                    <w:rPr>
                      <w:kern w:val="0"/>
                      <w:szCs w:val="21"/>
                      <w:lang w:bidi="ar"/>
                    </w:rPr>
                    <w:t>新增工业废水直排建设项目（槽罐车外送污水处理厂的除外）；新增废水直排的污水集中处理厂</w:t>
                  </w:r>
                </w:p>
              </w:tc>
              <w:tc>
                <w:tcPr>
                  <w:tcW w:w="2195" w:type="pct"/>
                  <w:vAlign w:val="center"/>
                </w:tcPr>
                <w:p w14:paraId="2CBC98BF">
                  <w:pPr>
                    <w:adjustRightInd w:val="0"/>
                    <w:snapToGrid w:val="0"/>
                    <w:jc w:val="center"/>
                    <w:rPr>
                      <w:szCs w:val="21"/>
                      <w:highlight w:val="green"/>
                    </w:rPr>
                  </w:pPr>
                  <w:r>
                    <w:rPr>
                      <w:szCs w:val="21"/>
                    </w:rPr>
                    <w:t>本项目</w:t>
                  </w:r>
                  <w:r>
                    <w:rPr>
                      <w:rFonts w:hint="eastAsia"/>
                      <w:szCs w:val="21"/>
                    </w:rPr>
                    <w:t>非</w:t>
                  </w:r>
                  <w:r>
                    <w:rPr>
                      <w:kern w:val="0"/>
                      <w:szCs w:val="21"/>
                      <w:lang w:bidi="ar"/>
                    </w:rPr>
                    <w:t>水集中处理厂</w:t>
                  </w:r>
                  <w:r>
                    <w:rPr>
                      <w:rFonts w:hint="eastAsia"/>
                      <w:kern w:val="0"/>
                      <w:szCs w:val="21"/>
                      <w:lang w:bidi="ar"/>
                    </w:rPr>
                    <w:t>项目，</w:t>
                  </w:r>
                  <w:r>
                    <w:rPr>
                      <w:rFonts w:hint="eastAsia"/>
                      <w:szCs w:val="21"/>
                    </w:rPr>
                    <w:t>不涉及</w:t>
                  </w:r>
                  <w:r>
                    <w:rPr>
                      <w:kern w:val="0"/>
                      <w:szCs w:val="21"/>
                      <w:lang w:bidi="ar"/>
                    </w:rPr>
                    <w:t>工业废水直排</w:t>
                  </w:r>
                </w:p>
              </w:tc>
            </w:tr>
            <w:tr w14:paraId="0C22BE7F">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79" w:type="pct"/>
                  <w:vAlign w:val="center"/>
                </w:tcPr>
                <w:p w14:paraId="64CF7698">
                  <w:pPr>
                    <w:adjustRightInd w:val="0"/>
                    <w:snapToGrid w:val="0"/>
                    <w:jc w:val="center"/>
                    <w:rPr>
                      <w:szCs w:val="21"/>
                    </w:rPr>
                  </w:pPr>
                  <w:r>
                    <w:rPr>
                      <w:szCs w:val="21"/>
                    </w:rPr>
                    <w:t>环境风险</w:t>
                  </w:r>
                </w:p>
              </w:tc>
              <w:tc>
                <w:tcPr>
                  <w:tcW w:w="1924" w:type="pct"/>
                  <w:vAlign w:val="center"/>
                </w:tcPr>
                <w:p w14:paraId="06059936">
                  <w:pPr>
                    <w:widowControl/>
                    <w:adjustRightInd w:val="0"/>
                    <w:snapToGrid w:val="0"/>
                    <w:jc w:val="center"/>
                    <w:rPr>
                      <w:kern w:val="0"/>
                      <w:szCs w:val="21"/>
                      <w:lang w:bidi="ar"/>
                    </w:rPr>
                  </w:pPr>
                  <w:r>
                    <w:rPr>
                      <w:kern w:val="0"/>
                      <w:szCs w:val="21"/>
                      <w:lang w:bidi="ar"/>
                    </w:rPr>
                    <w:t>有毒有害和易燃易爆危险物质存储量超过临界量的建设项目</w:t>
                  </w:r>
                </w:p>
              </w:tc>
              <w:tc>
                <w:tcPr>
                  <w:tcW w:w="2195" w:type="pct"/>
                  <w:vAlign w:val="center"/>
                </w:tcPr>
                <w:p w14:paraId="1FD366FD">
                  <w:pPr>
                    <w:adjustRightInd w:val="0"/>
                    <w:snapToGrid w:val="0"/>
                    <w:jc w:val="center"/>
                    <w:rPr>
                      <w:szCs w:val="21"/>
                      <w:highlight w:val="green"/>
                    </w:rPr>
                  </w:pPr>
                  <w:r>
                    <w:rPr>
                      <w:szCs w:val="21"/>
                    </w:rPr>
                    <w:t>本项目不涉及储存量超临界量的</w:t>
                  </w:r>
                  <w:r>
                    <w:rPr>
                      <w:kern w:val="0"/>
                      <w:szCs w:val="21"/>
                      <w:lang w:bidi="ar"/>
                    </w:rPr>
                    <w:t>有毒有害</w:t>
                  </w:r>
                  <w:r>
                    <w:rPr>
                      <w:rFonts w:hint="eastAsia"/>
                      <w:kern w:val="0"/>
                      <w:szCs w:val="21"/>
                      <w:lang w:bidi="ar"/>
                    </w:rPr>
                    <w:t>及</w:t>
                  </w:r>
                  <w:r>
                    <w:rPr>
                      <w:kern w:val="0"/>
                      <w:szCs w:val="21"/>
                      <w:lang w:bidi="ar"/>
                    </w:rPr>
                    <w:t>易燃易爆</w:t>
                  </w:r>
                  <w:r>
                    <w:rPr>
                      <w:szCs w:val="21"/>
                    </w:rPr>
                    <w:t>危险物质</w:t>
                  </w:r>
                </w:p>
              </w:tc>
            </w:tr>
            <w:tr w14:paraId="7BAD969D">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79" w:type="pct"/>
                  <w:vAlign w:val="center"/>
                </w:tcPr>
                <w:p w14:paraId="2BF2C5A9">
                  <w:pPr>
                    <w:adjustRightInd w:val="0"/>
                    <w:snapToGrid w:val="0"/>
                    <w:jc w:val="center"/>
                    <w:rPr>
                      <w:szCs w:val="21"/>
                    </w:rPr>
                  </w:pPr>
                  <w:r>
                    <w:rPr>
                      <w:szCs w:val="21"/>
                    </w:rPr>
                    <w:t>生态</w:t>
                  </w:r>
                </w:p>
              </w:tc>
              <w:tc>
                <w:tcPr>
                  <w:tcW w:w="1924" w:type="pct"/>
                  <w:vAlign w:val="center"/>
                </w:tcPr>
                <w:p w14:paraId="1B95AEBA">
                  <w:pPr>
                    <w:widowControl/>
                    <w:adjustRightInd w:val="0"/>
                    <w:snapToGrid w:val="0"/>
                    <w:jc w:val="center"/>
                    <w:rPr>
                      <w:kern w:val="0"/>
                      <w:szCs w:val="21"/>
                      <w:lang w:bidi="ar"/>
                    </w:rPr>
                  </w:pPr>
                  <w:r>
                    <w:rPr>
                      <w:kern w:val="0"/>
                      <w:szCs w:val="21"/>
                      <w:lang w:bidi="ar"/>
                    </w:rPr>
                    <w:t>取水口下游500米范围内有重要水生生物的自然产卵场、索饵场、越冬场和洄游通道的新增河道取水的污染类建设项目</w:t>
                  </w:r>
                </w:p>
              </w:tc>
              <w:tc>
                <w:tcPr>
                  <w:tcW w:w="2195" w:type="pct"/>
                  <w:vAlign w:val="center"/>
                </w:tcPr>
                <w:p w14:paraId="585CD03D">
                  <w:pPr>
                    <w:adjustRightInd w:val="0"/>
                    <w:snapToGrid w:val="0"/>
                    <w:jc w:val="center"/>
                    <w:rPr>
                      <w:szCs w:val="21"/>
                      <w:highlight w:val="green"/>
                    </w:rPr>
                  </w:pPr>
                  <w:r>
                    <w:rPr>
                      <w:szCs w:val="21"/>
                    </w:rPr>
                    <w:t>不涉及</w:t>
                  </w:r>
                </w:p>
              </w:tc>
            </w:tr>
            <w:tr w14:paraId="15AE6607">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79" w:type="pct"/>
                  <w:vAlign w:val="center"/>
                </w:tcPr>
                <w:p w14:paraId="4D77F8CD">
                  <w:pPr>
                    <w:adjustRightInd w:val="0"/>
                    <w:snapToGrid w:val="0"/>
                    <w:jc w:val="center"/>
                    <w:rPr>
                      <w:szCs w:val="21"/>
                    </w:rPr>
                  </w:pPr>
                  <w:r>
                    <w:rPr>
                      <w:szCs w:val="21"/>
                    </w:rPr>
                    <w:t>海洋</w:t>
                  </w:r>
                </w:p>
              </w:tc>
              <w:tc>
                <w:tcPr>
                  <w:tcW w:w="1924" w:type="pct"/>
                  <w:vAlign w:val="center"/>
                </w:tcPr>
                <w:p w14:paraId="0E909C61">
                  <w:pPr>
                    <w:widowControl/>
                    <w:adjustRightInd w:val="0"/>
                    <w:snapToGrid w:val="0"/>
                    <w:jc w:val="center"/>
                    <w:rPr>
                      <w:kern w:val="0"/>
                      <w:szCs w:val="21"/>
                      <w:lang w:bidi="ar"/>
                    </w:rPr>
                  </w:pPr>
                  <w:r>
                    <w:rPr>
                      <w:kern w:val="0"/>
                      <w:szCs w:val="21"/>
                      <w:lang w:bidi="ar"/>
                    </w:rPr>
                    <w:t>直接向海排放污染物的海洋工程建设项目</w:t>
                  </w:r>
                </w:p>
              </w:tc>
              <w:tc>
                <w:tcPr>
                  <w:tcW w:w="2195" w:type="pct"/>
                  <w:vAlign w:val="center"/>
                </w:tcPr>
                <w:p w14:paraId="5CCBE8CA">
                  <w:pPr>
                    <w:adjustRightInd w:val="0"/>
                    <w:snapToGrid w:val="0"/>
                    <w:jc w:val="center"/>
                    <w:rPr>
                      <w:szCs w:val="21"/>
                      <w:highlight w:val="green"/>
                    </w:rPr>
                  </w:pPr>
                  <w:r>
                    <w:rPr>
                      <w:szCs w:val="21"/>
                    </w:rPr>
                    <w:t>不涉及</w:t>
                  </w:r>
                </w:p>
              </w:tc>
            </w:tr>
          </w:tbl>
          <w:p w14:paraId="5E8CC972">
            <w:pPr>
              <w:autoSpaceDE w:val="0"/>
              <w:autoSpaceDN w:val="0"/>
              <w:adjustRightInd w:val="0"/>
              <w:snapToGrid w:val="0"/>
              <w:ind w:firstLine="480" w:firstLineChars="200"/>
              <w:jc w:val="left"/>
              <w:rPr>
                <w:kern w:val="0"/>
                <w:sz w:val="24"/>
              </w:rPr>
            </w:pPr>
            <w:r>
              <w:rPr>
                <w:sz w:val="24"/>
              </w:rPr>
              <w:t>根据上表可知，本项目无需进行专项评价。</w:t>
            </w:r>
          </w:p>
        </w:tc>
      </w:tr>
      <w:tr w14:paraId="259F6C6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98" w:hRule="atLeast"/>
          <w:jc w:val="center"/>
        </w:trPr>
        <w:tc>
          <w:tcPr>
            <w:tcW w:w="631" w:type="pct"/>
            <w:vAlign w:val="center"/>
          </w:tcPr>
          <w:p w14:paraId="0E6FC479">
            <w:pPr>
              <w:autoSpaceDE w:val="0"/>
              <w:autoSpaceDN w:val="0"/>
              <w:adjustRightInd w:val="0"/>
              <w:snapToGrid w:val="0"/>
              <w:jc w:val="center"/>
              <w:rPr>
                <w:kern w:val="0"/>
                <w:sz w:val="24"/>
              </w:rPr>
            </w:pPr>
            <w:r>
              <w:rPr>
                <w:sz w:val="24"/>
              </w:rPr>
              <w:t>规划情况</w:t>
            </w:r>
          </w:p>
        </w:tc>
        <w:tc>
          <w:tcPr>
            <w:tcW w:w="4368" w:type="pct"/>
            <w:gridSpan w:val="3"/>
            <w:vAlign w:val="center"/>
          </w:tcPr>
          <w:p w14:paraId="70D10D54">
            <w:pPr>
              <w:pStyle w:val="2"/>
              <w:tabs>
                <w:tab w:val="left" w:pos="1321"/>
                <w:tab w:val="center" w:pos="3485"/>
              </w:tabs>
              <w:adjustRightInd w:val="0"/>
              <w:spacing w:line="360" w:lineRule="auto"/>
              <w:jc w:val="both"/>
              <w:rPr>
                <w:sz w:val="24"/>
                <w:szCs w:val="24"/>
              </w:rPr>
            </w:pPr>
            <w:r>
              <w:rPr>
                <w:b/>
                <w:bCs/>
                <w:sz w:val="24"/>
                <w:szCs w:val="24"/>
                <w:lang w:bidi="ar"/>
              </w:rPr>
              <w:t>文件名称：</w:t>
            </w:r>
            <w:r>
              <w:rPr>
                <w:sz w:val="24"/>
                <w:szCs w:val="24"/>
              </w:rPr>
              <w:t>《</w:t>
            </w:r>
            <w:r>
              <w:rPr>
                <w:rFonts w:hint="eastAsia"/>
                <w:sz w:val="24"/>
                <w:szCs w:val="24"/>
              </w:rPr>
              <w:t>北票市国土空间总体</w:t>
            </w:r>
            <w:r>
              <w:rPr>
                <w:sz w:val="24"/>
                <w:szCs w:val="24"/>
              </w:rPr>
              <w:t>规划（20</w:t>
            </w:r>
            <w:r>
              <w:rPr>
                <w:rFonts w:hint="eastAsia"/>
                <w:sz w:val="24"/>
                <w:szCs w:val="24"/>
              </w:rPr>
              <w:t>21</w:t>
            </w:r>
            <w:r>
              <w:rPr>
                <w:sz w:val="24"/>
                <w:szCs w:val="24"/>
              </w:rPr>
              <w:t>-2035）》</w:t>
            </w:r>
          </w:p>
          <w:p w14:paraId="1EF93246">
            <w:pPr>
              <w:spacing w:line="360" w:lineRule="auto"/>
              <w:rPr>
                <w:rFonts w:hint="eastAsia" w:ascii="宋体" w:hAnsi="宋体" w:cs="宋体"/>
                <w:color w:val="000000"/>
                <w:sz w:val="24"/>
                <w:shd w:val="clear" w:color="auto" w:fill="FFFFFF"/>
              </w:rPr>
            </w:pPr>
            <w:r>
              <w:rPr>
                <w:b/>
                <w:bCs/>
                <w:kern w:val="0"/>
                <w:sz w:val="24"/>
                <w:lang w:bidi="ar"/>
              </w:rPr>
              <w:t>审批机关：</w:t>
            </w:r>
            <w:r>
              <w:rPr>
                <w:rFonts w:hint="eastAsia" w:ascii="宋体" w:hAnsi="宋体" w:cs="宋体"/>
                <w:color w:val="000000"/>
                <w:sz w:val="24"/>
                <w:shd w:val="clear" w:color="auto" w:fill="FFFFFF"/>
              </w:rPr>
              <w:t>辽宁省人民政府</w:t>
            </w:r>
          </w:p>
          <w:p w14:paraId="590A6A7D">
            <w:pPr>
              <w:spacing w:line="360" w:lineRule="auto"/>
              <w:rPr>
                <w:sz w:val="24"/>
              </w:rPr>
            </w:pPr>
            <w:r>
              <w:rPr>
                <w:b/>
                <w:bCs/>
                <w:kern w:val="0"/>
                <w:sz w:val="24"/>
                <w:lang w:bidi="ar"/>
              </w:rPr>
              <w:t>审批文件名称：</w:t>
            </w:r>
            <w:r>
              <w:rPr>
                <w:sz w:val="24"/>
              </w:rPr>
              <w:t>《</w:t>
            </w:r>
            <w:r>
              <w:rPr>
                <w:kern w:val="0"/>
                <w:sz w:val="24"/>
                <w:lang w:bidi="ar"/>
              </w:rPr>
              <w:t>辽宁省人民政府关于北票市、凌源市、朝阳县、建平县、喀喇沁左翼蒙古族自治县国土空间总体规划（2021—2035年）的批复</w:t>
            </w:r>
            <w:r>
              <w:rPr>
                <w:sz w:val="24"/>
              </w:rPr>
              <w:t>》</w:t>
            </w:r>
          </w:p>
          <w:p w14:paraId="7FA42D0D">
            <w:pPr>
              <w:pStyle w:val="30"/>
              <w:spacing w:before="0" w:beforeAutospacing="0" w:after="0" w:afterAutospacing="0" w:line="360" w:lineRule="auto"/>
              <w:jc w:val="both"/>
              <w:rPr>
                <w:rFonts w:hint="eastAsia" w:cs="宋体"/>
                <w:color w:val="000000"/>
                <w:szCs w:val="24"/>
              </w:rPr>
            </w:pPr>
            <w:r>
              <w:rPr>
                <w:rFonts w:ascii="Times New Roman" w:hAnsi="Times New Roman"/>
                <w:b/>
                <w:bCs/>
                <w:szCs w:val="24"/>
                <w:lang w:bidi="ar"/>
              </w:rPr>
              <w:t>审查文件文号：</w:t>
            </w:r>
            <w:r>
              <w:rPr>
                <w:rFonts w:hint="eastAsia" w:cs="宋体"/>
                <w:color w:val="000000"/>
                <w:szCs w:val="24"/>
              </w:rPr>
              <w:t>辽政〔2024〕77号</w:t>
            </w:r>
          </w:p>
          <w:p w14:paraId="58613E49">
            <w:pPr>
              <w:spacing w:line="360" w:lineRule="auto"/>
              <w:rPr>
                <w:sz w:val="24"/>
              </w:rPr>
            </w:pPr>
            <w:r>
              <w:rPr>
                <w:b/>
                <w:bCs/>
                <w:kern w:val="0"/>
                <w:sz w:val="24"/>
                <w:lang w:bidi="ar"/>
              </w:rPr>
              <w:t>审查时间：</w:t>
            </w:r>
            <w:r>
              <w:rPr>
                <w:rFonts w:hint="eastAsia" w:ascii="宋体" w:hAnsi="宋体" w:cs="宋体"/>
                <w:color w:val="000000"/>
                <w:sz w:val="24"/>
                <w:shd w:val="clear" w:color="auto" w:fill="FFFFFF"/>
              </w:rPr>
              <w:t>2024年6月27日</w:t>
            </w:r>
          </w:p>
        </w:tc>
      </w:tr>
      <w:tr w14:paraId="6662D94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514" w:hRule="atLeast"/>
          <w:jc w:val="center"/>
        </w:trPr>
        <w:tc>
          <w:tcPr>
            <w:tcW w:w="631" w:type="pct"/>
            <w:vAlign w:val="center"/>
          </w:tcPr>
          <w:p w14:paraId="700DBAB9">
            <w:pPr>
              <w:autoSpaceDE w:val="0"/>
              <w:autoSpaceDN w:val="0"/>
              <w:adjustRightInd w:val="0"/>
              <w:snapToGrid w:val="0"/>
              <w:jc w:val="center"/>
              <w:rPr>
                <w:kern w:val="0"/>
                <w:sz w:val="24"/>
              </w:rPr>
            </w:pPr>
            <w:r>
              <w:rPr>
                <w:kern w:val="0"/>
                <w:sz w:val="24"/>
              </w:rPr>
              <w:t>规划环境影响评价情况</w:t>
            </w:r>
          </w:p>
        </w:tc>
        <w:tc>
          <w:tcPr>
            <w:tcW w:w="4368" w:type="pct"/>
            <w:gridSpan w:val="3"/>
            <w:vAlign w:val="center"/>
          </w:tcPr>
          <w:p w14:paraId="59C14437">
            <w:pPr>
              <w:pStyle w:val="22"/>
              <w:adjustRightInd w:val="0"/>
              <w:snapToGrid w:val="0"/>
              <w:spacing w:line="500" w:lineRule="exact"/>
              <w:ind w:right="113" w:firstLine="0" w:firstLineChars="0"/>
              <w:jc w:val="center"/>
              <w:rPr>
                <w:rFonts w:eastAsia="宋体"/>
                <w:kern w:val="0"/>
                <w:sz w:val="24"/>
              </w:rPr>
            </w:pPr>
            <w:r>
              <w:rPr>
                <w:rFonts w:hint="eastAsia" w:eastAsia="宋体"/>
                <w:kern w:val="0"/>
                <w:sz w:val="24"/>
              </w:rPr>
              <w:t>无</w:t>
            </w:r>
          </w:p>
        </w:tc>
      </w:tr>
      <w:tr w14:paraId="200C8F1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31" w:type="pct"/>
            <w:vAlign w:val="center"/>
          </w:tcPr>
          <w:p w14:paraId="793771AE">
            <w:pPr>
              <w:autoSpaceDE w:val="0"/>
              <w:autoSpaceDN w:val="0"/>
              <w:adjustRightInd w:val="0"/>
              <w:snapToGrid w:val="0"/>
              <w:jc w:val="center"/>
              <w:rPr>
                <w:kern w:val="0"/>
                <w:szCs w:val="21"/>
              </w:rPr>
            </w:pPr>
            <w:r>
              <w:rPr>
                <w:kern w:val="0"/>
                <w:sz w:val="24"/>
              </w:rPr>
              <w:t>规划及规划环境影响评价符合性分析</w:t>
            </w:r>
          </w:p>
        </w:tc>
        <w:tc>
          <w:tcPr>
            <w:tcW w:w="4368" w:type="pct"/>
            <w:gridSpan w:val="3"/>
            <w:vAlign w:val="center"/>
          </w:tcPr>
          <w:p w14:paraId="5F111313">
            <w:pPr>
              <w:pStyle w:val="116"/>
              <w:spacing w:before="38" w:line="345" w:lineRule="auto"/>
              <w:ind w:right="173"/>
              <w:rPr>
                <w:rFonts w:ascii="Times New Roman" w:hAnsi="Times New Roman" w:cs="Times New Roman"/>
                <w:b/>
                <w:bCs/>
                <w:color w:val="FF0000"/>
                <w:kern w:val="0"/>
                <w:lang w:eastAsia="zh-CN" w:bidi="ar"/>
              </w:rPr>
            </w:pPr>
            <w:r>
              <w:rPr>
                <w:rFonts w:ascii="Times New Roman" w:hAnsi="Times New Roman" w:cs="Times New Roman"/>
                <w:b/>
                <w:bCs/>
                <w:color w:val="FF0000"/>
                <w:kern w:val="0"/>
                <w:lang w:eastAsia="zh-CN" w:bidi="ar"/>
              </w:rPr>
              <w:t>1</w:t>
            </w:r>
            <w:r>
              <w:rPr>
                <w:rFonts w:hint="eastAsia" w:ascii="Times New Roman" w:hAnsi="Times New Roman" w:cs="Times New Roman"/>
                <w:b/>
                <w:bCs/>
                <w:color w:val="FF0000"/>
                <w:kern w:val="0"/>
                <w:lang w:eastAsia="zh-CN" w:bidi="ar"/>
              </w:rPr>
              <w:t>.</w:t>
            </w:r>
            <w:r>
              <w:rPr>
                <w:rFonts w:ascii="Times New Roman" w:hAnsi="Times New Roman" w:cs="Times New Roman"/>
                <w:b/>
                <w:bCs/>
                <w:color w:val="FF0000"/>
                <w:kern w:val="0"/>
                <w:lang w:eastAsia="zh-CN" w:bidi="ar"/>
              </w:rPr>
              <w:t>与《北票市国土空间总体规划（2021-2035）》符合性分析</w:t>
            </w:r>
          </w:p>
          <w:p w14:paraId="3AF4EA8A">
            <w:pPr>
              <w:pStyle w:val="116"/>
              <w:spacing w:before="38" w:line="360" w:lineRule="auto"/>
              <w:ind w:right="173" w:firstLine="480" w:firstLineChars="200"/>
              <w:rPr>
                <w:rFonts w:hint="default" w:ascii="Times New Roman" w:hAnsi="Times New Roman" w:cs="Times New Roman"/>
                <w:b/>
                <w:bCs/>
                <w:color w:val="FF0000"/>
                <w:kern w:val="0"/>
                <w:lang w:eastAsia="zh-CN" w:bidi="ar"/>
              </w:rPr>
            </w:pPr>
            <w:r>
              <w:rPr>
                <w:rFonts w:hint="default" w:ascii="Times New Roman" w:hAnsi="Times New Roman" w:eastAsia="宋体" w:cs="Times New Roman"/>
                <w:b w:val="0"/>
                <w:bCs w:val="0"/>
                <w:color w:val="FF0000"/>
                <w:kern w:val="0"/>
                <w:sz w:val="24"/>
                <w:szCs w:val="24"/>
                <w:lang w:val="en-US" w:eastAsia="zh-CN" w:bidi="ar-SA"/>
              </w:rPr>
              <w:t>以下所列条目及规定均为本项目涉及内容。</w:t>
            </w:r>
          </w:p>
          <w:p w14:paraId="030D01D7">
            <w:pPr>
              <w:adjustRightInd w:val="0"/>
              <w:snapToGrid w:val="0"/>
              <w:spacing w:line="360" w:lineRule="auto"/>
              <w:ind w:firstLine="480" w:firstLineChars="200"/>
              <w:rPr>
                <w:rStyle w:val="41"/>
                <w:rFonts w:hint="default" w:ascii="Times New Roman" w:hAnsi="Times New Roman" w:eastAsia="宋体" w:cs="Times New Roman"/>
                <w:color w:val="FF0000"/>
                <w:kern w:val="2"/>
                <w:sz w:val="24"/>
                <w:szCs w:val="24"/>
                <w:lang w:val="en-US" w:eastAsia="zh-CN" w:bidi="ar-SA"/>
              </w:rPr>
            </w:pPr>
            <w:r>
              <w:rPr>
                <w:rStyle w:val="41"/>
                <w:rFonts w:hint="eastAsia" w:ascii="Times New Roman" w:hAnsi="Times New Roman" w:eastAsia="宋体" w:cs="Times New Roman"/>
                <w:color w:val="FF0000"/>
                <w:kern w:val="2"/>
                <w:sz w:val="24"/>
                <w:szCs w:val="24"/>
                <w:lang w:val="en-US" w:eastAsia="zh-CN" w:bidi="ar-SA"/>
              </w:rPr>
              <w:t>（1）</w:t>
            </w:r>
            <w:r>
              <w:rPr>
                <w:rStyle w:val="41"/>
                <w:rFonts w:hint="default" w:ascii="Times New Roman" w:hAnsi="Times New Roman" w:eastAsia="宋体" w:cs="Times New Roman"/>
                <w:color w:val="FF0000"/>
                <w:kern w:val="2"/>
                <w:sz w:val="24"/>
                <w:szCs w:val="24"/>
                <w:lang w:val="en-US" w:eastAsia="zh-CN" w:bidi="ar-SA"/>
              </w:rPr>
              <w:t>空间格局与功能定位</w:t>
            </w:r>
          </w:p>
          <w:p w14:paraId="38729477">
            <w:pPr>
              <w:pStyle w:val="30"/>
              <w:keepNext w:val="0"/>
              <w:keepLines w:val="0"/>
              <w:widowControl/>
              <w:suppressLineNumbers w:val="0"/>
              <w:spacing w:before="0" w:beforeAutospacing="0" w:after="0" w:afterAutospacing="0" w:line="360" w:lineRule="auto"/>
              <w:ind w:left="0" w:right="0" w:firstLine="480" w:firstLineChars="200"/>
              <w:rPr>
                <w:rStyle w:val="41"/>
                <w:rFonts w:hint="default" w:ascii="Times New Roman" w:hAnsi="Times New Roman" w:eastAsia="宋体" w:cs="Times New Roman"/>
                <w:color w:val="FF0000"/>
                <w:kern w:val="2"/>
                <w:sz w:val="24"/>
                <w:szCs w:val="24"/>
                <w:lang w:val="en-US" w:eastAsia="zh-CN" w:bidi="ar-SA"/>
              </w:rPr>
            </w:pPr>
            <w:r>
              <w:rPr>
                <w:rStyle w:val="41"/>
                <w:rFonts w:hint="default" w:ascii="Times New Roman" w:hAnsi="Times New Roman" w:eastAsia="宋体" w:cs="Times New Roman"/>
                <w:color w:val="FF0000"/>
                <w:kern w:val="2"/>
                <w:sz w:val="24"/>
                <w:szCs w:val="24"/>
                <w:lang w:val="en-US" w:eastAsia="zh-CN" w:bidi="ar-SA"/>
              </w:rPr>
              <w:t>规划要求（3.1节）：中心城区（“一核”）作为全域产业升级核心，发展高效集约型产业。</w:t>
            </w:r>
          </w:p>
          <w:p w14:paraId="1E00206C">
            <w:pPr>
              <w:pStyle w:val="30"/>
              <w:keepNext w:val="0"/>
              <w:keepLines w:val="0"/>
              <w:widowControl/>
              <w:suppressLineNumbers w:val="0"/>
              <w:spacing w:before="0" w:beforeAutospacing="0" w:after="0" w:afterAutospacing="0" w:line="360" w:lineRule="auto"/>
              <w:ind w:left="0" w:right="0" w:firstLine="480" w:firstLineChars="200"/>
              <w:rPr>
                <w:rStyle w:val="41"/>
                <w:rFonts w:hint="default" w:ascii="Times New Roman" w:hAnsi="Times New Roman" w:eastAsia="宋体" w:cs="Times New Roman"/>
                <w:color w:val="FF0000"/>
                <w:kern w:val="2"/>
                <w:sz w:val="24"/>
                <w:szCs w:val="24"/>
                <w:lang w:val="en-US" w:eastAsia="zh-CN" w:bidi="ar-SA"/>
              </w:rPr>
            </w:pPr>
            <w:r>
              <w:rPr>
                <w:rStyle w:val="41"/>
                <w:rFonts w:hint="default" w:ascii="Times New Roman" w:hAnsi="Times New Roman" w:eastAsia="宋体" w:cs="Times New Roman"/>
                <w:color w:val="FF0000"/>
                <w:kern w:val="2"/>
                <w:sz w:val="24"/>
                <w:szCs w:val="24"/>
                <w:lang w:val="en-US" w:eastAsia="zh-CN" w:bidi="ar-SA"/>
              </w:rPr>
              <w:t>项目符合性：本项目位于</w:t>
            </w:r>
            <w:r>
              <w:rPr>
                <w:color w:val="FF0000"/>
                <w:sz w:val="24"/>
              </w:rPr>
              <w:t>辽宁省朝阳市北票市宝锦线凉水河北侧3幢01023</w:t>
            </w:r>
            <w:r>
              <w:rPr>
                <w:rStyle w:val="41"/>
                <w:rFonts w:hint="default" w:ascii="Times New Roman" w:hAnsi="Times New Roman" w:eastAsia="宋体" w:cs="Times New Roman"/>
                <w:color w:val="FF0000"/>
                <w:kern w:val="2"/>
                <w:sz w:val="24"/>
                <w:szCs w:val="24"/>
                <w:lang w:val="en-US" w:eastAsia="zh-CN" w:bidi="ar-SA"/>
              </w:rPr>
              <w:t>，从事报废机动车拆解（</w:t>
            </w:r>
            <w:r>
              <w:rPr>
                <w:color w:val="FF0000"/>
                <w:sz w:val="24"/>
              </w:rPr>
              <w:t>废弃资源综合利用业</w:t>
            </w:r>
            <w:r>
              <w:rPr>
                <w:rStyle w:val="41"/>
                <w:rFonts w:hint="default" w:ascii="Times New Roman" w:hAnsi="Times New Roman" w:eastAsia="宋体" w:cs="Times New Roman"/>
                <w:color w:val="FF0000"/>
                <w:kern w:val="2"/>
                <w:sz w:val="24"/>
                <w:szCs w:val="24"/>
                <w:lang w:val="en-US" w:eastAsia="zh-CN" w:bidi="ar-SA"/>
              </w:rPr>
              <w:t>），符合核心区产业升级导向，未新增开发边界</w:t>
            </w:r>
            <w:r>
              <w:rPr>
                <w:rStyle w:val="41"/>
                <w:rFonts w:hint="eastAsia" w:ascii="Times New Roman" w:hAnsi="Times New Roman" w:eastAsia="宋体" w:cs="Times New Roman"/>
                <w:color w:val="FF0000"/>
                <w:kern w:val="2"/>
                <w:sz w:val="24"/>
                <w:szCs w:val="24"/>
                <w:lang w:val="en-US" w:eastAsia="zh-CN" w:bidi="ar-SA"/>
              </w:rPr>
              <w:t>，符合规划要求。</w:t>
            </w:r>
          </w:p>
          <w:p w14:paraId="360D46C8">
            <w:pPr>
              <w:pStyle w:val="30"/>
              <w:keepNext w:val="0"/>
              <w:keepLines w:val="0"/>
              <w:widowControl/>
              <w:suppressLineNumbers w:val="0"/>
              <w:spacing w:before="0" w:beforeAutospacing="0" w:after="0" w:afterAutospacing="0" w:line="360" w:lineRule="auto"/>
              <w:ind w:left="0" w:right="0" w:firstLine="480" w:firstLineChars="200"/>
              <w:rPr>
                <w:rStyle w:val="41"/>
                <w:rFonts w:hint="default" w:ascii="Times New Roman" w:hAnsi="Times New Roman" w:eastAsia="宋体" w:cs="Times New Roman"/>
                <w:color w:val="FF0000"/>
                <w:kern w:val="2"/>
                <w:sz w:val="24"/>
                <w:szCs w:val="24"/>
                <w:lang w:val="en-US" w:eastAsia="zh-CN" w:bidi="ar-SA"/>
              </w:rPr>
            </w:pPr>
            <w:r>
              <w:rPr>
                <w:rStyle w:val="41"/>
                <w:rFonts w:hint="default" w:ascii="Times New Roman" w:hAnsi="Times New Roman" w:eastAsia="宋体" w:cs="Times New Roman"/>
                <w:color w:val="FF0000"/>
                <w:kern w:val="2"/>
                <w:sz w:val="24"/>
                <w:szCs w:val="24"/>
                <w:lang w:val="en-US" w:eastAsia="zh-CN" w:bidi="ar-SA"/>
              </w:rPr>
              <w:t>规划要求（3.5节）：城镇空间集聚需严守开发边界，中心城区优先布局环保型产业。</w:t>
            </w:r>
          </w:p>
          <w:p w14:paraId="09DC7ADA">
            <w:pPr>
              <w:pStyle w:val="30"/>
              <w:keepNext w:val="0"/>
              <w:keepLines w:val="0"/>
              <w:widowControl/>
              <w:suppressLineNumbers w:val="0"/>
              <w:spacing w:before="0" w:beforeAutospacing="0" w:after="0" w:afterAutospacing="0" w:line="360" w:lineRule="auto"/>
              <w:ind w:left="0" w:right="0" w:firstLine="480" w:firstLineChars="200"/>
              <w:rPr>
                <w:rStyle w:val="41"/>
                <w:rFonts w:hint="default" w:ascii="Times New Roman" w:hAnsi="Times New Roman" w:eastAsia="宋体" w:cs="Times New Roman"/>
                <w:color w:val="FF0000"/>
                <w:kern w:val="2"/>
                <w:sz w:val="24"/>
                <w:szCs w:val="24"/>
                <w:lang w:val="en-US" w:eastAsia="zh-CN" w:bidi="ar-SA"/>
              </w:rPr>
            </w:pPr>
            <w:r>
              <w:rPr>
                <w:rStyle w:val="41"/>
                <w:rFonts w:hint="default" w:ascii="Times New Roman" w:hAnsi="Times New Roman" w:eastAsia="宋体" w:cs="Times New Roman"/>
                <w:color w:val="FF0000"/>
                <w:kern w:val="2"/>
                <w:sz w:val="24"/>
                <w:szCs w:val="24"/>
                <w:lang w:val="en-US" w:eastAsia="zh-CN" w:bidi="ar-SA"/>
              </w:rPr>
              <w:t>项目符合性：租用存量厂房（</w:t>
            </w:r>
            <w:r>
              <w:rPr>
                <w:rStyle w:val="41"/>
                <w:rFonts w:hint="eastAsia" w:ascii="Times New Roman" w:hAnsi="Times New Roman" w:eastAsia="宋体" w:cs="Times New Roman"/>
                <w:color w:val="FF0000"/>
                <w:kern w:val="2"/>
                <w:sz w:val="24"/>
                <w:szCs w:val="24"/>
                <w:lang w:val="en-US" w:eastAsia="zh-CN" w:bidi="ar-SA"/>
              </w:rPr>
              <w:t>土地使用证地号为0060370017</w:t>
            </w:r>
            <w:r>
              <w:rPr>
                <w:rStyle w:val="41"/>
                <w:rFonts w:hint="default" w:ascii="Times New Roman" w:hAnsi="Times New Roman" w:eastAsia="宋体" w:cs="Times New Roman"/>
                <w:color w:val="FF0000"/>
                <w:kern w:val="2"/>
                <w:sz w:val="24"/>
                <w:szCs w:val="24"/>
                <w:lang w:val="en-US" w:eastAsia="zh-CN" w:bidi="ar-SA"/>
              </w:rPr>
              <w:t>），用地性质为工业用地且位于城镇开发边界内；属《产业结构调整目录（2024年本）》“鼓励类”资源综合利用产业</w:t>
            </w:r>
            <w:r>
              <w:rPr>
                <w:rStyle w:val="41"/>
                <w:rFonts w:hint="eastAsia" w:ascii="Times New Roman" w:hAnsi="Times New Roman" w:eastAsia="宋体" w:cs="Times New Roman"/>
                <w:color w:val="FF0000"/>
                <w:kern w:val="2"/>
                <w:sz w:val="24"/>
                <w:szCs w:val="24"/>
                <w:lang w:val="en-US" w:eastAsia="zh-CN" w:bidi="ar-SA"/>
              </w:rPr>
              <w:t>，符合规划要求。</w:t>
            </w:r>
          </w:p>
          <w:p w14:paraId="3C3CA7BF">
            <w:pPr>
              <w:adjustRightInd w:val="0"/>
              <w:snapToGrid w:val="0"/>
              <w:spacing w:line="360" w:lineRule="auto"/>
              <w:ind w:firstLine="480" w:firstLineChars="200"/>
              <w:rPr>
                <w:rStyle w:val="41"/>
                <w:rFonts w:hint="eastAsia" w:ascii="Times New Roman" w:hAnsi="Times New Roman" w:eastAsia="宋体" w:cs="Times New Roman"/>
                <w:color w:val="FF0000"/>
                <w:kern w:val="2"/>
                <w:sz w:val="24"/>
                <w:szCs w:val="24"/>
                <w:lang w:val="en-US" w:eastAsia="zh-CN" w:bidi="ar-SA"/>
              </w:rPr>
            </w:pPr>
            <w:r>
              <w:rPr>
                <w:rStyle w:val="41"/>
                <w:rFonts w:hint="eastAsia" w:ascii="Times New Roman" w:hAnsi="Times New Roman" w:eastAsia="宋体" w:cs="Times New Roman"/>
                <w:color w:val="FF0000"/>
                <w:kern w:val="2"/>
                <w:sz w:val="24"/>
                <w:szCs w:val="24"/>
                <w:lang w:val="en-US" w:eastAsia="zh-CN" w:bidi="ar-SA"/>
              </w:rPr>
              <w:t>（2）</w:t>
            </w:r>
            <w:r>
              <w:rPr>
                <w:rStyle w:val="41"/>
                <w:rFonts w:hint="default" w:ascii="Times New Roman" w:hAnsi="Times New Roman" w:eastAsia="宋体" w:cs="Times New Roman"/>
                <w:color w:val="FF0000"/>
                <w:kern w:val="2"/>
                <w:sz w:val="24"/>
                <w:szCs w:val="24"/>
                <w:lang w:val="en-US" w:eastAsia="zh-CN" w:bidi="ar-SA"/>
              </w:rPr>
              <w:t>生态保护与三条控制线</w:t>
            </w:r>
          </w:p>
          <w:p w14:paraId="11C0AC81">
            <w:pPr>
              <w:adjustRightInd w:val="0"/>
              <w:snapToGrid w:val="0"/>
              <w:spacing w:line="360" w:lineRule="auto"/>
              <w:ind w:firstLine="480" w:firstLineChars="200"/>
              <w:rPr>
                <w:rStyle w:val="41"/>
                <w:rFonts w:hint="default" w:ascii="Times New Roman" w:hAnsi="Times New Roman" w:eastAsia="宋体" w:cs="Times New Roman"/>
                <w:color w:val="FF0000"/>
                <w:kern w:val="2"/>
                <w:sz w:val="24"/>
                <w:szCs w:val="24"/>
                <w:lang w:val="en-US" w:eastAsia="zh-CN" w:bidi="ar-SA"/>
              </w:rPr>
            </w:pPr>
            <w:r>
              <w:rPr>
                <w:rStyle w:val="41"/>
                <w:rFonts w:hint="default" w:ascii="Times New Roman" w:hAnsi="Times New Roman" w:eastAsia="宋体" w:cs="Times New Roman"/>
                <w:color w:val="FF0000"/>
                <w:kern w:val="2"/>
                <w:sz w:val="24"/>
                <w:szCs w:val="24"/>
                <w:lang w:val="en-US" w:eastAsia="zh-CN" w:bidi="ar-SA"/>
              </w:rPr>
              <w:t>规划要求（2.3节）：“两山生态战略”要求保护大黑山、白石水库生态网络，严控周边开发。</w:t>
            </w:r>
          </w:p>
          <w:p w14:paraId="1F21EE3E">
            <w:pPr>
              <w:adjustRightInd w:val="0"/>
              <w:snapToGrid w:val="0"/>
              <w:spacing w:line="360" w:lineRule="auto"/>
              <w:ind w:firstLine="480" w:firstLineChars="200"/>
              <w:rPr>
                <w:rStyle w:val="41"/>
                <w:rFonts w:hint="eastAsia" w:ascii="Times New Roman" w:hAnsi="Times New Roman" w:eastAsia="宋体" w:cs="Times New Roman"/>
                <w:color w:val="FF0000"/>
                <w:kern w:val="2"/>
                <w:sz w:val="24"/>
                <w:szCs w:val="24"/>
                <w:lang w:val="en-US" w:eastAsia="zh-CN" w:bidi="ar-SA"/>
              </w:rPr>
            </w:pPr>
            <w:r>
              <w:rPr>
                <w:rStyle w:val="41"/>
                <w:rFonts w:hint="default" w:ascii="Times New Roman" w:hAnsi="Times New Roman" w:eastAsia="宋体" w:cs="Times New Roman"/>
                <w:color w:val="FF0000"/>
                <w:kern w:val="2"/>
                <w:sz w:val="24"/>
                <w:szCs w:val="24"/>
                <w:lang w:val="en-US" w:eastAsia="zh-CN" w:bidi="ar-SA"/>
              </w:rPr>
              <w:t>项目符合性：项目距大黑山保护区27km、白石水库水源保护区2.88km（非一级保护区）；采用封闭式防渗车间工艺，无露天作业，生态扰动可控</w:t>
            </w:r>
            <w:r>
              <w:rPr>
                <w:rStyle w:val="41"/>
                <w:rFonts w:hint="eastAsia" w:ascii="Times New Roman" w:hAnsi="Times New Roman" w:eastAsia="宋体" w:cs="Times New Roman"/>
                <w:color w:val="FF0000"/>
                <w:kern w:val="2"/>
                <w:sz w:val="24"/>
                <w:szCs w:val="24"/>
                <w:lang w:val="en-US" w:eastAsia="zh-CN" w:bidi="ar-SA"/>
              </w:rPr>
              <w:t>，符合规划要求。</w:t>
            </w:r>
          </w:p>
          <w:p w14:paraId="7D2D6F7E">
            <w:pPr>
              <w:adjustRightInd w:val="0"/>
              <w:snapToGrid w:val="0"/>
              <w:spacing w:line="360" w:lineRule="auto"/>
              <w:ind w:firstLine="480" w:firstLineChars="200"/>
              <w:rPr>
                <w:rStyle w:val="41"/>
                <w:rFonts w:hint="default" w:ascii="Times New Roman" w:hAnsi="Times New Roman" w:eastAsia="宋体" w:cs="Times New Roman"/>
                <w:color w:val="FF0000"/>
                <w:kern w:val="2"/>
                <w:sz w:val="24"/>
                <w:szCs w:val="24"/>
                <w:lang w:val="en-US" w:eastAsia="zh-CN" w:bidi="ar-SA"/>
              </w:rPr>
            </w:pPr>
            <w:r>
              <w:rPr>
                <w:rStyle w:val="41"/>
                <w:rFonts w:hint="default" w:ascii="Times New Roman" w:hAnsi="Times New Roman" w:eastAsia="宋体" w:cs="Times New Roman"/>
                <w:color w:val="FF0000"/>
                <w:kern w:val="2"/>
                <w:sz w:val="24"/>
                <w:szCs w:val="24"/>
                <w:lang w:val="en-US" w:eastAsia="zh-CN" w:bidi="ar-SA"/>
              </w:rPr>
              <w:t>规划要求（3.2节）：永久基本农田禁止占用，生态保护红线仅允许低干扰活动。</w:t>
            </w:r>
          </w:p>
          <w:p w14:paraId="1B48C046">
            <w:pPr>
              <w:adjustRightInd w:val="0"/>
              <w:snapToGrid w:val="0"/>
              <w:spacing w:line="360" w:lineRule="auto"/>
              <w:ind w:firstLine="480" w:firstLineChars="200"/>
              <w:rPr>
                <w:rStyle w:val="41"/>
                <w:rFonts w:hint="default" w:ascii="Times New Roman" w:hAnsi="Times New Roman" w:eastAsia="宋体" w:cs="Times New Roman"/>
                <w:color w:val="FF0000"/>
                <w:kern w:val="2"/>
                <w:sz w:val="24"/>
                <w:szCs w:val="24"/>
                <w:lang w:val="en-US" w:eastAsia="zh-CN" w:bidi="ar-SA"/>
              </w:rPr>
            </w:pPr>
            <w:r>
              <w:rPr>
                <w:rStyle w:val="41"/>
                <w:rFonts w:hint="default" w:ascii="Times New Roman" w:hAnsi="Times New Roman" w:eastAsia="宋体" w:cs="Times New Roman"/>
                <w:color w:val="FF0000"/>
                <w:kern w:val="2"/>
                <w:sz w:val="24"/>
                <w:szCs w:val="24"/>
                <w:lang w:val="en-US" w:eastAsia="zh-CN" w:bidi="ar-SA"/>
              </w:rPr>
              <w:t>项目符合性：</w:t>
            </w:r>
            <w:r>
              <w:rPr>
                <w:rStyle w:val="41"/>
                <w:rFonts w:hint="eastAsia" w:ascii="Times New Roman" w:hAnsi="Times New Roman" w:eastAsia="宋体" w:cs="Times New Roman"/>
                <w:color w:val="FF0000"/>
                <w:kern w:val="2"/>
                <w:sz w:val="24"/>
                <w:szCs w:val="24"/>
                <w:lang w:val="en-US" w:eastAsia="zh-CN" w:bidi="ar-SA"/>
              </w:rPr>
              <w:t>本项目</w:t>
            </w:r>
            <w:r>
              <w:rPr>
                <w:rStyle w:val="41"/>
                <w:rFonts w:hint="default" w:ascii="Times New Roman" w:hAnsi="Times New Roman" w:eastAsia="宋体" w:cs="Times New Roman"/>
                <w:color w:val="FF0000"/>
                <w:kern w:val="2"/>
                <w:sz w:val="24"/>
                <w:szCs w:val="24"/>
                <w:lang w:val="en-US" w:eastAsia="zh-CN" w:bidi="ar-SA"/>
              </w:rPr>
              <w:t>利用</w:t>
            </w:r>
            <w:r>
              <w:rPr>
                <w:rStyle w:val="41"/>
                <w:rFonts w:hint="eastAsia" w:ascii="Times New Roman" w:hAnsi="Times New Roman" w:eastAsia="宋体" w:cs="Times New Roman"/>
                <w:color w:val="FF0000"/>
                <w:kern w:val="2"/>
                <w:sz w:val="24"/>
                <w:szCs w:val="24"/>
                <w:lang w:val="en-US" w:eastAsia="zh-CN" w:bidi="ar-SA"/>
              </w:rPr>
              <w:t>现有</w:t>
            </w:r>
            <w:r>
              <w:rPr>
                <w:rStyle w:val="41"/>
                <w:rFonts w:hint="default" w:ascii="Times New Roman" w:hAnsi="Times New Roman" w:eastAsia="宋体" w:cs="Times New Roman"/>
                <w:color w:val="FF0000"/>
                <w:kern w:val="2"/>
                <w:sz w:val="24"/>
                <w:szCs w:val="24"/>
                <w:lang w:val="en-US" w:eastAsia="zh-CN" w:bidi="ar-SA"/>
              </w:rPr>
              <w:t>工业厂房</w:t>
            </w:r>
            <w:r>
              <w:rPr>
                <w:rStyle w:val="41"/>
                <w:rFonts w:hint="eastAsia" w:ascii="Times New Roman" w:hAnsi="Times New Roman" w:eastAsia="宋体" w:cs="Times New Roman"/>
                <w:color w:val="FF0000"/>
                <w:kern w:val="2"/>
                <w:sz w:val="24"/>
                <w:szCs w:val="24"/>
                <w:lang w:val="en-US" w:eastAsia="zh-CN" w:bidi="ar-SA"/>
              </w:rPr>
              <w:t>进行改造</w:t>
            </w:r>
            <w:r>
              <w:rPr>
                <w:rStyle w:val="41"/>
                <w:rFonts w:hint="default" w:ascii="Times New Roman" w:hAnsi="Times New Roman" w:eastAsia="宋体" w:cs="Times New Roman"/>
                <w:color w:val="FF0000"/>
                <w:kern w:val="2"/>
                <w:sz w:val="24"/>
                <w:szCs w:val="24"/>
                <w:lang w:val="en-US" w:eastAsia="zh-CN" w:bidi="ar-SA"/>
              </w:rPr>
              <w:t>（无新增用地），不占用耕地及永久基本农田；不涉及生态保护红线范围</w:t>
            </w:r>
            <w:r>
              <w:rPr>
                <w:rStyle w:val="41"/>
                <w:rFonts w:hint="eastAsia" w:ascii="Times New Roman" w:hAnsi="Times New Roman" w:eastAsia="宋体" w:cs="Times New Roman"/>
                <w:color w:val="FF0000"/>
                <w:kern w:val="2"/>
                <w:sz w:val="24"/>
                <w:szCs w:val="24"/>
                <w:lang w:val="en-US" w:eastAsia="zh-CN" w:bidi="ar-SA"/>
              </w:rPr>
              <w:t>，符合规划要求。</w:t>
            </w:r>
          </w:p>
          <w:p w14:paraId="707E9D83">
            <w:pPr>
              <w:adjustRightInd w:val="0"/>
              <w:snapToGrid w:val="0"/>
              <w:spacing w:line="360" w:lineRule="auto"/>
              <w:ind w:firstLine="480" w:firstLineChars="200"/>
              <w:rPr>
                <w:rStyle w:val="41"/>
                <w:rFonts w:hint="eastAsia" w:ascii="Times New Roman" w:hAnsi="Times New Roman" w:eastAsia="宋体" w:cs="Times New Roman"/>
                <w:color w:val="FF0000"/>
                <w:kern w:val="2"/>
                <w:sz w:val="24"/>
                <w:szCs w:val="24"/>
                <w:lang w:val="en-US" w:eastAsia="zh-CN" w:bidi="ar-SA"/>
              </w:rPr>
            </w:pPr>
            <w:r>
              <w:rPr>
                <w:rStyle w:val="41"/>
                <w:rFonts w:hint="eastAsia" w:ascii="Times New Roman" w:hAnsi="Times New Roman" w:eastAsia="宋体" w:cs="Times New Roman"/>
                <w:color w:val="FF0000"/>
                <w:kern w:val="2"/>
                <w:sz w:val="24"/>
                <w:szCs w:val="24"/>
                <w:lang w:val="en-US" w:eastAsia="zh-CN" w:bidi="ar-SA"/>
              </w:rPr>
              <w:t>（3）市政设施与城乡风貌</w:t>
            </w:r>
          </w:p>
          <w:p w14:paraId="2325E50D">
            <w:pPr>
              <w:adjustRightInd w:val="0"/>
              <w:snapToGrid w:val="0"/>
              <w:spacing w:line="360" w:lineRule="auto"/>
              <w:ind w:firstLine="480" w:firstLineChars="200"/>
              <w:rPr>
                <w:rStyle w:val="41"/>
                <w:rFonts w:hint="eastAsia" w:ascii="Times New Roman" w:hAnsi="Times New Roman" w:eastAsia="宋体" w:cs="Times New Roman"/>
                <w:color w:val="FF0000"/>
                <w:kern w:val="2"/>
                <w:sz w:val="24"/>
                <w:szCs w:val="24"/>
                <w:lang w:val="en-US" w:eastAsia="zh-CN" w:bidi="ar-SA"/>
              </w:rPr>
            </w:pPr>
            <w:r>
              <w:rPr>
                <w:rStyle w:val="41"/>
                <w:rFonts w:hint="eastAsia" w:ascii="Times New Roman" w:hAnsi="Times New Roman" w:eastAsia="宋体" w:cs="Times New Roman"/>
                <w:color w:val="FF0000"/>
                <w:kern w:val="2"/>
                <w:sz w:val="24"/>
                <w:szCs w:val="24"/>
                <w:lang w:val="en-US" w:eastAsia="zh-CN" w:bidi="ar-SA"/>
              </w:rPr>
              <w:t>规划要求（4.3节）：工业项目需配套再生水利用设施，推行固废资源化处置。</w:t>
            </w:r>
          </w:p>
          <w:p w14:paraId="2785177C">
            <w:pPr>
              <w:adjustRightInd w:val="0"/>
              <w:snapToGrid w:val="0"/>
              <w:spacing w:line="360" w:lineRule="auto"/>
              <w:ind w:firstLine="480" w:firstLineChars="200"/>
              <w:rPr>
                <w:rStyle w:val="41"/>
                <w:rFonts w:hint="eastAsia" w:ascii="Times New Roman" w:hAnsi="Times New Roman" w:eastAsia="宋体" w:cs="Times New Roman"/>
                <w:color w:val="FF0000"/>
                <w:kern w:val="2"/>
                <w:sz w:val="24"/>
                <w:szCs w:val="24"/>
                <w:lang w:val="en-US" w:eastAsia="zh-CN" w:bidi="ar-SA"/>
              </w:rPr>
            </w:pPr>
            <w:r>
              <w:rPr>
                <w:rStyle w:val="41"/>
                <w:rFonts w:hint="eastAsia" w:ascii="Times New Roman" w:hAnsi="Times New Roman" w:eastAsia="宋体" w:cs="Times New Roman"/>
                <w:color w:val="FF0000"/>
                <w:kern w:val="2"/>
                <w:sz w:val="24"/>
                <w:szCs w:val="24"/>
                <w:lang w:val="en-US" w:eastAsia="zh-CN" w:bidi="ar-SA"/>
              </w:rPr>
              <w:t>项目符合性：自建污水处理站（处理规模</w:t>
            </w:r>
            <w:r>
              <w:rPr>
                <w:rStyle w:val="41"/>
                <w:rFonts w:hint="eastAsia" w:ascii="Times New Roman" w:hAnsi="Times New Roman" w:eastAsia="宋体" w:cs="Times New Roman"/>
                <w:color w:val="FF0000"/>
                <w:kern w:val="2"/>
                <w:sz w:val="24"/>
                <w:szCs w:val="24"/>
                <w:highlight w:val="none"/>
                <w:lang w:val="en-US" w:eastAsia="zh-CN" w:bidi="ar-SA"/>
              </w:rPr>
              <w:t>10t/d），废水经处理</w:t>
            </w:r>
            <w:r>
              <w:rPr>
                <w:rStyle w:val="41"/>
                <w:rFonts w:hint="eastAsia" w:cs="Times New Roman"/>
                <w:color w:val="FF0000"/>
                <w:kern w:val="2"/>
                <w:sz w:val="24"/>
                <w:szCs w:val="24"/>
                <w:highlight w:val="none"/>
                <w:lang w:val="en-US" w:eastAsia="zh-CN" w:bidi="ar-SA"/>
              </w:rPr>
              <w:t>达标后</w:t>
            </w:r>
            <w:r>
              <w:rPr>
                <w:rStyle w:val="41"/>
                <w:rFonts w:hint="eastAsia" w:ascii="Times New Roman" w:hAnsi="Times New Roman" w:eastAsia="宋体" w:cs="Times New Roman"/>
                <w:color w:val="FF0000"/>
                <w:kern w:val="2"/>
                <w:sz w:val="24"/>
                <w:szCs w:val="24"/>
                <w:highlight w:val="none"/>
                <w:lang w:val="en-US" w:eastAsia="zh-CN" w:bidi="ar-SA"/>
              </w:rPr>
              <w:t>后</w:t>
            </w:r>
            <w:r>
              <w:rPr>
                <w:rStyle w:val="41"/>
                <w:rFonts w:hint="eastAsia" w:cs="Times New Roman"/>
                <w:color w:val="FF0000"/>
                <w:kern w:val="2"/>
                <w:sz w:val="24"/>
                <w:szCs w:val="24"/>
                <w:highlight w:val="none"/>
                <w:lang w:val="en-US" w:eastAsia="zh-CN" w:bidi="ar-SA"/>
              </w:rPr>
              <w:t>排入北票市污水处理厂</w:t>
            </w:r>
            <w:r>
              <w:rPr>
                <w:rStyle w:val="41"/>
                <w:rFonts w:hint="eastAsia" w:ascii="Times New Roman" w:hAnsi="Times New Roman" w:eastAsia="宋体" w:cs="Times New Roman"/>
                <w:color w:val="FF0000"/>
                <w:kern w:val="2"/>
                <w:sz w:val="24"/>
                <w:szCs w:val="24"/>
                <w:highlight w:val="none"/>
                <w:lang w:val="en-US" w:eastAsia="zh-CN" w:bidi="ar-SA"/>
              </w:rPr>
              <w:t>；拆解</w:t>
            </w:r>
            <w:r>
              <w:rPr>
                <w:rStyle w:val="41"/>
                <w:rFonts w:hint="eastAsia" w:cs="Times New Roman"/>
                <w:color w:val="FF0000"/>
                <w:kern w:val="2"/>
                <w:sz w:val="24"/>
                <w:szCs w:val="24"/>
                <w:highlight w:val="none"/>
                <w:lang w:val="en-US" w:eastAsia="zh-CN" w:bidi="ar-SA"/>
              </w:rPr>
              <w:t>可回收固废</w:t>
            </w:r>
            <w:r>
              <w:rPr>
                <w:rStyle w:val="41"/>
                <w:rFonts w:hint="eastAsia" w:ascii="Times New Roman" w:hAnsi="Times New Roman" w:eastAsia="宋体" w:cs="Times New Roman"/>
                <w:color w:val="FF0000"/>
                <w:kern w:val="2"/>
                <w:sz w:val="24"/>
                <w:szCs w:val="24"/>
                <w:highlight w:val="none"/>
                <w:lang w:val="en-US" w:eastAsia="zh-CN" w:bidi="ar-SA"/>
              </w:rPr>
              <w:t>等均交由再生</w:t>
            </w:r>
            <w:r>
              <w:rPr>
                <w:rStyle w:val="41"/>
                <w:rFonts w:hint="eastAsia" w:ascii="Times New Roman" w:hAnsi="Times New Roman" w:eastAsia="宋体" w:cs="Times New Roman"/>
                <w:color w:val="FF0000"/>
                <w:kern w:val="2"/>
                <w:sz w:val="24"/>
                <w:szCs w:val="24"/>
                <w:lang w:val="en-US" w:eastAsia="zh-CN" w:bidi="ar-SA"/>
              </w:rPr>
              <w:t>企业回收，危险废物合规转运，符合规划要求。</w:t>
            </w:r>
          </w:p>
          <w:p w14:paraId="31F09432">
            <w:pPr>
              <w:adjustRightInd w:val="0"/>
              <w:snapToGrid w:val="0"/>
              <w:spacing w:line="360" w:lineRule="auto"/>
              <w:ind w:firstLine="480" w:firstLineChars="200"/>
              <w:rPr>
                <w:rStyle w:val="41"/>
                <w:rFonts w:hint="eastAsia" w:ascii="Times New Roman" w:hAnsi="Times New Roman" w:eastAsia="宋体" w:cs="Times New Roman"/>
                <w:color w:val="FF0000"/>
                <w:kern w:val="2"/>
                <w:sz w:val="24"/>
                <w:szCs w:val="24"/>
                <w:lang w:val="en-US" w:eastAsia="zh-CN" w:bidi="ar-SA"/>
              </w:rPr>
            </w:pPr>
            <w:r>
              <w:rPr>
                <w:rStyle w:val="41"/>
                <w:rFonts w:hint="eastAsia" w:ascii="Times New Roman" w:hAnsi="Times New Roman" w:eastAsia="宋体" w:cs="Times New Roman"/>
                <w:color w:val="FF0000"/>
                <w:kern w:val="2"/>
                <w:sz w:val="24"/>
                <w:szCs w:val="24"/>
                <w:lang w:val="en-US" w:eastAsia="zh-CN" w:bidi="ar-SA"/>
              </w:rPr>
              <w:t>规划要求（4.6节）：工业建筑需控制高度，设置绿化隔离带以协调城乡风貌。</w:t>
            </w:r>
          </w:p>
          <w:p w14:paraId="0809C6F2">
            <w:pPr>
              <w:adjustRightInd w:val="0"/>
              <w:snapToGrid w:val="0"/>
              <w:spacing w:line="360" w:lineRule="auto"/>
              <w:ind w:firstLine="480" w:firstLineChars="200"/>
              <w:rPr>
                <w:rStyle w:val="41"/>
                <w:rFonts w:hint="eastAsia" w:ascii="Times New Roman" w:hAnsi="Times New Roman" w:eastAsia="宋体" w:cs="Times New Roman"/>
                <w:color w:val="FF0000"/>
                <w:kern w:val="2"/>
                <w:sz w:val="24"/>
                <w:szCs w:val="24"/>
                <w:lang w:val="en-US" w:eastAsia="zh-CN" w:bidi="ar-SA"/>
              </w:rPr>
            </w:pPr>
            <w:r>
              <w:rPr>
                <w:rStyle w:val="41"/>
                <w:rFonts w:hint="eastAsia" w:ascii="Times New Roman" w:hAnsi="Times New Roman" w:eastAsia="宋体" w:cs="Times New Roman"/>
                <w:color w:val="FF0000"/>
                <w:kern w:val="2"/>
                <w:sz w:val="24"/>
                <w:szCs w:val="24"/>
                <w:lang w:val="en-US" w:eastAsia="zh-CN" w:bidi="ar-SA"/>
              </w:rPr>
              <w:t>项目符合性：采用单层厂房（檐高≤8m），厂界四周建设10m宽绿化带，与周边景观融合，符合规划要求。</w:t>
            </w:r>
          </w:p>
          <w:p w14:paraId="37AF9E09">
            <w:pPr>
              <w:adjustRightInd w:val="0"/>
              <w:snapToGrid w:val="0"/>
              <w:spacing w:line="360" w:lineRule="auto"/>
              <w:ind w:firstLine="480" w:firstLineChars="200"/>
              <w:rPr>
                <w:rStyle w:val="41"/>
                <w:rFonts w:hint="eastAsia" w:ascii="Times New Roman" w:hAnsi="Times New Roman" w:eastAsia="宋体" w:cs="Times New Roman"/>
                <w:color w:val="FF0000"/>
                <w:kern w:val="2"/>
                <w:sz w:val="24"/>
                <w:szCs w:val="24"/>
                <w:lang w:val="en-US" w:eastAsia="zh-CN" w:bidi="ar-SA"/>
              </w:rPr>
            </w:pPr>
            <w:r>
              <w:rPr>
                <w:rStyle w:val="41"/>
                <w:rFonts w:hint="eastAsia" w:ascii="Times New Roman" w:hAnsi="Times New Roman" w:eastAsia="宋体" w:cs="Times New Roman"/>
                <w:color w:val="FF0000"/>
                <w:kern w:val="2"/>
                <w:sz w:val="24"/>
                <w:szCs w:val="24"/>
                <w:lang w:val="en-US" w:eastAsia="zh-CN" w:bidi="ar-SA"/>
              </w:rPr>
              <w:t>（4）实施保障机制</w:t>
            </w:r>
          </w:p>
          <w:p w14:paraId="2522ECC8">
            <w:pPr>
              <w:adjustRightInd w:val="0"/>
              <w:snapToGrid w:val="0"/>
              <w:spacing w:line="360" w:lineRule="auto"/>
              <w:ind w:firstLine="480" w:firstLineChars="200"/>
              <w:rPr>
                <w:rStyle w:val="41"/>
                <w:rFonts w:hint="eastAsia" w:ascii="Times New Roman" w:hAnsi="Times New Roman" w:eastAsia="宋体" w:cs="Times New Roman"/>
                <w:color w:val="FF0000"/>
                <w:kern w:val="2"/>
                <w:sz w:val="24"/>
                <w:szCs w:val="24"/>
                <w:lang w:val="en-US" w:eastAsia="zh-CN" w:bidi="ar-SA"/>
              </w:rPr>
            </w:pPr>
            <w:r>
              <w:rPr>
                <w:rStyle w:val="41"/>
                <w:rFonts w:hint="eastAsia" w:ascii="Times New Roman" w:hAnsi="Times New Roman" w:eastAsia="宋体" w:cs="Times New Roman"/>
                <w:color w:val="FF0000"/>
                <w:kern w:val="2"/>
                <w:sz w:val="24"/>
                <w:szCs w:val="24"/>
                <w:lang w:val="en-US" w:eastAsia="zh-CN" w:bidi="ar-SA"/>
              </w:rPr>
              <w:t>规划要求（5.3节）：优先保障鼓励类产业项目用地需求，衔接国土空间管控时序。</w:t>
            </w:r>
          </w:p>
          <w:p w14:paraId="21EEC829">
            <w:pPr>
              <w:adjustRightInd w:val="0"/>
              <w:snapToGrid w:val="0"/>
              <w:spacing w:line="360" w:lineRule="auto"/>
              <w:ind w:firstLine="480" w:firstLineChars="200"/>
              <w:rPr>
                <w:rStyle w:val="41"/>
                <w:rFonts w:hint="eastAsia" w:ascii="Times New Roman" w:hAnsi="Times New Roman" w:eastAsia="宋体" w:cs="Times New Roman"/>
                <w:color w:val="FF0000"/>
                <w:kern w:val="2"/>
                <w:sz w:val="24"/>
                <w:szCs w:val="24"/>
                <w:lang w:val="en-US" w:eastAsia="zh-CN" w:bidi="ar-SA"/>
              </w:rPr>
            </w:pPr>
            <w:r>
              <w:rPr>
                <w:rStyle w:val="41"/>
                <w:rFonts w:hint="eastAsia" w:ascii="Times New Roman" w:hAnsi="Times New Roman" w:eastAsia="宋体" w:cs="Times New Roman"/>
                <w:color w:val="FF0000"/>
                <w:kern w:val="2"/>
                <w:sz w:val="24"/>
                <w:szCs w:val="24"/>
                <w:lang w:val="en-US" w:eastAsia="zh-CN" w:bidi="ar-SA"/>
              </w:rPr>
              <w:t>项目符合性：用地性质符合规划工业用地类型，建设方案已通过</w:t>
            </w:r>
            <w:r>
              <w:rPr>
                <w:rFonts w:hint="eastAsia"/>
                <w:color w:val="FF0000"/>
                <w:sz w:val="24"/>
              </w:rPr>
              <w:t>北票市发展和改革局</w:t>
            </w:r>
            <w:r>
              <w:rPr>
                <w:rStyle w:val="41"/>
                <w:rFonts w:hint="eastAsia" w:ascii="Times New Roman" w:hAnsi="Times New Roman" w:eastAsia="宋体" w:cs="Times New Roman"/>
                <w:color w:val="FF0000"/>
                <w:kern w:val="2"/>
                <w:sz w:val="24"/>
                <w:szCs w:val="24"/>
                <w:lang w:val="en-US" w:eastAsia="zh-CN" w:bidi="ar-SA"/>
              </w:rPr>
              <w:t>部门合规审查，符合规划要求。</w:t>
            </w:r>
          </w:p>
          <w:p w14:paraId="1B3F3A20">
            <w:pPr>
              <w:adjustRightInd w:val="0"/>
              <w:snapToGrid w:val="0"/>
              <w:spacing w:line="360" w:lineRule="auto"/>
              <w:ind w:firstLine="480" w:firstLineChars="200"/>
              <w:rPr>
                <w:rStyle w:val="41"/>
                <w:rFonts w:hint="eastAsia" w:ascii="Times New Roman" w:hAnsi="Times New Roman" w:eastAsia="宋体" w:cs="Times New Roman"/>
                <w:color w:val="FF0000"/>
                <w:kern w:val="2"/>
                <w:sz w:val="24"/>
                <w:szCs w:val="24"/>
                <w:lang w:val="en-US" w:eastAsia="zh-CN" w:bidi="ar-SA"/>
              </w:rPr>
            </w:pPr>
            <w:r>
              <w:rPr>
                <w:rStyle w:val="41"/>
                <w:rFonts w:hint="eastAsia" w:ascii="Times New Roman" w:hAnsi="Times New Roman" w:eastAsia="宋体" w:cs="Times New Roman"/>
                <w:color w:val="FF0000"/>
                <w:kern w:val="2"/>
                <w:sz w:val="24"/>
                <w:szCs w:val="24"/>
                <w:lang w:val="en-US" w:eastAsia="zh-CN" w:bidi="ar-SA"/>
              </w:rPr>
              <w:t>（5）结论</w:t>
            </w:r>
          </w:p>
          <w:p w14:paraId="176F3337">
            <w:pPr>
              <w:adjustRightInd w:val="0"/>
              <w:snapToGrid w:val="0"/>
              <w:spacing w:line="360" w:lineRule="auto"/>
              <w:ind w:firstLine="480" w:firstLineChars="200"/>
              <w:rPr>
                <w:kern w:val="0"/>
                <w:sz w:val="24"/>
              </w:rPr>
            </w:pPr>
            <w:r>
              <w:rPr>
                <w:rStyle w:val="41"/>
                <w:rFonts w:hint="eastAsia" w:ascii="Times New Roman" w:hAnsi="Times New Roman" w:eastAsia="宋体" w:cs="Times New Roman"/>
                <w:color w:val="FF0000"/>
                <w:kern w:val="2"/>
                <w:sz w:val="24"/>
                <w:szCs w:val="24"/>
                <w:lang w:val="en-US" w:eastAsia="zh-CN" w:bidi="ar-SA"/>
              </w:rPr>
              <w:t>本项目在空间定位、生态保护、设施建设、实施机制四大维度，全面响应《北票市国土空间总体规划（2021-2035年）》核心管控要求，符合规划要求。</w:t>
            </w:r>
          </w:p>
        </w:tc>
      </w:tr>
      <w:tr w14:paraId="1128D27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31" w:type="pct"/>
            <w:vAlign w:val="center"/>
          </w:tcPr>
          <w:p w14:paraId="1CDA0B1F">
            <w:pPr>
              <w:autoSpaceDE w:val="0"/>
              <w:autoSpaceDN w:val="0"/>
              <w:adjustRightInd w:val="0"/>
              <w:snapToGrid w:val="0"/>
              <w:jc w:val="center"/>
              <w:rPr>
                <w:kern w:val="0"/>
                <w:szCs w:val="21"/>
              </w:rPr>
            </w:pPr>
            <w:r>
              <w:rPr>
                <w:kern w:val="0"/>
                <w:szCs w:val="21"/>
              </w:rPr>
              <w:t>其他符合性分析</w:t>
            </w:r>
          </w:p>
        </w:tc>
        <w:tc>
          <w:tcPr>
            <w:tcW w:w="4368" w:type="pct"/>
            <w:gridSpan w:val="3"/>
            <w:vAlign w:val="center"/>
          </w:tcPr>
          <w:p w14:paraId="73E96CB7">
            <w:pPr>
              <w:autoSpaceDE w:val="0"/>
              <w:autoSpaceDN w:val="0"/>
              <w:adjustRightInd w:val="0"/>
              <w:snapToGrid w:val="0"/>
              <w:rPr>
                <w:b/>
                <w:bCs/>
                <w:kern w:val="0"/>
                <w:sz w:val="24"/>
              </w:rPr>
            </w:pPr>
            <w:r>
              <w:rPr>
                <w:b/>
                <w:bCs/>
                <w:kern w:val="0"/>
                <w:sz w:val="24"/>
              </w:rPr>
              <w:t>1</w:t>
            </w:r>
            <w:r>
              <w:rPr>
                <w:rFonts w:hint="eastAsia"/>
                <w:b/>
                <w:bCs/>
                <w:kern w:val="0"/>
                <w:sz w:val="24"/>
              </w:rPr>
              <w:t>.</w:t>
            </w:r>
            <w:r>
              <w:rPr>
                <w:b/>
                <w:bCs/>
                <w:kern w:val="0"/>
                <w:sz w:val="24"/>
              </w:rPr>
              <w:t>环境影响评价类别</w:t>
            </w:r>
          </w:p>
          <w:p w14:paraId="5CFC9B1F">
            <w:pPr>
              <w:adjustRightInd w:val="0"/>
              <w:snapToGrid w:val="0"/>
              <w:ind w:firstLine="422" w:firstLineChars="200"/>
              <w:jc w:val="center"/>
              <w:rPr>
                <w:rStyle w:val="41"/>
                <w:b/>
                <w:bCs/>
                <w:szCs w:val="21"/>
              </w:rPr>
            </w:pPr>
            <w:r>
              <w:rPr>
                <w:rStyle w:val="41"/>
                <w:b/>
                <w:bCs/>
                <w:szCs w:val="21"/>
              </w:rPr>
              <w:t>表1-</w:t>
            </w:r>
            <w:r>
              <w:rPr>
                <w:rStyle w:val="41"/>
                <w:rFonts w:hint="eastAsia"/>
                <w:b/>
                <w:bCs/>
                <w:szCs w:val="21"/>
              </w:rPr>
              <w:t xml:space="preserve">3  </w:t>
            </w:r>
            <w:r>
              <w:rPr>
                <w:rStyle w:val="41"/>
                <w:b/>
                <w:bCs/>
                <w:szCs w:val="21"/>
              </w:rPr>
              <w:t>建设项目类别</w:t>
            </w:r>
          </w:p>
          <w:tbl>
            <w:tblPr>
              <w:tblStyle w:val="34"/>
              <w:tblW w:w="4998" w:type="pct"/>
              <w:tblInd w:w="0" w:type="dxa"/>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808"/>
              <w:gridCol w:w="959"/>
              <w:gridCol w:w="3067"/>
              <w:gridCol w:w="697"/>
            </w:tblGrid>
            <w:tr w14:paraId="2B995B31">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59" w:hRule="atLeast"/>
              </w:trPr>
              <w:tc>
                <w:tcPr>
                  <w:tcW w:w="1864" w:type="pct"/>
                  <w:tcBorders>
                    <w:tl2br w:val="nil"/>
                    <w:tr2bl w:val="nil"/>
                  </w:tcBorders>
                  <w:shd w:val="clear" w:color="auto" w:fill="auto"/>
                  <w:vAlign w:val="center"/>
                </w:tcPr>
                <w:p w14:paraId="61D7CACD">
                  <w:pPr>
                    <w:pStyle w:val="84"/>
                    <w:spacing w:line="240" w:lineRule="auto"/>
                    <w:ind w:firstLine="0" w:firstLineChars="0"/>
                    <w:jc w:val="center"/>
                    <w:rPr>
                      <w:rStyle w:val="41"/>
                      <w:szCs w:val="21"/>
                    </w:rPr>
                  </w:pPr>
                  <w:r>
                    <w:rPr>
                      <w:sz w:val="21"/>
                    </w:rPr>
                    <mc:AlternateContent>
                      <mc:Choice Requires="wps">
                        <w:drawing>
                          <wp:anchor distT="0" distB="0" distL="114300" distR="114300" simplePos="0" relativeHeight="251660288" behindDoc="0" locked="0" layoutInCell="1" allowOverlap="1">
                            <wp:simplePos x="0" y="0"/>
                            <wp:positionH relativeFrom="column">
                              <wp:posOffset>-67945</wp:posOffset>
                            </wp:positionH>
                            <wp:positionV relativeFrom="paragraph">
                              <wp:posOffset>8890</wp:posOffset>
                            </wp:positionV>
                            <wp:extent cx="1776730" cy="343535"/>
                            <wp:effectExtent l="635" t="4445" r="13335" b="13970"/>
                            <wp:wrapNone/>
                            <wp:docPr id="14" name="直线 324"/>
                            <wp:cNvGraphicFramePr/>
                            <a:graphic xmlns:a="http://schemas.openxmlformats.org/drawingml/2006/main">
                              <a:graphicData uri="http://schemas.microsoft.com/office/word/2010/wordprocessingShape">
                                <wps:wsp>
                                  <wps:cNvCnPr/>
                                  <wps:spPr>
                                    <a:xfrm flipH="1" flipV="1">
                                      <a:off x="0" y="0"/>
                                      <a:ext cx="1776730" cy="343535"/>
                                    </a:xfrm>
                                    <a:prstGeom prst="line">
                                      <a:avLst/>
                                    </a:prstGeom>
                                    <a:ln w="6350" cap="flat" cmpd="sng">
                                      <a:solidFill>
                                        <a:srgbClr val="000000"/>
                                      </a:solidFill>
                                      <a:prstDash val="solid"/>
                                      <a:headEnd type="none" w="med" len="med"/>
                                      <a:tailEnd type="none" w="med" len="med"/>
                                    </a:ln>
                                  </wps:spPr>
                                  <wps:bodyPr/>
                                </wps:wsp>
                              </a:graphicData>
                            </a:graphic>
                          </wp:anchor>
                        </w:drawing>
                      </mc:Choice>
                      <mc:Fallback>
                        <w:pict>
                          <v:line id="直线 324" o:spid="_x0000_s1026" o:spt="20" style="position:absolute;left:0pt;flip:x y;margin-left:-5.35pt;margin-top:0.7pt;height:27.05pt;width:139.9pt;z-index:251660288;mso-width-relative:page;mso-height-relative:page;" filled="f" stroked="t" coordsize="21600,21600" o:gfxdata="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">
                            <v:fill on="f" focussize="0,0"/>
                            <v:stroke weight="0.5pt" color="#000000" joinstyle="round"/>
                            <v:imagedata o:title=""/>
                            <o:lock v:ext="edit" aspectratio="f"/>
                          </v:line>
                        </w:pict>
                      </mc:Fallback>
                    </mc:AlternateContent>
                  </w:r>
                  <w:r>
                    <w:rPr>
                      <w:rStyle w:val="41"/>
                      <w:szCs w:val="21"/>
                    </w:rPr>
                    <w:t xml:space="preserve">       环评类别</w:t>
                  </w:r>
                </w:p>
                <w:p w14:paraId="2E8C12CF">
                  <w:pPr>
                    <w:pStyle w:val="84"/>
                    <w:spacing w:line="240" w:lineRule="auto"/>
                    <w:ind w:firstLine="0" w:firstLineChars="0"/>
                    <w:rPr>
                      <w:rStyle w:val="41"/>
                      <w:szCs w:val="21"/>
                    </w:rPr>
                  </w:pPr>
                  <w:r>
                    <w:rPr>
                      <w:rStyle w:val="41"/>
                      <w:szCs w:val="21"/>
                    </w:rPr>
                    <w:t>项目类别</w:t>
                  </w:r>
                </w:p>
              </w:tc>
              <w:tc>
                <w:tcPr>
                  <w:tcW w:w="637" w:type="pct"/>
                  <w:tcBorders>
                    <w:tl2br w:val="nil"/>
                    <w:tr2bl w:val="nil"/>
                  </w:tcBorders>
                  <w:shd w:val="clear" w:color="auto" w:fill="auto"/>
                  <w:vAlign w:val="center"/>
                </w:tcPr>
                <w:p w14:paraId="4EBA5E19">
                  <w:pPr>
                    <w:pStyle w:val="84"/>
                    <w:spacing w:line="240" w:lineRule="auto"/>
                    <w:ind w:firstLine="0" w:firstLineChars="0"/>
                    <w:jc w:val="center"/>
                    <w:rPr>
                      <w:rStyle w:val="41"/>
                      <w:szCs w:val="21"/>
                    </w:rPr>
                  </w:pPr>
                  <w:r>
                    <w:rPr>
                      <w:rStyle w:val="41"/>
                      <w:szCs w:val="21"/>
                    </w:rPr>
                    <w:t>报告书</w:t>
                  </w:r>
                </w:p>
              </w:tc>
              <w:tc>
                <w:tcPr>
                  <w:tcW w:w="2036" w:type="pct"/>
                  <w:tcBorders>
                    <w:tl2br w:val="nil"/>
                    <w:tr2bl w:val="nil"/>
                  </w:tcBorders>
                  <w:shd w:val="clear" w:color="auto" w:fill="A4A4A4" w:themeFill="background1" w:themeFillShade="A5"/>
                  <w:vAlign w:val="center"/>
                </w:tcPr>
                <w:p w14:paraId="5EB8C92F">
                  <w:pPr>
                    <w:pStyle w:val="84"/>
                    <w:spacing w:line="240" w:lineRule="auto"/>
                    <w:ind w:firstLine="0" w:firstLineChars="0"/>
                    <w:jc w:val="center"/>
                    <w:rPr>
                      <w:rStyle w:val="41"/>
                      <w:szCs w:val="21"/>
                    </w:rPr>
                  </w:pPr>
                  <w:r>
                    <w:rPr>
                      <w:rStyle w:val="41"/>
                      <w:szCs w:val="21"/>
                    </w:rPr>
                    <w:t>报告表</w:t>
                  </w:r>
                </w:p>
              </w:tc>
              <w:tc>
                <w:tcPr>
                  <w:tcW w:w="461" w:type="pct"/>
                  <w:tcBorders>
                    <w:tl2br w:val="nil"/>
                    <w:tr2bl w:val="nil"/>
                  </w:tcBorders>
                  <w:vAlign w:val="center"/>
                </w:tcPr>
                <w:p w14:paraId="720B03B0">
                  <w:pPr>
                    <w:pStyle w:val="84"/>
                    <w:spacing w:line="240" w:lineRule="auto"/>
                    <w:ind w:firstLine="0" w:firstLineChars="0"/>
                    <w:jc w:val="center"/>
                    <w:rPr>
                      <w:rStyle w:val="41"/>
                      <w:szCs w:val="21"/>
                    </w:rPr>
                  </w:pPr>
                  <w:r>
                    <w:rPr>
                      <w:rStyle w:val="41"/>
                      <w:szCs w:val="21"/>
                    </w:rPr>
                    <w:t>登记表</w:t>
                  </w:r>
                </w:p>
              </w:tc>
            </w:tr>
            <w:tr w14:paraId="499222AA">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04" w:hRule="atLeast"/>
              </w:trPr>
              <w:tc>
                <w:tcPr>
                  <w:tcW w:w="5000" w:type="pct"/>
                  <w:gridSpan w:val="4"/>
                  <w:tcBorders>
                    <w:tl2br w:val="nil"/>
                    <w:tr2bl w:val="nil"/>
                  </w:tcBorders>
                  <w:vAlign w:val="center"/>
                </w:tcPr>
                <w:p w14:paraId="354C4224">
                  <w:pPr>
                    <w:pStyle w:val="84"/>
                    <w:spacing w:line="240" w:lineRule="auto"/>
                    <w:ind w:firstLine="0" w:firstLineChars="0"/>
                    <w:jc w:val="center"/>
                    <w:rPr>
                      <w:rStyle w:val="41"/>
                      <w:szCs w:val="21"/>
                    </w:rPr>
                  </w:pPr>
                  <w:r>
                    <w:rPr>
                      <w:rStyle w:val="41"/>
                      <w:szCs w:val="21"/>
                    </w:rPr>
                    <w:t>三十九、废弃资源综合利用业 42</w:t>
                  </w:r>
                </w:p>
              </w:tc>
            </w:tr>
            <w:tr w14:paraId="379D9B5A">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211" w:hRule="atLeast"/>
              </w:trPr>
              <w:tc>
                <w:tcPr>
                  <w:tcW w:w="1864" w:type="pct"/>
                  <w:tcBorders>
                    <w:tl2br w:val="nil"/>
                    <w:tr2bl w:val="nil"/>
                  </w:tcBorders>
                  <w:shd w:val="clear" w:color="auto" w:fill="auto"/>
                  <w:vAlign w:val="center"/>
                </w:tcPr>
                <w:p w14:paraId="0648A775">
                  <w:pPr>
                    <w:pStyle w:val="84"/>
                    <w:spacing w:line="240" w:lineRule="auto"/>
                    <w:ind w:firstLine="0" w:firstLineChars="0"/>
                    <w:jc w:val="center"/>
                    <w:rPr>
                      <w:rStyle w:val="41"/>
                      <w:szCs w:val="21"/>
                    </w:rPr>
                  </w:pPr>
                  <w:r>
                    <w:rPr>
                      <w:rStyle w:val="41"/>
                      <w:szCs w:val="21"/>
                    </w:rPr>
                    <w:t>85、金属废料和碎屑加工处理 421；;;—非金属废料和碎屑加工处理422（421和422均不含原料为危险废物的， 均不含仅分拣、破碎的）</w:t>
                  </w:r>
                </w:p>
              </w:tc>
              <w:tc>
                <w:tcPr>
                  <w:tcW w:w="637" w:type="pct"/>
                  <w:tcBorders>
                    <w:tl2br w:val="nil"/>
                    <w:tr2bl w:val="nil"/>
                  </w:tcBorders>
                  <w:shd w:val="clear" w:color="auto" w:fill="auto"/>
                  <w:vAlign w:val="center"/>
                </w:tcPr>
                <w:p w14:paraId="2C4CE2DC">
                  <w:pPr>
                    <w:pStyle w:val="84"/>
                    <w:spacing w:line="240" w:lineRule="auto"/>
                    <w:ind w:firstLine="0" w:firstLineChars="0"/>
                    <w:jc w:val="center"/>
                    <w:rPr>
                      <w:rStyle w:val="41"/>
                      <w:szCs w:val="21"/>
                    </w:rPr>
                  </w:pPr>
                  <w:r>
                    <w:rPr>
                      <w:rStyle w:val="41"/>
                      <w:szCs w:val="21"/>
                    </w:rPr>
                    <w:t>废电池、废油加工处理</w:t>
                  </w:r>
                </w:p>
              </w:tc>
              <w:tc>
                <w:tcPr>
                  <w:tcW w:w="2036" w:type="pct"/>
                  <w:tcBorders>
                    <w:tl2br w:val="nil"/>
                    <w:tr2bl w:val="nil"/>
                  </w:tcBorders>
                  <w:shd w:val="clear" w:color="auto" w:fill="A4A4A4" w:themeFill="background1" w:themeFillShade="A5"/>
                  <w:vAlign w:val="center"/>
                </w:tcPr>
                <w:p w14:paraId="1CA7E3F9">
                  <w:pPr>
                    <w:pStyle w:val="84"/>
                    <w:spacing w:line="240" w:lineRule="auto"/>
                    <w:ind w:firstLine="0" w:firstLineChars="0"/>
                    <w:jc w:val="center"/>
                    <w:rPr>
                      <w:rStyle w:val="41"/>
                      <w:szCs w:val="21"/>
                    </w:rPr>
                  </w:pPr>
                  <w:r>
                    <w:rPr>
                      <w:rStyle w:val="41"/>
                      <w:szCs w:val="21"/>
                    </w:rPr>
                    <w:t>废弃电器电子产品、</w:t>
                  </w:r>
                  <w:r>
                    <w:rPr>
                      <w:rStyle w:val="41"/>
                      <w:szCs w:val="21"/>
                      <w:highlight w:val="yellow"/>
                    </w:rPr>
                    <w:t>废机动车</w:t>
                  </w:r>
                  <w:r>
                    <w:rPr>
                      <w:rStyle w:val="41"/>
                      <w:szCs w:val="21"/>
                    </w:rPr>
                    <w:t>、废电机、废电线电缆、废钢、废铁、金属和金属化合物矿灰及残渣、有色金属废料与碎屑、废塑料、废轮胎、废船、含水洗工艺的其他废料和碎屑加工处理（农业生产产生的废旧秧盘、薄膜破碎和清洗工艺的除外）</w:t>
                  </w:r>
                </w:p>
              </w:tc>
              <w:tc>
                <w:tcPr>
                  <w:tcW w:w="461" w:type="pct"/>
                  <w:tcBorders>
                    <w:tl2br w:val="nil"/>
                    <w:tr2bl w:val="nil"/>
                  </w:tcBorders>
                  <w:vAlign w:val="center"/>
                </w:tcPr>
                <w:p w14:paraId="6FE176F5">
                  <w:pPr>
                    <w:pStyle w:val="84"/>
                    <w:spacing w:line="240" w:lineRule="auto"/>
                    <w:ind w:firstLine="0" w:firstLineChars="0"/>
                    <w:jc w:val="center"/>
                    <w:rPr>
                      <w:rStyle w:val="41"/>
                      <w:szCs w:val="21"/>
                    </w:rPr>
                  </w:pPr>
                  <w:r>
                    <w:rPr>
                      <w:sz w:val="21"/>
                      <w:szCs w:val="21"/>
                    </w:rPr>
                    <w:t>/</w:t>
                  </w:r>
                </w:p>
              </w:tc>
            </w:tr>
          </w:tbl>
          <w:p w14:paraId="345D9966">
            <w:pPr>
              <w:autoSpaceDE w:val="0"/>
              <w:autoSpaceDN w:val="0"/>
              <w:adjustRightInd w:val="0"/>
              <w:snapToGrid w:val="0"/>
              <w:spacing w:line="360" w:lineRule="auto"/>
              <w:rPr>
                <w:kern w:val="0"/>
                <w:szCs w:val="21"/>
              </w:rPr>
            </w:pPr>
            <w:r>
              <w:rPr>
                <w:kern w:val="0"/>
                <w:szCs w:val="21"/>
              </w:rPr>
              <w:t>注：《建设项目环境影响评价分类管理目录》（2021年版）</w:t>
            </w:r>
          </w:p>
          <w:p w14:paraId="05D29F65">
            <w:pPr>
              <w:adjustRightInd w:val="0"/>
              <w:snapToGrid w:val="0"/>
              <w:spacing w:line="360" w:lineRule="auto"/>
              <w:ind w:firstLine="480" w:firstLineChars="200"/>
              <w:rPr>
                <w:kern w:val="0"/>
                <w:sz w:val="24"/>
              </w:rPr>
            </w:pPr>
            <w:r>
              <w:rPr>
                <w:sz w:val="24"/>
              </w:rPr>
              <w:t>依据《建设项目环境影响评价分类管理目录》（2021年版），项目类别为“三十九、废弃资源综合利用业 42”中的“85、金属废料和碎屑加工处理 421”</w:t>
            </w:r>
            <w:r>
              <w:rPr>
                <w:rFonts w:hint="eastAsia"/>
                <w:sz w:val="24"/>
              </w:rPr>
              <w:t>，本项目为报废机动车拆解项目</w:t>
            </w:r>
            <w:r>
              <w:rPr>
                <w:sz w:val="24"/>
              </w:rPr>
              <w:t>，故本项目应编制报告表</w:t>
            </w:r>
            <w:r>
              <w:rPr>
                <w:kern w:val="0"/>
                <w:sz w:val="24"/>
              </w:rPr>
              <w:t>。</w:t>
            </w:r>
          </w:p>
          <w:p w14:paraId="7C39A826">
            <w:pPr>
              <w:autoSpaceDE w:val="0"/>
              <w:autoSpaceDN w:val="0"/>
              <w:adjustRightInd w:val="0"/>
              <w:snapToGrid w:val="0"/>
              <w:spacing w:line="360" w:lineRule="auto"/>
              <w:rPr>
                <w:b/>
                <w:bCs/>
                <w:kern w:val="0"/>
                <w:sz w:val="24"/>
              </w:rPr>
            </w:pPr>
            <w:r>
              <w:rPr>
                <w:b/>
                <w:bCs/>
                <w:kern w:val="0"/>
                <w:sz w:val="24"/>
              </w:rPr>
              <w:t>2</w:t>
            </w:r>
            <w:r>
              <w:rPr>
                <w:rFonts w:hint="eastAsia"/>
                <w:b/>
                <w:bCs/>
                <w:kern w:val="0"/>
                <w:sz w:val="24"/>
              </w:rPr>
              <w:t>.</w:t>
            </w:r>
            <w:r>
              <w:rPr>
                <w:b/>
                <w:bCs/>
                <w:kern w:val="0"/>
                <w:sz w:val="24"/>
              </w:rPr>
              <w:t>产业政策符合性分析</w:t>
            </w:r>
          </w:p>
          <w:p w14:paraId="4AF4BE6D">
            <w:pPr>
              <w:autoSpaceDE w:val="0"/>
              <w:autoSpaceDN w:val="0"/>
              <w:adjustRightInd w:val="0"/>
              <w:snapToGrid w:val="0"/>
              <w:spacing w:line="360" w:lineRule="auto"/>
              <w:ind w:firstLine="480" w:firstLineChars="200"/>
              <w:rPr>
                <w:sz w:val="24"/>
              </w:rPr>
            </w:pPr>
            <w:r>
              <w:rPr>
                <w:sz w:val="24"/>
              </w:rPr>
              <w:t>本项目为</w:t>
            </w:r>
            <w:r>
              <w:rPr>
                <w:rFonts w:hint="eastAsia"/>
                <w:sz w:val="24"/>
              </w:rPr>
              <w:t>报废机动车拆解</w:t>
            </w:r>
            <w:r>
              <w:rPr>
                <w:sz w:val="24"/>
              </w:rPr>
              <w:t>项目，根据《产业结构调整指导目录（2024年本）》，属于“鼓励类 四十二、环境保护与资源节约综合利用，</w:t>
            </w:r>
            <w:r>
              <w:rPr>
                <w:rFonts w:hint="eastAsia"/>
                <w:sz w:val="24"/>
              </w:rPr>
              <w:t>9.</w:t>
            </w:r>
            <w:r>
              <w:rPr>
                <w:sz w:val="24"/>
              </w:rPr>
              <w:t>报废汽车、退役民用机、工程机械、矿山机械、农业机械、机床、文办设备及耗材、盾构机、航空发动机、工业机械人、火车内燃机车灯废旧设备及零部件拆解、再利用、再制造”</w:t>
            </w:r>
            <w:r>
              <w:rPr>
                <w:rFonts w:hint="eastAsia"/>
                <w:sz w:val="24"/>
              </w:rPr>
              <w:t>。</w:t>
            </w:r>
          </w:p>
          <w:p w14:paraId="2A3A48EB">
            <w:pPr>
              <w:autoSpaceDE w:val="0"/>
              <w:autoSpaceDN w:val="0"/>
              <w:adjustRightInd w:val="0"/>
              <w:snapToGrid w:val="0"/>
              <w:spacing w:line="360" w:lineRule="auto"/>
              <w:ind w:firstLine="480" w:firstLineChars="200"/>
              <w:rPr>
                <w:kern w:val="0"/>
                <w:sz w:val="24"/>
              </w:rPr>
            </w:pPr>
            <w:r>
              <w:rPr>
                <w:sz w:val="24"/>
              </w:rPr>
              <w:t>综上，</w:t>
            </w:r>
            <w:r>
              <w:rPr>
                <w:rFonts w:hint="eastAsia"/>
                <w:sz w:val="24"/>
              </w:rPr>
              <w:t>本项目属于鼓励类项目，</w:t>
            </w:r>
            <w:r>
              <w:rPr>
                <w:sz w:val="24"/>
              </w:rPr>
              <w:t>项目建设符合国家相关产业政策。</w:t>
            </w:r>
          </w:p>
          <w:p w14:paraId="190C39BD">
            <w:pPr>
              <w:widowControl/>
              <w:adjustRightInd w:val="0"/>
              <w:snapToGrid w:val="0"/>
              <w:spacing w:line="360" w:lineRule="auto"/>
              <w:jc w:val="left"/>
              <w:rPr>
                <w:b/>
                <w:bCs/>
                <w:color w:val="FF0000"/>
                <w:kern w:val="0"/>
                <w:sz w:val="24"/>
              </w:rPr>
            </w:pPr>
            <w:r>
              <w:rPr>
                <w:b/>
                <w:bCs/>
                <w:color w:val="FF0000"/>
                <w:kern w:val="0"/>
                <w:sz w:val="24"/>
              </w:rPr>
              <w:t>3</w:t>
            </w:r>
            <w:r>
              <w:rPr>
                <w:rFonts w:hint="eastAsia"/>
                <w:b/>
                <w:bCs/>
                <w:color w:val="FF0000"/>
                <w:kern w:val="0"/>
                <w:sz w:val="24"/>
              </w:rPr>
              <w:t>.</w:t>
            </w:r>
            <w:r>
              <w:rPr>
                <w:b/>
                <w:bCs/>
                <w:color w:val="FF0000"/>
                <w:kern w:val="0"/>
                <w:sz w:val="24"/>
              </w:rPr>
              <w:t>选址合理性分析</w:t>
            </w:r>
          </w:p>
          <w:p w14:paraId="050FBD63">
            <w:pPr>
              <w:spacing w:line="360" w:lineRule="auto"/>
              <w:ind w:firstLine="480" w:firstLineChars="200"/>
              <w:jc w:val="left"/>
              <w:rPr>
                <w:color w:val="FF0000"/>
                <w:sz w:val="24"/>
              </w:rPr>
            </w:pPr>
            <w:r>
              <w:rPr>
                <w:color w:val="FF0000"/>
                <w:sz w:val="24"/>
              </w:rPr>
              <w:t>（1）</w:t>
            </w:r>
            <w:r>
              <w:rPr>
                <w:rFonts w:hint="eastAsia"/>
                <w:color w:val="FF0000"/>
                <w:sz w:val="24"/>
              </w:rPr>
              <w:t>用地性质</w:t>
            </w:r>
          </w:p>
          <w:p w14:paraId="10E6D026">
            <w:pPr>
              <w:spacing w:line="360" w:lineRule="auto"/>
              <w:ind w:firstLine="480" w:firstLineChars="200"/>
              <w:jc w:val="left"/>
              <w:rPr>
                <w:rFonts w:hint="eastAsia"/>
                <w:bCs/>
                <w:color w:val="FF0000"/>
                <w:sz w:val="24"/>
                <w:lang w:val="en-US" w:eastAsia="zh-CN"/>
              </w:rPr>
            </w:pPr>
            <w:r>
              <w:rPr>
                <w:color w:val="FF0000"/>
                <w:sz w:val="24"/>
              </w:rPr>
              <w:t>本项目</w:t>
            </w:r>
            <w:r>
              <w:rPr>
                <w:bCs/>
                <w:color w:val="FF0000"/>
                <w:sz w:val="24"/>
              </w:rPr>
              <w:t>租用</w:t>
            </w:r>
            <w:r>
              <w:rPr>
                <w:rFonts w:hint="eastAsia"/>
                <w:bCs/>
                <w:color w:val="FF0000"/>
                <w:sz w:val="24"/>
              </w:rPr>
              <w:t>张广喜</w:t>
            </w:r>
            <w:r>
              <w:rPr>
                <w:bCs/>
                <w:color w:val="FF0000"/>
                <w:sz w:val="24"/>
              </w:rPr>
              <w:t>名下</w:t>
            </w:r>
            <w:r>
              <w:rPr>
                <w:rFonts w:hint="eastAsia"/>
                <w:bCs/>
                <w:color w:val="FF0000"/>
                <w:sz w:val="24"/>
                <w:lang w:val="en-US" w:eastAsia="zh-CN"/>
              </w:rPr>
              <w:t>北票市五间房天顺矿山配件制造厂</w:t>
            </w:r>
            <w:r>
              <w:rPr>
                <w:bCs/>
                <w:color w:val="FF0000"/>
                <w:sz w:val="24"/>
              </w:rPr>
              <w:t>闲置厂区，</w:t>
            </w:r>
            <w:r>
              <w:rPr>
                <w:color w:val="FF0000"/>
                <w:sz w:val="24"/>
              </w:rPr>
              <w:t>位于辽宁省朝阳市北票市宝锦线凉水河北侧3幢01023</w:t>
            </w:r>
            <w:r>
              <w:rPr>
                <w:rFonts w:hint="eastAsia"/>
                <w:color w:val="FF0000"/>
                <w:sz w:val="24"/>
                <w:lang w:eastAsia="zh-CN"/>
              </w:rPr>
              <w:t>，</w:t>
            </w:r>
            <w:r>
              <w:rPr>
                <w:rFonts w:hint="eastAsia"/>
                <w:bCs/>
                <w:color w:val="FF0000"/>
                <w:sz w:val="24"/>
                <w:lang w:val="en-US" w:eastAsia="zh-CN"/>
              </w:rPr>
              <w:t>根据提供的土地使用证，本企业租用面积为45647.75</w:t>
            </w:r>
            <w:r>
              <w:rPr>
                <w:bCs/>
                <w:color w:val="FF0000"/>
                <w:sz w:val="24"/>
              </w:rPr>
              <w:t>m</w:t>
            </w:r>
            <w:r>
              <w:rPr>
                <w:bCs/>
                <w:color w:val="FF0000"/>
                <w:sz w:val="24"/>
                <w:vertAlign w:val="superscript"/>
              </w:rPr>
              <w:t>2</w:t>
            </w:r>
            <w:r>
              <w:rPr>
                <w:bCs/>
                <w:color w:val="FF0000"/>
                <w:sz w:val="24"/>
              </w:rPr>
              <w:t>（</w:t>
            </w:r>
            <w:r>
              <w:rPr>
                <w:rFonts w:hint="eastAsia"/>
                <w:bCs/>
                <w:color w:val="FF0000"/>
                <w:sz w:val="24"/>
                <w:lang w:val="en-US" w:eastAsia="zh-CN"/>
              </w:rPr>
              <w:t>本项目占用16000</w:t>
            </w:r>
            <w:r>
              <w:rPr>
                <w:bCs/>
                <w:color w:val="FF0000"/>
                <w:sz w:val="24"/>
              </w:rPr>
              <w:t>m</w:t>
            </w:r>
            <w:r>
              <w:rPr>
                <w:bCs/>
                <w:color w:val="FF0000"/>
                <w:sz w:val="24"/>
                <w:vertAlign w:val="superscript"/>
              </w:rPr>
              <w:t>2</w:t>
            </w:r>
            <w:r>
              <w:rPr>
                <w:bCs/>
                <w:color w:val="FF0000"/>
                <w:sz w:val="24"/>
              </w:rPr>
              <w:t>）</w:t>
            </w:r>
            <w:r>
              <w:rPr>
                <w:rFonts w:hint="eastAsia"/>
                <w:bCs/>
                <w:color w:val="FF0000"/>
                <w:sz w:val="24"/>
                <w:lang w:val="en-US" w:eastAsia="zh-CN"/>
              </w:rPr>
              <w:t>，地类为工业用。</w:t>
            </w:r>
          </w:p>
          <w:p w14:paraId="47E13B82">
            <w:pPr>
              <w:spacing w:line="360" w:lineRule="auto"/>
              <w:ind w:firstLine="480" w:firstLineChars="200"/>
              <w:jc w:val="left"/>
              <w:rPr>
                <w:color w:val="FF0000"/>
                <w:sz w:val="24"/>
              </w:rPr>
            </w:pPr>
            <w:r>
              <w:rPr>
                <w:rFonts w:hint="eastAsia"/>
                <w:bCs/>
                <w:color w:val="FF0000"/>
                <w:sz w:val="24"/>
                <w:lang w:val="en-US" w:eastAsia="zh-CN"/>
              </w:rPr>
              <w:t>本项目厂区</w:t>
            </w:r>
            <w:r>
              <w:rPr>
                <w:bCs/>
                <w:color w:val="FF0000"/>
                <w:sz w:val="24"/>
              </w:rPr>
              <w:t>占地面积为</w:t>
            </w:r>
            <w:r>
              <w:rPr>
                <w:rFonts w:hint="eastAsia"/>
                <w:bCs/>
                <w:color w:val="FF0000"/>
                <w:sz w:val="24"/>
                <w:lang w:val="en-US" w:eastAsia="zh-CN"/>
              </w:rPr>
              <w:t>16000</w:t>
            </w:r>
            <w:r>
              <w:rPr>
                <w:bCs/>
                <w:color w:val="FF0000"/>
                <w:sz w:val="24"/>
              </w:rPr>
              <w:t>m</w:t>
            </w:r>
            <w:r>
              <w:rPr>
                <w:bCs/>
                <w:color w:val="FF0000"/>
                <w:sz w:val="24"/>
                <w:vertAlign w:val="superscript"/>
              </w:rPr>
              <w:t>2</w:t>
            </w:r>
            <w:r>
              <w:rPr>
                <w:bCs/>
                <w:color w:val="FF0000"/>
                <w:sz w:val="24"/>
              </w:rPr>
              <w:t>（</w:t>
            </w:r>
            <w:r>
              <w:rPr>
                <w:rFonts w:hint="eastAsia"/>
                <w:bCs/>
                <w:color w:val="FF0000"/>
                <w:sz w:val="24"/>
              </w:rPr>
              <w:t>24.75</w:t>
            </w:r>
            <w:r>
              <w:rPr>
                <w:bCs/>
                <w:color w:val="FF0000"/>
                <w:sz w:val="24"/>
              </w:rPr>
              <w:t>亩）</w:t>
            </w:r>
            <w:r>
              <w:rPr>
                <w:rFonts w:hint="eastAsia"/>
                <w:bCs/>
                <w:color w:val="FF0000"/>
                <w:sz w:val="24"/>
                <w:lang w:eastAsia="zh-CN"/>
              </w:rPr>
              <w:t>，</w:t>
            </w:r>
            <w:r>
              <w:rPr>
                <w:rFonts w:hint="eastAsia"/>
                <w:bCs/>
                <w:color w:val="FF0000"/>
                <w:sz w:val="24"/>
                <w:lang w:val="en-US" w:eastAsia="zh-CN"/>
              </w:rPr>
              <w:t>位于租用场地的西北侧</w:t>
            </w:r>
            <w:r>
              <w:rPr>
                <w:color w:val="FF0000"/>
                <w:sz w:val="24"/>
              </w:rPr>
              <w:t>，</w:t>
            </w:r>
            <w:r>
              <w:rPr>
                <w:rFonts w:hint="eastAsia"/>
                <w:color w:val="FF0000"/>
                <w:sz w:val="24"/>
              </w:rPr>
              <w:t>本项目主要从事</w:t>
            </w:r>
            <w:r>
              <w:rPr>
                <w:color w:val="FF0000"/>
                <w:sz w:val="24"/>
              </w:rPr>
              <w:t>C4210 金属废料和碎屑加工处理</w:t>
            </w:r>
            <w:r>
              <w:rPr>
                <w:rFonts w:hint="eastAsia"/>
                <w:color w:val="FF0000"/>
                <w:sz w:val="24"/>
              </w:rPr>
              <w:t>，为工业项目，</w:t>
            </w:r>
            <w:r>
              <w:rPr>
                <w:color w:val="FF0000"/>
                <w:sz w:val="24"/>
              </w:rPr>
              <w:t>符合</w:t>
            </w:r>
            <w:r>
              <w:rPr>
                <w:rFonts w:hint="eastAsia"/>
                <w:color w:val="FF0000"/>
                <w:sz w:val="24"/>
              </w:rPr>
              <w:t>现有</w:t>
            </w:r>
            <w:r>
              <w:rPr>
                <w:color w:val="FF0000"/>
                <w:sz w:val="24"/>
              </w:rPr>
              <w:t>土地利用规划；</w:t>
            </w:r>
          </w:p>
          <w:p w14:paraId="26B4BB13">
            <w:pPr>
              <w:spacing w:line="360" w:lineRule="auto"/>
              <w:ind w:firstLine="480" w:firstLineChars="200"/>
              <w:jc w:val="left"/>
              <w:rPr>
                <w:sz w:val="24"/>
              </w:rPr>
            </w:pPr>
            <w:r>
              <w:rPr>
                <w:kern w:val="0"/>
                <w:sz w:val="24"/>
              </w:rPr>
              <w:t>项目用地不属于国土资源部、国家发展和改革委员会“关于发布实施《限制用地项目目录(2012年本)》和《禁止用地项目目录(2012年本)》的通知”的项目，</w:t>
            </w:r>
            <w:r>
              <w:rPr>
                <w:sz w:val="24"/>
              </w:rPr>
              <w:t>项目用地符合要求；</w:t>
            </w:r>
          </w:p>
          <w:p w14:paraId="7747253E">
            <w:pPr>
              <w:spacing w:line="360" w:lineRule="auto"/>
              <w:ind w:firstLine="480" w:firstLineChars="200"/>
              <w:jc w:val="left"/>
              <w:rPr>
                <w:rFonts w:hint="eastAsia"/>
                <w:bCs/>
                <w:color w:val="FF0000"/>
                <w:sz w:val="24"/>
                <w:lang w:val="en-US" w:eastAsia="zh-CN"/>
              </w:rPr>
            </w:pPr>
            <w:r>
              <w:rPr>
                <w:rFonts w:hint="eastAsia"/>
                <w:bCs/>
                <w:color w:val="FF0000"/>
                <w:sz w:val="24"/>
                <w:lang w:val="en-US" w:eastAsia="zh-CN"/>
              </w:rPr>
              <w:t>根据《北票市五间房镇国土空间总体规划（2021-2035）》本项目位于五间房镇规划的工业用地范围，</w:t>
            </w:r>
            <w:r>
              <w:rPr>
                <w:rFonts w:hint="eastAsia"/>
                <w:color w:val="FF0000"/>
                <w:sz w:val="24"/>
              </w:rPr>
              <w:t>本项目主要从事</w:t>
            </w:r>
            <w:r>
              <w:rPr>
                <w:color w:val="FF0000"/>
                <w:sz w:val="24"/>
              </w:rPr>
              <w:t>C4210 金属废料和碎屑加工处理</w:t>
            </w:r>
            <w:r>
              <w:rPr>
                <w:rFonts w:hint="eastAsia"/>
                <w:color w:val="FF0000"/>
                <w:sz w:val="24"/>
              </w:rPr>
              <w:t>，为工业项目，</w:t>
            </w:r>
            <w:r>
              <w:rPr>
                <w:color w:val="FF0000"/>
                <w:sz w:val="24"/>
              </w:rPr>
              <w:t>符合</w:t>
            </w:r>
            <w:r>
              <w:rPr>
                <w:rFonts w:hint="eastAsia"/>
                <w:bCs/>
                <w:color w:val="FF0000"/>
                <w:sz w:val="24"/>
                <w:lang w:val="en-US" w:eastAsia="zh-CN"/>
              </w:rPr>
              <w:t>五间房镇国土空间总体</w:t>
            </w:r>
            <w:r>
              <w:rPr>
                <w:color w:val="FF0000"/>
                <w:sz w:val="24"/>
              </w:rPr>
              <w:t>规划</w:t>
            </w:r>
            <w:r>
              <w:rPr>
                <w:rFonts w:hint="eastAsia"/>
                <w:color w:val="FF0000"/>
                <w:sz w:val="24"/>
                <w:lang w:eastAsia="zh-CN"/>
              </w:rPr>
              <w:t>，</w:t>
            </w:r>
            <w:r>
              <w:rPr>
                <w:rFonts w:hint="eastAsia"/>
                <w:color w:val="FF0000"/>
                <w:sz w:val="24"/>
                <w:lang w:val="en-US" w:eastAsia="zh-CN"/>
              </w:rPr>
              <w:t>位置关系见图</w:t>
            </w:r>
            <w:r>
              <w:rPr>
                <w:rFonts w:hint="default" w:ascii="Times New Roman" w:hAnsi="Times New Roman" w:cs="Times New Roman"/>
                <w:color w:val="FF0000"/>
                <w:sz w:val="24"/>
                <w:lang w:val="en-US" w:eastAsia="zh-CN"/>
              </w:rPr>
              <w:t>1-1。</w:t>
            </w:r>
          </w:p>
          <w:p w14:paraId="4D09AAE4">
            <w:pPr>
              <w:pStyle w:val="49"/>
              <w:jc w:val="center"/>
              <w:rPr>
                <w:rFonts w:hint="default" w:ascii="Times New Roman" w:hAnsi="Times New Roman" w:cs="Times New Roman"/>
                <w:b/>
                <w:bCs/>
                <w:color w:val="FF0000"/>
                <w:sz w:val="21"/>
                <w:szCs w:val="20"/>
                <w:lang w:val="en-US" w:eastAsia="zh-CN"/>
              </w:rPr>
            </w:pPr>
            <w:r>
              <w:rPr>
                <w:color w:val="FF0000"/>
                <w:sz w:val="24"/>
              </w:rPr>
              <mc:AlternateContent>
                <mc:Choice Requires="wps">
                  <w:drawing>
                    <wp:anchor distT="0" distB="0" distL="114300" distR="114300" simplePos="0" relativeHeight="251708416" behindDoc="0" locked="0" layoutInCell="1" allowOverlap="1">
                      <wp:simplePos x="0" y="0"/>
                      <wp:positionH relativeFrom="column">
                        <wp:posOffset>1971040</wp:posOffset>
                      </wp:positionH>
                      <wp:positionV relativeFrom="paragraph">
                        <wp:posOffset>4810125</wp:posOffset>
                      </wp:positionV>
                      <wp:extent cx="722630" cy="118745"/>
                      <wp:effectExtent l="6350" t="545465" r="490220" b="21590"/>
                      <wp:wrapNone/>
                      <wp:docPr id="29" name="线形标注 1 29"/>
                      <wp:cNvGraphicFramePr/>
                      <a:graphic xmlns:a="http://schemas.openxmlformats.org/drawingml/2006/main">
                        <a:graphicData uri="http://schemas.microsoft.com/office/word/2010/wordprocessingShape">
                          <wps:wsp>
                            <wps:cNvSpPr/>
                            <wps:spPr>
                              <a:xfrm>
                                <a:off x="3716020" y="8773795"/>
                                <a:ext cx="722630" cy="118745"/>
                              </a:xfrm>
                              <a:prstGeom prst="borderCallout1">
                                <a:avLst>
                                  <a:gd name="adj1" fmla="val -28342"/>
                                  <a:gd name="adj2" fmla="val 102548"/>
                                  <a:gd name="adj3" fmla="val -455614"/>
                                  <a:gd name="adj4" fmla="val 165026"/>
                                </a:avLst>
                              </a:prstGeom>
                              <a:noFill/>
                              <a:ln w="12700">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2C676BD1">
                                  <w:pPr>
                                    <w:jc w:val="center"/>
                                    <w:rPr>
                                      <w:color w:val="auto"/>
                                      <w14:textFill>
                                        <w14:noFill/>
                                      </w14:textFill>
                                    </w:rP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47" type="#_x0000_t47" style="position:absolute;left:0pt;margin-left:155.2pt;margin-top:378.75pt;height:9.35pt;width:56.9pt;z-index:251708416;v-text-anchor:middle;mso-width-relative:page;mso-height-relative:page;" filled="f" stroked="t" coordsize="21600,21600" o:gfxdata="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" adj="35646,-98413,22150,-6122">
                      <v:fill on="f" focussize="0,0"/>
                      <v:stroke weight="1pt" color="#FF0000 [2404]" joinstyle="round"/>
                      <v:imagedata o:title=""/>
                      <o:lock v:ext="edit" aspectratio="f"/>
                      <v:textbox>
                        <w:txbxContent>
                          <w:p w14:paraId="2C676BD1">
                            <w:pPr>
                              <w:jc w:val="center"/>
                              <w:rPr>
                                <w:color w:val="auto"/>
                                <w14:textFill>
                                  <w14:noFill/>
                                </w14:textFill>
                              </w:rPr>
                            </w:pPr>
                          </w:p>
                        </w:txbxContent>
                      </v:textbox>
                    </v:shape>
                  </w:pict>
                </mc:Fallback>
              </mc:AlternateContent>
            </w:r>
            <w:r>
              <w:rPr>
                <w:color w:val="FF0000"/>
                <w:sz w:val="24"/>
              </w:rPr>
              <mc:AlternateContent>
                <mc:Choice Requires="wps">
                  <w:drawing>
                    <wp:anchor distT="0" distB="0" distL="114300" distR="114300" simplePos="0" relativeHeight="251707392" behindDoc="0" locked="0" layoutInCell="1" allowOverlap="1">
                      <wp:simplePos x="0" y="0"/>
                      <wp:positionH relativeFrom="column">
                        <wp:posOffset>3695065</wp:posOffset>
                      </wp:positionH>
                      <wp:positionV relativeFrom="paragraph">
                        <wp:posOffset>1094740</wp:posOffset>
                      </wp:positionV>
                      <wp:extent cx="706120" cy="325755"/>
                      <wp:effectExtent l="6350" t="6350" r="11430" b="696595"/>
                      <wp:wrapNone/>
                      <wp:docPr id="12" name="线形标注 1 12"/>
                      <wp:cNvGraphicFramePr/>
                      <a:graphic xmlns:a="http://schemas.openxmlformats.org/drawingml/2006/main">
                        <a:graphicData uri="http://schemas.microsoft.com/office/word/2010/wordprocessingShape">
                          <wps:wsp>
                            <wps:cNvSpPr/>
                            <wps:spPr>
                              <a:xfrm>
                                <a:off x="5883275" y="5813425"/>
                                <a:ext cx="706120" cy="325755"/>
                              </a:xfrm>
                              <a:prstGeom prst="borderCallout1">
                                <a:avLst>
                                  <a:gd name="adj1" fmla="val 105338"/>
                                  <a:gd name="adj2" fmla="val 51442"/>
                                  <a:gd name="adj3" fmla="val 311890"/>
                                  <a:gd name="adj4" fmla="val 719"/>
                                </a:avLst>
                              </a:prstGeom>
                              <a:noFill/>
                              <a:ln w="12700">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420EB492">
                                  <w:pPr>
                                    <w:jc w:val="left"/>
                                    <w:rPr>
                                      <w:rFonts w:hint="default" w:eastAsia="宋体"/>
                                      <w:b/>
                                      <w:bCs/>
                                      <w:color w:val="FF0000"/>
                                      <w:sz w:val="18"/>
                                      <w:szCs w:val="21"/>
                                      <w:lang w:val="en-US" w:eastAsia="zh-CN"/>
                                    </w:rPr>
                                  </w:pPr>
                                  <w:r>
                                    <w:rPr>
                                      <w:rFonts w:hint="eastAsia"/>
                                      <w:b/>
                                      <w:bCs/>
                                      <w:color w:val="FF0000"/>
                                      <w:sz w:val="18"/>
                                      <w:szCs w:val="21"/>
                                      <w:lang w:val="en-US" w:eastAsia="zh-CN"/>
                                    </w:rPr>
                                    <w:t>项目位置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47" type="#_x0000_t47" style="position:absolute;left:0pt;margin-left:290.95pt;margin-top:86.2pt;height:25.65pt;width:55.6pt;z-index:251707392;v-text-anchor:middle;mso-width-relative:page;mso-height-relative:page;" filled="f" stroked="t" coordsize="21600,21600" o:gfxdata="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" adj="155,67368,11111,22753">
                      <v:fill on="f" focussize="0,0"/>
                      <v:stroke weight="1pt" color="#FF0000 [2404]" joinstyle="round"/>
                      <v:imagedata o:title=""/>
                      <o:lock v:ext="edit" aspectratio="f"/>
                      <v:textbox>
                        <w:txbxContent>
                          <w:p w14:paraId="420EB492">
                            <w:pPr>
                              <w:jc w:val="left"/>
                              <w:rPr>
                                <w:rFonts w:hint="default" w:eastAsia="宋体"/>
                                <w:b/>
                                <w:bCs/>
                                <w:color w:val="FF0000"/>
                                <w:sz w:val="18"/>
                                <w:szCs w:val="21"/>
                                <w:lang w:val="en-US" w:eastAsia="zh-CN"/>
                              </w:rPr>
                            </w:pPr>
                            <w:r>
                              <w:rPr>
                                <w:rFonts w:hint="eastAsia"/>
                                <w:b/>
                                <w:bCs/>
                                <w:color w:val="FF0000"/>
                                <w:sz w:val="18"/>
                                <w:szCs w:val="21"/>
                                <w:lang w:val="en-US" w:eastAsia="zh-CN"/>
                              </w:rPr>
                              <w:t>项目位置</w:t>
                            </w:r>
                          </w:p>
                        </w:txbxContent>
                      </v:textbox>
                    </v:shape>
                  </w:pict>
                </mc:Fallback>
              </mc:AlternateContent>
            </w:r>
            <w:r>
              <w:rPr>
                <w:color w:val="FF0000"/>
                <w:sz w:val="24"/>
              </w:rPr>
              <mc:AlternateContent>
                <mc:Choice Requires="wps">
                  <w:drawing>
                    <wp:anchor distT="0" distB="0" distL="114300" distR="114300" simplePos="0" relativeHeight="251706368" behindDoc="0" locked="0" layoutInCell="1" allowOverlap="1">
                      <wp:simplePos x="0" y="0"/>
                      <wp:positionH relativeFrom="column">
                        <wp:posOffset>2992755</wp:posOffset>
                      </wp:positionH>
                      <wp:positionV relativeFrom="paragraph">
                        <wp:posOffset>1650365</wp:posOffset>
                      </wp:positionV>
                      <wp:extent cx="1460500" cy="1039495"/>
                      <wp:effectExtent l="4445" t="4445" r="20955" b="1604010"/>
                      <wp:wrapNone/>
                      <wp:docPr id="3" name="矩形标注 3"/>
                      <wp:cNvGraphicFramePr/>
                      <a:graphic xmlns:a="http://schemas.openxmlformats.org/drawingml/2006/main">
                        <a:graphicData uri="http://schemas.microsoft.com/office/word/2010/wordprocessingShape">
                          <wps:wsp>
                            <wps:cNvSpPr/>
                            <wps:spPr>
                              <a:xfrm>
                                <a:off x="2362835" y="7019925"/>
                                <a:ext cx="1460500" cy="1039495"/>
                              </a:xfrm>
                              <a:prstGeom prst="wedgeRectCallout">
                                <a:avLst>
                                  <a:gd name="adj1" fmla="val -38217"/>
                                  <a:gd name="adj2" fmla="val 202290"/>
                                </a:avLst>
                              </a:prstGeom>
                              <a:solidFill>
                                <a:schemeClr val="bg1"/>
                              </a:solidFill>
                              <a:ln w="6350">
                                <a:solidFill>
                                  <a:schemeClr val="tx1"/>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466694B4">
                                  <w:pPr>
                                    <w:jc w:val="center"/>
                                    <w:rPr>
                                      <w14:textOutline w14:w="6350">
                                        <w14:solidFill>
                                          <w14:srgbClr w14:val="FFFF00"/>
                                        </w14:solidFill>
                                        <w14:round/>
                                      </w14:textOutline>
                                    </w:rPr>
                                  </w:pPr>
                                  <w:r>
                                    <w:drawing>
                                      <wp:inline distT="0" distB="0" distL="114300" distR="114300">
                                        <wp:extent cx="1267460" cy="887730"/>
                                        <wp:effectExtent l="0" t="0" r="8890" b="7620"/>
                                        <wp:docPr id="6"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4"/>
                                                <pic:cNvPicPr>
                                                  <a:picLocks noChangeAspect="1"/>
                                                </pic:cNvPicPr>
                                              </pic:nvPicPr>
                                              <pic:blipFill>
                                                <a:blip r:embed="rId14"/>
                                                <a:stretch>
                                                  <a:fillRect/>
                                                </a:stretch>
                                              </pic:blipFill>
                                              <pic:spPr>
                                                <a:xfrm>
                                                  <a:off x="0" y="0"/>
                                                  <a:ext cx="1267460" cy="88773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235.65pt;margin-top:129.95pt;height:81.85pt;width:115pt;z-index:251706368;v-text-anchor:middle;mso-width-relative:page;mso-height-relative:page;" fillcolor="#FFFFFF [3212]" filled="t" stroked="t" coordsize="21600,21600" o:gfxdata="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" adj="2545,54495">
                      <v:fill on="t" focussize="0,0"/>
                      <v:stroke weight="0.5pt" color="#000000 [3213]" joinstyle="round"/>
                      <v:imagedata o:title=""/>
                      <o:lock v:ext="edit" aspectratio="f"/>
                      <v:textbox>
                        <w:txbxContent>
                          <w:p w14:paraId="466694B4">
                            <w:pPr>
                              <w:jc w:val="center"/>
                              <w:rPr>
                                <w14:textOutline w14:w="6350">
                                  <w14:solidFill>
                                    <w14:srgbClr w14:val="FFFF00"/>
                                  </w14:solidFill>
                                  <w14:round/>
                                </w14:textOutline>
                              </w:rPr>
                            </w:pPr>
                            <w:r>
                              <w:drawing>
                                <wp:inline distT="0" distB="0" distL="114300" distR="114300">
                                  <wp:extent cx="1267460" cy="887730"/>
                                  <wp:effectExtent l="0" t="0" r="8890" b="7620"/>
                                  <wp:docPr id="6"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4"/>
                                          <pic:cNvPicPr>
                                            <a:picLocks noChangeAspect="1"/>
                                          </pic:cNvPicPr>
                                        </pic:nvPicPr>
                                        <pic:blipFill>
                                          <a:blip r:embed="rId14"/>
                                          <a:stretch>
                                            <a:fillRect/>
                                          </a:stretch>
                                        </pic:blipFill>
                                        <pic:spPr>
                                          <a:xfrm>
                                            <a:off x="0" y="0"/>
                                            <a:ext cx="1267460" cy="887730"/>
                                          </a:xfrm>
                                          <a:prstGeom prst="rect">
                                            <a:avLst/>
                                          </a:prstGeom>
                                          <a:noFill/>
                                          <a:ln>
                                            <a:noFill/>
                                          </a:ln>
                                        </pic:spPr>
                                      </pic:pic>
                                    </a:graphicData>
                                  </a:graphic>
                                </wp:inline>
                              </w:drawing>
                            </w:r>
                          </w:p>
                        </w:txbxContent>
                      </v:textbox>
                    </v:shape>
                  </w:pict>
                </mc:Fallback>
              </mc:AlternateContent>
            </w:r>
            <w:r>
              <w:rPr>
                <w:rFonts w:hint="default"/>
                <w:color w:val="FF0000"/>
                <w:lang w:val="en-US" w:eastAsia="zh-CN"/>
              </w:rPr>
              <w:drawing>
                <wp:anchor distT="0" distB="0" distL="114300" distR="114300" simplePos="0" relativeHeight="251705344" behindDoc="0" locked="0" layoutInCell="1" allowOverlap="1">
                  <wp:simplePos x="0" y="0"/>
                  <wp:positionH relativeFrom="column">
                    <wp:posOffset>309880</wp:posOffset>
                  </wp:positionH>
                  <wp:positionV relativeFrom="paragraph">
                    <wp:posOffset>57150</wp:posOffset>
                  </wp:positionV>
                  <wp:extent cx="4177665" cy="5258435"/>
                  <wp:effectExtent l="0" t="0" r="13335" b="18415"/>
                  <wp:wrapTopAndBottom/>
                  <wp:docPr id="1" name="图片 1" descr="北票市五间房镇国土空间总体规划（201-2035年）规划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北票市五间房镇国土空间总体规划（201-2035年）规划图"/>
                          <pic:cNvPicPr>
                            <a:picLocks noChangeAspect="1"/>
                          </pic:cNvPicPr>
                        </pic:nvPicPr>
                        <pic:blipFill>
                          <a:blip r:embed="rId15"/>
                          <a:stretch>
                            <a:fillRect/>
                          </a:stretch>
                        </pic:blipFill>
                        <pic:spPr>
                          <a:xfrm>
                            <a:off x="0" y="0"/>
                            <a:ext cx="4177665" cy="5258435"/>
                          </a:xfrm>
                          <a:prstGeom prst="rect">
                            <a:avLst/>
                          </a:prstGeom>
                        </pic:spPr>
                      </pic:pic>
                    </a:graphicData>
                  </a:graphic>
                </wp:anchor>
              </w:drawing>
            </w:r>
            <w:r>
              <w:rPr>
                <w:rFonts w:hint="default" w:ascii="Times New Roman" w:hAnsi="Times New Roman" w:cs="Times New Roman"/>
                <w:b/>
                <w:bCs/>
                <w:color w:val="FF0000"/>
                <w:sz w:val="21"/>
                <w:szCs w:val="20"/>
                <w:lang w:val="en-US" w:eastAsia="zh-CN"/>
              </w:rPr>
              <w:t>图1-1  北票市五间房镇国土空间总体规划图</w:t>
            </w:r>
          </w:p>
          <w:p w14:paraId="7E79A15D">
            <w:pPr>
              <w:spacing w:line="360" w:lineRule="auto"/>
              <w:ind w:firstLine="480" w:firstLineChars="200"/>
              <w:jc w:val="left"/>
              <w:rPr>
                <w:bCs/>
                <w:color w:val="000000"/>
                <w:sz w:val="24"/>
              </w:rPr>
            </w:pPr>
            <w:r>
              <w:rPr>
                <w:bCs/>
                <w:color w:val="000000"/>
                <w:sz w:val="24"/>
              </w:rPr>
              <w:t>（2）环境相容性</w:t>
            </w:r>
          </w:p>
          <w:p w14:paraId="1B306858">
            <w:pPr>
              <w:spacing w:line="360" w:lineRule="auto"/>
              <w:ind w:firstLine="480" w:firstLineChars="200"/>
              <w:jc w:val="left"/>
              <w:rPr>
                <w:bCs/>
                <w:color w:val="000000"/>
                <w:sz w:val="24"/>
              </w:rPr>
            </w:pPr>
            <w:r>
              <w:rPr>
                <w:sz w:val="24"/>
              </w:rPr>
              <w:t>本项目位于辽宁省朝阳市北票市宝锦线凉水河北侧3幢01023</w:t>
            </w:r>
            <w:r>
              <w:rPr>
                <w:rFonts w:hint="eastAsia"/>
                <w:sz w:val="24"/>
              </w:rPr>
              <w:t>，</w:t>
            </w:r>
            <w:r>
              <w:rPr>
                <w:bCs/>
                <w:color w:val="000000"/>
                <w:sz w:val="24"/>
              </w:rPr>
              <w:t>本项目各项污染物在各项处理措施建设实施后，能够达标排放。因此，本项目建设于周边环境相容。</w:t>
            </w:r>
          </w:p>
          <w:p w14:paraId="2B1FBFAD">
            <w:pPr>
              <w:pStyle w:val="18"/>
              <w:spacing w:line="240" w:lineRule="auto"/>
              <w:rPr>
                <w:bCs/>
                <w:color w:val="FF0000"/>
                <w:sz w:val="24"/>
              </w:rPr>
            </w:pPr>
            <w:r>
              <w:rPr>
                <w:rFonts w:hint="eastAsia"/>
                <w:bCs/>
                <w:color w:val="FF0000"/>
                <w:sz w:val="24"/>
              </w:rPr>
              <w:t>（3）</w:t>
            </w:r>
            <w:r>
              <w:rPr>
                <w:bCs/>
                <w:color w:val="FF0000"/>
                <w:sz w:val="24"/>
              </w:rPr>
              <w:t>环境承载能力</w:t>
            </w:r>
          </w:p>
          <w:p w14:paraId="2E86C004">
            <w:pPr>
              <w:spacing w:line="360" w:lineRule="auto"/>
              <w:ind w:firstLine="480" w:firstLineChars="200"/>
              <w:jc w:val="left"/>
              <w:rPr>
                <w:color w:val="FF0000"/>
                <w:sz w:val="24"/>
              </w:rPr>
            </w:pPr>
            <w:r>
              <w:rPr>
                <w:color w:val="FF0000"/>
                <w:sz w:val="24"/>
              </w:rPr>
              <w:t>本项目位于辽宁省朝阳市北票市宝锦线凉水河北侧3幢01023。</w:t>
            </w:r>
          </w:p>
          <w:p w14:paraId="3795BEE7">
            <w:pPr>
              <w:spacing w:line="360" w:lineRule="auto"/>
              <w:ind w:firstLine="480" w:firstLineChars="200"/>
              <w:jc w:val="left"/>
              <w:rPr>
                <w:rFonts w:hint="eastAsia"/>
                <w:color w:val="FF0000"/>
                <w:sz w:val="24"/>
                <w:lang w:eastAsia="zh-CN"/>
              </w:rPr>
            </w:pPr>
            <w:r>
              <w:rPr>
                <w:rFonts w:hint="eastAsia"/>
                <w:color w:val="FF0000"/>
                <w:sz w:val="24"/>
                <w:lang w:val="en-US" w:eastAsia="zh-CN"/>
              </w:rPr>
              <w:t>项目四至：</w:t>
            </w:r>
            <w:r>
              <w:rPr>
                <w:color w:val="FF0000"/>
                <w:sz w:val="24"/>
              </w:rPr>
              <w:t>厂界</w:t>
            </w:r>
            <w:r>
              <w:rPr>
                <w:rFonts w:hint="eastAsia"/>
                <w:color w:val="FF0000"/>
                <w:sz w:val="24"/>
              </w:rPr>
              <w:t>东</w:t>
            </w:r>
            <w:r>
              <w:rPr>
                <w:color w:val="FF0000"/>
                <w:sz w:val="24"/>
              </w:rPr>
              <w:t>北侧为</w:t>
            </w:r>
            <w:r>
              <w:rPr>
                <w:rFonts w:hint="eastAsia"/>
                <w:color w:val="FF0000"/>
                <w:sz w:val="24"/>
                <w:lang w:val="en-US" w:eastAsia="zh-CN"/>
              </w:rPr>
              <w:t>工业用</w:t>
            </w:r>
            <w:r>
              <w:rPr>
                <w:rFonts w:hint="eastAsia"/>
                <w:color w:val="FF0000"/>
                <w:sz w:val="24"/>
              </w:rPr>
              <w:t>地</w:t>
            </w:r>
            <w:r>
              <w:rPr>
                <w:color w:val="FF0000"/>
                <w:sz w:val="24"/>
              </w:rPr>
              <w:t>，</w:t>
            </w:r>
            <w:r>
              <w:rPr>
                <w:rFonts w:hint="eastAsia"/>
                <w:color w:val="FF0000"/>
                <w:sz w:val="24"/>
              </w:rPr>
              <w:t>东</w:t>
            </w:r>
            <w:r>
              <w:rPr>
                <w:color w:val="FF0000"/>
                <w:sz w:val="24"/>
              </w:rPr>
              <w:t>南侧为</w:t>
            </w:r>
            <w:r>
              <w:rPr>
                <w:rFonts w:hint="eastAsia"/>
                <w:color w:val="FF0000"/>
                <w:sz w:val="24"/>
                <w:lang w:val="en-US" w:eastAsia="zh-CN"/>
              </w:rPr>
              <w:t>天鹅堡欢乐世界</w:t>
            </w:r>
            <w:r>
              <w:rPr>
                <w:color w:val="FF0000"/>
                <w:sz w:val="24"/>
              </w:rPr>
              <w:t>，西</w:t>
            </w:r>
            <w:r>
              <w:rPr>
                <w:rFonts w:hint="eastAsia"/>
                <w:color w:val="FF0000"/>
                <w:sz w:val="24"/>
              </w:rPr>
              <w:t>南</w:t>
            </w:r>
            <w:r>
              <w:rPr>
                <w:color w:val="FF0000"/>
                <w:sz w:val="24"/>
              </w:rPr>
              <w:t>侧为</w:t>
            </w:r>
            <w:r>
              <w:rPr>
                <w:rFonts w:hint="eastAsia"/>
                <w:color w:val="FF0000"/>
                <w:sz w:val="24"/>
              </w:rPr>
              <w:t>S218宝锦线、隔路为</w:t>
            </w:r>
            <w:r>
              <w:rPr>
                <w:rFonts w:hint="eastAsia"/>
                <w:color w:val="FF0000"/>
                <w:sz w:val="24"/>
                <w:lang w:eastAsia="zh-CN"/>
              </w:rPr>
              <w:t>凉水河</w:t>
            </w:r>
            <w:r>
              <w:rPr>
                <w:color w:val="FF0000"/>
                <w:sz w:val="24"/>
              </w:rPr>
              <w:t>，</w:t>
            </w:r>
            <w:r>
              <w:rPr>
                <w:rFonts w:hint="eastAsia"/>
                <w:color w:val="FF0000"/>
                <w:sz w:val="24"/>
              </w:rPr>
              <w:t>西北</w:t>
            </w:r>
            <w:r>
              <w:rPr>
                <w:color w:val="FF0000"/>
                <w:sz w:val="24"/>
              </w:rPr>
              <w:t>侧为</w:t>
            </w:r>
            <w:r>
              <w:rPr>
                <w:rFonts w:hint="eastAsia"/>
                <w:color w:val="FF0000"/>
                <w:sz w:val="24"/>
              </w:rPr>
              <w:t>北票市华运汽车销售维修有限公司</w:t>
            </w:r>
            <w:r>
              <w:rPr>
                <w:rFonts w:hint="eastAsia"/>
                <w:color w:val="FF0000"/>
                <w:sz w:val="24"/>
                <w:lang w:eastAsia="zh-CN"/>
              </w:rPr>
              <w:t>。</w:t>
            </w:r>
            <w:bookmarkStart w:id="34" w:name="_GoBack"/>
            <w:bookmarkEnd w:id="34"/>
          </w:p>
          <w:p w14:paraId="2D714B73">
            <w:pPr>
              <w:spacing w:line="360" w:lineRule="auto"/>
              <w:ind w:firstLine="480" w:firstLineChars="200"/>
              <w:jc w:val="left"/>
              <w:rPr>
                <w:rFonts w:hint="eastAsia"/>
                <w:color w:val="FF0000"/>
                <w:sz w:val="24"/>
                <w:lang w:eastAsia="zh-CN"/>
              </w:rPr>
            </w:pPr>
            <w:r>
              <w:rPr>
                <w:rFonts w:hint="eastAsia"/>
                <w:color w:val="FF0000"/>
                <w:sz w:val="24"/>
                <w:lang w:val="en-US" w:eastAsia="zh-CN"/>
              </w:rPr>
              <w:t>根据</w:t>
            </w:r>
            <w:r>
              <w:rPr>
                <w:rFonts w:hint="eastAsia"/>
                <w:color w:val="FF0000"/>
                <w:sz w:val="24"/>
                <w:lang w:eastAsia="zh-CN"/>
              </w:rPr>
              <w:t>《部令第16号 建设项目环境影响评价分类管理名录（2021年版）</w:t>
            </w:r>
            <w:r>
              <w:rPr>
                <w:rFonts w:hint="eastAsia"/>
                <w:color w:val="FF0000"/>
                <w:sz w:val="24"/>
                <w:lang w:val="en-US" w:eastAsia="zh-CN"/>
              </w:rPr>
              <w:t>中第三条 本名录所称环境敏感区是指依法设立的各级各类保护区域和对建设项目产生的环境影响特别敏感的区域，主要包括下列区域：</w:t>
            </w:r>
          </w:p>
          <w:p w14:paraId="7C0BE5A7">
            <w:pPr>
              <w:spacing w:line="360" w:lineRule="auto"/>
              <w:ind w:firstLine="480" w:firstLineChars="200"/>
              <w:jc w:val="left"/>
              <w:rPr>
                <w:rFonts w:hint="eastAsia"/>
                <w:color w:val="FF0000"/>
                <w:sz w:val="24"/>
                <w:lang w:eastAsia="zh-CN"/>
              </w:rPr>
            </w:pPr>
            <w:r>
              <w:rPr>
                <w:rFonts w:hint="eastAsia"/>
                <w:color w:val="FF0000"/>
                <w:sz w:val="24"/>
                <w:lang w:val="en-US" w:eastAsia="zh-CN"/>
              </w:rPr>
              <w:t>（一）国家公园、自然保护区、风景名胜区、世界文化和自然遗产地、海洋特别保护区、饮用水水源保护区；</w:t>
            </w:r>
          </w:p>
          <w:p w14:paraId="5531279E">
            <w:pPr>
              <w:spacing w:line="360" w:lineRule="auto"/>
              <w:ind w:firstLine="480" w:firstLineChars="200"/>
              <w:jc w:val="left"/>
              <w:rPr>
                <w:rFonts w:hint="eastAsia"/>
                <w:color w:val="FF0000"/>
                <w:sz w:val="24"/>
                <w:lang w:eastAsia="zh-CN"/>
              </w:rPr>
            </w:pPr>
            <w:r>
              <w:rPr>
                <w:rFonts w:hint="eastAsia"/>
                <w:color w:val="FF0000"/>
                <w:sz w:val="24"/>
                <w:lang w:val="en-US" w:eastAsia="zh-CN"/>
              </w:rPr>
              <w:t>（二）除（一）外的生态保护红线管控范围，永久基本农田、基本草原、自然公园（森林公园、地质公园、海洋公园等）、重要湿地、天然林，重点保护野生动物栖息地，重点保护野生植物生长繁殖地，重要水生生物的自然产卵场、索饵场、越冬场和洄游通道，天然渔场，水土流失重点预防区和重点治理区、沙化土地封禁保护区、封闭及半封闭海域；</w:t>
            </w:r>
          </w:p>
          <w:p w14:paraId="049AB206">
            <w:pPr>
              <w:spacing w:line="360" w:lineRule="auto"/>
              <w:ind w:firstLine="480" w:firstLineChars="200"/>
              <w:jc w:val="left"/>
              <w:rPr>
                <w:rFonts w:hint="eastAsia"/>
                <w:color w:val="FF0000"/>
                <w:sz w:val="24"/>
                <w:lang w:eastAsia="zh-CN"/>
              </w:rPr>
            </w:pPr>
            <w:r>
              <w:rPr>
                <w:rFonts w:hint="eastAsia"/>
                <w:color w:val="FF0000"/>
                <w:sz w:val="24"/>
                <w:lang w:val="en-US" w:eastAsia="zh-CN"/>
              </w:rPr>
              <w:t>（三）以居住、医疗卫生、文化教育、科研、行政办公为主要功能的区域，以及文物保护单位。</w:t>
            </w:r>
          </w:p>
          <w:p w14:paraId="0D81E0B0">
            <w:pPr>
              <w:spacing w:line="360" w:lineRule="auto"/>
              <w:ind w:firstLine="480" w:firstLineChars="200"/>
              <w:jc w:val="left"/>
              <w:rPr>
                <w:rFonts w:hint="eastAsia"/>
                <w:color w:val="0070C0"/>
                <w:sz w:val="24"/>
                <w:lang w:eastAsia="zh-CN"/>
              </w:rPr>
            </w:pPr>
            <w:r>
              <w:rPr>
                <w:color w:val="0070C0"/>
                <w:sz w:val="24"/>
              </w:rPr>
              <w:t>关于东南侧“天鹅堡欢乐世界”的说明：天鹅堡欢乐世界</w:t>
            </w:r>
            <w:r>
              <w:rPr>
                <w:rFonts w:hint="eastAsia"/>
                <w:color w:val="0070C0"/>
                <w:sz w:val="24"/>
                <w:lang w:val="en-US" w:eastAsia="zh-CN"/>
              </w:rPr>
              <w:t>属于休闲娱乐的商业营利性场所，</w:t>
            </w:r>
            <w:r>
              <w:rPr>
                <w:rFonts w:hint="default"/>
                <w:color w:val="0070C0"/>
                <w:sz w:val="24"/>
              </w:rPr>
              <w:t>虽然其功能</w:t>
            </w:r>
            <w:r>
              <w:rPr>
                <w:rFonts w:hint="eastAsia"/>
                <w:color w:val="0070C0"/>
                <w:sz w:val="24"/>
                <w:lang w:val="en-US" w:eastAsia="zh-CN"/>
              </w:rPr>
              <w:t>不</w:t>
            </w:r>
            <w:r>
              <w:rPr>
                <w:rFonts w:hint="default"/>
                <w:color w:val="0070C0"/>
                <w:sz w:val="24"/>
              </w:rPr>
              <w:t>属于名录关注</w:t>
            </w:r>
            <w:r>
              <w:rPr>
                <w:rFonts w:hint="eastAsia"/>
                <w:color w:val="0070C0"/>
                <w:sz w:val="24"/>
                <w:lang w:val="en-US" w:eastAsia="zh-CN"/>
              </w:rPr>
              <w:t>的以居住、医疗卫生、文化教育、科研、行政办公为主要功能的区域</w:t>
            </w:r>
            <w:r>
              <w:rPr>
                <w:rFonts w:hint="eastAsia"/>
                <w:color w:val="0070C0"/>
                <w:sz w:val="24"/>
                <w:lang w:eastAsia="zh-CN"/>
              </w:rPr>
              <w:t>，</w:t>
            </w:r>
            <w:r>
              <w:rPr>
                <w:rFonts w:hint="eastAsia"/>
                <w:color w:val="0070C0"/>
                <w:sz w:val="24"/>
                <w:lang w:val="en-US" w:eastAsia="zh-CN"/>
              </w:rPr>
              <w:t>但</w:t>
            </w:r>
            <w:r>
              <w:rPr>
                <w:rFonts w:hint="eastAsia"/>
                <w:color w:val="0070C0"/>
                <w:sz w:val="24"/>
                <w:lang w:eastAsia="zh-CN"/>
              </w:rPr>
              <w:t>游乐设施可能吸引儿童活动，需考虑项目运营产生的噪声、</w:t>
            </w:r>
            <w:r>
              <w:rPr>
                <w:rFonts w:hint="eastAsia"/>
                <w:color w:val="0070C0"/>
                <w:sz w:val="24"/>
                <w:lang w:val="en-US" w:eastAsia="zh-CN"/>
              </w:rPr>
              <w:t>废气</w:t>
            </w:r>
            <w:r>
              <w:rPr>
                <w:rFonts w:hint="eastAsia"/>
                <w:color w:val="0070C0"/>
                <w:sz w:val="24"/>
                <w:lang w:eastAsia="zh-CN"/>
              </w:rPr>
              <w:t>对敏感人群的</w:t>
            </w:r>
            <w:r>
              <w:rPr>
                <w:rFonts w:hint="eastAsia"/>
                <w:color w:val="0070C0"/>
                <w:sz w:val="24"/>
                <w:lang w:val="en-US" w:eastAsia="zh-CN"/>
              </w:rPr>
              <w:t>潜在</w:t>
            </w:r>
            <w:r>
              <w:rPr>
                <w:rFonts w:hint="eastAsia"/>
                <w:color w:val="0070C0"/>
                <w:sz w:val="24"/>
                <w:lang w:eastAsia="zh-CN"/>
              </w:rPr>
              <w:t>影响。</w:t>
            </w:r>
          </w:p>
          <w:p w14:paraId="728D7B1F">
            <w:pPr>
              <w:spacing w:line="360" w:lineRule="auto"/>
              <w:ind w:firstLine="480" w:firstLineChars="200"/>
              <w:jc w:val="left"/>
              <w:rPr>
                <w:rFonts w:hint="default"/>
                <w:color w:val="0070C0"/>
                <w:sz w:val="24"/>
              </w:rPr>
            </w:pPr>
            <w:r>
              <w:rPr>
                <w:rFonts w:hint="default"/>
                <w:color w:val="0070C0"/>
                <w:sz w:val="24"/>
              </w:rPr>
              <w:t>经实地调查确认，项目厂界东南侧紧邻的“天鹅堡欢乐世界”</w:t>
            </w:r>
            <w:r>
              <w:rPr>
                <w:rFonts w:hint="eastAsia"/>
                <w:color w:val="0070C0"/>
                <w:sz w:val="24"/>
                <w:lang w:val="en-US" w:eastAsia="zh-CN"/>
              </w:rPr>
              <w:t>由于运营效益较差，</w:t>
            </w:r>
            <w:r>
              <w:rPr>
                <w:rFonts w:hint="default"/>
                <w:color w:val="0070C0"/>
                <w:sz w:val="24"/>
              </w:rPr>
              <w:t>目前已处于停业状态。根据掌握的信息和规划，该设施计划在一年内完成拆除工作。</w:t>
            </w:r>
          </w:p>
          <w:p w14:paraId="5686549D">
            <w:pPr>
              <w:spacing w:line="360" w:lineRule="auto"/>
              <w:ind w:firstLine="480" w:firstLineChars="200"/>
              <w:jc w:val="left"/>
              <w:rPr>
                <w:color w:val="0070C0"/>
                <w:sz w:val="24"/>
              </w:rPr>
            </w:pPr>
            <w:r>
              <w:rPr>
                <w:rFonts w:hint="eastAsia"/>
                <w:color w:val="0070C0"/>
                <w:sz w:val="24"/>
                <w:lang w:val="en-US" w:eastAsia="zh-CN"/>
              </w:rPr>
              <w:t>由于</w:t>
            </w:r>
            <w:r>
              <w:rPr>
                <w:rFonts w:hint="default"/>
                <w:color w:val="0070C0"/>
                <w:sz w:val="24"/>
              </w:rPr>
              <w:t>当前停业状态及明确的短期（一年内）拆除计划，意味着其在</w:t>
            </w:r>
            <w:r>
              <w:rPr>
                <w:rFonts w:hint="eastAsia"/>
                <w:color w:val="0070C0"/>
                <w:sz w:val="24"/>
                <w:lang w:val="en-US" w:eastAsia="zh-CN"/>
              </w:rPr>
              <w:t>本</w:t>
            </w:r>
            <w:r>
              <w:rPr>
                <w:rFonts w:hint="default"/>
                <w:color w:val="0070C0"/>
                <w:sz w:val="24"/>
              </w:rPr>
              <w:t>项目运营期将不复存在，因此不作为当前项目环评阶段的有效环境敏感区进行考量。</w:t>
            </w:r>
          </w:p>
          <w:p w14:paraId="121250F1">
            <w:pPr>
              <w:spacing w:line="360" w:lineRule="auto"/>
              <w:ind w:firstLine="480" w:firstLineChars="200"/>
              <w:jc w:val="left"/>
              <w:rPr>
                <w:color w:val="0070C0"/>
                <w:sz w:val="24"/>
              </w:rPr>
            </w:pPr>
            <w:r>
              <w:rPr>
                <w:rFonts w:hint="default"/>
                <w:color w:val="0070C0"/>
                <w:sz w:val="24"/>
              </w:rPr>
              <w:t>为确保</w:t>
            </w:r>
            <w:r>
              <w:rPr>
                <w:rFonts w:hint="eastAsia"/>
                <w:color w:val="0070C0"/>
                <w:sz w:val="24"/>
                <w:lang w:val="en-US" w:eastAsia="zh-CN"/>
              </w:rPr>
              <w:t>本</w:t>
            </w:r>
            <w:r>
              <w:rPr>
                <w:rFonts w:hint="default"/>
                <w:color w:val="0070C0"/>
                <w:sz w:val="24"/>
              </w:rPr>
              <w:t>项目运营完全符合环境管理要求，并避免任何潜在影响或误解，本项目明确承诺：在东南侧“天鹅堡欢乐世界”设施完成拆除并确认该地块不再具有敏感属性之前，本项目不得投入生产运行。</w:t>
            </w:r>
          </w:p>
          <w:p w14:paraId="7C09232A">
            <w:pPr>
              <w:spacing w:line="360" w:lineRule="auto"/>
              <w:ind w:firstLine="480" w:firstLineChars="200"/>
              <w:jc w:val="left"/>
              <w:rPr>
                <w:color w:val="FF0000"/>
                <w:sz w:val="24"/>
              </w:rPr>
            </w:pPr>
            <w:r>
              <w:rPr>
                <w:rFonts w:hint="eastAsia"/>
                <w:color w:val="FF0000"/>
                <w:sz w:val="24"/>
                <w:lang w:val="en-US" w:eastAsia="zh-CN"/>
              </w:rPr>
              <w:t>综上所述，</w:t>
            </w:r>
            <w:r>
              <w:rPr>
                <w:color w:val="FF0000"/>
                <w:sz w:val="24"/>
              </w:rPr>
              <w:t>项目选址周边500m范围内，除西北侧260m处的北票五间房镇骆驼营村居住区（属于名录第三条（三）款定义的“以居住为主要功能的区域”）外，</w:t>
            </w:r>
            <w:r>
              <w:rPr>
                <w:rFonts w:hint="default"/>
                <w:color w:val="FF0000"/>
                <w:sz w:val="24"/>
              </w:rPr>
              <w:t>不存在名录定义的国家公园、自然保护区、风景名胜区、饮用水水源保护区、生态保护红线、永久基本农田、重要湿地、天然林、重点保护野生动植物栖息地/繁殖地、重要水生生物栖息地、天然渔场、水土流失重点防治区、沙化土地封禁保护区、封闭及半封闭海域、医疗卫生区、文化教育区、科研区、行政办公区、文物保护单位等其他环境敏感区。</w:t>
            </w:r>
            <w:r>
              <w:rPr>
                <w:color w:val="FF0000"/>
                <w:sz w:val="24"/>
              </w:rPr>
              <w:t>本项目卫生防护距离为以项目</w:t>
            </w:r>
            <w:r>
              <w:rPr>
                <w:rFonts w:hint="eastAsia"/>
                <w:color w:val="FF0000"/>
                <w:sz w:val="24"/>
                <w:lang w:val="en-US" w:eastAsia="zh-CN"/>
              </w:rPr>
              <w:t>车间</w:t>
            </w:r>
            <w:r>
              <w:rPr>
                <w:color w:val="FF0000"/>
                <w:sz w:val="24"/>
              </w:rPr>
              <w:t>为边界</w:t>
            </w:r>
            <w:r>
              <w:rPr>
                <w:rFonts w:hint="eastAsia"/>
                <w:color w:val="FF0000"/>
                <w:sz w:val="24"/>
              </w:rPr>
              <w:t>100</w:t>
            </w:r>
            <w:r>
              <w:rPr>
                <w:color w:val="FF0000"/>
                <w:sz w:val="24"/>
              </w:rPr>
              <w:t>m范围</w:t>
            </w:r>
            <w:r>
              <w:rPr>
                <w:rFonts w:hint="eastAsia"/>
                <w:color w:val="FF0000"/>
                <w:sz w:val="24"/>
                <w:lang w:eastAsia="zh-CN"/>
              </w:rPr>
              <w:t>，</w:t>
            </w:r>
            <w:r>
              <w:rPr>
                <w:color w:val="FF0000"/>
                <w:sz w:val="24"/>
              </w:rPr>
              <w:t>卫生防护距离</w:t>
            </w:r>
            <w:r>
              <w:rPr>
                <w:rFonts w:hint="eastAsia"/>
                <w:color w:val="FF0000"/>
                <w:sz w:val="24"/>
                <w:lang w:val="en-US" w:eastAsia="zh-CN"/>
              </w:rPr>
              <w:t>内无居住区</w:t>
            </w:r>
            <w:r>
              <w:rPr>
                <w:color w:val="FF0000"/>
                <w:sz w:val="24"/>
              </w:rPr>
              <w:t>、学校、医院等敏感点。</w:t>
            </w:r>
            <w:r>
              <w:rPr>
                <w:bCs/>
                <w:color w:val="FF0000"/>
                <w:sz w:val="24"/>
              </w:rPr>
              <w:t>项目所在地交通方便，水电供应可靠；本项目在做好废气治理和废水处理措施的前提下，对环境质量的影响较小，建成后不会造成环境质量下降。因此，项目在环境承载能力内。</w:t>
            </w:r>
          </w:p>
          <w:p w14:paraId="059701DD">
            <w:pPr>
              <w:spacing w:line="360" w:lineRule="auto"/>
              <w:ind w:firstLine="480" w:firstLineChars="200"/>
              <w:jc w:val="left"/>
              <w:rPr>
                <w:sz w:val="24"/>
                <w:highlight w:val="none"/>
              </w:rPr>
            </w:pPr>
            <w:r>
              <w:rPr>
                <w:sz w:val="24"/>
                <w:highlight w:val="none"/>
              </w:rPr>
              <w:t>（</w:t>
            </w:r>
            <w:r>
              <w:rPr>
                <w:rFonts w:hint="eastAsia"/>
                <w:sz w:val="24"/>
                <w:highlight w:val="none"/>
              </w:rPr>
              <w:t>4</w:t>
            </w:r>
            <w:r>
              <w:rPr>
                <w:sz w:val="24"/>
                <w:highlight w:val="none"/>
              </w:rPr>
              <w:t>）环境功能区划</w:t>
            </w:r>
          </w:p>
          <w:p w14:paraId="0D2F3BA7">
            <w:pPr>
              <w:spacing w:line="360" w:lineRule="auto"/>
              <w:ind w:firstLine="480" w:firstLineChars="200"/>
              <w:jc w:val="left"/>
              <w:rPr>
                <w:sz w:val="24"/>
              </w:rPr>
            </w:pPr>
            <w:r>
              <w:rPr>
                <w:sz w:val="24"/>
              </w:rPr>
              <w:fldChar w:fldCharType="begin"/>
            </w:r>
            <w:r>
              <w:rPr>
                <w:sz w:val="24"/>
              </w:rPr>
              <w:instrText xml:space="preserve"> = 1 \* GB3 \* MERGEFORMAT </w:instrText>
            </w:r>
            <w:r>
              <w:rPr>
                <w:sz w:val="24"/>
              </w:rPr>
              <w:fldChar w:fldCharType="separate"/>
            </w:r>
            <w:r>
              <w:rPr>
                <w:sz w:val="24"/>
              </w:rPr>
              <w:t>①</w:t>
            </w:r>
            <w:r>
              <w:rPr>
                <w:sz w:val="24"/>
              </w:rPr>
              <w:fldChar w:fldCharType="end"/>
            </w:r>
            <w:r>
              <w:rPr>
                <w:sz w:val="24"/>
              </w:rPr>
              <w:t>项目所在区域环境空气质量功能区属于二类区，区域内的空气环境质量满足《环境空气质量标准》及其修改单中的二级标准要求。</w:t>
            </w:r>
          </w:p>
          <w:p w14:paraId="68102A44">
            <w:pPr>
              <w:spacing w:line="360" w:lineRule="auto"/>
              <w:ind w:firstLine="480" w:firstLineChars="200"/>
              <w:jc w:val="left"/>
              <w:rPr>
                <w:sz w:val="24"/>
              </w:rPr>
            </w:pPr>
            <w:r>
              <w:rPr>
                <w:sz w:val="24"/>
              </w:rPr>
              <w:fldChar w:fldCharType="begin"/>
            </w:r>
            <w:r>
              <w:rPr>
                <w:sz w:val="24"/>
              </w:rPr>
              <w:instrText xml:space="preserve"> = 2 \* GB3 \* MERGEFORMAT </w:instrText>
            </w:r>
            <w:r>
              <w:rPr>
                <w:sz w:val="24"/>
              </w:rPr>
              <w:fldChar w:fldCharType="separate"/>
            </w:r>
            <w:r>
              <w:rPr>
                <w:sz w:val="24"/>
              </w:rPr>
              <w:t>②</w:t>
            </w:r>
            <w:r>
              <w:rPr>
                <w:sz w:val="24"/>
              </w:rPr>
              <w:fldChar w:fldCharType="end"/>
            </w:r>
            <w:r>
              <w:rPr>
                <w:sz w:val="24"/>
              </w:rPr>
              <w:t>项目所在</w:t>
            </w:r>
            <w:r>
              <w:rPr>
                <w:rFonts w:hint="eastAsia"/>
                <w:color w:val="000000" w:themeColor="text1"/>
                <w:kern w:val="0"/>
                <w:sz w:val="24"/>
                <w:lang w:bidi="ar"/>
                <w14:textFill>
                  <w14:solidFill>
                    <w14:schemeClr w14:val="tx1"/>
                  </w14:solidFill>
                </w14:textFill>
              </w:rPr>
              <w:t>厂区西侧、北侧、东侧</w:t>
            </w:r>
            <w:r>
              <w:rPr>
                <w:color w:val="000000" w:themeColor="text1"/>
                <w:kern w:val="0"/>
                <w:sz w:val="24"/>
                <w:lang w:bidi="ar"/>
                <w14:textFill>
                  <w14:solidFill>
                    <w14:schemeClr w14:val="tx1"/>
                  </w14:solidFill>
                </w14:textFill>
              </w:rPr>
              <w:t>环境噪声</w:t>
            </w:r>
            <w:r>
              <w:rPr>
                <w:rFonts w:hint="eastAsia"/>
                <w:color w:val="000000" w:themeColor="text1"/>
                <w:kern w:val="0"/>
                <w:sz w:val="24"/>
                <w:lang w:val="en-US" w:eastAsia="zh-CN" w:bidi="ar"/>
                <w14:textFill>
                  <w14:solidFill>
                    <w14:schemeClr w14:val="tx1"/>
                  </w14:solidFill>
                </w14:textFill>
              </w:rPr>
              <w:t>满足</w:t>
            </w:r>
            <w:r>
              <w:rPr>
                <w:color w:val="000000" w:themeColor="text1"/>
                <w:kern w:val="0"/>
                <w:sz w:val="24"/>
                <w:lang w:bidi="ar"/>
                <w14:textFill>
                  <w14:solidFill>
                    <w14:schemeClr w14:val="tx1"/>
                  </w14:solidFill>
                </w14:textFill>
              </w:rPr>
              <w:t>国家《声环境质量标准》(GB3096-2008）</w:t>
            </w:r>
            <w:r>
              <w:rPr>
                <w:rFonts w:hint="eastAsia"/>
                <w:color w:val="000000" w:themeColor="text1"/>
                <w:kern w:val="0"/>
                <w:sz w:val="24"/>
                <w:lang w:bidi="ar"/>
                <w14:textFill>
                  <w14:solidFill>
                    <w14:schemeClr w14:val="tx1"/>
                  </w14:solidFill>
                </w14:textFill>
              </w:rPr>
              <w:t>2</w:t>
            </w:r>
            <w:r>
              <w:rPr>
                <w:color w:val="000000" w:themeColor="text1"/>
                <w:kern w:val="0"/>
                <w:sz w:val="24"/>
                <w:lang w:bidi="ar"/>
                <w14:textFill>
                  <w14:solidFill>
                    <w14:schemeClr w14:val="tx1"/>
                  </w14:solidFill>
                </w14:textFill>
              </w:rPr>
              <w:t>类标准</w:t>
            </w:r>
            <w:r>
              <w:rPr>
                <w:rFonts w:hint="eastAsia"/>
                <w:color w:val="000000" w:themeColor="text1"/>
                <w:kern w:val="0"/>
                <w:sz w:val="24"/>
                <w:lang w:bidi="ar"/>
                <w14:textFill>
                  <w14:solidFill>
                    <w14:schemeClr w14:val="tx1"/>
                  </w14:solidFill>
                </w14:textFill>
              </w:rPr>
              <w:t>，南侧</w:t>
            </w:r>
            <w:r>
              <w:rPr>
                <w:color w:val="000000" w:themeColor="text1"/>
                <w:kern w:val="0"/>
                <w:sz w:val="24"/>
                <w:lang w:bidi="ar"/>
                <w14:textFill>
                  <w14:solidFill>
                    <w14:schemeClr w14:val="tx1"/>
                  </w14:solidFill>
                </w14:textFill>
              </w:rPr>
              <w:t>环境噪声</w:t>
            </w:r>
            <w:r>
              <w:rPr>
                <w:rFonts w:hint="eastAsia"/>
                <w:color w:val="000000" w:themeColor="text1"/>
                <w:kern w:val="0"/>
                <w:sz w:val="24"/>
                <w:lang w:val="en-US" w:eastAsia="zh-CN" w:bidi="ar"/>
                <w14:textFill>
                  <w14:solidFill>
                    <w14:schemeClr w14:val="tx1"/>
                  </w14:solidFill>
                </w14:textFill>
              </w:rPr>
              <w:t>满足</w:t>
            </w:r>
            <w:r>
              <w:rPr>
                <w:color w:val="000000" w:themeColor="text1"/>
                <w:kern w:val="0"/>
                <w:sz w:val="24"/>
                <w:lang w:bidi="ar"/>
                <w14:textFill>
                  <w14:solidFill>
                    <w14:schemeClr w14:val="tx1"/>
                  </w14:solidFill>
                </w14:textFill>
              </w:rPr>
              <w:t>国家《声环境质量标准》(GB3096-2008）</w:t>
            </w:r>
            <w:r>
              <w:rPr>
                <w:rFonts w:hint="eastAsia"/>
                <w:color w:val="000000" w:themeColor="text1"/>
                <w:kern w:val="0"/>
                <w:sz w:val="24"/>
                <w:lang w:bidi="ar"/>
                <w14:textFill>
                  <w14:solidFill>
                    <w14:schemeClr w14:val="tx1"/>
                  </w14:solidFill>
                </w14:textFill>
              </w:rPr>
              <w:t>4a</w:t>
            </w:r>
            <w:r>
              <w:rPr>
                <w:color w:val="000000" w:themeColor="text1"/>
                <w:kern w:val="0"/>
                <w:sz w:val="24"/>
                <w:lang w:bidi="ar"/>
                <w14:textFill>
                  <w14:solidFill>
                    <w14:schemeClr w14:val="tx1"/>
                  </w14:solidFill>
                </w14:textFill>
              </w:rPr>
              <w:t>类标准</w:t>
            </w:r>
            <w:r>
              <w:rPr>
                <w:sz w:val="24"/>
              </w:rPr>
              <w:t>，声环境质量良好。</w:t>
            </w:r>
          </w:p>
          <w:p w14:paraId="4F32602C">
            <w:pPr>
              <w:spacing w:line="360" w:lineRule="auto"/>
              <w:ind w:firstLine="480" w:firstLineChars="200"/>
              <w:jc w:val="left"/>
              <w:rPr>
                <w:sz w:val="24"/>
              </w:rPr>
            </w:pPr>
            <w:r>
              <w:rPr>
                <w:sz w:val="24"/>
              </w:rPr>
              <w:fldChar w:fldCharType="begin"/>
            </w:r>
            <w:r>
              <w:rPr>
                <w:sz w:val="24"/>
              </w:rPr>
              <w:instrText xml:space="preserve"> = 3 \* GB3 \* MERGEFORMAT </w:instrText>
            </w:r>
            <w:r>
              <w:rPr>
                <w:sz w:val="24"/>
              </w:rPr>
              <w:fldChar w:fldCharType="separate"/>
            </w:r>
            <w:r>
              <w:rPr>
                <w:sz w:val="24"/>
              </w:rPr>
              <w:t>③</w:t>
            </w:r>
            <w:r>
              <w:rPr>
                <w:sz w:val="24"/>
              </w:rPr>
              <w:fldChar w:fldCharType="end"/>
            </w:r>
            <w:r>
              <w:rPr>
                <w:sz w:val="24"/>
              </w:rPr>
              <w:t>项目所在区域地表水</w:t>
            </w:r>
            <w:r>
              <w:rPr>
                <w:rFonts w:hint="eastAsia"/>
                <w:sz w:val="24"/>
              </w:rPr>
              <w:t>（凉水河）</w:t>
            </w:r>
            <w:r>
              <w:rPr>
                <w:sz w:val="24"/>
              </w:rPr>
              <w:t>环境质量满足《地表水环境质量标准》（GB3838-2002）中Ⅲ类水质标准</w:t>
            </w:r>
            <w:r>
              <w:rPr>
                <w:rFonts w:hint="eastAsia"/>
                <w:sz w:val="24"/>
              </w:rPr>
              <w:t>，地表水环境质量良好</w:t>
            </w:r>
            <w:r>
              <w:rPr>
                <w:sz w:val="24"/>
              </w:rPr>
              <w:t>。</w:t>
            </w:r>
          </w:p>
          <w:p w14:paraId="5AA06049">
            <w:pPr>
              <w:spacing w:line="360" w:lineRule="auto"/>
              <w:ind w:firstLine="480" w:firstLineChars="200"/>
              <w:jc w:val="left"/>
              <w:rPr>
                <w:sz w:val="24"/>
              </w:rPr>
            </w:pPr>
            <w:r>
              <w:rPr>
                <w:sz w:val="24"/>
              </w:rPr>
              <w:t>项目实施后不会降低区域环境质量现有的功能要求。</w:t>
            </w:r>
          </w:p>
          <w:p w14:paraId="559AA45D">
            <w:pPr>
              <w:spacing w:line="360" w:lineRule="auto"/>
              <w:ind w:firstLine="480" w:firstLineChars="200"/>
              <w:jc w:val="left"/>
              <w:rPr>
                <w:sz w:val="24"/>
              </w:rPr>
            </w:pPr>
            <w:r>
              <w:rPr>
                <w:rFonts w:hint="eastAsia"/>
                <w:sz w:val="24"/>
              </w:rPr>
              <w:t>（5）符合性分析</w:t>
            </w:r>
          </w:p>
          <w:p w14:paraId="28A06771">
            <w:pPr>
              <w:spacing w:line="360" w:lineRule="auto"/>
              <w:ind w:firstLine="480" w:firstLineChars="200"/>
              <w:jc w:val="left"/>
              <w:rPr>
                <w:sz w:val="24"/>
              </w:rPr>
            </w:pPr>
            <w:r>
              <w:rPr>
                <w:sz w:val="24"/>
              </w:rPr>
              <w:t>综上所述，本项目的选址符合用地</w:t>
            </w:r>
            <w:r>
              <w:rPr>
                <w:rFonts w:hint="eastAsia"/>
                <w:sz w:val="24"/>
                <w:lang w:val="en-US" w:eastAsia="zh-CN"/>
              </w:rPr>
              <w:t>规划</w:t>
            </w:r>
            <w:r>
              <w:rPr>
                <w:sz w:val="24"/>
              </w:rPr>
              <w:t>，符合区域环境功能区划，与周边环境相容，在环境承载能力内，项目选址合理。</w:t>
            </w:r>
          </w:p>
          <w:p w14:paraId="2CAD23DB">
            <w:pPr>
              <w:autoSpaceDE w:val="0"/>
              <w:autoSpaceDN w:val="0"/>
              <w:adjustRightInd w:val="0"/>
              <w:snapToGrid w:val="0"/>
              <w:rPr>
                <w:b/>
                <w:bCs/>
                <w:kern w:val="0"/>
                <w:sz w:val="24"/>
              </w:rPr>
            </w:pPr>
            <w:r>
              <w:rPr>
                <w:b/>
                <w:bCs/>
                <w:kern w:val="0"/>
                <w:sz w:val="24"/>
              </w:rPr>
              <w:t>4、“三线一单”</w:t>
            </w:r>
            <w:r>
              <w:rPr>
                <w:rFonts w:hint="eastAsia"/>
                <w:b/>
                <w:bCs/>
                <w:kern w:val="0"/>
                <w:sz w:val="24"/>
              </w:rPr>
              <w:t>符合性</w:t>
            </w:r>
            <w:r>
              <w:rPr>
                <w:b/>
                <w:bCs/>
                <w:kern w:val="0"/>
                <w:sz w:val="24"/>
              </w:rPr>
              <w:t>分析</w:t>
            </w:r>
          </w:p>
          <w:p w14:paraId="09455F2E">
            <w:pPr>
              <w:autoSpaceDE w:val="0"/>
              <w:autoSpaceDN w:val="0"/>
              <w:adjustRightInd w:val="0"/>
              <w:snapToGrid w:val="0"/>
              <w:spacing w:line="500" w:lineRule="exact"/>
              <w:ind w:firstLine="482" w:firstLineChars="200"/>
              <w:rPr>
                <w:b/>
                <w:sz w:val="24"/>
              </w:rPr>
            </w:pPr>
            <w:r>
              <w:rPr>
                <w:b/>
                <w:sz w:val="24"/>
              </w:rPr>
              <w:t>（1）本项目与</w:t>
            </w:r>
            <w:r>
              <w:rPr>
                <w:b/>
                <w:bCs/>
                <w:kern w:val="0"/>
                <w:sz w:val="24"/>
              </w:rPr>
              <w:t>“三线一单”</w:t>
            </w:r>
            <w:r>
              <w:rPr>
                <w:b/>
                <w:sz w:val="24"/>
              </w:rPr>
              <w:t>符合性分析</w:t>
            </w:r>
          </w:p>
          <w:p w14:paraId="45611A4A">
            <w:pPr>
              <w:spacing w:line="500" w:lineRule="exact"/>
              <w:ind w:firstLine="480" w:firstLineChars="200"/>
              <w:rPr>
                <w:sz w:val="24"/>
                <w:szCs w:val="32"/>
              </w:rPr>
            </w:pPr>
            <w:r>
              <w:rPr>
                <w:sz w:val="24"/>
              </w:rPr>
              <w:t>根据环保部于 2016 年 7 月 15 日印发《“十三五”环境影响评价改革实施方案》（环环评〔20</w:t>
            </w:r>
            <w:r>
              <w:rPr>
                <w:rFonts w:hint="eastAsia"/>
                <w:sz w:val="24"/>
              </w:rPr>
              <w:t>16</w:t>
            </w:r>
            <w:r>
              <w:rPr>
                <w:sz w:val="24"/>
              </w:rPr>
              <w:t>〕95 号）及 2016 年 10 月 27 日印发《关于以改善环境质量为核心加强环境影响评价管理的通知》（环环评〔20</w:t>
            </w:r>
            <w:r>
              <w:rPr>
                <w:rFonts w:hint="eastAsia"/>
                <w:sz w:val="24"/>
              </w:rPr>
              <w:t>16</w:t>
            </w:r>
            <w:r>
              <w:rPr>
                <w:sz w:val="24"/>
              </w:rPr>
              <w:t>〕150 号）以及《朝阳市人民政府关于实施“三线一单” 生态环境分区管控的意见》 （朝政发〔2021〕13号），其中“三线一单”是指“生态保护红线、环境质量底线、资源利用上线和环境准入负面清单”，同时要求切实加强环境影响评价管理，落实 “三线一单”约束</w:t>
            </w:r>
            <w:r>
              <w:rPr>
                <w:rFonts w:hint="eastAsia"/>
                <w:sz w:val="24"/>
              </w:rPr>
              <w:t>，</w:t>
            </w:r>
            <w:r>
              <w:rPr>
                <w:sz w:val="24"/>
                <w:szCs w:val="32"/>
              </w:rPr>
              <w:t>本项目与</w:t>
            </w:r>
            <w:r>
              <w:rPr>
                <w:sz w:val="24"/>
              </w:rPr>
              <w:t>“三线一单”</w:t>
            </w:r>
            <w:r>
              <w:rPr>
                <w:sz w:val="24"/>
                <w:szCs w:val="32"/>
              </w:rPr>
              <w:t>的符合性分析如下</w:t>
            </w:r>
            <w:r>
              <w:rPr>
                <w:rFonts w:hint="eastAsia"/>
                <w:sz w:val="24"/>
                <w:szCs w:val="32"/>
              </w:rPr>
              <w:t>。</w:t>
            </w:r>
          </w:p>
          <w:p w14:paraId="393A53A9">
            <w:pPr>
              <w:adjustRightInd w:val="0"/>
              <w:snapToGrid w:val="0"/>
              <w:jc w:val="center"/>
              <w:rPr>
                <w:b/>
                <w:bCs/>
                <w:szCs w:val="21"/>
              </w:rPr>
            </w:pPr>
            <w:r>
              <w:rPr>
                <w:b/>
                <w:bCs/>
                <w:szCs w:val="21"/>
              </w:rPr>
              <w:t>表1-</w:t>
            </w:r>
            <w:r>
              <w:rPr>
                <w:rFonts w:hint="eastAsia"/>
                <w:b/>
                <w:bCs/>
                <w:szCs w:val="21"/>
              </w:rPr>
              <w:t>4</w:t>
            </w:r>
            <w:r>
              <w:rPr>
                <w:b/>
                <w:bCs/>
                <w:szCs w:val="21"/>
              </w:rPr>
              <w:t xml:space="preserve">  与“三线一单”符合性分析</w:t>
            </w:r>
          </w:p>
          <w:tbl>
            <w:tblPr>
              <w:tblStyle w:val="34"/>
              <w:tblW w:w="5000" w:type="pct"/>
              <w:tblInd w:w="5" w:type="dxa"/>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478"/>
              <w:gridCol w:w="4354"/>
              <w:gridCol w:w="2051"/>
              <w:gridCol w:w="651"/>
            </w:tblGrid>
            <w:tr w14:paraId="458F1D44">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317" w:type="pct"/>
                  <w:tcBorders>
                    <w:tl2br w:val="nil"/>
                    <w:tr2bl w:val="nil"/>
                  </w:tcBorders>
                  <w:vAlign w:val="center"/>
                </w:tcPr>
                <w:p w14:paraId="0DA85EE0">
                  <w:pPr>
                    <w:pStyle w:val="87"/>
                  </w:pPr>
                  <w:r>
                    <w:t>编号</w:t>
                  </w:r>
                </w:p>
              </w:tc>
              <w:tc>
                <w:tcPr>
                  <w:tcW w:w="2889" w:type="pct"/>
                  <w:tcBorders>
                    <w:tl2br w:val="nil"/>
                    <w:tr2bl w:val="nil"/>
                  </w:tcBorders>
                  <w:vAlign w:val="center"/>
                </w:tcPr>
                <w:p w14:paraId="0F4C811C">
                  <w:pPr>
                    <w:pStyle w:val="87"/>
                  </w:pPr>
                  <w:r>
                    <w:t>分析内容</w:t>
                  </w:r>
                </w:p>
              </w:tc>
              <w:tc>
                <w:tcPr>
                  <w:tcW w:w="1361" w:type="pct"/>
                  <w:tcBorders>
                    <w:tl2br w:val="nil"/>
                    <w:tr2bl w:val="nil"/>
                  </w:tcBorders>
                  <w:vAlign w:val="center"/>
                </w:tcPr>
                <w:p w14:paraId="0501B876">
                  <w:pPr>
                    <w:pStyle w:val="87"/>
                  </w:pPr>
                  <w:r>
                    <w:t>本项目情况</w:t>
                  </w:r>
                </w:p>
              </w:tc>
              <w:tc>
                <w:tcPr>
                  <w:tcW w:w="432" w:type="pct"/>
                  <w:tcBorders>
                    <w:tl2br w:val="nil"/>
                    <w:tr2bl w:val="nil"/>
                  </w:tcBorders>
                  <w:vAlign w:val="center"/>
                </w:tcPr>
                <w:p w14:paraId="2E0E3D91">
                  <w:pPr>
                    <w:pStyle w:val="87"/>
                  </w:pPr>
                  <w:r>
                    <w:t>分析</w:t>
                  </w:r>
                </w:p>
                <w:p w14:paraId="735CAE14">
                  <w:pPr>
                    <w:pStyle w:val="87"/>
                  </w:pPr>
                  <w:r>
                    <w:t>结果</w:t>
                  </w:r>
                </w:p>
              </w:tc>
            </w:tr>
            <w:tr w14:paraId="64BE2A51">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7" w:hRule="atLeast"/>
              </w:trPr>
              <w:tc>
                <w:tcPr>
                  <w:tcW w:w="317" w:type="pct"/>
                  <w:tcBorders>
                    <w:tl2br w:val="nil"/>
                    <w:tr2bl w:val="nil"/>
                  </w:tcBorders>
                  <w:vAlign w:val="center"/>
                </w:tcPr>
                <w:p w14:paraId="1E62980A">
                  <w:pPr>
                    <w:pStyle w:val="87"/>
                  </w:pPr>
                  <w:r>
                    <w:t>1</w:t>
                  </w:r>
                </w:p>
              </w:tc>
              <w:tc>
                <w:tcPr>
                  <w:tcW w:w="2889" w:type="pct"/>
                  <w:tcBorders>
                    <w:tl2br w:val="nil"/>
                    <w:tr2bl w:val="nil"/>
                  </w:tcBorders>
                  <w:shd w:val="clear" w:color="auto" w:fill="auto"/>
                  <w:vAlign w:val="center"/>
                </w:tcPr>
                <w:p w14:paraId="476F8569">
                  <w:pPr>
                    <w:pStyle w:val="87"/>
                    <w:jc w:val="left"/>
                  </w:pPr>
                  <w:r>
                    <w:t>生态保护红线是生态空间范围内具有特殊重要生态功能必须实行强制性严格保护的区域。相关规划环评应将生态空间管控作为重要内容，规划区域涉及生态保护红线的，在规划环评结论和审查意见中应落实生态保护红线的管理要求，提出相应对策措施。除受自然条件限制、确实无法避让的铁路、公路、航道、防洪、管道、干渠、通讯、输变电等重要基础设施项目外，在生态保护红线范围内，严控各类开发建设活动，依法不予审批新建工业项目和矿产开发项目的环评文件</w:t>
                  </w:r>
                </w:p>
              </w:tc>
              <w:tc>
                <w:tcPr>
                  <w:tcW w:w="1361" w:type="pct"/>
                  <w:tcBorders>
                    <w:tl2br w:val="nil"/>
                    <w:tr2bl w:val="nil"/>
                  </w:tcBorders>
                  <w:vAlign w:val="center"/>
                </w:tcPr>
                <w:p w14:paraId="1C5DD574">
                  <w:pPr>
                    <w:pStyle w:val="87"/>
                  </w:pPr>
                  <w:r>
                    <w:rPr>
                      <w:rFonts w:hint="eastAsia"/>
                    </w:rPr>
                    <w:t>本项目</w:t>
                  </w:r>
                  <w:r>
                    <w:t>于辽宁省朝阳市北票市宝锦线凉水河北侧3幢01023</w:t>
                  </w:r>
                  <w:r>
                    <w:rPr>
                      <w:highlight w:val="none"/>
                    </w:rPr>
                    <w:t>，</w:t>
                  </w:r>
                  <w:r>
                    <w:rPr>
                      <w:rFonts w:hint="eastAsia"/>
                      <w:highlight w:val="none"/>
                    </w:rPr>
                    <w:t>根据朝阳市生态保护红线图所显示</w:t>
                  </w:r>
                  <w:r>
                    <w:rPr>
                      <w:rFonts w:hint="eastAsia"/>
                    </w:rPr>
                    <w:t>，本项目</w:t>
                  </w:r>
                  <w:r>
                    <w:t>不在生态保护红线区内，符合生态保护红线要求</w:t>
                  </w:r>
                </w:p>
              </w:tc>
              <w:tc>
                <w:tcPr>
                  <w:tcW w:w="432" w:type="pct"/>
                  <w:tcBorders>
                    <w:tl2br w:val="nil"/>
                    <w:tr2bl w:val="nil"/>
                  </w:tcBorders>
                  <w:vAlign w:val="center"/>
                </w:tcPr>
                <w:p w14:paraId="56D2817B">
                  <w:pPr>
                    <w:pStyle w:val="87"/>
                  </w:pPr>
                  <w:r>
                    <w:t>符合</w:t>
                  </w:r>
                </w:p>
              </w:tc>
            </w:tr>
            <w:tr w14:paraId="53E11DD5">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17" w:type="pct"/>
                  <w:tcBorders>
                    <w:tl2br w:val="nil"/>
                    <w:tr2bl w:val="nil"/>
                  </w:tcBorders>
                  <w:vAlign w:val="center"/>
                </w:tcPr>
                <w:p w14:paraId="6E6A4F12">
                  <w:pPr>
                    <w:pStyle w:val="87"/>
                  </w:pPr>
                  <w:r>
                    <w:t>2</w:t>
                  </w:r>
                </w:p>
              </w:tc>
              <w:tc>
                <w:tcPr>
                  <w:tcW w:w="2889" w:type="pct"/>
                  <w:tcBorders>
                    <w:tl2br w:val="nil"/>
                    <w:tr2bl w:val="nil"/>
                  </w:tcBorders>
                  <w:vAlign w:val="center"/>
                </w:tcPr>
                <w:p w14:paraId="7F686A15">
                  <w:pPr>
                    <w:pStyle w:val="87"/>
                    <w:jc w:val="left"/>
                  </w:pPr>
                  <w:r>
                    <w:t>环境质量底线是国家和地方设置的大气、水和土壤环境质量目标，也是改善环境质量的基准线。有关规划环评应落实区域环境质量目标管理要求，提出区域或者行业污染物排放总量管控建议以及优化区域或行业发展布局、结构和规模的对策措施。项目环评应对照区域环境质量目标，深入分析预测项目建设对环境质量的影响，强化污染防治措施和污染物排放控制要求</w:t>
                  </w:r>
                </w:p>
              </w:tc>
              <w:tc>
                <w:tcPr>
                  <w:tcW w:w="1361" w:type="pct"/>
                  <w:tcBorders>
                    <w:tl2br w:val="nil"/>
                    <w:tr2bl w:val="nil"/>
                  </w:tcBorders>
                  <w:vAlign w:val="center"/>
                </w:tcPr>
                <w:p w14:paraId="63BAB444">
                  <w:pPr>
                    <w:pStyle w:val="87"/>
                  </w:pPr>
                  <w:r>
                    <w:t>根据</w:t>
                  </w:r>
                  <w:r>
                    <w:rPr>
                      <w:rFonts w:hint="eastAsia"/>
                    </w:rPr>
                    <w:t>《朝阳市生态环境质量公报</w:t>
                  </w:r>
                  <w:r>
                    <w:t>》</w:t>
                  </w:r>
                  <w:r>
                    <w:rPr>
                      <w:rFonts w:hint="eastAsia"/>
                    </w:rPr>
                    <w:t>（202</w:t>
                  </w:r>
                  <w:r>
                    <w:rPr>
                      <w:rFonts w:hint="eastAsia"/>
                      <w:lang w:val="en-US" w:eastAsia="zh-CN"/>
                    </w:rPr>
                    <w:t>4</w:t>
                  </w:r>
                  <w:r>
                    <w:rPr>
                      <w:rFonts w:hint="eastAsia"/>
                    </w:rPr>
                    <w:t>年）</w:t>
                  </w:r>
                  <w:r>
                    <w:t>，本项目所在地为环境空气质量达标区。本项目生产过程中产生的废气、废水、噪声经相应的环保设施处理后，均能达标排放，固体废物的处置亦符合环保要求，不会导致环境质量超标</w:t>
                  </w:r>
                  <w:r>
                    <w:rPr>
                      <w:rFonts w:hint="eastAsia"/>
                    </w:rPr>
                    <w:t>，</w:t>
                  </w:r>
                  <w:r>
                    <w:t>符合环境质量底线要求</w:t>
                  </w:r>
                </w:p>
              </w:tc>
              <w:tc>
                <w:tcPr>
                  <w:tcW w:w="432" w:type="pct"/>
                  <w:tcBorders>
                    <w:tl2br w:val="nil"/>
                    <w:tr2bl w:val="nil"/>
                  </w:tcBorders>
                  <w:vAlign w:val="center"/>
                </w:tcPr>
                <w:p w14:paraId="0CA292A9">
                  <w:pPr>
                    <w:pStyle w:val="87"/>
                  </w:pPr>
                  <w:r>
                    <w:t>符合</w:t>
                  </w:r>
                </w:p>
              </w:tc>
            </w:tr>
            <w:tr w14:paraId="2D56620D">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17" w:type="pct"/>
                  <w:tcBorders>
                    <w:tl2br w:val="nil"/>
                    <w:tr2bl w:val="nil"/>
                  </w:tcBorders>
                  <w:vAlign w:val="center"/>
                </w:tcPr>
                <w:p w14:paraId="7E42564F">
                  <w:pPr>
                    <w:pStyle w:val="87"/>
                  </w:pPr>
                  <w:r>
                    <w:t>3</w:t>
                  </w:r>
                </w:p>
              </w:tc>
              <w:tc>
                <w:tcPr>
                  <w:tcW w:w="2889" w:type="pct"/>
                  <w:tcBorders>
                    <w:tl2br w:val="nil"/>
                    <w:tr2bl w:val="nil"/>
                  </w:tcBorders>
                  <w:vAlign w:val="center"/>
                </w:tcPr>
                <w:p w14:paraId="51F5FE0C">
                  <w:pPr>
                    <w:pStyle w:val="87"/>
                    <w:jc w:val="left"/>
                  </w:pPr>
                  <w:r>
                    <w:t>资源是环境的载体，资源利用上线是各地区能源、水、土地等资源消耗不得突破的“天花板”。相关规划环评应依据有关资源利用上线，对规划实施以及规划内项目的资源开发利用，区分不同行业，从能源资源开发等量或减量替代、开采方式和规模控制、利用效率和保护措施等方面提出建议，为规划编制和审批决策提供重要依据</w:t>
                  </w:r>
                </w:p>
              </w:tc>
              <w:tc>
                <w:tcPr>
                  <w:tcW w:w="1361" w:type="pct"/>
                  <w:tcBorders>
                    <w:tl2br w:val="nil"/>
                    <w:tr2bl w:val="nil"/>
                  </w:tcBorders>
                  <w:vAlign w:val="center"/>
                </w:tcPr>
                <w:p w14:paraId="651FFB2F">
                  <w:pPr>
                    <w:pStyle w:val="87"/>
                  </w:pPr>
                  <w:r>
                    <w:t>本项目运营过程中消耗一定量的电能、水资源等，不新增用地，项目资源消耗量相对区域资源利用总量较少，符合资源利用上限要求。</w:t>
                  </w:r>
                </w:p>
              </w:tc>
              <w:tc>
                <w:tcPr>
                  <w:tcW w:w="432" w:type="pct"/>
                  <w:tcBorders>
                    <w:tl2br w:val="nil"/>
                    <w:tr2bl w:val="nil"/>
                  </w:tcBorders>
                  <w:vAlign w:val="center"/>
                </w:tcPr>
                <w:p w14:paraId="16F41856">
                  <w:pPr>
                    <w:pStyle w:val="87"/>
                  </w:pPr>
                  <w:r>
                    <w:t>符合</w:t>
                  </w:r>
                </w:p>
              </w:tc>
            </w:tr>
            <w:tr w14:paraId="68316348">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65" w:hRule="atLeast"/>
              </w:trPr>
              <w:tc>
                <w:tcPr>
                  <w:tcW w:w="317" w:type="pct"/>
                  <w:tcBorders>
                    <w:tl2br w:val="nil"/>
                    <w:tr2bl w:val="nil"/>
                  </w:tcBorders>
                  <w:vAlign w:val="center"/>
                </w:tcPr>
                <w:p w14:paraId="65FC5926">
                  <w:pPr>
                    <w:pStyle w:val="87"/>
                  </w:pPr>
                  <w:r>
                    <w:t>4</w:t>
                  </w:r>
                </w:p>
              </w:tc>
              <w:tc>
                <w:tcPr>
                  <w:tcW w:w="2889" w:type="pct"/>
                  <w:tcBorders>
                    <w:tl2br w:val="nil"/>
                    <w:tr2bl w:val="nil"/>
                  </w:tcBorders>
                  <w:vAlign w:val="center"/>
                </w:tcPr>
                <w:p w14:paraId="1CF4EB23">
                  <w:pPr>
                    <w:pStyle w:val="87"/>
                    <w:jc w:val="left"/>
                  </w:pPr>
                  <w:r>
                    <w:t>环境准入负面清单是基于生态保护红线、环境质量底线和资源利用上线，以清单方式列出的禁止、限制等差别化环境准入条件和要求。要在规划环评清单式管理试点的基础上，从布局选址、资源利用效率、资源配置方式等方面入手，制定环境准入负面清单，充分发挥负面清单对产业发展和项目准入的指导和约束作用</w:t>
                  </w:r>
                </w:p>
              </w:tc>
              <w:tc>
                <w:tcPr>
                  <w:tcW w:w="1361" w:type="pct"/>
                  <w:tcBorders>
                    <w:tl2br w:val="nil"/>
                    <w:tr2bl w:val="nil"/>
                  </w:tcBorders>
                  <w:vAlign w:val="center"/>
                </w:tcPr>
                <w:p w14:paraId="7AED5981">
                  <w:pPr>
                    <w:pStyle w:val="87"/>
                  </w:pPr>
                  <w:r>
                    <w:t>本项目不在生态保护红线内，不突破环境质量底线和资源利用上线要求</w:t>
                  </w:r>
                  <w:r>
                    <w:rPr>
                      <w:rFonts w:hint="eastAsia"/>
                    </w:rPr>
                    <w:t>，本项目符合环境准入负面清单管理要求</w:t>
                  </w:r>
                  <w:r>
                    <w:t>。</w:t>
                  </w:r>
                </w:p>
              </w:tc>
              <w:tc>
                <w:tcPr>
                  <w:tcW w:w="432" w:type="pct"/>
                  <w:tcBorders>
                    <w:tl2br w:val="nil"/>
                    <w:tr2bl w:val="nil"/>
                  </w:tcBorders>
                  <w:vAlign w:val="center"/>
                </w:tcPr>
                <w:p w14:paraId="7E8FA81D">
                  <w:pPr>
                    <w:pStyle w:val="87"/>
                  </w:pPr>
                  <w:r>
                    <w:t>符合</w:t>
                  </w:r>
                </w:p>
              </w:tc>
            </w:tr>
          </w:tbl>
          <w:p w14:paraId="49BAC002">
            <w:pPr>
              <w:pStyle w:val="116"/>
              <w:spacing w:before="158" w:line="347" w:lineRule="auto"/>
              <w:ind w:left="110" w:right="103" w:firstLine="481"/>
              <w:rPr>
                <w:rFonts w:ascii="Times New Roman" w:hAnsi="Times New Roman" w:cs="Times New Roman"/>
                <w:kern w:val="0"/>
                <w:lang w:eastAsia="zh-CN"/>
              </w:rPr>
            </w:pPr>
            <w:r>
              <w:rPr>
                <w:rFonts w:ascii="Times New Roman" w:hAnsi="Times New Roman" w:cs="Times New Roman"/>
                <w:kern w:val="0"/>
                <w:lang w:eastAsia="zh-CN"/>
              </w:rPr>
              <w:t>综上所述，建设项目不在生态保护红线内，</w:t>
            </w:r>
            <w:r>
              <w:rPr>
                <w:rFonts w:hint="eastAsia" w:ascii="Times New Roman" w:hAnsi="Times New Roman" w:cs="Times New Roman"/>
                <w:kern w:val="0"/>
                <w:lang w:eastAsia="zh-CN"/>
              </w:rPr>
              <w:t>符合</w:t>
            </w:r>
            <w:r>
              <w:rPr>
                <w:rFonts w:ascii="Times New Roman" w:hAnsi="Times New Roman" w:cs="Times New Roman"/>
                <w:kern w:val="0"/>
                <w:lang w:eastAsia="zh-CN"/>
              </w:rPr>
              <w:t>环境质量底线、资源利用上线和环境准入负面清单</w:t>
            </w:r>
            <w:r>
              <w:rPr>
                <w:rFonts w:hint="eastAsia" w:ascii="Times New Roman" w:hAnsi="Times New Roman" w:cs="Times New Roman"/>
                <w:kern w:val="0"/>
                <w:lang w:eastAsia="zh-CN"/>
              </w:rPr>
              <w:t>等要求</w:t>
            </w:r>
            <w:r>
              <w:rPr>
                <w:rFonts w:ascii="Times New Roman" w:hAnsi="Times New Roman" w:cs="Times New Roman"/>
                <w:kern w:val="0"/>
                <w:lang w:eastAsia="zh-CN"/>
              </w:rPr>
              <w:t>，项目建设符合“三线一单”要求。</w:t>
            </w:r>
          </w:p>
          <w:p w14:paraId="1C64FA6D">
            <w:pPr>
              <w:autoSpaceDE w:val="0"/>
              <w:autoSpaceDN w:val="0"/>
              <w:adjustRightInd w:val="0"/>
              <w:snapToGrid w:val="0"/>
              <w:spacing w:line="500" w:lineRule="exact"/>
              <w:ind w:firstLine="482" w:firstLineChars="200"/>
              <w:rPr>
                <w:b/>
                <w:sz w:val="24"/>
              </w:rPr>
            </w:pPr>
            <w:r>
              <w:rPr>
                <w:b/>
                <w:sz w:val="24"/>
              </w:rPr>
              <w:t>（2）</w:t>
            </w:r>
            <w:r>
              <w:rPr>
                <w:rFonts w:hint="eastAsia"/>
                <w:b/>
                <w:sz w:val="24"/>
              </w:rPr>
              <w:t>本</w:t>
            </w:r>
            <w:r>
              <w:rPr>
                <w:b/>
                <w:sz w:val="24"/>
              </w:rPr>
              <w:t>项目与《辽宁省人民政府关于实施“三线一单”生态环境分区管控的意见》（辽政发</w:t>
            </w:r>
            <w:r>
              <w:rPr>
                <w:rFonts w:hint="eastAsia"/>
                <w:b/>
                <w:sz w:val="24"/>
                <w:lang w:eastAsia="zh-CN"/>
              </w:rPr>
              <w:t>〔</w:t>
            </w:r>
            <w:r>
              <w:rPr>
                <w:b/>
                <w:sz w:val="24"/>
              </w:rPr>
              <w:t>2021</w:t>
            </w:r>
            <w:r>
              <w:rPr>
                <w:rFonts w:hint="eastAsia"/>
                <w:b/>
                <w:sz w:val="24"/>
                <w:lang w:eastAsia="zh-CN"/>
              </w:rPr>
              <w:t>〕</w:t>
            </w:r>
            <w:r>
              <w:rPr>
                <w:b/>
                <w:sz w:val="24"/>
              </w:rPr>
              <w:t>6号）符合性分析</w:t>
            </w:r>
          </w:p>
          <w:p w14:paraId="68E7D813">
            <w:pPr>
              <w:pStyle w:val="116"/>
              <w:spacing w:before="158" w:line="347" w:lineRule="auto"/>
              <w:ind w:left="110" w:right="103" w:firstLine="481"/>
              <w:rPr>
                <w:rFonts w:ascii="Times New Roman" w:hAnsi="Times New Roman" w:cs="Times New Roman"/>
                <w:lang w:eastAsia="zh-CN"/>
              </w:rPr>
            </w:pPr>
            <w:r>
              <w:rPr>
                <w:rFonts w:ascii="Times New Roman" w:hAnsi="Times New Roman" w:cs="Times New Roman"/>
                <w:lang w:eastAsia="zh-CN"/>
              </w:rPr>
              <w:t>项目与《辽宁省人民政府关于实施“三线一单”生态环境分区管控的意见》（辽政发</w:t>
            </w:r>
            <w:r>
              <w:rPr>
                <w:rFonts w:hint="eastAsia" w:ascii="Times New Roman" w:hAnsi="Times New Roman" w:cs="Times New Roman"/>
                <w:lang w:eastAsia="zh-CN"/>
              </w:rPr>
              <w:t>〔</w:t>
            </w:r>
            <w:r>
              <w:rPr>
                <w:rFonts w:ascii="Times New Roman" w:hAnsi="Times New Roman" w:cs="Times New Roman"/>
                <w:lang w:eastAsia="zh-CN"/>
              </w:rPr>
              <w:t>2021</w:t>
            </w:r>
            <w:r>
              <w:rPr>
                <w:rFonts w:hint="eastAsia" w:ascii="Times New Roman" w:hAnsi="Times New Roman" w:cs="Times New Roman"/>
                <w:lang w:eastAsia="zh-CN"/>
              </w:rPr>
              <w:t>〕</w:t>
            </w:r>
            <w:r>
              <w:rPr>
                <w:rFonts w:ascii="Times New Roman" w:hAnsi="Times New Roman" w:cs="Times New Roman"/>
                <w:lang w:eastAsia="zh-CN"/>
              </w:rPr>
              <w:t>6 号）符合性见</w:t>
            </w:r>
            <w:r>
              <w:rPr>
                <w:rFonts w:hint="eastAsia" w:ascii="Times New Roman" w:hAnsi="Times New Roman" w:cs="Times New Roman"/>
                <w:lang w:eastAsia="zh-CN"/>
              </w:rPr>
              <w:t>下表，</w:t>
            </w:r>
            <w:r>
              <w:rPr>
                <w:rFonts w:ascii="Times New Roman" w:hAnsi="Times New Roman" w:cs="Times New Roman"/>
                <w:lang w:eastAsia="zh-CN"/>
              </w:rPr>
              <w:t>所列条目为本项目涉及的内容。</w:t>
            </w:r>
          </w:p>
          <w:p w14:paraId="21593EC0">
            <w:pPr>
              <w:adjustRightInd w:val="0"/>
              <w:snapToGrid w:val="0"/>
              <w:jc w:val="center"/>
              <w:rPr>
                <w:b/>
                <w:bCs/>
                <w:szCs w:val="21"/>
              </w:rPr>
            </w:pPr>
            <w:r>
              <w:rPr>
                <w:b/>
                <w:bCs/>
                <w:szCs w:val="21"/>
              </w:rPr>
              <w:t>表1-</w:t>
            </w:r>
            <w:r>
              <w:rPr>
                <w:rFonts w:hint="eastAsia"/>
                <w:b/>
                <w:bCs/>
                <w:szCs w:val="21"/>
              </w:rPr>
              <w:t>5</w:t>
            </w:r>
            <w:r>
              <w:rPr>
                <w:b/>
                <w:bCs/>
                <w:szCs w:val="21"/>
              </w:rPr>
              <w:t xml:space="preserve">  与“</w:t>
            </w:r>
            <w:r>
              <w:rPr>
                <w:rFonts w:hint="eastAsia"/>
                <w:b/>
                <w:bCs/>
                <w:szCs w:val="21"/>
              </w:rPr>
              <w:t>意见</w:t>
            </w:r>
            <w:r>
              <w:rPr>
                <w:b/>
                <w:bCs/>
                <w:szCs w:val="21"/>
              </w:rPr>
              <w:t>”符合性分析</w:t>
            </w:r>
          </w:p>
          <w:tbl>
            <w:tblPr>
              <w:tblStyle w:val="34"/>
              <w:tblW w:w="5000" w:type="pct"/>
              <w:tblInd w:w="5" w:type="dxa"/>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475"/>
              <w:gridCol w:w="3802"/>
              <w:gridCol w:w="2606"/>
              <w:gridCol w:w="651"/>
            </w:tblGrid>
            <w:tr w14:paraId="49E367EE">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315" w:type="pct"/>
                  <w:tcBorders>
                    <w:tl2br w:val="nil"/>
                    <w:tr2bl w:val="nil"/>
                  </w:tcBorders>
                  <w:vAlign w:val="center"/>
                </w:tcPr>
                <w:p w14:paraId="77C90A2A">
                  <w:pPr>
                    <w:pStyle w:val="87"/>
                  </w:pPr>
                  <w:r>
                    <w:t>编号</w:t>
                  </w:r>
                </w:p>
              </w:tc>
              <w:tc>
                <w:tcPr>
                  <w:tcW w:w="2522" w:type="pct"/>
                  <w:tcBorders>
                    <w:tl2br w:val="nil"/>
                    <w:tr2bl w:val="nil"/>
                  </w:tcBorders>
                  <w:vAlign w:val="center"/>
                </w:tcPr>
                <w:p w14:paraId="7697D2DC">
                  <w:pPr>
                    <w:pStyle w:val="87"/>
                  </w:pPr>
                  <w:r>
                    <w:t>分析内容</w:t>
                  </w:r>
                </w:p>
              </w:tc>
              <w:tc>
                <w:tcPr>
                  <w:tcW w:w="1729" w:type="pct"/>
                  <w:tcBorders>
                    <w:tl2br w:val="nil"/>
                    <w:tr2bl w:val="nil"/>
                  </w:tcBorders>
                  <w:vAlign w:val="center"/>
                </w:tcPr>
                <w:p w14:paraId="39812773">
                  <w:pPr>
                    <w:pStyle w:val="87"/>
                  </w:pPr>
                  <w:r>
                    <w:t>本项目情况</w:t>
                  </w:r>
                </w:p>
              </w:tc>
              <w:tc>
                <w:tcPr>
                  <w:tcW w:w="432" w:type="pct"/>
                  <w:tcBorders>
                    <w:tl2br w:val="nil"/>
                    <w:tr2bl w:val="nil"/>
                  </w:tcBorders>
                  <w:vAlign w:val="center"/>
                </w:tcPr>
                <w:p w14:paraId="2AD3456A">
                  <w:pPr>
                    <w:pStyle w:val="87"/>
                  </w:pPr>
                  <w:r>
                    <w:t>分析</w:t>
                  </w:r>
                </w:p>
                <w:p w14:paraId="061AB6CC">
                  <w:pPr>
                    <w:pStyle w:val="87"/>
                  </w:pPr>
                  <w:r>
                    <w:t>结果</w:t>
                  </w:r>
                </w:p>
              </w:tc>
            </w:tr>
            <w:tr w14:paraId="6F26372F">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7" w:hRule="atLeast"/>
              </w:trPr>
              <w:tc>
                <w:tcPr>
                  <w:tcW w:w="315" w:type="pct"/>
                  <w:tcBorders>
                    <w:tl2br w:val="nil"/>
                    <w:tr2bl w:val="nil"/>
                  </w:tcBorders>
                  <w:vAlign w:val="center"/>
                </w:tcPr>
                <w:p w14:paraId="3416FBAA">
                  <w:pPr>
                    <w:pStyle w:val="87"/>
                  </w:pPr>
                  <w:r>
                    <w:t>1</w:t>
                  </w:r>
                </w:p>
              </w:tc>
              <w:tc>
                <w:tcPr>
                  <w:tcW w:w="2522" w:type="pct"/>
                  <w:tcBorders>
                    <w:tl2br w:val="nil"/>
                    <w:tr2bl w:val="nil"/>
                  </w:tcBorders>
                  <w:shd w:val="clear" w:color="auto" w:fill="auto"/>
                  <w:vAlign w:val="center"/>
                </w:tcPr>
                <w:p w14:paraId="70C1794E">
                  <w:pPr>
                    <w:pStyle w:val="87"/>
                    <w:jc w:val="left"/>
                  </w:pPr>
                  <w:r>
                    <w:t>环境管控单元划分环境管控单元，包括优先保护、重点管控和一般管控单元三类。优先保护单元指以生态环境保护为主的区域，主要包括生态保护红线、自然保护地、饮用水水源保护区等。重点管控单元指涉及水、大气、土壤、自然资源等资源环境要素重点管控的区域，主要包括人口密集的中心城区、产业园区和开发强度大、污染物排放强度高的区域等。一般管控单元指优先保护单元和重点管控单元之外的其他区域。</w:t>
                  </w:r>
                </w:p>
              </w:tc>
              <w:tc>
                <w:tcPr>
                  <w:tcW w:w="1729" w:type="pct"/>
                  <w:tcBorders>
                    <w:tl2br w:val="nil"/>
                    <w:tr2bl w:val="nil"/>
                  </w:tcBorders>
                  <w:vAlign w:val="center"/>
                </w:tcPr>
                <w:p w14:paraId="4957894A">
                  <w:pPr>
                    <w:pStyle w:val="87"/>
                    <w:jc w:val="left"/>
                  </w:pPr>
                  <w:r>
                    <w:rPr>
                      <w:rFonts w:hint="eastAsia"/>
                    </w:rPr>
                    <w:t>本</w:t>
                  </w:r>
                  <w:r>
                    <w:t>项目所在地不在生态保护红线、自然保护地、饮用水水源保护区等范围内，本项目属于重点管控单元。符合环境管控单元划分要求。</w:t>
                  </w:r>
                </w:p>
              </w:tc>
              <w:tc>
                <w:tcPr>
                  <w:tcW w:w="432" w:type="pct"/>
                  <w:tcBorders>
                    <w:tl2br w:val="nil"/>
                    <w:tr2bl w:val="nil"/>
                  </w:tcBorders>
                  <w:vAlign w:val="center"/>
                </w:tcPr>
                <w:p w14:paraId="3E3AC1B6">
                  <w:pPr>
                    <w:pStyle w:val="87"/>
                  </w:pPr>
                  <w:r>
                    <w:t>符合</w:t>
                  </w:r>
                </w:p>
              </w:tc>
            </w:tr>
            <w:tr w14:paraId="3896803B">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15" w:type="pct"/>
                  <w:tcBorders>
                    <w:tl2br w:val="nil"/>
                    <w:tr2bl w:val="nil"/>
                  </w:tcBorders>
                  <w:vAlign w:val="center"/>
                </w:tcPr>
                <w:p w14:paraId="281FFEA3">
                  <w:pPr>
                    <w:pStyle w:val="87"/>
                  </w:pPr>
                  <w:r>
                    <w:t>2</w:t>
                  </w:r>
                </w:p>
              </w:tc>
              <w:tc>
                <w:tcPr>
                  <w:tcW w:w="2522" w:type="pct"/>
                  <w:tcBorders>
                    <w:tl2br w:val="nil"/>
                    <w:tr2bl w:val="nil"/>
                  </w:tcBorders>
                  <w:vAlign w:val="center"/>
                </w:tcPr>
                <w:p w14:paraId="6E7870BA">
                  <w:pPr>
                    <w:pStyle w:val="87"/>
                    <w:jc w:val="left"/>
                  </w:pPr>
                  <w:r>
                    <w:t>生态环境准入清单以环境管控单元为基础，从空间布局约束、污染物排放管控、环境风险防控和资源利用效率等方面明确准入、限制和禁止的要求，建立“ 1+4+14+N ”4 级塔型生态环境准入清单管控体系。“ 1 ”为全省总体管控要求；“4 ”为沈阳现代化都市圈、辽宁沿海经济带、辽西融入京津冀协同发展战略先导区、辽东绿色经济区等重点区域管控要求；“ 14 ”为各市生态环境管控基本要求； “N ”为全省</w:t>
                  </w:r>
                  <w:r>
                    <w:rPr>
                      <w:rFonts w:hint="eastAsia"/>
                    </w:rPr>
                    <w:t>1</w:t>
                  </w:r>
                  <w:r>
                    <w:t>524个环境管控单元生态环境准入清单。各市应结合区域发展格局、生态环境问题及生态环境目标要求，制定发布市域管控要求和环境管控单元的生态环境准入清单。</w:t>
                  </w:r>
                </w:p>
              </w:tc>
              <w:tc>
                <w:tcPr>
                  <w:tcW w:w="1729" w:type="pct"/>
                  <w:tcBorders>
                    <w:tl2br w:val="nil"/>
                    <w:tr2bl w:val="nil"/>
                  </w:tcBorders>
                  <w:vAlign w:val="center"/>
                </w:tcPr>
                <w:p w14:paraId="1D8994A5">
                  <w:pPr>
                    <w:pStyle w:val="87"/>
                  </w:pPr>
                  <w:r>
                    <w:rPr>
                      <w:rFonts w:hint="eastAsia"/>
                    </w:rPr>
                    <w:t>本项目属于重点管控单元。本项目用地为工业用地，布局合理，运营期各项污染物采取相应的环保措施后能满足达标排放要求；项目运营过程中消耗一定量的水、电能资源，资源消耗量相对区域资源利用总量较少。综上，本项目符合生态环境准入清单要求。</w:t>
                  </w:r>
                </w:p>
              </w:tc>
              <w:tc>
                <w:tcPr>
                  <w:tcW w:w="432" w:type="pct"/>
                  <w:tcBorders>
                    <w:tl2br w:val="nil"/>
                    <w:tr2bl w:val="nil"/>
                  </w:tcBorders>
                  <w:vAlign w:val="center"/>
                </w:tcPr>
                <w:p w14:paraId="42184832">
                  <w:pPr>
                    <w:pStyle w:val="87"/>
                  </w:pPr>
                  <w:r>
                    <w:t>符合</w:t>
                  </w:r>
                </w:p>
              </w:tc>
            </w:tr>
            <w:tr w14:paraId="634B36CC">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15" w:type="pct"/>
                  <w:tcBorders>
                    <w:tl2br w:val="nil"/>
                    <w:tr2bl w:val="nil"/>
                  </w:tcBorders>
                  <w:vAlign w:val="center"/>
                </w:tcPr>
                <w:p w14:paraId="00C217A7">
                  <w:pPr>
                    <w:pStyle w:val="87"/>
                  </w:pPr>
                  <w:r>
                    <w:t>3</w:t>
                  </w:r>
                </w:p>
              </w:tc>
              <w:tc>
                <w:tcPr>
                  <w:tcW w:w="2522" w:type="pct"/>
                  <w:tcBorders>
                    <w:tl2br w:val="nil"/>
                    <w:tr2bl w:val="nil"/>
                  </w:tcBorders>
                  <w:vAlign w:val="center"/>
                </w:tcPr>
                <w:p w14:paraId="31120855">
                  <w:pPr>
                    <w:pStyle w:val="87"/>
                    <w:jc w:val="left"/>
                  </w:pPr>
                  <w:r>
                    <w:t>分区环境管控要求优先保护单元应依法禁止或限制大规模、高强度的工业和城镇建设活动，确保生态环境功能不降低、面积不减少、性质不改变。重点管控单元主要推进产业布局优化、转型升级，不断提高资源利用效率，加强污染物排放控制和环境风险防控，解决突出生态环境问题。一般管控单元主要落实生态环境保护基本要求，加强生活污染和农业面源污染治理，推动区域环境质量持续改善。</w:t>
                  </w:r>
                </w:p>
              </w:tc>
              <w:tc>
                <w:tcPr>
                  <w:tcW w:w="1729" w:type="pct"/>
                  <w:tcBorders>
                    <w:tl2br w:val="nil"/>
                    <w:tr2bl w:val="nil"/>
                  </w:tcBorders>
                  <w:vAlign w:val="center"/>
                </w:tcPr>
                <w:p w14:paraId="1BD6743B">
                  <w:pPr>
                    <w:pStyle w:val="87"/>
                  </w:pPr>
                  <w:r>
                    <w:rPr>
                      <w:rFonts w:hint="eastAsia"/>
                    </w:rPr>
                    <w:t>本项目属于重点管控单元，</w:t>
                  </w:r>
                  <w:r>
                    <w:t>运营期各项污染物采取相应的环保措施后能满足达标排放要求</w:t>
                  </w:r>
                  <w:r>
                    <w:rPr>
                      <w:rFonts w:hint="eastAsia"/>
                    </w:rPr>
                    <w:t>，</w:t>
                  </w:r>
                  <w:r>
                    <w:t>污染影响较小</w:t>
                  </w:r>
                  <w:r>
                    <w:rPr>
                      <w:rFonts w:hint="eastAsia"/>
                    </w:rPr>
                    <w:t>，</w:t>
                  </w:r>
                  <w:r>
                    <w:t>项目符合分区环境管控要求。</w:t>
                  </w:r>
                </w:p>
              </w:tc>
              <w:tc>
                <w:tcPr>
                  <w:tcW w:w="432" w:type="pct"/>
                  <w:tcBorders>
                    <w:tl2br w:val="nil"/>
                    <w:tr2bl w:val="nil"/>
                  </w:tcBorders>
                  <w:vAlign w:val="center"/>
                </w:tcPr>
                <w:p w14:paraId="0D35C820">
                  <w:pPr>
                    <w:pStyle w:val="87"/>
                  </w:pPr>
                  <w:r>
                    <w:t>符合</w:t>
                  </w:r>
                </w:p>
              </w:tc>
            </w:tr>
          </w:tbl>
          <w:p w14:paraId="57821706">
            <w:pPr>
              <w:pStyle w:val="116"/>
              <w:spacing w:before="34" w:line="343" w:lineRule="auto"/>
              <w:ind w:left="108" w:right="144" w:firstLine="492"/>
              <w:rPr>
                <w:rFonts w:hint="eastAsia"/>
                <w:lang w:eastAsia="zh-CN"/>
              </w:rPr>
            </w:pPr>
            <w:r>
              <w:rPr>
                <w:b/>
                <w:bCs/>
                <w:spacing w:val="-3"/>
                <w:lang w:eastAsia="zh-CN"/>
              </w:rPr>
              <w:t>（</w:t>
            </w:r>
            <w:r>
              <w:rPr>
                <w:rFonts w:ascii="Times New Roman" w:hAnsi="Times New Roman" w:eastAsia="Times New Roman" w:cs="Times New Roman"/>
                <w:b/>
                <w:bCs/>
                <w:spacing w:val="-3"/>
                <w:lang w:eastAsia="zh-CN"/>
              </w:rPr>
              <w:t>3</w:t>
            </w:r>
            <w:r>
              <w:rPr>
                <w:b/>
                <w:bCs/>
                <w:spacing w:val="-3"/>
                <w:lang w:eastAsia="zh-CN"/>
              </w:rPr>
              <w:t>）</w:t>
            </w:r>
            <w:r>
              <w:rPr>
                <w:rFonts w:hint="eastAsia"/>
                <w:b/>
                <w:bCs/>
                <w:spacing w:val="-3"/>
                <w:lang w:eastAsia="zh-CN"/>
              </w:rPr>
              <w:t>本</w:t>
            </w:r>
            <w:r>
              <w:rPr>
                <w:b/>
                <w:bCs/>
                <w:spacing w:val="-3"/>
                <w:lang w:eastAsia="zh-CN"/>
              </w:rPr>
              <w:t>项目与《</w:t>
            </w:r>
            <w:r>
              <w:rPr>
                <w:rFonts w:ascii="Times New Roman" w:hAnsi="Times New Roman" w:cs="Times New Roman"/>
                <w:b/>
                <w:lang w:eastAsia="zh-CN"/>
              </w:rPr>
              <w:t>朝阳市生态环境分区管控动态更新方案（2023年）</w:t>
            </w:r>
            <w:r>
              <w:rPr>
                <w:b/>
                <w:bCs/>
                <w:spacing w:val="-3"/>
                <w:lang w:eastAsia="zh-CN"/>
              </w:rPr>
              <w:t>》（</w:t>
            </w:r>
            <w:r>
              <w:rPr>
                <w:rFonts w:hint="eastAsia"/>
                <w:b/>
                <w:bCs/>
                <w:spacing w:val="-3"/>
                <w:lang w:eastAsia="zh-CN"/>
              </w:rPr>
              <w:t>朝环发〔2024〕45号</w:t>
            </w:r>
            <w:r>
              <w:rPr>
                <w:b/>
                <w:bCs/>
                <w:spacing w:val="-3"/>
                <w:lang w:eastAsia="zh-CN"/>
              </w:rPr>
              <w:t>）符合性分析</w:t>
            </w:r>
          </w:p>
          <w:p w14:paraId="34BA1A58">
            <w:pPr>
              <w:spacing w:line="500" w:lineRule="exact"/>
              <w:ind w:firstLine="480" w:firstLineChars="200"/>
              <w:rPr>
                <w:sz w:val="24"/>
              </w:rPr>
            </w:pPr>
            <w:r>
              <w:rPr>
                <w:sz w:val="24"/>
              </w:rPr>
              <w:t>本项目位于辽宁省朝阳市北票市宝锦线凉水河北侧3幢01023，所在的分区管控单元</w:t>
            </w:r>
            <w:r>
              <w:rPr>
                <w:rFonts w:hint="eastAsia"/>
                <w:sz w:val="24"/>
              </w:rPr>
              <w:t>为朝阳市北票市重点管控区3（ZH21138120006）和朝阳市北票市重点管控区4（ZH21138120007）。</w:t>
            </w:r>
          </w:p>
          <w:p w14:paraId="629181A7">
            <w:pPr>
              <w:pStyle w:val="116"/>
              <w:spacing w:before="158" w:line="347" w:lineRule="auto"/>
              <w:ind w:left="110" w:right="103" w:firstLine="481"/>
              <w:rPr>
                <w:rFonts w:ascii="Times New Roman" w:hAnsi="Times New Roman" w:cs="Times New Roman"/>
                <w:lang w:eastAsia="zh-CN"/>
              </w:rPr>
            </w:pPr>
            <w:r>
              <w:rPr>
                <w:rFonts w:ascii="Times New Roman" w:hAnsi="Times New Roman" w:cs="Times New Roman"/>
                <w:lang w:eastAsia="zh-CN"/>
              </w:rPr>
              <w:t>项目与《朝阳市生态环境分区管控动态更新方案（2023年）》（朝环发〔2024〕45号）符合性分析见</w:t>
            </w:r>
            <w:r>
              <w:rPr>
                <w:rFonts w:hint="eastAsia" w:ascii="Times New Roman" w:hAnsi="Times New Roman" w:cs="Times New Roman"/>
                <w:lang w:eastAsia="zh-CN"/>
              </w:rPr>
              <w:t>下表，</w:t>
            </w:r>
            <w:r>
              <w:rPr>
                <w:rFonts w:ascii="Times New Roman" w:hAnsi="Times New Roman" w:cs="Times New Roman"/>
                <w:lang w:eastAsia="zh-CN"/>
              </w:rPr>
              <w:t>所列条目为本项目涉及的内容。</w:t>
            </w:r>
          </w:p>
          <w:p w14:paraId="0327BBCA">
            <w:pPr>
              <w:adjustRightInd w:val="0"/>
              <w:snapToGrid w:val="0"/>
              <w:jc w:val="center"/>
              <w:rPr>
                <w:b/>
                <w:bCs/>
                <w:szCs w:val="21"/>
              </w:rPr>
            </w:pPr>
            <w:r>
              <w:rPr>
                <w:b/>
                <w:bCs/>
                <w:szCs w:val="21"/>
              </w:rPr>
              <w:t>表1-6  与朝阳市北票市重点管控区3（ZH21138120006）符合性分析</w:t>
            </w:r>
          </w:p>
          <w:tbl>
            <w:tblPr>
              <w:tblStyle w:val="34"/>
              <w:tblW w:w="5000" w:type="pct"/>
              <w:tblInd w:w="0" w:type="dxa"/>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455"/>
              <w:gridCol w:w="4469"/>
              <w:gridCol w:w="1882"/>
              <w:gridCol w:w="728"/>
            </w:tblGrid>
            <w:tr w14:paraId="36E1F482">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302" w:type="pct"/>
                  <w:vAlign w:val="center"/>
                </w:tcPr>
                <w:p w14:paraId="265BD8E0">
                  <w:pPr>
                    <w:pStyle w:val="87"/>
                    <w:jc w:val="left"/>
                  </w:pPr>
                  <w:r>
                    <w:rPr>
                      <w:rFonts w:hint="eastAsia"/>
                    </w:rPr>
                    <w:t>标题</w:t>
                  </w:r>
                </w:p>
              </w:tc>
              <w:tc>
                <w:tcPr>
                  <w:tcW w:w="2965" w:type="pct"/>
                  <w:vAlign w:val="center"/>
                </w:tcPr>
                <w:p w14:paraId="2C9BCE76">
                  <w:pPr>
                    <w:pStyle w:val="87"/>
                    <w:jc w:val="left"/>
                  </w:pPr>
                  <w:r>
                    <w:t>分析内容</w:t>
                  </w:r>
                </w:p>
              </w:tc>
              <w:tc>
                <w:tcPr>
                  <w:tcW w:w="1249" w:type="pct"/>
                  <w:vAlign w:val="center"/>
                </w:tcPr>
                <w:p w14:paraId="704C617A">
                  <w:pPr>
                    <w:pStyle w:val="87"/>
                    <w:jc w:val="left"/>
                  </w:pPr>
                  <w:r>
                    <w:t>本项目情况</w:t>
                  </w:r>
                </w:p>
              </w:tc>
              <w:tc>
                <w:tcPr>
                  <w:tcW w:w="483" w:type="pct"/>
                  <w:vAlign w:val="center"/>
                </w:tcPr>
                <w:p w14:paraId="3D4472A4">
                  <w:pPr>
                    <w:pStyle w:val="87"/>
                    <w:jc w:val="left"/>
                  </w:pPr>
                  <w:r>
                    <w:t>分析</w:t>
                  </w:r>
                </w:p>
                <w:p w14:paraId="05EED805">
                  <w:pPr>
                    <w:pStyle w:val="87"/>
                    <w:jc w:val="left"/>
                  </w:pPr>
                  <w:r>
                    <w:t>结果</w:t>
                  </w:r>
                </w:p>
              </w:tc>
            </w:tr>
            <w:tr w14:paraId="2D78AD83">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02" w:type="pct"/>
                  <w:vAlign w:val="center"/>
                </w:tcPr>
                <w:p w14:paraId="156DFE04">
                  <w:pPr>
                    <w:pStyle w:val="87"/>
                    <w:jc w:val="left"/>
                  </w:pPr>
                  <w:r>
                    <w:t>空间布局约束</w:t>
                  </w:r>
                </w:p>
              </w:tc>
              <w:tc>
                <w:tcPr>
                  <w:tcW w:w="2965" w:type="pct"/>
                  <w:vAlign w:val="center"/>
                </w:tcPr>
                <w:p w14:paraId="37B68A50">
                  <w:pPr>
                    <w:pStyle w:val="87"/>
                    <w:jc w:val="left"/>
                  </w:pPr>
                  <w:r>
                    <w:t>1.对禁（限）养区内养殖场户实施搬迁关闭整治工作。</w:t>
                  </w:r>
                </w:p>
                <w:p w14:paraId="70E4F501">
                  <w:pPr>
                    <w:pStyle w:val="87"/>
                    <w:jc w:val="left"/>
                  </w:pPr>
                  <w:r>
                    <w:t>2.大气污染严重的工业企业逐步迁出。</w:t>
                  </w:r>
                </w:p>
                <w:p w14:paraId="1A980E51">
                  <w:pPr>
                    <w:pStyle w:val="87"/>
                    <w:jc w:val="left"/>
                  </w:pPr>
                  <w:r>
                    <w:t>3.基本农田，实行严格保护，确保其面积不减少、土壤环境质量不下降，除法律规定的重点建设项目选址确实无法避让外，其他任何建设不得占用。</w:t>
                  </w:r>
                </w:p>
              </w:tc>
              <w:tc>
                <w:tcPr>
                  <w:tcW w:w="1249" w:type="pct"/>
                  <w:vAlign w:val="center"/>
                </w:tcPr>
                <w:p w14:paraId="566A0314">
                  <w:pPr>
                    <w:pStyle w:val="87"/>
                    <w:jc w:val="left"/>
                  </w:pPr>
                  <w:r>
                    <w:rPr>
                      <w:rFonts w:hint="eastAsia"/>
                    </w:rPr>
                    <w:t>1.</w:t>
                  </w:r>
                  <w:r>
                    <w:t>本项目</w:t>
                  </w:r>
                  <w:r>
                    <w:rPr>
                      <w:rFonts w:hint="eastAsia"/>
                    </w:rPr>
                    <w:t>不属养殖项目。</w:t>
                  </w:r>
                </w:p>
                <w:p w14:paraId="3C05054F">
                  <w:pPr>
                    <w:pStyle w:val="87"/>
                    <w:jc w:val="left"/>
                  </w:pPr>
                  <w:r>
                    <w:rPr>
                      <w:rFonts w:hint="eastAsia"/>
                    </w:rPr>
                    <w:t>2.本项目不属于大气污染严重工业企业。</w:t>
                  </w:r>
                </w:p>
                <w:p w14:paraId="27A988E2">
                  <w:pPr>
                    <w:pStyle w:val="87"/>
                    <w:jc w:val="left"/>
                  </w:pPr>
                  <w:r>
                    <w:rPr>
                      <w:rFonts w:hint="eastAsia"/>
                    </w:rPr>
                    <w:t>3.本项目租用厂区为工业用地，不新增用地，不涉及基本农田</w:t>
                  </w:r>
                </w:p>
              </w:tc>
              <w:tc>
                <w:tcPr>
                  <w:tcW w:w="483" w:type="pct"/>
                  <w:vAlign w:val="center"/>
                </w:tcPr>
                <w:p w14:paraId="2DF51022">
                  <w:pPr>
                    <w:pStyle w:val="87"/>
                    <w:jc w:val="left"/>
                  </w:pPr>
                  <w:r>
                    <w:t>符合</w:t>
                  </w:r>
                </w:p>
              </w:tc>
            </w:tr>
            <w:tr w14:paraId="5244CB63">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02" w:type="pct"/>
                  <w:vAlign w:val="center"/>
                </w:tcPr>
                <w:p w14:paraId="09A5472C">
                  <w:pPr>
                    <w:pStyle w:val="87"/>
                    <w:jc w:val="left"/>
                  </w:pPr>
                  <w:r>
                    <w:t>污染物排放管控</w:t>
                  </w:r>
                </w:p>
              </w:tc>
              <w:tc>
                <w:tcPr>
                  <w:tcW w:w="2965" w:type="pct"/>
                  <w:vAlign w:val="center"/>
                </w:tcPr>
                <w:p w14:paraId="24A80887">
                  <w:pPr>
                    <w:pStyle w:val="87"/>
                    <w:jc w:val="left"/>
                  </w:pPr>
                  <w:r>
                    <w:t xml:space="preserve">1.畜禽养殖场、养殖小区应当按照国家和省有关规定将畜禽粪便、废水进行综合利用或者无害化处理；规模化畜禽养殖场、养殖小区应当配套建设粪便污水贮存、处理、利用设施，推进粪便污水资源化利用；养殖专业户应当建设防雨、防渗、防漏、防外溢的粪便污水收集贮存设施，采用堆肥处理等措施实现粪便污水综合利用。 </w:t>
                  </w:r>
                </w:p>
                <w:p w14:paraId="5D5BD698">
                  <w:pPr>
                    <w:pStyle w:val="87"/>
                    <w:jc w:val="left"/>
                  </w:pPr>
                  <w:r>
                    <w:t>2.从2021年1月1日起，全面执行国家排放标准大气污染物特别排放限值；推进清洁取暖改造，推广使用天然气、液化石油气、太阳能、电能等清洁能源。综合整治扬尘污染。</w:t>
                  </w:r>
                </w:p>
                <w:p w14:paraId="27445DDC">
                  <w:pPr>
                    <w:pStyle w:val="87"/>
                    <w:jc w:val="left"/>
                  </w:pPr>
                  <w:r>
                    <w:t>3.加强农业面源污染防治，加大种养业特别是规模化畜禽养殖污染防治力度，引导农民使用生物农药或高效、低毒、低残留农药，对农药包装进行无害化处理；推进畜禽粪污资源化利用。</w:t>
                  </w:r>
                </w:p>
              </w:tc>
              <w:tc>
                <w:tcPr>
                  <w:tcW w:w="1249" w:type="pct"/>
                  <w:vAlign w:val="center"/>
                </w:tcPr>
                <w:p w14:paraId="04D19632">
                  <w:pPr>
                    <w:pStyle w:val="87"/>
                    <w:jc w:val="left"/>
                  </w:pPr>
                  <w:r>
                    <w:rPr>
                      <w:rFonts w:hint="eastAsia"/>
                    </w:rPr>
                    <w:t>1.</w:t>
                  </w:r>
                  <w:r>
                    <w:t>本项目</w:t>
                  </w:r>
                  <w:r>
                    <w:rPr>
                      <w:rFonts w:hint="eastAsia"/>
                    </w:rPr>
                    <w:t>不属养殖项目。</w:t>
                  </w:r>
                </w:p>
                <w:p w14:paraId="777BA466">
                  <w:pPr>
                    <w:pStyle w:val="87"/>
                    <w:jc w:val="left"/>
                  </w:pPr>
                  <w:r>
                    <w:rPr>
                      <w:rFonts w:hint="eastAsia"/>
                    </w:rPr>
                    <w:t>2.本项目废气经处理后全部达标排放，本项目主要使用电能等清洁能源</w:t>
                  </w:r>
                </w:p>
                <w:p w14:paraId="5D5ECBA6">
                  <w:pPr>
                    <w:pStyle w:val="87"/>
                    <w:jc w:val="left"/>
                  </w:pPr>
                  <w:r>
                    <w:rPr>
                      <w:rFonts w:hint="eastAsia"/>
                    </w:rPr>
                    <w:t>3.本项目不属于农业项目</w:t>
                  </w:r>
                </w:p>
              </w:tc>
              <w:tc>
                <w:tcPr>
                  <w:tcW w:w="483" w:type="pct"/>
                  <w:vAlign w:val="center"/>
                </w:tcPr>
                <w:p w14:paraId="18B77D0B">
                  <w:pPr>
                    <w:pStyle w:val="87"/>
                    <w:jc w:val="left"/>
                  </w:pPr>
                  <w:r>
                    <w:t>符合</w:t>
                  </w:r>
                </w:p>
              </w:tc>
            </w:tr>
            <w:tr w14:paraId="13392981">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02" w:type="pct"/>
                  <w:vAlign w:val="center"/>
                </w:tcPr>
                <w:p w14:paraId="343B7E3D">
                  <w:pPr>
                    <w:pStyle w:val="87"/>
                    <w:jc w:val="left"/>
                  </w:pPr>
                  <w:r>
                    <w:t>环境风险防控</w:t>
                  </w:r>
                </w:p>
              </w:tc>
              <w:tc>
                <w:tcPr>
                  <w:tcW w:w="2965" w:type="pct"/>
                  <w:vAlign w:val="center"/>
                </w:tcPr>
                <w:p w14:paraId="6966CBDD">
                  <w:pPr>
                    <w:pStyle w:val="87"/>
                    <w:jc w:val="left"/>
                  </w:pPr>
                  <w:r>
                    <w:t>1.加大执法检查力度，推动辖区内化工企业落实安全生产和环境保护主体责任，提升突发环境事件风险防控能力。</w:t>
                  </w:r>
                </w:p>
                <w:p w14:paraId="27A7D818">
                  <w:pPr>
                    <w:pStyle w:val="87"/>
                    <w:jc w:val="left"/>
                  </w:pPr>
                  <w:r>
                    <w:t>2.紧邻的居住、科教、医院等环境敏感点的工业用地，禁止新建环境风险潜势等级Ⅳ/Ⅳ+级的建设项目。</w:t>
                  </w:r>
                </w:p>
                <w:p w14:paraId="6D19DF64">
                  <w:pPr>
                    <w:pStyle w:val="87"/>
                    <w:jc w:val="left"/>
                  </w:pPr>
                  <w:r>
                    <w:t>3.重点加强对烧结、工业炉窑、医疗垃圾和危险废物焚烧有毒有害大气污染物排放企业的监管，按国家有关规定对排放有毒有害大气污染物的排放口和周边环境进行定期监测，建设环境风险预警体系，排查环境安全隐患，评估和防范环境风险。</w:t>
                  </w:r>
                </w:p>
                <w:p w14:paraId="149BF4E5">
                  <w:pPr>
                    <w:pStyle w:val="87"/>
                    <w:jc w:val="left"/>
                  </w:pPr>
                  <w:r>
                    <w:t>4.优先保护耕地土壤环境，强化乡镇工业污染场地治理，开展土壤污染治理与修复试点工作。</w:t>
                  </w:r>
                </w:p>
              </w:tc>
              <w:tc>
                <w:tcPr>
                  <w:tcW w:w="1249" w:type="pct"/>
                  <w:vAlign w:val="center"/>
                </w:tcPr>
                <w:p w14:paraId="3E0EA885">
                  <w:pPr>
                    <w:pStyle w:val="87"/>
                    <w:jc w:val="left"/>
                  </w:pPr>
                  <w:r>
                    <w:rPr>
                      <w:rFonts w:hint="eastAsia"/>
                    </w:rPr>
                    <w:t>1.项目建成后，及时编制突发环境事件应急预案并完善突发环境事件应急演练和物资储备，全面落实主体责任。</w:t>
                  </w:r>
                </w:p>
                <w:p w14:paraId="5363BA0D">
                  <w:pPr>
                    <w:pStyle w:val="87"/>
                    <w:jc w:val="left"/>
                  </w:pPr>
                  <w:r>
                    <w:rPr>
                      <w:rFonts w:hint="eastAsia"/>
                    </w:rPr>
                    <w:t>2.本项目</w:t>
                  </w:r>
                  <w:r>
                    <w:t>环境风险潜势等级</w:t>
                  </w:r>
                  <w:r>
                    <w:rPr>
                      <w:rFonts w:hint="eastAsia"/>
                    </w:rPr>
                    <w:t>为Ⅰ。</w:t>
                  </w:r>
                </w:p>
                <w:p w14:paraId="33E5665B">
                  <w:pPr>
                    <w:pStyle w:val="87"/>
                    <w:jc w:val="left"/>
                  </w:pPr>
                  <w:r>
                    <w:rPr>
                      <w:rFonts w:hint="eastAsia"/>
                    </w:rPr>
                    <w:t>3.本项目不属于</w:t>
                  </w:r>
                  <w:r>
                    <w:t>烧结、工业炉窑、医疗垃圾和危险废物焚烧有毒有害大气污染物排放企业</w:t>
                  </w:r>
                  <w:r>
                    <w:rPr>
                      <w:rFonts w:hint="eastAsia"/>
                    </w:rPr>
                    <w:t>。</w:t>
                  </w:r>
                </w:p>
                <w:p w14:paraId="02947E8A">
                  <w:pPr>
                    <w:pStyle w:val="87"/>
                    <w:jc w:val="left"/>
                  </w:pPr>
                  <w:r>
                    <w:rPr>
                      <w:rFonts w:hint="eastAsia"/>
                    </w:rPr>
                    <w:t>4.本项目租用现有厂区，不新增占地。</w:t>
                  </w:r>
                </w:p>
              </w:tc>
              <w:tc>
                <w:tcPr>
                  <w:tcW w:w="483" w:type="pct"/>
                  <w:vAlign w:val="center"/>
                </w:tcPr>
                <w:p w14:paraId="15C72091">
                  <w:pPr>
                    <w:pStyle w:val="87"/>
                    <w:jc w:val="left"/>
                  </w:pPr>
                  <w:r>
                    <w:t>符合</w:t>
                  </w:r>
                </w:p>
              </w:tc>
            </w:tr>
            <w:tr w14:paraId="7AB85BF4">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02" w:type="pct"/>
                  <w:vAlign w:val="center"/>
                </w:tcPr>
                <w:p w14:paraId="12FA07A4">
                  <w:pPr>
                    <w:pStyle w:val="87"/>
                    <w:jc w:val="left"/>
                  </w:pPr>
                  <w:r>
                    <w:t>资源开发效率要求</w:t>
                  </w:r>
                </w:p>
              </w:tc>
              <w:tc>
                <w:tcPr>
                  <w:tcW w:w="2965" w:type="pct"/>
                  <w:vAlign w:val="center"/>
                </w:tcPr>
                <w:p w14:paraId="1D03E6E3">
                  <w:pPr>
                    <w:pStyle w:val="87"/>
                    <w:jc w:val="left"/>
                  </w:pPr>
                  <w:r>
                    <w:t>1.控制煤炭消费总量，严把新上、改扩建耗煤项目立项，对未实行煤炭消费减量替代的耗煤项目一律不予立项。</w:t>
                  </w:r>
                </w:p>
                <w:p w14:paraId="39BD50CE">
                  <w:pPr>
                    <w:pStyle w:val="87"/>
                    <w:jc w:val="left"/>
                  </w:pPr>
                  <w:r>
                    <w:t>2.实施水资源总量控制，严格计划用水管理；加快推广农业节水技术和措施，提高农田灌溉水资源利用效率，未依法完成水资源论证工作的建设项目，不予批准。</w:t>
                  </w:r>
                </w:p>
              </w:tc>
              <w:tc>
                <w:tcPr>
                  <w:tcW w:w="1249" w:type="pct"/>
                  <w:vAlign w:val="center"/>
                </w:tcPr>
                <w:p w14:paraId="2ED1CD79">
                  <w:pPr>
                    <w:pStyle w:val="87"/>
                    <w:jc w:val="left"/>
                  </w:pPr>
                  <w:r>
                    <w:rPr>
                      <w:rFonts w:hint="eastAsia"/>
                    </w:rPr>
                    <w:t>1.本项目不涉及煤炭。</w:t>
                  </w:r>
                </w:p>
                <w:p w14:paraId="41C45E3E">
                  <w:pPr>
                    <w:pStyle w:val="87"/>
                    <w:jc w:val="left"/>
                  </w:pPr>
                  <w:r>
                    <w:rPr>
                      <w:rFonts w:hint="eastAsia"/>
                    </w:rPr>
                    <w:t>2.本项目用水主要为报废发动机清洗水、地面冲洗水，用水量较小。</w:t>
                  </w:r>
                </w:p>
              </w:tc>
              <w:tc>
                <w:tcPr>
                  <w:tcW w:w="483" w:type="pct"/>
                  <w:vAlign w:val="center"/>
                </w:tcPr>
                <w:p w14:paraId="25604EB6">
                  <w:pPr>
                    <w:pStyle w:val="87"/>
                    <w:jc w:val="left"/>
                  </w:pPr>
                  <w:r>
                    <w:t>符合</w:t>
                  </w:r>
                </w:p>
              </w:tc>
            </w:tr>
          </w:tbl>
          <w:p w14:paraId="0DAC968E">
            <w:pPr>
              <w:adjustRightInd w:val="0"/>
              <w:snapToGrid w:val="0"/>
              <w:jc w:val="center"/>
              <w:rPr>
                <w:b/>
                <w:bCs/>
                <w:szCs w:val="21"/>
              </w:rPr>
            </w:pPr>
            <w:r>
              <w:rPr>
                <w:b/>
                <w:bCs/>
                <w:szCs w:val="21"/>
              </w:rPr>
              <w:t>表1-</w:t>
            </w:r>
            <w:r>
              <w:rPr>
                <w:rFonts w:hint="eastAsia"/>
                <w:b/>
                <w:bCs/>
                <w:szCs w:val="21"/>
              </w:rPr>
              <w:t>7</w:t>
            </w:r>
            <w:r>
              <w:rPr>
                <w:b/>
                <w:bCs/>
                <w:szCs w:val="21"/>
              </w:rPr>
              <w:t xml:space="preserve">  与朝阳市北票市重点管控区</w:t>
            </w:r>
            <w:r>
              <w:rPr>
                <w:rFonts w:hint="eastAsia"/>
                <w:b/>
                <w:bCs/>
                <w:szCs w:val="21"/>
              </w:rPr>
              <w:t>4</w:t>
            </w:r>
            <w:r>
              <w:rPr>
                <w:b/>
                <w:bCs/>
                <w:szCs w:val="21"/>
              </w:rPr>
              <w:t>（ZH2113812000</w:t>
            </w:r>
            <w:r>
              <w:rPr>
                <w:rFonts w:hint="eastAsia"/>
                <w:b/>
                <w:bCs/>
                <w:szCs w:val="21"/>
              </w:rPr>
              <w:t>7</w:t>
            </w:r>
            <w:r>
              <w:rPr>
                <w:b/>
                <w:bCs/>
                <w:szCs w:val="21"/>
              </w:rPr>
              <w:t>）符合性分析</w:t>
            </w:r>
          </w:p>
          <w:tbl>
            <w:tblPr>
              <w:tblStyle w:val="34"/>
              <w:tblW w:w="5000" w:type="pct"/>
              <w:tblInd w:w="0" w:type="dxa"/>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455"/>
              <w:gridCol w:w="4469"/>
              <w:gridCol w:w="1882"/>
              <w:gridCol w:w="728"/>
            </w:tblGrid>
            <w:tr w14:paraId="191F5419">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302" w:type="pct"/>
                  <w:vAlign w:val="center"/>
                </w:tcPr>
                <w:p w14:paraId="31188341">
                  <w:pPr>
                    <w:pStyle w:val="87"/>
                    <w:jc w:val="left"/>
                  </w:pPr>
                  <w:r>
                    <w:rPr>
                      <w:rFonts w:hint="eastAsia"/>
                    </w:rPr>
                    <w:t>标题</w:t>
                  </w:r>
                </w:p>
              </w:tc>
              <w:tc>
                <w:tcPr>
                  <w:tcW w:w="2965" w:type="pct"/>
                  <w:vAlign w:val="center"/>
                </w:tcPr>
                <w:p w14:paraId="14701AE6">
                  <w:pPr>
                    <w:pStyle w:val="87"/>
                    <w:jc w:val="left"/>
                  </w:pPr>
                  <w:r>
                    <w:t>分析内容</w:t>
                  </w:r>
                </w:p>
              </w:tc>
              <w:tc>
                <w:tcPr>
                  <w:tcW w:w="1249" w:type="pct"/>
                  <w:vAlign w:val="center"/>
                </w:tcPr>
                <w:p w14:paraId="2BC4AB91">
                  <w:pPr>
                    <w:pStyle w:val="87"/>
                    <w:jc w:val="left"/>
                  </w:pPr>
                  <w:r>
                    <w:t>本项目情况</w:t>
                  </w:r>
                </w:p>
              </w:tc>
              <w:tc>
                <w:tcPr>
                  <w:tcW w:w="483" w:type="pct"/>
                  <w:vAlign w:val="center"/>
                </w:tcPr>
                <w:p w14:paraId="32F6B47D">
                  <w:pPr>
                    <w:pStyle w:val="87"/>
                    <w:jc w:val="left"/>
                  </w:pPr>
                  <w:r>
                    <w:t>分析</w:t>
                  </w:r>
                </w:p>
                <w:p w14:paraId="3D76FEF2">
                  <w:pPr>
                    <w:pStyle w:val="87"/>
                    <w:jc w:val="left"/>
                  </w:pPr>
                  <w:r>
                    <w:t>结果</w:t>
                  </w:r>
                </w:p>
              </w:tc>
            </w:tr>
            <w:tr w14:paraId="6F87614A">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02" w:type="pct"/>
                  <w:vAlign w:val="center"/>
                </w:tcPr>
                <w:p w14:paraId="61E9EFD0">
                  <w:pPr>
                    <w:pStyle w:val="87"/>
                    <w:jc w:val="left"/>
                  </w:pPr>
                  <w:r>
                    <w:t>空间布局约束</w:t>
                  </w:r>
                </w:p>
              </w:tc>
              <w:tc>
                <w:tcPr>
                  <w:tcW w:w="2965" w:type="pct"/>
                  <w:vAlign w:val="center"/>
                </w:tcPr>
                <w:p w14:paraId="66A1E942">
                  <w:pPr>
                    <w:pStyle w:val="87"/>
                    <w:jc w:val="left"/>
                  </w:pPr>
                  <w:r>
                    <w:t>1.遵守《自然生态空间用途管制办法（试行）》  生态保护红线以外的生态空间原则上按照限制开发区域管理，从严控制生态空间转为城镇空间和农业空间。依法控制新增建设占用生态保护红线外的生态空间；严格限制农业开发占用生态保护红线外的生态空间，符合条件的农业开发项目，须依法由市县级及以上地方人民政府统筹安排。</w:t>
                  </w:r>
                </w:p>
                <w:p w14:paraId="6C7E7BFD">
                  <w:pPr>
                    <w:pStyle w:val="87"/>
                    <w:jc w:val="left"/>
                  </w:pPr>
                  <w:r>
                    <w:t>2.干流和受养殖污染影响较大的支流沿岸依法划定300米至500米的禁（限）养区；对禁（限）养区内养殖场户实施搬迁关闭整治工作。</w:t>
                  </w:r>
                </w:p>
                <w:p w14:paraId="4B679225">
                  <w:pPr>
                    <w:pStyle w:val="87"/>
                    <w:jc w:val="left"/>
                  </w:pPr>
                  <w:r>
                    <w:t>3.基本农田，实行严格保护，确保其面积不减少、土壤环境质量不下降，除法律规定的重点建设项目选址确实无法避让外，其他任何建设不得占用。</w:t>
                  </w:r>
                </w:p>
              </w:tc>
              <w:tc>
                <w:tcPr>
                  <w:tcW w:w="1249" w:type="pct"/>
                  <w:vAlign w:val="center"/>
                </w:tcPr>
                <w:p w14:paraId="5F5E6B62">
                  <w:pPr>
                    <w:pStyle w:val="87"/>
                    <w:jc w:val="left"/>
                  </w:pPr>
                  <w:r>
                    <w:rPr>
                      <w:rFonts w:hint="eastAsia"/>
                    </w:rPr>
                    <w:t>1.</w:t>
                  </w:r>
                  <w:r>
                    <w:t>本项目</w:t>
                  </w:r>
                  <w:r>
                    <w:rPr>
                      <w:rFonts w:hint="eastAsia"/>
                    </w:rPr>
                    <w:t>不新增占地。</w:t>
                  </w:r>
                </w:p>
                <w:p w14:paraId="444A758E">
                  <w:pPr>
                    <w:pStyle w:val="87"/>
                    <w:jc w:val="left"/>
                  </w:pPr>
                  <w:r>
                    <w:rPr>
                      <w:rFonts w:hint="eastAsia"/>
                    </w:rPr>
                    <w:t>2.本项目不属于养殖项目。</w:t>
                  </w:r>
                </w:p>
                <w:p w14:paraId="778C9216">
                  <w:pPr>
                    <w:pStyle w:val="87"/>
                    <w:jc w:val="left"/>
                  </w:pPr>
                  <w:r>
                    <w:rPr>
                      <w:rFonts w:hint="eastAsia"/>
                    </w:rPr>
                    <w:t>3.本项目租用厂区为工业用地，不涉及基本农田</w:t>
                  </w:r>
                </w:p>
              </w:tc>
              <w:tc>
                <w:tcPr>
                  <w:tcW w:w="483" w:type="pct"/>
                  <w:vAlign w:val="center"/>
                </w:tcPr>
                <w:p w14:paraId="66CD5D76">
                  <w:pPr>
                    <w:pStyle w:val="87"/>
                    <w:jc w:val="left"/>
                  </w:pPr>
                  <w:r>
                    <w:t>符合</w:t>
                  </w:r>
                </w:p>
              </w:tc>
            </w:tr>
            <w:tr w14:paraId="4BF12EC9">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02" w:type="pct"/>
                  <w:vAlign w:val="center"/>
                </w:tcPr>
                <w:p w14:paraId="37AC4387">
                  <w:pPr>
                    <w:pStyle w:val="87"/>
                    <w:jc w:val="left"/>
                  </w:pPr>
                  <w:r>
                    <w:t>污染物排放管控</w:t>
                  </w:r>
                </w:p>
              </w:tc>
              <w:tc>
                <w:tcPr>
                  <w:tcW w:w="2965" w:type="pct"/>
                  <w:vAlign w:val="center"/>
                </w:tcPr>
                <w:p w14:paraId="66A75E65">
                  <w:pPr>
                    <w:pStyle w:val="87"/>
                    <w:jc w:val="left"/>
                  </w:pPr>
                  <w:r>
                    <w:t xml:space="preserve">1.畜禽养殖场、养殖小区应当按照国家和省有关规定将畜禽粪便、废水进行综合利用或者无害化处理；规模化畜禽养殖场、养殖小区应当配套建设粪便污水贮存、处理、利用设施，推进粪便污水资源化利用；养殖专业户应当建设防雨、防渗、防漏、防外溢的粪便污水收集贮存设施，采用堆肥处理等措施实现粪便污水综合利用。 </w:t>
                  </w:r>
                </w:p>
                <w:p w14:paraId="3DDD260D">
                  <w:pPr>
                    <w:pStyle w:val="87"/>
                    <w:jc w:val="left"/>
                  </w:pPr>
                  <w:r>
                    <w:t>2.从2021年1月1日起，全面执行国家排放标准大气污染物特别排放限值；推进工业企业污染治理设施升级改造，逐步推进生物质燃料锅炉污染治理设施升级改造，工业污染源全面达标排放；加强堆场扬尘和施工扬尘治理；热电企业完成超低排放改造和无组织排放深度治理；实施钢铁等行业超低排放改造和无组织排放深度治理，推进挥发性有机物综合整治。</w:t>
                  </w:r>
                </w:p>
                <w:p w14:paraId="6809A6FF">
                  <w:pPr>
                    <w:pStyle w:val="87"/>
                    <w:jc w:val="left"/>
                  </w:pPr>
                  <w:r>
                    <w:t>3.加强农业面源污染防治，加大种养业特别是规模化畜禽养殖污染防治力度，引导农民使用生物农药或高效、低毒、低残留农药，对农药包装进行无害化处理。</w:t>
                  </w:r>
                </w:p>
              </w:tc>
              <w:tc>
                <w:tcPr>
                  <w:tcW w:w="1249" w:type="pct"/>
                  <w:vAlign w:val="center"/>
                </w:tcPr>
                <w:p w14:paraId="55588284">
                  <w:pPr>
                    <w:pStyle w:val="87"/>
                    <w:jc w:val="left"/>
                  </w:pPr>
                  <w:r>
                    <w:rPr>
                      <w:rFonts w:hint="eastAsia"/>
                    </w:rPr>
                    <w:t>1.</w:t>
                  </w:r>
                  <w:r>
                    <w:t>本项目</w:t>
                  </w:r>
                  <w:r>
                    <w:rPr>
                      <w:rFonts w:hint="eastAsia"/>
                    </w:rPr>
                    <w:t>不属养殖项目。</w:t>
                  </w:r>
                </w:p>
                <w:p w14:paraId="3F93E1C9">
                  <w:pPr>
                    <w:pStyle w:val="87"/>
                    <w:jc w:val="left"/>
                  </w:pPr>
                  <w:r>
                    <w:rPr>
                      <w:rFonts w:hint="eastAsia"/>
                    </w:rPr>
                    <w:t>2.本项目废气经处理后全部达标排放，本项目主要使用电能等清洁能源</w:t>
                  </w:r>
                </w:p>
                <w:p w14:paraId="2749C213">
                  <w:pPr>
                    <w:pStyle w:val="87"/>
                    <w:jc w:val="left"/>
                  </w:pPr>
                  <w:r>
                    <w:rPr>
                      <w:rFonts w:hint="eastAsia"/>
                    </w:rPr>
                    <w:t>3.本项目不属于农业项目</w:t>
                  </w:r>
                </w:p>
              </w:tc>
              <w:tc>
                <w:tcPr>
                  <w:tcW w:w="483" w:type="pct"/>
                  <w:vAlign w:val="center"/>
                </w:tcPr>
                <w:p w14:paraId="53A71583">
                  <w:pPr>
                    <w:pStyle w:val="87"/>
                    <w:jc w:val="left"/>
                  </w:pPr>
                  <w:r>
                    <w:t>符合</w:t>
                  </w:r>
                </w:p>
              </w:tc>
            </w:tr>
            <w:tr w14:paraId="49BA65E9">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02" w:type="pct"/>
                  <w:vAlign w:val="center"/>
                </w:tcPr>
                <w:p w14:paraId="7E9CB9F2">
                  <w:pPr>
                    <w:pStyle w:val="87"/>
                    <w:jc w:val="left"/>
                  </w:pPr>
                  <w:r>
                    <w:t>环境风险防控</w:t>
                  </w:r>
                </w:p>
              </w:tc>
              <w:tc>
                <w:tcPr>
                  <w:tcW w:w="2965" w:type="pct"/>
                  <w:vAlign w:val="center"/>
                </w:tcPr>
                <w:p w14:paraId="5D966C74">
                  <w:pPr>
                    <w:pStyle w:val="87"/>
                    <w:jc w:val="left"/>
                  </w:pPr>
                  <w:r>
                    <w:t>1.加大执法检查力度，推动辖区内化工企业落实安全生产和环境保护主体责任，提升突发环境事件风险防控能力。</w:t>
                  </w:r>
                </w:p>
                <w:p w14:paraId="6ECB7B93">
                  <w:pPr>
                    <w:pStyle w:val="87"/>
                    <w:jc w:val="left"/>
                  </w:pPr>
                  <w:r>
                    <w:t>2.严格落实大气污染物达标排放、总量控制、环保设施“三同时”、在线监测、排污许可等环保制度。</w:t>
                  </w:r>
                </w:p>
                <w:p w14:paraId="0F50A3A7">
                  <w:pPr>
                    <w:pStyle w:val="87"/>
                    <w:jc w:val="left"/>
                  </w:pPr>
                  <w:r>
                    <w:t>3.优先保护耕地土壤环境，强化乡镇工业污染场地治理，开展土壤污染治理与修复试点工作。</w:t>
                  </w:r>
                </w:p>
              </w:tc>
              <w:tc>
                <w:tcPr>
                  <w:tcW w:w="1249" w:type="pct"/>
                  <w:vAlign w:val="center"/>
                </w:tcPr>
                <w:p w14:paraId="23A2EADA">
                  <w:pPr>
                    <w:pStyle w:val="87"/>
                    <w:jc w:val="left"/>
                  </w:pPr>
                  <w:r>
                    <w:rPr>
                      <w:rFonts w:hint="eastAsia"/>
                    </w:rPr>
                    <w:t>1.项目建成后，及时编制突发环境事件应急预案并完善突发环境事件应急演练和物资储备，全面落实主体责任。</w:t>
                  </w:r>
                </w:p>
                <w:p w14:paraId="3C1874FA">
                  <w:pPr>
                    <w:pStyle w:val="87"/>
                    <w:jc w:val="left"/>
                  </w:pPr>
                  <w:r>
                    <w:t>2.</w:t>
                  </w:r>
                  <w:r>
                    <w:rPr>
                      <w:rFonts w:hint="eastAsia"/>
                    </w:rPr>
                    <w:t>本项目</w:t>
                  </w:r>
                  <w:r>
                    <w:t>严格落实大气污染物达标排放、总量控制、环保设施“三同时”、排污许可等环保制度。</w:t>
                  </w:r>
                </w:p>
                <w:p w14:paraId="114C751D">
                  <w:pPr>
                    <w:pStyle w:val="87"/>
                    <w:jc w:val="left"/>
                  </w:pPr>
                  <w:r>
                    <w:rPr>
                      <w:rFonts w:hint="eastAsia"/>
                    </w:rPr>
                    <w:t>3.本项目租用现有厂区，不新增占地。</w:t>
                  </w:r>
                </w:p>
              </w:tc>
              <w:tc>
                <w:tcPr>
                  <w:tcW w:w="483" w:type="pct"/>
                  <w:vAlign w:val="center"/>
                </w:tcPr>
                <w:p w14:paraId="3D35884A">
                  <w:pPr>
                    <w:pStyle w:val="87"/>
                    <w:jc w:val="left"/>
                  </w:pPr>
                  <w:r>
                    <w:t>符合</w:t>
                  </w:r>
                </w:p>
              </w:tc>
            </w:tr>
            <w:tr w14:paraId="6E27D7F0">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02" w:type="pct"/>
                  <w:vAlign w:val="center"/>
                </w:tcPr>
                <w:p w14:paraId="0EE46C1F">
                  <w:pPr>
                    <w:pStyle w:val="87"/>
                    <w:jc w:val="left"/>
                  </w:pPr>
                  <w:r>
                    <w:t>资源开发效率要求</w:t>
                  </w:r>
                </w:p>
              </w:tc>
              <w:tc>
                <w:tcPr>
                  <w:tcW w:w="2965" w:type="pct"/>
                  <w:vAlign w:val="center"/>
                </w:tcPr>
                <w:p w14:paraId="6C1497E2">
                  <w:pPr>
                    <w:pStyle w:val="87"/>
                    <w:jc w:val="left"/>
                  </w:pPr>
                  <w:r>
                    <w:t>1.控制煤炭消费总量，严把新上、改扩建耗煤项目立项，对未实行煤炭消费减量替代的耗煤项目一律不予立项。</w:t>
                  </w:r>
                </w:p>
                <w:p w14:paraId="6D13A2E6">
                  <w:pPr>
                    <w:pStyle w:val="87"/>
                    <w:jc w:val="left"/>
                  </w:pPr>
                  <w:r>
                    <w:t>2.实施水资源总量控制，严格计划用水管理；加快推广农业节水技术和措施，提高农田灌溉水资源利用效率，未依法完成水资源论证工作的建设项目，不予批准。</w:t>
                  </w:r>
                </w:p>
              </w:tc>
              <w:tc>
                <w:tcPr>
                  <w:tcW w:w="1249" w:type="pct"/>
                  <w:vAlign w:val="center"/>
                </w:tcPr>
                <w:p w14:paraId="255D3DAE">
                  <w:pPr>
                    <w:pStyle w:val="87"/>
                    <w:jc w:val="left"/>
                  </w:pPr>
                  <w:r>
                    <w:rPr>
                      <w:rFonts w:hint="eastAsia"/>
                    </w:rPr>
                    <w:t>1.本项目不涉及煤炭。</w:t>
                  </w:r>
                </w:p>
                <w:p w14:paraId="0513F3E3">
                  <w:pPr>
                    <w:pStyle w:val="87"/>
                    <w:jc w:val="left"/>
                  </w:pPr>
                  <w:r>
                    <w:rPr>
                      <w:rFonts w:hint="eastAsia"/>
                    </w:rPr>
                    <w:t>2.本项目用水主要为车辆冲洗用水、地面冲洗，用水量较小。</w:t>
                  </w:r>
                </w:p>
              </w:tc>
              <w:tc>
                <w:tcPr>
                  <w:tcW w:w="483" w:type="pct"/>
                  <w:vAlign w:val="center"/>
                </w:tcPr>
                <w:p w14:paraId="697FFD5D">
                  <w:pPr>
                    <w:pStyle w:val="87"/>
                    <w:jc w:val="left"/>
                  </w:pPr>
                  <w:r>
                    <w:t>符合</w:t>
                  </w:r>
                </w:p>
              </w:tc>
            </w:tr>
          </w:tbl>
          <w:p w14:paraId="0993F565">
            <w:pPr>
              <w:autoSpaceDE w:val="0"/>
              <w:autoSpaceDN w:val="0"/>
              <w:adjustRightInd w:val="0"/>
              <w:snapToGrid w:val="0"/>
              <w:spacing w:line="360" w:lineRule="auto"/>
              <w:ind w:firstLine="480" w:firstLineChars="200"/>
            </w:pPr>
            <w:r>
              <w:rPr>
                <w:sz w:val="24"/>
              </w:rPr>
              <w:t>综上所述，本项目满足朝阳市生态环境分区管控的相关要求。</w:t>
            </w:r>
          </w:p>
          <w:p w14:paraId="0C39EA0D">
            <w:pPr>
              <w:snapToGrid w:val="0"/>
              <w:spacing w:line="360" w:lineRule="auto"/>
              <w:rPr>
                <w:b/>
                <w:bCs/>
                <w:sz w:val="24"/>
              </w:rPr>
            </w:pPr>
            <w:r>
              <w:rPr>
                <w:rFonts w:hint="eastAsia"/>
                <w:b/>
                <w:bCs/>
                <w:sz w:val="24"/>
              </w:rPr>
              <w:t>5.本项目</w:t>
            </w:r>
            <w:r>
              <w:rPr>
                <w:b/>
                <w:bCs/>
                <w:sz w:val="24"/>
              </w:rPr>
              <w:t>与《</w:t>
            </w:r>
            <w:r>
              <w:rPr>
                <w:rStyle w:val="37"/>
                <w:sz w:val="24"/>
                <w:shd w:val="clear" w:color="auto" w:fill="FFFFFF"/>
              </w:rPr>
              <w:t>辽宁省空气质量持续改善行动实施方案</w:t>
            </w:r>
            <w:r>
              <w:rPr>
                <w:b/>
                <w:bCs/>
                <w:sz w:val="24"/>
              </w:rPr>
              <w:t>》（辽政办发</w:t>
            </w:r>
            <w:r>
              <w:rPr>
                <w:rFonts w:hint="eastAsia"/>
                <w:b/>
                <w:bCs/>
                <w:sz w:val="24"/>
                <w:lang w:eastAsia="zh-CN"/>
              </w:rPr>
              <w:t>〔</w:t>
            </w:r>
            <w:r>
              <w:rPr>
                <w:b/>
                <w:bCs/>
                <w:sz w:val="24"/>
              </w:rPr>
              <w:t>2024</w:t>
            </w:r>
            <w:r>
              <w:rPr>
                <w:rFonts w:hint="eastAsia"/>
                <w:b/>
                <w:bCs/>
                <w:sz w:val="24"/>
                <w:lang w:eastAsia="zh-CN"/>
              </w:rPr>
              <w:t>〕</w:t>
            </w:r>
            <w:r>
              <w:rPr>
                <w:b/>
                <w:bCs/>
                <w:sz w:val="24"/>
              </w:rPr>
              <w:t>11号）相符性分析</w:t>
            </w:r>
          </w:p>
          <w:p w14:paraId="24D4BDB4">
            <w:pPr>
              <w:ind w:firstLine="422" w:firstLineChars="200"/>
              <w:jc w:val="center"/>
              <w:rPr>
                <w:b/>
                <w:bCs/>
                <w:szCs w:val="21"/>
              </w:rPr>
            </w:pPr>
            <w:r>
              <w:rPr>
                <w:b/>
                <w:bCs/>
                <w:szCs w:val="21"/>
              </w:rPr>
              <w:t>表1-</w:t>
            </w:r>
            <w:r>
              <w:rPr>
                <w:rFonts w:hint="eastAsia"/>
                <w:b/>
                <w:bCs/>
                <w:szCs w:val="21"/>
              </w:rPr>
              <w:t>8</w:t>
            </w:r>
            <w:r>
              <w:rPr>
                <w:b/>
                <w:bCs/>
                <w:szCs w:val="21"/>
              </w:rPr>
              <w:t xml:space="preserve">    与</w:t>
            </w:r>
            <w:r>
              <w:rPr>
                <w:rFonts w:hint="eastAsia"/>
                <w:b/>
                <w:bCs/>
                <w:szCs w:val="21"/>
              </w:rPr>
              <w:t>“</w:t>
            </w:r>
            <w:r>
              <w:rPr>
                <w:rStyle w:val="37"/>
                <w:szCs w:val="21"/>
                <w:shd w:val="clear" w:color="auto" w:fill="FFFFFF"/>
              </w:rPr>
              <w:t>方案</w:t>
            </w:r>
            <w:r>
              <w:rPr>
                <w:rFonts w:hint="eastAsia"/>
                <w:b/>
                <w:bCs/>
                <w:szCs w:val="21"/>
              </w:rPr>
              <w:t>”符合</w:t>
            </w:r>
            <w:r>
              <w:rPr>
                <w:b/>
                <w:bCs/>
                <w:szCs w:val="21"/>
              </w:rPr>
              <w:t>性分析</w:t>
            </w:r>
          </w:p>
          <w:tbl>
            <w:tblPr>
              <w:tblStyle w:val="35"/>
              <w:tblW w:w="4998" w:type="pct"/>
              <w:jc w:val="center"/>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5166"/>
              <w:gridCol w:w="1693"/>
              <w:gridCol w:w="672"/>
            </w:tblGrid>
            <w:tr w14:paraId="17CF983D">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1" w:hRule="atLeast"/>
                <w:jc w:val="center"/>
              </w:trPr>
              <w:tc>
                <w:tcPr>
                  <w:tcW w:w="3429" w:type="pct"/>
                  <w:tcBorders>
                    <w:tl2br w:val="nil"/>
                    <w:tr2bl w:val="nil"/>
                  </w:tcBorders>
                </w:tcPr>
                <w:p w14:paraId="107E7916">
                  <w:pPr>
                    <w:pStyle w:val="87"/>
                    <w:jc w:val="left"/>
                  </w:pPr>
                  <w:r>
                    <w:t>政策要求</w:t>
                  </w:r>
                </w:p>
              </w:tc>
              <w:tc>
                <w:tcPr>
                  <w:tcW w:w="1124" w:type="pct"/>
                  <w:tcBorders>
                    <w:tl2br w:val="nil"/>
                    <w:tr2bl w:val="nil"/>
                  </w:tcBorders>
                  <w:vAlign w:val="center"/>
                </w:tcPr>
                <w:p w14:paraId="5EF7FA89">
                  <w:pPr>
                    <w:pStyle w:val="87"/>
                    <w:jc w:val="left"/>
                  </w:pPr>
                  <w:r>
                    <w:t>本项目情况</w:t>
                  </w:r>
                </w:p>
              </w:tc>
              <w:tc>
                <w:tcPr>
                  <w:tcW w:w="446" w:type="pct"/>
                  <w:tcBorders>
                    <w:tl2br w:val="nil"/>
                    <w:tr2bl w:val="nil"/>
                  </w:tcBorders>
                  <w:vAlign w:val="center"/>
                </w:tcPr>
                <w:p w14:paraId="6A5346CA">
                  <w:pPr>
                    <w:pStyle w:val="87"/>
                    <w:jc w:val="left"/>
                  </w:pPr>
                  <w:r>
                    <w:t>符合性</w:t>
                  </w:r>
                </w:p>
              </w:tc>
            </w:tr>
            <w:tr w14:paraId="722A0B71">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50" w:hRule="atLeast"/>
                <w:jc w:val="center"/>
              </w:trPr>
              <w:tc>
                <w:tcPr>
                  <w:tcW w:w="3429" w:type="pct"/>
                  <w:tcBorders>
                    <w:tl2br w:val="nil"/>
                    <w:tr2bl w:val="nil"/>
                  </w:tcBorders>
                </w:tcPr>
                <w:p w14:paraId="1210225F">
                  <w:pPr>
                    <w:pStyle w:val="87"/>
                    <w:jc w:val="left"/>
                  </w:pPr>
                  <w:r>
                    <w:t>二、优化产业结构，促进产业产品绿色升级</w:t>
                  </w:r>
                </w:p>
                <w:p w14:paraId="1003518F">
                  <w:pPr>
                    <w:pStyle w:val="87"/>
                    <w:jc w:val="left"/>
                  </w:pPr>
                  <w:r>
                    <w:t>（一）推动优化产业结构和布局。坚决遏制高耗能、高排放、低水平项目盲目上马，新改扩建项目必须落实国家产业规划、生态环境分区管控方案、碳排放达峰目标等相关要求。有序推动高炉—转炉长流程炼钢转型为电炉短流程炼钢，到2025年，废钢占炼钢原料比重达到15%以上。实施“以钢定焦”，炼焦产能与长流程炼钢产能比控制在0.4左右。加快退出重点行业落后产能，推动重点领域设备更新升级和工艺流程优化改造，加快淘汰落后低效设备、超期服役老旧设备，钢铁行业全面淘汰步进式烧结机。</w:t>
                  </w:r>
                  <w:r>
                    <w:br w:type="textWrapping"/>
                  </w:r>
                  <w:r>
                    <w:t>（二）推动产业绿色低碳发展。铸造、菱镁、陶瓷、有色金属、化工、炭素等制造业集中的城市，2025年底前制定产业集群发展规划。进一步排查不符合城市建设规划、行业发展规划、生态环境功能定位的重污染企业，严防“散乱污”企业反弹。积极创建绿色工厂、绿色工业园区。推动绿色环保产业健康发展。</w:t>
                  </w:r>
                </w:p>
                <w:p w14:paraId="6A5C9385">
                  <w:pPr>
                    <w:pStyle w:val="87"/>
                    <w:jc w:val="left"/>
                  </w:pPr>
                  <w:r>
                    <w:t>（三）实施低VOCS原辅材料源头替代。开展部门联合监督检查，确保生产、销售、进口、使用等环节严格执行VOCS含量限值标准。以工业涂装、包装印刷和胶粘剂使用等为重点，实施低VOCS原辅材料源头替代工程。</w:t>
                  </w:r>
                </w:p>
              </w:tc>
              <w:tc>
                <w:tcPr>
                  <w:tcW w:w="1124" w:type="pct"/>
                  <w:tcBorders>
                    <w:tl2br w:val="nil"/>
                    <w:tr2bl w:val="nil"/>
                  </w:tcBorders>
                  <w:vAlign w:val="center"/>
                </w:tcPr>
                <w:p w14:paraId="7C943479">
                  <w:pPr>
                    <w:pStyle w:val="87"/>
                    <w:jc w:val="left"/>
                  </w:pPr>
                  <w:r>
                    <w:t>（一）本项目不属于高耗能、高排放、低水平项目；</w:t>
                  </w:r>
                </w:p>
                <w:p w14:paraId="5CADFA05">
                  <w:pPr>
                    <w:pStyle w:val="87"/>
                    <w:jc w:val="left"/>
                  </w:pPr>
                  <w:r>
                    <w:t>（二）本项目不属于铸造、菱镁、陶瓷、有色金属、化工、炭素等制造业；</w:t>
                  </w:r>
                </w:p>
                <w:p w14:paraId="195D7998">
                  <w:pPr>
                    <w:pStyle w:val="87"/>
                    <w:jc w:val="left"/>
                  </w:pPr>
                  <w:r>
                    <w:t>（三）本项目</w:t>
                  </w:r>
                  <w:r>
                    <w:rPr>
                      <w:rFonts w:hint="eastAsia"/>
                    </w:rPr>
                    <w:t>无</w:t>
                  </w:r>
                  <w:r>
                    <w:t>VOC</w:t>
                  </w:r>
                  <w:r>
                    <w:rPr>
                      <w:rFonts w:hint="eastAsia"/>
                    </w:rPr>
                    <w:t>s原辅材料</w:t>
                  </w:r>
                  <w:r>
                    <w:t>。</w:t>
                  </w:r>
                </w:p>
              </w:tc>
              <w:tc>
                <w:tcPr>
                  <w:tcW w:w="446" w:type="pct"/>
                  <w:tcBorders>
                    <w:tl2br w:val="nil"/>
                    <w:tr2bl w:val="nil"/>
                  </w:tcBorders>
                  <w:vAlign w:val="center"/>
                </w:tcPr>
                <w:p w14:paraId="320E85A6">
                  <w:pPr>
                    <w:pStyle w:val="87"/>
                    <w:jc w:val="left"/>
                  </w:pPr>
                  <w:r>
                    <w:t>符合</w:t>
                  </w:r>
                </w:p>
              </w:tc>
            </w:tr>
            <w:tr w14:paraId="1C294991">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429" w:type="pct"/>
                  <w:tcBorders>
                    <w:tl2br w:val="nil"/>
                    <w:tr2bl w:val="nil"/>
                  </w:tcBorders>
                </w:tcPr>
                <w:p w14:paraId="5205DB98">
                  <w:pPr>
                    <w:pStyle w:val="87"/>
                    <w:jc w:val="left"/>
                  </w:pPr>
                  <w:r>
                    <w:t>三、优化能源结构，加速能源清洁低碳高效发展</w:t>
                  </w:r>
                  <w:r>
                    <w:br w:type="textWrapping"/>
                  </w:r>
                  <w:r>
                    <w:t>（四）大力发展新能源和清洁能源。原则上不再新增自备燃煤机组，支持自备燃煤机组实施清洁能源替代。</w:t>
                  </w:r>
                </w:p>
                <w:p w14:paraId="45C645A3">
                  <w:pPr>
                    <w:pStyle w:val="87"/>
                    <w:jc w:val="left"/>
                  </w:pPr>
                  <w:r>
                    <w:t>（五）积极开展燃煤锅炉关停整合。</w:t>
                  </w:r>
                </w:p>
                <w:p w14:paraId="626A5BE0">
                  <w:pPr>
                    <w:pStyle w:val="87"/>
                    <w:jc w:val="left"/>
                  </w:pPr>
                  <w:r>
                    <w:t>（六）持续推进清洁取暖。因地制宜整村、整屯推进民用、农用散煤替代。</w:t>
                  </w:r>
                </w:p>
                <w:p w14:paraId="25537C2A">
                  <w:pPr>
                    <w:pStyle w:val="87"/>
                    <w:jc w:val="left"/>
                  </w:pPr>
                </w:p>
              </w:tc>
              <w:tc>
                <w:tcPr>
                  <w:tcW w:w="1124" w:type="pct"/>
                  <w:tcBorders>
                    <w:tl2br w:val="nil"/>
                    <w:tr2bl w:val="nil"/>
                  </w:tcBorders>
                  <w:vAlign w:val="center"/>
                </w:tcPr>
                <w:p w14:paraId="0ECF1E4B">
                  <w:pPr>
                    <w:pStyle w:val="87"/>
                    <w:jc w:val="left"/>
                  </w:pPr>
                  <w:r>
                    <w:t>（四）</w:t>
                  </w:r>
                  <w:r>
                    <w:rPr>
                      <w:rFonts w:hint="eastAsia"/>
                    </w:rPr>
                    <w:t>本项目</w:t>
                  </w:r>
                  <w:r>
                    <w:t>不涉及燃煤；</w:t>
                  </w:r>
                </w:p>
                <w:p w14:paraId="3AC9DE37">
                  <w:pPr>
                    <w:pStyle w:val="87"/>
                    <w:jc w:val="left"/>
                  </w:pPr>
                  <w:r>
                    <w:t>（五）</w:t>
                  </w:r>
                  <w:r>
                    <w:rPr>
                      <w:rFonts w:hint="eastAsia"/>
                    </w:rPr>
                    <w:t>本项目</w:t>
                  </w:r>
                  <w:r>
                    <w:t>不涉及燃煤；</w:t>
                  </w:r>
                </w:p>
                <w:p w14:paraId="6D5EBBF2">
                  <w:pPr>
                    <w:pStyle w:val="87"/>
                    <w:jc w:val="left"/>
                  </w:pPr>
                  <w:r>
                    <w:t>（六）</w:t>
                  </w:r>
                  <w:r>
                    <w:rPr>
                      <w:rFonts w:hint="eastAsia"/>
                    </w:rPr>
                    <w:t>本项目采用电取暖。</w:t>
                  </w:r>
                </w:p>
              </w:tc>
              <w:tc>
                <w:tcPr>
                  <w:tcW w:w="446" w:type="pct"/>
                  <w:tcBorders>
                    <w:tl2br w:val="nil"/>
                    <w:tr2bl w:val="nil"/>
                  </w:tcBorders>
                  <w:vAlign w:val="center"/>
                </w:tcPr>
                <w:p w14:paraId="665D1631">
                  <w:pPr>
                    <w:pStyle w:val="87"/>
                    <w:jc w:val="left"/>
                  </w:pPr>
                  <w:r>
                    <w:t>符合</w:t>
                  </w:r>
                </w:p>
              </w:tc>
            </w:tr>
            <w:tr w14:paraId="301FB4A6">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429" w:type="pct"/>
                  <w:tcBorders>
                    <w:tl2br w:val="nil"/>
                    <w:tr2bl w:val="nil"/>
                  </w:tcBorders>
                </w:tcPr>
                <w:p w14:paraId="76F80B80">
                  <w:pPr>
                    <w:pStyle w:val="87"/>
                    <w:jc w:val="left"/>
                  </w:pPr>
                  <w:r>
                    <w:t>五、强化扬尘污染防治和精细化管理</w:t>
                  </w:r>
                </w:p>
                <w:p w14:paraId="24DE26D0">
                  <w:pPr>
                    <w:pStyle w:val="87"/>
                    <w:jc w:val="left"/>
                  </w:pPr>
                  <w:r>
                    <w:t>（十一）加强工地和道路扬尘污染治理。</w:t>
                  </w:r>
                </w:p>
                <w:p w14:paraId="7983B008">
                  <w:pPr>
                    <w:pStyle w:val="87"/>
                    <w:jc w:val="left"/>
                  </w:pPr>
                  <w:r>
                    <w:t>（十二）加强矿山生态修复治理。</w:t>
                  </w:r>
                  <w:r>
                    <w:br w:type="textWrapping"/>
                  </w:r>
                  <w:r>
                    <w:t>（十三）加强秸秆综合利用和禁烧。</w:t>
                  </w:r>
                </w:p>
              </w:tc>
              <w:tc>
                <w:tcPr>
                  <w:tcW w:w="1124" w:type="pct"/>
                  <w:tcBorders>
                    <w:tl2br w:val="nil"/>
                    <w:tr2bl w:val="nil"/>
                  </w:tcBorders>
                  <w:vAlign w:val="center"/>
                </w:tcPr>
                <w:p w14:paraId="4C052522">
                  <w:pPr>
                    <w:pStyle w:val="87"/>
                    <w:jc w:val="left"/>
                  </w:pPr>
                  <w:r>
                    <w:t>（十一）不涉及；（十二）不涉及；（十三）不涉及；</w:t>
                  </w:r>
                </w:p>
              </w:tc>
              <w:tc>
                <w:tcPr>
                  <w:tcW w:w="446" w:type="pct"/>
                  <w:tcBorders>
                    <w:tl2br w:val="nil"/>
                    <w:tr2bl w:val="nil"/>
                  </w:tcBorders>
                  <w:vAlign w:val="center"/>
                </w:tcPr>
                <w:p w14:paraId="7C6E5780">
                  <w:pPr>
                    <w:pStyle w:val="87"/>
                    <w:jc w:val="left"/>
                  </w:pPr>
                  <w:r>
                    <w:t>符合</w:t>
                  </w:r>
                </w:p>
              </w:tc>
            </w:tr>
            <w:tr w14:paraId="47F39B49">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72" w:hRule="atLeast"/>
                <w:jc w:val="center"/>
              </w:trPr>
              <w:tc>
                <w:tcPr>
                  <w:tcW w:w="3429" w:type="pct"/>
                  <w:tcBorders>
                    <w:tl2br w:val="nil"/>
                    <w:tr2bl w:val="nil"/>
                  </w:tcBorders>
                </w:tcPr>
                <w:p w14:paraId="4B62148D">
                  <w:pPr>
                    <w:pStyle w:val="87"/>
                    <w:jc w:val="left"/>
                  </w:pPr>
                  <w:r>
                    <w:t>六、降低污染物排放强度</w:t>
                  </w:r>
                </w:p>
                <w:p w14:paraId="0CBB53AC">
                  <w:pPr>
                    <w:pStyle w:val="87"/>
                    <w:jc w:val="left"/>
                  </w:pPr>
                  <w:r>
                    <w:t>（十四）强化VOC</w:t>
                  </w:r>
                  <w:r>
                    <w:rPr>
                      <w:rFonts w:hint="eastAsia"/>
                    </w:rPr>
                    <w:t>s</w:t>
                  </w:r>
                  <w:r>
                    <w:t>全流程、全环节综合治理</w:t>
                  </w:r>
                </w:p>
                <w:p w14:paraId="098596EC">
                  <w:pPr>
                    <w:pStyle w:val="87"/>
                    <w:jc w:val="left"/>
                  </w:pPr>
                  <w:r>
                    <w:t>（十五）推进重点行业和区域减排。</w:t>
                  </w:r>
                  <w:r>
                    <w:br w:type="textWrapping"/>
                  </w:r>
                  <w:r>
                    <w:t>（十六）开展餐饮油烟、恶臭异味和氨污染防控。</w:t>
                  </w:r>
                </w:p>
              </w:tc>
              <w:tc>
                <w:tcPr>
                  <w:tcW w:w="1124" w:type="pct"/>
                  <w:tcBorders>
                    <w:tl2br w:val="nil"/>
                    <w:tr2bl w:val="nil"/>
                  </w:tcBorders>
                  <w:vAlign w:val="center"/>
                </w:tcPr>
                <w:p w14:paraId="64FBA05E">
                  <w:pPr>
                    <w:pStyle w:val="87"/>
                    <w:jc w:val="left"/>
                  </w:pPr>
                  <w:r>
                    <w:t>（十四）</w:t>
                  </w:r>
                  <w:r>
                    <w:rPr>
                      <w:rFonts w:hint="eastAsia"/>
                    </w:rPr>
                    <w:t>本项目拆解及</w:t>
                  </w:r>
                  <w:r>
                    <w:rPr>
                      <w:rFonts w:hint="eastAsia"/>
                      <w:lang w:eastAsia="zh-CN"/>
                    </w:rPr>
                    <w:t>危废贮存点</w:t>
                  </w:r>
                  <w:r>
                    <w:rPr>
                      <w:rFonts w:hint="eastAsia"/>
                    </w:rPr>
                    <w:t>过程产生</w:t>
                  </w:r>
                  <w:r>
                    <w:t>VOCS，</w:t>
                  </w:r>
                  <w:r>
                    <w:rPr>
                      <w:rFonts w:hint="eastAsia"/>
                    </w:rPr>
                    <w:t>经二级活性炭吸附处理后达标排放；</w:t>
                  </w:r>
                </w:p>
                <w:p w14:paraId="24441EAD">
                  <w:pPr>
                    <w:pStyle w:val="87"/>
                    <w:jc w:val="left"/>
                  </w:pPr>
                  <w:r>
                    <w:t>（十五）不属于重点行业；</w:t>
                  </w:r>
                </w:p>
                <w:p w14:paraId="6459953B">
                  <w:pPr>
                    <w:pStyle w:val="87"/>
                    <w:jc w:val="left"/>
                  </w:pPr>
                  <w:r>
                    <w:t>（十六）不涉及餐饮油烟；</w:t>
                  </w:r>
                </w:p>
              </w:tc>
              <w:tc>
                <w:tcPr>
                  <w:tcW w:w="446" w:type="pct"/>
                  <w:tcBorders>
                    <w:tl2br w:val="nil"/>
                    <w:tr2bl w:val="nil"/>
                  </w:tcBorders>
                  <w:vAlign w:val="center"/>
                </w:tcPr>
                <w:p w14:paraId="5BBEF616">
                  <w:pPr>
                    <w:pStyle w:val="87"/>
                    <w:jc w:val="left"/>
                  </w:pPr>
                  <w:r>
                    <w:t>符合</w:t>
                  </w:r>
                </w:p>
              </w:tc>
            </w:tr>
          </w:tbl>
          <w:p w14:paraId="67990B92">
            <w:pPr>
              <w:widowControl/>
              <w:spacing w:line="360" w:lineRule="auto"/>
              <w:jc w:val="left"/>
              <w:rPr>
                <w:b/>
                <w:bCs/>
                <w:sz w:val="24"/>
              </w:rPr>
            </w:pPr>
            <w:r>
              <w:rPr>
                <w:rFonts w:hint="eastAsia"/>
                <w:b/>
                <w:bCs/>
                <w:sz w:val="24"/>
                <w:szCs w:val="32"/>
              </w:rPr>
              <w:t>6.</w:t>
            </w:r>
            <w:r>
              <w:rPr>
                <w:b/>
                <w:bCs/>
                <w:sz w:val="24"/>
                <w:lang w:bidi="zh-CN"/>
              </w:rPr>
              <w:t>本项目</w:t>
            </w:r>
            <w:r>
              <w:rPr>
                <w:b/>
                <w:bCs/>
                <w:sz w:val="24"/>
                <w:szCs w:val="32"/>
              </w:rPr>
              <w:t>与《</w:t>
            </w:r>
            <w:r>
              <w:rPr>
                <w:b/>
                <w:bCs/>
                <w:sz w:val="24"/>
              </w:rPr>
              <w:t>辽宁省深入打好污染防治攻坚战实施方案</w:t>
            </w:r>
            <w:r>
              <w:rPr>
                <w:b/>
                <w:bCs/>
                <w:sz w:val="24"/>
                <w:szCs w:val="32"/>
              </w:rPr>
              <w:t>》</w:t>
            </w:r>
            <w:r>
              <w:rPr>
                <w:b/>
                <w:bCs/>
                <w:sz w:val="24"/>
              </w:rPr>
              <w:t>（辽委发【2022】8 号）相符性分析</w:t>
            </w:r>
          </w:p>
          <w:p w14:paraId="755DC7E3">
            <w:pPr>
              <w:pStyle w:val="18"/>
              <w:spacing w:after="0" w:line="240" w:lineRule="auto"/>
              <w:ind w:left="0" w:leftChars="0"/>
              <w:jc w:val="center"/>
            </w:pPr>
            <w:r>
              <w:rPr>
                <w:b/>
                <w:bCs/>
                <w:szCs w:val="21"/>
              </w:rPr>
              <w:t>表1-</w:t>
            </w:r>
            <w:r>
              <w:rPr>
                <w:rFonts w:hint="eastAsia"/>
                <w:b/>
                <w:bCs/>
                <w:szCs w:val="21"/>
              </w:rPr>
              <w:t>9</w:t>
            </w:r>
            <w:r>
              <w:rPr>
                <w:b/>
                <w:bCs/>
                <w:szCs w:val="21"/>
              </w:rPr>
              <w:t xml:space="preserve">    与“方案”相符性分析一览表</w:t>
            </w:r>
          </w:p>
          <w:tbl>
            <w:tblPr>
              <w:tblStyle w:val="34"/>
              <w:tblW w:w="4998" w:type="pct"/>
              <w:tblInd w:w="0" w:type="dxa"/>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4542"/>
              <w:gridCol w:w="1874"/>
              <w:gridCol w:w="1115"/>
            </w:tblGrid>
            <w:tr w14:paraId="32065249">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1" w:hRule="atLeast"/>
              </w:trPr>
              <w:tc>
                <w:tcPr>
                  <w:tcW w:w="3015" w:type="pct"/>
                  <w:vAlign w:val="center"/>
                </w:tcPr>
                <w:p w14:paraId="29CA463A">
                  <w:pPr>
                    <w:pStyle w:val="87"/>
                    <w:jc w:val="left"/>
                  </w:pPr>
                  <w:r>
                    <w:t>政策要求</w:t>
                  </w:r>
                </w:p>
              </w:tc>
              <w:tc>
                <w:tcPr>
                  <w:tcW w:w="1244" w:type="pct"/>
                  <w:vAlign w:val="center"/>
                </w:tcPr>
                <w:p w14:paraId="4FF4F52A">
                  <w:pPr>
                    <w:pStyle w:val="87"/>
                    <w:jc w:val="left"/>
                  </w:pPr>
                  <w:r>
                    <w:t>本项目情况</w:t>
                  </w:r>
                </w:p>
              </w:tc>
              <w:tc>
                <w:tcPr>
                  <w:tcW w:w="740" w:type="pct"/>
                  <w:vAlign w:val="center"/>
                </w:tcPr>
                <w:p w14:paraId="036E1AC9">
                  <w:pPr>
                    <w:pStyle w:val="87"/>
                    <w:jc w:val="left"/>
                  </w:pPr>
                  <w:r>
                    <w:t>符合性</w:t>
                  </w:r>
                </w:p>
              </w:tc>
            </w:tr>
            <w:tr w14:paraId="5345E530">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3015" w:type="pct"/>
                  <w:vAlign w:val="center"/>
                </w:tcPr>
                <w:p w14:paraId="378F7603">
                  <w:pPr>
                    <w:pStyle w:val="87"/>
                    <w:jc w:val="left"/>
                  </w:pPr>
                  <w:r>
                    <w:t>（一）加快推动绿色低碳发展</w:t>
                  </w:r>
                </w:p>
                <w:p w14:paraId="15AF3379">
                  <w:pPr>
                    <w:pStyle w:val="87"/>
                    <w:jc w:val="left"/>
                  </w:pPr>
                  <w:r>
                    <w:t>3.坚决遏制高耗能高排放项目盲目发展。对“两高”项目实行清单管理、分类处置、动态监控。严格把好新建、扩建钢铁、水泥熟料、平板玻璃、电解铝等高耗能高排放项目准入关。支持符合规定特别是生产国内短缺重要产品、有利于碳达峰碳中和目标实现的项目发展。稳妥做好存量“两高”项目管理，合理设置政策过渡期，积极推进有节能减排潜力的项目改造升级。强化常态化监管，坚决停批停建不符合规定的“两高”项目。</w:t>
                  </w:r>
                </w:p>
                <w:p w14:paraId="7D566F63">
                  <w:pPr>
                    <w:pStyle w:val="87"/>
                    <w:jc w:val="left"/>
                  </w:pPr>
                  <w:r>
                    <w:t>5.加强生态环境分区管控。围绕构建“一圈一带两区”区域发展格局，衔接国土空间规划分区和用途管制要求，推进城市化地区高效集聚发展，促进农产品主产区规模化发展，推动重点生态功能区转型发展，形成主体功能明显、优势互补、高质量发展的国土空间开发保护新格局。严格落实“三线一单”生态环境分区管控要求，优化区域生产力布局。健全以环评制度为主体的源头预防体系，严格规划环评审查和项目环评准入。开展重大经济技术政策的生态环境影响分析和重大生态环境政策的社会经济影响评估。</w:t>
                  </w:r>
                </w:p>
                <w:p w14:paraId="77FC1F46">
                  <w:pPr>
                    <w:pStyle w:val="87"/>
                    <w:jc w:val="left"/>
                  </w:pPr>
                  <w:r>
                    <w:t>6</w:t>
                  </w:r>
                </w:p>
              </w:tc>
              <w:tc>
                <w:tcPr>
                  <w:tcW w:w="1244" w:type="pct"/>
                  <w:vAlign w:val="center"/>
                </w:tcPr>
                <w:p w14:paraId="1E48B971">
                  <w:pPr>
                    <w:pStyle w:val="87"/>
                    <w:jc w:val="left"/>
                  </w:pPr>
                  <w:r>
                    <w:t>3.本项目不属于“两高”行业</w:t>
                  </w:r>
                </w:p>
                <w:p w14:paraId="66FEE503">
                  <w:pPr>
                    <w:pStyle w:val="87"/>
                    <w:jc w:val="left"/>
                  </w:pPr>
                  <w:r>
                    <w:t>5.本项目属于</w:t>
                  </w:r>
                  <w:r>
                    <w:rPr>
                      <w:rFonts w:hint="eastAsia"/>
                    </w:rPr>
                    <w:t>北票市重点</w:t>
                  </w:r>
                  <w:r>
                    <w:t>管控单元，符合“三线一单”生态环境分区管控要求</w:t>
                  </w:r>
                </w:p>
              </w:tc>
              <w:tc>
                <w:tcPr>
                  <w:tcW w:w="740" w:type="pct"/>
                  <w:vAlign w:val="center"/>
                </w:tcPr>
                <w:p w14:paraId="5BA4906F">
                  <w:pPr>
                    <w:pStyle w:val="87"/>
                    <w:jc w:val="left"/>
                  </w:pPr>
                  <w:r>
                    <w:t>符合</w:t>
                  </w:r>
                </w:p>
              </w:tc>
            </w:tr>
            <w:tr w14:paraId="226ACBF0">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3015" w:type="pct"/>
                  <w:vAlign w:val="center"/>
                </w:tcPr>
                <w:p w14:paraId="3B764DBC">
                  <w:pPr>
                    <w:pStyle w:val="87"/>
                    <w:jc w:val="left"/>
                  </w:pPr>
                  <w:r>
                    <w:t>（二）深入打好蓝天保卫战</w:t>
                  </w:r>
                </w:p>
                <w:p w14:paraId="44910355">
                  <w:pPr>
                    <w:pStyle w:val="87"/>
                    <w:jc w:val="left"/>
                  </w:pPr>
                  <w:r>
                    <w:t>1.实施大气减污降碳协同增效行动。推动重点行业落后产能退出，推进钢铁、焦化、有色金属行业技术升级。加快供热区域热网互联互通建设，淘汰管网覆盖范围内的燃煤锅炉和散煤。推进工业炉窑清洁能源替代，以菱镁、陶瓷等行业为重点，开展涉气产业集群排查及分类治理。</w:t>
                  </w:r>
                </w:p>
                <w:p w14:paraId="0A39AC26">
                  <w:pPr>
                    <w:pStyle w:val="87"/>
                    <w:jc w:val="left"/>
                  </w:pPr>
                  <w:r>
                    <w:t>实施清洁取暖攻坚行动。充分发挥热电机组和大型热源厂能力，推进燃煤锅炉关停整合。在空气质量未达标的城市城中村、城乡接合部，因地制宜推进供暖清洁化，有序开展农村地区散煤替代工作。到2025年，城市建成区基本淘汰35蒸吨/小时及以下燃煤锅炉。</w:t>
                  </w:r>
                </w:p>
              </w:tc>
              <w:tc>
                <w:tcPr>
                  <w:tcW w:w="1244" w:type="pct"/>
                  <w:vAlign w:val="center"/>
                </w:tcPr>
                <w:p w14:paraId="618DE03B">
                  <w:pPr>
                    <w:pStyle w:val="87"/>
                    <w:jc w:val="left"/>
                  </w:pPr>
                  <w:r>
                    <w:t>本项目不属于重点行业落后产能、不涉及燃煤锅炉</w:t>
                  </w:r>
                </w:p>
              </w:tc>
              <w:tc>
                <w:tcPr>
                  <w:tcW w:w="740" w:type="pct"/>
                  <w:vAlign w:val="center"/>
                </w:tcPr>
                <w:p w14:paraId="1AE01AA4">
                  <w:pPr>
                    <w:pStyle w:val="87"/>
                    <w:jc w:val="left"/>
                  </w:pPr>
                  <w:r>
                    <w:t>符合</w:t>
                  </w:r>
                </w:p>
              </w:tc>
            </w:tr>
            <w:tr w14:paraId="2283D548">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50" w:hRule="atLeast"/>
              </w:trPr>
              <w:tc>
                <w:tcPr>
                  <w:tcW w:w="3015" w:type="pct"/>
                  <w:vAlign w:val="center"/>
                </w:tcPr>
                <w:p w14:paraId="761E7F2A">
                  <w:pPr>
                    <w:pStyle w:val="87"/>
                    <w:jc w:val="left"/>
                  </w:pPr>
                  <w:r>
                    <w:t>深入打好碧水保卫战</w:t>
                  </w:r>
                </w:p>
                <w:p w14:paraId="0B016B51">
                  <w:pPr>
                    <w:pStyle w:val="87"/>
                    <w:jc w:val="left"/>
                  </w:pPr>
                  <w:r>
                    <w:t>实施城镇污水处理提质增效行动。加快城镇生活污水收集管网建设、更新修复。到2025年，基本消除城市建成区生活污水直排口和收集处理 设施空白区。</w:t>
                  </w:r>
                </w:p>
              </w:tc>
              <w:tc>
                <w:tcPr>
                  <w:tcW w:w="1244" w:type="pct"/>
                  <w:vAlign w:val="center"/>
                </w:tcPr>
                <w:p w14:paraId="507EBC0C">
                  <w:pPr>
                    <w:pStyle w:val="87"/>
                    <w:jc w:val="left"/>
                  </w:pPr>
                  <w:r>
                    <w:t>生活污水排入防渗</w:t>
                  </w:r>
                  <w:r>
                    <w:rPr>
                      <w:rFonts w:hint="eastAsia"/>
                    </w:rPr>
                    <w:t>防渗化粪池</w:t>
                  </w:r>
                  <w:r>
                    <w:t>后，由污水管网排入</w:t>
                  </w:r>
                  <w:r>
                    <w:rPr>
                      <w:rFonts w:hint="eastAsia"/>
                    </w:rPr>
                    <w:t>北票市</w:t>
                  </w:r>
                  <w:r>
                    <w:t>污水处理厂</w:t>
                  </w:r>
                </w:p>
              </w:tc>
              <w:tc>
                <w:tcPr>
                  <w:tcW w:w="740" w:type="pct"/>
                  <w:vAlign w:val="center"/>
                </w:tcPr>
                <w:p w14:paraId="2900E5FD">
                  <w:pPr>
                    <w:pStyle w:val="87"/>
                    <w:jc w:val="left"/>
                  </w:pPr>
                  <w:r>
                    <w:t>符合</w:t>
                  </w:r>
                </w:p>
              </w:tc>
            </w:tr>
          </w:tbl>
          <w:p w14:paraId="3699F1BD">
            <w:pPr>
              <w:snapToGrid w:val="0"/>
              <w:spacing w:line="360" w:lineRule="auto"/>
              <w:rPr>
                <w:b/>
                <w:bCs/>
                <w:sz w:val="24"/>
              </w:rPr>
            </w:pPr>
            <w:r>
              <w:rPr>
                <w:rFonts w:hint="eastAsia"/>
                <w:b/>
                <w:bCs/>
                <w:sz w:val="24"/>
              </w:rPr>
              <w:t>7.</w:t>
            </w:r>
            <w:r>
              <w:rPr>
                <w:b/>
                <w:bCs/>
                <w:sz w:val="24"/>
                <w:lang w:bidi="zh-CN"/>
              </w:rPr>
              <w:t>本项目</w:t>
            </w:r>
            <w:r>
              <w:rPr>
                <w:b/>
                <w:bCs/>
                <w:sz w:val="24"/>
              </w:rPr>
              <w:t>与《辽宁省“十四五”生态环境保护规划》（辽政办发</w:t>
            </w:r>
            <w:r>
              <w:rPr>
                <w:rFonts w:hint="eastAsia"/>
                <w:b/>
                <w:bCs/>
                <w:sz w:val="24"/>
                <w:lang w:eastAsia="zh-CN"/>
              </w:rPr>
              <w:t>〔</w:t>
            </w:r>
            <w:r>
              <w:rPr>
                <w:b/>
                <w:bCs/>
                <w:sz w:val="24"/>
              </w:rPr>
              <w:t>2022</w:t>
            </w:r>
            <w:r>
              <w:rPr>
                <w:rFonts w:hint="eastAsia"/>
                <w:b/>
                <w:bCs/>
                <w:sz w:val="24"/>
                <w:lang w:eastAsia="zh-CN"/>
              </w:rPr>
              <w:t>〕</w:t>
            </w:r>
            <w:r>
              <w:rPr>
                <w:b/>
                <w:bCs/>
                <w:sz w:val="24"/>
              </w:rPr>
              <w:t>16号）相符性分析</w:t>
            </w:r>
          </w:p>
          <w:p w14:paraId="4ADBBD8C">
            <w:pPr>
              <w:ind w:firstLine="422" w:firstLineChars="200"/>
              <w:jc w:val="center"/>
              <w:rPr>
                <w:b/>
                <w:bCs/>
                <w:szCs w:val="21"/>
              </w:rPr>
            </w:pPr>
            <w:r>
              <w:rPr>
                <w:b/>
                <w:bCs/>
                <w:szCs w:val="21"/>
              </w:rPr>
              <w:t>表1-1</w:t>
            </w:r>
            <w:r>
              <w:rPr>
                <w:rFonts w:hint="eastAsia"/>
                <w:b/>
                <w:bCs/>
                <w:szCs w:val="21"/>
              </w:rPr>
              <w:t>0</w:t>
            </w:r>
            <w:r>
              <w:rPr>
                <w:b/>
                <w:bCs/>
                <w:szCs w:val="21"/>
              </w:rPr>
              <w:t xml:space="preserve">    与“规划”相符性分析</w:t>
            </w:r>
          </w:p>
          <w:tbl>
            <w:tblPr>
              <w:tblStyle w:val="34"/>
              <w:tblW w:w="4998" w:type="pct"/>
              <w:tblInd w:w="0" w:type="dxa"/>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3542"/>
              <w:gridCol w:w="3209"/>
              <w:gridCol w:w="780"/>
            </w:tblGrid>
            <w:tr w14:paraId="7B498E11">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1" w:hRule="atLeast"/>
              </w:trPr>
              <w:tc>
                <w:tcPr>
                  <w:tcW w:w="2351" w:type="pct"/>
                  <w:vAlign w:val="center"/>
                </w:tcPr>
                <w:p w14:paraId="6B036E30">
                  <w:pPr>
                    <w:pStyle w:val="87"/>
                    <w:jc w:val="left"/>
                  </w:pPr>
                  <w:r>
                    <w:t>政策要求</w:t>
                  </w:r>
                </w:p>
              </w:tc>
              <w:tc>
                <w:tcPr>
                  <w:tcW w:w="2130" w:type="pct"/>
                  <w:vAlign w:val="center"/>
                </w:tcPr>
                <w:p w14:paraId="7DA70877">
                  <w:pPr>
                    <w:pStyle w:val="87"/>
                    <w:jc w:val="left"/>
                  </w:pPr>
                  <w:r>
                    <w:t>本项目情况</w:t>
                  </w:r>
                </w:p>
              </w:tc>
              <w:tc>
                <w:tcPr>
                  <w:tcW w:w="517" w:type="pct"/>
                  <w:vAlign w:val="center"/>
                </w:tcPr>
                <w:p w14:paraId="0BFCC621">
                  <w:pPr>
                    <w:pStyle w:val="87"/>
                    <w:jc w:val="left"/>
                  </w:pPr>
                  <w:r>
                    <w:t>符合性</w:t>
                  </w:r>
                </w:p>
              </w:tc>
            </w:tr>
            <w:tr w14:paraId="5E14A25A">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2351" w:type="pct"/>
                  <w:vAlign w:val="center"/>
                </w:tcPr>
                <w:p w14:paraId="4FDC1737">
                  <w:pPr>
                    <w:pStyle w:val="87"/>
                    <w:jc w:val="left"/>
                  </w:pPr>
                  <w:r>
                    <w:rPr>
                      <w:rFonts w:hint="eastAsia"/>
                    </w:rPr>
                    <w:t>第三章</w:t>
                  </w:r>
                  <w:r>
                    <w:t xml:space="preserve"> 坚持高质量引领，推动绿色低碳发展</w:t>
                  </w:r>
                </w:p>
                <w:p w14:paraId="49736854">
                  <w:pPr>
                    <w:pStyle w:val="87"/>
                    <w:jc w:val="left"/>
                  </w:pPr>
                  <w:r>
                    <w:t>建立生态环境分区管控机制逐步健全“三线一单”配套的规章 度和管理政策。2025年底前，形成基本完善的区域生态环境空间管控</w:t>
                  </w:r>
                </w:p>
                <w:p w14:paraId="6B764610">
                  <w:pPr>
                    <w:pStyle w:val="87"/>
                    <w:jc w:val="left"/>
                  </w:pPr>
                  <w:r>
                    <w:t>体系。</w:t>
                  </w:r>
                </w:p>
              </w:tc>
              <w:tc>
                <w:tcPr>
                  <w:tcW w:w="2130" w:type="pct"/>
                  <w:vAlign w:val="center"/>
                </w:tcPr>
                <w:p w14:paraId="336AD511">
                  <w:pPr>
                    <w:pStyle w:val="87"/>
                    <w:jc w:val="left"/>
                  </w:pPr>
                  <w:r>
                    <w:t>本项目位于辽宁省朝阳市北票市宝锦线凉水河北侧3幢01023，所在的分区管控单元为朝阳市北票市重点管控区3（ZH21138120006）和朝阳市北票市重点管控区4（ZH21138120007）。</w:t>
                  </w:r>
                </w:p>
              </w:tc>
              <w:tc>
                <w:tcPr>
                  <w:tcW w:w="517" w:type="pct"/>
                  <w:vAlign w:val="center"/>
                </w:tcPr>
                <w:p w14:paraId="247CAD64">
                  <w:pPr>
                    <w:pStyle w:val="87"/>
                    <w:jc w:val="left"/>
                  </w:pPr>
                  <w:r>
                    <w:t>符合</w:t>
                  </w:r>
                </w:p>
              </w:tc>
            </w:tr>
            <w:tr w14:paraId="451102D0">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2351" w:type="pct"/>
                  <w:vAlign w:val="center"/>
                </w:tcPr>
                <w:p w14:paraId="58A54C68">
                  <w:pPr>
                    <w:pStyle w:val="87"/>
                    <w:jc w:val="left"/>
                  </w:pPr>
                  <w:r>
                    <w:t>深入打好蓝天保卫战，提升环境空气质量</w:t>
                  </w:r>
                </w:p>
                <w:p w14:paraId="58711955">
                  <w:pPr>
                    <w:pStyle w:val="87"/>
                    <w:jc w:val="left"/>
                  </w:pPr>
                  <w:r>
                    <w:t>以冬季采暖期、夏季臭氧(O3)污染高发期为重点管控期，继续加强 PM2.5 污染防治，补齐 O3 污染治理短板， 协同控制 PM2.5 与 O3 污染。大力推 进 VOCs 和 NOx 减排，带动多污染物、多污染源协同控制。</w:t>
                  </w:r>
                </w:p>
              </w:tc>
              <w:tc>
                <w:tcPr>
                  <w:tcW w:w="2130" w:type="pct"/>
                  <w:vAlign w:val="center"/>
                </w:tcPr>
                <w:p w14:paraId="05E5ACC5">
                  <w:pPr>
                    <w:pStyle w:val="87"/>
                    <w:jc w:val="left"/>
                  </w:pPr>
                  <w:r>
                    <w:t>本项目废油液抽排产生的有机废气经集气罩收集，经二级活性炭箱处理后，通过1根</w:t>
                  </w:r>
                  <w:r>
                    <w:rPr>
                      <w:rFonts w:hint="eastAsia"/>
                      <w:lang w:eastAsia="zh-CN"/>
                    </w:rPr>
                    <w:t>26m</w:t>
                  </w:r>
                  <w:r>
                    <w:t>高排气筒（DA001）排放。</w:t>
                  </w:r>
                </w:p>
              </w:tc>
              <w:tc>
                <w:tcPr>
                  <w:tcW w:w="517" w:type="pct"/>
                  <w:vAlign w:val="center"/>
                </w:tcPr>
                <w:p w14:paraId="5721C1B4">
                  <w:pPr>
                    <w:pStyle w:val="87"/>
                    <w:jc w:val="left"/>
                  </w:pPr>
                  <w:r>
                    <w:t>符合</w:t>
                  </w:r>
                </w:p>
              </w:tc>
            </w:tr>
            <w:tr w14:paraId="24A0806D">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2351" w:type="pct"/>
                  <w:vAlign w:val="center"/>
                </w:tcPr>
                <w:p w14:paraId="38A5B909">
                  <w:pPr>
                    <w:pStyle w:val="87"/>
                    <w:jc w:val="left"/>
                  </w:pPr>
                  <w:r>
                    <w:t>第六章深入打好碧水保卫战，巩固提升水生态环境质量</w:t>
                  </w:r>
                </w:p>
                <w:p w14:paraId="48B84F15">
                  <w:pPr>
                    <w:pStyle w:val="87"/>
                    <w:jc w:val="left"/>
                  </w:pPr>
                  <w:r>
                    <w:t>以水生态环境质量持续改善为核心，统筹水资源利用、水生态保护和水环境治理，污染减排与生态扩容两手发力，“保好水 ”“治差水 ”，推进河流水系连通，开展“美丽河湖 ”保护与建设，努力实现“清水绿岸、鱼翔浅底 ”。</w:t>
                  </w:r>
                </w:p>
              </w:tc>
              <w:tc>
                <w:tcPr>
                  <w:tcW w:w="2130" w:type="pct"/>
                  <w:vAlign w:val="center"/>
                </w:tcPr>
                <w:p w14:paraId="61BEB709">
                  <w:pPr>
                    <w:pStyle w:val="87"/>
                    <w:jc w:val="left"/>
                    <w:rPr>
                      <w:rFonts w:hint="eastAsia" w:eastAsia="宋体"/>
                      <w:lang w:val="en-US" w:eastAsia="zh-CN"/>
                    </w:rPr>
                  </w:pPr>
                  <w:r>
                    <w:t>本项目生产废水经厂区内污水处理站处理后满足《辽宁省污水综合排放标准》（DB21/1627-2008）和《污水综合排放标准》（GB8978-1996）相关标准要求后经管网进入</w:t>
                  </w:r>
                  <w:r>
                    <w:rPr>
                      <w:rFonts w:hint="eastAsia"/>
                    </w:rPr>
                    <w:t>北票市</w:t>
                  </w:r>
                  <w:r>
                    <w:t>污水处理站，生活污水经</w:t>
                  </w:r>
                  <w:r>
                    <w:rPr>
                      <w:rFonts w:hint="eastAsia"/>
                    </w:rPr>
                    <w:t>防渗化粪池</w:t>
                  </w:r>
                  <w:r>
                    <w:t>处理后排入</w:t>
                  </w:r>
                  <w:r>
                    <w:rPr>
                      <w:rFonts w:hint="eastAsia"/>
                    </w:rPr>
                    <w:t>北票市</w:t>
                  </w:r>
                  <w:r>
                    <w:t>污水处理</w:t>
                  </w:r>
                  <w:r>
                    <w:rPr>
                      <w:rFonts w:hint="eastAsia"/>
                      <w:lang w:val="en-US" w:eastAsia="zh-CN"/>
                    </w:rPr>
                    <w:t>厂。</w:t>
                  </w:r>
                </w:p>
              </w:tc>
              <w:tc>
                <w:tcPr>
                  <w:tcW w:w="517" w:type="pct"/>
                  <w:vAlign w:val="center"/>
                </w:tcPr>
                <w:p w14:paraId="6C80CF60">
                  <w:pPr>
                    <w:pStyle w:val="87"/>
                    <w:jc w:val="left"/>
                  </w:pPr>
                  <w:r>
                    <w:t>符合</w:t>
                  </w:r>
                </w:p>
              </w:tc>
            </w:tr>
            <w:tr w14:paraId="1BA5BC4D">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2351" w:type="pct"/>
                  <w:vAlign w:val="center"/>
                </w:tcPr>
                <w:p w14:paraId="3C6B9477">
                  <w:pPr>
                    <w:pStyle w:val="87"/>
                    <w:jc w:val="left"/>
                  </w:pPr>
                  <w:r>
                    <w:t>第八章深入打好净土保卫战，提升土壤和农村环境质量</w:t>
                  </w:r>
                </w:p>
                <w:p w14:paraId="062B5BEC">
                  <w:pPr>
                    <w:pStyle w:val="87"/>
                    <w:jc w:val="left"/>
                  </w:pPr>
                  <w:r>
                    <w:t>加强空间布局管控。根据土壤污染状况和风险合理规划土地用途，永久基本农田集中区域禁止规划新建可能造成土壤污染的建设项目，居 住区和学校、医院、疗养院、养老 院等单位周边，禁止新（改、扩）建可能造成土壤污染的建设项目。新（改、扩）建涉及有毒有害物质可能造成土壤污染的建设项目， 出并落实土壤和地下水污染防治要求。</w:t>
                  </w:r>
                </w:p>
              </w:tc>
              <w:tc>
                <w:tcPr>
                  <w:tcW w:w="2130" w:type="pct"/>
                  <w:vAlign w:val="center"/>
                </w:tcPr>
                <w:p w14:paraId="4872132C">
                  <w:pPr>
                    <w:pStyle w:val="87"/>
                    <w:jc w:val="left"/>
                  </w:pPr>
                  <w:r>
                    <w:t>本项目周边</w:t>
                  </w:r>
                  <w:r>
                    <w:rPr>
                      <w:rFonts w:hint="eastAsia"/>
                    </w:rPr>
                    <w:t>不存在</w:t>
                  </w:r>
                  <w:r>
                    <w:t>可能造成土壤污染的建设项目且本项目拆解车间和</w:t>
                  </w:r>
                  <w:r>
                    <w:rPr>
                      <w:rFonts w:hint="eastAsia"/>
                      <w:lang w:eastAsia="zh-CN"/>
                    </w:rPr>
                    <w:t>危废贮存点</w:t>
                  </w:r>
                  <w:r>
                    <w:t>严格做好防渗，不会对土壤造成污染。</w:t>
                  </w:r>
                </w:p>
              </w:tc>
              <w:tc>
                <w:tcPr>
                  <w:tcW w:w="517" w:type="pct"/>
                  <w:vAlign w:val="center"/>
                </w:tcPr>
                <w:p w14:paraId="5B565FCA">
                  <w:pPr>
                    <w:pStyle w:val="87"/>
                    <w:jc w:val="left"/>
                  </w:pPr>
                  <w:r>
                    <w:t>符合</w:t>
                  </w:r>
                </w:p>
              </w:tc>
            </w:tr>
            <w:tr w14:paraId="3F95F337">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2351" w:type="pct"/>
                  <w:vAlign w:val="center"/>
                </w:tcPr>
                <w:p w14:paraId="40358960">
                  <w:pPr>
                    <w:pStyle w:val="87"/>
                    <w:jc w:val="left"/>
                  </w:pPr>
                  <w:r>
                    <w:t>第十章强化风险防控，保障环境安全</w:t>
                  </w:r>
                </w:p>
                <w:p w14:paraId="60E3F294">
                  <w:pPr>
                    <w:pStyle w:val="87"/>
                    <w:jc w:val="left"/>
                  </w:pPr>
                  <w:r>
                    <w:t>加强医疗废物收集转运处置体系建设。2022 年底前，县（市、区）全部建成医疗废物收集转运处置体系，建成区医疗废物无害化处置率达到 100%。鼓励偏远地区建设移动式医疗废物处置设施，实现医疗废物就地处置。完善医疗废物应急处置机制，提高应急处置能力，依托危险废物焚烧处置设施、协同处置固体废物的水泥窑、生活垃圾焚烧设施等资源，建立协同应急处置设施清单，设区的市级政府至少明确 1座协同应急处置设施，确定应急管理流程和规则。</w:t>
                  </w:r>
                </w:p>
              </w:tc>
              <w:tc>
                <w:tcPr>
                  <w:tcW w:w="2130" w:type="pct"/>
                  <w:vAlign w:val="center"/>
                </w:tcPr>
                <w:p w14:paraId="23DDF547">
                  <w:pPr>
                    <w:pStyle w:val="87"/>
                    <w:jc w:val="left"/>
                  </w:pPr>
                  <w:r>
                    <w:t>本项目危险废物暂存在</w:t>
                  </w:r>
                  <w:r>
                    <w:rPr>
                      <w:rFonts w:hint="eastAsia"/>
                      <w:lang w:eastAsia="zh-CN"/>
                    </w:rPr>
                    <w:t>危废贮存点</w:t>
                  </w:r>
                  <w:r>
                    <w:t>，定期由有资质单位转运处置。</w:t>
                  </w:r>
                </w:p>
              </w:tc>
              <w:tc>
                <w:tcPr>
                  <w:tcW w:w="517" w:type="pct"/>
                  <w:vAlign w:val="center"/>
                </w:tcPr>
                <w:p w14:paraId="151772A5">
                  <w:pPr>
                    <w:pStyle w:val="87"/>
                    <w:jc w:val="left"/>
                  </w:pPr>
                  <w:r>
                    <w:rPr>
                      <w:rFonts w:hint="eastAsia"/>
                    </w:rPr>
                    <w:t>符合</w:t>
                  </w:r>
                </w:p>
              </w:tc>
            </w:tr>
          </w:tbl>
          <w:p w14:paraId="02652453">
            <w:pPr>
              <w:pStyle w:val="18"/>
              <w:adjustRightInd w:val="0"/>
              <w:snapToGrid w:val="0"/>
              <w:spacing w:after="0" w:line="360" w:lineRule="auto"/>
              <w:ind w:left="0" w:leftChars="0"/>
              <w:rPr>
                <w:color w:val="FF0000"/>
                <w:kern w:val="0"/>
                <w:sz w:val="24"/>
              </w:rPr>
            </w:pPr>
            <w:r>
              <w:rPr>
                <w:rFonts w:hint="eastAsia"/>
                <w:b/>
                <w:bCs/>
                <w:color w:val="FF0000"/>
                <w:kern w:val="0"/>
                <w:sz w:val="24"/>
              </w:rPr>
              <w:t>8.</w:t>
            </w:r>
            <w:r>
              <w:rPr>
                <w:b/>
                <w:bCs/>
                <w:color w:val="FF0000"/>
                <w:sz w:val="24"/>
                <w:lang w:bidi="zh-CN"/>
              </w:rPr>
              <w:t>本项目</w:t>
            </w:r>
            <w:r>
              <w:rPr>
                <w:b/>
                <w:bCs/>
                <w:color w:val="FF0000"/>
                <w:kern w:val="0"/>
                <w:sz w:val="24"/>
              </w:rPr>
              <w:t>与《朝阳市生态环境保护“十四五”规划》的相符性分析</w:t>
            </w:r>
            <w:r>
              <w:rPr>
                <w:color w:val="FF0000"/>
                <w:kern w:val="0"/>
                <w:sz w:val="24"/>
              </w:rPr>
              <w:t xml:space="preserve"> </w:t>
            </w:r>
          </w:p>
          <w:p w14:paraId="7D2F43EA">
            <w:pPr>
              <w:widowControl/>
              <w:jc w:val="center"/>
              <w:rPr>
                <w:b/>
                <w:bCs/>
                <w:color w:val="FF0000"/>
                <w:kern w:val="0"/>
                <w:szCs w:val="21"/>
                <w:lang w:bidi="ar"/>
              </w:rPr>
            </w:pPr>
            <w:r>
              <w:rPr>
                <w:b/>
                <w:bCs/>
                <w:color w:val="FF0000"/>
                <w:kern w:val="0"/>
                <w:szCs w:val="21"/>
                <w:lang w:bidi="ar"/>
              </w:rPr>
              <w:t>表1-1</w:t>
            </w:r>
            <w:r>
              <w:rPr>
                <w:rFonts w:hint="eastAsia"/>
                <w:b/>
                <w:bCs/>
                <w:color w:val="FF0000"/>
                <w:kern w:val="0"/>
                <w:szCs w:val="21"/>
                <w:lang w:bidi="ar"/>
              </w:rPr>
              <w:t>1</w:t>
            </w:r>
            <w:r>
              <w:rPr>
                <w:b/>
                <w:bCs/>
                <w:color w:val="FF0000"/>
                <w:kern w:val="0"/>
                <w:szCs w:val="21"/>
                <w:lang w:bidi="ar"/>
              </w:rPr>
              <w:t xml:space="preserve">  与“规划”相符性分析</w:t>
            </w:r>
          </w:p>
          <w:tbl>
            <w:tblPr>
              <w:tblStyle w:val="34"/>
              <w:tblW w:w="0" w:type="auto"/>
              <w:jc w:val="center"/>
              <w:tblBorders>
                <w:top w:val="double" w:color="000000" w:themeColor="text1" w:sz="4" w:space="0"/>
                <w:left w:val="none" w:color="auto" w:sz="0" w:space="0"/>
                <w:bottom w:val="double" w:color="000000" w:themeColor="text1" w:sz="4" w:space="0"/>
                <w:right w:val="none" w:color="auto" w:sz="0" w:space="0"/>
                <w:insideH w:val="single" w:color="000000" w:themeColor="text1" w:sz="4" w:space="0"/>
                <w:insideV w:val="single" w:color="000000" w:themeColor="text1" w:sz="4" w:space="0"/>
              </w:tblBorders>
              <w:shd w:val="clear" w:color="auto" w:fill="FFFFFF"/>
              <w:tblLayout w:type="autofit"/>
              <w:tblCellMar>
                <w:top w:w="15" w:type="dxa"/>
                <w:left w:w="15" w:type="dxa"/>
                <w:bottom w:w="15" w:type="dxa"/>
                <w:right w:w="15" w:type="dxa"/>
              </w:tblCellMar>
            </w:tblPr>
            <w:tblGrid>
              <w:gridCol w:w="2959"/>
              <w:gridCol w:w="3796"/>
              <w:gridCol w:w="779"/>
            </w:tblGrid>
            <w:tr w14:paraId="1BA3DEFB">
              <w:tblPrEx>
                <w:tblBorders>
                  <w:top w:val="double" w:color="000000" w:themeColor="text1" w:sz="4" w:space="0"/>
                  <w:left w:val="none" w:color="auto" w:sz="0" w:space="0"/>
                  <w:bottom w:val="double" w:color="000000" w:themeColor="text1" w:sz="4" w:space="0"/>
                  <w:right w:val="none" w:color="auto" w:sz="0" w:space="0"/>
                  <w:insideH w:val="single" w:color="000000" w:themeColor="text1" w:sz="4" w:space="0"/>
                  <w:insideV w:val="single" w:color="000000" w:themeColor="text1" w:sz="4" w:space="0"/>
                </w:tblBorders>
                <w:shd w:val="clear" w:color="auto" w:fill="FFFFFF"/>
                <w:tblCellMar>
                  <w:top w:w="15" w:type="dxa"/>
                  <w:left w:w="15" w:type="dxa"/>
                  <w:bottom w:w="15" w:type="dxa"/>
                  <w:right w:w="15" w:type="dxa"/>
                </w:tblCellMar>
              </w:tblPrEx>
              <w:trPr>
                <w:trHeight w:val="0" w:hRule="atLeast"/>
                <w:tblHeader/>
                <w:jc w:val="center"/>
              </w:trPr>
              <w:tc>
                <w:tcPr>
                  <w:tcW w:w="1963" w:type="pct"/>
                  <w:tcBorders>
                    <w:tl2br w:val="nil"/>
                    <w:tr2bl w:val="nil"/>
                  </w:tcBorders>
                  <w:shd w:val="clear" w:color="auto" w:fill="auto"/>
                  <w:tcMar>
                    <w:top w:w="135" w:type="dxa"/>
                    <w:left w:w="270" w:type="dxa"/>
                    <w:bottom w:w="135" w:type="dxa"/>
                    <w:right w:w="270" w:type="dxa"/>
                  </w:tcMar>
                  <w:vAlign w:val="center"/>
                </w:tcPr>
                <w:p w14:paraId="28FB4015">
                  <w:pPr>
                    <w:pStyle w:val="87"/>
                    <w:spacing w:line="240" w:lineRule="auto"/>
                    <w:jc w:val="center"/>
                    <w:rPr>
                      <w:color w:val="FF0000"/>
                    </w:rPr>
                  </w:pPr>
                  <w:r>
                    <w:rPr>
                      <w:color w:val="FF0000"/>
                    </w:rPr>
                    <w:t>政策要求</w:t>
                  </w:r>
                </w:p>
              </w:tc>
              <w:tc>
                <w:tcPr>
                  <w:tcW w:w="2518" w:type="pct"/>
                  <w:tcBorders>
                    <w:tl2br w:val="nil"/>
                    <w:tr2bl w:val="nil"/>
                  </w:tcBorders>
                  <w:shd w:val="clear" w:color="auto" w:fill="auto"/>
                  <w:tcMar>
                    <w:top w:w="135" w:type="dxa"/>
                    <w:left w:w="270" w:type="dxa"/>
                    <w:bottom w:w="135" w:type="dxa"/>
                    <w:right w:w="270" w:type="dxa"/>
                  </w:tcMar>
                  <w:vAlign w:val="center"/>
                </w:tcPr>
                <w:p w14:paraId="4734046E">
                  <w:pPr>
                    <w:pStyle w:val="87"/>
                    <w:spacing w:line="240" w:lineRule="auto"/>
                    <w:jc w:val="center"/>
                    <w:rPr>
                      <w:color w:val="FF0000"/>
                    </w:rPr>
                  </w:pPr>
                  <w:r>
                    <w:rPr>
                      <w:color w:val="FF0000"/>
                    </w:rPr>
                    <w:t>本项目情况</w:t>
                  </w:r>
                </w:p>
              </w:tc>
              <w:tc>
                <w:tcPr>
                  <w:tcW w:w="517" w:type="pct"/>
                  <w:tcBorders>
                    <w:tl2br w:val="nil"/>
                    <w:tr2bl w:val="nil"/>
                  </w:tcBorders>
                  <w:shd w:val="clear" w:color="auto" w:fill="auto"/>
                  <w:tcMar>
                    <w:top w:w="135" w:type="dxa"/>
                    <w:left w:w="270" w:type="dxa"/>
                    <w:bottom w:w="135" w:type="dxa"/>
                    <w:right w:w="270" w:type="dxa"/>
                  </w:tcMar>
                  <w:vAlign w:val="center"/>
                </w:tcPr>
                <w:p w14:paraId="319AD32B">
                  <w:pPr>
                    <w:pStyle w:val="87"/>
                    <w:spacing w:line="240" w:lineRule="auto"/>
                    <w:jc w:val="center"/>
                    <w:rPr>
                      <w:color w:val="FF0000"/>
                    </w:rPr>
                  </w:pPr>
                  <w:r>
                    <w:rPr>
                      <w:color w:val="FF0000"/>
                    </w:rPr>
                    <w:t>符合性</w:t>
                  </w:r>
                </w:p>
              </w:tc>
            </w:tr>
            <w:tr w14:paraId="0622DEF8">
              <w:tblPrEx>
                <w:tblBorders>
                  <w:top w:val="double" w:color="000000" w:themeColor="text1" w:sz="4" w:space="0"/>
                  <w:left w:val="none" w:color="auto" w:sz="0" w:space="0"/>
                  <w:bottom w:val="double" w:color="000000" w:themeColor="text1" w:sz="4" w:space="0"/>
                  <w:right w:val="none" w:color="auto" w:sz="0" w:space="0"/>
                  <w:insideH w:val="single" w:color="000000" w:themeColor="text1" w:sz="4" w:space="0"/>
                  <w:insideV w:val="single" w:color="000000" w:themeColor="text1" w:sz="4" w:space="0"/>
                </w:tblBorders>
                <w:shd w:val="clear" w:color="auto" w:fill="FFFFFF"/>
                <w:tblCellMar>
                  <w:top w:w="15" w:type="dxa"/>
                  <w:left w:w="15" w:type="dxa"/>
                  <w:bottom w:w="15" w:type="dxa"/>
                  <w:right w:w="15" w:type="dxa"/>
                </w:tblCellMar>
              </w:tblPrEx>
              <w:trPr>
                <w:trHeight w:val="0" w:hRule="atLeast"/>
                <w:jc w:val="center"/>
              </w:trPr>
              <w:tc>
                <w:tcPr>
                  <w:tcW w:w="1963" w:type="pct"/>
                  <w:tcBorders>
                    <w:tl2br w:val="nil"/>
                    <w:tr2bl w:val="nil"/>
                  </w:tcBorders>
                  <w:shd w:val="clear" w:color="auto" w:fill="auto"/>
                  <w:tcMar>
                    <w:top w:w="135" w:type="dxa"/>
                    <w:left w:w="270" w:type="dxa"/>
                    <w:bottom w:w="135" w:type="dxa"/>
                    <w:right w:w="270" w:type="dxa"/>
                  </w:tcMar>
                  <w:vAlign w:val="center"/>
                </w:tcPr>
                <w:p w14:paraId="1029C39C">
                  <w:pPr>
                    <w:pStyle w:val="87"/>
                    <w:spacing w:line="240" w:lineRule="auto"/>
                    <w:jc w:val="center"/>
                    <w:rPr>
                      <w:color w:val="FF0000"/>
                    </w:rPr>
                  </w:pPr>
                  <w:r>
                    <w:rPr>
                      <w:rFonts w:hint="default"/>
                      <w:color w:val="FF0000"/>
                      <w:lang w:val="en-US" w:eastAsia="zh-CN"/>
                    </w:rPr>
                    <w:t>一、优化产业结构布局</w:t>
                  </w:r>
                  <w:r>
                    <w:rPr>
                      <w:rFonts w:hint="default"/>
                      <w:color w:val="FF0000"/>
                      <w:lang w:val="en-US" w:eastAsia="zh-CN"/>
                    </w:rPr>
                    <w:br w:type="textWrapping"/>
                  </w:r>
                  <w:r>
                    <w:rPr>
                      <w:rFonts w:hint="default"/>
                      <w:color w:val="FF0000"/>
                      <w:lang w:val="en-US" w:eastAsia="zh-CN"/>
                    </w:rPr>
                    <w:t>1.构建“5+1”工业布局，重点发展循环经济，推动资源回收利用产业发展。</w:t>
                  </w:r>
                  <w:r>
                    <w:rPr>
                      <w:rFonts w:hint="default"/>
                      <w:color w:val="FF0000"/>
                      <w:lang w:val="en-US" w:eastAsia="zh-CN"/>
                    </w:rPr>
                    <w:br w:type="textWrapping"/>
                  </w:r>
                  <w:r>
                    <w:rPr>
                      <w:rFonts w:hint="default"/>
                      <w:color w:val="FF0000"/>
                      <w:lang w:val="en-US" w:eastAsia="zh-CN"/>
                    </w:rPr>
                    <w:t>2.加快低效产能淘汰，严控“两高”项目，严格执行产业准入政策。</w:t>
                  </w:r>
                  <w:r>
                    <w:rPr>
                      <w:rFonts w:hint="default"/>
                      <w:color w:val="FF0000"/>
                      <w:lang w:val="en-US" w:eastAsia="zh-CN"/>
                    </w:rPr>
                    <w:br w:type="textWrapping"/>
                  </w:r>
                  <w:r>
                    <w:rPr>
                      <w:rFonts w:hint="default"/>
                      <w:color w:val="FF0000"/>
                      <w:lang w:val="en-US" w:eastAsia="zh-CN"/>
                    </w:rPr>
                    <w:t>3.推进工业园区循环化改造，2025年底前完成园区改造。</w:t>
                  </w:r>
                </w:p>
              </w:tc>
              <w:tc>
                <w:tcPr>
                  <w:tcW w:w="2518" w:type="pct"/>
                  <w:tcBorders>
                    <w:tl2br w:val="nil"/>
                    <w:tr2bl w:val="nil"/>
                  </w:tcBorders>
                  <w:shd w:val="clear" w:color="auto" w:fill="auto"/>
                  <w:tcMar>
                    <w:top w:w="135" w:type="dxa"/>
                    <w:left w:w="270" w:type="dxa"/>
                    <w:bottom w:w="135" w:type="dxa"/>
                    <w:right w:w="270" w:type="dxa"/>
                  </w:tcMar>
                  <w:vAlign w:val="center"/>
                </w:tcPr>
                <w:p w14:paraId="48157DF3">
                  <w:pPr>
                    <w:pStyle w:val="87"/>
                    <w:spacing w:line="240" w:lineRule="auto"/>
                    <w:jc w:val="center"/>
                    <w:rPr>
                      <w:color w:val="FF0000"/>
                    </w:rPr>
                  </w:pPr>
                  <w:r>
                    <w:rPr>
                      <w:rFonts w:hint="default"/>
                      <w:color w:val="FF0000"/>
                      <w:lang w:val="en-US" w:eastAsia="zh-CN"/>
                    </w:rPr>
                    <w:t>1.本项目属“废弃资源综合利用业”（C4210），从事报废机动车拆解，符合循环经济导向，属于规划鼓励的资源回收利用产业。</w:t>
                  </w:r>
                  <w:r>
                    <w:rPr>
                      <w:rFonts w:hint="default"/>
                      <w:color w:val="FF0000"/>
                      <w:lang w:val="en-US" w:eastAsia="zh-CN"/>
                    </w:rPr>
                    <w:br w:type="textWrapping"/>
                  </w:r>
                  <w:r>
                    <w:rPr>
                      <w:rFonts w:hint="default"/>
                      <w:color w:val="FF0000"/>
                      <w:lang w:val="en-US" w:eastAsia="zh-CN"/>
                    </w:rPr>
                    <w:t>2.项目为新建资源综合利用项目（非“两高”行业），拆解工艺采用封闭车间、分类回收技术，无落后产能。</w:t>
                  </w:r>
                  <w:r>
                    <w:rPr>
                      <w:rFonts w:hint="default"/>
                      <w:color w:val="FF0000"/>
                      <w:lang w:val="en-US" w:eastAsia="zh-CN"/>
                    </w:rPr>
                    <w:br w:type="textWrapping"/>
                  </w:r>
                  <w:r>
                    <w:rPr>
                      <w:rFonts w:hint="default"/>
                      <w:color w:val="FF0000"/>
                      <w:lang w:val="en-US" w:eastAsia="zh-CN"/>
                    </w:rPr>
                    <w:t>3.项目位于北票市工业用地内，虽非省级开发区，但通过自建污水处理站、固废分类暂存设施，落实了清洁生产与循环利用要求。</w:t>
                  </w:r>
                </w:p>
              </w:tc>
              <w:tc>
                <w:tcPr>
                  <w:tcW w:w="517" w:type="pct"/>
                  <w:tcBorders>
                    <w:tl2br w:val="nil"/>
                    <w:tr2bl w:val="nil"/>
                  </w:tcBorders>
                  <w:shd w:val="clear" w:color="auto" w:fill="auto"/>
                  <w:tcMar>
                    <w:top w:w="135" w:type="dxa"/>
                    <w:left w:w="270" w:type="dxa"/>
                    <w:bottom w:w="135" w:type="dxa"/>
                    <w:right w:w="270" w:type="dxa"/>
                  </w:tcMar>
                  <w:vAlign w:val="center"/>
                </w:tcPr>
                <w:p w14:paraId="7B8DB342">
                  <w:pPr>
                    <w:pStyle w:val="87"/>
                    <w:spacing w:line="240" w:lineRule="auto"/>
                    <w:jc w:val="center"/>
                    <w:rPr>
                      <w:color w:val="FF0000"/>
                    </w:rPr>
                  </w:pPr>
                  <w:r>
                    <w:rPr>
                      <w:color w:val="FF0000"/>
                    </w:rPr>
                    <w:t>符合</w:t>
                  </w:r>
                </w:p>
              </w:tc>
            </w:tr>
            <w:tr w14:paraId="43CCC71C">
              <w:tblPrEx>
                <w:tblBorders>
                  <w:top w:val="double" w:color="000000" w:themeColor="text1" w:sz="4" w:space="0"/>
                  <w:left w:val="none" w:color="auto" w:sz="0" w:space="0"/>
                  <w:bottom w:val="double" w:color="000000" w:themeColor="text1" w:sz="4" w:space="0"/>
                  <w:right w:val="none" w:color="auto" w:sz="0" w:space="0"/>
                  <w:insideH w:val="single" w:color="000000" w:themeColor="text1" w:sz="4" w:space="0"/>
                  <w:insideV w:val="single" w:color="000000" w:themeColor="text1" w:sz="4" w:space="0"/>
                </w:tblBorders>
                <w:shd w:val="clear" w:color="auto" w:fill="FFFFFF"/>
                <w:tblCellMar>
                  <w:top w:w="15" w:type="dxa"/>
                  <w:left w:w="15" w:type="dxa"/>
                  <w:bottom w:w="15" w:type="dxa"/>
                  <w:right w:w="15" w:type="dxa"/>
                </w:tblCellMar>
              </w:tblPrEx>
              <w:trPr>
                <w:trHeight w:val="0" w:hRule="atLeast"/>
                <w:jc w:val="center"/>
              </w:trPr>
              <w:tc>
                <w:tcPr>
                  <w:tcW w:w="1963" w:type="pct"/>
                  <w:tcBorders>
                    <w:tl2br w:val="nil"/>
                    <w:tr2bl w:val="nil"/>
                  </w:tcBorders>
                  <w:shd w:val="clear" w:color="auto" w:fill="auto"/>
                  <w:tcMar>
                    <w:top w:w="135" w:type="dxa"/>
                    <w:left w:w="270" w:type="dxa"/>
                    <w:bottom w:w="135" w:type="dxa"/>
                    <w:right w:w="270" w:type="dxa"/>
                  </w:tcMar>
                  <w:vAlign w:val="center"/>
                </w:tcPr>
                <w:p w14:paraId="3F708BD7">
                  <w:pPr>
                    <w:pStyle w:val="87"/>
                    <w:spacing w:line="240" w:lineRule="auto"/>
                    <w:jc w:val="center"/>
                    <w:rPr>
                      <w:color w:val="FF0000"/>
                    </w:rPr>
                  </w:pPr>
                  <w:r>
                    <w:rPr>
                      <w:rFonts w:hint="default"/>
                      <w:color w:val="FF0000"/>
                      <w:lang w:val="en-US" w:eastAsia="zh-CN"/>
                    </w:rPr>
                    <w:t>二、大气环境治理</w:t>
                  </w:r>
                  <w:r>
                    <w:rPr>
                      <w:rFonts w:hint="default"/>
                      <w:color w:val="FF0000"/>
                      <w:lang w:val="en-US" w:eastAsia="zh-CN"/>
                    </w:rPr>
                    <w:br w:type="textWrapping"/>
                  </w:r>
                  <w:r>
                    <w:rPr>
                      <w:rFonts w:hint="default"/>
                      <w:color w:val="FF0000"/>
                      <w:lang w:val="en-US" w:eastAsia="zh-CN"/>
                    </w:rPr>
                    <w:t>1.强化VOCs与NOx协同控制，重点治理工业源VOCs排放（如包装印刷、工业喷涂等）。</w:t>
                  </w:r>
                  <w:r>
                    <w:rPr>
                      <w:rFonts w:hint="default"/>
                      <w:color w:val="FF0000"/>
                      <w:lang w:val="en-US" w:eastAsia="zh-CN"/>
                    </w:rPr>
                    <w:br w:type="textWrapping"/>
                  </w:r>
                  <w:r>
                    <w:rPr>
                      <w:rFonts w:hint="default"/>
                      <w:color w:val="FF0000"/>
                      <w:lang w:val="en-US" w:eastAsia="zh-CN"/>
                    </w:rPr>
                    <w:t>2.推进非电行业超低排放改造，建立主要污染物监管名录。</w:t>
                  </w:r>
                  <w:r>
                    <w:rPr>
                      <w:rFonts w:hint="default"/>
                      <w:color w:val="FF0000"/>
                      <w:lang w:val="en-US" w:eastAsia="zh-CN"/>
                    </w:rPr>
                    <w:br w:type="textWrapping"/>
                  </w:r>
                  <w:r>
                    <w:rPr>
                      <w:rFonts w:hint="default"/>
                      <w:color w:val="FF0000"/>
                      <w:lang w:val="en-US" w:eastAsia="zh-CN"/>
                    </w:rPr>
                    <w:t>3.加强移动源管理，柴油货车安装卫星定位监控装置。</w:t>
                  </w:r>
                </w:p>
              </w:tc>
              <w:tc>
                <w:tcPr>
                  <w:tcW w:w="2518" w:type="pct"/>
                  <w:tcBorders>
                    <w:tl2br w:val="nil"/>
                    <w:tr2bl w:val="nil"/>
                  </w:tcBorders>
                  <w:shd w:val="clear" w:color="auto" w:fill="auto"/>
                  <w:tcMar>
                    <w:top w:w="135" w:type="dxa"/>
                    <w:left w:w="270" w:type="dxa"/>
                    <w:bottom w:w="135" w:type="dxa"/>
                    <w:right w:w="270" w:type="dxa"/>
                  </w:tcMar>
                  <w:vAlign w:val="center"/>
                </w:tcPr>
                <w:p w14:paraId="155CBDD1">
                  <w:pPr>
                    <w:pStyle w:val="87"/>
                    <w:spacing w:line="240" w:lineRule="auto"/>
                    <w:jc w:val="center"/>
                    <w:rPr>
                      <w:color w:val="FF0000"/>
                    </w:rPr>
                  </w:pPr>
                  <w:r>
                    <w:rPr>
                      <w:rFonts w:hint="default"/>
                      <w:color w:val="FF0000"/>
                      <w:lang w:val="en-US" w:eastAsia="zh-CN"/>
                    </w:rPr>
                    <w:t>1.项目废油液抽排、制冷剂回收过程产生VOCs，经集气罩+二级活性炭吸附处理后达标排放（DA001排气筒），符合VOCs治理要求。</w:t>
                  </w:r>
                  <w:r>
                    <w:rPr>
                      <w:rFonts w:hint="default"/>
                      <w:color w:val="FF0000"/>
                      <w:lang w:val="en-US" w:eastAsia="zh-CN"/>
                    </w:rPr>
                    <w:br w:type="textWrapping"/>
                  </w:r>
                  <w:r>
                    <w:rPr>
                      <w:rFonts w:hint="default"/>
                      <w:color w:val="FF0000"/>
                      <w:lang w:val="en-US" w:eastAsia="zh-CN"/>
                    </w:rPr>
                    <w:t>2.拆解车间为封闭式，破碎粉尘经袋式除尘处理（DA002排气筒），无组织排放控制满足《大气污染物综合排放标准》。</w:t>
                  </w:r>
                  <w:r>
                    <w:rPr>
                      <w:rFonts w:hint="default"/>
                      <w:color w:val="FF0000"/>
                      <w:lang w:val="en-US" w:eastAsia="zh-CN"/>
                    </w:rPr>
                    <w:br w:type="textWrapping"/>
                  </w:r>
                  <w:r>
                    <w:rPr>
                      <w:rFonts w:hint="default"/>
                      <w:color w:val="FF0000"/>
                      <w:lang w:val="en-US" w:eastAsia="zh-CN"/>
                    </w:rPr>
                    <w:t>3.厂内无柴油货车；接收的报废车辆运输由第三方负责，符合“公转铁”引导方向。</w:t>
                  </w:r>
                </w:p>
              </w:tc>
              <w:tc>
                <w:tcPr>
                  <w:tcW w:w="517" w:type="pct"/>
                  <w:tcBorders>
                    <w:tl2br w:val="nil"/>
                    <w:tr2bl w:val="nil"/>
                  </w:tcBorders>
                  <w:shd w:val="clear" w:color="auto" w:fill="auto"/>
                  <w:tcMar>
                    <w:top w:w="135" w:type="dxa"/>
                    <w:left w:w="270" w:type="dxa"/>
                    <w:bottom w:w="135" w:type="dxa"/>
                    <w:right w:w="270" w:type="dxa"/>
                  </w:tcMar>
                  <w:vAlign w:val="center"/>
                </w:tcPr>
                <w:p w14:paraId="21EAB274">
                  <w:pPr>
                    <w:pStyle w:val="87"/>
                    <w:spacing w:line="240" w:lineRule="auto"/>
                    <w:jc w:val="center"/>
                    <w:rPr>
                      <w:color w:val="FF0000"/>
                    </w:rPr>
                  </w:pPr>
                  <w:r>
                    <w:rPr>
                      <w:color w:val="FF0000"/>
                    </w:rPr>
                    <w:t>符合</w:t>
                  </w:r>
                </w:p>
              </w:tc>
            </w:tr>
            <w:tr w14:paraId="05297198">
              <w:tblPrEx>
                <w:tblBorders>
                  <w:top w:val="double" w:color="000000" w:themeColor="text1" w:sz="4" w:space="0"/>
                  <w:left w:val="none" w:color="auto" w:sz="0" w:space="0"/>
                  <w:bottom w:val="double" w:color="000000" w:themeColor="text1" w:sz="4" w:space="0"/>
                  <w:right w:val="none" w:color="auto" w:sz="0" w:space="0"/>
                  <w:insideH w:val="single" w:color="000000" w:themeColor="text1" w:sz="4" w:space="0"/>
                  <w:insideV w:val="single" w:color="000000" w:themeColor="text1" w:sz="4" w:space="0"/>
                </w:tblBorders>
                <w:tblCellMar>
                  <w:top w:w="15" w:type="dxa"/>
                  <w:left w:w="15" w:type="dxa"/>
                  <w:bottom w:w="15" w:type="dxa"/>
                  <w:right w:w="15" w:type="dxa"/>
                </w:tblCellMar>
              </w:tblPrEx>
              <w:trPr>
                <w:trHeight w:val="0" w:hRule="atLeast"/>
                <w:jc w:val="center"/>
              </w:trPr>
              <w:tc>
                <w:tcPr>
                  <w:tcW w:w="1963" w:type="pct"/>
                  <w:tcBorders>
                    <w:tl2br w:val="nil"/>
                    <w:tr2bl w:val="nil"/>
                  </w:tcBorders>
                  <w:shd w:val="clear" w:color="auto" w:fill="auto"/>
                  <w:tcMar>
                    <w:top w:w="135" w:type="dxa"/>
                    <w:left w:w="270" w:type="dxa"/>
                    <w:bottom w:w="135" w:type="dxa"/>
                    <w:right w:w="270" w:type="dxa"/>
                  </w:tcMar>
                  <w:vAlign w:val="center"/>
                </w:tcPr>
                <w:p w14:paraId="5532261E">
                  <w:pPr>
                    <w:pStyle w:val="87"/>
                    <w:spacing w:line="240" w:lineRule="auto"/>
                    <w:jc w:val="center"/>
                    <w:rPr>
                      <w:color w:val="FF0000"/>
                    </w:rPr>
                  </w:pPr>
                  <w:r>
                    <w:rPr>
                      <w:rFonts w:hint="default"/>
                      <w:color w:val="FF0000"/>
                      <w:lang w:val="en-US" w:eastAsia="zh-CN"/>
                    </w:rPr>
                    <w:t>三、水生态环境治理</w:t>
                  </w:r>
                  <w:r>
                    <w:rPr>
                      <w:rFonts w:hint="default"/>
                      <w:color w:val="FF0000"/>
                      <w:lang w:val="en-US" w:eastAsia="zh-CN"/>
                    </w:rPr>
                    <w:br w:type="textWrapping"/>
                  </w:r>
                  <w:r>
                    <w:rPr>
                      <w:rFonts w:hint="default"/>
                      <w:color w:val="FF0000"/>
                      <w:lang w:val="en-US" w:eastAsia="zh-CN"/>
                    </w:rPr>
                    <w:t>1.推进城镇污水集中处理，2025年新增城镇污水日处理能力15.5万吨。</w:t>
                  </w:r>
                  <w:r>
                    <w:rPr>
                      <w:rFonts w:hint="default"/>
                      <w:color w:val="FF0000"/>
                      <w:lang w:val="en-US" w:eastAsia="zh-CN"/>
                    </w:rPr>
                    <w:br w:type="textWrapping"/>
                  </w:r>
                  <w:r>
                    <w:rPr>
                      <w:rFonts w:hint="default"/>
                      <w:color w:val="FF0000"/>
                      <w:lang w:val="en-US" w:eastAsia="zh-CN"/>
                    </w:rPr>
                    <w:t>2.加强工业废水治理，现有工业园区污水厂2023年稳定达标运行。</w:t>
                  </w:r>
                  <w:r>
                    <w:rPr>
                      <w:rFonts w:hint="default"/>
                      <w:color w:val="FF0000"/>
                      <w:lang w:val="en-US" w:eastAsia="zh-CN"/>
                    </w:rPr>
                    <w:br w:type="textWrapping"/>
                  </w:r>
                  <w:r>
                    <w:rPr>
                      <w:rFonts w:hint="default"/>
                      <w:color w:val="FF0000"/>
                      <w:lang w:val="en-US" w:eastAsia="zh-CN"/>
                    </w:rPr>
                    <w:t>3.实施节水措施，2025年万元工业增加值用水量下降10%。</w:t>
                  </w:r>
                </w:p>
              </w:tc>
              <w:tc>
                <w:tcPr>
                  <w:tcW w:w="2518" w:type="pct"/>
                  <w:tcBorders>
                    <w:tl2br w:val="nil"/>
                    <w:tr2bl w:val="nil"/>
                  </w:tcBorders>
                  <w:shd w:val="clear" w:color="auto" w:fill="auto"/>
                  <w:tcMar>
                    <w:top w:w="135" w:type="dxa"/>
                    <w:left w:w="270" w:type="dxa"/>
                    <w:bottom w:w="135" w:type="dxa"/>
                    <w:right w:w="270" w:type="dxa"/>
                  </w:tcMar>
                  <w:vAlign w:val="center"/>
                </w:tcPr>
                <w:p w14:paraId="5B7202FE">
                  <w:pPr>
                    <w:pStyle w:val="87"/>
                    <w:spacing w:line="240" w:lineRule="auto"/>
                    <w:jc w:val="center"/>
                    <w:rPr>
                      <w:color w:val="FF0000"/>
                    </w:rPr>
                  </w:pPr>
                  <w:r>
                    <w:rPr>
                      <w:rFonts w:hint="default"/>
                      <w:color w:val="FF0000"/>
                      <w:lang w:val="en-US" w:eastAsia="zh-CN"/>
                    </w:rPr>
                    <w:t>1.项目废水（清洗废水、初期雨水）经自建污水处理站（处理规模</w:t>
                  </w:r>
                  <w:r>
                    <w:rPr>
                      <w:rFonts w:hint="default"/>
                      <w:color w:val="FF0000"/>
                      <w:highlight w:val="none"/>
                      <w:lang w:val="en-US" w:eastAsia="zh-CN"/>
                    </w:rPr>
                    <w:t>10t/d</w:t>
                  </w:r>
                  <w:r>
                    <w:rPr>
                      <w:rFonts w:hint="default"/>
                      <w:color w:val="FF0000"/>
                      <w:lang w:val="en-US" w:eastAsia="zh-CN"/>
                    </w:rPr>
                    <w:t>）预处理，达《辽宁省污水综合排放标准》后纳管排入北票市污水处理厂，不新增区域污水处理压力。</w:t>
                  </w:r>
                  <w:r>
                    <w:rPr>
                      <w:rFonts w:hint="default"/>
                      <w:color w:val="FF0000"/>
                      <w:lang w:val="en-US" w:eastAsia="zh-CN"/>
                    </w:rPr>
                    <w:br w:type="textWrapping"/>
                  </w:r>
                  <w:r>
                    <w:rPr>
                      <w:rFonts w:hint="default"/>
                      <w:color w:val="FF0000"/>
                      <w:lang w:val="en-US" w:eastAsia="zh-CN"/>
                    </w:rPr>
                    <w:t>2.无工业废水直排，符合“园区污水集中处理”导向。</w:t>
                  </w:r>
                  <w:r>
                    <w:rPr>
                      <w:rFonts w:hint="default"/>
                      <w:color w:val="FF0000"/>
                      <w:lang w:val="en-US" w:eastAsia="zh-CN"/>
                    </w:rPr>
                    <w:br w:type="textWrapping"/>
                  </w:r>
                  <w:r>
                    <w:rPr>
                      <w:rFonts w:hint="default"/>
                      <w:color w:val="FF0000"/>
                      <w:lang w:val="en-US" w:eastAsia="zh-CN"/>
                    </w:rPr>
                    <w:t>3.采用节水喷枪清洗车辆，拆解过程无高耗水工序，万元工业增加值用水量远低于区域平均水平。</w:t>
                  </w:r>
                </w:p>
              </w:tc>
              <w:tc>
                <w:tcPr>
                  <w:tcW w:w="517" w:type="pct"/>
                  <w:tcBorders>
                    <w:tl2br w:val="nil"/>
                    <w:tr2bl w:val="nil"/>
                  </w:tcBorders>
                  <w:shd w:val="clear" w:color="auto" w:fill="auto"/>
                  <w:tcMar>
                    <w:top w:w="135" w:type="dxa"/>
                    <w:left w:w="270" w:type="dxa"/>
                    <w:bottom w:w="135" w:type="dxa"/>
                    <w:right w:w="270" w:type="dxa"/>
                  </w:tcMar>
                  <w:vAlign w:val="center"/>
                </w:tcPr>
                <w:p w14:paraId="3FE9BDF7">
                  <w:pPr>
                    <w:pStyle w:val="87"/>
                    <w:spacing w:line="240" w:lineRule="auto"/>
                    <w:jc w:val="center"/>
                    <w:rPr>
                      <w:color w:val="FF0000"/>
                    </w:rPr>
                  </w:pPr>
                  <w:r>
                    <w:rPr>
                      <w:color w:val="FF0000"/>
                    </w:rPr>
                    <w:t>符合</w:t>
                  </w:r>
                </w:p>
              </w:tc>
            </w:tr>
            <w:tr w14:paraId="17B45A94">
              <w:tblPrEx>
                <w:tblBorders>
                  <w:top w:val="double" w:color="000000" w:themeColor="text1" w:sz="4" w:space="0"/>
                  <w:left w:val="none" w:color="auto" w:sz="0" w:space="0"/>
                  <w:bottom w:val="double" w:color="000000" w:themeColor="text1" w:sz="4" w:space="0"/>
                  <w:right w:val="none" w:color="auto" w:sz="0" w:space="0"/>
                  <w:insideH w:val="single" w:color="000000" w:themeColor="text1" w:sz="4" w:space="0"/>
                  <w:insideV w:val="single" w:color="000000" w:themeColor="text1" w:sz="4" w:space="0"/>
                </w:tblBorders>
                <w:tblCellMar>
                  <w:top w:w="15" w:type="dxa"/>
                  <w:left w:w="15" w:type="dxa"/>
                  <w:bottom w:w="15" w:type="dxa"/>
                  <w:right w:w="15" w:type="dxa"/>
                </w:tblCellMar>
              </w:tblPrEx>
              <w:trPr>
                <w:trHeight w:val="0" w:hRule="atLeast"/>
                <w:jc w:val="center"/>
              </w:trPr>
              <w:tc>
                <w:tcPr>
                  <w:tcW w:w="1963" w:type="pct"/>
                  <w:tcBorders>
                    <w:tl2br w:val="nil"/>
                    <w:tr2bl w:val="nil"/>
                  </w:tcBorders>
                  <w:shd w:val="clear" w:color="auto" w:fill="auto"/>
                  <w:tcMar>
                    <w:top w:w="135" w:type="dxa"/>
                    <w:left w:w="270" w:type="dxa"/>
                    <w:bottom w:w="135" w:type="dxa"/>
                    <w:right w:w="270" w:type="dxa"/>
                  </w:tcMar>
                  <w:vAlign w:val="center"/>
                </w:tcPr>
                <w:p w14:paraId="15833E90">
                  <w:pPr>
                    <w:pStyle w:val="87"/>
                    <w:spacing w:line="240" w:lineRule="auto"/>
                    <w:jc w:val="center"/>
                    <w:rPr>
                      <w:color w:val="FF0000"/>
                    </w:rPr>
                  </w:pPr>
                  <w:r>
                    <w:rPr>
                      <w:rFonts w:hint="default"/>
                      <w:color w:val="FF0000"/>
                      <w:lang w:val="en-US" w:eastAsia="zh-CN"/>
                    </w:rPr>
                    <w:t>四、土壤污染防治（P36-37）</w:t>
                  </w:r>
                  <w:r>
                    <w:rPr>
                      <w:rFonts w:hint="default"/>
                      <w:color w:val="FF0000"/>
                      <w:lang w:val="en-US" w:eastAsia="zh-CN"/>
                    </w:rPr>
                    <w:br w:type="textWrapping"/>
                  </w:r>
                  <w:r>
                    <w:rPr>
                      <w:rFonts w:hint="default"/>
                      <w:color w:val="FF0000"/>
                      <w:lang w:val="en-US" w:eastAsia="zh-CN"/>
                    </w:rPr>
                    <w:t>1.强化建设用地风险管控，污染地块安全利用率≥90%。</w:t>
                  </w:r>
                  <w:r>
                    <w:rPr>
                      <w:rFonts w:hint="default"/>
                      <w:color w:val="FF0000"/>
                      <w:lang w:val="en-US" w:eastAsia="zh-CN"/>
                    </w:rPr>
                    <w:br w:type="textWrapping"/>
                  </w:r>
                  <w:r>
                    <w:rPr>
                      <w:rFonts w:hint="default"/>
                      <w:color w:val="FF0000"/>
                      <w:lang w:val="en-US" w:eastAsia="zh-CN"/>
                    </w:rPr>
                    <w:t>2.危险废物贮存场所需满足防渗、防漏要求，建立管理台账。</w:t>
                  </w:r>
                </w:p>
              </w:tc>
              <w:tc>
                <w:tcPr>
                  <w:tcW w:w="2518" w:type="pct"/>
                  <w:tcBorders>
                    <w:tl2br w:val="nil"/>
                    <w:tr2bl w:val="nil"/>
                  </w:tcBorders>
                  <w:shd w:val="clear" w:color="auto" w:fill="auto"/>
                  <w:tcMar>
                    <w:top w:w="135" w:type="dxa"/>
                    <w:left w:w="270" w:type="dxa"/>
                    <w:bottom w:w="135" w:type="dxa"/>
                    <w:right w:w="270" w:type="dxa"/>
                  </w:tcMar>
                  <w:vAlign w:val="center"/>
                </w:tcPr>
                <w:p w14:paraId="2FB32E1F">
                  <w:pPr>
                    <w:pStyle w:val="87"/>
                    <w:spacing w:line="240" w:lineRule="auto"/>
                    <w:jc w:val="center"/>
                    <w:rPr>
                      <w:color w:val="FF0000"/>
                    </w:rPr>
                  </w:pPr>
                  <w:r>
                    <w:rPr>
                      <w:rFonts w:hint="default"/>
                      <w:color w:val="FF0000"/>
                      <w:lang w:val="en-US" w:eastAsia="zh-CN"/>
                    </w:rPr>
                    <w:t>1.项目租用原有工业厂房（非污染地块），拆解车间等重点区域按GB18597要求进行重点防渗（渗透系数≤10⁻⁷cm/s）。</w:t>
                  </w:r>
                  <w:r>
                    <w:rPr>
                      <w:rFonts w:hint="default"/>
                      <w:color w:val="FF0000"/>
                      <w:lang w:val="en-US" w:eastAsia="zh-CN"/>
                    </w:rPr>
                    <w:br w:type="textWrapping"/>
                  </w:r>
                  <w:r>
                    <w:rPr>
                      <w:rFonts w:hint="default"/>
                      <w:color w:val="FF0000"/>
                      <w:lang w:val="en-US" w:eastAsia="zh-CN"/>
                    </w:rPr>
                    <w:t>2.危废分类暂存于</w:t>
                  </w:r>
                  <w:r>
                    <w:rPr>
                      <w:rFonts w:hint="eastAsia"/>
                      <w:color w:val="FF0000"/>
                      <w:lang w:val="en-US" w:eastAsia="zh-CN"/>
                    </w:rPr>
                    <w:t>危废贮存点</w:t>
                  </w:r>
                  <w:r>
                    <w:rPr>
                      <w:rFonts w:hint="default"/>
                      <w:color w:val="FF0000"/>
                      <w:lang w:val="en-US" w:eastAsia="zh-CN"/>
                    </w:rPr>
                    <w:t>，定期交资质单位处置；建立危废出入库台账。</w:t>
                  </w:r>
                </w:p>
              </w:tc>
              <w:tc>
                <w:tcPr>
                  <w:tcW w:w="517" w:type="pct"/>
                  <w:tcBorders>
                    <w:tl2br w:val="nil"/>
                    <w:tr2bl w:val="nil"/>
                  </w:tcBorders>
                  <w:shd w:val="clear" w:color="auto" w:fill="auto"/>
                  <w:tcMar>
                    <w:top w:w="135" w:type="dxa"/>
                    <w:left w:w="270" w:type="dxa"/>
                    <w:bottom w:w="135" w:type="dxa"/>
                    <w:right w:w="270" w:type="dxa"/>
                  </w:tcMar>
                  <w:vAlign w:val="center"/>
                </w:tcPr>
                <w:p w14:paraId="07FD33AE">
                  <w:pPr>
                    <w:pStyle w:val="87"/>
                    <w:spacing w:line="240" w:lineRule="auto"/>
                    <w:jc w:val="center"/>
                    <w:rPr>
                      <w:color w:val="FF0000"/>
                    </w:rPr>
                  </w:pPr>
                  <w:r>
                    <w:rPr>
                      <w:color w:val="FF0000"/>
                    </w:rPr>
                    <w:t>符合</w:t>
                  </w:r>
                </w:p>
              </w:tc>
            </w:tr>
            <w:tr w14:paraId="07DD1EBA">
              <w:tblPrEx>
                <w:tblBorders>
                  <w:top w:val="double" w:color="000000" w:themeColor="text1" w:sz="4" w:space="0"/>
                  <w:left w:val="none" w:color="auto" w:sz="0" w:space="0"/>
                  <w:bottom w:val="double" w:color="000000" w:themeColor="text1" w:sz="4" w:space="0"/>
                  <w:right w:val="none" w:color="auto" w:sz="0" w:space="0"/>
                  <w:insideH w:val="single" w:color="000000" w:themeColor="text1" w:sz="4" w:space="0"/>
                  <w:insideV w:val="single" w:color="000000" w:themeColor="text1" w:sz="4" w:space="0"/>
                </w:tblBorders>
                <w:shd w:val="clear" w:color="auto" w:fill="FFFFFF"/>
                <w:tblCellMar>
                  <w:top w:w="15" w:type="dxa"/>
                  <w:left w:w="15" w:type="dxa"/>
                  <w:bottom w:w="15" w:type="dxa"/>
                  <w:right w:w="15" w:type="dxa"/>
                </w:tblCellMar>
              </w:tblPrEx>
              <w:trPr>
                <w:trHeight w:val="0" w:hRule="atLeast"/>
                <w:jc w:val="center"/>
              </w:trPr>
              <w:tc>
                <w:tcPr>
                  <w:tcW w:w="1963" w:type="pct"/>
                  <w:tcBorders>
                    <w:tl2br w:val="nil"/>
                    <w:tr2bl w:val="nil"/>
                  </w:tcBorders>
                  <w:shd w:val="clear" w:color="auto" w:fill="auto"/>
                  <w:tcMar>
                    <w:top w:w="135" w:type="dxa"/>
                    <w:left w:w="270" w:type="dxa"/>
                    <w:bottom w:w="135" w:type="dxa"/>
                    <w:right w:w="270" w:type="dxa"/>
                  </w:tcMar>
                  <w:vAlign w:val="center"/>
                </w:tcPr>
                <w:p w14:paraId="5AEF1D0D">
                  <w:pPr>
                    <w:pStyle w:val="87"/>
                    <w:spacing w:line="240" w:lineRule="auto"/>
                    <w:jc w:val="center"/>
                    <w:rPr>
                      <w:color w:val="FF0000"/>
                    </w:rPr>
                  </w:pPr>
                  <w:r>
                    <w:rPr>
                      <w:rFonts w:hint="default"/>
                      <w:color w:val="FF0000"/>
                      <w:lang w:val="en-US" w:eastAsia="zh-CN"/>
                    </w:rPr>
                    <w:t>五、固废与“无废城市”建设</w:t>
                  </w:r>
                  <w:r>
                    <w:rPr>
                      <w:rFonts w:hint="default"/>
                      <w:color w:val="FF0000"/>
                      <w:lang w:val="en-US" w:eastAsia="zh-CN"/>
                    </w:rPr>
                    <w:br w:type="textWrapping"/>
                  </w:r>
                  <w:r>
                    <w:rPr>
                      <w:rFonts w:hint="default"/>
                      <w:color w:val="FF0000"/>
                      <w:lang w:val="en-US" w:eastAsia="zh-CN"/>
                    </w:rPr>
                    <w:t>1. 推进“无废城市”建设，促进固废源头减量和资源化利用。</w:t>
                  </w:r>
                  <w:r>
                    <w:rPr>
                      <w:rFonts w:hint="default"/>
                      <w:color w:val="FF0000"/>
                      <w:lang w:val="en-US" w:eastAsia="zh-CN"/>
                    </w:rPr>
                    <w:br w:type="textWrapping"/>
                  </w:r>
                  <w:r>
                    <w:rPr>
                      <w:rFonts w:hint="default"/>
                      <w:color w:val="FF0000"/>
                      <w:lang w:val="en-US" w:eastAsia="zh-CN"/>
                    </w:rPr>
                    <w:t>2.危险废物处置率达100%，完善全过程监管体系。</w:t>
                  </w:r>
                </w:p>
              </w:tc>
              <w:tc>
                <w:tcPr>
                  <w:tcW w:w="2518" w:type="pct"/>
                  <w:tcBorders>
                    <w:tl2br w:val="nil"/>
                    <w:tr2bl w:val="nil"/>
                  </w:tcBorders>
                  <w:shd w:val="clear" w:color="auto" w:fill="auto"/>
                  <w:tcMar>
                    <w:top w:w="135" w:type="dxa"/>
                    <w:left w:w="270" w:type="dxa"/>
                    <w:bottom w:w="135" w:type="dxa"/>
                    <w:right w:w="270" w:type="dxa"/>
                  </w:tcMar>
                  <w:vAlign w:val="center"/>
                </w:tcPr>
                <w:p w14:paraId="0D5FA142">
                  <w:pPr>
                    <w:pStyle w:val="87"/>
                    <w:spacing w:line="240" w:lineRule="auto"/>
                    <w:jc w:val="center"/>
                    <w:rPr>
                      <w:color w:val="FF0000"/>
                    </w:rPr>
                  </w:pPr>
                  <w:r>
                    <w:rPr>
                      <w:rFonts w:hint="default"/>
                      <w:color w:val="FF0000"/>
                      <w:lang w:val="en-US" w:eastAsia="zh-CN"/>
                    </w:rPr>
                    <w:t>1.项目拆解产物综合利用率100%：</w:t>
                  </w:r>
                  <w:r>
                    <w:rPr>
                      <w:rFonts w:hint="eastAsia"/>
                      <w:color w:val="FF0000"/>
                      <w:lang w:val="en-US" w:eastAsia="zh-CN"/>
                    </w:rPr>
                    <w:t>可回用</w:t>
                  </w:r>
                  <w:r>
                    <w:rPr>
                      <w:rFonts w:hint="default"/>
                      <w:color w:val="FF0000"/>
                      <w:lang w:val="en-US" w:eastAsia="zh-CN"/>
                    </w:rPr>
                    <w:t>金属外售钢厂，</w:t>
                  </w:r>
                  <w:r>
                    <w:rPr>
                      <w:rFonts w:hint="eastAsia"/>
                      <w:color w:val="FF0000"/>
                      <w:lang w:val="en-US" w:eastAsia="zh-CN"/>
                    </w:rPr>
                    <w:t>可回用</w:t>
                  </w:r>
                  <w:r>
                    <w:rPr>
                      <w:rFonts w:hint="default"/>
                      <w:color w:val="FF0000"/>
                      <w:lang w:val="en-US" w:eastAsia="zh-CN"/>
                    </w:rPr>
                    <w:t>塑料/橡胶回收利用，</w:t>
                  </w:r>
                  <w:r>
                    <w:rPr>
                      <w:rFonts w:hint="eastAsia"/>
                      <w:color w:val="FF0000"/>
                      <w:lang w:val="en-US" w:eastAsia="zh-CN"/>
                    </w:rPr>
                    <w:t>动力电池</w:t>
                  </w:r>
                  <w:r>
                    <w:rPr>
                      <w:rFonts w:hint="default"/>
                      <w:color w:val="FF0000"/>
                      <w:lang w:val="en-US" w:eastAsia="zh-CN"/>
                    </w:rPr>
                    <w:t>合规再生利用，符合资源化要求。</w:t>
                  </w:r>
                  <w:r>
                    <w:rPr>
                      <w:rFonts w:hint="default"/>
                      <w:color w:val="FF0000"/>
                      <w:lang w:val="en-US" w:eastAsia="zh-CN"/>
                    </w:rPr>
                    <w:br w:type="textWrapping"/>
                  </w:r>
                  <w:r>
                    <w:rPr>
                      <w:rFonts w:hint="default"/>
                      <w:color w:val="FF0000"/>
                      <w:lang w:val="en-US" w:eastAsia="zh-CN"/>
                    </w:rPr>
                    <w:t>2.危废委托有资质单位处置，执行转移联单制度；一般固废交由专业单位清运，无非法倾倒。</w:t>
                  </w:r>
                </w:p>
              </w:tc>
              <w:tc>
                <w:tcPr>
                  <w:tcW w:w="517" w:type="pct"/>
                  <w:tcBorders>
                    <w:tl2br w:val="nil"/>
                    <w:tr2bl w:val="nil"/>
                  </w:tcBorders>
                  <w:shd w:val="clear" w:color="auto" w:fill="auto"/>
                  <w:tcMar>
                    <w:top w:w="135" w:type="dxa"/>
                    <w:left w:w="270" w:type="dxa"/>
                    <w:bottom w:w="135" w:type="dxa"/>
                    <w:right w:w="270" w:type="dxa"/>
                  </w:tcMar>
                  <w:vAlign w:val="center"/>
                </w:tcPr>
                <w:p w14:paraId="28BA22FD">
                  <w:pPr>
                    <w:pStyle w:val="87"/>
                    <w:spacing w:line="240" w:lineRule="auto"/>
                    <w:jc w:val="center"/>
                    <w:rPr>
                      <w:color w:val="FF0000"/>
                    </w:rPr>
                  </w:pPr>
                  <w:r>
                    <w:rPr>
                      <w:color w:val="FF0000"/>
                    </w:rPr>
                    <w:t>符合</w:t>
                  </w:r>
                </w:p>
              </w:tc>
            </w:tr>
            <w:tr w14:paraId="70FCC83E">
              <w:tblPrEx>
                <w:tblBorders>
                  <w:top w:val="double" w:color="000000" w:themeColor="text1" w:sz="4" w:space="0"/>
                  <w:left w:val="none" w:color="auto" w:sz="0" w:space="0"/>
                  <w:bottom w:val="double" w:color="000000" w:themeColor="text1" w:sz="4" w:space="0"/>
                  <w:right w:val="none" w:color="auto" w:sz="0" w:space="0"/>
                  <w:insideH w:val="single" w:color="000000" w:themeColor="text1" w:sz="4" w:space="0"/>
                  <w:insideV w:val="single" w:color="000000" w:themeColor="text1" w:sz="4" w:space="0"/>
                </w:tblBorders>
                <w:shd w:val="clear" w:color="auto" w:fill="FFFFFF"/>
                <w:tblCellMar>
                  <w:top w:w="15" w:type="dxa"/>
                  <w:left w:w="15" w:type="dxa"/>
                  <w:bottom w:w="15" w:type="dxa"/>
                  <w:right w:w="15" w:type="dxa"/>
                </w:tblCellMar>
              </w:tblPrEx>
              <w:trPr>
                <w:trHeight w:val="0" w:hRule="atLeast"/>
                <w:jc w:val="center"/>
              </w:trPr>
              <w:tc>
                <w:tcPr>
                  <w:tcW w:w="1963" w:type="pct"/>
                  <w:tcBorders>
                    <w:tl2br w:val="nil"/>
                    <w:tr2bl w:val="nil"/>
                  </w:tcBorders>
                  <w:shd w:val="clear" w:color="auto" w:fill="auto"/>
                  <w:tcMar>
                    <w:top w:w="135" w:type="dxa"/>
                    <w:left w:w="270" w:type="dxa"/>
                    <w:bottom w:w="135" w:type="dxa"/>
                    <w:right w:w="270" w:type="dxa"/>
                  </w:tcMar>
                  <w:vAlign w:val="center"/>
                </w:tcPr>
                <w:p w14:paraId="28D9078A">
                  <w:pPr>
                    <w:pStyle w:val="87"/>
                    <w:spacing w:line="240" w:lineRule="auto"/>
                    <w:jc w:val="center"/>
                    <w:rPr>
                      <w:color w:val="FF0000"/>
                    </w:rPr>
                  </w:pPr>
                  <w:r>
                    <w:rPr>
                      <w:rFonts w:hint="default"/>
                      <w:color w:val="FF0000"/>
                      <w:lang w:val="en-US" w:eastAsia="zh-CN"/>
                    </w:rPr>
                    <w:t>六、环境风险防控</w:t>
                  </w:r>
                  <w:r>
                    <w:rPr>
                      <w:rFonts w:hint="default"/>
                      <w:color w:val="FF0000"/>
                      <w:lang w:val="en-US" w:eastAsia="zh-CN"/>
                    </w:rPr>
                    <w:br w:type="textWrapping"/>
                  </w:r>
                  <w:r>
                    <w:rPr>
                      <w:rFonts w:hint="default"/>
                      <w:color w:val="FF0000"/>
                      <w:lang w:val="en-US" w:eastAsia="zh-CN"/>
                    </w:rPr>
                    <w:t>1.强化危险废物及化工企业监管，防范产业转移污染风险。</w:t>
                  </w:r>
                  <w:r>
                    <w:rPr>
                      <w:rFonts w:hint="default"/>
                      <w:color w:val="FF0000"/>
                      <w:lang w:val="en-US" w:eastAsia="zh-CN"/>
                    </w:rPr>
                    <w:br w:type="textWrapping"/>
                  </w:r>
                  <w:r>
                    <w:rPr>
                      <w:rFonts w:hint="default"/>
                      <w:color w:val="FF0000"/>
                      <w:lang w:val="en-US" w:eastAsia="zh-CN"/>
                    </w:rPr>
                    <w:t>2.建立突发环境事件应急预案，定期开展演练。</w:t>
                  </w:r>
                </w:p>
              </w:tc>
              <w:tc>
                <w:tcPr>
                  <w:tcW w:w="2518" w:type="pct"/>
                  <w:tcBorders>
                    <w:tl2br w:val="nil"/>
                    <w:tr2bl w:val="nil"/>
                  </w:tcBorders>
                  <w:shd w:val="clear" w:color="auto" w:fill="auto"/>
                  <w:tcMar>
                    <w:top w:w="135" w:type="dxa"/>
                    <w:left w:w="270" w:type="dxa"/>
                    <w:bottom w:w="135" w:type="dxa"/>
                    <w:right w:w="270" w:type="dxa"/>
                  </w:tcMar>
                  <w:vAlign w:val="center"/>
                </w:tcPr>
                <w:p w14:paraId="4D3B0934">
                  <w:pPr>
                    <w:pStyle w:val="87"/>
                    <w:spacing w:line="240" w:lineRule="auto"/>
                    <w:jc w:val="center"/>
                    <w:rPr>
                      <w:color w:val="FF0000"/>
                    </w:rPr>
                  </w:pPr>
                  <w:r>
                    <w:rPr>
                      <w:rFonts w:hint="default"/>
                      <w:color w:val="FF0000"/>
                      <w:lang w:val="en-US" w:eastAsia="zh-CN"/>
                    </w:rPr>
                    <w:t>1.项目</w:t>
                  </w:r>
                  <w:r>
                    <w:rPr>
                      <w:rFonts w:hint="eastAsia"/>
                      <w:color w:val="FF0000"/>
                      <w:lang w:val="en-US" w:eastAsia="zh-CN"/>
                    </w:rPr>
                    <w:t>危废贮存点</w:t>
                  </w:r>
                  <w:r>
                    <w:rPr>
                      <w:rFonts w:hint="default"/>
                      <w:color w:val="FF0000"/>
                      <w:lang w:val="en-US" w:eastAsia="zh-CN"/>
                    </w:rPr>
                    <w:t>按规范建设，远离敏感目标；不涉及化工生产，无重大环境风险源。</w:t>
                  </w:r>
                  <w:r>
                    <w:rPr>
                      <w:rFonts w:hint="default"/>
                      <w:color w:val="FF0000"/>
                      <w:lang w:val="en-US" w:eastAsia="zh-CN"/>
                    </w:rPr>
                    <w:br w:type="textWrapping"/>
                  </w:r>
                  <w:r>
                    <w:rPr>
                      <w:rFonts w:hint="default"/>
                      <w:color w:val="FF0000"/>
                      <w:lang w:val="en-US" w:eastAsia="zh-CN"/>
                    </w:rPr>
                    <w:t>2.编制突发环境事件应急预案，设置事故应急池（240m³）、初期雨水池（200m³），配备消防沙等应急物资。</w:t>
                  </w:r>
                </w:p>
              </w:tc>
              <w:tc>
                <w:tcPr>
                  <w:tcW w:w="517" w:type="pct"/>
                  <w:tcBorders>
                    <w:tl2br w:val="nil"/>
                    <w:tr2bl w:val="nil"/>
                  </w:tcBorders>
                  <w:shd w:val="clear" w:color="auto" w:fill="auto"/>
                  <w:tcMar>
                    <w:top w:w="135" w:type="dxa"/>
                    <w:left w:w="270" w:type="dxa"/>
                    <w:bottom w:w="135" w:type="dxa"/>
                    <w:right w:w="270" w:type="dxa"/>
                  </w:tcMar>
                  <w:vAlign w:val="center"/>
                </w:tcPr>
                <w:p w14:paraId="6CDCE2FC">
                  <w:pPr>
                    <w:pStyle w:val="87"/>
                    <w:spacing w:line="240" w:lineRule="auto"/>
                    <w:jc w:val="center"/>
                    <w:rPr>
                      <w:color w:val="FF0000"/>
                    </w:rPr>
                  </w:pPr>
                  <w:r>
                    <w:rPr>
                      <w:color w:val="FF0000"/>
                    </w:rPr>
                    <w:t>符合</w:t>
                  </w:r>
                </w:p>
              </w:tc>
            </w:tr>
            <w:tr w14:paraId="2607D75A">
              <w:tblPrEx>
                <w:tblBorders>
                  <w:top w:val="double" w:color="000000" w:themeColor="text1" w:sz="4" w:space="0"/>
                  <w:left w:val="none" w:color="auto" w:sz="0" w:space="0"/>
                  <w:bottom w:val="double" w:color="000000" w:themeColor="text1" w:sz="4" w:space="0"/>
                  <w:right w:val="none" w:color="auto" w:sz="0" w:space="0"/>
                  <w:insideH w:val="single" w:color="000000" w:themeColor="text1" w:sz="4" w:space="0"/>
                  <w:insideV w:val="single" w:color="000000" w:themeColor="text1" w:sz="4" w:space="0"/>
                </w:tblBorders>
                <w:shd w:val="clear" w:color="auto" w:fill="FFFFFF"/>
                <w:tblCellMar>
                  <w:top w:w="15" w:type="dxa"/>
                  <w:left w:w="15" w:type="dxa"/>
                  <w:bottom w:w="15" w:type="dxa"/>
                  <w:right w:w="15" w:type="dxa"/>
                </w:tblCellMar>
              </w:tblPrEx>
              <w:trPr>
                <w:trHeight w:val="0" w:hRule="atLeast"/>
                <w:jc w:val="center"/>
              </w:trPr>
              <w:tc>
                <w:tcPr>
                  <w:tcW w:w="1963" w:type="pct"/>
                  <w:tcBorders>
                    <w:tl2br w:val="nil"/>
                    <w:tr2bl w:val="nil"/>
                  </w:tcBorders>
                  <w:shd w:val="clear" w:color="auto" w:fill="auto"/>
                  <w:tcMar>
                    <w:top w:w="135" w:type="dxa"/>
                    <w:left w:w="270" w:type="dxa"/>
                    <w:bottom w:w="135" w:type="dxa"/>
                    <w:right w:w="270" w:type="dxa"/>
                  </w:tcMar>
                  <w:vAlign w:val="center"/>
                </w:tcPr>
                <w:p w14:paraId="110C9C6B">
                  <w:pPr>
                    <w:pStyle w:val="87"/>
                    <w:spacing w:line="240" w:lineRule="auto"/>
                    <w:jc w:val="center"/>
                    <w:rPr>
                      <w:color w:val="FF0000"/>
                    </w:rPr>
                  </w:pPr>
                  <w:r>
                    <w:rPr>
                      <w:rFonts w:hint="default"/>
                      <w:color w:val="FF0000"/>
                      <w:lang w:val="en-US" w:eastAsia="zh-CN"/>
                    </w:rPr>
                    <w:t>七、生态空间管控（P38-41）</w:t>
                  </w:r>
                  <w:r>
                    <w:rPr>
                      <w:rFonts w:hint="default"/>
                      <w:color w:val="FF0000"/>
                      <w:lang w:val="en-US" w:eastAsia="zh-CN"/>
                    </w:rPr>
                    <w:br w:type="textWrapping"/>
                  </w:r>
                  <w:r>
                    <w:rPr>
                      <w:rFonts w:hint="default"/>
                      <w:color w:val="FF0000"/>
                      <w:lang w:val="en-US" w:eastAsia="zh-CN"/>
                    </w:rPr>
                    <w:t>1.严守生态保护红线，禁止在自然保护地、水源保护区开发。</w:t>
                  </w:r>
                  <w:r>
                    <w:rPr>
                      <w:rFonts w:hint="default"/>
                      <w:color w:val="FF0000"/>
                      <w:lang w:val="en-US" w:eastAsia="zh-CN"/>
                    </w:rPr>
                    <w:br w:type="textWrapping"/>
                  </w:r>
                  <w:r>
                    <w:rPr>
                      <w:rFonts w:hint="default"/>
                      <w:color w:val="FF0000"/>
                      <w:lang w:val="en-US" w:eastAsia="zh-CN"/>
                    </w:rPr>
                    <w:t>2.矿山修复区限制新增工业活动。</w:t>
                  </w:r>
                </w:p>
              </w:tc>
              <w:tc>
                <w:tcPr>
                  <w:tcW w:w="2518" w:type="pct"/>
                  <w:tcBorders>
                    <w:tl2br w:val="nil"/>
                    <w:tr2bl w:val="nil"/>
                  </w:tcBorders>
                  <w:shd w:val="clear" w:color="auto" w:fill="auto"/>
                  <w:tcMar>
                    <w:top w:w="135" w:type="dxa"/>
                    <w:left w:w="270" w:type="dxa"/>
                    <w:bottom w:w="135" w:type="dxa"/>
                    <w:right w:w="270" w:type="dxa"/>
                  </w:tcMar>
                  <w:vAlign w:val="center"/>
                </w:tcPr>
                <w:p w14:paraId="699EA8C3">
                  <w:pPr>
                    <w:pStyle w:val="87"/>
                    <w:spacing w:line="240" w:lineRule="auto"/>
                    <w:jc w:val="center"/>
                    <w:rPr>
                      <w:color w:val="FF0000"/>
                    </w:rPr>
                  </w:pPr>
                  <w:r>
                    <w:rPr>
                      <w:rFonts w:hint="default"/>
                      <w:color w:val="FF0000"/>
                      <w:lang w:val="en-US" w:eastAsia="zh-CN"/>
                    </w:rPr>
                    <w:t>项目选址位于北票市工业用地（非生态红线区），距大黑山保护区27km、白石水库水源保护区2.88km（非一级保护区），不涉及矿山修复区域。</w:t>
                  </w:r>
                </w:p>
              </w:tc>
              <w:tc>
                <w:tcPr>
                  <w:tcW w:w="517" w:type="pct"/>
                  <w:tcBorders>
                    <w:tl2br w:val="nil"/>
                    <w:tr2bl w:val="nil"/>
                  </w:tcBorders>
                  <w:shd w:val="clear" w:color="auto" w:fill="auto"/>
                  <w:tcMar>
                    <w:top w:w="135" w:type="dxa"/>
                    <w:left w:w="270" w:type="dxa"/>
                    <w:bottom w:w="135" w:type="dxa"/>
                    <w:right w:w="270" w:type="dxa"/>
                  </w:tcMar>
                  <w:vAlign w:val="center"/>
                </w:tcPr>
                <w:p w14:paraId="4A933DB7">
                  <w:pPr>
                    <w:pStyle w:val="87"/>
                    <w:spacing w:line="240" w:lineRule="auto"/>
                    <w:jc w:val="center"/>
                    <w:rPr>
                      <w:color w:val="FF0000"/>
                    </w:rPr>
                  </w:pPr>
                  <w:r>
                    <w:rPr>
                      <w:color w:val="FF0000"/>
                    </w:rPr>
                    <w:t>符合</w:t>
                  </w:r>
                </w:p>
              </w:tc>
            </w:tr>
          </w:tbl>
          <w:p w14:paraId="4D64B214">
            <w:pPr>
              <w:adjustRightInd w:val="0"/>
              <w:snapToGrid w:val="0"/>
              <w:spacing w:line="360" w:lineRule="auto"/>
              <w:rPr>
                <w:b/>
                <w:bCs/>
                <w:sz w:val="24"/>
                <w:lang w:bidi="zh-CN"/>
              </w:rPr>
            </w:pPr>
            <w:r>
              <w:rPr>
                <w:rFonts w:hint="eastAsia"/>
                <w:b/>
                <w:bCs/>
                <w:sz w:val="24"/>
              </w:rPr>
              <w:t>9.</w:t>
            </w:r>
            <w:r>
              <w:rPr>
                <w:b/>
                <w:bCs/>
                <w:sz w:val="24"/>
                <w:lang w:bidi="zh-CN"/>
              </w:rPr>
              <w:t>本项目与《空气质量持续改善行动计划》（国发〔2023〕24号）的相符性分析见下表。</w:t>
            </w:r>
          </w:p>
          <w:p w14:paraId="2B108607">
            <w:pPr>
              <w:adjustRightInd w:val="0"/>
              <w:snapToGrid w:val="0"/>
              <w:jc w:val="center"/>
              <w:rPr>
                <w:b/>
                <w:bCs/>
                <w:szCs w:val="21"/>
                <w:lang w:bidi="zh-CN"/>
              </w:rPr>
            </w:pPr>
            <w:r>
              <w:rPr>
                <w:b/>
                <w:bCs/>
                <w:szCs w:val="21"/>
                <w:lang w:bidi="zh-CN"/>
              </w:rPr>
              <w:t>表1-</w:t>
            </w:r>
            <w:r>
              <w:rPr>
                <w:rFonts w:hint="eastAsia"/>
                <w:b/>
                <w:bCs/>
                <w:szCs w:val="21"/>
                <w:lang w:bidi="zh-CN"/>
              </w:rPr>
              <w:t>12</w:t>
            </w:r>
            <w:r>
              <w:rPr>
                <w:b/>
                <w:bCs/>
                <w:szCs w:val="21"/>
                <w:lang w:bidi="zh-CN"/>
              </w:rPr>
              <w:t xml:space="preserve">    与“计划”相符性分析</w:t>
            </w:r>
          </w:p>
          <w:tbl>
            <w:tblPr>
              <w:tblStyle w:val="34"/>
              <w:tblW w:w="4998" w:type="pct"/>
              <w:jc w:val="center"/>
              <w:tblBorders>
                <w:top w:val="double" w:color="000000" w:sz="4" w:space="0"/>
                <w:left w:val="none" w:color="auto" w:sz="0" w:space="0"/>
                <w:bottom w:val="double" w:color="000000" w:sz="4" w:space="0"/>
                <w:right w:val="none" w:color="auto" w:sz="0" w:space="0"/>
                <w:insideH w:val="single" w:color="000000" w:sz="2" w:space="0"/>
                <w:insideV w:val="single" w:color="000000" w:sz="2" w:space="0"/>
              </w:tblBorders>
              <w:tblLayout w:type="autofit"/>
              <w:tblCellMar>
                <w:top w:w="0" w:type="dxa"/>
                <w:left w:w="0" w:type="dxa"/>
                <w:bottom w:w="0" w:type="dxa"/>
                <w:right w:w="0" w:type="dxa"/>
              </w:tblCellMar>
            </w:tblPr>
            <w:tblGrid>
              <w:gridCol w:w="239"/>
              <w:gridCol w:w="4462"/>
              <w:gridCol w:w="2566"/>
              <w:gridCol w:w="264"/>
            </w:tblGrid>
            <w:tr w14:paraId="5ADE3A39">
              <w:tblPrEx>
                <w:tblBorders>
                  <w:top w:val="double" w:color="000000" w:sz="4" w:space="0"/>
                  <w:left w:val="none" w:color="auto" w:sz="0" w:space="0"/>
                  <w:bottom w:val="double" w:color="000000" w:sz="4"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23" w:hRule="atLeast"/>
                <w:jc w:val="center"/>
              </w:trPr>
              <w:tc>
                <w:tcPr>
                  <w:tcW w:w="159" w:type="pct"/>
                  <w:vAlign w:val="center"/>
                </w:tcPr>
                <w:p w14:paraId="33F28F70">
                  <w:pPr>
                    <w:widowControl/>
                    <w:jc w:val="center"/>
                    <w:rPr>
                      <w:kern w:val="0"/>
                      <w:szCs w:val="21"/>
                      <w:lang w:val="zh-CN" w:bidi="ar"/>
                    </w:rPr>
                  </w:pPr>
                  <w:r>
                    <w:rPr>
                      <w:kern w:val="0"/>
                      <w:szCs w:val="21"/>
                      <w:lang w:val="zh-CN" w:bidi="ar"/>
                    </w:rPr>
                    <w:t>序号</w:t>
                  </w:r>
                </w:p>
              </w:tc>
              <w:tc>
                <w:tcPr>
                  <w:tcW w:w="2961" w:type="pct"/>
                  <w:vAlign w:val="center"/>
                </w:tcPr>
                <w:p w14:paraId="7B758DCE">
                  <w:pPr>
                    <w:widowControl/>
                    <w:jc w:val="center"/>
                    <w:rPr>
                      <w:kern w:val="0"/>
                      <w:szCs w:val="21"/>
                      <w:lang w:val="zh-CN" w:bidi="ar"/>
                    </w:rPr>
                  </w:pPr>
                  <w:r>
                    <w:rPr>
                      <w:kern w:val="0"/>
                      <w:szCs w:val="21"/>
                      <w:lang w:val="zh-CN" w:bidi="ar"/>
                    </w:rPr>
                    <w:t>文件相关内容</w:t>
                  </w:r>
                </w:p>
              </w:tc>
              <w:tc>
                <w:tcPr>
                  <w:tcW w:w="1703" w:type="pct"/>
                  <w:vAlign w:val="center"/>
                </w:tcPr>
                <w:p w14:paraId="67CE1B09">
                  <w:pPr>
                    <w:widowControl/>
                    <w:jc w:val="center"/>
                    <w:rPr>
                      <w:kern w:val="0"/>
                      <w:szCs w:val="21"/>
                      <w:lang w:val="zh-CN" w:bidi="ar"/>
                    </w:rPr>
                  </w:pPr>
                  <w:r>
                    <w:rPr>
                      <w:kern w:val="0"/>
                      <w:szCs w:val="21"/>
                      <w:lang w:val="zh-CN" w:bidi="ar"/>
                    </w:rPr>
                    <w:t>项目情况</w:t>
                  </w:r>
                </w:p>
              </w:tc>
              <w:tc>
                <w:tcPr>
                  <w:tcW w:w="175" w:type="pct"/>
                  <w:vAlign w:val="center"/>
                </w:tcPr>
                <w:p w14:paraId="68F00434">
                  <w:pPr>
                    <w:widowControl/>
                    <w:jc w:val="center"/>
                    <w:rPr>
                      <w:kern w:val="0"/>
                      <w:szCs w:val="21"/>
                      <w:lang w:val="zh-CN" w:bidi="ar"/>
                    </w:rPr>
                  </w:pPr>
                  <w:r>
                    <w:rPr>
                      <w:kern w:val="0"/>
                      <w:szCs w:val="21"/>
                      <w:lang w:val="zh-CN" w:bidi="ar"/>
                    </w:rPr>
                    <w:t>符合</w:t>
                  </w:r>
                  <w:r>
                    <w:rPr>
                      <w:rFonts w:hint="eastAsia"/>
                      <w:kern w:val="0"/>
                      <w:szCs w:val="21"/>
                      <w:lang w:val="zh-CN" w:bidi="ar"/>
                    </w:rPr>
                    <w:t>性</w:t>
                  </w:r>
                </w:p>
              </w:tc>
            </w:tr>
            <w:tr w14:paraId="45FDE78D">
              <w:tblPrEx>
                <w:tblBorders>
                  <w:top w:val="double" w:color="000000" w:sz="4" w:space="0"/>
                  <w:left w:val="none" w:color="auto" w:sz="0" w:space="0"/>
                  <w:bottom w:val="double" w:color="000000" w:sz="4"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23" w:hRule="atLeast"/>
                <w:jc w:val="center"/>
              </w:trPr>
              <w:tc>
                <w:tcPr>
                  <w:tcW w:w="159" w:type="pct"/>
                  <w:vAlign w:val="center"/>
                </w:tcPr>
                <w:p w14:paraId="1A6C75CD">
                  <w:pPr>
                    <w:widowControl/>
                    <w:jc w:val="center"/>
                    <w:rPr>
                      <w:kern w:val="0"/>
                      <w:szCs w:val="21"/>
                      <w:lang w:val="zh-CN" w:bidi="ar"/>
                    </w:rPr>
                  </w:pPr>
                  <w:r>
                    <w:rPr>
                      <w:kern w:val="0"/>
                      <w:szCs w:val="21"/>
                      <w:lang w:val="zh-CN" w:bidi="ar"/>
                    </w:rPr>
                    <w:t>1</w:t>
                  </w:r>
                </w:p>
              </w:tc>
              <w:tc>
                <w:tcPr>
                  <w:tcW w:w="2961" w:type="pct"/>
                  <w:vAlign w:val="center"/>
                </w:tcPr>
                <w:p w14:paraId="4DEFEBD3">
                  <w:pPr>
                    <w:widowControl/>
                    <w:jc w:val="center"/>
                    <w:rPr>
                      <w:kern w:val="0"/>
                      <w:szCs w:val="21"/>
                      <w:lang w:val="zh-CN" w:bidi="ar"/>
                    </w:rPr>
                  </w:pPr>
                  <w:r>
                    <w:rPr>
                      <w:rFonts w:hint="eastAsia"/>
                      <w:kern w:val="0"/>
                      <w:szCs w:val="21"/>
                      <w:lang w:val="zh-CN" w:bidi="ar"/>
                    </w:rPr>
                    <w:t>二、</w:t>
                  </w:r>
                  <w:r>
                    <w:rPr>
                      <w:kern w:val="0"/>
                      <w:szCs w:val="21"/>
                      <w:lang w:val="zh-CN" w:bidi="ar"/>
                    </w:rPr>
                    <w:t>优化产业结构，促进产业产品绿色升级</w:t>
                  </w:r>
                </w:p>
                <w:p w14:paraId="0836D9E5">
                  <w:pPr>
                    <w:widowControl/>
                    <w:jc w:val="center"/>
                    <w:rPr>
                      <w:kern w:val="0"/>
                      <w:szCs w:val="21"/>
                      <w:lang w:val="zh-CN" w:bidi="ar"/>
                    </w:rPr>
                  </w:pPr>
                  <w:r>
                    <w:rPr>
                      <w:kern w:val="0"/>
                      <w:szCs w:val="21"/>
                      <w:lang w:val="zh-CN" w:bidi="ar"/>
                    </w:rPr>
                    <w:t>坚决遏制高耗能、高排放、低水平项目盲目上马。新改扩建项目严格落实国家产业规划、产业政策、生态环境分区管控方案、规划环评、项目环评、节能审查、产能置换、重点污染物总量控制、污染物排放区域削减、碳排放达峰目标等相关要求，原则上采用清洁运输方式。涉及产能置换的项目，被置换产能及其配套设施关停后，新建项目方可投产。</w:t>
                  </w:r>
                </w:p>
              </w:tc>
              <w:tc>
                <w:tcPr>
                  <w:tcW w:w="1703" w:type="pct"/>
                  <w:vAlign w:val="center"/>
                </w:tcPr>
                <w:p w14:paraId="3B51CA4F">
                  <w:pPr>
                    <w:widowControl/>
                    <w:jc w:val="center"/>
                    <w:rPr>
                      <w:kern w:val="0"/>
                      <w:szCs w:val="21"/>
                      <w:lang w:val="zh-CN" w:bidi="ar"/>
                    </w:rPr>
                  </w:pPr>
                  <w:r>
                    <w:rPr>
                      <w:kern w:val="0"/>
                      <w:szCs w:val="21"/>
                      <w:lang w:val="zh-CN" w:bidi="ar"/>
                    </w:rPr>
                    <w:t>本项目为废弃资源综合利用项目，不属于高污染、高能耗项目</w:t>
                  </w:r>
                  <w:r>
                    <w:rPr>
                      <w:rFonts w:hint="eastAsia"/>
                      <w:kern w:val="0"/>
                      <w:szCs w:val="21"/>
                      <w:lang w:val="zh-CN" w:bidi="ar"/>
                    </w:rPr>
                    <w:t>。</w:t>
                  </w:r>
                </w:p>
              </w:tc>
              <w:tc>
                <w:tcPr>
                  <w:tcW w:w="175" w:type="pct"/>
                  <w:vAlign w:val="center"/>
                </w:tcPr>
                <w:p w14:paraId="4BCB014E">
                  <w:pPr>
                    <w:widowControl/>
                    <w:jc w:val="center"/>
                    <w:rPr>
                      <w:kern w:val="0"/>
                      <w:szCs w:val="21"/>
                      <w:lang w:val="zh-CN" w:bidi="ar"/>
                    </w:rPr>
                  </w:pPr>
                  <w:r>
                    <w:rPr>
                      <w:kern w:val="0"/>
                      <w:szCs w:val="21"/>
                      <w:lang w:val="zh-CN" w:bidi="ar"/>
                    </w:rPr>
                    <w:t>符合</w:t>
                  </w:r>
                </w:p>
              </w:tc>
            </w:tr>
            <w:tr w14:paraId="34E967B7">
              <w:tblPrEx>
                <w:tblBorders>
                  <w:top w:val="double" w:color="000000" w:sz="4" w:space="0"/>
                  <w:left w:val="none" w:color="auto" w:sz="0" w:space="0"/>
                  <w:bottom w:val="double" w:color="000000" w:sz="4"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23" w:hRule="atLeast"/>
                <w:jc w:val="center"/>
              </w:trPr>
              <w:tc>
                <w:tcPr>
                  <w:tcW w:w="159" w:type="pct"/>
                  <w:vAlign w:val="center"/>
                </w:tcPr>
                <w:p w14:paraId="38A8DA60">
                  <w:pPr>
                    <w:widowControl/>
                    <w:jc w:val="center"/>
                    <w:rPr>
                      <w:kern w:val="0"/>
                      <w:szCs w:val="21"/>
                      <w:lang w:val="zh-CN" w:bidi="ar"/>
                    </w:rPr>
                  </w:pPr>
                  <w:r>
                    <w:rPr>
                      <w:kern w:val="0"/>
                      <w:szCs w:val="21"/>
                      <w:lang w:val="zh-CN" w:bidi="ar"/>
                    </w:rPr>
                    <w:t>2</w:t>
                  </w:r>
                </w:p>
              </w:tc>
              <w:tc>
                <w:tcPr>
                  <w:tcW w:w="2961" w:type="pct"/>
                  <w:vAlign w:val="center"/>
                </w:tcPr>
                <w:p w14:paraId="40CE59A9">
                  <w:pPr>
                    <w:widowControl/>
                    <w:jc w:val="center"/>
                    <w:rPr>
                      <w:kern w:val="0"/>
                      <w:szCs w:val="21"/>
                      <w:lang w:val="zh-CN" w:bidi="ar"/>
                    </w:rPr>
                  </w:pPr>
                  <w:r>
                    <w:rPr>
                      <w:rFonts w:hint="eastAsia"/>
                      <w:kern w:val="0"/>
                      <w:szCs w:val="21"/>
                      <w:lang w:val="zh-CN" w:bidi="ar"/>
                    </w:rPr>
                    <w:t>二、</w:t>
                  </w:r>
                  <w:r>
                    <w:rPr>
                      <w:kern w:val="0"/>
                      <w:szCs w:val="21"/>
                      <w:lang w:val="zh-CN" w:bidi="ar"/>
                    </w:rPr>
                    <w:t>优化产业结构，促进产业产品绿色升级</w:t>
                  </w:r>
                </w:p>
                <w:p w14:paraId="4752787E">
                  <w:pPr>
                    <w:widowControl/>
                    <w:jc w:val="center"/>
                    <w:rPr>
                      <w:kern w:val="0"/>
                      <w:szCs w:val="21"/>
                      <w:lang w:val="zh-CN" w:bidi="ar"/>
                    </w:rPr>
                  </w:pPr>
                  <w:r>
                    <w:rPr>
                      <w:kern w:val="0"/>
                      <w:szCs w:val="21"/>
                      <w:lang w:val="zh-CN" w:bidi="ar"/>
                    </w:rPr>
                    <w:t>加快退出重点行业落后产能。修订《产业结构调整指导目录》，研究将污染物或温室气体排放明显高出行业平均水平、能效和清洁生产水平低的工艺和装备纳入淘汰类和限制类名单。重点区域进一步提高落后产能能耗、环保、质量、安全、技术等要求，逐步退出限制类涉气行业工艺和装备；逐步淘汰步进式烧结机和球团竖炉以及半封闭式硅锰合金、镍铁、高碳铬铁、高碳锰铁电炉。引导重点区域钢铁、焦化、电解铝等产业有序调整优化。</w:t>
                  </w:r>
                </w:p>
              </w:tc>
              <w:tc>
                <w:tcPr>
                  <w:tcW w:w="1703" w:type="pct"/>
                  <w:vAlign w:val="center"/>
                </w:tcPr>
                <w:p w14:paraId="41E55A48">
                  <w:pPr>
                    <w:widowControl/>
                    <w:jc w:val="center"/>
                    <w:rPr>
                      <w:kern w:val="0"/>
                      <w:szCs w:val="21"/>
                      <w:lang w:val="zh-CN" w:bidi="ar"/>
                    </w:rPr>
                  </w:pPr>
                  <w:r>
                    <w:rPr>
                      <w:kern w:val="0"/>
                      <w:szCs w:val="21"/>
                      <w:lang w:val="zh-CN" w:bidi="ar"/>
                    </w:rPr>
                    <w:t>经对照《产业结构调整指导目录（2024年版）》，本项目属于鼓励类项目。</w:t>
                  </w:r>
                </w:p>
                <w:p w14:paraId="16C55433">
                  <w:pPr>
                    <w:widowControl/>
                    <w:jc w:val="center"/>
                    <w:rPr>
                      <w:kern w:val="0"/>
                      <w:szCs w:val="21"/>
                      <w:lang w:val="zh-CN" w:bidi="ar"/>
                    </w:rPr>
                  </w:pPr>
                  <w:r>
                    <w:rPr>
                      <w:kern w:val="0"/>
                      <w:szCs w:val="21"/>
                      <w:lang w:val="zh-CN" w:bidi="ar"/>
                    </w:rPr>
                    <w:t>本项目生产废气采取可行技术处理后，最终可实现达标排放。</w:t>
                  </w:r>
                </w:p>
              </w:tc>
              <w:tc>
                <w:tcPr>
                  <w:tcW w:w="175" w:type="pct"/>
                  <w:vAlign w:val="center"/>
                </w:tcPr>
                <w:p w14:paraId="2B3BEC6A">
                  <w:pPr>
                    <w:widowControl/>
                    <w:jc w:val="center"/>
                    <w:rPr>
                      <w:kern w:val="0"/>
                      <w:szCs w:val="21"/>
                      <w:lang w:val="zh-CN" w:bidi="ar"/>
                    </w:rPr>
                  </w:pPr>
                  <w:r>
                    <w:rPr>
                      <w:kern w:val="0"/>
                      <w:szCs w:val="21"/>
                      <w:lang w:val="zh-CN" w:bidi="ar"/>
                    </w:rPr>
                    <w:t>符合</w:t>
                  </w:r>
                </w:p>
              </w:tc>
            </w:tr>
            <w:tr w14:paraId="41F2C6DA">
              <w:tblPrEx>
                <w:tblBorders>
                  <w:top w:val="double" w:color="000000" w:sz="4" w:space="0"/>
                  <w:left w:val="none" w:color="auto" w:sz="0" w:space="0"/>
                  <w:bottom w:val="double" w:color="000000" w:sz="4"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23" w:hRule="atLeast"/>
                <w:jc w:val="center"/>
              </w:trPr>
              <w:tc>
                <w:tcPr>
                  <w:tcW w:w="159" w:type="pct"/>
                  <w:vAlign w:val="center"/>
                </w:tcPr>
                <w:p w14:paraId="793C9CB6">
                  <w:pPr>
                    <w:widowControl/>
                    <w:jc w:val="center"/>
                    <w:rPr>
                      <w:kern w:val="0"/>
                      <w:szCs w:val="21"/>
                      <w:lang w:val="zh-CN" w:bidi="ar"/>
                    </w:rPr>
                  </w:pPr>
                  <w:r>
                    <w:rPr>
                      <w:kern w:val="0"/>
                      <w:szCs w:val="21"/>
                      <w:lang w:val="zh-CN" w:bidi="ar"/>
                    </w:rPr>
                    <w:t>3</w:t>
                  </w:r>
                </w:p>
              </w:tc>
              <w:tc>
                <w:tcPr>
                  <w:tcW w:w="2961" w:type="pct"/>
                  <w:vAlign w:val="center"/>
                </w:tcPr>
                <w:p w14:paraId="2554EC07">
                  <w:pPr>
                    <w:widowControl/>
                    <w:jc w:val="center"/>
                    <w:rPr>
                      <w:kern w:val="0"/>
                      <w:szCs w:val="21"/>
                      <w:lang w:val="zh-CN" w:bidi="ar"/>
                    </w:rPr>
                  </w:pPr>
                  <w:r>
                    <w:rPr>
                      <w:kern w:val="0"/>
                      <w:szCs w:val="21"/>
                      <w:lang w:val="zh-CN" w:bidi="ar"/>
                    </w:rPr>
                    <w:t>优化能源结构，加速能源清洁低碳高效发展</w:t>
                  </w:r>
                </w:p>
                <w:p w14:paraId="45EF9066">
                  <w:pPr>
                    <w:widowControl/>
                    <w:jc w:val="center"/>
                    <w:rPr>
                      <w:kern w:val="0"/>
                      <w:szCs w:val="21"/>
                      <w:lang w:val="zh-CN" w:bidi="ar"/>
                    </w:rPr>
                  </w:pPr>
                  <w:r>
                    <w:rPr>
                      <w:kern w:val="0"/>
                      <w:szCs w:val="21"/>
                      <w:lang w:val="zh-CN" w:bidi="ar"/>
                    </w:rPr>
                    <w:t>大力发展新能源和清洁能源。到2025年，非化石能源消费比重达20%左右，电能占终端能源消费比重达30%左右。持续增加天然气生产供应，新增天然气优先保障居民生活和清洁取暖需求。</w:t>
                  </w:r>
                </w:p>
              </w:tc>
              <w:tc>
                <w:tcPr>
                  <w:tcW w:w="1703" w:type="pct"/>
                  <w:vAlign w:val="center"/>
                </w:tcPr>
                <w:p w14:paraId="12837A51">
                  <w:pPr>
                    <w:widowControl/>
                    <w:jc w:val="center"/>
                    <w:rPr>
                      <w:kern w:val="0"/>
                      <w:szCs w:val="21"/>
                      <w:lang w:val="zh-CN" w:bidi="ar"/>
                    </w:rPr>
                  </w:pPr>
                  <w:r>
                    <w:rPr>
                      <w:kern w:val="0"/>
                      <w:szCs w:val="21"/>
                      <w:lang w:val="zh-CN" w:bidi="ar"/>
                    </w:rPr>
                    <w:t>本项目使用的能源为电能、新鲜水</w:t>
                  </w:r>
                  <w:r>
                    <w:rPr>
                      <w:rFonts w:hint="eastAsia"/>
                      <w:kern w:val="0"/>
                      <w:szCs w:val="21"/>
                      <w:lang w:val="zh-CN" w:bidi="ar"/>
                    </w:rPr>
                    <w:t>等清洁能源</w:t>
                  </w:r>
                  <w:r>
                    <w:rPr>
                      <w:kern w:val="0"/>
                      <w:szCs w:val="21"/>
                      <w:lang w:val="zh-CN" w:bidi="ar"/>
                    </w:rPr>
                    <w:t>。</w:t>
                  </w:r>
                </w:p>
              </w:tc>
              <w:tc>
                <w:tcPr>
                  <w:tcW w:w="175" w:type="pct"/>
                  <w:vAlign w:val="center"/>
                </w:tcPr>
                <w:p w14:paraId="58F8200F">
                  <w:pPr>
                    <w:widowControl/>
                    <w:jc w:val="center"/>
                    <w:rPr>
                      <w:kern w:val="0"/>
                      <w:szCs w:val="21"/>
                      <w:lang w:val="zh-CN" w:bidi="ar"/>
                    </w:rPr>
                  </w:pPr>
                  <w:r>
                    <w:rPr>
                      <w:kern w:val="0"/>
                      <w:szCs w:val="21"/>
                      <w:lang w:val="zh-CN" w:bidi="ar"/>
                    </w:rPr>
                    <w:t>符合</w:t>
                  </w:r>
                </w:p>
              </w:tc>
            </w:tr>
            <w:tr w14:paraId="02778653">
              <w:tblPrEx>
                <w:tblBorders>
                  <w:top w:val="double" w:color="000000" w:sz="4" w:space="0"/>
                  <w:left w:val="none" w:color="auto" w:sz="0" w:space="0"/>
                  <w:bottom w:val="double" w:color="000000" w:sz="4"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23" w:hRule="atLeast"/>
                <w:jc w:val="center"/>
              </w:trPr>
              <w:tc>
                <w:tcPr>
                  <w:tcW w:w="159" w:type="pct"/>
                  <w:vAlign w:val="center"/>
                </w:tcPr>
                <w:p w14:paraId="19C36626">
                  <w:pPr>
                    <w:widowControl/>
                    <w:jc w:val="center"/>
                    <w:rPr>
                      <w:kern w:val="0"/>
                      <w:szCs w:val="21"/>
                      <w:lang w:val="zh-CN" w:bidi="ar"/>
                    </w:rPr>
                  </w:pPr>
                  <w:r>
                    <w:rPr>
                      <w:rFonts w:hint="eastAsia"/>
                      <w:kern w:val="0"/>
                      <w:szCs w:val="21"/>
                      <w:lang w:val="zh-CN" w:bidi="ar"/>
                    </w:rPr>
                    <w:t>4</w:t>
                  </w:r>
                </w:p>
              </w:tc>
              <w:tc>
                <w:tcPr>
                  <w:tcW w:w="2961" w:type="pct"/>
                  <w:vAlign w:val="center"/>
                </w:tcPr>
                <w:p w14:paraId="7832882F">
                  <w:pPr>
                    <w:widowControl/>
                    <w:jc w:val="center"/>
                    <w:rPr>
                      <w:kern w:val="0"/>
                      <w:szCs w:val="21"/>
                      <w:lang w:val="zh-CN" w:bidi="ar"/>
                    </w:rPr>
                  </w:pPr>
                  <w:r>
                    <w:rPr>
                      <w:kern w:val="0"/>
                      <w:szCs w:val="21"/>
                      <w:lang w:val="zh-CN" w:bidi="ar"/>
                    </w:rPr>
                    <w:t>五、强化面源污染治理，提升精细化管理水平</w:t>
                  </w:r>
                </w:p>
                <w:p w14:paraId="459F5EBF">
                  <w:pPr>
                    <w:widowControl/>
                    <w:jc w:val="center"/>
                    <w:rPr>
                      <w:kern w:val="0"/>
                      <w:szCs w:val="21"/>
                      <w:lang w:val="zh-CN" w:bidi="ar"/>
                    </w:rPr>
                  </w:pPr>
                  <w:r>
                    <w:rPr>
                      <w:kern w:val="0"/>
                      <w:szCs w:val="21"/>
                      <w:lang w:val="zh-CN" w:bidi="ar"/>
                    </w:rPr>
                    <w:t>深化扬尘污染综合治理。鼓励经济发达地区5000平方米及以上建筑工地安装视频监控并接入当地监管平台；重点区域道路、水务等长距离线性工程实行分段施工。将防治扬尘污染费用纳入工程造价。到2025年，装配式建筑占新建建筑面积比例达30%；地级及以上城市建成区道路机械化清扫率达80%左右，县城达70%左右。对城市公共裸地进行排查建档并采取防尘措施。城市大型煤炭、矿石等干散货码头物料堆场基本完成抑尘设施建设和物料输送系统封闭改造。</w:t>
                  </w:r>
                </w:p>
              </w:tc>
              <w:tc>
                <w:tcPr>
                  <w:tcW w:w="1703" w:type="pct"/>
                  <w:vAlign w:val="center"/>
                </w:tcPr>
                <w:p w14:paraId="0E029FFA">
                  <w:pPr>
                    <w:widowControl/>
                    <w:jc w:val="center"/>
                    <w:rPr>
                      <w:kern w:val="0"/>
                      <w:szCs w:val="21"/>
                      <w:lang w:val="zh-CN" w:bidi="ar"/>
                    </w:rPr>
                  </w:pPr>
                  <w:r>
                    <w:rPr>
                      <w:kern w:val="0"/>
                      <w:szCs w:val="21"/>
                      <w:lang w:val="zh-CN" w:bidi="ar"/>
                    </w:rPr>
                    <w:t>本项目厂内道路进行路面硬化，定期洒水抑尘。</w:t>
                  </w:r>
                </w:p>
              </w:tc>
              <w:tc>
                <w:tcPr>
                  <w:tcW w:w="175" w:type="pct"/>
                  <w:vAlign w:val="center"/>
                </w:tcPr>
                <w:p w14:paraId="15C00474">
                  <w:pPr>
                    <w:widowControl/>
                    <w:jc w:val="center"/>
                    <w:rPr>
                      <w:kern w:val="0"/>
                      <w:szCs w:val="21"/>
                      <w:lang w:val="zh-CN" w:bidi="ar"/>
                    </w:rPr>
                  </w:pPr>
                  <w:r>
                    <w:rPr>
                      <w:kern w:val="0"/>
                      <w:szCs w:val="21"/>
                      <w:lang w:val="zh-CN" w:bidi="ar"/>
                    </w:rPr>
                    <w:t>符合</w:t>
                  </w:r>
                </w:p>
              </w:tc>
            </w:tr>
            <w:tr w14:paraId="6357E0D4">
              <w:tblPrEx>
                <w:tblBorders>
                  <w:top w:val="double" w:color="000000" w:sz="4" w:space="0"/>
                  <w:left w:val="none" w:color="auto" w:sz="0" w:space="0"/>
                  <w:bottom w:val="double" w:color="000000" w:sz="4"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23" w:hRule="atLeast"/>
                <w:jc w:val="center"/>
              </w:trPr>
              <w:tc>
                <w:tcPr>
                  <w:tcW w:w="159" w:type="pct"/>
                  <w:vAlign w:val="center"/>
                </w:tcPr>
                <w:p w14:paraId="3E68C9C3">
                  <w:pPr>
                    <w:widowControl/>
                    <w:jc w:val="center"/>
                    <w:rPr>
                      <w:kern w:val="0"/>
                      <w:szCs w:val="21"/>
                      <w:lang w:val="zh-CN" w:bidi="ar"/>
                    </w:rPr>
                  </w:pPr>
                  <w:r>
                    <w:rPr>
                      <w:rFonts w:hint="eastAsia"/>
                      <w:kern w:val="0"/>
                      <w:szCs w:val="21"/>
                      <w:lang w:val="zh-CN" w:bidi="ar"/>
                    </w:rPr>
                    <w:t>5</w:t>
                  </w:r>
                </w:p>
              </w:tc>
              <w:tc>
                <w:tcPr>
                  <w:tcW w:w="2961" w:type="pct"/>
                  <w:vAlign w:val="center"/>
                </w:tcPr>
                <w:p w14:paraId="55110CBE">
                  <w:pPr>
                    <w:widowControl/>
                    <w:jc w:val="center"/>
                    <w:rPr>
                      <w:kern w:val="0"/>
                      <w:szCs w:val="21"/>
                      <w:lang w:val="zh-CN" w:bidi="ar"/>
                    </w:rPr>
                  </w:pPr>
                  <w:r>
                    <w:rPr>
                      <w:kern w:val="0"/>
                      <w:szCs w:val="21"/>
                      <w:lang w:val="zh-CN" w:bidi="ar"/>
                    </w:rPr>
                    <w:t>六、强化多污染物减排，切实降低排放强度强化 VOCs 全流程、全环节综合治理。鼓励储罐使用低泄漏的呼吸阀、紧急泄压阀，定期开展密封性 检测。汽车罐车推广使用密封式快速接头。</w:t>
                  </w:r>
                </w:p>
              </w:tc>
              <w:tc>
                <w:tcPr>
                  <w:tcW w:w="1703" w:type="pct"/>
                  <w:vAlign w:val="center"/>
                </w:tcPr>
                <w:p w14:paraId="0A22A9C5">
                  <w:pPr>
                    <w:widowControl/>
                    <w:jc w:val="center"/>
                    <w:rPr>
                      <w:kern w:val="0"/>
                      <w:szCs w:val="21"/>
                      <w:lang w:val="zh-CN" w:bidi="ar"/>
                    </w:rPr>
                  </w:pPr>
                  <w:r>
                    <w:rPr>
                      <w:kern w:val="0"/>
                      <w:szCs w:val="21"/>
                      <w:lang w:val="zh-CN" w:bidi="ar"/>
                    </w:rPr>
                    <w:t>本项目运营期废油液抽排过程产生的有机废气，经集气罩收集，二级活性炭箱处理后，通过</w:t>
                  </w:r>
                  <w:r>
                    <w:rPr>
                      <w:rFonts w:hint="eastAsia"/>
                      <w:kern w:val="0"/>
                      <w:szCs w:val="21"/>
                      <w:lang w:val="zh-CN" w:bidi="ar"/>
                    </w:rPr>
                    <w:t>26m排气筒</w:t>
                  </w:r>
                  <w:r>
                    <w:rPr>
                      <w:kern w:val="0"/>
                      <w:szCs w:val="21"/>
                      <w:lang w:val="zh-CN" w:bidi="ar"/>
                    </w:rPr>
                    <w:t>（DA001）达标排放，对环境影响较小。</w:t>
                  </w:r>
                </w:p>
              </w:tc>
              <w:tc>
                <w:tcPr>
                  <w:tcW w:w="175" w:type="pct"/>
                  <w:vAlign w:val="center"/>
                </w:tcPr>
                <w:p w14:paraId="6ED7AEC0">
                  <w:pPr>
                    <w:widowControl/>
                    <w:jc w:val="center"/>
                    <w:rPr>
                      <w:rFonts w:hint="eastAsia" w:eastAsia="宋体"/>
                      <w:kern w:val="0"/>
                      <w:szCs w:val="21"/>
                      <w:lang w:val="en-US" w:eastAsia="zh-CN" w:bidi="ar"/>
                    </w:rPr>
                  </w:pPr>
                  <w:r>
                    <w:rPr>
                      <w:rFonts w:hint="eastAsia"/>
                      <w:kern w:val="0"/>
                      <w:szCs w:val="21"/>
                      <w:lang w:val="en-US" w:eastAsia="zh-CN" w:bidi="ar"/>
                    </w:rPr>
                    <w:t>符合</w:t>
                  </w:r>
                </w:p>
              </w:tc>
            </w:tr>
          </w:tbl>
          <w:p w14:paraId="1A69A6E8">
            <w:pPr>
              <w:numPr>
                <w:ilvl w:val="0"/>
                <w:numId w:val="4"/>
              </w:numPr>
              <w:autoSpaceDE w:val="0"/>
              <w:autoSpaceDN w:val="0"/>
              <w:adjustRightInd w:val="0"/>
              <w:snapToGrid w:val="0"/>
              <w:spacing w:line="360" w:lineRule="auto"/>
              <w:jc w:val="left"/>
              <w:rPr>
                <w:b/>
                <w:bCs/>
                <w:sz w:val="24"/>
              </w:rPr>
            </w:pPr>
            <w:r>
              <w:rPr>
                <w:b/>
                <w:bCs/>
                <w:sz w:val="24"/>
                <w:lang w:bidi="zh-CN"/>
              </w:rPr>
              <w:t>本项目</w:t>
            </w:r>
            <w:r>
              <w:rPr>
                <w:b/>
                <w:bCs/>
                <w:sz w:val="24"/>
              </w:rPr>
              <w:t>与《“十四五”噪声污染防治行动计划》相符性分析</w:t>
            </w:r>
          </w:p>
          <w:p w14:paraId="6234C7DA">
            <w:pPr>
              <w:ind w:firstLine="422" w:firstLineChars="200"/>
              <w:jc w:val="center"/>
              <w:rPr>
                <w:b/>
                <w:bCs/>
                <w:szCs w:val="21"/>
              </w:rPr>
            </w:pPr>
            <w:r>
              <w:rPr>
                <w:b/>
                <w:bCs/>
                <w:szCs w:val="21"/>
              </w:rPr>
              <w:t>表1-</w:t>
            </w:r>
            <w:r>
              <w:rPr>
                <w:rFonts w:hint="eastAsia"/>
                <w:b/>
                <w:bCs/>
                <w:szCs w:val="21"/>
              </w:rPr>
              <w:t>13</w:t>
            </w:r>
            <w:r>
              <w:rPr>
                <w:b/>
                <w:bCs/>
                <w:szCs w:val="21"/>
              </w:rPr>
              <w:t xml:space="preserve">  与“计划”相符性分析</w:t>
            </w:r>
          </w:p>
          <w:tbl>
            <w:tblPr>
              <w:tblStyle w:val="34"/>
              <w:tblW w:w="4998" w:type="pct"/>
              <w:tblInd w:w="0" w:type="dxa"/>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5426"/>
              <w:gridCol w:w="1445"/>
              <w:gridCol w:w="660"/>
            </w:tblGrid>
            <w:tr w14:paraId="0BD25E6B">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3602" w:type="pct"/>
                  <w:tcBorders>
                    <w:tl2br w:val="nil"/>
                    <w:tr2bl w:val="nil"/>
                  </w:tcBorders>
                  <w:vAlign w:val="center"/>
                </w:tcPr>
                <w:p w14:paraId="1DE3F188">
                  <w:pPr>
                    <w:widowControl/>
                    <w:jc w:val="center"/>
                    <w:rPr>
                      <w:szCs w:val="21"/>
                    </w:rPr>
                  </w:pPr>
                  <w:r>
                    <w:rPr>
                      <w:kern w:val="0"/>
                      <w:szCs w:val="21"/>
                      <w:lang w:bidi="ar"/>
                    </w:rPr>
                    <w:t>规划重点任务要求</w:t>
                  </w:r>
                </w:p>
              </w:tc>
              <w:tc>
                <w:tcPr>
                  <w:tcW w:w="959" w:type="pct"/>
                  <w:tcBorders>
                    <w:tl2br w:val="nil"/>
                    <w:tr2bl w:val="nil"/>
                  </w:tcBorders>
                  <w:vAlign w:val="center"/>
                </w:tcPr>
                <w:p w14:paraId="4CB5A122">
                  <w:pPr>
                    <w:jc w:val="center"/>
                    <w:rPr>
                      <w:szCs w:val="21"/>
                    </w:rPr>
                  </w:pPr>
                  <w:r>
                    <w:rPr>
                      <w:kern w:val="0"/>
                      <w:szCs w:val="21"/>
                      <w:lang w:bidi="ar"/>
                    </w:rPr>
                    <w:t>本项目情况</w:t>
                  </w:r>
                </w:p>
              </w:tc>
              <w:tc>
                <w:tcPr>
                  <w:tcW w:w="438" w:type="pct"/>
                  <w:tcBorders>
                    <w:tl2br w:val="nil"/>
                    <w:tr2bl w:val="nil"/>
                  </w:tcBorders>
                  <w:vAlign w:val="center"/>
                </w:tcPr>
                <w:p w14:paraId="6EF36E10">
                  <w:pPr>
                    <w:widowControl/>
                    <w:jc w:val="center"/>
                    <w:rPr>
                      <w:szCs w:val="21"/>
                    </w:rPr>
                  </w:pPr>
                  <w:r>
                    <w:rPr>
                      <w:szCs w:val="21"/>
                    </w:rPr>
                    <w:t>相符性</w:t>
                  </w:r>
                </w:p>
              </w:tc>
            </w:tr>
            <w:tr w14:paraId="6CD228F3">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3602" w:type="pct"/>
                  <w:tcBorders>
                    <w:tl2br w:val="nil"/>
                    <w:tr2bl w:val="nil"/>
                  </w:tcBorders>
                  <w:vAlign w:val="center"/>
                </w:tcPr>
                <w:p w14:paraId="207CD310">
                  <w:pPr>
                    <w:widowControl/>
                    <w:jc w:val="center"/>
                    <w:rPr>
                      <w:kern w:val="0"/>
                      <w:szCs w:val="21"/>
                      <w:lang w:bidi="ar"/>
                    </w:rPr>
                  </w:pPr>
                  <w:r>
                    <w:rPr>
                      <w:kern w:val="0"/>
                      <w:szCs w:val="21"/>
                      <w:lang w:bidi="ar"/>
                    </w:rPr>
                    <w:t>（七）统筹噪声源管控</w:t>
                  </w:r>
                </w:p>
                <w:p w14:paraId="6FB9DC62">
                  <w:pPr>
                    <w:widowControl/>
                    <w:jc w:val="center"/>
                    <w:rPr>
                      <w:kern w:val="0"/>
                      <w:szCs w:val="21"/>
                      <w:lang w:bidi="ar"/>
                    </w:rPr>
                  </w:pPr>
                  <w:r>
                    <w:rPr>
                      <w:kern w:val="0"/>
                      <w:szCs w:val="21"/>
                      <w:lang w:bidi="ar"/>
                    </w:rPr>
                    <w:t>8．严格落实噪声污染防治要求。制定修改相关规划、建设对环境有影响的项目时，应依法开展环评，对可能产生噪声与振动的影响进行分析、预测和评估，积极采取噪声污染防治对策措施。建设项目的噪声污染防治设施应当与主体工程同时设计、同时施工、同时投产使用。督促建设单位依法开展竣工环境保护验收，加大事中事后监管力度，确保各项措施落地见效。（生态环境部、自然资源部、住房城乡建设部、交通运输部、铁路局、民航局、中国国家铁路集团有限公司等按职责负责）</w:t>
                  </w:r>
                </w:p>
              </w:tc>
              <w:tc>
                <w:tcPr>
                  <w:tcW w:w="959" w:type="pct"/>
                  <w:tcBorders>
                    <w:tl2br w:val="nil"/>
                    <w:tr2bl w:val="nil"/>
                  </w:tcBorders>
                  <w:vAlign w:val="center"/>
                </w:tcPr>
                <w:p w14:paraId="4848980F">
                  <w:pPr>
                    <w:widowControl/>
                    <w:jc w:val="center"/>
                    <w:rPr>
                      <w:kern w:val="0"/>
                      <w:szCs w:val="21"/>
                      <w:lang w:bidi="ar"/>
                    </w:rPr>
                  </w:pPr>
                  <w:r>
                    <w:rPr>
                      <w:kern w:val="0"/>
                      <w:szCs w:val="21"/>
                      <w:lang w:bidi="ar"/>
                    </w:rPr>
                    <w:t>本项目依法开展环评，对可能产生噪声与振动的影响进行分析、预测和评估，给出了噪声污染防治对策措施。</w:t>
                  </w:r>
                </w:p>
              </w:tc>
              <w:tc>
                <w:tcPr>
                  <w:tcW w:w="438" w:type="pct"/>
                  <w:tcBorders>
                    <w:tl2br w:val="nil"/>
                    <w:tr2bl w:val="nil"/>
                  </w:tcBorders>
                  <w:vAlign w:val="center"/>
                </w:tcPr>
                <w:p w14:paraId="23FE460D">
                  <w:pPr>
                    <w:widowControl/>
                    <w:jc w:val="center"/>
                    <w:rPr>
                      <w:kern w:val="0"/>
                      <w:szCs w:val="21"/>
                      <w:lang w:bidi="ar"/>
                    </w:rPr>
                  </w:pPr>
                  <w:r>
                    <w:rPr>
                      <w:kern w:val="0"/>
                      <w:szCs w:val="21"/>
                      <w:lang w:bidi="ar"/>
                    </w:rPr>
                    <w:t>符合</w:t>
                  </w:r>
                </w:p>
              </w:tc>
            </w:tr>
            <w:tr w14:paraId="6A4AD181">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3602" w:type="pct"/>
                  <w:tcBorders>
                    <w:tl2br w:val="nil"/>
                    <w:tr2bl w:val="nil"/>
                  </w:tcBorders>
                  <w:vAlign w:val="center"/>
                </w:tcPr>
                <w:p w14:paraId="5579F660">
                  <w:pPr>
                    <w:widowControl/>
                    <w:jc w:val="center"/>
                    <w:rPr>
                      <w:kern w:val="0"/>
                      <w:szCs w:val="21"/>
                      <w:lang w:val="zh-CN" w:bidi="ar"/>
                    </w:rPr>
                  </w:pPr>
                  <w:r>
                    <w:rPr>
                      <w:kern w:val="0"/>
                      <w:szCs w:val="21"/>
                      <w:lang w:val="zh-CN" w:bidi="ar"/>
                    </w:rPr>
                    <w:t>（八）严格工业噪声管理</w:t>
                  </w:r>
                </w:p>
                <w:p w14:paraId="42EDA3B5">
                  <w:pPr>
                    <w:widowControl/>
                    <w:jc w:val="center"/>
                    <w:rPr>
                      <w:kern w:val="0"/>
                      <w:szCs w:val="21"/>
                      <w:lang w:bidi="ar"/>
                    </w:rPr>
                  </w:pPr>
                  <w:r>
                    <w:rPr>
                      <w:kern w:val="0"/>
                      <w:szCs w:val="21"/>
                      <w:lang w:val="zh-CN" w:bidi="ar"/>
                    </w:rPr>
                    <w:t>11．树立工业噪声污染治理标杆。排放噪声的工业企业应切实采取减振降噪措施，加强厂区内固定设备、运输工具、货物装卸等噪声源管理，同时避免突发噪声扰民。鼓励企业采用先进治理技术，打造行业噪声污染治理示范典型。中央企业要主动承担社会责任，切实发挥模范带头和引领示范作用，创建一批行业标杆。（生态环境部负责）</w:t>
                  </w:r>
                </w:p>
              </w:tc>
              <w:tc>
                <w:tcPr>
                  <w:tcW w:w="959" w:type="pct"/>
                  <w:tcBorders>
                    <w:tl2br w:val="nil"/>
                    <w:tr2bl w:val="nil"/>
                  </w:tcBorders>
                  <w:vAlign w:val="center"/>
                </w:tcPr>
                <w:p w14:paraId="31AE20A2">
                  <w:pPr>
                    <w:widowControl/>
                    <w:jc w:val="center"/>
                    <w:rPr>
                      <w:kern w:val="0"/>
                      <w:szCs w:val="21"/>
                      <w:lang w:bidi="ar"/>
                    </w:rPr>
                  </w:pPr>
                  <w:r>
                    <w:rPr>
                      <w:kern w:val="0"/>
                      <w:szCs w:val="21"/>
                      <w:lang w:bidi="ar"/>
                    </w:rPr>
                    <w:t>本项目采取</w:t>
                  </w:r>
                  <w:r>
                    <w:rPr>
                      <w:kern w:val="0"/>
                      <w:szCs w:val="21"/>
                      <w:lang w:val="zh-CN" w:bidi="ar"/>
                    </w:rPr>
                    <w:t>减振降噪措施</w:t>
                  </w:r>
                </w:p>
              </w:tc>
              <w:tc>
                <w:tcPr>
                  <w:tcW w:w="438" w:type="pct"/>
                  <w:tcBorders>
                    <w:tl2br w:val="nil"/>
                    <w:tr2bl w:val="nil"/>
                  </w:tcBorders>
                  <w:vAlign w:val="center"/>
                </w:tcPr>
                <w:p w14:paraId="0026C471">
                  <w:pPr>
                    <w:widowControl/>
                    <w:jc w:val="center"/>
                    <w:rPr>
                      <w:szCs w:val="21"/>
                    </w:rPr>
                  </w:pPr>
                  <w:r>
                    <w:rPr>
                      <w:szCs w:val="21"/>
                    </w:rPr>
                    <w:t>符合</w:t>
                  </w:r>
                </w:p>
              </w:tc>
            </w:tr>
            <w:tr w14:paraId="576A582F">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3602" w:type="pct"/>
                  <w:tcBorders>
                    <w:tl2br w:val="nil"/>
                    <w:tr2bl w:val="nil"/>
                  </w:tcBorders>
                  <w:vAlign w:val="center"/>
                </w:tcPr>
                <w:p w14:paraId="53543361">
                  <w:pPr>
                    <w:widowControl/>
                    <w:jc w:val="center"/>
                    <w:rPr>
                      <w:kern w:val="0"/>
                      <w:szCs w:val="21"/>
                      <w:lang w:val="zh-CN" w:bidi="ar"/>
                    </w:rPr>
                  </w:pPr>
                  <w:r>
                    <w:rPr>
                      <w:kern w:val="0"/>
                      <w:szCs w:val="21"/>
                      <w:lang w:val="zh-CN" w:bidi="ar"/>
                    </w:rPr>
                    <w:t>（九）实施重点企业监管</w:t>
                  </w:r>
                </w:p>
                <w:p w14:paraId="6043FF94">
                  <w:pPr>
                    <w:widowControl/>
                    <w:jc w:val="center"/>
                    <w:rPr>
                      <w:kern w:val="0"/>
                      <w:szCs w:val="21"/>
                      <w:lang w:val="zh-CN" w:bidi="ar"/>
                    </w:rPr>
                  </w:pPr>
                  <w:r>
                    <w:rPr>
                      <w:kern w:val="0"/>
                      <w:szCs w:val="21"/>
                      <w:lang w:val="zh-CN" w:bidi="ar"/>
                    </w:rPr>
                    <w:t>13．推进工业噪声实施排污许可和重点排污单位管理。发布工业噪声排污许可证申请与核发技术规范，依法核发排污许可证或进行排污登记，并加强监管；实行排污许可管理的单位依证排污，按照规定开展自行监测并向社会公开。依据《环境监管重点单位名录管理办法》，推进设区的市级以上生态环境主管部门编制本行政区域噪声重点排污单位名录，并按要求发布和更新；噪声重点排污单位应依法开展噪声自动监测，并及时与生态环境主管部门的监控设备联网。（生态环境部负责）</w:t>
                  </w:r>
                </w:p>
              </w:tc>
              <w:tc>
                <w:tcPr>
                  <w:tcW w:w="959" w:type="pct"/>
                  <w:tcBorders>
                    <w:tl2br w:val="nil"/>
                    <w:tr2bl w:val="nil"/>
                  </w:tcBorders>
                  <w:vAlign w:val="center"/>
                </w:tcPr>
                <w:p w14:paraId="2BB0CDD3">
                  <w:pPr>
                    <w:widowControl/>
                    <w:jc w:val="center"/>
                    <w:rPr>
                      <w:kern w:val="0"/>
                      <w:szCs w:val="21"/>
                      <w:lang w:bidi="ar"/>
                    </w:rPr>
                  </w:pPr>
                  <w:r>
                    <w:rPr>
                      <w:kern w:val="0"/>
                      <w:szCs w:val="21"/>
                      <w:lang w:bidi="ar"/>
                    </w:rPr>
                    <w:t>本项目投产前将申请排污许可证</w:t>
                  </w:r>
                </w:p>
              </w:tc>
              <w:tc>
                <w:tcPr>
                  <w:tcW w:w="438" w:type="pct"/>
                  <w:tcBorders>
                    <w:tl2br w:val="nil"/>
                    <w:tr2bl w:val="nil"/>
                  </w:tcBorders>
                  <w:vAlign w:val="center"/>
                </w:tcPr>
                <w:p w14:paraId="38D4D133">
                  <w:pPr>
                    <w:widowControl/>
                    <w:jc w:val="center"/>
                    <w:rPr>
                      <w:szCs w:val="21"/>
                    </w:rPr>
                  </w:pPr>
                  <w:r>
                    <w:rPr>
                      <w:szCs w:val="21"/>
                    </w:rPr>
                    <w:t>符合</w:t>
                  </w:r>
                </w:p>
              </w:tc>
            </w:tr>
            <w:tr w14:paraId="635B7AFA">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3602" w:type="pct"/>
                  <w:tcBorders>
                    <w:tl2br w:val="nil"/>
                    <w:tr2bl w:val="nil"/>
                  </w:tcBorders>
                  <w:vAlign w:val="center"/>
                </w:tcPr>
                <w:p w14:paraId="25C5E7EE">
                  <w:pPr>
                    <w:widowControl/>
                    <w:jc w:val="center"/>
                    <w:rPr>
                      <w:kern w:val="0"/>
                      <w:szCs w:val="21"/>
                      <w:lang w:val="zh-CN" w:bidi="ar"/>
                    </w:rPr>
                  </w:pPr>
                  <w:r>
                    <w:rPr>
                      <w:kern w:val="0"/>
                      <w:szCs w:val="21"/>
                      <w:lang w:val="zh-CN" w:bidi="ar"/>
                    </w:rPr>
                    <w:t>（十一）聚焦建筑施工管理重点</w:t>
                  </w:r>
                </w:p>
                <w:p w14:paraId="345F5BAB">
                  <w:pPr>
                    <w:widowControl/>
                    <w:jc w:val="center"/>
                    <w:rPr>
                      <w:kern w:val="0"/>
                      <w:szCs w:val="21"/>
                      <w:lang w:val="zh-CN" w:bidi="ar"/>
                    </w:rPr>
                  </w:pPr>
                  <w:r>
                    <w:rPr>
                      <w:kern w:val="0"/>
                      <w:szCs w:val="21"/>
                      <w:lang w:val="zh-CN" w:bidi="ar"/>
                    </w:rPr>
                    <w:t>16．加严噪声敏感建筑物集中区域施工要求。噪声敏感建筑物集中区域的施工场地应优先使用低噪声施工工艺和设备，采取减振降噪措施，加强进出场地运输车辆管理；建设单位应根据国家规定设置噪声自动监测系统，与监督管理部门联网。推动地方完善噪声敏感建筑物集中区域夜间施工证明的申报、审核、时限以及施工管理等要求，严格规范夜间施工证明发放。夜间施工单位应依法进行公示公告。（各有关部门按职责负责）</w:t>
                  </w:r>
                </w:p>
              </w:tc>
              <w:tc>
                <w:tcPr>
                  <w:tcW w:w="959" w:type="pct"/>
                  <w:tcBorders>
                    <w:tl2br w:val="nil"/>
                    <w:tr2bl w:val="nil"/>
                  </w:tcBorders>
                  <w:vAlign w:val="center"/>
                </w:tcPr>
                <w:p w14:paraId="494C9087">
                  <w:pPr>
                    <w:widowControl/>
                    <w:jc w:val="center"/>
                    <w:rPr>
                      <w:kern w:val="0"/>
                      <w:szCs w:val="21"/>
                      <w:lang w:bidi="ar"/>
                    </w:rPr>
                  </w:pPr>
                  <w:r>
                    <w:rPr>
                      <w:kern w:val="0"/>
                      <w:szCs w:val="21"/>
                      <w:lang w:bidi="ar"/>
                    </w:rPr>
                    <w:t>本项目不涉及敏感建筑集中区</w:t>
                  </w:r>
                </w:p>
              </w:tc>
              <w:tc>
                <w:tcPr>
                  <w:tcW w:w="438" w:type="pct"/>
                  <w:tcBorders>
                    <w:tl2br w:val="nil"/>
                    <w:tr2bl w:val="nil"/>
                  </w:tcBorders>
                  <w:vAlign w:val="center"/>
                </w:tcPr>
                <w:p w14:paraId="195169FB">
                  <w:pPr>
                    <w:widowControl/>
                    <w:jc w:val="center"/>
                    <w:rPr>
                      <w:szCs w:val="21"/>
                    </w:rPr>
                  </w:pPr>
                  <w:r>
                    <w:rPr>
                      <w:szCs w:val="21"/>
                    </w:rPr>
                    <w:t>符合</w:t>
                  </w:r>
                </w:p>
              </w:tc>
            </w:tr>
          </w:tbl>
          <w:p w14:paraId="4789BCE2">
            <w:pPr>
              <w:pStyle w:val="116"/>
              <w:spacing w:before="36" w:line="212" w:lineRule="auto"/>
              <w:ind w:left="108"/>
              <w:rPr>
                <w:rFonts w:hint="eastAsia" w:cs="Times New Roman"/>
                <w:b/>
                <w:bCs/>
                <w:lang w:eastAsia="zh-CN"/>
              </w:rPr>
            </w:pPr>
          </w:p>
          <w:p w14:paraId="0A2011CE">
            <w:pPr>
              <w:pStyle w:val="116"/>
              <w:spacing w:before="36" w:line="212" w:lineRule="auto"/>
              <w:rPr>
                <w:rFonts w:hint="eastAsia"/>
                <w:b/>
                <w:bCs/>
                <w:color w:val="FF0000"/>
                <w:spacing w:val="-2"/>
                <w:lang w:eastAsia="zh-CN"/>
              </w:rPr>
            </w:pPr>
            <w:r>
              <w:rPr>
                <w:rFonts w:hint="eastAsia" w:cs="Times New Roman"/>
                <w:b/>
                <w:bCs/>
                <w:color w:val="FF0000"/>
                <w:lang w:eastAsia="zh-CN"/>
              </w:rPr>
              <w:t>11.</w:t>
            </w:r>
            <w:r>
              <w:rPr>
                <w:rFonts w:ascii="Times New Roman" w:hAnsi="Times New Roman" w:cs="Times New Roman"/>
                <w:b/>
                <w:bCs/>
                <w:color w:val="FF0000"/>
                <w:lang w:eastAsia="zh-CN" w:bidi="zh-CN"/>
              </w:rPr>
              <w:t>本项目</w:t>
            </w:r>
            <w:r>
              <w:rPr>
                <w:b/>
                <w:bCs/>
                <w:color w:val="FF0000"/>
                <w:spacing w:val="-2"/>
                <w:lang w:eastAsia="zh-CN"/>
              </w:rPr>
              <w:t>与《报废汽车回收拆解企业技术规范》（</w:t>
            </w:r>
            <w:r>
              <w:rPr>
                <w:rFonts w:ascii="Times New Roman" w:hAnsi="Times New Roman" w:eastAsia="Times New Roman" w:cs="Times New Roman"/>
                <w:b/>
                <w:bCs/>
                <w:color w:val="FF0000"/>
                <w:spacing w:val="-2"/>
                <w:lang w:eastAsia="zh-CN"/>
              </w:rPr>
              <w:t>GB22128-2019)</w:t>
            </w:r>
            <w:r>
              <w:rPr>
                <w:b/>
                <w:bCs/>
                <w:color w:val="FF0000"/>
                <w:spacing w:val="-2"/>
                <w:lang w:eastAsia="zh-CN"/>
              </w:rPr>
              <w:t>符合性分析</w:t>
            </w:r>
          </w:p>
          <w:p w14:paraId="0B57CE4D">
            <w:pPr>
              <w:pStyle w:val="116"/>
              <w:spacing w:before="158" w:line="347" w:lineRule="auto"/>
              <w:ind w:left="110" w:right="103" w:firstLine="481"/>
              <w:rPr>
                <w:rFonts w:ascii="Times New Roman" w:hAnsi="Times New Roman" w:cs="Times New Roman"/>
                <w:b/>
                <w:bCs/>
                <w:szCs w:val="21"/>
                <w:lang w:eastAsia="zh-CN"/>
              </w:rPr>
            </w:pPr>
            <w:r>
              <w:rPr>
                <w:rFonts w:ascii="Times New Roman" w:hAnsi="Times New Roman" w:cs="Times New Roman"/>
                <w:lang w:eastAsia="zh-CN"/>
              </w:rPr>
              <w:t>本标准的第4.2.1a)条、第4.2.1b)条、第4.2.3条、第4.2.4条、第4.2.5条、第4.2.6条、第4.2.7条、第4.3.1b)条、第4.3.1c)条、第4.3.2条、第4.3.3条、第4.3.6条、第4.4条、第4.5.1b)条、第4.6条、第4.7条、第5章、第6.1条、第6.2条、第6.4条、第7.1.3条、第7.2.1条、第7.3.1条、第7.3.2条、第8章为强制性的，其余为推荐性的，具体分析见下表，所列条目为本项目涉及的强制性内容。</w:t>
            </w:r>
          </w:p>
          <w:p w14:paraId="429217DF">
            <w:pPr>
              <w:ind w:firstLine="422" w:firstLineChars="200"/>
              <w:jc w:val="center"/>
              <w:rPr>
                <w:b/>
                <w:bCs/>
                <w:szCs w:val="21"/>
              </w:rPr>
            </w:pPr>
            <w:r>
              <w:rPr>
                <w:b/>
                <w:bCs/>
                <w:szCs w:val="21"/>
              </w:rPr>
              <w:t>表1-</w:t>
            </w:r>
            <w:r>
              <w:rPr>
                <w:rFonts w:hint="eastAsia"/>
                <w:b/>
                <w:bCs/>
                <w:szCs w:val="21"/>
              </w:rPr>
              <w:t>14</w:t>
            </w:r>
            <w:r>
              <w:rPr>
                <w:b/>
                <w:bCs/>
                <w:szCs w:val="21"/>
              </w:rPr>
              <w:t xml:space="preserve">  与“</w:t>
            </w:r>
            <w:r>
              <w:rPr>
                <w:rFonts w:hint="eastAsia"/>
                <w:b/>
                <w:bCs/>
                <w:szCs w:val="21"/>
              </w:rPr>
              <w:t>规范</w:t>
            </w:r>
            <w:r>
              <w:rPr>
                <w:b/>
                <w:bCs/>
                <w:szCs w:val="21"/>
              </w:rPr>
              <w:t>”相符性分析</w:t>
            </w:r>
          </w:p>
          <w:tbl>
            <w:tblPr>
              <w:tblStyle w:val="34"/>
              <w:tblW w:w="4998" w:type="pct"/>
              <w:jc w:val="center"/>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470"/>
              <w:gridCol w:w="2786"/>
              <w:gridCol w:w="3849"/>
              <w:gridCol w:w="426"/>
            </w:tblGrid>
            <w:tr w14:paraId="5F9BD619">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12" w:type="pct"/>
                  <w:tcBorders>
                    <w:tl2br w:val="nil"/>
                    <w:tr2bl w:val="nil"/>
                  </w:tcBorders>
                  <w:vAlign w:val="center"/>
                </w:tcPr>
                <w:p w14:paraId="79AA8CD1">
                  <w:pPr>
                    <w:widowControl/>
                    <w:adjustRightInd w:val="0"/>
                    <w:snapToGrid w:val="0"/>
                    <w:jc w:val="center"/>
                    <w:rPr>
                      <w:rFonts w:eastAsiaTheme="minorEastAsia"/>
                      <w:kern w:val="0"/>
                      <w:szCs w:val="21"/>
                      <w:lang w:bidi="ar"/>
                    </w:rPr>
                  </w:pPr>
                  <w:r>
                    <w:rPr>
                      <w:rFonts w:hint="eastAsia" w:eastAsiaTheme="minorEastAsia"/>
                      <w:kern w:val="0"/>
                      <w:szCs w:val="21"/>
                      <w:lang w:bidi="ar"/>
                    </w:rPr>
                    <w:t>序号</w:t>
                  </w:r>
                </w:p>
              </w:tc>
              <w:tc>
                <w:tcPr>
                  <w:tcW w:w="1849" w:type="pct"/>
                  <w:tcBorders>
                    <w:tl2br w:val="nil"/>
                    <w:tr2bl w:val="nil"/>
                  </w:tcBorders>
                  <w:vAlign w:val="center"/>
                </w:tcPr>
                <w:p w14:paraId="1EE920B8">
                  <w:pPr>
                    <w:widowControl/>
                    <w:jc w:val="center"/>
                    <w:rPr>
                      <w:rFonts w:eastAsiaTheme="minorEastAsia"/>
                      <w:szCs w:val="21"/>
                    </w:rPr>
                  </w:pPr>
                  <w:r>
                    <w:rPr>
                      <w:rFonts w:eastAsiaTheme="minorEastAsia"/>
                      <w:kern w:val="0"/>
                      <w:szCs w:val="21"/>
                      <w:lang w:bidi="ar"/>
                    </w:rPr>
                    <w:t>规范要求</w:t>
                  </w:r>
                </w:p>
              </w:tc>
              <w:tc>
                <w:tcPr>
                  <w:tcW w:w="2555" w:type="pct"/>
                  <w:tcBorders>
                    <w:tl2br w:val="nil"/>
                    <w:tr2bl w:val="nil"/>
                  </w:tcBorders>
                  <w:vAlign w:val="center"/>
                </w:tcPr>
                <w:p w14:paraId="7098F0CF">
                  <w:pPr>
                    <w:adjustRightInd w:val="0"/>
                    <w:snapToGrid w:val="0"/>
                    <w:jc w:val="center"/>
                    <w:rPr>
                      <w:rFonts w:eastAsiaTheme="minorEastAsia"/>
                      <w:szCs w:val="21"/>
                    </w:rPr>
                  </w:pPr>
                  <w:r>
                    <w:rPr>
                      <w:rFonts w:eastAsiaTheme="minorEastAsia"/>
                      <w:kern w:val="0"/>
                      <w:szCs w:val="21"/>
                      <w:lang w:bidi="ar"/>
                    </w:rPr>
                    <w:t>本项目情况</w:t>
                  </w:r>
                </w:p>
              </w:tc>
              <w:tc>
                <w:tcPr>
                  <w:tcW w:w="283" w:type="pct"/>
                  <w:tcBorders>
                    <w:tl2br w:val="nil"/>
                    <w:tr2bl w:val="nil"/>
                  </w:tcBorders>
                  <w:vAlign w:val="center"/>
                </w:tcPr>
                <w:p w14:paraId="365B175B">
                  <w:pPr>
                    <w:widowControl/>
                    <w:adjustRightInd w:val="0"/>
                    <w:snapToGrid w:val="0"/>
                    <w:jc w:val="center"/>
                    <w:rPr>
                      <w:rFonts w:eastAsiaTheme="minorEastAsia"/>
                      <w:szCs w:val="21"/>
                    </w:rPr>
                  </w:pPr>
                  <w:r>
                    <w:rPr>
                      <w:rFonts w:eastAsiaTheme="minorEastAsia"/>
                      <w:szCs w:val="21"/>
                    </w:rPr>
                    <w:t>相符性</w:t>
                  </w:r>
                </w:p>
              </w:tc>
            </w:tr>
            <w:tr w14:paraId="0F817E7E">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12" w:type="pct"/>
                  <w:tcBorders>
                    <w:tl2br w:val="nil"/>
                    <w:tr2bl w:val="nil"/>
                  </w:tcBorders>
                  <w:vAlign w:val="center"/>
                </w:tcPr>
                <w:p w14:paraId="78716754">
                  <w:pPr>
                    <w:widowControl/>
                    <w:adjustRightInd w:val="0"/>
                    <w:snapToGrid w:val="0"/>
                    <w:rPr>
                      <w:rFonts w:eastAsiaTheme="minorEastAsia"/>
                      <w:spacing w:val="4"/>
                      <w:szCs w:val="21"/>
                    </w:rPr>
                  </w:pPr>
                  <w:r>
                    <w:rPr>
                      <w:rFonts w:hint="eastAsia" w:eastAsiaTheme="minorEastAsia"/>
                      <w:spacing w:val="4"/>
                      <w:szCs w:val="21"/>
                    </w:rPr>
                    <w:t>1</w:t>
                  </w:r>
                </w:p>
              </w:tc>
              <w:tc>
                <w:tcPr>
                  <w:tcW w:w="1849" w:type="pct"/>
                  <w:tcBorders>
                    <w:tl2br w:val="nil"/>
                    <w:tr2bl w:val="nil"/>
                  </w:tcBorders>
                  <w:vAlign w:val="center"/>
                </w:tcPr>
                <w:p w14:paraId="3195F116">
                  <w:pPr>
                    <w:widowControl/>
                    <w:adjustRightInd w:val="0"/>
                    <w:snapToGrid w:val="0"/>
                    <w:rPr>
                      <w:rFonts w:eastAsiaTheme="minorEastAsia"/>
                      <w:spacing w:val="4"/>
                      <w:szCs w:val="21"/>
                    </w:rPr>
                  </w:pPr>
                  <w:r>
                    <w:rPr>
                      <w:rFonts w:eastAsiaTheme="minorEastAsia"/>
                      <w:spacing w:val="-6"/>
                      <w:szCs w:val="21"/>
                    </w:rPr>
                    <w:t>4.1</w:t>
                  </w:r>
                  <w:r>
                    <w:rPr>
                      <w:rFonts w:eastAsiaTheme="minorEastAsia"/>
                      <w:spacing w:val="4"/>
                      <w:szCs w:val="21"/>
                    </w:rPr>
                    <w:t>拆解产能要求</w:t>
                  </w:r>
                </w:p>
                <w:p w14:paraId="604E9E4D">
                  <w:pPr>
                    <w:widowControl/>
                    <w:adjustRightInd w:val="0"/>
                    <w:snapToGrid w:val="0"/>
                    <w:rPr>
                      <w:rFonts w:eastAsiaTheme="minorEastAsia"/>
                      <w:spacing w:val="4"/>
                      <w:szCs w:val="21"/>
                    </w:rPr>
                  </w:pPr>
                  <w:r>
                    <w:rPr>
                      <w:rFonts w:eastAsiaTheme="minorEastAsia"/>
                      <w:spacing w:val="4"/>
                      <w:szCs w:val="21"/>
                    </w:rPr>
                    <w:t>4.1.1企业所在地区（地级市）类型依据年机动车保有量确定，单个企业最低年拆解产能应满足相应地区类型对应的最低年拆解产能要求。</w:t>
                  </w:r>
                </w:p>
              </w:tc>
              <w:tc>
                <w:tcPr>
                  <w:tcW w:w="2555" w:type="pct"/>
                  <w:tcBorders>
                    <w:tl2br w:val="nil"/>
                    <w:tr2bl w:val="nil"/>
                  </w:tcBorders>
                  <w:vAlign w:val="center"/>
                </w:tcPr>
                <w:p w14:paraId="1C33E113">
                  <w:pPr>
                    <w:widowControl/>
                    <w:adjustRightInd w:val="0"/>
                    <w:snapToGrid w:val="0"/>
                    <w:jc w:val="center"/>
                    <w:rPr>
                      <w:rFonts w:eastAsiaTheme="minorEastAsia"/>
                      <w:kern w:val="0"/>
                      <w:szCs w:val="21"/>
                      <w:lang w:bidi="ar"/>
                    </w:rPr>
                  </w:pPr>
                  <w:r>
                    <w:rPr>
                      <w:rFonts w:eastAsiaTheme="minorEastAsia"/>
                      <w:color w:val="FF0000"/>
                      <w:kern w:val="0"/>
                      <w:szCs w:val="21"/>
                      <w:lang w:bidi="ar"/>
                    </w:rPr>
                    <w:t>根据</w:t>
                  </w:r>
                  <w:r>
                    <w:rPr>
                      <w:rFonts w:hint="eastAsia" w:eastAsiaTheme="minorEastAsia"/>
                      <w:color w:val="FF0000"/>
                      <w:kern w:val="0"/>
                      <w:szCs w:val="21"/>
                      <w:lang w:val="en-US" w:eastAsia="zh-CN" w:bidi="ar"/>
                    </w:rPr>
                    <w:t>最新的</w:t>
                  </w:r>
                  <w:r>
                    <w:rPr>
                      <w:rFonts w:eastAsiaTheme="minorEastAsia"/>
                      <w:color w:val="FF0000"/>
                      <w:kern w:val="0"/>
                      <w:szCs w:val="21"/>
                      <w:lang w:bidi="ar"/>
                    </w:rPr>
                    <w:t>《</w:t>
                  </w:r>
                  <w:r>
                    <w:rPr>
                      <w:rFonts w:eastAsiaTheme="minorEastAsia"/>
                      <w:color w:val="FF0000"/>
                      <w:kern w:val="0"/>
                      <w:szCs w:val="21"/>
                      <w:lang w:bidi="ar"/>
                    </w:rPr>
                    <w:fldChar w:fldCharType="begin"/>
                  </w:r>
                  <w:r>
                    <w:rPr>
                      <w:rFonts w:eastAsiaTheme="minorEastAsia"/>
                      <w:color w:val="FF0000"/>
                      <w:kern w:val="0"/>
                      <w:szCs w:val="21"/>
                      <w:lang w:bidi="ar"/>
                    </w:rPr>
                    <w:instrText xml:space="preserve"> HYPERLINK "https://www.ln.gov.cn/web/zwgkx/tjgb2/shizfgzbg/cys/2406F68E92B2445698477DD15BD72BB8/" \l ":~:text=%E5%B9%B4%E6%9C%AB%E6%B0%91%E7%94%A8%E6%B1%BD%E8%BD%A6%E6%8B%A5%E6%9C%89%E9%87%8F58.7%E4%B8%87%E8%BE%86%EF%BC%8C%E6%AF%94%E4%B8%8A%E5%B9%B4%E6%9C%AB%E5%A2%9E%E9%95%BF7%%E3%80%82 %E5%85%B6%E4%B8%AD%EF%BC%8C%E8%BD%BD%E5%AE%A2%E6%B1%BD%E8%BD%A646.1%E4%B8%87%E8%BE%86%EF%BC%8C%E8%BD%BD%E8%B4%A7%E6%B1%BD%E8%BD%A66.9%E4%B8%87%E8%BE%86%E3%80%82 %E5%9C%A8%E6%B0%91%E7%94%A8%E6%B1%BD%E8%BD%A6%E6%8B%A5%E6%9C%89%E9%87%8F%E4%B8%AD%EF%BC%8C%E7%A7%81%E4%BA%BA%E6%B1%BD%E8%BD%A6%E6%8B%A5%E6%9C%89%E9%87%8F55.2%E4%B8%87%E8%BE%86%EF%BC%8C%E5%A2%9E%E9%95%BF6%%E3%80%82,%E5%85%A8%E5%B9%B4%E9%82%AE%E7%94%B5%E4%B8%9A%E5%8A%A1%E6%80%BB%E9%87%8F194.3%E4%BA%BF%E5%85%83%E3%80%82 %E5%85%B6%E4%B8%AD%EF%BC%8C%E9%82%AE%E6%94%BF%E4%B8%9A%E5%8A%A1%E6%80%BB%E9%87%8F8.2%E4%BA%BF%E5%85%83%EF%BC%8C%E6%AF%94%E4%B8%8A%E5%B9%B4%E5%A2%9E%E9%95%BF26.4%%EF%BC%9B%E7%94%B5%E4%BF%A1%E4%B8%9A%E5%8A%A1%E6%80%BB%E9%87%8F186.1%E4%BA%BF%E5%85%83%EF%BC%8C%E5%A2%9E%E9%95%BF29.8%%E3%80%82 %E5%85%A8%E5%B9%B4%E9%82%AE%E6%94%BF%E4%B8%9A%E5%8A%A1%E6%94%B6%E5%85%A56.6%E4%BA%BF%E5%85%83%EF%BC%8C%E5%A2%9E%E9%95%BF19.5%%E3%80%82" \t "https://cn.bing.com/_blank" </w:instrText>
                  </w:r>
                  <w:r>
                    <w:rPr>
                      <w:rFonts w:eastAsiaTheme="minorEastAsia"/>
                      <w:color w:val="FF0000"/>
                      <w:kern w:val="0"/>
                      <w:szCs w:val="21"/>
                      <w:lang w:bidi="ar"/>
                    </w:rPr>
                    <w:fldChar w:fldCharType="separate"/>
                  </w:r>
                  <w:r>
                    <w:rPr>
                      <w:rFonts w:eastAsiaTheme="minorEastAsia"/>
                      <w:color w:val="FF0000"/>
                      <w:kern w:val="0"/>
                      <w:szCs w:val="21"/>
                      <w:lang w:bidi="ar"/>
                    </w:rPr>
                    <w:t>朝阳市国民经济和社会发展统计公报</w:t>
                  </w:r>
                  <w:r>
                    <w:rPr>
                      <w:rFonts w:eastAsiaTheme="minorEastAsia"/>
                      <w:color w:val="FF0000"/>
                      <w:kern w:val="0"/>
                      <w:szCs w:val="21"/>
                      <w:lang w:bidi="ar"/>
                    </w:rPr>
                    <w:fldChar w:fldCharType="end"/>
                  </w:r>
                  <w:r>
                    <w:rPr>
                      <w:rFonts w:eastAsiaTheme="minorEastAsia"/>
                      <w:color w:val="FF0000"/>
                      <w:kern w:val="0"/>
                      <w:szCs w:val="21"/>
                      <w:lang w:bidi="ar"/>
                    </w:rPr>
                    <w:t>》，</w:t>
                  </w:r>
                  <w:r>
                    <w:rPr>
                      <w:rFonts w:hint="eastAsia" w:eastAsiaTheme="minorEastAsia"/>
                      <w:color w:val="FF0000"/>
                      <w:kern w:val="0"/>
                      <w:szCs w:val="21"/>
                      <w:lang w:bidi="ar"/>
                    </w:rPr>
                    <w:t>朝阳市</w:t>
                  </w:r>
                  <w:r>
                    <w:rPr>
                      <w:rFonts w:eastAsiaTheme="minorEastAsia"/>
                      <w:color w:val="FF0000"/>
                      <w:kern w:val="0"/>
                      <w:szCs w:val="21"/>
                      <w:lang w:bidi="ar"/>
                    </w:rPr>
                    <w:t>民用汽车保有量</w:t>
                  </w:r>
                  <w:r>
                    <w:rPr>
                      <w:rFonts w:hint="eastAsia" w:eastAsiaTheme="minorEastAsia"/>
                      <w:color w:val="FF0000"/>
                      <w:kern w:val="0"/>
                      <w:szCs w:val="21"/>
                      <w:lang w:bidi="ar"/>
                    </w:rPr>
                    <w:t>58.7</w:t>
                  </w:r>
                  <w:r>
                    <w:rPr>
                      <w:rFonts w:eastAsiaTheme="minorEastAsia"/>
                      <w:color w:val="FF0000"/>
                      <w:kern w:val="0"/>
                      <w:szCs w:val="21"/>
                      <w:lang w:bidi="ar"/>
                    </w:rPr>
                    <w:t>万辆，根据地区机动车保有量和《报废汽车回收拆解企业技术规范》（GB22128-2019）》表1及表2，项目所在地区类型属于Ⅳ档，Ⅳ档地区规定的单个企业最低年拆解产能为1万辆。本项目设计产能为年拆解1.5万辆。因此，本项目拆解规模设置合理。</w:t>
                  </w:r>
                </w:p>
              </w:tc>
              <w:tc>
                <w:tcPr>
                  <w:tcW w:w="283" w:type="pct"/>
                  <w:tcBorders>
                    <w:tl2br w:val="nil"/>
                    <w:tr2bl w:val="nil"/>
                  </w:tcBorders>
                  <w:vAlign w:val="center"/>
                </w:tcPr>
                <w:p w14:paraId="0D4E4A35">
                  <w:pPr>
                    <w:widowControl/>
                    <w:adjustRightInd w:val="0"/>
                    <w:snapToGrid w:val="0"/>
                    <w:jc w:val="center"/>
                    <w:rPr>
                      <w:rFonts w:eastAsiaTheme="minorEastAsia"/>
                      <w:kern w:val="0"/>
                      <w:szCs w:val="21"/>
                      <w:lang w:bidi="ar"/>
                    </w:rPr>
                  </w:pPr>
                  <w:r>
                    <w:rPr>
                      <w:rFonts w:eastAsiaTheme="minorEastAsia"/>
                      <w:kern w:val="0"/>
                      <w:szCs w:val="21"/>
                      <w:lang w:bidi="ar"/>
                    </w:rPr>
                    <w:t>符合</w:t>
                  </w:r>
                </w:p>
              </w:tc>
            </w:tr>
            <w:tr w14:paraId="4B4DA48B">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12" w:type="pct"/>
                  <w:tcBorders>
                    <w:tl2br w:val="nil"/>
                    <w:tr2bl w:val="nil"/>
                  </w:tcBorders>
                  <w:vAlign w:val="center"/>
                </w:tcPr>
                <w:p w14:paraId="75DE53D4">
                  <w:pPr>
                    <w:widowControl/>
                    <w:adjustRightInd w:val="0"/>
                    <w:snapToGrid w:val="0"/>
                    <w:rPr>
                      <w:rFonts w:eastAsiaTheme="minorEastAsia"/>
                      <w:color w:val="FF0000"/>
                      <w:kern w:val="0"/>
                      <w:szCs w:val="21"/>
                      <w:lang w:bidi="ar"/>
                    </w:rPr>
                  </w:pPr>
                  <w:r>
                    <w:rPr>
                      <w:rFonts w:hint="eastAsia" w:eastAsiaTheme="minorEastAsia"/>
                      <w:color w:val="FF0000"/>
                      <w:kern w:val="0"/>
                      <w:szCs w:val="21"/>
                      <w:lang w:bidi="ar"/>
                    </w:rPr>
                    <w:t>2</w:t>
                  </w:r>
                </w:p>
              </w:tc>
              <w:tc>
                <w:tcPr>
                  <w:tcW w:w="1849" w:type="pct"/>
                  <w:tcBorders>
                    <w:tl2br w:val="nil"/>
                    <w:tr2bl w:val="nil"/>
                  </w:tcBorders>
                  <w:vAlign w:val="center"/>
                </w:tcPr>
                <w:p w14:paraId="6D42E4B9">
                  <w:pPr>
                    <w:widowControl/>
                    <w:adjustRightInd w:val="0"/>
                    <w:snapToGrid w:val="0"/>
                    <w:rPr>
                      <w:rFonts w:eastAsiaTheme="minorEastAsia"/>
                      <w:color w:val="FF0000"/>
                      <w:kern w:val="0"/>
                      <w:szCs w:val="21"/>
                      <w:lang w:bidi="ar"/>
                    </w:rPr>
                  </w:pPr>
                  <w:r>
                    <w:rPr>
                      <w:rFonts w:eastAsiaTheme="minorEastAsia"/>
                      <w:color w:val="FF0000"/>
                      <w:kern w:val="0"/>
                      <w:szCs w:val="21"/>
                      <w:lang w:bidi="ar"/>
                    </w:rPr>
                    <w:t>4.2.1选址要求</w:t>
                  </w:r>
                </w:p>
                <w:p w14:paraId="3A4D7F06">
                  <w:pPr>
                    <w:widowControl/>
                    <w:adjustRightInd w:val="0"/>
                    <w:snapToGrid w:val="0"/>
                    <w:rPr>
                      <w:rFonts w:eastAsiaTheme="minorEastAsia"/>
                      <w:color w:val="FF0000"/>
                      <w:kern w:val="0"/>
                      <w:szCs w:val="21"/>
                      <w:lang w:bidi="ar"/>
                    </w:rPr>
                  </w:pPr>
                  <w:r>
                    <w:rPr>
                      <w:rFonts w:eastAsiaTheme="minorEastAsia"/>
                      <w:color w:val="FF0000"/>
                      <w:kern w:val="0"/>
                      <w:szCs w:val="21"/>
                      <w:lang w:bidi="ar"/>
                    </w:rPr>
                    <w:t>a)符合所在地城市总体规划或国土空间规划；</w:t>
                  </w:r>
                </w:p>
                <w:p w14:paraId="59DA7F06">
                  <w:pPr>
                    <w:widowControl/>
                    <w:adjustRightInd w:val="0"/>
                    <w:snapToGrid w:val="0"/>
                    <w:rPr>
                      <w:rFonts w:eastAsiaTheme="minorEastAsia"/>
                      <w:color w:val="FF0000"/>
                      <w:kern w:val="0"/>
                      <w:szCs w:val="21"/>
                      <w:lang w:bidi="ar"/>
                    </w:rPr>
                  </w:pPr>
                  <w:r>
                    <w:rPr>
                      <w:rFonts w:eastAsiaTheme="minorEastAsia"/>
                      <w:color w:val="FF0000"/>
                      <w:kern w:val="0"/>
                      <w:szCs w:val="21"/>
                      <w:lang w:bidi="ar"/>
                    </w:rPr>
                    <w:t>b)符合GB50187、HJ348的选 址要求，不得建在城市居民区、商业区、饮用水水源保护区及其他环境敏感区内，且避开受环境威胁的地带、地段和地区；</w:t>
                  </w:r>
                </w:p>
                <w:p w14:paraId="0954E6C8">
                  <w:pPr>
                    <w:widowControl/>
                    <w:adjustRightInd w:val="0"/>
                    <w:snapToGrid w:val="0"/>
                    <w:rPr>
                      <w:rFonts w:eastAsiaTheme="minorEastAsia"/>
                      <w:color w:val="FF0000"/>
                      <w:kern w:val="0"/>
                      <w:szCs w:val="21"/>
                      <w:lang w:bidi="ar"/>
                    </w:rPr>
                  </w:pPr>
                  <w:r>
                    <w:rPr>
                      <w:rFonts w:ascii="Times New Roman" w:hAnsi="Times New Roman" w:eastAsia="Times New Roman" w:cs="Times New Roman"/>
                      <w:color w:val="FF0000"/>
                      <w:spacing w:val="-1"/>
                      <w:sz w:val="20"/>
                      <w:szCs w:val="20"/>
                    </w:rPr>
                    <w:t>c)</w:t>
                  </w:r>
                  <w:r>
                    <w:rPr>
                      <w:color w:val="FF0000"/>
                      <w:spacing w:val="-1"/>
                      <w:sz w:val="20"/>
                      <w:szCs w:val="20"/>
                    </w:rPr>
                    <w:t>项目所在地有工业园区或再生利</w:t>
                  </w:r>
                  <w:r>
                    <w:rPr>
                      <w:color w:val="FF0000"/>
                      <w:spacing w:val="-2"/>
                      <w:sz w:val="20"/>
                      <w:szCs w:val="20"/>
                    </w:rPr>
                    <w:t>用园区的应建设在园区内。</w:t>
                  </w:r>
                </w:p>
              </w:tc>
              <w:tc>
                <w:tcPr>
                  <w:tcW w:w="2555" w:type="pct"/>
                  <w:tcBorders>
                    <w:tl2br w:val="nil"/>
                    <w:tr2bl w:val="nil"/>
                  </w:tcBorders>
                  <w:vAlign w:val="center"/>
                </w:tcPr>
                <w:p w14:paraId="37A98E2E">
                  <w:pPr>
                    <w:widowControl/>
                    <w:adjustRightInd w:val="0"/>
                    <w:snapToGrid w:val="0"/>
                    <w:jc w:val="center"/>
                    <w:rPr>
                      <w:rFonts w:eastAsiaTheme="minorEastAsia"/>
                      <w:color w:val="FF0000"/>
                      <w:kern w:val="0"/>
                      <w:szCs w:val="21"/>
                      <w:lang w:bidi="ar"/>
                    </w:rPr>
                  </w:pPr>
                  <w:r>
                    <w:rPr>
                      <w:rFonts w:eastAsiaTheme="minorEastAsia"/>
                      <w:color w:val="FF0000"/>
                      <w:kern w:val="0"/>
                      <w:szCs w:val="21"/>
                      <w:lang w:bidi="ar"/>
                    </w:rPr>
                    <w:t>a)</w:t>
                  </w:r>
                  <w:r>
                    <w:rPr>
                      <w:rFonts w:hint="eastAsia" w:eastAsiaTheme="minorEastAsia"/>
                      <w:color w:val="FF0000"/>
                      <w:kern w:val="0"/>
                      <w:szCs w:val="21"/>
                      <w:lang w:val="en-US" w:eastAsia="zh-CN" w:bidi="ar"/>
                    </w:rPr>
                    <w:t>根据《北票市五间房镇国土空间总体规划（2021-2035）》本项目位于五间房镇规划的工业用地范围，且</w:t>
                  </w:r>
                  <w:r>
                    <w:rPr>
                      <w:rFonts w:eastAsiaTheme="minorEastAsia"/>
                      <w:color w:val="FF0000"/>
                      <w:kern w:val="0"/>
                      <w:szCs w:val="21"/>
                      <w:lang w:bidi="ar"/>
                    </w:rPr>
                    <w:t>本项目用地性质为工业用地，符合《北票市国土空间总体规划（2021-2035）》。</w:t>
                  </w:r>
                </w:p>
                <w:p w14:paraId="213DD4F3">
                  <w:pPr>
                    <w:widowControl/>
                    <w:adjustRightInd w:val="0"/>
                    <w:snapToGrid w:val="0"/>
                    <w:jc w:val="center"/>
                    <w:rPr>
                      <w:rFonts w:eastAsiaTheme="minorEastAsia"/>
                      <w:color w:val="FF0000"/>
                      <w:kern w:val="0"/>
                      <w:szCs w:val="21"/>
                      <w:lang w:bidi="ar"/>
                    </w:rPr>
                  </w:pPr>
                  <w:r>
                    <w:rPr>
                      <w:rFonts w:eastAsiaTheme="minorEastAsia"/>
                      <w:color w:val="FF0000"/>
                      <w:kern w:val="0"/>
                      <w:szCs w:val="21"/>
                      <w:lang w:bidi="ar"/>
                    </w:rPr>
                    <w:t>b)本项目不在城市居民区、商业区、饮用水源保护区及其他环境敏感区内，且避开受环境威胁的地带、地段和地区，符合GB50187、HJ348的选址要求。</w:t>
                  </w:r>
                </w:p>
                <w:p w14:paraId="0220D481">
                  <w:pPr>
                    <w:widowControl/>
                    <w:adjustRightInd w:val="0"/>
                    <w:snapToGrid w:val="0"/>
                    <w:jc w:val="center"/>
                    <w:rPr>
                      <w:rFonts w:hint="default" w:eastAsia="宋体"/>
                      <w:color w:val="FF0000"/>
                      <w:kern w:val="0"/>
                      <w:szCs w:val="21"/>
                      <w:lang w:val="en-US" w:eastAsia="zh-CN" w:bidi="ar"/>
                    </w:rPr>
                  </w:pPr>
                  <w:r>
                    <w:rPr>
                      <w:rFonts w:ascii="Times New Roman" w:hAnsi="Times New Roman" w:eastAsia="Times New Roman" w:cs="Times New Roman"/>
                      <w:color w:val="FF0000"/>
                      <w:spacing w:val="-1"/>
                      <w:sz w:val="20"/>
                      <w:szCs w:val="20"/>
                    </w:rPr>
                    <w:t>c)</w:t>
                  </w:r>
                  <w:r>
                    <w:rPr>
                      <w:rFonts w:hint="eastAsia" w:eastAsia="宋体" w:cs="Times New Roman"/>
                      <w:color w:val="FF0000"/>
                      <w:spacing w:val="-1"/>
                      <w:sz w:val="20"/>
                      <w:szCs w:val="20"/>
                      <w:lang w:val="en-US" w:eastAsia="zh-CN"/>
                    </w:rPr>
                    <w:t>根据本规范前言所述“本规范第第4.2.1</w:t>
                  </w:r>
                  <w:r>
                    <w:rPr>
                      <w:rFonts w:hint="eastAsia" w:cs="Times New Roman"/>
                      <w:color w:val="FF0000"/>
                      <w:spacing w:val="-1"/>
                      <w:sz w:val="20"/>
                      <w:szCs w:val="20"/>
                      <w:lang w:val="en-US" w:eastAsia="zh-CN"/>
                    </w:rPr>
                    <w:t>c</w:t>
                  </w:r>
                  <w:r>
                    <w:rPr>
                      <w:rFonts w:hint="eastAsia" w:eastAsia="宋体" w:cs="Times New Roman"/>
                      <w:color w:val="FF0000"/>
                      <w:spacing w:val="-1"/>
                      <w:sz w:val="20"/>
                      <w:szCs w:val="20"/>
                      <w:lang w:val="en-US" w:eastAsia="zh-CN"/>
                    </w:rPr>
                    <w:t>)条</w:t>
                  </w:r>
                  <w:r>
                    <w:rPr>
                      <w:rFonts w:hint="eastAsia" w:cs="Times New Roman"/>
                      <w:color w:val="FF0000"/>
                      <w:spacing w:val="-1"/>
                      <w:sz w:val="20"/>
                      <w:szCs w:val="20"/>
                      <w:lang w:val="en-US" w:eastAsia="zh-CN"/>
                    </w:rPr>
                    <w:t>为</w:t>
                  </w:r>
                  <w:r>
                    <w:rPr>
                      <w:rFonts w:hint="eastAsia" w:eastAsia="宋体" w:cs="Times New Roman"/>
                      <w:color w:val="FF0000"/>
                      <w:spacing w:val="-1"/>
                      <w:sz w:val="20"/>
                      <w:szCs w:val="20"/>
                      <w:lang w:val="en-US" w:eastAsia="zh-CN"/>
                    </w:rPr>
                    <w:t>推荐性的”</w:t>
                  </w:r>
                  <w:r>
                    <w:rPr>
                      <w:rFonts w:hint="eastAsia" w:cs="Times New Roman"/>
                      <w:color w:val="FF0000"/>
                      <w:spacing w:val="-1"/>
                      <w:sz w:val="20"/>
                      <w:szCs w:val="20"/>
                      <w:lang w:val="en-US" w:eastAsia="zh-CN"/>
                    </w:rPr>
                    <w:t>，因此本条作为推荐性要求，企业未建设在工业园区符合规范要求。</w:t>
                  </w:r>
                </w:p>
              </w:tc>
              <w:tc>
                <w:tcPr>
                  <w:tcW w:w="283" w:type="pct"/>
                  <w:tcBorders>
                    <w:tl2br w:val="nil"/>
                    <w:tr2bl w:val="nil"/>
                  </w:tcBorders>
                  <w:vAlign w:val="center"/>
                </w:tcPr>
                <w:p w14:paraId="31D4C9C7">
                  <w:pPr>
                    <w:widowControl/>
                    <w:adjustRightInd w:val="0"/>
                    <w:snapToGrid w:val="0"/>
                    <w:jc w:val="center"/>
                    <w:rPr>
                      <w:rFonts w:eastAsiaTheme="minorEastAsia"/>
                      <w:color w:val="FF0000"/>
                      <w:szCs w:val="21"/>
                    </w:rPr>
                  </w:pPr>
                  <w:r>
                    <w:rPr>
                      <w:rFonts w:eastAsiaTheme="minorEastAsia"/>
                      <w:color w:val="FF0000"/>
                      <w:szCs w:val="21"/>
                    </w:rPr>
                    <w:t>符合</w:t>
                  </w:r>
                </w:p>
              </w:tc>
            </w:tr>
            <w:tr w14:paraId="02AD2AD3">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12" w:type="pct"/>
                  <w:tcBorders>
                    <w:tl2br w:val="nil"/>
                    <w:tr2bl w:val="nil"/>
                  </w:tcBorders>
                  <w:vAlign w:val="center"/>
                </w:tcPr>
                <w:p w14:paraId="7CAE4CBF">
                  <w:pPr>
                    <w:widowControl/>
                    <w:adjustRightInd w:val="0"/>
                    <w:snapToGrid w:val="0"/>
                    <w:rPr>
                      <w:rFonts w:eastAsiaTheme="minorEastAsia"/>
                      <w:kern w:val="0"/>
                      <w:szCs w:val="21"/>
                      <w:lang w:bidi="ar"/>
                    </w:rPr>
                  </w:pPr>
                  <w:r>
                    <w:rPr>
                      <w:rFonts w:hint="eastAsia" w:eastAsiaTheme="minorEastAsia"/>
                      <w:kern w:val="0"/>
                      <w:szCs w:val="21"/>
                      <w:lang w:bidi="ar"/>
                    </w:rPr>
                    <w:t>3</w:t>
                  </w:r>
                </w:p>
              </w:tc>
              <w:tc>
                <w:tcPr>
                  <w:tcW w:w="1849" w:type="pct"/>
                  <w:tcBorders>
                    <w:tl2br w:val="nil"/>
                    <w:tr2bl w:val="nil"/>
                  </w:tcBorders>
                  <w:vAlign w:val="center"/>
                </w:tcPr>
                <w:p w14:paraId="45C33CF0">
                  <w:pPr>
                    <w:widowControl/>
                    <w:adjustRightInd w:val="0"/>
                    <w:snapToGrid w:val="0"/>
                    <w:rPr>
                      <w:rFonts w:eastAsiaTheme="minorEastAsia"/>
                      <w:kern w:val="0"/>
                      <w:szCs w:val="21"/>
                      <w:lang w:val="zh-CN" w:bidi="ar"/>
                    </w:rPr>
                  </w:pPr>
                  <w:r>
                    <w:rPr>
                      <w:rFonts w:eastAsiaTheme="minorEastAsia"/>
                      <w:kern w:val="0"/>
                      <w:szCs w:val="21"/>
                      <w:lang w:val="zh-CN" w:bidi="ar"/>
                    </w:rPr>
                    <w:t>4.2.2面积</w:t>
                  </w:r>
                </w:p>
                <w:p w14:paraId="6E059F46">
                  <w:pPr>
                    <w:widowControl/>
                    <w:adjustRightInd w:val="0"/>
                    <w:snapToGrid w:val="0"/>
                    <w:rPr>
                      <w:rFonts w:eastAsiaTheme="minorEastAsia"/>
                      <w:kern w:val="0"/>
                      <w:szCs w:val="21"/>
                      <w:lang w:bidi="ar"/>
                    </w:rPr>
                  </w:pPr>
                  <w:r>
                    <w:rPr>
                      <w:rFonts w:eastAsiaTheme="minorEastAsia"/>
                      <w:kern w:val="0"/>
                      <w:szCs w:val="21"/>
                      <w:lang w:bidi="ar"/>
                    </w:rPr>
                    <w:t>Ⅳ</w:t>
                  </w:r>
                  <w:r>
                    <w:rPr>
                      <w:rFonts w:eastAsiaTheme="minorEastAsia"/>
                      <w:kern w:val="0"/>
                      <w:szCs w:val="21"/>
                      <w:lang w:val="zh-CN" w:bidi="ar"/>
                    </w:rPr>
                    <w:t>档经营面积不低</w:t>
                  </w:r>
                  <w:r>
                    <w:rPr>
                      <w:rFonts w:eastAsiaTheme="minorEastAsia"/>
                      <w:kern w:val="0"/>
                      <w:szCs w:val="21"/>
                      <w:lang w:bidi="ar"/>
                    </w:rPr>
                    <w:t>1</w:t>
                  </w:r>
                  <w:r>
                    <w:rPr>
                      <w:rFonts w:eastAsiaTheme="minorEastAsia"/>
                      <w:kern w:val="0"/>
                      <w:szCs w:val="21"/>
                      <w:lang w:val="zh-CN" w:bidi="ar"/>
                    </w:rPr>
                    <w:t>0000m</w:t>
                  </w:r>
                  <w:r>
                    <w:rPr>
                      <w:rFonts w:eastAsiaTheme="minorEastAsia"/>
                      <w:kern w:val="0"/>
                      <w:szCs w:val="21"/>
                      <w:vertAlign w:val="superscript"/>
                      <w:lang w:val="zh-CN" w:bidi="ar"/>
                    </w:rPr>
                    <w:t>2</w:t>
                  </w:r>
                  <w:r>
                    <w:rPr>
                      <w:rFonts w:eastAsiaTheme="minorEastAsia"/>
                      <w:kern w:val="0"/>
                      <w:szCs w:val="21"/>
                      <w:lang w:val="zh-CN" w:bidi="ar"/>
                    </w:rPr>
                    <w:t>,其中作业场地(包括拆解和</w:t>
                  </w:r>
                  <w:r>
                    <w:rPr>
                      <w:rFonts w:eastAsiaTheme="minorEastAsia"/>
                      <w:kern w:val="0"/>
                      <w:szCs w:val="21"/>
                      <w:lang w:bidi="ar"/>
                    </w:rPr>
                    <w:t>贮</w:t>
                  </w:r>
                  <w:r>
                    <w:rPr>
                      <w:rFonts w:eastAsiaTheme="minorEastAsia"/>
                      <w:kern w:val="0"/>
                      <w:szCs w:val="21"/>
                      <w:lang w:val="zh-CN" w:bidi="ar"/>
                    </w:rPr>
                    <w:t>存场地)面积不低于经营面积的60%。</w:t>
                  </w:r>
                </w:p>
              </w:tc>
              <w:tc>
                <w:tcPr>
                  <w:tcW w:w="2555" w:type="pct"/>
                  <w:tcBorders>
                    <w:tl2br w:val="nil"/>
                    <w:tr2bl w:val="nil"/>
                  </w:tcBorders>
                  <w:vAlign w:val="center"/>
                </w:tcPr>
                <w:p w14:paraId="68BC2355">
                  <w:pPr>
                    <w:widowControl/>
                    <w:adjustRightInd w:val="0"/>
                    <w:snapToGrid w:val="0"/>
                    <w:jc w:val="center"/>
                    <w:rPr>
                      <w:rFonts w:eastAsiaTheme="minorEastAsia"/>
                      <w:kern w:val="0"/>
                      <w:szCs w:val="21"/>
                      <w:lang w:bidi="ar"/>
                    </w:rPr>
                  </w:pPr>
                  <w:r>
                    <w:rPr>
                      <w:rFonts w:eastAsiaTheme="minorEastAsia"/>
                      <w:kern w:val="0"/>
                      <w:szCs w:val="21"/>
                      <w:lang w:bidi="ar"/>
                    </w:rPr>
                    <w:t>本项目厂区内作业场地(包括</w:t>
                  </w:r>
                  <w:r>
                    <w:rPr>
                      <w:rFonts w:hint="eastAsia" w:eastAsiaTheme="minorEastAsia"/>
                      <w:kern w:val="0"/>
                      <w:szCs w:val="21"/>
                      <w:lang w:val="en-US" w:eastAsia="zh-CN" w:bidi="ar"/>
                    </w:rPr>
                    <w:t>拆解</w:t>
                  </w:r>
                  <w:r>
                    <w:rPr>
                      <w:rFonts w:eastAsiaTheme="minorEastAsia"/>
                      <w:kern w:val="0"/>
                      <w:szCs w:val="21"/>
                      <w:lang w:bidi="ar"/>
                    </w:rPr>
                    <w:t>车间、贮存场地)面积总</w:t>
                  </w:r>
                  <w:r>
                    <w:rPr>
                      <w:rFonts w:eastAsiaTheme="minorEastAsia"/>
                      <w:kern w:val="0"/>
                      <w:szCs w:val="21"/>
                      <w:highlight w:val="none"/>
                      <w:lang w:bidi="ar"/>
                    </w:rPr>
                    <w:t>计</w:t>
                  </w:r>
                  <w:r>
                    <w:rPr>
                      <w:rFonts w:hint="eastAsia" w:eastAsiaTheme="minorEastAsia"/>
                      <w:kern w:val="0"/>
                      <w:szCs w:val="21"/>
                      <w:highlight w:val="none"/>
                      <w:lang w:val="en-US" w:eastAsia="zh-CN" w:bidi="ar"/>
                    </w:rPr>
                    <w:t>10</w:t>
                  </w:r>
                  <w:r>
                    <w:rPr>
                      <w:rFonts w:eastAsiaTheme="minorEastAsia"/>
                      <w:kern w:val="0"/>
                      <w:szCs w:val="21"/>
                      <w:highlight w:val="none"/>
                      <w:lang w:bidi="ar"/>
                    </w:rPr>
                    <w:t>000m</w:t>
                  </w:r>
                  <w:r>
                    <w:rPr>
                      <w:rFonts w:eastAsiaTheme="minorEastAsia"/>
                      <w:kern w:val="0"/>
                      <w:szCs w:val="21"/>
                      <w:highlight w:val="none"/>
                      <w:vertAlign w:val="superscript"/>
                      <w:lang w:bidi="ar"/>
                    </w:rPr>
                    <w:t>2</w:t>
                  </w:r>
                  <w:r>
                    <w:rPr>
                      <w:rFonts w:eastAsiaTheme="minorEastAsia"/>
                      <w:kern w:val="0"/>
                      <w:szCs w:val="21"/>
                      <w:lang w:bidi="ar"/>
                    </w:rPr>
                    <w:t>，厂区占地面积为</w:t>
                  </w:r>
                  <w:r>
                    <w:rPr>
                      <w:rFonts w:hint="eastAsia" w:eastAsiaTheme="minorEastAsia"/>
                      <w:kern w:val="0"/>
                      <w:szCs w:val="21"/>
                      <w:lang w:val="en-US" w:eastAsia="zh-CN" w:bidi="ar"/>
                    </w:rPr>
                    <w:t>16</w:t>
                  </w:r>
                  <w:r>
                    <w:rPr>
                      <w:rFonts w:hint="eastAsia" w:eastAsiaTheme="minorEastAsia"/>
                      <w:kern w:val="0"/>
                      <w:szCs w:val="21"/>
                      <w:lang w:eastAsia="zh-CN" w:bidi="ar"/>
                    </w:rPr>
                    <w:t>000</w:t>
                  </w:r>
                  <w:r>
                    <w:rPr>
                      <w:rFonts w:eastAsiaTheme="minorEastAsia"/>
                      <w:kern w:val="0"/>
                      <w:szCs w:val="21"/>
                      <w:lang w:bidi="ar"/>
                    </w:rPr>
                    <w:t>m</w:t>
                  </w:r>
                  <w:r>
                    <w:rPr>
                      <w:rFonts w:eastAsiaTheme="minorEastAsia"/>
                      <w:kern w:val="0"/>
                      <w:szCs w:val="21"/>
                      <w:vertAlign w:val="superscript"/>
                      <w:lang w:bidi="ar"/>
                    </w:rPr>
                    <w:t>2</w:t>
                  </w:r>
                  <w:r>
                    <w:rPr>
                      <w:rFonts w:eastAsiaTheme="minorEastAsia"/>
                      <w:kern w:val="0"/>
                      <w:szCs w:val="21"/>
                      <w:lang w:bidi="ar"/>
                    </w:rPr>
                    <w:t>，经计算厂区作业场地面积占经营面积的</w:t>
                  </w:r>
                  <w:r>
                    <w:rPr>
                      <w:rFonts w:hint="eastAsia" w:eastAsiaTheme="minorEastAsia"/>
                      <w:kern w:val="0"/>
                      <w:szCs w:val="21"/>
                      <w:lang w:val="en-US" w:eastAsia="zh-CN" w:bidi="ar"/>
                    </w:rPr>
                    <w:t>62.5</w:t>
                  </w:r>
                  <w:r>
                    <w:rPr>
                      <w:rFonts w:eastAsiaTheme="minorEastAsia"/>
                      <w:kern w:val="0"/>
                      <w:szCs w:val="21"/>
                      <w:lang w:bidi="ar"/>
                    </w:rPr>
                    <w:t>%，符合相关要求。</w:t>
                  </w:r>
                </w:p>
              </w:tc>
              <w:tc>
                <w:tcPr>
                  <w:tcW w:w="283" w:type="pct"/>
                  <w:tcBorders>
                    <w:tl2br w:val="nil"/>
                    <w:tr2bl w:val="nil"/>
                  </w:tcBorders>
                  <w:vAlign w:val="center"/>
                </w:tcPr>
                <w:p w14:paraId="14A46B18">
                  <w:pPr>
                    <w:widowControl/>
                    <w:adjustRightInd w:val="0"/>
                    <w:snapToGrid w:val="0"/>
                    <w:jc w:val="center"/>
                    <w:rPr>
                      <w:rFonts w:eastAsiaTheme="minorEastAsia"/>
                      <w:szCs w:val="21"/>
                    </w:rPr>
                  </w:pPr>
                  <w:r>
                    <w:rPr>
                      <w:rFonts w:eastAsiaTheme="minorEastAsia"/>
                      <w:szCs w:val="21"/>
                    </w:rPr>
                    <w:t>符合</w:t>
                  </w:r>
                </w:p>
              </w:tc>
            </w:tr>
            <w:tr w14:paraId="65D35831">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12" w:type="pct"/>
                  <w:tcBorders>
                    <w:tl2br w:val="nil"/>
                    <w:tr2bl w:val="nil"/>
                  </w:tcBorders>
                  <w:vAlign w:val="center"/>
                </w:tcPr>
                <w:p w14:paraId="48508F7B">
                  <w:pPr>
                    <w:widowControl/>
                    <w:adjustRightInd w:val="0"/>
                    <w:snapToGrid w:val="0"/>
                    <w:rPr>
                      <w:rFonts w:eastAsiaTheme="minorEastAsia"/>
                      <w:kern w:val="0"/>
                      <w:szCs w:val="21"/>
                      <w:lang w:bidi="ar"/>
                    </w:rPr>
                  </w:pPr>
                  <w:r>
                    <w:rPr>
                      <w:rFonts w:hint="eastAsia" w:eastAsiaTheme="minorEastAsia"/>
                      <w:kern w:val="0"/>
                      <w:szCs w:val="21"/>
                      <w:lang w:bidi="ar"/>
                    </w:rPr>
                    <w:t>4</w:t>
                  </w:r>
                </w:p>
              </w:tc>
              <w:tc>
                <w:tcPr>
                  <w:tcW w:w="1849" w:type="pct"/>
                  <w:tcBorders>
                    <w:tl2br w:val="nil"/>
                    <w:tr2bl w:val="nil"/>
                  </w:tcBorders>
                  <w:vAlign w:val="center"/>
                </w:tcPr>
                <w:p w14:paraId="559D4FAE">
                  <w:pPr>
                    <w:widowControl/>
                    <w:adjustRightInd w:val="0"/>
                    <w:snapToGrid w:val="0"/>
                    <w:rPr>
                      <w:rFonts w:eastAsiaTheme="minorEastAsia"/>
                      <w:kern w:val="0"/>
                      <w:szCs w:val="21"/>
                      <w:lang w:bidi="ar"/>
                    </w:rPr>
                  </w:pPr>
                  <w:r>
                    <w:rPr>
                      <w:rFonts w:eastAsiaTheme="minorEastAsia"/>
                      <w:kern w:val="0"/>
                      <w:szCs w:val="21"/>
                      <w:lang w:bidi="ar"/>
                    </w:rPr>
                    <w:t>4.2.3企业场地建设符合HJ348的企业建设环境保护要求。</w:t>
                  </w:r>
                </w:p>
              </w:tc>
              <w:tc>
                <w:tcPr>
                  <w:tcW w:w="2555" w:type="pct"/>
                  <w:tcBorders>
                    <w:tl2br w:val="nil"/>
                    <w:tr2bl w:val="nil"/>
                  </w:tcBorders>
                  <w:vAlign w:val="center"/>
                </w:tcPr>
                <w:p w14:paraId="0F06A992">
                  <w:pPr>
                    <w:widowControl/>
                    <w:adjustRightInd w:val="0"/>
                    <w:snapToGrid w:val="0"/>
                    <w:jc w:val="center"/>
                    <w:rPr>
                      <w:rFonts w:eastAsiaTheme="minorEastAsia"/>
                      <w:kern w:val="0"/>
                      <w:szCs w:val="21"/>
                      <w:lang w:bidi="ar"/>
                    </w:rPr>
                  </w:pPr>
                  <w:r>
                    <w:rPr>
                      <w:rFonts w:hint="eastAsia" w:eastAsiaTheme="minorEastAsia"/>
                      <w:kern w:val="0"/>
                      <w:szCs w:val="21"/>
                      <w:lang w:bidi="ar"/>
                    </w:rPr>
                    <w:t>本项目严格按照《</w:t>
                  </w:r>
                  <w:bookmarkStart w:id="4" w:name="OLE_LINK1"/>
                  <w:r>
                    <w:rPr>
                      <w:rFonts w:hint="eastAsia" w:eastAsiaTheme="minorEastAsia"/>
                      <w:kern w:val="0"/>
                      <w:szCs w:val="21"/>
                      <w:lang w:bidi="ar"/>
                    </w:rPr>
                    <w:t>报废机动车拆解企业污染控制技术规范</w:t>
                  </w:r>
                  <w:bookmarkEnd w:id="4"/>
                  <w:r>
                    <w:rPr>
                      <w:rFonts w:hint="eastAsia" w:eastAsiaTheme="minorEastAsia"/>
                      <w:kern w:val="0"/>
                      <w:szCs w:val="21"/>
                      <w:lang w:bidi="ar"/>
                    </w:rPr>
                    <w:t>》（HJ348-2022）建设环境保护措施，废气、废水、噪声、固废均按要求达标排放。</w:t>
                  </w:r>
                </w:p>
              </w:tc>
              <w:tc>
                <w:tcPr>
                  <w:tcW w:w="283" w:type="pct"/>
                  <w:tcBorders>
                    <w:tl2br w:val="nil"/>
                    <w:tr2bl w:val="nil"/>
                  </w:tcBorders>
                  <w:vAlign w:val="center"/>
                </w:tcPr>
                <w:p w14:paraId="0DA3F3F9">
                  <w:pPr>
                    <w:widowControl/>
                    <w:adjustRightInd w:val="0"/>
                    <w:snapToGrid w:val="0"/>
                    <w:jc w:val="center"/>
                    <w:rPr>
                      <w:rFonts w:eastAsiaTheme="minorEastAsia"/>
                      <w:szCs w:val="21"/>
                    </w:rPr>
                  </w:pPr>
                  <w:r>
                    <w:rPr>
                      <w:rFonts w:eastAsiaTheme="minorEastAsia"/>
                      <w:szCs w:val="21"/>
                    </w:rPr>
                    <w:t>符合</w:t>
                  </w:r>
                </w:p>
              </w:tc>
            </w:tr>
            <w:tr w14:paraId="55B2EE7D">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12" w:type="pct"/>
                  <w:tcBorders>
                    <w:tl2br w:val="nil"/>
                    <w:tr2bl w:val="nil"/>
                  </w:tcBorders>
                  <w:vAlign w:val="center"/>
                </w:tcPr>
                <w:p w14:paraId="77EB4D9A">
                  <w:pPr>
                    <w:widowControl/>
                    <w:adjustRightInd w:val="0"/>
                    <w:snapToGrid w:val="0"/>
                    <w:rPr>
                      <w:rFonts w:eastAsiaTheme="minorEastAsia"/>
                      <w:kern w:val="0"/>
                      <w:szCs w:val="21"/>
                      <w:lang w:bidi="ar"/>
                    </w:rPr>
                  </w:pPr>
                  <w:r>
                    <w:rPr>
                      <w:rFonts w:hint="eastAsia" w:eastAsiaTheme="minorEastAsia"/>
                      <w:kern w:val="0"/>
                      <w:szCs w:val="21"/>
                      <w:lang w:bidi="ar"/>
                    </w:rPr>
                    <w:t>5</w:t>
                  </w:r>
                </w:p>
              </w:tc>
              <w:tc>
                <w:tcPr>
                  <w:tcW w:w="1849" w:type="pct"/>
                  <w:tcBorders>
                    <w:tl2br w:val="nil"/>
                    <w:tr2bl w:val="nil"/>
                  </w:tcBorders>
                  <w:vAlign w:val="center"/>
                </w:tcPr>
                <w:p w14:paraId="190D0C2D">
                  <w:pPr>
                    <w:widowControl/>
                    <w:adjustRightInd w:val="0"/>
                    <w:snapToGrid w:val="0"/>
                    <w:rPr>
                      <w:rFonts w:eastAsiaTheme="minorEastAsia"/>
                      <w:kern w:val="0"/>
                      <w:szCs w:val="21"/>
                      <w:lang w:bidi="ar"/>
                    </w:rPr>
                  </w:pPr>
                  <w:r>
                    <w:rPr>
                      <w:rFonts w:eastAsiaTheme="minorEastAsia"/>
                      <w:kern w:val="0"/>
                      <w:szCs w:val="21"/>
                      <w:lang w:bidi="ar"/>
                    </w:rPr>
                    <w:t>4.2.4企业场地应具备拆解场地、贮存场地和办公场地。其中，拆解场地和贮存场地(包括临时贮存）的地面应硬化并防渗漏，满足GB50037的耐磨和耐揸击地面及防油渗地面要求。</w:t>
                  </w:r>
                </w:p>
              </w:tc>
              <w:tc>
                <w:tcPr>
                  <w:tcW w:w="2555" w:type="pct"/>
                  <w:tcBorders>
                    <w:tl2br w:val="nil"/>
                    <w:tr2bl w:val="nil"/>
                  </w:tcBorders>
                  <w:vAlign w:val="center"/>
                </w:tcPr>
                <w:p w14:paraId="2498DE4F">
                  <w:pPr>
                    <w:widowControl/>
                    <w:adjustRightInd w:val="0"/>
                    <w:snapToGrid w:val="0"/>
                    <w:jc w:val="center"/>
                    <w:rPr>
                      <w:rFonts w:eastAsiaTheme="minorEastAsia"/>
                      <w:kern w:val="0"/>
                      <w:szCs w:val="21"/>
                      <w:lang w:bidi="ar"/>
                    </w:rPr>
                  </w:pPr>
                  <w:r>
                    <w:rPr>
                      <w:rFonts w:eastAsiaTheme="minorEastAsia"/>
                      <w:kern w:val="0"/>
                      <w:szCs w:val="21"/>
                      <w:lang w:bidi="ar"/>
                    </w:rPr>
                    <w:t>本项目设有拆解场地、贮存场地和办公场地，拆解场地和贮存场地根据GB50037的耐磨和耐揸击地面及防油渗地面要求采取了地面硬化并防渗漏建设。</w:t>
                  </w:r>
                </w:p>
              </w:tc>
              <w:tc>
                <w:tcPr>
                  <w:tcW w:w="283" w:type="pct"/>
                  <w:tcBorders>
                    <w:tl2br w:val="nil"/>
                    <w:tr2bl w:val="nil"/>
                  </w:tcBorders>
                  <w:vAlign w:val="center"/>
                </w:tcPr>
                <w:p w14:paraId="17954CE0">
                  <w:pPr>
                    <w:widowControl/>
                    <w:adjustRightInd w:val="0"/>
                    <w:snapToGrid w:val="0"/>
                    <w:jc w:val="center"/>
                    <w:rPr>
                      <w:rFonts w:eastAsiaTheme="minorEastAsia"/>
                      <w:szCs w:val="21"/>
                    </w:rPr>
                  </w:pPr>
                  <w:r>
                    <w:rPr>
                      <w:rFonts w:eastAsiaTheme="minorEastAsia"/>
                      <w:szCs w:val="21"/>
                    </w:rPr>
                    <w:t>符合</w:t>
                  </w:r>
                </w:p>
              </w:tc>
            </w:tr>
            <w:tr w14:paraId="37F5C7CC">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12" w:type="pct"/>
                  <w:tcBorders>
                    <w:tl2br w:val="nil"/>
                    <w:tr2bl w:val="nil"/>
                  </w:tcBorders>
                  <w:vAlign w:val="center"/>
                </w:tcPr>
                <w:p w14:paraId="4C740554">
                  <w:pPr>
                    <w:widowControl/>
                    <w:adjustRightInd w:val="0"/>
                    <w:snapToGrid w:val="0"/>
                    <w:rPr>
                      <w:rFonts w:eastAsiaTheme="minorEastAsia"/>
                      <w:kern w:val="0"/>
                      <w:szCs w:val="21"/>
                      <w:lang w:bidi="ar"/>
                    </w:rPr>
                  </w:pPr>
                  <w:r>
                    <w:rPr>
                      <w:rFonts w:hint="eastAsia" w:eastAsiaTheme="minorEastAsia"/>
                      <w:kern w:val="0"/>
                      <w:szCs w:val="21"/>
                      <w:lang w:bidi="ar"/>
                    </w:rPr>
                    <w:t>6</w:t>
                  </w:r>
                </w:p>
              </w:tc>
              <w:tc>
                <w:tcPr>
                  <w:tcW w:w="1849" w:type="pct"/>
                  <w:tcBorders>
                    <w:tl2br w:val="nil"/>
                    <w:tr2bl w:val="nil"/>
                  </w:tcBorders>
                  <w:vAlign w:val="center"/>
                </w:tcPr>
                <w:p w14:paraId="19FD5224">
                  <w:pPr>
                    <w:widowControl/>
                    <w:adjustRightInd w:val="0"/>
                    <w:snapToGrid w:val="0"/>
                    <w:rPr>
                      <w:rFonts w:eastAsiaTheme="minorEastAsia"/>
                      <w:kern w:val="0"/>
                      <w:szCs w:val="21"/>
                      <w:lang w:val="zh-CN" w:bidi="ar"/>
                    </w:rPr>
                  </w:pPr>
                  <w:r>
                    <w:rPr>
                      <w:rFonts w:eastAsiaTheme="minorEastAsia"/>
                      <w:kern w:val="0"/>
                      <w:szCs w:val="21"/>
                      <w:lang w:val="zh-CN" w:bidi="ar"/>
                    </w:rPr>
                    <w:t>4.2.5拆解场地应为封闭或半封闭构建物，应通风、光线良好，安全环保设施设备齐全。</w:t>
                  </w:r>
                </w:p>
              </w:tc>
              <w:tc>
                <w:tcPr>
                  <w:tcW w:w="2555" w:type="pct"/>
                  <w:tcBorders>
                    <w:tl2br w:val="nil"/>
                    <w:tr2bl w:val="nil"/>
                  </w:tcBorders>
                  <w:vAlign w:val="center"/>
                </w:tcPr>
                <w:p w14:paraId="2644F4C3">
                  <w:pPr>
                    <w:widowControl/>
                    <w:adjustRightInd w:val="0"/>
                    <w:snapToGrid w:val="0"/>
                    <w:jc w:val="center"/>
                    <w:rPr>
                      <w:rFonts w:eastAsiaTheme="minorEastAsia"/>
                      <w:kern w:val="0"/>
                      <w:szCs w:val="21"/>
                      <w:lang w:bidi="ar"/>
                    </w:rPr>
                  </w:pPr>
                  <w:r>
                    <w:rPr>
                      <w:rFonts w:eastAsiaTheme="minorEastAsia"/>
                      <w:kern w:val="0"/>
                      <w:szCs w:val="21"/>
                      <w:lang w:bidi="ar"/>
                    </w:rPr>
                    <w:t>本项目拆解场地为封闭车间，通风、光线良好，安全防范设施齐全。</w:t>
                  </w:r>
                </w:p>
              </w:tc>
              <w:tc>
                <w:tcPr>
                  <w:tcW w:w="283" w:type="pct"/>
                  <w:tcBorders>
                    <w:tl2br w:val="nil"/>
                    <w:tr2bl w:val="nil"/>
                  </w:tcBorders>
                  <w:vAlign w:val="center"/>
                </w:tcPr>
                <w:p w14:paraId="3E6EB3D5">
                  <w:pPr>
                    <w:widowControl/>
                    <w:adjustRightInd w:val="0"/>
                    <w:snapToGrid w:val="0"/>
                    <w:jc w:val="center"/>
                    <w:rPr>
                      <w:rFonts w:eastAsiaTheme="minorEastAsia"/>
                      <w:szCs w:val="21"/>
                    </w:rPr>
                  </w:pPr>
                  <w:r>
                    <w:rPr>
                      <w:rFonts w:eastAsiaTheme="minorEastAsia"/>
                      <w:szCs w:val="21"/>
                    </w:rPr>
                    <w:t>符合</w:t>
                  </w:r>
                </w:p>
              </w:tc>
            </w:tr>
            <w:tr w14:paraId="3AA9D102">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12" w:type="pct"/>
                  <w:tcBorders>
                    <w:tl2br w:val="nil"/>
                    <w:tr2bl w:val="nil"/>
                  </w:tcBorders>
                  <w:vAlign w:val="center"/>
                </w:tcPr>
                <w:p w14:paraId="6AFEB9A5">
                  <w:pPr>
                    <w:widowControl/>
                    <w:adjustRightInd w:val="0"/>
                    <w:snapToGrid w:val="0"/>
                    <w:rPr>
                      <w:rFonts w:eastAsiaTheme="minorEastAsia"/>
                      <w:spacing w:val="-6"/>
                      <w:szCs w:val="21"/>
                    </w:rPr>
                  </w:pPr>
                  <w:r>
                    <w:rPr>
                      <w:rFonts w:hint="eastAsia" w:eastAsiaTheme="minorEastAsia"/>
                      <w:spacing w:val="-6"/>
                      <w:szCs w:val="21"/>
                    </w:rPr>
                    <w:t>7</w:t>
                  </w:r>
                </w:p>
              </w:tc>
              <w:tc>
                <w:tcPr>
                  <w:tcW w:w="1849" w:type="pct"/>
                  <w:tcBorders>
                    <w:tl2br w:val="nil"/>
                    <w:tr2bl w:val="nil"/>
                  </w:tcBorders>
                  <w:vAlign w:val="center"/>
                </w:tcPr>
                <w:p w14:paraId="4924D54B">
                  <w:pPr>
                    <w:widowControl/>
                    <w:adjustRightInd w:val="0"/>
                    <w:snapToGrid w:val="0"/>
                    <w:rPr>
                      <w:rFonts w:eastAsiaTheme="minorEastAsia"/>
                      <w:spacing w:val="-6"/>
                      <w:szCs w:val="21"/>
                      <w:lang w:val="zh-CN"/>
                    </w:rPr>
                  </w:pPr>
                  <w:r>
                    <w:rPr>
                      <w:rFonts w:eastAsiaTheme="minorEastAsia"/>
                      <w:spacing w:val="-6"/>
                      <w:szCs w:val="21"/>
                    </w:rPr>
                    <w:t>4.2.6贮存场地应分为报废机动车贮存场地、回用件贮存场地及固体废物贮存场地。固体废物贮存场地应具有满足GB18599要求的一般工业固体废物贮存设施和满足GB18597要求的危险废物贮存设施。</w:t>
                  </w:r>
                </w:p>
              </w:tc>
              <w:tc>
                <w:tcPr>
                  <w:tcW w:w="2555" w:type="pct"/>
                  <w:tcBorders>
                    <w:tl2br w:val="nil"/>
                    <w:tr2bl w:val="nil"/>
                  </w:tcBorders>
                  <w:vAlign w:val="center"/>
                </w:tcPr>
                <w:p w14:paraId="25177CE2">
                  <w:pPr>
                    <w:widowControl/>
                    <w:adjustRightInd w:val="0"/>
                    <w:snapToGrid w:val="0"/>
                    <w:jc w:val="center"/>
                    <w:rPr>
                      <w:rFonts w:eastAsiaTheme="minorEastAsia"/>
                      <w:kern w:val="0"/>
                      <w:szCs w:val="21"/>
                      <w:lang w:bidi="ar"/>
                    </w:rPr>
                  </w:pPr>
                  <w:r>
                    <w:rPr>
                      <w:rFonts w:eastAsiaTheme="minorEastAsia"/>
                      <w:kern w:val="0"/>
                      <w:szCs w:val="21"/>
                      <w:lang w:bidi="ar"/>
                    </w:rPr>
                    <w:t>本项目设置报废机动车贮存区、</w:t>
                  </w:r>
                  <w:r>
                    <w:rPr>
                      <w:rFonts w:hint="eastAsia" w:eastAsiaTheme="minorEastAsia"/>
                      <w:kern w:val="0"/>
                      <w:szCs w:val="21"/>
                      <w:lang w:eastAsia="zh-CN" w:bidi="ar"/>
                    </w:rPr>
                    <w:t>回用件贮存区</w:t>
                  </w:r>
                  <w:r>
                    <w:rPr>
                      <w:rFonts w:eastAsiaTheme="minorEastAsia"/>
                      <w:kern w:val="0"/>
                      <w:szCs w:val="21"/>
                      <w:lang w:bidi="ar"/>
                    </w:rPr>
                    <w:t>、一般固体废物暂存区和</w:t>
                  </w:r>
                  <w:r>
                    <w:rPr>
                      <w:rFonts w:hint="eastAsia" w:eastAsiaTheme="minorEastAsia"/>
                      <w:kern w:val="0"/>
                      <w:szCs w:val="21"/>
                      <w:lang w:eastAsia="zh-CN" w:bidi="ar"/>
                    </w:rPr>
                    <w:t>危废贮存点</w:t>
                  </w:r>
                  <w:r>
                    <w:rPr>
                      <w:rFonts w:eastAsiaTheme="minorEastAsia"/>
                      <w:kern w:val="0"/>
                      <w:szCs w:val="21"/>
                      <w:lang w:bidi="ar"/>
                    </w:rPr>
                    <w:t>。</w:t>
                  </w:r>
                  <w:r>
                    <w:rPr>
                      <w:rFonts w:hint="eastAsia" w:eastAsiaTheme="minorEastAsia"/>
                      <w:kern w:val="0"/>
                      <w:szCs w:val="21"/>
                      <w:lang w:eastAsia="zh-CN" w:bidi="ar"/>
                    </w:rPr>
                    <w:t>危废贮存点</w:t>
                  </w:r>
                  <w:r>
                    <w:rPr>
                      <w:rFonts w:eastAsiaTheme="minorEastAsia"/>
                      <w:kern w:val="0"/>
                      <w:szCs w:val="21"/>
                      <w:lang w:bidi="ar"/>
                    </w:rPr>
                    <w:t>满足GB18597要求，固体废物贮存场地满足</w:t>
                  </w:r>
                </w:p>
                <w:p w14:paraId="111EAD64">
                  <w:pPr>
                    <w:widowControl/>
                    <w:adjustRightInd w:val="0"/>
                    <w:snapToGrid w:val="0"/>
                    <w:jc w:val="center"/>
                    <w:rPr>
                      <w:rFonts w:eastAsiaTheme="minorEastAsia"/>
                      <w:kern w:val="0"/>
                      <w:szCs w:val="21"/>
                      <w:lang w:bidi="ar"/>
                    </w:rPr>
                  </w:pPr>
                  <w:r>
                    <w:rPr>
                      <w:rFonts w:eastAsiaTheme="minorEastAsia"/>
                      <w:kern w:val="0"/>
                      <w:szCs w:val="21"/>
                      <w:lang w:bidi="ar"/>
                    </w:rPr>
                    <w:t>GB18599要求的一般工业固体废物贮存设施要求。</w:t>
                  </w:r>
                </w:p>
              </w:tc>
              <w:tc>
                <w:tcPr>
                  <w:tcW w:w="283" w:type="pct"/>
                  <w:tcBorders>
                    <w:tl2br w:val="nil"/>
                    <w:tr2bl w:val="nil"/>
                  </w:tcBorders>
                  <w:vAlign w:val="center"/>
                </w:tcPr>
                <w:p w14:paraId="60EE8D26">
                  <w:pPr>
                    <w:widowControl/>
                    <w:adjustRightInd w:val="0"/>
                    <w:snapToGrid w:val="0"/>
                    <w:jc w:val="center"/>
                    <w:rPr>
                      <w:rFonts w:eastAsiaTheme="minorEastAsia"/>
                      <w:szCs w:val="21"/>
                    </w:rPr>
                  </w:pPr>
                  <w:r>
                    <w:rPr>
                      <w:rFonts w:eastAsiaTheme="minorEastAsia"/>
                      <w:szCs w:val="21"/>
                    </w:rPr>
                    <w:t>符合</w:t>
                  </w:r>
                </w:p>
              </w:tc>
            </w:tr>
            <w:tr w14:paraId="6B936BE3">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12" w:type="pct"/>
                  <w:tcBorders>
                    <w:tl2br w:val="nil"/>
                    <w:tr2bl w:val="nil"/>
                  </w:tcBorders>
                  <w:vAlign w:val="center"/>
                </w:tcPr>
                <w:p w14:paraId="1FC40A47">
                  <w:pPr>
                    <w:widowControl/>
                    <w:adjustRightInd w:val="0"/>
                    <w:snapToGrid w:val="0"/>
                    <w:rPr>
                      <w:rFonts w:eastAsiaTheme="minorEastAsia"/>
                      <w:spacing w:val="-6"/>
                      <w:szCs w:val="21"/>
                    </w:rPr>
                  </w:pPr>
                  <w:r>
                    <w:rPr>
                      <w:rFonts w:hint="eastAsia" w:eastAsiaTheme="minorEastAsia"/>
                      <w:spacing w:val="-6"/>
                      <w:szCs w:val="21"/>
                    </w:rPr>
                    <w:t>8</w:t>
                  </w:r>
                </w:p>
              </w:tc>
              <w:tc>
                <w:tcPr>
                  <w:tcW w:w="1849" w:type="pct"/>
                  <w:tcBorders>
                    <w:tl2br w:val="nil"/>
                    <w:tr2bl w:val="nil"/>
                  </w:tcBorders>
                  <w:vAlign w:val="center"/>
                </w:tcPr>
                <w:p w14:paraId="3ECB0362">
                  <w:pPr>
                    <w:widowControl/>
                    <w:adjustRightInd w:val="0"/>
                    <w:snapToGrid w:val="0"/>
                    <w:rPr>
                      <w:rFonts w:eastAsiaTheme="minorEastAsia"/>
                      <w:spacing w:val="-6"/>
                      <w:szCs w:val="21"/>
                    </w:rPr>
                  </w:pPr>
                  <w:r>
                    <w:rPr>
                      <w:rFonts w:eastAsiaTheme="minorEastAsia"/>
                      <w:spacing w:val="-6"/>
                      <w:szCs w:val="21"/>
                    </w:rPr>
                    <w:t>4.2.7拆解电动汽车的企业还应满足以下场地建设要求：</w:t>
                  </w:r>
                </w:p>
                <w:p w14:paraId="0D4DAC48">
                  <w:pPr>
                    <w:widowControl/>
                    <w:adjustRightInd w:val="0"/>
                    <w:snapToGrid w:val="0"/>
                    <w:rPr>
                      <w:rFonts w:eastAsiaTheme="minorEastAsia"/>
                      <w:spacing w:val="-6"/>
                      <w:szCs w:val="21"/>
                    </w:rPr>
                  </w:pPr>
                  <w:r>
                    <w:rPr>
                      <w:rFonts w:eastAsiaTheme="minorEastAsia"/>
                      <w:spacing w:val="-6"/>
                      <w:szCs w:val="21"/>
                    </w:rPr>
                    <w:t>a)具备电动汽车贮存场地、动力蓄电池贮存场地和动力蓄电池拆卸专用场地。场地应设有高压 警示、区域隔离及危险识别标志，并具有防腐防渗紧急收集池及专用容器，用于收集动力蓄电 池等破损时泄漏出的电解液、冷却液等有毒有害液体。</w:t>
                  </w:r>
                </w:p>
                <w:p w14:paraId="77D70C49">
                  <w:pPr>
                    <w:widowControl/>
                    <w:adjustRightInd w:val="0"/>
                    <w:snapToGrid w:val="0"/>
                    <w:rPr>
                      <w:rFonts w:eastAsiaTheme="minorEastAsia"/>
                      <w:spacing w:val="-6"/>
                      <w:szCs w:val="21"/>
                    </w:rPr>
                  </w:pPr>
                  <w:r>
                    <w:rPr>
                      <w:rFonts w:eastAsiaTheme="minorEastAsia"/>
                      <w:spacing w:val="-6"/>
                      <w:szCs w:val="21"/>
                    </w:rPr>
                    <w:t>b)电动汽车贮存场地应单独管理，并保持通风。</w:t>
                  </w:r>
                </w:p>
                <w:p w14:paraId="0FFF4D53">
                  <w:pPr>
                    <w:widowControl/>
                    <w:adjustRightInd w:val="0"/>
                    <w:snapToGrid w:val="0"/>
                    <w:rPr>
                      <w:rFonts w:eastAsiaTheme="minorEastAsia"/>
                      <w:spacing w:val="-6"/>
                      <w:szCs w:val="21"/>
                    </w:rPr>
                  </w:pPr>
                  <w:r>
                    <w:rPr>
                      <w:rFonts w:eastAsiaTheme="minorEastAsia"/>
                      <w:spacing w:val="-6"/>
                      <w:szCs w:val="21"/>
                    </w:rPr>
                    <w:t>c)动力蓄电池贮存场地应设在易燃、易爆等危险品仓库及高压输电线路防护区域以外，并设有烟 雾报警器等火灾自动报警设施。</w:t>
                  </w:r>
                </w:p>
                <w:p w14:paraId="504625EB">
                  <w:pPr>
                    <w:widowControl/>
                    <w:adjustRightInd w:val="0"/>
                    <w:snapToGrid w:val="0"/>
                    <w:rPr>
                      <w:rFonts w:eastAsiaTheme="minorEastAsia"/>
                      <w:spacing w:val="-6"/>
                      <w:szCs w:val="21"/>
                    </w:rPr>
                  </w:pPr>
                  <w:r>
                    <w:rPr>
                      <w:rFonts w:eastAsiaTheme="minorEastAsia"/>
                      <w:spacing w:val="-6"/>
                      <w:szCs w:val="21"/>
                    </w:rPr>
                    <w:t>d)动力蓄电池拆卸专用场地地面应做绝缘处理。</w:t>
                  </w:r>
                </w:p>
              </w:tc>
              <w:tc>
                <w:tcPr>
                  <w:tcW w:w="2555" w:type="pct"/>
                  <w:tcBorders>
                    <w:tl2br w:val="nil"/>
                    <w:tr2bl w:val="nil"/>
                  </w:tcBorders>
                  <w:vAlign w:val="center"/>
                </w:tcPr>
                <w:p w14:paraId="2E298E20">
                  <w:pPr>
                    <w:widowControl/>
                    <w:adjustRightInd w:val="0"/>
                    <w:snapToGrid w:val="0"/>
                    <w:jc w:val="center"/>
                    <w:rPr>
                      <w:rFonts w:eastAsiaTheme="minorEastAsia"/>
                      <w:kern w:val="0"/>
                      <w:szCs w:val="21"/>
                      <w:lang w:bidi="ar"/>
                    </w:rPr>
                  </w:pPr>
                  <w:r>
                    <w:rPr>
                      <w:rFonts w:hint="eastAsia" w:eastAsiaTheme="minorEastAsia"/>
                      <w:kern w:val="0"/>
                      <w:szCs w:val="21"/>
                      <w:lang w:bidi="ar"/>
                    </w:rPr>
                    <w:t>本项目厂区内</w:t>
                  </w:r>
                  <w:r>
                    <w:rPr>
                      <w:rFonts w:eastAsiaTheme="minorEastAsia"/>
                      <w:kern w:val="0"/>
                      <w:szCs w:val="21"/>
                      <w:lang w:bidi="ar"/>
                    </w:rPr>
                    <w:t>独立设置电动汽车贮存区、动力蓄电池贮存区及电池拆卸专用作业区，各区域需通过高压警示标识、物理隔离带及危险标识进行明确区分，其中电池贮存区须远离危险品仓库及高压输电线路，并配置烟雾报警系统和自动消防设施；所有场地均需配备防腐蚀、防渗漏的应急收集池及专用密封容器，用于电解液等有害物质的紧急收集；电动汽车贮存区域需实施封闭式管理并保持强制通风系统运行，动力蓄电池拆卸区域地面需采用符合国家标准的高压绝缘材料进行处理，确保作业人员与设备绝缘安全。通过多层级安全防控体系的构建，实现危险源隔离、泄漏防控和火灾预警的全方位保障。</w:t>
                  </w:r>
                </w:p>
              </w:tc>
              <w:tc>
                <w:tcPr>
                  <w:tcW w:w="283" w:type="pct"/>
                  <w:tcBorders>
                    <w:tl2br w:val="nil"/>
                    <w:tr2bl w:val="nil"/>
                  </w:tcBorders>
                  <w:vAlign w:val="center"/>
                </w:tcPr>
                <w:p w14:paraId="0B3E2EBB">
                  <w:pPr>
                    <w:widowControl/>
                    <w:adjustRightInd w:val="0"/>
                    <w:snapToGrid w:val="0"/>
                    <w:jc w:val="center"/>
                    <w:rPr>
                      <w:rFonts w:eastAsiaTheme="minorEastAsia"/>
                      <w:szCs w:val="21"/>
                    </w:rPr>
                  </w:pPr>
                  <w:r>
                    <w:rPr>
                      <w:rFonts w:hint="eastAsia" w:eastAsiaTheme="minorEastAsia"/>
                      <w:szCs w:val="21"/>
                    </w:rPr>
                    <w:t>符合</w:t>
                  </w:r>
                </w:p>
              </w:tc>
            </w:tr>
            <w:tr w14:paraId="326F3B8A">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12" w:type="pct"/>
                  <w:tcBorders>
                    <w:tl2br w:val="nil"/>
                    <w:tr2bl w:val="nil"/>
                  </w:tcBorders>
                  <w:vAlign w:val="center"/>
                </w:tcPr>
                <w:p w14:paraId="119EC6E6">
                  <w:pPr>
                    <w:widowControl/>
                    <w:adjustRightInd w:val="0"/>
                    <w:snapToGrid w:val="0"/>
                    <w:rPr>
                      <w:rFonts w:eastAsiaTheme="minorEastAsia"/>
                      <w:spacing w:val="-6"/>
                      <w:szCs w:val="21"/>
                    </w:rPr>
                  </w:pPr>
                  <w:r>
                    <w:rPr>
                      <w:rFonts w:hint="eastAsia" w:eastAsiaTheme="minorEastAsia"/>
                      <w:spacing w:val="-6"/>
                      <w:szCs w:val="21"/>
                    </w:rPr>
                    <w:t>9</w:t>
                  </w:r>
                </w:p>
              </w:tc>
              <w:tc>
                <w:tcPr>
                  <w:tcW w:w="1849" w:type="pct"/>
                  <w:tcBorders>
                    <w:tl2br w:val="nil"/>
                    <w:tr2bl w:val="nil"/>
                  </w:tcBorders>
                  <w:vAlign w:val="center"/>
                </w:tcPr>
                <w:p w14:paraId="13411A88">
                  <w:pPr>
                    <w:widowControl/>
                    <w:adjustRightInd w:val="0"/>
                    <w:snapToGrid w:val="0"/>
                    <w:rPr>
                      <w:rFonts w:eastAsiaTheme="minorEastAsia"/>
                      <w:spacing w:val="-6"/>
                      <w:szCs w:val="21"/>
                    </w:rPr>
                  </w:pPr>
                  <w:r>
                    <w:rPr>
                      <w:rFonts w:eastAsiaTheme="minorEastAsia"/>
                      <w:spacing w:val="-6"/>
                      <w:szCs w:val="21"/>
                    </w:rPr>
                    <w:t>4.3.1应具备以下一般拆解设施</w:t>
                  </w:r>
                </w:p>
                <w:p w14:paraId="43A396FE">
                  <w:pPr>
                    <w:widowControl/>
                    <w:adjustRightInd w:val="0"/>
                    <w:snapToGrid w:val="0"/>
                    <w:rPr>
                      <w:rFonts w:eastAsiaTheme="minorEastAsia"/>
                      <w:spacing w:val="-6"/>
                      <w:szCs w:val="21"/>
                    </w:rPr>
                  </w:pPr>
                  <w:r>
                    <w:rPr>
                      <w:rFonts w:eastAsiaTheme="minorEastAsia"/>
                      <w:spacing w:val="-6"/>
                      <w:szCs w:val="21"/>
                    </w:rPr>
                    <w:t>b)室内或有防雨顶棚的拆解预处理平台；</w:t>
                  </w:r>
                </w:p>
                <w:p w14:paraId="75E461F7">
                  <w:pPr>
                    <w:widowControl/>
                    <w:adjustRightInd w:val="0"/>
                    <w:snapToGrid w:val="0"/>
                    <w:rPr>
                      <w:rFonts w:eastAsiaTheme="minorEastAsia"/>
                      <w:spacing w:val="-6"/>
                      <w:szCs w:val="21"/>
                    </w:rPr>
                  </w:pPr>
                  <w:r>
                    <w:rPr>
                      <w:rFonts w:eastAsiaTheme="minorEastAsia"/>
                      <w:spacing w:val="-6"/>
                      <w:szCs w:val="21"/>
                    </w:rPr>
                    <w:t>c)车架(车身)剪断、切割设备或压扁设备，不得仅以氧割设备代替；</w:t>
                  </w:r>
                </w:p>
              </w:tc>
              <w:tc>
                <w:tcPr>
                  <w:tcW w:w="2555" w:type="pct"/>
                  <w:tcBorders>
                    <w:tl2br w:val="nil"/>
                    <w:tr2bl w:val="nil"/>
                  </w:tcBorders>
                  <w:vAlign w:val="center"/>
                </w:tcPr>
                <w:p w14:paraId="558F3CD0">
                  <w:pPr>
                    <w:widowControl/>
                    <w:adjustRightInd w:val="0"/>
                    <w:snapToGrid w:val="0"/>
                    <w:jc w:val="center"/>
                    <w:rPr>
                      <w:rFonts w:eastAsiaTheme="minorEastAsia"/>
                      <w:kern w:val="0"/>
                      <w:szCs w:val="21"/>
                      <w:lang w:bidi="ar"/>
                    </w:rPr>
                  </w:pPr>
                  <w:r>
                    <w:rPr>
                      <w:rFonts w:eastAsiaTheme="minorEastAsia"/>
                      <w:spacing w:val="9"/>
                      <w:szCs w:val="21"/>
                    </w:rPr>
                    <w:t>本项目厂区配备地磅等称重设备；拆解预处理设置</w:t>
                  </w:r>
                  <w:r>
                    <w:rPr>
                      <w:rFonts w:eastAsiaTheme="minorEastAsia"/>
                      <w:spacing w:val="8"/>
                      <w:szCs w:val="21"/>
                    </w:rPr>
                    <w:t>在拆解车间内可以防雨；厂区内配备了如下设备：</w:t>
                  </w:r>
                  <w:r>
                    <w:rPr>
                      <w:rFonts w:eastAsiaTheme="minorEastAsia"/>
                      <w:spacing w:val="9"/>
                      <w:szCs w:val="21"/>
                    </w:rPr>
                    <w:t>车架（车身）剪切、切割</w:t>
                  </w:r>
                  <w:r>
                    <w:rPr>
                      <w:rFonts w:eastAsiaTheme="minorEastAsia"/>
                      <w:spacing w:val="8"/>
                      <w:szCs w:val="21"/>
                    </w:rPr>
                    <w:t>设备，起重、运输或专业</w:t>
                  </w:r>
                  <w:r>
                    <w:rPr>
                      <w:rFonts w:eastAsiaTheme="minorEastAsia"/>
                      <w:spacing w:val="9"/>
                      <w:szCs w:val="21"/>
                    </w:rPr>
                    <w:t>拖车等设备；启动拆解工</w:t>
                  </w:r>
                  <w:r>
                    <w:rPr>
                      <w:rFonts w:eastAsiaTheme="minorEastAsia"/>
                      <w:spacing w:val="7"/>
                      <w:szCs w:val="21"/>
                    </w:rPr>
                    <w:t>具；简易拆解工具。</w:t>
                  </w:r>
                </w:p>
              </w:tc>
              <w:tc>
                <w:tcPr>
                  <w:tcW w:w="283" w:type="pct"/>
                  <w:tcBorders>
                    <w:tl2br w:val="nil"/>
                    <w:tr2bl w:val="nil"/>
                  </w:tcBorders>
                  <w:vAlign w:val="center"/>
                </w:tcPr>
                <w:p w14:paraId="731CC99B">
                  <w:pPr>
                    <w:widowControl/>
                    <w:adjustRightInd w:val="0"/>
                    <w:snapToGrid w:val="0"/>
                    <w:jc w:val="center"/>
                    <w:rPr>
                      <w:rFonts w:eastAsiaTheme="minorEastAsia"/>
                      <w:szCs w:val="21"/>
                    </w:rPr>
                  </w:pPr>
                  <w:r>
                    <w:rPr>
                      <w:rFonts w:eastAsiaTheme="minorEastAsia"/>
                      <w:szCs w:val="21"/>
                    </w:rPr>
                    <w:t>符合</w:t>
                  </w:r>
                </w:p>
              </w:tc>
            </w:tr>
            <w:tr w14:paraId="1BAA9DC3">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12" w:type="pct"/>
                  <w:tcBorders>
                    <w:tl2br w:val="nil"/>
                    <w:tr2bl w:val="nil"/>
                  </w:tcBorders>
                  <w:vAlign w:val="center"/>
                </w:tcPr>
                <w:p w14:paraId="704BFD43">
                  <w:pPr>
                    <w:widowControl/>
                    <w:adjustRightInd w:val="0"/>
                    <w:snapToGrid w:val="0"/>
                    <w:rPr>
                      <w:rFonts w:eastAsiaTheme="minorEastAsia"/>
                      <w:spacing w:val="-6"/>
                      <w:szCs w:val="21"/>
                    </w:rPr>
                  </w:pPr>
                  <w:r>
                    <w:rPr>
                      <w:rFonts w:hint="eastAsia" w:eastAsiaTheme="minorEastAsia"/>
                      <w:spacing w:val="-6"/>
                      <w:szCs w:val="21"/>
                    </w:rPr>
                    <w:t>10</w:t>
                  </w:r>
                </w:p>
              </w:tc>
              <w:tc>
                <w:tcPr>
                  <w:tcW w:w="1849" w:type="pct"/>
                  <w:tcBorders>
                    <w:tl2br w:val="nil"/>
                    <w:tr2bl w:val="nil"/>
                  </w:tcBorders>
                  <w:vAlign w:val="center"/>
                </w:tcPr>
                <w:p w14:paraId="2E3FF544">
                  <w:pPr>
                    <w:widowControl/>
                    <w:adjustRightInd w:val="0"/>
                    <w:snapToGrid w:val="0"/>
                    <w:rPr>
                      <w:rFonts w:eastAsiaTheme="minorEastAsia"/>
                      <w:spacing w:val="-6"/>
                      <w:szCs w:val="21"/>
                    </w:rPr>
                  </w:pPr>
                  <w:r>
                    <w:rPr>
                      <w:rFonts w:eastAsiaTheme="minorEastAsia"/>
                      <w:spacing w:val="-6"/>
                      <w:szCs w:val="21"/>
                    </w:rPr>
                    <w:t>4.3.2应具备以下安全设施设备：安全气囊直接引爆装置或者拆除、贮存、引爆装置；满足GB50016规定的消防设施设备；应急救援设备。</w:t>
                  </w:r>
                </w:p>
              </w:tc>
              <w:tc>
                <w:tcPr>
                  <w:tcW w:w="2555" w:type="pct"/>
                  <w:tcBorders>
                    <w:tl2br w:val="nil"/>
                    <w:tr2bl w:val="nil"/>
                  </w:tcBorders>
                  <w:vAlign w:val="center"/>
                </w:tcPr>
                <w:p w14:paraId="66B10A57">
                  <w:pPr>
                    <w:widowControl/>
                    <w:adjustRightInd w:val="0"/>
                    <w:snapToGrid w:val="0"/>
                    <w:jc w:val="center"/>
                    <w:rPr>
                      <w:rFonts w:eastAsiaTheme="minorEastAsia"/>
                      <w:spacing w:val="9"/>
                      <w:szCs w:val="21"/>
                    </w:rPr>
                  </w:pPr>
                  <w:r>
                    <w:rPr>
                      <w:rFonts w:eastAsiaTheme="minorEastAsia"/>
                      <w:spacing w:val="9"/>
                      <w:szCs w:val="21"/>
                    </w:rPr>
                    <w:t>汽车安全气囊拆除后将其置于安全气囊直接引爆装</w:t>
                  </w:r>
                  <w:r>
                    <w:rPr>
                      <w:rFonts w:eastAsiaTheme="minorEastAsia"/>
                      <w:spacing w:val="6"/>
                      <w:szCs w:val="21"/>
                    </w:rPr>
                    <w:t>置中引爆。</w:t>
                  </w:r>
                </w:p>
              </w:tc>
              <w:tc>
                <w:tcPr>
                  <w:tcW w:w="283" w:type="pct"/>
                  <w:tcBorders>
                    <w:tl2br w:val="nil"/>
                    <w:tr2bl w:val="nil"/>
                  </w:tcBorders>
                  <w:vAlign w:val="center"/>
                </w:tcPr>
                <w:p w14:paraId="30E6A73D">
                  <w:pPr>
                    <w:widowControl/>
                    <w:adjustRightInd w:val="0"/>
                    <w:snapToGrid w:val="0"/>
                    <w:jc w:val="center"/>
                    <w:rPr>
                      <w:rFonts w:eastAsiaTheme="minorEastAsia"/>
                      <w:szCs w:val="21"/>
                    </w:rPr>
                  </w:pPr>
                  <w:r>
                    <w:rPr>
                      <w:rFonts w:eastAsiaTheme="minorEastAsia"/>
                      <w:szCs w:val="21"/>
                    </w:rPr>
                    <w:t>符合</w:t>
                  </w:r>
                </w:p>
              </w:tc>
            </w:tr>
            <w:tr w14:paraId="2ED19FEE">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12" w:type="pct"/>
                  <w:tcBorders>
                    <w:tl2br w:val="nil"/>
                    <w:tr2bl w:val="nil"/>
                  </w:tcBorders>
                  <w:vAlign w:val="center"/>
                </w:tcPr>
                <w:p w14:paraId="7B730A11">
                  <w:pPr>
                    <w:widowControl/>
                    <w:adjustRightInd w:val="0"/>
                    <w:snapToGrid w:val="0"/>
                    <w:rPr>
                      <w:rFonts w:eastAsiaTheme="minorEastAsia"/>
                      <w:spacing w:val="-6"/>
                      <w:szCs w:val="21"/>
                    </w:rPr>
                  </w:pPr>
                  <w:r>
                    <w:rPr>
                      <w:rFonts w:hint="eastAsia" w:eastAsiaTheme="minorEastAsia"/>
                      <w:spacing w:val="-6"/>
                      <w:szCs w:val="21"/>
                    </w:rPr>
                    <w:t>11</w:t>
                  </w:r>
                </w:p>
              </w:tc>
              <w:tc>
                <w:tcPr>
                  <w:tcW w:w="1849" w:type="pct"/>
                  <w:tcBorders>
                    <w:tl2br w:val="nil"/>
                    <w:tr2bl w:val="nil"/>
                  </w:tcBorders>
                  <w:vAlign w:val="center"/>
                </w:tcPr>
                <w:p w14:paraId="07563247">
                  <w:pPr>
                    <w:widowControl/>
                    <w:adjustRightInd w:val="0"/>
                    <w:snapToGrid w:val="0"/>
                    <w:rPr>
                      <w:rFonts w:eastAsiaTheme="minorEastAsia"/>
                      <w:spacing w:val="-6"/>
                      <w:szCs w:val="21"/>
                    </w:rPr>
                  </w:pPr>
                  <w:r>
                    <w:rPr>
                      <w:rFonts w:eastAsiaTheme="minorEastAsia"/>
                      <w:spacing w:val="-6"/>
                      <w:szCs w:val="21"/>
                    </w:rPr>
                    <w:t>4.3.3应具备以下环保设施设备：满足HJ348要求的油水分离器等企业建设环境保护设备；配有专用废液收集装置和分类存放各种废液的专用密闭容器；机动车空调制冷剂收集装置和分类存放各种制冷剂的密闭容器；分类存放机油滤清器和铅酸蓄电池的容器。</w:t>
                  </w:r>
                </w:p>
              </w:tc>
              <w:tc>
                <w:tcPr>
                  <w:tcW w:w="2555" w:type="pct"/>
                  <w:tcBorders>
                    <w:tl2br w:val="nil"/>
                    <w:tr2bl w:val="nil"/>
                  </w:tcBorders>
                  <w:vAlign w:val="center"/>
                </w:tcPr>
                <w:p w14:paraId="10D38A43">
                  <w:pPr>
                    <w:widowControl/>
                    <w:adjustRightInd w:val="0"/>
                    <w:snapToGrid w:val="0"/>
                    <w:jc w:val="center"/>
                    <w:rPr>
                      <w:rFonts w:eastAsiaTheme="minorEastAsia"/>
                      <w:spacing w:val="9"/>
                      <w:szCs w:val="21"/>
                    </w:rPr>
                  </w:pPr>
                  <w:r>
                    <w:rPr>
                      <w:rFonts w:eastAsiaTheme="minorEastAsia"/>
                      <w:spacing w:val="9"/>
                      <w:szCs w:val="21"/>
                    </w:rPr>
                    <w:t>本项目配有污水处理设施，车间配备配有冷媒抽取机、废油液抽排机、制冷剂回收机等收集装置和各种专用的密闭容器分类收集各类废液和机油滤清器和铅酸蓄电池。配有机动车空调制冷剂收集装置和分类存放各种制冷剂的密闭容器。</w:t>
                  </w:r>
                </w:p>
              </w:tc>
              <w:tc>
                <w:tcPr>
                  <w:tcW w:w="283" w:type="pct"/>
                  <w:tcBorders>
                    <w:tl2br w:val="nil"/>
                    <w:tr2bl w:val="nil"/>
                  </w:tcBorders>
                  <w:vAlign w:val="center"/>
                </w:tcPr>
                <w:p w14:paraId="1E6BF639">
                  <w:pPr>
                    <w:widowControl/>
                    <w:adjustRightInd w:val="0"/>
                    <w:snapToGrid w:val="0"/>
                    <w:jc w:val="center"/>
                    <w:rPr>
                      <w:rFonts w:eastAsiaTheme="minorEastAsia"/>
                      <w:szCs w:val="21"/>
                    </w:rPr>
                  </w:pPr>
                  <w:r>
                    <w:rPr>
                      <w:rFonts w:eastAsiaTheme="minorEastAsia"/>
                      <w:szCs w:val="21"/>
                    </w:rPr>
                    <w:t>符合</w:t>
                  </w:r>
                </w:p>
              </w:tc>
            </w:tr>
            <w:tr w14:paraId="5F0721D6">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12" w:type="pct"/>
                  <w:tcBorders>
                    <w:tl2br w:val="nil"/>
                    <w:tr2bl w:val="nil"/>
                  </w:tcBorders>
                  <w:shd w:val="clear" w:color="auto" w:fill="auto"/>
                  <w:vAlign w:val="center"/>
                </w:tcPr>
                <w:p w14:paraId="3AF14248">
                  <w:pPr>
                    <w:widowControl/>
                    <w:adjustRightInd w:val="0"/>
                    <w:snapToGrid w:val="0"/>
                    <w:rPr>
                      <w:rFonts w:eastAsiaTheme="minorEastAsia"/>
                      <w:spacing w:val="-6"/>
                      <w:szCs w:val="21"/>
                    </w:rPr>
                  </w:pPr>
                  <w:r>
                    <w:rPr>
                      <w:rFonts w:hint="eastAsia" w:eastAsiaTheme="minorEastAsia"/>
                      <w:spacing w:val="-6"/>
                      <w:szCs w:val="21"/>
                    </w:rPr>
                    <w:t>12</w:t>
                  </w:r>
                </w:p>
              </w:tc>
              <w:tc>
                <w:tcPr>
                  <w:tcW w:w="1849" w:type="pct"/>
                  <w:tcBorders>
                    <w:tl2br w:val="nil"/>
                    <w:tr2bl w:val="nil"/>
                  </w:tcBorders>
                  <w:shd w:val="clear" w:color="auto" w:fill="auto"/>
                  <w:vAlign w:val="center"/>
                </w:tcPr>
                <w:p w14:paraId="54888F4F">
                  <w:pPr>
                    <w:widowControl/>
                    <w:adjustRightInd w:val="0"/>
                    <w:snapToGrid w:val="0"/>
                    <w:rPr>
                      <w:rFonts w:eastAsiaTheme="minorEastAsia"/>
                      <w:spacing w:val="-6"/>
                      <w:szCs w:val="21"/>
                    </w:rPr>
                  </w:pPr>
                  <w:r>
                    <w:rPr>
                      <w:rFonts w:eastAsiaTheme="minorEastAsia"/>
                      <w:spacing w:val="-6"/>
                      <w:szCs w:val="21"/>
                    </w:rPr>
                    <w:t>4.3.4应具备电脑、拍照设备、电子监 控等设施设备。</w:t>
                  </w:r>
                </w:p>
              </w:tc>
              <w:tc>
                <w:tcPr>
                  <w:tcW w:w="2555" w:type="pct"/>
                  <w:tcBorders>
                    <w:tl2br w:val="nil"/>
                    <w:tr2bl w:val="nil"/>
                  </w:tcBorders>
                  <w:shd w:val="clear" w:color="auto" w:fill="auto"/>
                </w:tcPr>
                <w:p w14:paraId="15EEAAA9">
                  <w:pPr>
                    <w:widowControl/>
                    <w:adjustRightInd w:val="0"/>
                    <w:snapToGrid w:val="0"/>
                    <w:jc w:val="center"/>
                    <w:rPr>
                      <w:rFonts w:eastAsiaTheme="minorEastAsia"/>
                      <w:kern w:val="0"/>
                      <w:szCs w:val="21"/>
                      <w:lang w:bidi="ar"/>
                    </w:rPr>
                  </w:pPr>
                  <w:r>
                    <w:rPr>
                      <w:rFonts w:eastAsiaTheme="minorEastAsia"/>
                      <w:kern w:val="0"/>
                      <w:szCs w:val="21"/>
                      <w:lang w:bidi="ar"/>
                    </w:rPr>
                    <w:t>本项目</w:t>
                  </w:r>
                  <w:r>
                    <w:rPr>
                      <w:rFonts w:hint="eastAsia" w:eastAsiaTheme="minorEastAsia"/>
                      <w:kern w:val="0"/>
                      <w:szCs w:val="21"/>
                      <w:lang w:bidi="ar"/>
                    </w:rPr>
                    <w:t>厂区内配备</w:t>
                  </w:r>
                  <w:r>
                    <w:rPr>
                      <w:rFonts w:eastAsiaTheme="minorEastAsia"/>
                      <w:kern w:val="0"/>
                      <w:szCs w:val="21"/>
                      <w:lang w:bidi="ar"/>
                    </w:rPr>
                    <w:t>有电脑、照相机、摄像头等设备。</w:t>
                  </w:r>
                </w:p>
              </w:tc>
              <w:tc>
                <w:tcPr>
                  <w:tcW w:w="283" w:type="pct"/>
                  <w:tcBorders>
                    <w:tl2br w:val="nil"/>
                    <w:tr2bl w:val="nil"/>
                  </w:tcBorders>
                  <w:vAlign w:val="center"/>
                </w:tcPr>
                <w:p w14:paraId="0015CA86">
                  <w:pPr>
                    <w:widowControl/>
                    <w:adjustRightInd w:val="0"/>
                    <w:snapToGrid w:val="0"/>
                    <w:jc w:val="center"/>
                    <w:rPr>
                      <w:rFonts w:eastAsiaTheme="minorEastAsia"/>
                      <w:szCs w:val="21"/>
                    </w:rPr>
                  </w:pPr>
                  <w:r>
                    <w:rPr>
                      <w:rFonts w:eastAsiaTheme="minorEastAsia"/>
                      <w:szCs w:val="21"/>
                    </w:rPr>
                    <w:t>符合</w:t>
                  </w:r>
                </w:p>
              </w:tc>
            </w:tr>
            <w:tr w14:paraId="3E432454">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12" w:type="pct"/>
                  <w:tcBorders>
                    <w:tl2br w:val="nil"/>
                    <w:tr2bl w:val="nil"/>
                  </w:tcBorders>
                  <w:shd w:val="clear" w:color="auto" w:fill="auto"/>
                  <w:vAlign w:val="center"/>
                </w:tcPr>
                <w:p w14:paraId="2FAA0090">
                  <w:pPr>
                    <w:widowControl/>
                    <w:adjustRightInd w:val="0"/>
                    <w:snapToGrid w:val="0"/>
                    <w:rPr>
                      <w:rFonts w:eastAsiaTheme="minorEastAsia"/>
                      <w:spacing w:val="-6"/>
                      <w:szCs w:val="21"/>
                    </w:rPr>
                  </w:pPr>
                  <w:r>
                    <w:rPr>
                      <w:rFonts w:hint="eastAsia" w:eastAsiaTheme="minorEastAsia"/>
                      <w:spacing w:val="-6"/>
                      <w:szCs w:val="21"/>
                    </w:rPr>
                    <w:t>13</w:t>
                  </w:r>
                </w:p>
              </w:tc>
              <w:tc>
                <w:tcPr>
                  <w:tcW w:w="1849" w:type="pct"/>
                  <w:tcBorders>
                    <w:tl2br w:val="nil"/>
                    <w:tr2bl w:val="nil"/>
                  </w:tcBorders>
                  <w:shd w:val="clear" w:color="auto" w:fill="auto"/>
                  <w:vAlign w:val="center"/>
                </w:tcPr>
                <w:p w14:paraId="27E4520E">
                  <w:pPr>
                    <w:widowControl/>
                    <w:adjustRightInd w:val="0"/>
                    <w:snapToGrid w:val="0"/>
                    <w:rPr>
                      <w:rFonts w:eastAsiaTheme="minorEastAsia"/>
                      <w:spacing w:val="-6"/>
                      <w:szCs w:val="21"/>
                    </w:rPr>
                  </w:pPr>
                  <w:r>
                    <w:rPr>
                      <w:rFonts w:eastAsiaTheme="minorEastAsia"/>
                      <w:spacing w:val="-6"/>
                      <w:szCs w:val="21"/>
                    </w:rPr>
                    <w:t>4.3.6拆解电动汽车的企业还应具备以下设施设备及材料：</w:t>
                  </w:r>
                </w:p>
                <w:p w14:paraId="7D2CB055">
                  <w:pPr>
                    <w:widowControl/>
                    <w:adjustRightInd w:val="0"/>
                    <w:snapToGrid w:val="0"/>
                    <w:rPr>
                      <w:rFonts w:eastAsiaTheme="minorEastAsia"/>
                      <w:spacing w:val="-6"/>
                      <w:szCs w:val="21"/>
                    </w:rPr>
                  </w:pPr>
                  <w:r>
                    <w:rPr>
                      <w:rFonts w:eastAsiaTheme="minorEastAsia"/>
                      <w:spacing w:val="-6"/>
                      <w:szCs w:val="21"/>
                    </w:rPr>
                    <w:t>a)绝缘检测设备等安全评估设备；</w:t>
                  </w:r>
                </w:p>
                <w:p w14:paraId="3675B77F">
                  <w:pPr>
                    <w:widowControl/>
                    <w:adjustRightInd w:val="0"/>
                    <w:snapToGrid w:val="0"/>
                    <w:rPr>
                      <w:rFonts w:eastAsiaTheme="minorEastAsia"/>
                      <w:spacing w:val="-6"/>
                      <w:szCs w:val="21"/>
                    </w:rPr>
                  </w:pPr>
                  <w:r>
                    <w:rPr>
                      <w:rFonts w:eastAsiaTheme="minorEastAsia"/>
                      <w:spacing w:val="-6"/>
                      <w:szCs w:val="21"/>
                    </w:rPr>
                    <w:t>b)动力蓄电池断电设备；</w:t>
                  </w:r>
                </w:p>
                <w:p w14:paraId="5D0D5E79">
                  <w:pPr>
                    <w:widowControl/>
                    <w:adjustRightInd w:val="0"/>
                    <w:snapToGrid w:val="0"/>
                    <w:rPr>
                      <w:rFonts w:eastAsiaTheme="minorEastAsia"/>
                      <w:spacing w:val="-6"/>
                      <w:szCs w:val="21"/>
                    </w:rPr>
                  </w:pPr>
                  <w:r>
                    <w:rPr>
                      <w:rFonts w:eastAsiaTheme="minorEastAsia"/>
                      <w:spacing w:val="-6"/>
                      <w:szCs w:val="21"/>
                    </w:rPr>
                    <w:t>c)吊具、夹臂、机械手和升降工装等动力蓄电池拆卸设备；</w:t>
                  </w:r>
                </w:p>
                <w:p w14:paraId="64EE31E7">
                  <w:pPr>
                    <w:widowControl/>
                    <w:adjustRightInd w:val="0"/>
                    <w:snapToGrid w:val="0"/>
                    <w:rPr>
                      <w:rFonts w:eastAsiaTheme="minorEastAsia"/>
                      <w:spacing w:val="-6"/>
                      <w:szCs w:val="21"/>
                    </w:rPr>
                  </w:pPr>
                  <w:r>
                    <w:rPr>
                      <w:rFonts w:eastAsiaTheme="minorEastAsia"/>
                      <w:spacing w:val="-6"/>
                      <w:szCs w:val="21"/>
                    </w:rPr>
                    <w:t>d)防静电废液、空调制冷剂抽排设备；</w:t>
                  </w:r>
                </w:p>
                <w:p w14:paraId="20FD64FA">
                  <w:pPr>
                    <w:widowControl/>
                    <w:adjustRightInd w:val="0"/>
                    <w:snapToGrid w:val="0"/>
                    <w:rPr>
                      <w:rFonts w:eastAsiaTheme="minorEastAsia"/>
                      <w:spacing w:val="-6"/>
                      <w:szCs w:val="21"/>
                    </w:rPr>
                  </w:pPr>
                  <w:r>
                    <w:rPr>
                      <w:rFonts w:eastAsiaTheme="minorEastAsia"/>
                      <w:spacing w:val="-6"/>
                      <w:szCs w:val="21"/>
                    </w:rPr>
                    <w:t>e)绝缘工作服等安全防护及救援设备；</w:t>
                  </w:r>
                </w:p>
                <w:p w14:paraId="3417A08A">
                  <w:pPr>
                    <w:widowControl/>
                    <w:adjustRightInd w:val="0"/>
                    <w:snapToGrid w:val="0"/>
                    <w:rPr>
                      <w:rFonts w:eastAsiaTheme="minorEastAsia"/>
                      <w:spacing w:val="-6"/>
                      <w:szCs w:val="21"/>
                    </w:rPr>
                  </w:pPr>
                  <w:r>
                    <w:rPr>
                      <w:rFonts w:eastAsiaTheme="minorEastAsia"/>
                      <w:spacing w:val="-6"/>
                      <w:szCs w:val="21"/>
                    </w:rPr>
                    <w:t>f)绝缘气动工具；</w:t>
                  </w:r>
                </w:p>
                <w:p w14:paraId="0976A02F">
                  <w:pPr>
                    <w:widowControl/>
                    <w:adjustRightInd w:val="0"/>
                    <w:snapToGrid w:val="0"/>
                    <w:rPr>
                      <w:rFonts w:eastAsiaTheme="minorEastAsia"/>
                      <w:spacing w:val="-6"/>
                      <w:szCs w:val="21"/>
                    </w:rPr>
                  </w:pPr>
                  <w:r>
                    <w:rPr>
                      <w:rFonts w:eastAsiaTheme="minorEastAsia"/>
                      <w:spacing w:val="-6"/>
                      <w:szCs w:val="21"/>
                    </w:rPr>
                    <w:t>g)绝缘辅助工具；</w:t>
                  </w:r>
                </w:p>
                <w:p w14:paraId="26EBDA95">
                  <w:pPr>
                    <w:widowControl/>
                    <w:adjustRightInd w:val="0"/>
                    <w:snapToGrid w:val="0"/>
                    <w:rPr>
                      <w:rFonts w:eastAsiaTheme="minorEastAsia"/>
                      <w:spacing w:val="-6"/>
                      <w:szCs w:val="21"/>
                    </w:rPr>
                  </w:pPr>
                  <w:r>
                    <w:rPr>
                      <w:rFonts w:eastAsiaTheme="minorEastAsia"/>
                      <w:spacing w:val="-6"/>
                      <w:szCs w:val="21"/>
                    </w:rPr>
                    <w:t>h)动力蓄电池绝缘处理材料；</w:t>
                  </w:r>
                </w:p>
                <w:p w14:paraId="412D3FC0">
                  <w:pPr>
                    <w:widowControl/>
                    <w:adjustRightInd w:val="0"/>
                    <w:snapToGrid w:val="0"/>
                    <w:rPr>
                      <w:rFonts w:eastAsiaTheme="minorEastAsia"/>
                      <w:spacing w:val="-6"/>
                      <w:szCs w:val="21"/>
                    </w:rPr>
                  </w:pPr>
                  <w:r>
                    <w:rPr>
                      <w:rFonts w:eastAsiaTheme="minorEastAsia"/>
                      <w:spacing w:val="-6"/>
                      <w:szCs w:val="21"/>
                    </w:rPr>
                    <w:t>i)放电设施设备。</w:t>
                  </w:r>
                </w:p>
              </w:tc>
              <w:tc>
                <w:tcPr>
                  <w:tcW w:w="2555" w:type="pct"/>
                  <w:tcBorders>
                    <w:tl2br w:val="nil"/>
                    <w:tr2bl w:val="nil"/>
                  </w:tcBorders>
                  <w:shd w:val="clear" w:color="auto" w:fill="auto"/>
                </w:tcPr>
                <w:p w14:paraId="7FF3765F">
                  <w:pPr>
                    <w:widowControl/>
                    <w:adjustRightInd w:val="0"/>
                    <w:snapToGrid w:val="0"/>
                    <w:jc w:val="center"/>
                    <w:rPr>
                      <w:rFonts w:eastAsiaTheme="minorEastAsia"/>
                      <w:kern w:val="0"/>
                      <w:szCs w:val="21"/>
                      <w:lang w:bidi="ar"/>
                    </w:rPr>
                  </w:pPr>
                  <w:r>
                    <w:rPr>
                      <w:rFonts w:hint="eastAsia" w:eastAsiaTheme="minorEastAsia"/>
                      <w:kern w:val="0"/>
                      <w:szCs w:val="21"/>
                      <w:lang w:bidi="ar"/>
                    </w:rPr>
                    <w:t>本项目</w:t>
                  </w:r>
                  <w:r>
                    <w:rPr>
                      <w:rFonts w:eastAsiaTheme="minorEastAsia"/>
                      <w:kern w:val="0"/>
                      <w:szCs w:val="21"/>
                      <w:lang w:bidi="ar"/>
                    </w:rPr>
                    <w:t>设施设备配置涵盖动力蓄电池全流程作业工具，包括绝缘检测仪、电池专用断电装置、适配不同型号电池的机械拆卸设备，以及防静电废液与制冷剂抽排系统；安全防护体系需配备高压绝缘工作服、绝缘气动/辅助工具、应急救援装备及动力蓄电池专用绝缘封装材料，确保操作人员与设备绝缘防护；特殊处理设施须配置动力蓄电池放电设备，对退役电池进行预放电处理，消除残余电能风险。通过多层级绝缘防护设备、专用拆解工具与安全材料的协同应用，保障高压部件拆解作业的绝缘安全与操作规范性，避免触电、短路及有毒物质泄漏等风险。</w:t>
                  </w:r>
                </w:p>
              </w:tc>
              <w:tc>
                <w:tcPr>
                  <w:tcW w:w="283" w:type="pct"/>
                  <w:tcBorders>
                    <w:tl2br w:val="nil"/>
                    <w:tr2bl w:val="nil"/>
                  </w:tcBorders>
                  <w:vAlign w:val="center"/>
                </w:tcPr>
                <w:p w14:paraId="3A11219C">
                  <w:pPr>
                    <w:widowControl/>
                    <w:adjustRightInd w:val="0"/>
                    <w:snapToGrid w:val="0"/>
                    <w:jc w:val="center"/>
                    <w:rPr>
                      <w:rFonts w:eastAsiaTheme="minorEastAsia"/>
                      <w:szCs w:val="21"/>
                    </w:rPr>
                  </w:pPr>
                  <w:r>
                    <w:rPr>
                      <w:rFonts w:eastAsiaTheme="minorEastAsia"/>
                      <w:szCs w:val="21"/>
                    </w:rPr>
                    <w:t>符合</w:t>
                  </w:r>
                </w:p>
              </w:tc>
            </w:tr>
            <w:tr w14:paraId="7621A53B">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12" w:type="pct"/>
                  <w:tcBorders>
                    <w:tl2br w:val="nil"/>
                    <w:tr2bl w:val="nil"/>
                  </w:tcBorders>
                  <w:shd w:val="clear" w:color="auto" w:fill="auto"/>
                  <w:vAlign w:val="center"/>
                </w:tcPr>
                <w:p w14:paraId="30D58F5F">
                  <w:pPr>
                    <w:widowControl/>
                    <w:adjustRightInd w:val="0"/>
                    <w:snapToGrid w:val="0"/>
                    <w:rPr>
                      <w:rFonts w:eastAsiaTheme="minorEastAsia"/>
                      <w:spacing w:val="-6"/>
                      <w:szCs w:val="21"/>
                    </w:rPr>
                  </w:pPr>
                  <w:r>
                    <w:rPr>
                      <w:rFonts w:hint="eastAsia" w:eastAsiaTheme="minorEastAsia"/>
                      <w:spacing w:val="-6"/>
                      <w:szCs w:val="21"/>
                    </w:rPr>
                    <w:t>14</w:t>
                  </w:r>
                </w:p>
              </w:tc>
              <w:tc>
                <w:tcPr>
                  <w:tcW w:w="1849" w:type="pct"/>
                  <w:tcBorders>
                    <w:tl2br w:val="nil"/>
                    <w:tr2bl w:val="nil"/>
                  </w:tcBorders>
                  <w:shd w:val="clear" w:color="auto" w:fill="auto"/>
                  <w:vAlign w:val="center"/>
                </w:tcPr>
                <w:p w14:paraId="0BE9F5B9">
                  <w:pPr>
                    <w:widowControl/>
                    <w:adjustRightInd w:val="0"/>
                    <w:snapToGrid w:val="0"/>
                    <w:rPr>
                      <w:rFonts w:eastAsiaTheme="minorEastAsia"/>
                      <w:spacing w:val="-6"/>
                      <w:szCs w:val="21"/>
                    </w:rPr>
                  </w:pPr>
                  <w:r>
                    <w:rPr>
                      <w:rFonts w:eastAsiaTheme="minorEastAsia"/>
                      <w:spacing w:val="-6"/>
                      <w:szCs w:val="21"/>
                    </w:rPr>
                    <w:t>4.4.1企业技术人员应经过岗前培训，其专业技能应能满足规范拆解、环保作业、安全操作等相应要求，并配备专业安全生产管理人员和环保管理人员，国家有持证上岗规定的，应持证上岗。</w:t>
                  </w:r>
                </w:p>
              </w:tc>
              <w:tc>
                <w:tcPr>
                  <w:tcW w:w="2555" w:type="pct"/>
                  <w:tcBorders>
                    <w:tl2br w:val="nil"/>
                    <w:tr2bl w:val="nil"/>
                  </w:tcBorders>
                  <w:shd w:val="clear" w:color="auto" w:fill="auto"/>
                  <w:vAlign w:val="center"/>
                </w:tcPr>
                <w:p w14:paraId="29847541">
                  <w:pPr>
                    <w:widowControl/>
                    <w:adjustRightInd w:val="0"/>
                    <w:snapToGrid w:val="0"/>
                    <w:jc w:val="center"/>
                    <w:rPr>
                      <w:rFonts w:eastAsiaTheme="minorEastAsia"/>
                      <w:kern w:val="0"/>
                      <w:szCs w:val="21"/>
                      <w:lang w:bidi="ar"/>
                    </w:rPr>
                  </w:pPr>
                  <w:r>
                    <w:rPr>
                      <w:rFonts w:eastAsiaTheme="minorEastAsia"/>
                      <w:kern w:val="0"/>
                      <w:szCs w:val="21"/>
                      <w:lang w:bidi="ar"/>
                    </w:rPr>
                    <w:t>本项目技术人员均经过岗前培训，其专业技能应满足规范拆解、环保作业、安全操作等相应要求，配备专业安全生产管理人员和环保管理人员，国家有持证上岗规定的，持证上岗。</w:t>
                  </w:r>
                </w:p>
              </w:tc>
              <w:tc>
                <w:tcPr>
                  <w:tcW w:w="283" w:type="pct"/>
                  <w:tcBorders>
                    <w:tl2br w:val="nil"/>
                    <w:tr2bl w:val="nil"/>
                  </w:tcBorders>
                  <w:vAlign w:val="center"/>
                </w:tcPr>
                <w:p w14:paraId="5992F72F">
                  <w:pPr>
                    <w:widowControl/>
                    <w:adjustRightInd w:val="0"/>
                    <w:snapToGrid w:val="0"/>
                    <w:jc w:val="center"/>
                    <w:rPr>
                      <w:rFonts w:eastAsiaTheme="minorEastAsia"/>
                      <w:szCs w:val="21"/>
                    </w:rPr>
                  </w:pPr>
                  <w:r>
                    <w:rPr>
                      <w:rFonts w:eastAsiaTheme="minorEastAsia"/>
                      <w:szCs w:val="21"/>
                    </w:rPr>
                    <w:t>符合</w:t>
                  </w:r>
                </w:p>
              </w:tc>
            </w:tr>
            <w:tr w14:paraId="1EA1B733">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12" w:type="pct"/>
                  <w:tcBorders>
                    <w:tl2br w:val="nil"/>
                    <w:tr2bl w:val="nil"/>
                  </w:tcBorders>
                  <w:shd w:val="clear" w:color="auto" w:fill="auto"/>
                  <w:vAlign w:val="center"/>
                </w:tcPr>
                <w:p w14:paraId="03CCBC80">
                  <w:pPr>
                    <w:widowControl/>
                    <w:adjustRightInd w:val="0"/>
                    <w:snapToGrid w:val="0"/>
                    <w:rPr>
                      <w:rFonts w:eastAsiaTheme="minorEastAsia"/>
                      <w:spacing w:val="-6"/>
                      <w:szCs w:val="21"/>
                    </w:rPr>
                  </w:pPr>
                  <w:r>
                    <w:rPr>
                      <w:rFonts w:hint="eastAsia" w:eastAsiaTheme="minorEastAsia"/>
                      <w:spacing w:val="-6"/>
                      <w:szCs w:val="21"/>
                    </w:rPr>
                    <w:t>15</w:t>
                  </w:r>
                </w:p>
              </w:tc>
              <w:tc>
                <w:tcPr>
                  <w:tcW w:w="1849" w:type="pct"/>
                  <w:tcBorders>
                    <w:tl2br w:val="nil"/>
                    <w:tr2bl w:val="nil"/>
                  </w:tcBorders>
                  <w:shd w:val="clear" w:color="auto" w:fill="auto"/>
                  <w:vAlign w:val="center"/>
                </w:tcPr>
                <w:p w14:paraId="60683BE9">
                  <w:pPr>
                    <w:widowControl/>
                    <w:adjustRightInd w:val="0"/>
                    <w:snapToGrid w:val="0"/>
                    <w:rPr>
                      <w:rFonts w:eastAsiaTheme="minorEastAsia"/>
                      <w:spacing w:val="-6"/>
                      <w:szCs w:val="21"/>
                    </w:rPr>
                  </w:pPr>
                  <w:r>
                    <w:rPr>
                      <w:rFonts w:eastAsiaTheme="minorEastAsia"/>
                      <w:spacing w:val="-6"/>
                      <w:szCs w:val="21"/>
                    </w:rPr>
                    <w:t>4.4.2具有电动汽车拆解业务的企业应具有动力蓄电池贮存管理人员及2人以上持电工特种作业操作证人员。动力蓄电池贮存管理人员应具有动力蓄电池防火、防泄漏、防短路等相关专业知识。拆解人员应在汽车生产企业提供的拆解信息或手册的指导下进行拆解。</w:t>
                  </w:r>
                </w:p>
              </w:tc>
              <w:tc>
                <w:tcPr>
                  <w:tcW w:w="2555" w:type="pct"/>
                  <w:tcBorders>
                    <w:tl2br w:val="nil"/>
                    <w:tr2bl w:val="nil"/>
                  </w:tcBorders>
                  <w:shd w:val="clear" w:color="auto" w:fill="auto"/>
                  <w:vAlign w:val="center"/>
                </w:tcPr>
                <w:p w14:paraId="19CF4971">
                  <w:pPr>
                    <w:widowControl/>
                    <w:adjustRightInd w:val="0"/>
                    <w:snapToGrid w:val="0"/>
                    <w:jc w:val="center"/>
                    <w:rPr>
                      <w:rFonts w:eastAsiaTheme="minorEastAsia"/>
                      <w:kern w:val="0"/>
                      <w:szCs w:val="21"/>
                      <w:lang w:bidi="ar"/>
                    </w:rPr>
                  </w:pPr>
                  <w:r>
                    <w:rPr>
                      <w:rFonts w:hint="eastAsia" w:eastAsiaTheme="minorEastAsia"/>
                      <w:kern w:val="0"/>
                      <w:szCs w:val="21"/>
                      <w:lang w:bidi="ar"/>
                    </w:rPr>
                    <w:t>本项目</w:t>
                  </w:r>
                  <w:r>
                    <w:rPr>
                      <w:rFonts w:eastAsiaTheme="minorEastAsia"/>
                      <w:kern w:val="0"/>
                      <w:szCs w:val="21"/>
                      <w:lang w:bidi="ar"/>
                    </w:rPr>
                    <w:t>已全面落实电动汽车拆解业务的人员资质与操作规范：已组建专职动力蓄电池贮存管理团队，团队成员均通过电池防火、防泄漏、防短路等专项培训，并具备电解液应急处置实操能力；配置持有效电工特种作业操作证的专业人员，全程负责高压系统断电、绝缘检测及安全监护；拆解作业严格依托汽车生产企业提供的官方拆解技术手册执行，对动力蓄电池、高压线束等关键部件实施标准化拆解，杜绝非规范操作；已建立“贮存-拆解-处置”全链条安全管控体系，贮存环节通过温湿度监控、防静电堆垛及泄漏应急池配置实现风险防控，拆解环节由持证电工监督高压操作并记录关键节点，确保作业全程符合安全规范。企业定期开展动力蓄电池安全防护复训及应急演练，人员资质与操作流程均通过内部审计及外部监管合规性验证。</w:t>
                  </w:r>
                </w:p>
              </w:tc>
              <w:tc>
                <w:tcPr>
                  <w:tcW w:w="283" w:type="pct"/>
                  <w:tcBorders>
                    <w:tl2br w:val="nil"/>
                    <w:tr2bl w:val="nil"/>
                  </w:tcBorders>
                  <w:vAlign w:val="center"/>
                </w:tcPr>
                <w:p w14:paraId="404127D4">
                  <w:pPr>
                    <w:widowControl/>
                    <w:adjustRightInd w:val="0"/>
                    <w:snapToGrid w:val="0"/>
                    <w:jc w:val="center"/>
                    <w:rPr>
                      <w:rFonts w:eastAsiaTheme="minorEastAsia"/>
                      <w:szCs w:val="21"/>
                    </w:rPr>
                  </w:pPr>
                  <w:r>
                    <w:rPr>
                      <w:rFonts w:eastAsiaTheme="minorEastAsia"/>
                      <w:szCs w:val="21"/>
                    </w:rPr>
                    <w:t>符合</w:t>
                  </w:r>
                </w:p>
              </w:tc>
            </w:tr>
            <w:tr w14:paraId="37803237">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12" w:type="pct"/>
                  <w:tcBorders>
                    <w:tl2br w:val="nil"/>
                    <w:tr2bl w:val="nil"/>
                  </w:tcBorders>
                  <w:shd w:val="clear" w:color="auto" w:fill="auto"/>
                  <w:vAlign w:val="center"/>
                </w:tcPr>
                <w:p w14:paraId="3CFDE86F">
                  <w:pPr>
                    <w:widowControl/>
                    <w:adjustRightInd w:val="0"/>
                    <w:snapToGrid w:val="0"/>
                    <w:rPr>
                      <w:rFonts w:eastAsiaTheme="minorEastAsia"/>
                      <w:spacing w:val="-6"/>
                      <w:szCs w:val="21"/>
                    </w:rPr>
                  </w:pPr>
                  <w:r>
                    <w:rPr>
                      <w:rFonts w:hint="eastAsia" w:eastAsiaTheme="minorEastAsia"/>
                      <w:spacing w:val="-6"/>
                      <w:szCs w:val="21"/>
                    </w:rPr>
                    <w:t>16</w:t>
                  </w:r>
                </w:p>
              </w:tc>
              <w:tc>
                <w:tcPr>
                  <w:tcW w:w="1849" w:type="pct"/>
                  <w:tcBorders>
                    <w:tl2br w:val="nil"/>
                    <w:tr2bl w:val="nil"/>
                  </w:tcBorders>
                  <w:shd w:val="clear" w:color="auto" w:fill="auto"/>
                  <w:vAlign w:val="center"/>
                </w:tcPr>
                <w:p w14:paraId="73CABA0C">
                  <w:pPr>
                    <w:widowControl/>
                    <w:adjustRightInd w:val="0"/>
                    <w:snapToGrid w:val="0"/>
                    <w:rPr>
                      <w:rFonts w:eastAsiaTheme="minorEastAsia"/>
                      <w:spacing w:val="-6"/>
                      <w:szCs w:val="21"/>
                    </w:rPr>
                  </w:pPr>
                  <w:r>
                    <w:rPr>
                      <w:rFonts w:eastAsiaTheme="minorEastAsia"/>
                      <w:spacing w:val="-6"/>
                      <w:szCs w:val="21"/>
                    </w:rPr>
                    <w:t>4.5.1应建立电子信息档案，按以下方式记录报废机动车回收登记、固体废物信息：</w:t>
                  </w:r>
                </w:p>
                <w:p w14:paraId="43504264">
                  <w:pPr>
                    <w:widowControl/>
                    <w:adjustRightInd w:val="0"/>
                    <w:snapToGrid w:val="0"/>
                    <w:rPr>
                      <w:rFonts w:eastAsiaTheme="minorEastAsia"/>
                      <w:spacing w:val="-6"/>
                      <w:szCs w:val="21"/>
                    </w:rPr>
                  </w:pPr>
                  <w:r>
                    <w:rPr>
                      <w:rFonts w:eastAsiaTheme="minorEastAsia"/>
                      <w:spacing w:val="-6"/>
                      <w:szCs w:val="21"/>
                    </w:rPr>
                    <w:t>b)将固体废物的来源、种类、产生量、产生时间及处理(流向)等数据，录入到“全国固体废物管理 信息系统”或省级生态环境主管部门自建与其联网的相关系统，其中危险废物处理(流向)信息 保存期限为3年。</w:t>
                  </w:r>
                </w:p>
              </w:tc>
              <w:tc>
                <w:tcPr>
                  <w:tcW w:w="2555" w:type="pct"/>
                  <w:tcBorders>
                    <w:tl2br w:val="nil"/>
                    <w:tr2bl w:val="nil"/>
                  </w:tcBorders>
                  <w:shd w:val="clear" w:color="auto" w:fill="auto"/>
                  <w:vAlign w:val="center"/>
                </w:tcPr>
                <w:p w14:paraId="790FBCAF">
                  <w:pPr>
                    <w:widowControl/>
                    <w:adjustRightInd w:val="0"/>
                    <w:snapToGrid w:val="0"/>
                    <w:jc w:val="center"/>
                    <w:rPr>
                      <w:rFonts w:eastAsiaTheme="minorEastAsia"/>
                      <w:kern w:val="0"/>
                      <w:szCs w:val="21"/>
                      <w:lang w:bidi="ar"/>
                    </w:rPr>
                  </w:pPr>
                  <w:r>
                    <w:rPr>
                      <w:rFonts w:eastAsiaTheme="minorEastAsia"/>
                      <w:kern w:val="0"/>
                      <w:szCs w:val="21"/>
                      <w:lang w:bidi="ar"/>
                    </w:rPr>
                    <w:t>本项目建立电子信息档案，按以下方式记录报废机动车回收登记、固体废物信息：对回收的报废机动车进行逐车登记，并将报废机动车所有人(单位)名称、有效证件号码、牌照号码、车型、品牌型号、车身颜色、重量、发动机号、车辆识别代号、出厂年份、接收或收购日期等相关信息录入“全国汽车流通信息管理应用服务”系统，信息保存期限不应低于 3 年；将固体废物的来源、种类、产生量、产生时间及处理(流向)等数据，录入到“全国固体废物管理信息系统”或省级生态环境主管部门自建与其 联网的相关系统，其中危险废物处理(流向)信息保存期限为 3 年。</w:t>
                  </w:r>
                </w:p>
              </w:tc>
              <w:tc>
                <w:tcPr>
                  <w:tcW w:w="283" w:type="pct"/>
                  <w:tcBorders>
                    <w:tl2br w:val="nil"/>
                    <w:tr2bl w:val="nil"/>
                  </w:tcBorders>
                  <w:vAlign w:val="center"/>
                </w:tcPr>
                <w:p w14:paraId="6BC674EA">
                  <w:pPr>
                    <w:widowControl/>
                    <w:adjustRightInd w:val="0"/>
                    <w:snapToGrid w:val="0"/>
                    <w:jc w:val="center"/>
                    <w:rPr>
                      <w:rFonts w:eastAsiaTheme="minorEastAsia"/>
                      <w:spacing w:val="7"/>
                      <w:szCs w:val="21"/>
                    </w:rPr>
                  </w:pPr>
                  <w:r>
                    <w:rPr>
                      <w:rFonts w:eastAsiaTheme="minorEastAsia"/>
                      <w:szCs w:val="21"/>
                    </w:rPr>
                    <w:t>符合</w:t>
                  </w:r>
                </w:p>
              </w:tc>
            </w:tr>
            <w:tr w14:paraId="7D7B431B">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12" w:type="pct"/>
                  <w:tcBorders>
                    <w:tl2br w:val="nil"/>
                    <w:tr2bl w:val="nil"/>
                  </w:tcBorders>
                  <w:shd w:val="clear" w:color="auto" w:fill="auto"/>
                  <w:vAlign w:val="center"/>
                </w:tcPr>
                <w:p w14:paraId="4C132F89">
                  <w:pPr>
                    <w:widowControl/>
                    <w:adjustRightInd w:val="0"/>
                    <w:snapToGrid w:val="0"/>
                    <w:rPr>
                      <w:rFonts w:eastAsiaTheme="minorEastAsia"/>
                      <w:spacing w:val="-6"/>
                      <w:szCs w:val="21"/>
                    </w:rPr>
                  </w:pPr>
                  <w:r>
                    <w:rPr>
                      <w:rFonts w:hint="eastAsia" w:eastAsiaTheme="minorEastAsia"/>
                      <w:spacing w:val="-6"/>
                      <w:szCs w:val="21"/>
                    </w:rPr>
                    <w:t>17</w:t>
                  </w:r>
                </w:p>
              </w:tc>
              <w:tc>
                <w:tcPr>
                  <w:tcW w:w="1849" w:type="pct"/>
                  <w:tcBorders>
                    <w:tl2br w:val="nil"/>
                    <w:tr2bl w:val="nil"/>
                  </w:tcBorders>
                  <w:shd w:val="clear" w:color="auto" w:fill="auto"/>
                  <w:vAlign w:val="center"/>
                </w:tcPr>
                <w:p w14:paraId="17138685">
                  <w:pPr>
                    <w:widowControl/>
                    <w:adjustRightInd w:val="0"/>
                    <w:snapToGrid w:val="0"/>
                    <w:rPr>
                      <w:rFonts w:eastAsiaTheme="minorEastAsia"/>
                      <w:spacing w:val="-6"/>
                      <w:szCs w:val="21"/>
                    </w:rPr>
                  </w:pPr>
                  <w:r>
                    <w:rPr>
                      <w:rFonts w:eastAsiaTheme="minorEastAsia"/>
                      <w:spacing w:val="-6"/>
                      <w:szCs w:val="21"/>
                    </w:rPr>
                    <w:t>4.6.1应实施满足GB/T33000要求的安全管理制度，具有水、电、气等安全使用说明，安全生产规程，防火、防汛、应急预案等。拆除的安全气囊组件应在易燃、易爆等危险品仓库及高压输电线路防护区域以外引爆，并在引爆区域设有爆炸物安全警示标志和隔离栏。</w:t>
                  </w:r>
                </w:p>
              </w:tc>
              <w:tc>
                <w:tcPr>
                  <w:tcW w:w="2555" w:type="pct"/>
                  <w:tcBorders>
                    <w:tl2br w:val="nil"/>
                    <w:tr2bl w:val="nil"/>
                  </w:tcBorders>
                  <w:shd w:val="clear" w:color="auto" w:fill="auto"/>
                  <w:vAlign w:val="center"/>
                </w:tcPr>
                <w:p w14:paraId="631C576F">
                  <w:pPr>
                    <w:widowControl/>
                    <w:adjustRightInd w:val="0"/>
                    <w:snapToGrid w:val="0"/>
                    <w:jc w:val="center"/>
                    <w:rPr>
                      <w:rFonts w:eastAsiaTheme="minorEastAsia"/>
                      <w:kern w:val="0"/>
                      <w:szCs w:val="21"/>
                      <w:lang w:bidi="ar"/>
                    </w:rPr>
                  </w:pPr>
                  <w:r>
                    <w:rPr>
                      <w:rFonts w:eastAsiaTheme="minorEastAsia"/>
                      <w:kern w:val="0"/>
                      <w:szCs w:val="21"/>
                      <w:lang w:bidi="ar"/>
                    </w:rPr>
                    <w:t>本项目设立安全管理制度，具有水、电、气等安 全使用说明，安全生产规程，防火、防汛、应急预案等。拆除的安全气囊在易燃、易爆等危险品仓库及高压输电线路防护区域以外引爆，并在引爆区域设有爆炸物安全警示标志和隔离栏。</w:t>
                  </w:r>
                </w:p>
              </w:tc>
              <w:tc>
                <w:tcPr>
                  <w:tcW w:w="283" w:type="pct"/>
                  <w:tcBorders>
                    <w:tl2br w:val="nil"/>
                    <w:tr2bl w:val="nil"/>
                  </w:tcBorders>
                  <w:vAlign w:val="center"/>
                </w:tcPr>
                <w:p w14:paraId="5153233A">
                  <w:pPr>
                    <w:widowControl/>
                    <w:adjustRightInd w:val="0"/>
                    <w:snapToGrid w:val="0"/>
                    <w:jc w:val="center"/>
                    <w:rPr>
                      <w:rFonts w:eastAsiaTheme="minorEastAsia"/>
                      <w:spacing w:val="7"/>
                      <w:szCs w:val="21"/>
                    </w:rPr>
                  </w:pPr>
                  <w:r>
                    <w:rPr>
                      <w:rFonts w:eastAsiaTheme="minorEastAsia"/>
                      <w:szCs w:val="21"/>
                    </w:rPr>
                    <w:t>符合</w:t>
                  </w:r>
                </w:p>
              </w:tc>
            </w:tr>
            <w:tr w14:paraId="7D832E61">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12" w:type="pct"/>
                  <w:tcBorders>
                    <w:tl2br w:val="nil"/>
                    <w:tr2bl w:val="nil"/>
                  </w:tcBorders>
                  <w:shd w:val="clear" w:color="auto" w:fill="auto"/>
                  <w:vAlign w:val="center"/>
                </w:tcPr>
                <w:p w14:paraId="7CCA573E">
                  <w:pPr>
                    <w:widowControl/>
                    <w:adjustRightInd w:val="0"/>
                    <w:snapToGrid w:val="0"/>
                    <w:rPr>
                      <w:rFonts w:eastAsiaTheme="minorEastAsia"/>
                      <w:spacing w:val="-6"/>
                      <w:szCs w:val="21"/>
                    </w:rPr>
                  </w:pPr>
                  <w:r>
                    <w:rPr>
                      <w:rFonts w:hint="eastAsia" w:eastAsiaTheme="minorEastAsia"/>
                      <w:spacing w:val="-6"/>
                      <w:szCs w:val="21"/>
                    </w:rPr>
                    <w:t>18</w:t>
                  </w:r>
                </w:p>
              </w:tc>
              <w:tc>
                <w:tcPr>
                  <w:tcW w:w="1849" w:type="pct"/>
                  <w:tcBorders>
                    <w:tl2br w:val="nil"/>
                    <w:tr2bl w:val="nil"/>
                  </w:tcBorders>
                  <w:shd w:val="clear" w:color="auto" w:fill="auto"/>
                  <w:vAlign w:val="center"/>
                </w:tcPr>
                <w:p w14:paraId="7981F036">
                  <w:pPr>
                    <w:widowControl/>
                    <w:adjustRightInd w:val="0"/>
                    <w:snapToGrid w:val="0"/>
                    <w:rPr>
                      <w:rFonts w:eastAsiaTheme="minorEastAsia"/>
                      <w:spacing w:val="-6"/>
                      <w:szCs w:val="21"/>
                      <w:lang w:eastAsia="en-US"/>
                    </w:rPr>
                  </w:pPr>
                  <w:r>
                    <w:rPr>
                      <w:rFonts w:eastAsiaTheme="minorEastAsia"/>
                      <w:spacing w:val="-6"/>
                      <w:szCs w:val="21"/>
                    </w:rPr>
                    <w:t>4.6.2电动汽车拆解作业人员在带电作业过程中应进行安全防护，穿戴好绝缘工作服等必要的安全防护装备。使用的作业工具应是绝缘的或经绝缘处理的。作业时，应有专职监督人员实时监护。</w:t>
                  </w:r>
                </w:p>
              </w:tc>
              <w:tc>
                <w:tcPr>
                  <w:tcW w:w="2555" w:type="pct"/>
                  <w:tcBorders>
                    <w:tl2br w:val="nil"/>
                    <w:tr2bl w:val="nil"/>
                  </w:tcBorders>
                  <w:shd w:val="clear" w:color="auto" w:fill="auto"/>
                  <w:vAlign w:val="center"/>
                </w:tcPr>
                <w:p w14:paraId="08E95037">
                  <w:pPr>
                    <w:widowControl/>
                    <w:adjustRightInd w:val="0"/>
                    <w:snapToGrid w:val="0"/>
                    <w:jc w:val="center"/>
                    <w:rPr>
                      <w:rFonts w:eastAsiaTheme="minorEastAsia"/>
                      <w:kern w:val="0"/>
                      <w:szCs w:val="21"/>
                      <w:lang w:bidi="ar"/>
                    </w:rPr>
                  </w:pPr>
                  <w:r>
                    <w:rPr>
                      <w:rFonts w:hint="eastAsia" w:eastAsiaTheme="minorEastAsia"/>
                      <w:kern w:val="0"/>
                      <w:szCs w:val="21"/>
                      <w:lang w:bidi="ar"/>
                    </w:rPr>
                    <w:t>本项目</w:t>
                  </w:r>
                  <w:r>
                    <w:rPr>
                      <w:rFonts w:eastAsiaTheme="minorEastAsia"/>
                      <w:kern w:val="0"/>
                      <w:szCs w:val="21"/>
                      <w:lang w:bidi="ar"/>
                    </w:rPr>
                    <w:t>设置独立防爆区并规范实施安全气囊引爆作业，配备防火防汛应急预案及专职应急队伍，安全生产标准化达二级水平，关键操作全程纳入信息化监管并通过主管部门合规验收。</w:t>
                  </w:r>
                </w:p>
              </w:tc>
              <w:tc>
                <w:tcPr>
                  <w:tcW w:w="283" w:type="pct"/>
                  <w:tcBorders>
                    <w:tl2br w:val="nil"/>
                    <w:tr2bl w:val="nil"/>
                  </w:tcBorders>
                  <w:vAlign w:val="center"/>
                </w:tcPr>
                <w:p w14:paraId="79B7068C">
                  <w:pPr>
                    <w:widowControl/>
                    <w:adjustRightInd w:val="0"/>
                    <w:snapToGrid w:val="0"/>
                    <w:jc w:val="center"/>
                    <w:rPr>
                      <w:rFonts w:eastAsiaTheme="minorEastAsia"/>
                      <w:spacing w:val="7"/>
                      <w:szCs w:val="21"/>
                    </w:rPr>
                  </w:pPr>
                  <w:r>
                    <w:rPr>
                      <w:rFonts w:eastAsiaTheme="minorEastAsia"/>
                      <w:szCs w:val="21"/>
                    </w:rPr>
                    <w:t>符合</w:t>
                  </w:r>
                </w:p>
              </w:tc>
            </w:tr>
            <w:tr w14:paraId="7FBB461D">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12" w:type="pct"/>
                  <w:tcBorders>
                    <w:tl2br w:val="nil"/>
                    <w:tr2bl w:val="nil"/>
                  </w:tcBorders>
                  <w:shd w:val="clear" w:color="auto" w:fill="auto"/>
                  <w:vAlign w:val="center"/>
                </w:tcPr>
                <w:p w14:paraId="2C973374">
                  <w:pPr>
                    <w:widowControl/>
                    <w:adjustRightInd w:val="0"/>
                    <w:snapToGrid w:val="0"/>
                    <w:rPr>
                      <w:rFonts w:eastAsiaTheme="minorEastAsia"/>
                      <w:spacing w:val="-6"/>
                      <w:szCs w:val="21"/>
                    </w:rPr>
                  </w:pPr>
                  <w:r>
                    <w:rPr>
                      <w:rFonts w:hint="eastAsia" w:eastAsiaTheme="minorEastAsia"/>
                      <w:spacing w:val="-6"/>
                      <w:szCs w:val="21"/>
                    </w:rPr>
                    <w:t>19</w:t>
                  </w:r>
                </w:p>
              </w:tc>
              <w:tc>
                <w:tcPr>
                  <w:tcW w:w="1849" w:type="pct"/>
                  <w:tcBorders>
                    <w:tl2br w:val="nil"/>
                    <w:tr2bl w:val="nil"/>
                  </w:tcBorders>
                  <w:shd w:val="clear" w:color="auto" w:fill="auto"/>
                  <w:vAlign w:val="center"/>
                </w:tcPr>
                <w:p w14:paraId="3F9DB87D">
                  <w:pPr>
                    <w:widowControl/>
                    <w:adjustRightInd w:val="0"/>
                    <w:snapToGrid w:val="0"/>
                    <w:rPr>
                      <w:rFonts w:eastAsiaTheme="minorEastAsia"/>
                      <w:spacing w:val="-6"/>
                      <w:szCs w:val="21"/>
                    </w:rPr>
                  </w:pPr>
                  <w:r>
                    <w:rPr>
                      <w:rFonts w:eastAsiaTheme="minorEastAsia"/>
                      <w:spacing w:val="-6"/>
                      <w:szCs w:val="21"/>
                    </w:rPr>
                    <w:t>4.6.3厂区转移报废电动汽车和动力蓄电池应进行固定，防止碰撞、跌落。</w:t>
                  </w:r>
                </w:p>
              </w:tc>
              <w:tc>
                <w:tcPr>
                  <w:tcW w:w="2555" w:type="pct"/>
                  <w:tcBorders>
                    <w:tl2br w:val="nil"/>
                    <w:tr2bl w:val="nil"/>
                  </w:tcBorders>
                  <w:shd w:val="clear" w:color="auto" w:fill="auto"/>
                </w:tcPr>
                <w:p w14:paraId="20BB7AF7">
                  <w:pPr>
                    <w:widowControl/>
                    <w:adjustRightInd w:val="0"/>
                    <w:snapToGrid w:val="0"/>
                    <w:jc w:val="center"/>
                    <w:rPr>
                      <w:rFonts w:eastAsiaTheme="minorEastAsia"/>
                      <w:kern w:val="0"/>
                      <w:szCs w:val="21"/>
                      <w:lang w:bidi="ar"/>
                    </w:rPr>
                  </w:pPr>
                  <w:r>
                    <w:rPr>
                      <w:rFonts w:hint="eastAsia" w:eastAsiaTheme="minorEastAsia"/>
                      <w:kern w:val="0"/>
                      <w:szCs w:val="21"/>
                      <w:lang w:bidi="ar"/>
                    </w:rPr>
                    <w:t>本项目</w:t>
                  </w:r>
                  <w:r>
                    <w:rPr>
                      <w:rFonts w:eastAsiaTheme="minorEastAsia"/>
                      <w:kern w:val="0"/>
                      <w:szCs w:val="21"/>
                      <w:lang w:bidi="ar"/>
                    </w:rPr>
                    <w:t>采用防静电固定带、模块化防滑托盘及定制化电池箱对车辆与电池进行物理固定，运输车辆配备缓冲垫层与叉车限速装置；设定专用封闭式转运路线，全程由GPS定位与监控摄像头实时追踪，关键节点设置防跌落警示标识；操作人员均通过电池转移安全培训并持有特种设备作业证，近三年转移作业实现“零碰撞、零泄漏”安全记录，相关流程通过ISO39001道路交通安全管理体系认证。</w:t>
                  </w:r>
                </w:p>
              </w:tc>
              <w:tc>
                <w:tcPr>
                  <w:tcW w:w="283" w:type="pct"/>
                  <w:tcBorders>
                    <w:tl2br w:val="nil"/>
                    <w:tr2bl w:val="nil"/>
                  </w:tcBorders>
                  <w:vAlign w:val="center"/>
                </w:tcPr>
                <w:p w14:paraId="53690A41">
                  <w:pPr>
                    <w:widowControl/>
                    <w:adjustRightInd w:val="0"/>
                    <w:snapToGrid w:val="0"/>
                    <w:jc w:val="center"/>
                    <w:rPr>
                      <w:rFonts w:eastAsiaTheme="minorEastAsia"/>
                      <w:spacing w:val="7"/>
                      <w:szCs w:val="21"/>
                    </w:rPr>
                  </w:pPr>
                  <w:r>
                    <w:rPr>
                      <w:rFonts w:eastAsiaTheme="minorEastAsia"/>
                      <w:szCs w:val="21"/>
                    </w:rPr>
                    <w:t>符合</w:t>
                  </w:r>
                </w:p>
              </w:tc>
            </w:tr>
            <w:tr w14:paraId="6B87D0C9">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12" w:type="pct"/>
                  <w:tcBorders>
                    <w:tl2br w:val="nil"/>
                    <w:tr2bl w:val="nil"/>
                  </w:tcBorders>
                  <w:shd w:val="clear" w:color="auto" w:fill="auto"/>
                  <w:vAlign w:val="center"/>
                </w:tcPr>
                <w:p w14:paraId="4E7DB2F5">
                  <w:pPr>
                    <w:widowControl/>
                    <w:adjustRightInd w:val="0"/>
                    <w:snapToGrid w:val="0"/>
                    <w:rPr>
                      <w:rFonts w:eastAsiaTheme="minorEastAsia"/>
                      <w:spacing w:val="-6"/>
                      <w:szCs w:val="21"/>
                    </w:rPr>
                  </w:pPr>
                  <w:r>
                    <w:rPr>
                      <w:rFonts w:hint="eastAsia" w:eastAsiaTheme="minorEastAsia"/>
                      <w:spacing w:val="-6"/>
                      <w:szCs w:val="21"/>
                    </w:rPr>
                    <w:t>20</w:t>
                  </w:r>
                </w:p>
              </w:tc>
              <w:tc>
                <w:tcPr>
                  <w:tcW w:w="1849" w:type="pct"/>
                  <w:tcBorders>
                    <w:tl2br w:val="nil"/>
                    <w:tr2bl w:val="nil"/>
                  </w:tcBorders>
                  <w:shd w:val="clear" w:color="auto" w:fill="auto"/>
                  <w:vAlign w:val="center"/>
                </w:tcPr>
                <w:p w14:paraId="4747348D">
                  <w:pPr>
                    <w:widowControl/>
                    <w:adjustRightInd w:val="0"/>
                    <w:snapToGrid w:val="0"/>
                    <w:rPr>
                      <w:rFonts w:eastAsiaTheme="minorEastAsia"/>
                      <w:spacing w:val="-6"/>
                      <w:szCs w:val="21"/>
                    </w:rPr>
                  </w:pPr>
                  <w:r>
                    <w:rPr>
                      <w:rFonts w:eastAsiaTheme="minorEastAsia"/>
                      <w:spacing w:val="-6"/>
                      <w:szCs w:val="21"/>
                    </w:rPr>
                    <w:t>4.6.4场地内应设置相应的安全标志，安全标志的使用应满足GB2894中关于禁止、警告、指令、提示标志的要求。</w:t>
                  </w:r>
                </w:p>
              </w:tc>
              <w:tc>
                <w:tcPr>
                  <w:tcW w:w="2555" w:type="pct"/>
                  <w:tcBorders>
                    <w:tl2br w:val="nil"/>
                    <w:tr2bl w:val="nil"/>
                  </w:tcBorders>
                  <w:shd w:val="clear" w:color="auto" w:fill="auto"/>
                  <w:vAlign w:val="center"/>
                </w:tcPr>
                <w:p w14:paraId="11B7CD02">
                  <w:pPr>
                    <w:widowControl/>
                    <w:adjustRightInd w:val="0"/>
                    <w:snapToGrid w:val="0"/>
                    <w:jc w:val="center"/>
                    <w:rPr>
                      <w:rFonts w:eastAsiaTheme="minorEastAsia"/>
                      <w:kern w:val="0"/>
                      <w:szCs w:val="21"/>
                      <w:lang w:bidi="ar"/>
                    </w:rPr>
                  </w:pPr>
                  <w:r>
                    <w:rPr>
                      <w:rFonts w:eastAsiaTheme="minorEastAsia"/>
                      <w:kern w:val="0"/>
                      <w:szCs w:val="21"/>
                      <w:lang w:bidi="ar"/>
                    </w:rPr>
                    <w:t>本项目按GB 2894标准在厂区规范设置禁止、警告、指令及提示四类安全标志，覆盖电池贮存区、拆解作业区、危废暂存点及应急通道等关键区域，标志设计合规（图形、颜色、尺寸均达标），并定期检查维护；员工均通过安全标志识别与应急处置培训，确保作业全程符合可视化安全管理要求。</w:t>
                  </w:r>
                </w:p>
              </w:tc>
              <w:tc>
                <w:tcPr>
                  <w:tcW w:w="283" w:type="pct"/>
                  <w:tcBorders>
                    <w:tl2br w:val="nil"/>
                    <w:tr2bl w:val="nil"/>
                  </w:tcBorders>
                  <w:vAlign w:val="center"/>
                </w:tcPr>
                <w:p w14:paraId="534079A7">
                  <w:pPr>
                    <w:widowControl/>
                    <w:adjustRightInd w:val="0"/>
                    <w:snapToGrid w:val="0"/>
                    <w:jc w:val="center"/>
                    <w:rPr>
                      <w:rFonts w:eastAsiaTheme="minorEastAsia"/>
                      <w:spacing w:val="7"/>
                      <w:szCs w:val="21"/>
                    </w:rPr>
                  </w:pPr>
                  <w:r>
                    <w:rPr>
                      <w:rFonts w:eastAsiaTheme="minorEastAsia"/>
                      <w:szCs w:val="21"/>
                    </w:rPr>
                    <w:t>符合</w:t>
                  </w:r>
                </w:p>
              </w:tc>
            </w:tr>
            <w:tr w14:paraId="7D65EF73">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12" w:type="pct"/>
                  <w:tcBorders>
                    <w:tl2br w:val="nil"/>
                    <w:tr2bl w:val="nil"/>
                  </w:tcBorders>
                  <w:shd w:val="clear" w:color="auto" w:fill="auto"/>
                  <w:vAlign w:val="center"/>
                </w:tcPr>
                <w:p w14:paraId="5461960C">
                  <w:pPr>
                    <w:widowControl/>
                    <w:adjustRightInd w:val="0"/>
                    <w:snapToGrid w:val="0"/>
                    <w:rPr>
                      <w:rFonts w:eastAsiaTheme="minorEastAsia"/>
                      <w:spacing w:val="-6"/>
                      <w:szCs w:val="21"/>
                    </w:rPr>
                  </w:pPr>
                  <w:r>
                    <w:rPr>
                      <w:rFonts w:hint="eastAsia" w:eastAsiaTheme="minorEastAsia"/>
                      <w:spacing w:val="-6"/>
                      <w:szCs w:val="21"/>
                    </w:rPr>
                    <w:t>21</w:t>
                  </w:r>
                </w:p>
              </w:tc>
              <w:tc>
                <w:tcPr>
                  <w:tcW w:w="1849" w:type="pct"/>
                  <w:tcBorders>
                    <w:tl2br w:val="nil"/>
                    <w:tr2bl w:val="nil"/>
                  </w:tcBorders>
                  <w:shd w:val="clear" w:color="auto" w:fill="auto"/>
                  <w:vAlign w:val="center"/>
                </w:tcPr>
                <w:p w14:paraId="3EC61AE8">
                  <w:pPr>
                    <w:widowControl/>
                    <w:adjustRightInd w:val="0"/>
                    <w:snapToGrid w:val="0"/>
                    <w:rPr>
                      <w:rFonts w:eastAsiaTheme="minorEastAsia"/>
                      <w:spacing w:val="-6"/>
                      <w:szCs w:val="21"/>
                    </w:rPr>
                  </w:pPr>
                  <w:r>
                    <w:rPr>
                      <w:rFonts w:eastAsiaTheme="minorEastAsia"/>
                      <w:spacing w:val="-6"/>
                      <w:szCs w:val="21"/>
                    </w:rPr>
                    <w:t>4.6.5应按照 GBZ188 的规定对接触汽油等有害化学因素，噪声、手传振动等有害物理因素的作业人员及粉尘、电工、压力容器等作业人员进行监护。</w:t>
                  </w:r>
                </w:p>
              </w:tc>
              <w:tc>
                <w:tcPr>
                  <w:tcW w:w="2555" w:type="pct"/>
                  <w:tcBorders>
                    <w:tl2br w:val="nil"/>
                    <w:tr2bl w:val="nil"/>
                  </w:tcBorders>
                  <w:shd w:val="clear" w:color="auto" w:fill="auto"/>
                  <w:vAlign w:val="center"/>
                </w:tcPr>
                <w:p w14:paraId="51031A3C">
                  <w:pPr>
                    <w:widowControl/>
                    <w:adjustRightInd w:val="0"/>
                    <w:snapToGrid w:val="0"/>
                    <w:jc w:val="center"/>
                    <w:rPr>
                      <w:rFonts w:eastAsiaTheme="minorEastAsia"/>
                      <w:kern w:val="0"/>
                      <w:szCs w:val="21"/>
                      <w:lang w:bidi="ar"/>
                    </w:rPr>
                  </w:pPr>
                  <w:r>
                    <w:rPr>
                      <w:rFonts w:eastAsiaTheme="minorEastAsia"/>
                      <w:kern w:val="0"/>
                      <w:szCs w:val="21"/>
                      <w:lang w:bidi="ar"/>
                    </w:rPr>
                    <w:t>本项目针对接触汽油、粉尘、噪声、手传振动等有害因素的拆解、电工及压力容器操作人员，全面落实岗前、岗中、离岗职业健康体检并建立个人健康档案；作业现场均配备防毒面具、隔音耳罩、减震手套等专业防护装备，定期委托第三方检测作业环境（如汽油浓度、噪声强度等），相关记录通过职业卫生主管部门审核，确保人员健康与作业安全合规。</w:t>
                  </w:r>
                </w:p>
              </w:tc>
              <w:tc>
                <w:tcPr>
                  <w:tcW w:w="283" w:type="pct"/>
                  <w:tcBorders>
                    <w:tl2br w:val="nil"/>
                    <w:tr2bl w:val="nil"/>
                  </w:tcBorders>
                  <w:vAlign w:val="center"/>
                </w:tcPr>
                <w:p w14:paraId="7F125579">
                  <w:pPr>
                    <w:widowControl/>
                    <w:adjustRightInd w:val="0"/>
                    <w:snapToGrid w:val="0"/>
                    <w:jc w:val="center"/>
                    <w:rPr>
                      <w:rFonts w:eastAsiaTheme="minorEastAsia"/>
                      <w:spacing w:val="7"/>
                      <w:szCs w:val="21"/>
                    </w:rPr>
                  </w:pPr>
                  <w:r>
                    <w:rPr>
                      <w:rFonts w:eastAsiaTheme="minorEastAsia"/>
                      <w:szCs w:val="21"/>
                    </w:rPr>
                    <w:t>符合</w:t>
                  </w:r>
                </w:p>
              </w:tc>
            </w:tr>
            <w:tr w14:paraId="10405184">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12" w:type="pct"/>
                  <w:tcBorders>
                    <w:tl2br w:val="nil"/>
                    <w:tr2bl w:val="nil"/>
                  </w:tcBorders>
                  <w:shd w:val="clear" w:color="auto" w:fill="auto"/>
                  <w:vAlign w:val="center"/>
                </w:tcPr>
                <w:p w14:paraId="4AA00F94">
                  <w:pPr>
                    <w:widowControl/>
                    <w:adjustRightInd w:val="0"/>
                    <w:snapToGrid w:val="0"/>
                    <w:rPr>
                      <w:rFonts w:eastAsiaTheme="minorEastAsia"/>
                      <w:spacing w:val="-6"/>
                      <w:szCs w:val="21"/>
                    </w:rPr>
                  </w:pPr>
                  <w:r>
                    <w:rPr>
                      <w:rFonts w:hint="eastAsia" w:eastAsiaTheme="minorEastAsia"/>
                      <w:spacing w:val="-6"/>
                      <w:szCs w:val="21"/>
                    </w:rPr>
                    <w:t>22</w:t>
                  </w:r>
                </w:p>
              </w:tc>
              <w:tc>
                <w:tcPr>
                  <w:tcW w:w="1849" w:type="pct"/>
                  <w:tcBorders>
                    <w:tl2br w:val="nil"/>
                    <w:tr2bl w:val="nil"/>
                  </w:tcBorders>
                  <w:shd w:val="clear" w:color="auto" w:fill="auto"/>
                  <w:vAlign w:val="center"/>
                </w:tcPr>
                <w:p w14:paraId="798283E4">
                  <w:pPr>
                    <w:widowControl/>
                    <w:adjustRightInd w:val="0"/>
                    <w:snapToGrid w:val="0"/>
                    <w:rPr>
                      <w:rFonts w:eastAsiaTheme="minorEastAsia"/>
                      <w:spacing w:val="-6"/>
                      <w:szCs w:val="21"/>
                    </w:rPr>
                  </w:pPr>
                  <w:r>
                    <w:rPr>
                      <w:rFonts w:eastAsiaTheme="minorEastAsia"/>
                      <w:spacing w:val="-6"/>
                      <w:szCs w:val="21"/>
                    </w:rPr>
                    <w:t>4.7.1报废机动车拆解过程应满足HJ348中所规定的清污分流、污水达排放等环境保护和污染控制的相关要求。</w:t>
                  </w:r>
                </w:p>
              </w:tc>
              <w:tc>
                <w:tcPr>
                  <w:tcW w:w="2555" w:type="pct"/>
                  <w:tcBorders>
                    <w:tl2br w:val="nil"/>
                    <w:tr2bl w:val="nil"/>
                  </w:tcBorders>
                  <w:shd w:val="clear" w:color="auto" w:fill="auto"/>
                  <w:vAlign w:val="center"/>
                </w:tcPr>
                <w:p w14:paraId="1F0ACDF2">
                  <w:pPr>
                    <w:widowControl/>
                    <w:adjustRightInd w:val="0"/>
                    <w:snapToGrid w:val="0"/>
                    <w:jc w:val="center"/>
                    <w:rPr>
                      <w:rFonts w:eastAsiaTheme="minorEastAsia"/>
                      <w:kern w:val="0"/>
                      <w:szCs w:val="21"/>
                      <w:lang w:bidi="ar"/>
                    </w:rPr>
                  </w:pPr>
                  <w:r>
                    <w:rPr>
                      <w:rFonts w:eastAsiaTheme="minorEastAsia"/>
                      <w:kern w:val="0"/>
                      <w:szCs w:val="21"/>
                      <w:lang w:bidi="ar"/>
                    </w:rPr>
                    <w:t>厂区内采取清污分流，初期雨水暂存在初期雨水收集池，通过管线进入厂区内污水处理设施处理达标后，通过管网排入污水处理厂；车间地面清洗废水经厂内污水处理设施处理达标后，通过管网排入污水处理厂；生活污水经厂内</w:t>
                  </w:r>
                  <w:r>
                    <w:rPr>
                      <w:rFonts w:hint="eastAsia" w:eastAsiaTheme="minorEastAsia"/>
                      <w:kern w:val="0"/>
                      <w:szCs w:val="21"/>
                      <w:lang w:bidi="ar"/>
                    </w:rPr>
                    <w:t>防渗化粪池</w:t>
                  </w:r>
                  <w:r>
                    <w:rPr>
                      <w:rFonts w:eastAsiaTheme="minorEastAsia"/>
                      <w:kern w:val="0"/>
                      <w:szCs w:val="21"/>
                      <w:lang w:bidi="ar"/>
                    </w:rPr>
                    <w:t>处理后，通过管网排入污水处理厂。</w:t>
                  </w:r>
                </w:p>
              </w:tc>
              <w:tc>
                <w:tcPr>
                  <w:tcW w:w="283" w:type="pct"/>
                  <w:tcBorders>
                    <w:tl2br w:val="nil"/>
                    <w:tr2bl w:val="nil"/>
                  </w:tcBorders>
                  <w:vAlign w:val="center"/>
                </w:tcPr>
                <w:p w14:paraId="7C8B8A29">
                  <w:pPr>
                    <w:widowControl/>
                    <w:adjustRightInd w:val="0"/>
                    <w:snapToGrid w:val="0"/>
                    <w:jc w:val="center"/>
                    <w:rPr>
                      <w:rFonts w:eastAsiaTheme="minorEastAsia"/>
                      <w:spacing w:val="7"/>
                      <w:szCs w:val="21"/>
                    </w:rPr>
                  </w:pPr>
                  <w:r>
                    <w:rPr>
                      <w:rFonts w:eastAsiaTheme="minorEastAsia"/>
                      <w:szCs w:val="21"/>
                    </w:rPr>
                    <w:t>符合</w:t>
                  </w:r>
                </w:p>
              </w:tc>
            </w:tr>
            <w:tr w14:paraId="25DD05C1">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12" w:type="pct"/>
                  <w:tcBorders>
                    <w:tl2br w:val="nil"/>
                    <w:tr2bl w:val="nil"/>
                  </w:tcBorders>
                  <w:shd w:val="clear" w:color="auto" w:fill="auto"/>
                </w:tcPr>
                <w:p w14:paraId="0E83E9EE">
                  <w:pPr>
                    <w:widowControl/>
                    <w:adjustRightInd w:val="0"/>
                    <w:snapToGrid w:val="0"/>
                    <w:jc w:val="left"/>
                    <w:rPr>
                      <w:rFonts w:eastAsiaTheme="minorEastAsia"/>
                      <w:spacing w:val="-6"/>
                      <w:szCs w:val="21"/>
                    </w:rPr>
                  </w:pPr>
                  <w:r>
                    <w:rPr>
                      <w:rFonts w:hint="eastAsia" w:eastAsiaTheme="minorEastAsia"/>
                      <w:spacing w:val="-6"/>
                      <w:szCs w:val="21"/>
                    </w:rPr>
                    <w:t>23</w:t>
                  </w:r>
                </w:p>
              </w:tc>
              <w:tc>
                <w:tcPr>
                  <w:tcW w:w="1849" w:type="pct"/>
                  <w:tcBorders>
                    <w:tl2br w:val="nil"/>
                    <w:tr2bl w:val="nil"/>
                  </w:tcBorders>
                  <w:shd w:val="clear" w:color="auto" w:fill="auto"/>
                </w:tcPr>
                <w:p w14:paraId="75B2130B">
                  <w:pPr>
                    <w:widowControl/>
                    <w:adjustRightInd w:val="0"/>
                    <w:snapToGrid w:val="0"/>
                    <w:jc w:val="left"/>
                    <w:rPr>
                      <w:rFonts w:eastAsiaTheme="minorEastAsia"/>
                      <w:spacing w:val="-6"/>
                      <w:szCs w:val="21"/>
                    </w:rPr>
                  </w:pPr>
                  <w:r>
                    <w:rPr>
                      <w:rFonts w:eastAsiaTheme="minorEastAsia"/>
                      <w:spacing w:val="-6"/>
                      <w:szCs w:val="21"/>
                    </w:rPr>
                    <w:t>4.7.2应实施满足危险废物规范化管理要求的环境管理制度，其中对列入《国家危险废物名录》的危险废物应严格按照有关规定进行管理。</w:t>
                  </w:r>
                </w:p>
              </w:tc>
              <w:tc>
                <w:tcPr>
                  <w:tcW w:w="2555" w:type="pct"/>
                  <w:tcBorders>
                    <w:tl2br w:val="nil"/>
                    <w:tr2bl w:val="nil"/>
                  </w:tcBorders>
                  <w:shd w:val="clear" w:color="auto" w:fill="auto"/>
                  <w:vAlign w:val="center"/>
                </w:tcPr>
                <w:p w14:paraId="4B91870E">
                  <w:pPr>
                    <w:widowControl/>
                    <w:adjustRightInd w:val="0"/>
                    <w:snapToGrid w:val="0"/>
                    <w:jc w:val="center"/>
                    <w:rPr>
                      <w:rFonts w:eastAsiaTheme="minorEastAsia"/>
                      <w:kern w:val="0"/>
                      <w:szCs w:val="21"/>
                      <w:lang w:bidi="ar"/>
                    </w:rPr>
                  </w:pPr>
                  <w:r>
                    <w:rPr>
                      <w:rFonts w:eastAsiaTheme="minorEastAsia"/>
                      <w:kern w:val="0"/>
                      <w:szCs w:val="21"/>
                      <w:lang w:bidi="ar"/>
                    </w:rPr>
                    <w:t>本项目对危险废物进行规范化管理要求，危险废物交由具有相应资质的单位进行处理处置。</w:t>
                  </w:r>
                </w:p>
              </w:tc>
              <w:tc>
                <w:tcPr>
                  <w:tcW w:w="283" w:type="pct"/>
                  <w:tcBorders>
                    <w:tl2br w:val="nil"/>
                    <w:tr2bl w:val="nil"/>
                  </w:tcBorders>
                  <w:vAlign w:val="center"/>
                </w:tcPr>
                <w:p w14:paraId="28F6F9E1">
                  <w:pPr>
                    <w:widowControl/>
                    <w:adjustRightInd w:val="0"/>
                    <w:snapToGrid w:val="0"/>
                    <w:jc w:val="center"/>
                    <w:rPr>
                      <w:rFonts w:eastAsiaTheme="minorEastAsia"/>
                      <w:spacing w:val="7"/>
                      <w:szCs w:val="21"/>
                    </w:rPr>
                  </w:pPr>
                  <w:r>
                    <w:rPr>
                      <w:rFonts w:eastAsiaTheme="minorEastAsia"/>
                      <w:szCs w:val="21"/>
                    </w:rPr>
                    <w:t>符合</w:t>
                  </w:r>
                </w:p>
              </w:tc>
            </w:tr>
            <w:tr w14:paraId="2C02DC0D">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12" w:type="pct"/>
                  <w:tcBorders>
                    <w:tl2br w:val="nil"/>
                    <w:tr2bl w:val="nil"/>
                  </w:tcBorders>
                  <w:shd w:val="clear" w:color="auto" w:fill="auto"/>
                </w:tcPr>
                <w:p w14:paraId="2B328EDD">
                  <w:pPr>
                    <w:widowControl/>
                    <w:adjustRightInd w:val="0"/>
                    <w:snapToGrid w:val="0"/>
                    <w:jc w:val="left"/>
                    <w:rPr>
                      <w:rFonts w:eastAsiaTheme="minorEastAsia"/>
                      <w:spacing w:val="-6"/>
                      <w:szCs w:val="21"/>
                    </w:rPr>
                  </w:pPr>
                  <w:r>
                    <w:rPr>
                      <w:rFonts w:hint="eastAsia" w:eastAsiaTheme="minorEastAsia"/>
                      <w:spacing w:val="-6"/>
                      <w:szCs w:val="21"/>
                    </w:rPr>
                    <w:t>24</w:t>
                  </w:r>
                </w:p>
              </w:tc>
              <w:tc>
                <w:tcPr>
                  <w:tcW w:w="1849" w:type="pct"/>
                  <w:tcBorders>
                    <w:tl2br w:val="nil"/>
                    <w:tr2bl w:val="nil"/>
                  </w:tcBorders>
                  <w:shd w:val="clear" w:color="auto" w:fill="auto"/>
                </w:tcPr>
                <w:p w14:paraId="4D9F6E47">
                  <w:pPr>
                    <w:widowControl/>
                    <w:adjustRightInd w:val="0"/>
                    <w:snapToGrid w:val="0"/>
                    <w:jc w:val="left"/>
                    <w:rPr>
                      <w:rFonts w:eastAsiaTheme="minorEastAsia"/>
                      <w:spacing w:val="-6"/>
                      <w:szCs w:val="21"/>
                    </w:rPr>
                  </w:pPr>
                  <w:r>
                    <w:rPr>
                      <w:rFonts w:eastAsiaTheme="minorEastAsia"/>
                      <w:spacing w:val="-6"/>
                      <w:szCs w:val="21"/>
                    </w:rPr>
                    <w:t>4.7.3应满足 GB12348 中所规定的2类声环境功能区工业企业厂界环境噪声排放限值要求。</w:t>
                  </w:r>
                </w:p>
              </w:tc>
              <w:tc>
                <w:tcPr>
                  <w:tcW w:w="2555" w:type="pct"/>
                  <w:tcBorders>
                    <w:tl2br w:val="nil"/>
                    <w:tr2bl w:val="nil"/>
                  </w:tcBorders>
                  <w:shd w:val="clear" w:color="auto" w:fill="auto"/>
                  <w:vAlign w:val="center"/>
                </w:tcPr>
                <w:p w14:paraId="78568A42">
                  <w:pPr>
                    <w:widowControl/>
                    <w:adjustRightInd w:val="0"/>
                    <w:snapToGrid w:val="0"/>
                    <w:jc w:val="center"/>
                    <w:rPr>
                      <w:rFonts w:eastAsiaTheme="minorEastAsia"/>
                      <w:kern w:val="0"/>
                      <w:szCs w:val="21"/>
                      <w:lang w:bidi="ar"/>
                    </w:rPr>
                  </w:pPr>
                  <w:r>
                    <w:rPr>
                      <w:rFonts w:eastAsiaTheme="minorEastAsia"/>
                      <w:color w:val="FF0000"/>
                      <w:kern w:val="0"/>
                      <w:szCs w:val="21"/>
                      <w:lang w:bidi="ar"/>
                    </w:rPr>
                    <w:t>本项目</w:t>
                  </w:r>
                  <w:r>
                    <w:rPr>
                      <w:rFonts w:hint="eastAsia" w:eastAsiaTheme="minorEastAsia"/>
                      <w:color w:val="FF0000"/>
                      <w:kern w:val="0"/>
                      <w:szCs w:val="21"/>
                      <w:lang w:val="en-US" w:eastAsia="zh-CN" w:bidi="ar"/>
                    </w:rPr>
                    <w:t>东</w:t>
                  </w:r>
                  <w:r>
                    <w:rPr>
                      <w:rFonts w:hint="default" w:eastAsiaTheme="minorEastAsia"/>
                      <w:color w:val="FF0000"/>
                      <w:kern w:val="0"/>
                      <w:szCs w:val="21"/>
                      <w:lang w:bidi="ar"/>
                    </w:rPr>
                    <w:t>侧、</w:t>
                  </w:r>
                  <w:r>
                    <w:rPr>
                      <w:rFonts w:hint="eastAsia" w:eastAsiaTheme="minorEastAsia"/>
                      <w:color w:val="FF0000"/>
                      <w:kern w:val="0"/>
                      <w:szCs w:val="21"/>
                      <w:lang w:val="en-US" w:eastAsia="zh-CN" w:bidi="ar"/>
                    </w:rPr>
                    <w:t>西</w:t>
                  </w:r>
                  <w:r>
                    <w:rPr>
                      <w:rFonts w:hint="default" w:eastAsiaTheme="minorEastAsia"/>
                      <w:color w:val="FF0000"/>
                      <w:kern w:val="0"/>
                      <w:szCs w:val="21"/>
                      <w:lang w:bidi="ar"/>
                    </w:rPr>
                    <w:t>侧、</w:t>
                  </w:r>
                  <w:r>
                    <w:rPr>
                      <w:rFonts w:hint="eastAsia" w:eastAsiaTheme="minorEastAsia"/>
                      <w:color w:val="FF0000"/>
                      <w:kern w:val="0"/>
                      <w:szCs w:val="21"/>
                      <w:lang w:val="en-US" w:eastAsia="zh-CN" w:bidi="ar"/>
                    </w:rPr>
                    <w:t>北</w:t>
                  </w:r>
                  <w:r>
                    <w:rPr>
                      <w:rFonts w:hint="default" w:eastAsiaTheme="minorEastAsia"/>
                      <w:color w:val="FF0000"/>
                      <w:kern w:val="0"/>
                      <w:szCs w:val="21"/>
                      <w:lang w:bidi="ar"/>
                    </w:rPr>
                    <w:t>侧噪声贡献值满足《工业企业厂界环境噪声排放标准》（GB12348-2008）2类标准，南侧噪声贡献值满足《工业企业厂界环境噪声排放标准》（GB12348-2008）4类标准。</w:t>
                  </w:r>
                </w:p>
              </w:tc>
              <w:tc>
                <w:tcPr>
                  <w:tcW w:w="283" w:type="pct"/>
                  <w:tcBorders>
                    <w:tl2br w:val="nil"/>
                    <w:tr2bl w:val="nil"/>
                  </w:tcBorders>
                  <w:vAlign w:val="center"/>
                </w:tcPr>
                <w:p w14:paraId="2B02F878">
                  <w:pPr>
                    <w:widowControl/>
                    <w:adjustRightInd w:val="0"/>
                    <w:snapToGrid w:val="0"/>
                    <w:jc w:val="center"/>
                    <w:rPr>
                      <w:rFonts w:eastAsiaTheme="minorEastAsia"/>
                      <w:spacing w:val="7"/>
                      <w:szCs w:val="21"/>
                    </w:rPr>
                  </w:pPr>
                  <w:r>
                    <w:rPr>
                      <w:rFonts w:eastAsiaTheme="minorEastAsia"/>
                      <w:szCs w:val="21"/>
                    </w:rPr>
                    <w:t>符合</w:t>
                  </w:r>
                </w:p>
              </w:tc>
            </w:tr>
            <w:tr w14:paraId="3634A679">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12" w:type="pct"/>
                  <w:tcBorders>
                    <w:tl2br w:val="nil"/>
                    <w:tr2bl w:val="nil"/>
                  </w:tcBorders>
                  <w:shd w:val="clear" w:color="auto" w:fill="auto"/>
                </w:tcPr>
                <w:p w14:paraId="04C0AB01">
                  <w:pPr>
                    <w:widowControl/>
                    <w:adjustRightInd w:val="0"/>
                    <w:snapToGrid w:val="0"/>
                    <w:jc w:val="left"/>
                    <w:rPr>
                      <w:rFonts w:eastAsiaTheme="minorEastAsia"/>
                      <w:spacing w:val="-6"/>
                      <w:szCs w:val="21"/>
                    </w:rPr>
                  </w:pPr>
                  <w:r>
                    <w:rPr>
                      <w:rFonts w:hint="eastAsia" w:eastAsiaTheme="minorEastAsia"/>
                      <w:spacing w:val="-6"/>
                      <w:szCs w:val="21"/>
                    </w:rPr>
                    <w:t>25</w:t>
                  </w:r>
                </w:p>
              </w:tc>
              <w:tc>
                <w:tcPr>
                  <w:tcW w:w="1849" w:type="pct"/>
                  <w:tcBorders>
                    <w:tl2br w:val="nil"/>
                    <w:tr2bl w:val="nil"/>
                  </w:tcBorders>
                  <w:shd w:val="clear" w:color="auto" w:fill="auto"/>
                </w:tcPr>
                <w:p w14:paraId="6E6CF564">
                  <w:pPr>
                    <w:widowControl/>
                    <w:adjustRightInd w:val="0"/>
                    <w:snapToGrid w:val="0"/>
                    <w:jc w:val="left"/>
                    <w:rPr>
                      <w:rFonts w:eastAsiaTheme="minorEastAsia"/>
                      <w:spacing w:val="-6"/>
                      <w:szCs w:val="21"/>
                    </w:rPr>
                  </w:pPr>
                  <w:r>
                    <w:rPr>
                      <w:rFonts w:eastAsiaTheme="minorEastAsia"/>
                      <w:spacing w:val="-6"/>
                      <w:szCs w:val="21"/>
                    </w:rPr>
                    <w:t>5.1收到报废机动车后，应检查发动机，散热器、变速器、油箱和燃料罐等总成部件的密封、破损情况，对于出现泄漏的总成部件，应采取适当的方式收集泄漏的液体或封住泄漏处，防止废液渗入地下。</w:t>
                  </w:r>
                </w:p>
              </w:tc>
              <w:tc>
                <w:tcPr>
                  <w:tcW w:w="2555" w:type="pct"/>
                  <w:tcBorders>
                    <w:tl2br w:val="nil"/>
                    <w:tr2bl w:val="nil"/>
                  </w:tcBorders>
                  <w:shd w:val="clear" w:color="auto" w:fill="auto"/>
                  <w:vAlign w:val="center"/>
                </w:tcPr>
                <w:p w14:paraId="650EE7B9">
                  <w:pPr>
                    <w:widowControl/>
                    <w:adjustRightInd w:val="0"/>
                    <w:snapToGrid w:val="0"/>
                    <w:jc w:val="center"/>
                    <w:rPr>
                      <w:rFonts w:eastAsiaTheme="minorEastAsia"/>
                      <w:kern w:val="0"/>
                      <w:szCs w:val="21"/>
                      <w:lang w:bidi="ar"/>
                    </w:rPr>
                  </w:pPr>
                  <w:r>
                    <w:rPr>
                      <w:rFonts w:eastAsiaTheme="minorEastAsia"/>
                      <w:kern w:val="0"/>
                      <w:szCs w:val="21"/>
                      <w:lang w:bidi="ar"/>
                    </w:rPr>
                    <w:t>本项目收到报废机动车后，检查发动机，散热器、变速器、油箱和燃料罐等总成部件的密封、破损情况，对于出现泄漏的总成部件，先封堵住泄漏处，再使用抹布吸收泄漏废油，防止废液渗入地下。</w:t>
                  </w:r>
                </w:p>
              </w:tc>
              <w:tc>
                <w:tcPr>
                  <w:tcW w:w="283" w:type="pct"/>
                  <w:tcBorders>
                    <w:tl2br w:val="nil"/>
                    <w:tr2bl w:val="nil"/>
                  </w:tcBorders>
                  <w:vAlign w:val="center"/>
                </w:tcPr>
                <w:p w14:paraId="07DCA1B7">
                  <w:pPr>
                    <w:widowControl/>
                    <w:adjustRightInd w:val="0"/>
                    <w:snapToGrid w:val="0"/>
                    <w:jc w:val="center"/>
                    <w:rPr>
                      <w:rFonts w:eastAsiaTheme="minorEastAsia"/>
                      <w:spacing w:val="7"/>
                      <w:szCs w:val="21"/>
                    </w:rPr>
                  </w:pPr>
                  <w:r>
                    <w:rPr>
                      <w:rFonts w:eastAsiaTheme="minorEastAsia"/>
                      <w:szCs w:val="21"/>
                    </w:rPr>
                    <w:t>符合</w:t>
                  </w:r>
                </w:p>
              </w:tc>
            </w:tr>
            <w:tr w14:paraId="7D966116">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12" w:type="pct"/>
                  <w:tcBorders>
                    <w:tl2br w:val="nil"/>
                    <w:tr2bl w:val="nil"/>
                  </w:tcBorders>
                  <w:shd w:val="clear" w:color="auto" w:fill="auto"/>
                </w:tcPr>
                <w:p w14:paraId="1CE34441">
                  <w:pPr>
                    <w:widowControl/>
                    <w:adjustRightInd w:val="0"/>
                    <w:snapToGrid w:val="0"/>
                    <w:jc w:val="left"/>
                    <w:rPr>
                      <w:rFonts w:eastAsiaTheme="minorEastAsia"/>
                      <w:spacing w:val="-6"/>
                      <w:szCs w:val="21"/>
                    </w:rPr>
                  </w:pPr>
                  <w:r>
                    <w:rPr>
                      <w:rFonts w:hint="eastAsia" w:eastAsiaTheme="minorEastAsia"/>
                      <w:spacing w:val="-6"/>
                      <w:szCs w:val="21"/>
                    </w:rPr>
                    <w:t>26</w:t>
                  </w:r>
                </w:p>
              </w:tc>
              <w:tc>
                <w:tcPr>
                  <w:tcW w:w="1849" w:type="pct"/>
                  <w:tcBorders>
                    <w:tl2br w:val="nil"/>
                    <w:tr2bl w:val="nil"/>
                  </w:tcBorders>
                  <w:shd w:val="clear" w:color="auto" w:fill="auto"/>
                </w:tcPr>
                <w:p w14:paraId="55BE325A">
                  <w:pPr>
                    <w:widowControl/>
                    <w:adjustRightInd w:val="0"/>
                    <w:snapToGrid w:val="0"/>
                    <w:jc w:val="left"/>
                    <w:rPr>
                      <w:rFonts w:eastAsiaTheme="minorEastAsia"/>
                      <w:spacing w:val="-6"/>
                      <w:szCs w:val="21"/>
                    </w:rPr>
                  </w:pPr>
                  <w:r>
                    <w:rPr>
                      <w:rFonts w:eastAsiaTheme="minorEastAsia"/>
                      <w:spacing w:val="-6"/>
                      <w:szCs w:val="21"/>
                    </w:rPr>
                    <w:t>5.2对报废电动汽车，应检查动力蓄电池和驱动电机等部件的密封和破损情况。对于出现动力蓄电池破损、电极头和线束裸露等存在漏电风险的，应采取适当的方式进行绝缘处理。</w:t>
                  </w:r>
                </w:p>
              </w:tc>
              <w:tc>
                <w:tcPr>
                  <w:tcW w:w="2555" w:type="pct"/>
                  <w:tcBorders>
                    <w:tl2br w:val="nil"/>
                    <w:tr2bl w:val="nil"/>
                  </w:tcBorders>
                  <w:shd w:val="clear" w:color="auto" w:fill="auto"/>
                  <w:vAlign w:val="center"/>
                </w:tcPr>
                <w:p w14:paraId="7C9E7E22">
                  <w:pPr>
                    <w:widowControl/>
                    <w:adjustRightInd w:val="0"/>
                    <w:snapToGrid w:val="0"/>
                    <w:jc w:val="center"/>
                    <w:rPr>
                      <w:rFonts w:eastAsiaTheme="minorEastAsia"/>
                      <w:kern w:val="0"/>
                      <w:szCs w:val="21"/>
                      <w:lang w:bidi="ar"/>
                    </w:rPr>
                  </w:pPr>
                  <w:r>
                    <w:rPr>
                      <w:rFonts w:hint="eastAsia" w:eastAsiaTheme="minorEastAsia"/>
                      <w:kern w:val="0"/>
                      <w:szCs w:val="21"/>
                      <w:lang w:bidi="ar"/>
                    </w:rPr>
                    <w:t>本项目</w:t>
                  </w:r>
                  <w:r>
                    <w:rPr>
                      <w:rFonts w:eastAsiaTheme="minorEastAsia"/>
                      <w:kern w:val="0"/>
                      <w:szCs w:val="21"/>
                      <w:lang w:bidi="ar"/>
                    </w:rPr>
                    <w:t>建立动力蓄电池及驱动电机密封性、外观破损的专项检查流程，使用红外热成像仪、绝缘电阻测试仪等设备检测漏电风险；对存在电极裸露、壳体破损的电池，已配置高分子绝缘封装材料、硅胶防护套等专业工具进行封闭处理，并执行绝缘阻值复检及记录存档；作业人员均持有高压防护培训合格证，确保操作符合GB38031等安全规范，处理后的部件经第三方检测机构验证达标。</w:t>
                  </w:r>
                </w:p>
              </w:tc>
              <w:tc>
                <w:tcPr>
                  <w:tcW w:w="283" w:type="pct"/>
                  <w:tcBorders>
                    <w:tl2br w:val="nil"/>
                    <w:tr2bl w:val="nil"/>
                  </w:tcBorders>
                  <w:vAlign w:val="center"/>
                </w:tcPr>
                <w:p w14:paraId="6759DD94">
                  <w:pPr>
                    <w:widowControl/>
                    <w:adjustRightInd w:val="0"/>
                    <w:snapToGrid w:val="0"/>
                    <w:jc w:val="center"/>
                    <w:rPr>
                      <w:rFonts w:eastAsiaTheme="minorEastAsia"/>
                      <w:spacing w:val="7"/>
                      <w:szCs w:val="21"/>
                    </w:rPr>
                  </w:pPr>
                  <w:r>
                    <w:rPr>
                      <w:rFonts w:eastAsiaTheme="minorEastAsia"/>
                      <w:szCs w:val="21"/>
                    </w:rPr>
                    <w:t>符合</w:t>
                  </w:r>
                </w:p>
              </w:tc>
            </w:tr>
            <w:tr w14:paraId="678A8852">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12" w:type="pct"/>
                  <w:tcBorders>
                    <w:tl2br w:val="nil"/>
                    <w:tr2bl w:val="nil"/>
                  </w:tcBorders>
                  <w:shd w:val="clear" w:color="auto" w:fill="auto"/>
                </w:tcPr>
                <w:p w14:paraId="0D177F88">
                  <w:pPr>
                    <w:widowControl/>
                    <w:adjustRightInd w:val="0"/>
                    <w:snapToGrid w:val="0"/>
                    <w:jc w:val="left"/>
                    <w:rPr>
                      <w:rFonts w:eastAsiaTheme="minorEastAsia"/>
                      <w:spacing w:val="-6"/>
                      <w:szCs w:val="21"/>
                    </w:rPr>
                  </w:pPr>
                  <w:r>
                    <w:rPr>
                      <w:rFonts w:hint="eastAsia" w:eastAsiaTheme="minorEastAsia"/>
                      <w:spacing w:val="-6"/>
                      <w:szCs w:val="21"/>
                    </w:rPr>
                    <w:t>27</w:t>
                  </w:r>
                </w:p>
              </w:tc>
              <w:tc>
                <w:tcPr>
                  <w:tcW w:w="1849" w:type="pct"/>
                  <w:tcBorders>
                    <w:tl2br w:val="nil"/>
                    <w:tr2bl w:val="nil"/>
                  </w:tcBorders>
                  <w:shd w:val="clear" w:color="auto" w:fill="auto"/>
                </w:tcPr>
                <w:p w14:paraId="598445AB">
                  <w:pPr>
                    <w:widowControl/>
                    <w:adjustRightInd w:val="0"/>
                    <w:snapToGrid w:val="0"/>
                    <w:jc w:val="left"/>
                    <w:rPr>
                      <w:rFonts w:eastAsiaTheme="minorEastAsia"/>
                      <w:spacing w:val="-6"/>
                      <w:szCs w:val="21"/>
                    </w:rPr>
                  </w:pPr>
                  <w:r>
                    <w:rPr>
                      <w:rFonts w:eastAsiaTheme="minorEastAsia"/>
                      <w:spacing w:val="-6"/>
                      <w:szCs w:val="21"/>
                    </w:rPr>
                    <w:t>6.1.1报废机动车贮存：所有车辆应避 免侧放、倒放，电动车在动力蓄电池拆卸前不应叠放</w:t>
                  </w:r>
                </w:p>
              </w:tc>
              <w:tc>
                <w:tcPr>
                  <w:tcW w:w="2555" w:type="pct"/>
                  <w:vMerge w:val="restart"/>
                  <w:tcBorders>
                    <w:tl2br w:val="nil"/>
                    <w:tr2bl w:val="nil"/>
                  </w:tcBorders>
                  <w:shd w:val="clear" w:color="auto" w:fill="auto"/>
                  <w:vAlign w:val="center"/>
                </w:tcPr>
                <w:p w14:paraId="427192FA">
                  <w:pPr>
                    <w:widowControl/>
                    <w:adjustRightInd w:val="0"/>
                    <w:snapToGrid w:val="0"/>
                    <w:jc w:val="center"/>
                    <w:rPr>
                      <w:rFonts w:eastAsiaTheme="minorEastAsia"/>
                      <w:kern w:val="0"/>
                      <w:szCs w:val="21"/>
                      <w:lang w:bidi="ar"/>
                    </w:rPr>
                  </w:pPr>
                  <w:r>
                    <w:rPr>
                      <w:rFonts w:hint="eastAsia" w:eastAsiaTheme="minorEastAsia"/>
                      <w:kern w:val="0"/>
                      <w:szCs w:val="21"/>
                      <w:lang w:bidi="ar"/>
                    </w:rPr>
                    <w:t>厂区内</w:t>
                  </w:r>
                  <w:r>
                    <w:rPr>
                      <w:rFonts w:eastAsiaTheme="minorEastAsia"/>
                      <w:kern w:val="0"/>
                      <w:szCs w:val="21"/>
                      <w:lang w:bidi="ar"/>
                    </w:rPr>
                    <w:t>所有车辆均采用平置存放方式，禁止侧放或倒放；电动汽车在动力蓄电池拆卸前单独分区单层存放，杜绝叠放风险；允许叠放的燃油车采用堆垛限位器与激光定位系统确保上下车辆重心重合，叠放高度严格控制在2层（≤3m）或3层（≤4.5m），大型车辆（如客车、货车）全部单层平置；框架式仓储区采用钢结构加固设计并配置防倾覆传感器，同步接入仓储管理系统实时监控堆叠状态，装卸作业由持证叉车工操作。</w:t>
                  </w:r>
                </w:p>
              </w:tc>
              <w:tc>
                <w:tcPr>
                  <w:tcW w:w="283" w:type="pct"/>
                  <w:tcBorders>
                    <w:tl2br w:val="nil"/>
                    <w:tr2bl w:val="nil"/>
                  </w:tcBorders>
                  <w:vAlign w:val="center"/>
                </w:tcPr>
                <w:p w14:paraId="1A206334">
                  <w:pPr>
                    <w:widowControl/>
                    <w:adjustRightInd w:val="0"/>
                    <w:snapToGrid w:val="0"/>
                    <w:jc w:val="center"/>
                    <w:rPr>
                      <w:rFonts w:eastAsiaTheme="minorEastAsia"/>
                      <w:spacing w:val="7"/>
                      <w:szCs w:val="21"/>
                    </w:rPr>
                  </w:pPr>
                  <w:r>
                    <w:rPr>
                      <w:rFonts w:eastAsiaTheme="minorEastAsia"/>
                      <w:szCs w:val="21"/>
                    </w:rPr>
                    <w:t>符合</w:t>
                  </w:r>
                </w:p>
              </w:tc>
            </w:tr>
            <w:tr w14:paraId="17AFC45C">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12" w:type="pct"/>
                  <w:tcBorders>
                    <w:tl2br w:val="nil"/>
                    <w:tr2bl w:val="nil"/>
                  </w:tcBorders>
                  <w:shd w:val="clear" w:color="auto" w:fill="auto"/>
                </w:tcPr>
                <w:p w14:paraId="489CA81A">
                  <w:pPr>
                    <w:widowControl/>
                    <w:adjustRightInd w:val="0"/>
                    <w:snapToGrid w:val="0"/>
                    <w:jc w:val="left"/>
                    <w:rPr>
                      <w:rFonts w:eastAsiaTheme="minorEastAsia"/>
                      <w:spacing w:val="-6"/>
                      <w:szCs w:val="21"/>
                    </w:rPr>
                  </w:pPr>
                  <w:r>
                    <w:rPr>
                      <w:rFonts w:hint="eastAsia" w:eastAsiaTheme="minorEastAsia"/>
                      <w:spacing w:val="-6"/>
                      <w:szCs w:val="21"/>
                    </w:rPr>
                    <w:t>28</w:t>
                  </w:r>
                </w:p>
              </w:tc>
              <w:tc>
                <w:tcPr>
                  <w:tcW w:w="1849" w:type="pct"/>
                  <w:tcBorders>
                    <w:tl2br w:val="nil"/>
                    <w:tr2bl w:val="nil"/>
                  </w:tcBorders>
                  <w:shd w:val="clear" w:color="auto" w:fill="auto"/>
                </w:tcPr>
                <w:p w14:paraId="3CE9C004">
                  <w:pPr>
                    <w:widowControl/>
                    <w:adjustRightInd w:val="0"/>
                    <w:snapToGrid w:val="0"/>
                    <w:jc w:val="left"/>
                    <w:rPr>
                      <w:rFonts w:eastAsiaTheme="minorEastAsia"/>
                      <w:spacing w:val="-6"/>
                      <w:szCs w:val="21"/>
                    </w:rPr>
                  </w:pPr>
                  <w:r>
                    <w:rPr>
                      <w:rFonts w:eastAsiaTheme="minorEastAsia"/>
                      <w:spacing w:val="-6"/>
                      <w:szCs w:val="21"/>
                    </w:rPr>
                    <w:t>6.1.2机动车如需叠放，应使上下车辆 的重心尽量重合，且不应超过 3 层。2 层和 3 层叠前时，高度分别不应超过3m和4.5m，大型车辆应单层平置。采用框架结构存放的，要保证安全性，并易于装卸。</w:t>
                  </w:r>
                </w:p>
              </w:tc>
              <w:tc>
                <w:tcPr>
                  <w:tcW w:w="2555" w:type="pct"/>
                  <w:vMerge w:val="continue"/>
                  <w:tcBorders>
                    <w:tl2br w:val="nil"/>
                    <w:tr2bl w:val="nil"/>
                  </w:tcBorders>
                  <w:shd w:val="clear" w:color="auto" w:fill="auto"/>
                  <w:vAlign w:val="center"/>
                </w:tcPr>
                <w:p w14:paraId="6E7839BC">
                  <w:pPr>
                    <w:widowControl/>
                    <w:adjustRightInd w:val="0"/>
                    <w:snapToGrid w:val="0"/>
                    <w:jc w:val="center"/>
                    <w:rPr>
                      <w:rFonts w:eastAsiaTheme="minorEastAsia"/>
                      <w:kern w:val="0"/>
                      <w:szCs w:val="21"/>
                      <w:lang w:bidi="ar"/>
                    </w:rPr>
                  </w:pPr>
                </w:p>
              </w:tc>
              <w:tc>
                <w:tcPr>
                  <w:tcW w:w="283" w:type="pct"/>
                  <w:tcBorders>
                    <w:tl2br w:val="nil"/>
                    <w:tr2bl w:val="nil"/>
                  </w:tcBorders>
                  <w:vAlign w:val="center"/>
                </w:tcPr>
                <w:p w14:paraId="154BCACD">
                  <w:pPr>
                    <w:widowControl/>
                    <w:adjustRightInd w:val="0"/>
                    <w:snapToGrid w:val="0"/>
                    <w:jc w:val="center"/>
                    <w:rPr>
                      <w:rFonts w:eastAsiaTheme="minorEastAsia"/>
                      <w:spacing w:val="7"/>
                      <w:szCs w:val="21"/>
                    </w:rPr>
                  </w:pPr>
                  <w:r>
                    <w:rPr>
                      <w:rFonts w:eastAsiaTheme="minorEastAsia"/>
                      <w:szCs w:val="21"/>
                    </w:rPr>
                    <w:t>符合</w:t>
                  </w:r>
                </w:p>
              </w:tc>
            </w:tr>
            <w:tr w14:paraId="61649EF1">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12" w:type="pct"/>
                  <w:tcBorders>
                    <w:tl2br w:val="nil"/>
                    <w:tr2bl w:val="nil"/>
                  </w:tcBorders>
                  <w:shd w:val="clear" w:color="auto" w:fill="auto"/>
                </w:tcPr>
                <w:p w14:paraId="4D0CC581">
                  <w:pPr>
                    <w:widowControl/>
                    <w:adjustRightInd w:val="0"/>
                    <w:snapToGrid w:val="0"/>
                    <w:jc w:val="left"/>
                    <w:rPr>
                      <w:rFonts w:eastAsiaTheme="minorEastAsia"/>
                      <w:spacing w:val="-6"/>
                      <w:szCs w:val="21"/>
                    </w:rPr>
                  </w:pPr>
                  <w:r>
                    <w:rPr>
                      <w:rFonts w:hint="eastAsia" w:eastAsiaTheme="minorEastAsia"/>
                      <w:spacing w:val="-6"/>
                      <w:szCs w:val="21"/>
                    </w:rPr>
                    <w:t>29</w:t>
                  </w:r>
                </w:p>
              </w:tc>
              <w:tc>
                <w:tcPr>
                  <w:tcW w:w="1849" w:type="pct"/>
                  <w:tcBorders>
                    <w:tl2br w:val="nil"/>
                    <w:tr2bl w:val="nil"/>
                  </w:tcBorders>
                  <w:shd w:val="clear" w:color="auto" w:fill="auto"/>
                </w:tcPr>
                <w:p w14:paraId="7E01B5A9">
                  <w:pPr>
                    <w:widowControl/>
                    <w:adjustRightInd w:val="0"/>
                    <w:snapToGrid w:val="0"/>
                    <w:jc w:val="left"/>
                    <w:rPr>
                      <w:rFonts w:eastAsiaTheme="minorEastAsia"/>
                      <w:spacing w:val="-6"/>
                      <w:szCs w:val="21"/>
                    </w:rPr>
                  </w:pPr>
                  <w:r>
                    <w:rPr>
                      <w:rFonts w:eastAsiaTheme="minorEastAsia"/>
                      <w:spacing w:val="-6"/>
                      <w:szCs w:val="21"/>
                    </w:rPr>
                    <w:t>6.1.3电动汽车在动力蓄电池未拆卸前应单独贮存，并采取防火、防水、绝缘、隔热等安全保障措施。</w:t>
                  </w:r>
                </w:p>
              </w:tc>
              <w:tc>
                <w:tcPr>
                  <w:tcW w:w="2555" w:type="pct"/>
                  <w:vMerge w:val="restart"/>
                  <w:tcBorders>
                    <w:tl2br w:val="nil"/>
                    <w:tr2bl w:val="nil"/>
                  </w:tcBorders>
                  <w:shd w:val="clear" w:color="auto" w:fill="auto"/>
                  <w:vAlign w:val="center"/>
                </w:tcPr>
                <w:p w14:paraId="22A2FF65">
                  <w:pPr>
                    <w:widowControl/>
                    <w:adjustRightInd w:val="0"/>
                    <w:snapToGrid w:val="0"/>
                    <w:jc w:val="center"/>
                    <w:rPr>
                      <w:rFonts w:eastAsiaTheme="minorEastAsia"/>
                      <w:kern w:val="0"/>
                      <w:szCs w:val="21"/>
                      <w:lang w:bidi="ar"/>
                    </w:rPr>
                  </w:pPr>
                  <w:r>
                    <w:rPr>
                      <w:rFonts w:eastAsiaTheme="minorEastAsia"/>
                      <w:kern w:val="0"/>
                      <w:szCs w:val="21"/>
                      <w:lang w:bidi="ar"/>
                    </w:rPr>
                    <w:t>未拆卸动力蓄电池的电动汽车均存放于独立防火分区，地面采用防静电环氧地坪并配置防泄漏围堰，顶部安装防爆型自动灭火装置及温湿度传感器，墙体使用A级防火岩棉板隔热，同时配备绝缘橡胶垫层与防雷接地系统</w:t>
                  </w:r>
                  <w:r>
                    <w:rPr>
                      <w:rFonts w:hint="eastAsia" w:eastAsiaTheme="minorEastAsia"/>
                      <w:kern w:val="0"/>
                      <w:szCs w:val="21"/>
                      <w:lang w:bidi="ar"/>
                    </w:rPr>
                    <w:t>。</w:t>
                  </w:r>
                </w:p>
              </w:tc>
              <w:tc>
                <w:tcPr>
                  <w:tcW w:w="283" w:type="pct"/>
                  <w:tcBorders>
                    <w:tl2br w:val="nil"/>
                    <w:tr2bl w:val="nil"/>
                  </w:tcBorders>
                  <w:vAlign w:val="center"/>
                </w:tcPr>
                <w:p w14:paraId="622C87DA">
                  <w:pPr>
                    <w:widowControl/>
                    <w:adjustRightInd w:val="0"/>
                    <w:snapToGrid w:val="0"/>
                    <w:jc w:val="center"/>
                    <w:rPr>
                      <w:rFonts w:eastAsiaTheme="minorEastAsia"/>
                      <w:spacing w:val="7"/>
                      <w:szCs w:val="21"/>
                    </w:rPr>
                  </w:pPr>
                  <w:r>
                    <w:rPr>
                      <w:rFonts w:eastAsiaTheme="minorEastAsia"/>
                      <w:szCs w:val="21"/>
                    </w:rPr>
                    <w:t>符合</w:t>
                  </w:r>
                </w:p>
              </w:tc>
            </w:tr>
            <w:tr w14:paraId="57D7EBB8">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12" w:type="pct"/>
                  <w:tcBorders>
                    <w:tl2br w:val="nil"/>
                    <w:tr2bl w:val="nil"/>
                  </w:tcBorders>
                  <w:shd w:val="clear" w:color="auto" w:fill="auto"/>
                </w:tcPr>
                <w:p w14:paraId="6C328134">
                  <w:pPr>
                    <w:widowControl/>
                    <w:adjustRightInd w:val="0"/>
                    <w:snapToGrid w:val="0"/>
                    <w:jc w:val="left"/>
                    <w:rPr>
                      <w:rFonts w:eastAsiaTheme="minorEastAsia"/>
                      <w:spacing w:val="-6"/>
                      <w:szCs w:val="21"/>
                    </w:rPr>
                  </w:pPr>
                  <w:r>
                    <w:rPr>
                      <w:rFonts w:hint="eastAsia" w:eastAsiaTheme="minorEastAsia"/>
                      <w:spacing w:val="-6"/>
                      <w:szCs w:val="21"/>
                    </w:rPr>
                    <w:t>30</w:t>
                  </w:r>
                </w:p>
              </w:tc>
              <w:tc>
                <w:tcPr>
                  <w:tcW w:w="1849" w:type="pct"/>
                  <w:tcBorders>
                    <w:tl2br w:val="nil"/>
                    <w:tr2bl w:val="nil"/>
                  </w:tcBorders>
                  <w:shd w:val="clear" w:color="auto" w:fill="auto"/>
                </w:tcPr>
                <w:p w14:paraId="6893992E">
                  <w:pPr>
                    <w:widowControl/>
                    <w:adjustRightInd w:val="0"/>
                    <w:snapToGrid w:val="0"/>
                    <w:jc w:val="left"/>
                    <w:rPr>
                      <w:rFonts w:eastAsiaTheme="minorEastAsia"/>
                      <w:spacing w:val="-6"/>
                      <w:szCs w:val="21"/>
                    </w:rPr>
                  </w:pPr>
                  <w:r>
                    <w:rPr>
                      <w:rFonts w:eastAsiaTheme="minorEastAsia"/>
                      <w:spacing w:val="-6"/>
                      <w:szCs w:val="21"/>
                    </w:rPr>
                    <w:t>6.1.4电动汽车中的事故车以及发生动力蓄电池破损的车辆应隔离贮存</w:t>
                  </w:r>
                  <w:r>
                    <w:rPr>
                      <w:rFonts w:hint="eastAsia" w:eastAsiaTheme="minorEastAsia"/>
                      <w:spacing w:val="-6"/>
                      <w:szCs w:val="21"/>
                    </w:rPr>
                    <w:t>。</w:t>
                  </w:r>
                </w:p>
              </w:tc>
              <w:tc>
                <w:tcPr>
                  <w:tcW w:w="2555" w:type="pct"/>
                  <w:vMerge w:val="continue"/>
                  <w:tcBorders>
                    <w:tl2br w:val="nil"/>
                    <w:tr2bl w:val="nil"/>
                  </w:tcBorders>
                  <w:shd w:val="clear" w:color="auto" w:fill="auto"/>
                  <w:vAlign w:val="center"/>
                </w:tcPr>
                <w:p w14:paraId="01686C21">
                  <w:pPr>
                    <w:widowControl/>
                    <w:adjustRightInd w:val="0"/>
                    <w:snapToGrid w:val="0"/>
                    <w:jc w:val="center"/>
                    <w:rPr>
                      <w:rFonts w:eastAsiaTheme="minorEastAsia"/>
                      <w:kern w:val="0"/>
                      <w:szCs w:val="21"/>
                      <w:lang w:bidi="ar"/>
                    </w:rPr>
                  </w:pPr>
                </w:p>
              </w:tc>
              <w:tc>
                <w:tcPr>
                  <w:tcW w:w="283" w:type="pct"/>
                  <w:tcBorders>
                    <w:tl2br w:val="nil"/>
                    <w:tr2bl w:val="nil"/>
                  </w:tcBorders>
                  <w:vAlign w:val="center"/>
                </w:tcPr>
                <w:p w14:paraId="1E08EF7A">
                  <w:pPr>
                    <w:widowControl/>
                    <w:adjustRightInd w:val="0"/>
                    <w:snapToGrid w:val="0"/>
                    <w:jc w:val="center"/>
                    <w:rPr>
                      <w:rFonts w:eastAsiaTheme="minorEastAsia"/>
                      <w:spacing w:val="7"/>
                      <w:szCs w:val="21"/>
                    </w:rPr>
                  </w:pPr>
                  <w:r>
                    <w:rPr>
                      <w:rFonts w:eastAsiaTheme="minorEastAsia"/>
                      <w:szCs w:val="21"/>
                    </w:rPr>
                    <w:t>符合</w:t>
                  </w:r>
                </w:p>
              </w:tc>
            </w:tr>
            <w:tr w14:paraId="68A814CA">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12" w:type="pct"/>
                  <w:tcBorders>
                    <w:tl2br w:val="nil"/>
                    <w:tr2bl w:val="nil"/>
                  </w:tcBorders>
                  <w:shd w:val="clear" w:color="auto" w:fill="auto"/>
                </w:tcPr>
                <w:p w14:paraId="117AD35E">
                  <w:pPr>
                    <w:widowControl/>
                    <w:adjustRightInd w:val="0"/>
                    <w:snapToGrid w:val="0"/>
                    <w:jc w:val="left"/>
                    <w:rPr>
                      <w:rFonts w:eastAsiaTheme="minorEastAsia"/>
                      <w:spacing w:val="-6"/>
                      <w:szCs w:val="21"/>
                    </w:rPr>
                  </w:pPr>
                  <w:r>
                    <w:rPr>
                      <w:rFonts w:hint="eastAsia" w:eastAsiaTheme="minorEastAsia"/>
                      <w:spacing w:val="-6"/>
                      <w:szCs w:val="21"/>
                    </w:rPr>
                    <w:t>31</w:t>
                  </w:r>
                </w:p>
              </w:tc>
              <w:tc>
                <w:tcPr>
                  <w:tcW w:w="1849" w:type="pct"/>
                  <w:tcBorders>
                    <w:tl2br w:val="nil"/>
                    <w:tr2bl w:val="nil"/>
                  </w:tcBorders>
                  <w:shd w:val="clear" w:color="auto" w:fill="auto"/>
                </w:tcPr>
                <w:p w14:paraId="300B6CF4">
                  <w:pPr>
                    <w:widowControl/>
                    <w:adjustRightInd w:val="0"/>
                    <w:snapToGrid w:val="0"/>
                    <w:jc w:val="left"/>
                    <w:rPr>
                      <w:rFonts w:eastAsiaTheme="minorEastAsia"/>
                      <w:spacing w:val="-6"/>
                      <w:szCs w:val="21"/>
                    </w:rPr>
                  </w:pPr>
                  <w:r>
                    <w:rPr>
                      <w:rFonts w:eastAsiaTheme="minorEastAsia"/>
                      <w:spacing w:val="-6"/>
                      <w:szCs w:val="21"/>
                    </w:rPr>
                    <w:t>6.2.1固体废物的贮存设施建设应符合GB18599 、13297 、HJ2025的要求。</w:t>
                  </w:r>
                </w:p>
              </w:tc>
              <w:tc>
                <w:tcPr>
                  <w:tcW w:w="2555" w:type="pct"/>
                  <w:tcBorders>
                    <w:tl2br w:val="nil"/>
                    <w:tr2bl w:val="nil"/>
                  </w:tcBorders>
                  <w:shd w:val="clear" w:color="auto" w:fill="auto"/>
                  <w:vAlign w:val="center"/>
                </w:tcPr>
                <w:p w14:paraId="415FA222">
                  <w:pPr>
                    <w:widowControl/>
                    <w:adjustRightInd w:val="0"/>
                    <w:snapToGrid w:val="0"/>
                    <w:jc w:val="center"/>
                    <w:rPr>
                      <w:rFonts w:eastAsiaTheme="minorEastAsia"/>
                      <w:kern w:val="0"/>
                      <w:szCs w:val="21"/>
                      <w:lang w:bidi="ar"/>
                    </w:rPr>
                  </w:pPr>
                  <w:r>
                    <w:rPr>
                      <w:rFonts w:eastAsiaTheme="minorEastAsia"/>
                      <w:kern w:val="0"/>
                      <w:szCs w:val="21"/>
                      <w:lang w:bidi="ar"/>
                    </w:rPr>
                    <w:t>本项目固体废物的存设施建设按照GB18599、CB13297、HJ2025的要执行。</w:t>
                  </w:r>
                </w:p>
              </w:tc>
              <w:tc>
                <w:tcPr>
                  <w:tcW w:w="283" w:type="pct"/>
                  <w:tcBorders>
                    <w:tl2br w:val="nil"/>
                    <w:tr2bl w:val="nil"/>
                  </w:tcBorders>
                  <w:vAlign w:val="center"/>
                </w:tcPr>
                <w:p w14:paraId="0CDBD5DC">
                  <w:pPr>
                    <w:widowControl/>
                    <w:adjustRightInd w:val="0"/>
                    <w:snapToGrid w:val="0"/>
                    <w:jc w:val="center"/>
                    <w:rPr>
                      <w:rFonts w:eastAsiaTheme="minorEastAsia"/>
                      <w:spacing w:val="7"/>
                      <w:szCs w:val="21"/>
                    </w:rPr>
                  </w:pPr>
                  <w:r>
                    <w:rPr>
                      <w:rFonts w:eastAsiaTheme="minorEastAsia"/>
                      <w:szCs w:val="21"/>
                    </w:rPr>
                    <w:t>符合</w:t>
                  </w:r>
                </w:p>
              </w:tc>
            </w:tr>
            <w:tr w14:paraId="2A1B9CF5">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12" w:type="pct"/>
                  <w:tcBorders>
                    <w:tl2br w:val="nil"/>
                    <w:tr2bl w:val="nil"/>
                  </w:tcBorders>
                  <w:shd w:val="clear" w:color="auto" w:fill="auto"/>
                </w:tcPr>
                <w:p w14:paraId="1332683F">
                  <w:pPr>
                    <w:widowControl/>
                    <w:adjustRightInd w:val="0"/>
                    <w:snapToGrid w:val="0"/>
                    <w:jc w:val="left"/>
                    <w:rPr>
                      <w:rFonts w:eastAsiaTheme="minorEastAsia"/>
                      <w:spacing w:val="-6"/>
                      <w:szCs w:val="21"/>
                    </w:rPr>
                  </w:pPr>
                  <w:r>
                    <w:rPr>
                      <w:rFonts w:hint="eastAsia" w:eastAsiaTheme="minorEastAsia"/>
                      <w:spacing w:val="-6"/>
                      <w:szCs w:val="21"/>
                    </w:rPr>
                    <w:t>32</w:t>
                  </w:r>
                </w:p>
              </w:tc>
              <w:tc>
                <w:tcPr>
                  <w:tcW w:w="1849" w:type="pct"/>
                  <w:tcBorders>
                    <w:tl2br w:val="nil"/>
                    <w:tr2bl w:val="nil"/>
                  </w:tcBorders>
                  <w:shd w:val="clear" w:color="auto" w:fill="auto"/>
                </w:tcPr>
                <w:p w14:paraId="0FD5EAB8">
                  <w:pPr>
                    <w:widowControl/>
                    <w:adjustRightInd w:val="0"/>
                    <w:snapToGrid w:val="0"/>
                    <w:jc w:val="left"/>
                    <w:rPr>
                      <w:rFonts w:eastAsiaTheme="minorEastAsia"/>
                      <w:spacing w:val="-6"/>
                      <w:szCs w:val="21"/>
                      <w:lang w:eastAsia="en-US"/>
                    </w:rPr>
                  </w:pPr>
                  <w:r>
                    <w:rPr>
                      <w:rFonts w:eastAsiaTheme="minorEastAsia"/>
                      <w:spacing w:val="-6"/>
                      <w:szCs w:val="21"/>
                    </w:rPr>
                    <w:t>6.2.2—般工业固体废物储存设施及包 装物应按 GB15562.2 进行标识，危险废物贮存设施及包装物的标志应符合 GB18597 的要求。所有固体废物避免混合、混放。</w:t>
                  </w:r>
                </w:p>
              </w:tc>
              <w:tc>
                <w:tcPr>
                  <w:tcW w:w="2555" w:type="pct"/>
                  <w:tcBorders>
                    <w:tl2br w:val="nil"/>
                    <w:tr2bl w:val="nil"/>
                  </w:tcBorders>
                  <w:shd w:val="clear" w:color="auto" w:fill="auto"/>
                  <w:vAlign w:val="center"/>
                </w:tcPr>
                <w:p w14:paraId="1C9A404E">
                  <w:pPr>
                    <w:widowControl/>
                    <w:adjustRightInd w:val="0"/>
                    <w:snapToGrid w:val="0"/>
                    <w:jc w:val="center"/>
                    <w:rPr>
                      <w:rFonts w:eastAsiaTheme="minorEastAsia"/>
                      <w:kern w:val="0"/>
                      <w:szCs w:val="21"/>
                      <w:lang w:bidi="ar"/>
                    </w:rPr>
                  </w:pPr>
                  <w:r>
                    <w:rPr>
                      <w:rFonts w:eastAsiaTheme="minorEastAsia"/>
                      <w:kern w:val="0"/>
                      <w:szCs w:val="21"/>
                      <w:lang w:bidi="ar"/>
                    </w:rPr>
                    <w:t>本项目按照 GB15562.2标识一般工业固体废物贮存，按GB18597标识危险废物储存设施及包装物，所有固体废物分类存放。</w:t>
                  </w:r>
                </w:p>
              </w:tc>
              <w:tc>
                <w:tcPr>
                  <w:tcW w:w="283" w:type="pct"/>
                  <w:tcBorders>
                    <w:tl2br w:val="nil"/>
                    <w:tr2bl w:val="nil"/>
                  </w:tcBorders>
                  <w:vAlign w:val="center"/>
                </w:tcPr>
                <w:p w14:paraId="64A1B14C">
                  <w:pPr>
                    <w:widowControl/>
                    <w:adjustRightInd w:val="0"/>
                    <w:snapToGrid w:val="0"/>
                    <w:jc w:val="center"/>
                    <w:rPr>
                      <w:rFonts w:eastAsiaTheme="minorEastAsia"/>
                      <w:spacing w:val="7"/>
                      <w:szCs w:val="21"/>
                    </w:rPr>
                  </w:pPr>
                  <w:r>
                    <w:rPr>
                      <w:rFonts w:eastAsiaTheme="minorEastAsia"/>
                      <w:szCs w:val="21"/>
                    </w:rPr>
                    <w:t>符合</w:t>
                  </w:r>
                </w:p>
              </w:tc>
            </w:tr>
            <w:tr w14:paraId="3094CEA3">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12" w:type="pct"/>
                  <w:tcBorders>
                    <w:tl2br w:val="nil"/>
                    <w:tr2bl w:val="nil"/>
                  </w:tcBorders>
                  <w:shd w:val="clear" w:color="auto" w:fill="auto"/>
                </w:tcPr>
                <w:p w14:paraId="00612F83">
                  <w:pPr>
                    <w:widowControl/>
                    <w:adjustRightInd w:val="0"/>
                    <w:snapToGrid w:val="0"/>
                    <w:jc w:val="left"/>
                    <w:rPr>
                      <w:rFonts w:eastAsiaTheme="minorEastAsia"/>
                      <w:spacing w:val="-6"/>
                      <w:szCs w:val="21"/>
                    </w:rPr>
                  </w:pPr>
                  <w:r>
                    <w:rPr>
                      <w:rFonts w:hint="eastAsia" w:eastAsiaTheme="minorEastAsia"/>
                      <w:spacing w:val="-6"/>
                      <w:szCs w:val="21"/>
                    </w:rPr>
                    <w:t>33</w:t>
                  </w:r>
                </w:p>
              </w:tc>
              <w:tc>
                <w:tcPr>
                  <w:tcW w:w="1849" w:type="pct"/>
                  <w:tcBorders>
                    <w:tl2br w:val="nil"/>
                    <w:tr2bl w:val="nil"/>
                  </w:tcBorders>
                  <w:shd w:val="clear" w:color="auto" w:fill="auto"/>
                </w:tcPr>
                <w:p w14:paraId="2B68532A">
                  <w:pPr>
                    <w:widowControl/>
                    <w:adjustRightInd w:val="0"/>
                    <w:snapToGrid w:val="0"/>
                    <w:jc w:val="left"/>
                    <w:rPr>
                      <w:rFonts w:eastAsiaTheme="minorEastAsia"/>
                      <w:spacing w:val="-6"/>
                      <w:szCs w:val="21"/>
                    </w:rPr>
                  </w:pPr>
                </w:p>
                <w:p w14:paraId="5C4B29EE">
                  <w:pPr>
                    <w:widowControl/>
                    <w:adjustRightInd w:val="0"/>
                    <w:snapToGrid w:val="0"/>
                    <w:jc w:val="left"/>
                    <w:rPr>
                      <w:rFonts w:eastAsiaTheme="minorEastAsia"/>
                      <w:spacing w:val="-6"/>
                      <w:szCs w:val="21"/>
                    </w:rPr>
                  </w:pPr>
                  <w:r>
                    <w:rPr>
                      <w:rFonts w:eastAsiaTheme="minorEastAsia"/>
                      <w:spacing w:val="-6"/>
                      <w:szCs w:val="21"/>
                    </w:rPr>
                    <w:t>6.2.3妥善处置固体废物，不应非法转移、倾倒、利用和处置。</w:t>
                  </w:r>
                </w:p>
              </w:tc>
              <w:tc>
                <w:tcPr>
                  <w:tcW w:w="2555" w:type="pct"/>
                  <w:tcBorders>
                    <w:tl2br w:val="nil"/>
                    <w:tr2bl w:val="nil"/>
                  </w:tcBorders>
                  <w:shd w:val="clear" w:color="auto" w:fill="auto"/>
                  <w:vAlign w:val="center"/>
                </w:tcPr>
                <w:p w14:paraId="4A94761D">
                  <w:pPr>
                    <w:widowControl/>
                    <w:adjustRightInd w:val="0"/>
                    <w:snapToGrid w:val="0"/>
                    <w:jc w:val="center"/>
                    <w:rPr>
                      <w:rFonts w:eastAsiaTheme="minorEastAsia"/>
                      <w:kern w:val="0"/>
                      <w:szCs w:val="21"/>
                      <w:lang w:bidi="ar"/>
                    </w:rPr>
                  </w:pPr>
                  <w:r>
                    <w:rPr>
                      <w:rFonts w:eastAsiaTheme="minorEastAsia"/>
                      <w:kern w:val="0"/>
                      <w:szCs w:val="21"/>
                      <w:lang w:bidi="ar"/>
                    </w:rPr>
                    <w:t>本项目一般固废分类外售，不能外售的集后送一般工业固废废物处置场处置，危险废物均定期交由有资质单位处置。</w:t>
                  </w:r>
                </w:p>
              </w:tc>
              <w:tc>
                <w:tcPr>
                  <w:tcW w:w="283" w:type="pct"/>
                  <w:tcBorders>
                    <w:tl2br w:val="nil"/>
                    <w:tr2bl w:val="nil"/>
                  </w:tcBorders>
                  <w:vAlign w:val="center"/>
                </w:tcPr>
                <w:p w14:paraId="3C840A88">
                  <w:pPr>
                    <w:widowControl/>
                    <w:adjustRightInd w:val="0"/>
                    <w:snapToGrid w:val="0"/>
                    <w:jc w:val="center"/>
                    <w:rPr>
                      <w:rFonts w:eastAsiaTheme="minorEastAsia"/>
                      <w:spacing w:val="7"/>
                      <w:szCs w:val="21"/>
                    </w:rPr>
                  </w:pPr>
                  <w:r>
                    <w:rPr>
                      <w:rFonts w:eastAsiaTheme="minorEastAsia"/>
                      <w:szCs w:val="21"/>
                    </w:rPr>
                    <w:t>符合</w:t>
                  </w:r>
                </w:p>
              </w:tc>
            </w:tr>
            <w:tr w14:paraId="63941592">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12" w:type="pct"/>
                  <w:tcBorders>
                    <w:tl2br w:val="nil"/>
                    <w:tr2bl w:val="nil"/>
                  </w:tcBorders>
                  <w:shd w:val="clear" w:color="auto" w:fill="auto"/>
                </w:tcPr>
                <w:p w14:paraId="57C804C7">
                  <w:pPr>
                    <w:widowControl/>
                    <w:adjustRightInd w:val="0"/>
                    <w:snapToGrid w:val="0"/>
                    <w:jc w:val="left"/>
                    <w:rPr>
                      <w:rFonts w:eastAsiaTheme="minorEastAsia"/>
                      <w:spacing w:val="-6"/>
                      <w:szCs w:val="21"/>
                    </w:rPr>
                  </w:pPr>
                  <w:r>
                    <w:rPr>
                      <w:rFonts w:hint="eastAsia" w:eastAsiaTheme="minorEastAsia"/>
                      <w:spacing w:val="-6"/>
                      <w:szCs w:val="21"/>
                    </w:rPr>
                    <w:t>34</w:t>
                  </w:r>
                </w:p>
              </w:tc>
              <w:tc>
                <w:tcPr>
                  <w:tcW w:w="1849" w:type="pct"/>
                  <w:tcBorders>
                    <w:tl2br w:val="nil"/>
                    <w:tr2bl w:val="nil"/>
                  </w:tcBorders>
                  <w:shd w:val="clear" w:color="auto" w:fill="auto"/>
                </w:tcPr>
                <w:p w14:paraId="2F6C1DA9">
                  <w:pPr>
                    <w:widowControl/>
                    <w:adjustRightInd w:val="0"/>
                    <w:snapToGrid w:val="0"/>
                    <w:jc w:val="left"/>
                    <w:rPr>
                      <w:rFonts w:eastAsiaTheme="minorEastAsia"/>
                      <w:spacing w:val="-6"/>
                      <w:szCs w:val="21"/>
                    </w:rPr>
                  </w:pPr>
                  <w:r>
                    <w:rPr>
                      <w:rFonts w:eastAsiaTheme="minorEastAsia"/>
                      <w:spacing w:val="-6"/>
                      <w:szCs w:val="21"/>
                    </w:rPr>
                    <w:t>6.2.4不同类型的制冷剂应分別回收，使用专门容器单独存放。</w:t>
                  </w:r>
                </w:p>
              </w:tc>
              <w:tc>
                <w:tcPr>
                  <w:tcW w:w="2555" w:type="pct"/>
                  <w:tcBorders>
                    <w:tl2br w:val="nil"/>
                    <w:tr2bl w:val="nil"/>
                  </w:tcBorders>
                  <w:shd w:val="clear" w:color="auto" w:fill="auto"/>
                  <w:vAlign w:val="center"/>
                </w:tcPr>
                <w:p w14:paraId="61BAAE4A">
                  <w:pPr>
                    <w:widowControl/>
                    <w:adjustRightInd w:val="0"/>
                    <w:snapToGrid w:val="0"/>
                    <w:jc w:val="center"/>
                    <w:rPr>
                      <w:rFonts w:eastAsiaTheme="minorEastAsia"/>
                      <w:kern w:val="0"/>
                      <w:szCs w:val="21"/>
                      <w:lang w:bidi="ar"/>
                    </w:rPr>
                  </w:pPr>
                  <w:r>
                    <w:rPr>
                      <w:rFonts w:eastAsiaTheme="minorEastAsia"/>
                      <w:kern w:val="0"/>
                      <w:szCs w:val="21"/>
                      <w:lang w:bidi="ar"/>
                    </w:rPr>
                    <w:t>本项目不同类型的制冷剂分別回收，使用专门容器单独存放。</w:t>
                  </w:r>
                </w:p>
              </w:tc>
              <w:tc>
                <w:tcPr>
                  <w:tcW w:w="283" w:type="pct"/>
                  <w:tcBorders>
                    <w:tl2br w:val="nil"/>
                    <w:tr2bl w:val="nil"/>
                  </w:tcBorders>
                  <w:vAlign w:val="center"/>
                </w:tcPr>
                <w:p w14:paraId="51BD3B2D">
                  <w:pPr>
                    <w:widowControl/>
                    <w:adjustRightInd w:val="0"/>
                    <w:snapToGrid w:val="0"/>
                    <w:jc w:val="center"/>
                    <w:rPr>
                      <w:rFonts w:eastAsiaTheme="minorEastAsia"/>
                      <w:spacing w:val="7"/>
                      <w:szCs w:val="21"/>
                    </w:rPr>
                  </w:pPr>
                  <w:r>
                    <w:rPr>
                      <w:rFonts w:eastAsiaTheme="minorEastAsia"/>
                      <w:szCs w:val="21"/>
                    </w:rPr>
                    <w:t>符合</w:t>
                  </w:r>
                </w:p>
              </w:tc>
            </w:tr>
            <w:tr w14:paraId="22000A7B">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12" w:type="pct"/>
                  <w:tcBorders>
                    <w:tl2br w:val="nil"/>
                    <w:tr2bl w:val="nil"/>
                  </w:tcBorders>
                  <w:shd w:val="clear" w:color="auto" w:fill="auto"/>
                </w:tcPr>
                <w:p w14:paraId="430C7547">
                  <w:pPr>
                    <w:widowControl/>
                    <w:adjustRightInd w:val="0"/>
                    <w:snapToGrid w:val="0"/>
                    <w:jc w:val="left"/>
                    <w:rPr>
                      <w:rFonts w:eastAsiaTheme="minorEastAsia"/>
                      <w:spacing w:val="-6"/>
                      <w:szCs w:val="21"/>
                    </w:rPr>
                  </w:pPr>
                  <w:r>
                    <w:rPr>
                      <w:rFonts w:hint="eastAsia" w:eastAsiaTheme="minorEastAsia"/>
                      <w:spacing w:val="-6"/>
                      <w:szCs w:val="21"/>
                    </w:rPr>
                    <w:t>35</w:t>
                  </w:r>
                </w:p>
              </w:tc>
              <w:tc>
                <w:tcPr>
                  <w:tcW w:w="1849" w:type="pct"/>
                  <w:tcBorders>
                    <w:tl2br w:val="nil"/>
                    <w:tr2bl w:val="nil"/>
                  </w:tcBorders>
                  <w:shd w:val="clear" w:color="auto" w:fill="auto"/>
                </w:tcPr>
                <w:p w14:paraId="4FFC0C91">
                  <w:pPr>
                    <w:widowControl/>
                    <w:adjustRightInd w:val="0"/>
                    <w:snapToGrid w:val="0"/>
                    <w:jc w:val="left"/>
                    <w:rPr>
                      <w:rFonts w:eastAsiaTheme="minorEastAsia"/>
                      <w:spacing w:val="-6"/>
                      <w:szCs w:val="21"/>
                    </w:rPr>
                  </w:pPr>
                  <w:r>
                    <w:rPr>
                      <w:rFonts w:eastAsiaTheme="minorEastAsia"/>
                      <w:spacing w:val="-6"/>
                      <w:szCs w:val="21"/>
                    </w:rPr>
                    <w:t>6.2.5废弃电容、铅酸蓄电池贮存场地不得有明火。</w:t>
                  </w:r>
                </w:p>
              </w:tc>
              <w:tc>
                <w:tcPr>
                  <w:tcW w:w="2555" w:type="pct"/>
                  <w:tcBorders>
                    <w:tl2br w:val="nil"/>
                    <w:tr2bl w:val="nil"/>
                  </w:tcBorders>
                  <w:shd w:val="clear" w:color="auto" w:fill="auto"/>
                  <w:vAlign w:val="center"/>
                </w:tcPr>
                <w:p w14:paraId="137B0679">
                  <w:pPr>
                    <w:widowControl/>
                    <w:adjustRightInd w:val="0"/>
                    <w:snapToGrid w:val="0"/>
                    <w:jc w:val="center"/>
                    <w:rPr>
                      <w:rFonts w:eastAsiaTheme="minorEastAsia"/>
                      <w:kern w:val="0"/>
                      <w:szCs w:val="21"/>
                      <w:lang w:bidi="ar"/>
                    </w:rPr>
                  </w:pPr>
                  <w:r>
                    <w:rPr>
                      <w:rFonts w:eastAsiaTheme="minorEastAsia"/>
                      <w:kern w:val="0"/>
                      <w:szCs w:val="21"/>
                      <w:lang w:bidi="ar"/>
                    </w:rPr>
                    <w:t>本项目废弃电容、铅酸蓄电池贮存场地无产生明</w:t>
                  </w:r>
                  <w:r>
                    <w:rPr>
                      <w:rFonts w:hint="eastAsia" w:eastAsiaTheme="minorEastAsia"/>
                      <w:kern w:val="0"/>
                      <w:szCs w:val="21"/>
                      <w:lang w:val="en-US" w:eastAsia="zh-CN" w:bidi="ar"/>
                    </w:rPr>
                    <w:t>火</w:t>
                  </w:r>
                  <w:r>
                    <w:rPr>
                      <w:rFonts w:eastAsiaTheme="minorEastAsia"/>
                      <w:kern w:val="0"/>
                      <w:szCs w:val="21"/>
                      <w:lang w:bidi="ar"/>
                    </w:rPr>
                    <w:t>设备。</w:t>
                  </w:r>
                </w:p>
              </w:tc>
              <w:tc>
                <w:tcPr>
                  <w:tcW w:w="283" w:type="pct"/>
                  <w:tcBorders>
                    <w:tl2br w:val="nil"/>
                    <w:tr2bl w:val="nil"/>
                  </w:tcBorders>
                  <w:vAlign w:val="center"/>
                </w:tcPr>
                <w:p w14:paraId="71B403BB">
                  <w:pPr>
                    <w:widowControl/>
                    <w:adjustRightInd w:val="0"/>
                    <w:snapToGrid w:val="0"/>
                    <w:jc w:val="center"/>
                    <w:rPr>
                      <w:rFonts w:eastAsiaTheme="minorEastAsia"/>
                      <w:spacing w:val="7"/>
                      <w:szCs w:val="21"/>
                    </w:rPr>
                  </w:pPr>
                  <w:r>
                    <w:rPr>
                      <w:rFonts w:eastAsiaTheme="minorEastAsia"/>
                      <w:szCs w:val="21"/>
                    </w:rPr>
                    <w:t>符合</w:t>
                  </w:r>
                </w:p>
              </w:tc>
            </w:tr>
            <w:tr w14:paraId="1BFE113A">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12" w:type="pct"/>
                  <w:tcBorders>
                    <w:tl2br w:val="nil"/>
                    <w:tr2bl w:val="nil"/>
                  </w:tcBorders>
                  <w:shd w:val="clear" w:color="auto" w:fill="auto"/>
                </w:tcPr>
                <w:p w14:paraId="769ED9BC">
                  <w:pPr>
                    <w:widowControl/>
                    <w:adjustRightInd w:val="0"/>
                    <w:snapToGrid w:val="0"/>
                    <w:jc w:val="left"/>
                    <w:rPr>
                      <w:rFonts w:eastAsiaTheme="minorEastAsia"/>
                      <w:spacing w:val="-6"/>
                      <w:szCs w:val="21"/>
                    </w:rPr>
                  </w:pPr>
                  <w:r>
                    <w:rPr>
                      <w:rFonts w:hint="eastAsia" w:eastAsiaTheme="minorEastAsia"/>
                      <w:spacing w:val="-6"/>
                      <w:szCs w:val="21"/>
                    </w:rPr>
                    <w:t>36</w:t>
                  </w:r>
                </w:p>
              </w:tc>
              <w:tc>
                <w:tcPr>
                  <w:tcW w:w="1849" w:type="pct"/>
                  <w:tcBorders>
                    <w:tl2br w:val="nil"/>
                    <w:tr2bl w:val="nil"/>
                  </w:tcBorders>
                  <w:shd w:val="clear" w:color="auto" w:fill="auto"/>
                </w:tcPr>
                <w:p w14:paraId="47140552">
                  <w:pPr>
                    <w:widowControl/>
                    <w:adjustRightInd w:val="0"/>
                    <w:snapToGrid w:val="0"/>
                    <w:jc w:val="left"/>
                    <w:rPr>
                      <w:rFonts w:eastAsiaTheme="minorEastAsia"/>
                      <w:spacing w:val="-6"/>
                      <w:szCs w:val="21"/>
                    </w:rPr>
                  </w:pPr>
                  <w:r>
                    <w:rPr>
                      <w:rFonts w:eastAsiaTheme="minorEastAsia"/>
                      <w:spacing w:val="-6"/>
                      <w:szCs w:val="21"/>
                    </w:rPr>
                    <w:t>6.2.6容器和装置要防漏和防止洒溅，未引爆安全气囊的贮存裝置应防爆，并对其进行日常性检查。</w:t>
                  </w:r>
                </w:p>
              </w:tc>
              <w:tc>
                <w:tcPr>
                  <w:tcW w:w="2555" w:type="pct"/>
                  <w:tcBorders>
                    <w:tl2br w:val="nil"/>
                    <w:tr2bl w:val="nil"/>
                  </w:tcBorders>
                  <w:shd w:val="clear" w:color="auto" w:fill="auto"/>
                  <w:vAlign w:val="center"/>
                </w:tcPr>
                <w:p w14:paraId="661CF6B9">
                  <w:pPr>
                    <w:widowControl/>
                    <w:adjustRightInd w:val="0"/>
                    <w:snapToGrid w:val="0"/>
                    <w:jc w:val="center"/>
                    <w:rPr>
                      <w:rFonts w:eastAsiaTheme="minorEastAsia"/>
                      <w:kern w:val="0"/>
                      <w:szCs w:val="21"/>
                      <w:lang w:bidi="ar"/>
                    </w:rPr>
                  </w:pPr>
                  <w:r>
                    <w:rPr>
                      <w:rFonts w:eastAsiaTheme="minorEastAsia"/>
                      <w:kern w:val="0"/>
                      <w:szCs w:val="21"/>
                      <w:lang w:bidi="ar"/>
                    </w:rPr>
                    <w:t>本项目日常检查容器和装置，防止</w:t>
                  </w:r>
                  <w:r>
                    <w:rPr>
                      <w:rFonts w:hint="eastAsia" w:eastAsiaTheme="minorEastAsia"/>
                      <w:kern w:val="0"/>
                      <w:szCs w:val="21"/>
                      <w:lang w:bidi="ar"/>
                    </w:rPr>
                    <w:t>泄漏</w:t>
                  </w:r>
                  <w:r>
                    <w:rPr>
                      <w:rFonts w:eastAsiaTheme="minorEastAsia"/>
                      <w:kern w:val="0"/>
                      <w:szCs w:val="21"/>
                      <w:lang w:bidi="ar"/>
                    </w:rPr>
                    <w:t>及洒溅情况发生；所有安全气囊从汽车上拆卸后马上进行引爆，不储存未引爆的安全气囊。</w:t>
                  </w:r>
                </w:p>
              </w:tc>
              <w:tc>
                <w:tcPr>
                  <w:tcW w:w="283" w:type="pct"/>
                  <w:tcBorders>
                    <w:tl2br w:val="nil"/>
                    <w:tr2bl w:val="nil"/>
                  </w:tcBorders>
                  <w:vAlign w:val="center"/>
                </w:tcPr>
                <w:p w14:paraId="0032128B">
                  <w:pPr>
                    <w:widowControl/>
                    <w:adjustRightInd w:val="0"/>
                    <w:snapToGrid w:val="0"/>
                    <w:jc w:val="center"/>
                    <w:rPr>
                      <w:rFonts w:eastAsiaTheme="minorEastAsia"/>
                      <w:spacing w:val="7"/>
                      <w:szCs w:val="21"/>
                    </w:rPr>
                  </w:pPr>
                  <w:r>
                    <w:rPr>
                      <w:rFonts w:eastAsiaTheme="minorEastAsia"/>
                      <w:szCs w:val="21"/>
                    </w:rPr>
                    <w:t>符合</w:t>
                  </w:r>
                </w:p>
              </w:tc>
            </w:tr>
            <w:tr w14:paraId="60876848">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12" w:type="pct"/>
                  <w:tcBorders>
                    <w:tl2br w:val="nil"/>
                    <w:tr2bl w:val="nil"/>
                  </w:tcBorders>
                  <w:shd w:val="clear" w:color="auto" w:fill="auto"/>
                </w:tcPr>
                <w:p w14:paraId="7CE7906C">
                  <w:pPr>
                    <w:widowControl/>
                    <w:adjustRightInd w:val="0"/>
                    <w:snapToGrid w:val="0"/>
                    <w:jc w:val="left"/>
                    <w:rPr>
                      <w:rFonts w:eastAsiaTheme="minorEastAsia"/>
                      <w:spacing w:val="-6"/>
                      <w:szCs w:val="21"/>
                    </w:rPr>
                  </w:pPr>
                  <w:r>
                    <w:rPr>
                      <w:rFonts w:hint="eastAsia" w:eastAsiaTheme="minorEastAsia"/>
                      <w:spacing w:val="-6"/>
                      <w:szCs w:val="21"/>
                    </w:rPr>
                    <w:t>37</w:t>
                  </w:r>
                </w:p>
              </w:tc>
              <w:tc>
                <w:tcPr>
                  <w:tcW w:w="1849" w:type="pct"/>
                  <w:tcBorders>
                    <w:tl2br w:val="nil"/>
                    <w:tr2bl w:val="nil"/>
                  </w:tcBorders>
                  <w:shd w:val="clear" w:color="auto" w:fill="auto"/>
                </w:tcPr>
                <w:p w14:paraId="5A9C69DB">
                  <w:pPr>
                    <w:widowControl/>
                    <w:adjustRightInd w:val="0"/>
                    <w:snapToGrid w:val="0"/>
                    <w:jc w:val="left"/>
                    <w:rPr>
                      <w:rFonts w:eastAsiaTheme="minorEastAsia"/>
                      <w:spacing w:val="-6"/>
                      <w:szCs w:val="21"/>
                    </w:rPr>
                  </w:pPr>
                  <w:r>
                    <w:rPr>
                      <w:rFonts w:eastAsiaTheme="minorEastAsia"/>
                      <w:spacing w:val="-6"/>
                      <w:szCs w:val="21"/>
                    </w:rPr>
                    <w:t>6.2.7对拆解后的所有固体废物分类贮存和标识。</w:t>
                  </w:r>
                </w:p>
              </w:tc>
              <w:tc>
                <w:tcPr>
                  <w:tcW w:w="2555" w:type="pct"/>
                  <w:tcBorders>
                    <w:tl2br w:val="nil"/>
                    <w:tr2bl w:val="nil"/>
                  </w:tcBorders>
                  <w:shd w:val="clear" w:color="auto" w:fill="auto"/>
                  <w:vAlign w:val="center"/>
                </w:tcPr>
                <w:p w14:paraId="3D95E2AE">
                  <w:pPr>
                    <w:widowControl/>
                    <w:adjustRightInd w:val="0"/>
                    <w:snapToGrid w:val="0"/>
                    <w:jc w:val="center"/>
                    <w:rPr>
                      <w:rFonts w:eastAsiaTheme="minorEastAsia"/>
                      <w:kern w:val="0"/>
                      <w:szCs w:val="21"/>
                      <w:lang w:bidi="ar"/>
                    </w:rPr>
                  </w:pPr>
                  <w:r>
                    <w:rPr>
                      <w:rFonts w:eastAsiaTheme="minorEastAsia"/>
                      <w:kern w:val="0"/>
                      <w:szCs w:val="21"/>
                      <w:lang w:bidi="ar"/>
                    </w:rPr>
                    <w:t>本项目对拆解后的所有固体废物分类储存并且上面写好标识。</w:t>
                  </w:r>
                </w:p>
              </w:tc>
              <w:tc>
                <w:tcPr>
                  <w:tcW w:w="283" w:type="pct"/>
                  <w:tcBorders>
                    <w:tl2br w:val="nil"/>
                    <w:tr2bl w:val="nil"/>
                  </w:tcBorders>
                  <w:vAlign w:val="center"/>
                </w:tcPr>
                <w:p w14:paraId="3A260B2C">
                  <w:pPr>
                    <w:widowControl/>
                    <w:adjustRightInd w:val="0"/>
                    <w:snapToGrid w:val="0"/>
                    <w:jc w:val="center"/>
                    <w:rPr>
                      <w:rFonts w:eastAsiaTheme="minorEastAsia"/>
                      <w:spacing w:val="7"/>
                      <w:szCs w:val="21"/>
                    </w:rPr>
                  </w:pPr>
                  <w:r>
                    <w:rPr>
                      <w:rFonts w:eastAsiaTheme="minorEastAsia"/>
                      <w:szCs w:val="21"/>
                    </w:rPr>
                    <w:t>符合</w:t>
                  </w:r>
                </w:p>
              </w:tc>
            </w:tr>
            <w:tr w14:paraId="367A9116">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12" w:type="pct"/>
                  <w:tcBorders>
                    <w:tl2br w:val="nil"/>
                    <w:tr2bl w:val="nil"/>
                  </w:tcBorders>
                  <w:shd w:val="clear" w:color="auto" w:fill="auto"/>
                </w:tcPr>
                <w:p w14:paraId="45B86F11">
                  <w:pPr>
                    <w:widowControl/>
                    <w:adjustRightInd w:val="0"/>
                    <w:snapToGrid w:val="0"/>
                    <w:jc w:val="left"/>
                    <w:rPr>
                      <w:rFonts w:eastAsiaTheme="minorEastAsia"/>
                      <w:spacing w:val="-6"/>
                      <w:szCs w:val="21"/>
                    </w:rPr>
                  </w:pPr>
                  <w:r>
                    <w:rPr>
                      <w:rFonts w:hint="eastAsia" w:eastAsiaTheme="minorEastAsia"/>
                      <w:spacing w:val="-6"/>
                      <w:szCs w:val="21"/>
                    </w:rPr>
                    <w:t>38</w:t>
                  </w:r>
                </w:p>
              </w:tc>
              <w:tc>
                <w:tcPr>
                  <w:tcW w:w="1849" w:type="pct"/>
                  <w:tcBorders>
                    <w:tl2br w:val="nil"/>
                    <w:tr2bl w:val="nil"/>
                  </w:tcBorders>
                  <w:shd w:val="clear" w:color="auto" w:fill="auto"/>
                </w:tcPr>
                <w:p w14:paraId="4F89C201">
                  <w:pPr>
                    <w:widowControl/>
                    <w:adjustRightInd w:val="0"/>
                    <w:snapToGrid w:val="0"/>
                    <w:jc w:val="left"/>
                    <w:rPr>
                      <w:rFonts w:eastAsiaTheme="minorEastAsia"/>
                      <w:spacing w:val="-6"/>
                      <w:szCs w:val="21"/>
                    </w:rPr>
                  </w:pPr>
                  <w:r>
                    <w:rPr>
                      <w:rFonts w:eastAsiaTheme="minorEastAsia"/>
                      <w:spacing w:val="-6"/>
                      <w:szCs w:val="21"/>
                    </w:rPr>
                    <w:t>6.3.1回用件应分类贮存和标识，存放在封闭或半封闭的贮存场地中。</w:t>
                  </w:r>
                </w:p>
              </w:tc>
              <w:tc>
                <w:tcPr>
                  <w:tcW w:w="2555" w:type="pct"/>
                  <w:tcBorders>
                    <w:tl2br w:val="nil"/>
                    <w:tr2bl w:val="nil"/>
                  </w:tcBorders>
                  <w:shd w:val="clear" w:color="auto" w:fill="auto"/>
                  <w:vAlign w:val="center"/>
                </w:tcPr>
                <w:p w14:paraId="72E4909A">
                  <w:pPr>
                    <w:widowControl/>
                    <w:adjustRightInd w:val="0"/>
                    <w:snapToGrid w:val="0"/>
                    <w:jc w:val="center"/>
                    <w:rPr>
                      <w:rFonts w:eastAsiaTheme="minorEastAsia"/>
                      <w:kern w:val="0"/>
                      <w:szCs w:val="21"/>
                      <w:lang w:bidi="ar"/>
                    </w:rPr>
                  </w:pPr>
                  <w:r>
                    <w:rPr>
                      <w:rFonts w:eastAsiaTheme="minorEastAsia"/>
                      <w:kern w:val="0"/>
                      <w:szCs w:val="21"/>
                      <w:lang w:bidi="ar"/>
                    </w:rPr>
                    <w:t>本项目可回用零部件分类储存在</w:t>
                  </w:r>
                  <w:r>
                    <w:rPr>
                      <w:rFonts w:hint="eastAsia" w:eastAsiaTheme="minorEastAsia"/>
                      <w:kern w:val="0"/>
                      <w:szCs w:val="21"/>
                      <w:lang w:val="en-US" w:eastAsia="zh-CN" w:bidi="ar"/>
                    </w:rPr>
                    <w:t>半</w:t>
                  </w:r>
                  <w:r>
                    <w:rPr>
                      <w:rFonts w:eastAsiaTheme="minorEastAsia"/>
                      <w:kern w:val="0"/>
                      <w:szCs w:val="21"/>
                      <w:lang w:bidi="ar"/>
                    </w:rPr>
                    <w:t>封闭的回用件贮存区，并有标识。</w:t>
                  </w:r>
                </w:p>
              </w:tc>
              <w:tc>
                <w:tcPr>
                  <w:tcW w:w="283" w:type="pct"/>
                  <w:tcBorders>
                    <w:tl2br w:val="nil"/>
                    <w:tr2bl w:val="nil"/>
                  </w:tcBorders>
                  <w:vAlign w:val="center"/>
                </w:tcPr>
                <w:p w14:paraId="458C67E5">
                  <w:pPr>
                    <w:widowControl/>
                    <w:adjustRightInd w:val="0"/>
                    <w:snapToGrid w:val="0"/>
                    <w:jc w:val="center"/>
                    <w:rPr>
                      <w:rFonts w:eastAsiaTheme="minorEastAsia"/>
                      <w:spacing w:val="7"/>
                      <w:szCs w:val="21"/>
                    </w:rPr>
                  </w:pPr>
                  <w:r>
                    <w:rPr>
                      <w:rFonts w:eastAsiaTheme="minorEastAsia"/>
                      <w:szCs w:val="21"/>
                    </w:rPr>
                    <w:t>符合</w:t>
                  </w:r>
                </w:p>
              </w:tc>
            </w:tr>
            <w:tr w14:paraId="2E80A4D6">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12" w:type="pct"/>
                  <w:tcBorders>
                    <w:tl2br w:val="nil"/>
                    <w:tr2bl w:val="nil"/>
                  </w:tcBorders>
                  <w:shd w:val="clear" w:color="auto" w:fill="auto"/>
                </w:tcPr>
                <w:p w14:paraId="171CCB1E">
                  <w:pPr>
                    <w:widowControl/>
                    <w:adjustRightInd w:val="0"/>
                    <w:snapToGrid w:val="0"/>
                    <w:jc w:val="left"/>
                    <w:rPr>
                      <w:rFonts w:eastAsiaTheme="minorEastAsia"/>
                      <w:spacing w:val="-6"/>
                      <w:szCs w:val="21"/>
                    </w:rPr>
                  </w:pPr>
                  <w:r>
                    <w:rPr>
                      <w:rFonts w:hint="eastAsia" w:eastAsiaTheme="minorEastAsia"/>
                      <w:spacing w:val="-6"/>
                      <w:szCs w:val="21"/>
                    </w:rPr>
                    <w:t>39</w:t>
                  </w:r>
                </w:p>
              </w:tc>
              <w:tc>
                <w:tcPr>
                  <w:tcW w:w="1849" w:type="pct"/>
                  <w:tcBorders>
                    <w:tl2br w:val="nil"/>
                    <w:tr2bl w:val="nil"/>
                  </w:tcBorders>
                  <w:shd w:val="clear" w:color="auto" w:fill="auto"/>
                </w:tcPr>
                <w:p w14:paraId="46A8F45F">
                  <w:pPr>
                    <w:widowControl/>
                    <w:adjustRightInd w:val="0"/>
                    <w:snapToGrid w:val="0"/>
                    <w:jc w:val="left"/>
                    <w:rPr>
                      <w:rFonts w:eastAsiaTheme="minorEastAsia"/>
                      <w:spacing w:val="-6"/>
                      <w:szCs w:val="21"/>
                    </w:rPr>
                  </w:pPr>
                  <w:r>
                    <w:rPr>
                      <w:rFonts w:eastAsiaTheme="minorEastAsia"/>
                      <w:spacing w:val="-6"/>
                      <w:szCs w:val="21"/>
                    </w:rPr>
                    <w:t>6.3.2回用件贮存前应做清洁等处理</w:t>
                  </w:r>
                </w:p>
              </w:tc>
              <w:tc>
                <w:tcPr>
                  <w:tcW w:w="2555" w:type="pct"/>
                  <w:tcBorders>
                    <w:tl2br w:val="nil"/>
                    <w:tr2bl w:val="nil"/>
                  </w:tcBorders>
                  <w:shd w:val="clear" w:color="auto" w:fill="auto"/>
                  <w:vAlign w:val="center"/>
                </w:tcPr>
                <w:p w14:paraId="3C4E7CE0">
                  <w:pPr>
                    <w:widowControl/>
                    <w:adjustRightInd w:val="0"/>
                    <w:snapToGrid w:val="0"/>
                    <w:jc w:val="center"/>
                    <w:rPr>
                      <w:rFonts w:eastAsiaTheme="minorEastAsia"/>
                      <w:kern w:val="0"/>
                      <w:szCs w:val="21"/>
                      <w:lang w:bidi="ar"/>
                    </w:rPr>
                  </w:pPr>
                  <w:r>
                    <w:rPr>
                      <w:rFonts w:eastAsiaTheme="minorEastAsia"/>
                      <w:kern w:val="0"/>
                      <w:szCs w:val="21"/>
                      <w:lang w:bidi="ar"/>
                    </w:rPr>
                    <w:t>本项目拆下的可利用零部件用抹布清理表面后存储。</w:t>
                  </w:r>
                </w:p>
              </w:tc>
              <w:tc>
                <w:tcPr>
                  <w:tcW w:w="283" w:type="pct"/>
                  <w:tcBorders>
                    <w:tl2br w:val="nil"/>
                    <w:tr2bl w:val="nil"/>
                  </w:tcBorders>
                  <w:vAlign w:val="center"/>
                </w:tcPr>
                <w:p w14:paraId="2A197A96">
                  <w:pPr>
                    <w:widowControl/>
                    <w:adjustRightInd w:val="0"/>
                    <w:snapToGrid w:val="0"/>
                    <w:jc w:val="center"/>
                    <w:rPr>
                      <w:rFonts w:eastAsiaTheme="minorEastAsia"/>
                      <w:spacing w:val="7"/>
                      <w:szCs w:val="21"/>
                    </w:rPr>
                  </w:pPr>
                  <w:r>
                    <w:rPr>
                      <w:rFonts w:eastAsiaTheme="minorEastAsia"/>
                      <w:szCs w:val="21"/>
                    </w:rPr>
                    <w:t>符合</w:t>
                  </w:r>
                </w:p>
              </w:tc>
            </w:tr>
            <w:tr w14:paraId="5F652391">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12" w:type="pct"/>
                  <w:tcBorders>
                    <w:tl2br w:val="nil"/>
                    <w:tr2bl w:val="nil"/>
                  </w:tcBorders>
                  <w:shd w:val="clear" w:color="auto" w:fill="auto"/>
                </w:tcPr>
                <w:p w14:paraId="18405F24">
                  <w:pPr>
                    <w:widowControl/>
                    <w:adjustRightInd w:val="0"/>
                    <w:snapToGrid w:val="0"/>
                    <w:jc w:val="left"/>
                    <w:rPr>
                      <w:rFonts w:eastAsiaTheme="minorEastAsia"/>
                      <w:spacing w:val="-6"/>
                      <w:szCs w:val="21"/>
                    </w:rPr>
                  </w:pPr>
                  <w:r>
                    <w:rPr>
                      <w:rFonts w:hint="eastAsia" w:eastAsiaTheme="minorEastAsia"/>
                      <w:spacing w:val="-6"/>
                      <w:szCs w:val="21"/>
                    </w:rPr>
                    <w:t>40</w:t>
                  </w:r>
                </w:p>
              </w:tc>
              <w:tc>
                <w:tcPr>
                  <w:tcW w:w="1849" w:type="pct"/>
                  <w:tcBorders>
                    <w:tl2br w:val="nil"/>
                    <w:tr2bl w:val="nil"/>
                  </w:tcBorders>
                  <w:shd w:val="clear" w:color="auto" w:fill="auto"/>
                </w:tcPr>
                <w:p w14:paraId="788EA0CC">
                  <w:pPr>
                    <w:widowControl/>
                    <w:adjustRightInd w:val="0"/>
                    <w:snapToGrid w:val="0"/>
                    <w:jc w:val="left"/>
                    <w:rPr>
                      <w:rFonts w:eastAsiaTheme="minorEastAsia"/>
                      <w:spacing w:val="-6"/>
                      <w:szCs w:val="21"/>
                    </w:rPr>
                  </w:pPr>
                  <w:r>
                    <w:rPr>
                      <w:rFonts w:eastAsiaTheme="minorEastAsia"/>
                      <w:spacing w:val="-6"/>
                      <w:szCs w:val="21"/>
                    </w:rPr>
                    <w:t>7.1.3拆解电动汽车的企业，应接受汽车生产企业的技术指导，根据汽车生产企业提供的拆解信息或手册制定拆解作业程序或作业指导书，配备相应安全技术人员。应将从报废电动汽车上拆卸下来的动力蓄电池包(组)交售给电动汽车生产企业建立的动力蓄电池回收服务网点或从事废旧动力蓄电池综合利用的企业处理，不应拆解。</w:t>
                  </w:r>
                </w:p>
              </w:tc>
              <w:tc>
                <w:tcPr>
                  <w:tcW w:w="2555" w:type="pct"/>
                  <w:tcBorders>
                    <w:tl2br w:val="nil"/>
                    <w:tr2bl w:val="nil"/>
                  </w:tcBorders>
                  <w:shd w:val="clear" w:color="auto" w:fill="auto"/>
                  <w:vAlign w:val="center"/>
                </w:tcPr>
                <w:p w14:paraId="12BB9F35">
                  <w:pPr>
                    <w:widowControl/>
                    <w:adjustRightInd w:val="0"/>
                    <w:snapToGrid w:val="0"/>
                    <w:jc w:val="center"/>
                    <w:rPr>
                      <w:rFonts w:eastAsiaTheme="minorEastAsia"/>
                      <w:kern w:val="0"/>
                      <w:szCs w:val="21"/>
                      <w:lang w:bidi="ar"/>
                    </w:rPr>
                  </w:pPr>
                  <w:r>
                    <w:rPr>
                      <w:rFonts w:hint="eastAsia" w:eastAsiaTheme="minorEastAsia"/>
                      <w:kern w:val="0"/>
                      <w:szCs w:val="21"/>
                      <w:lang w:bidi="ar"/>
                    </w:rPr>
                    <w:t>企业</w:t>
                  </w:r>
                  <w:r>
                    <w:rPr>
                      <w:rFonts w:eastAsiaTheme="minorEastAsia"/>
                      <w:kern w:val="0"/>
                      <w:szCs w:val="21"/>
                      <w:lang w:bidi="ar"/>
                    </w:rPr>
                    <w:t>建立电动汽车规范化拆解管理体系：基于汽车生产企业官方拆解手册编制《动力蓄电池高压系统拆解作业指导书》，并配备持有高压安全作业证的技术团队；退役动力蓄电池包（组）全流程禁止拆解，拆解后电池包经绝缘检测、编码登记后，直接交售至车企授权回收服务网点或工信部白名单综合利用企业，执行“来源-去向”双向联单制；拆解操作记录及电池溯源信息实时上传至国家退役电池全生命周期溯源管理平台，关键环节通过内部视频监控及第三方审核留痕，确保符合GB/T33598等标准要求。</w:t>
                  </w:r>
                </w:p>
              </w:tc>
              <w:tc>
                <w:tcPr>
                  <w:tcW w:w="283" w:type="pct"/>
                  <w:tcBorders>
                    <w:tl2br w:val="nil"/>
                    <w:tr2bl w:val="nil"/>
                  </w:tcBorders>
                  <w:vAlign w:val="center"/>
                </w:tcPr>
                <w:p w14:paraId="42D779B6">
                  <w:pPr>
                    <w:widowControl/>
                    <w:adjustRightInd w:val="0"/>
                    <w:snapToGrid w:val="0"/>
                    <w:jc w:val="center"/>
                    <w:rPr>
                      <w:rFonts w:eastAsiaTheme="minorEastAsia"/>
                      <w:spacing w:val="7"/>
                      <w:szCs w:val="21"/>
                    </w:rPr>
                  </w:pPr>
                </w:p>
              </w:tc>
            </w:tr>
            <w:tr w14:paraId="6D8A152F">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12" w:type="pct"/>
                  <w:tcBorders>
                    <w:tl2br w:val="nil"/>
                    <w:tr2bl w:val="nil"/>
                  </w:tcBorders>
                  <w:shd w:val="clear" w:color="auto" w:fill="auto"/>
                </w:tcPr>
                <w:p w14:paraId="46125375">
                  <w:pPr>
                    <w:widowControl/>
                    <w:adjustRightInd w:val="0"/>
                    <w:snapToGrid w:val="0"/>
                    <w:jc w:val="left"/>
                    <w:rPr>
                      <w:rFonts w:eastAsiaTheme="minorEastAsia"/>
                      <w:spacing w:val="-6"/>
                      <w:szCs w:val="21"/>
                    </w:rPr>
                  </w:pPr>
                  <w:r>
                    <w:rPr>
                      <w:rFonts w:hint="eastAsia" w:eastAsiaTheme="minorEastAsia"/>
                      <w:spacing w:val="-6"/>
                      <w:szCs w:val="21"/>
                    </w:rPr>
                    <w:t>41</w:t>
                  </w:r>
                </w:p>
              </w:tc>
              <w:tc>
                <w:tcPr>
                  <w:tcW w:w="1849" w:type="pct"/>
                  <w:tcBorders>
                    <w:tl2br w:val="nil"/>
                    <w:tr2bl w:val="nil"/>
                  </w:tcBorders>
                  <w:shd w:val="clear" w:color="auto" w:fill="auto"/>
                </w:tcPr>
                <w:p w14:paraId="48188AEB">
                  <w:pPr>
                    <w:widowControl/>
                    <w:adjustRightInd w:val="0"/>
                    <w:snapToGrid w:val="0"/>
                    <w:jc w:val="left"/>
                    <w:rPr>
                      <w:rFonts w:eastAsiaTheme="minorEastAsia"/>
                      <w:spacing w:val="-6"/>
                      <w:szCs w:val="21"/>
                    </w:rPr>
                  </w:pPr>
                  <w:r>
                    <w:rPr>
                      <w:rFonts w:eastAsiaTheme="minorEastAsia"/>
                      <w:spacing w:val="-6"/>
                      <w:szCs w:val="21"/>
                    </w:rPr>
                    <w:t>7.2.1拆解预处理技术要求：</w:t>
                  </w:r>
                </w:p>
                <w:p w14:paraId="709623EC">
                  <w:pPr>
                    <w:widowControl/>
                    <w:adjustRightInd w:val="0"/>
                    <w:snapToGrid w:val="0"/>
                    <w:jc w:val="left"/>
                    <w:rPr>
                      <w:rFonts w:eastAsiaTheme="minorEastAsia"/>
                      <w:spacing w:val="-6"/>
                      <w:szCs w:val="21"/>
                    </w:rPr>
                  </w:pPr>
                  <w:r>
                    <w:rPr>
                      <w:rFonts w:eastAsiaTheme="minorEastAsia"/>
                      <w:spacing w:val="-6"/>
                      <w:szCs w:val="21"/>
                    </w:rPr>
                    <w:t>a)在室内或有防雨顶棚的拆解预处理平台上使用专用工具排空存留在车内的废液，并使用专用容器分类回收；</w:t>
                  </w:r>
                </w:p>
                <w:p w14:paraId="4AED0AAC">
                  <w:pPr>
                    <w:widowControl/>
                    <w:adjustRightInd w:val="0"/>
                    <w:snapToGrid w:val="0"/>
                    <w:jc w:val="left"/>
                    <w:rPr>
                      <w:rFonts w:eastAsiaTheme="minorEastAsia"/>
                      <w:spacing w:val="-6"/>
                      <w:szCs w:val="21"/>
                    </w:rPr>
                  </w:pPr>
                  <w:r>
                    <w:rPr>
                      <w:rFonts w:eastAsiaTheme="minorEastAsia"/>
                      <w:spacing w:val="-6"/>
                      <w:szCs w:val="21"/>
                    </w:rPr>
                    <w:t>b)拆除铅酸蓄电池；</w:t>
                  </w:r>
                </w:p>
                <w:p w14:paraId="02BF3EBB">
                  <w:pPr>
                    <w:widowControl/>
                    <w:adjustRightInd w:val="0"/>
                    <w:snapToGrid w:val="0"/>
                    <w:jc w:val="left"/>
                    <w:rPr>
                      <w:rFonts w:eastAsiaTheme="minorEastAsia"/>
                      <w:spacing w:val="-6"/>
                      <w:szCs w:val="21"/>
                    </w:rPr>
                  </w:pPr>
                  <w:r>
                    <w:rPr>
                      <w:rFonts w:eastAsiaTheme="minorEastAsia"/>
                      <w:spacing w:val="-6"/>
                      <w:szCs w:val="21"/>
                    </w:rPr>
                    <w:t>c)用专门设备回收机动车空调制冷剂；</w:t>
                  </w:r>
                </w:p>
                <w:p w14:paraId="7DD64207">
                  <w:pPr>
                    <w:widowControl/>
                    <w:adjustRightInd w:val="0"/>
                    <w:snapToGrid w:val="0"/>
                    <w:jc w:val="left"/>
                    <w:rPr>
                      <w:rFonts w:eastAsiaTheme="minorEastAsia"/>
                      <w:spacing w:val="-6"/>
                      <w:szCs w:val="21"/>
                    </w:rPr>
                  </w:pPr>
                  <w:r>
                    <w:rPr>
                      <w:rFonts w:eastAsiaTheme="minorEastAsia"/>
                      <w:spacing w:val="-6"/>
                      <w:szCs w:val="21"/>
                    </w:rPr>
                    <w:t>d)拆除油箱和燃料罐；</w:t>
                  </w:r>
                </w:p>
                <w:p w14:paraId="1FB00C4B">
                  <w:pPr>
                    <w:widowControl/>
                    <w:adjustRightInd w:val="0"/>
                    <w:snapToGrid w:val="0"/>
                    <w:jc w:val="left"/>
                    <w:rPr>
                      <w:rFonts w:eastAsiaTheme="minorEastAsia"/>
                      <w:spacing w:val="-6"/>
                      <w:szCs w:val="21"/>
                    </w:rPr>
                  </w:pPr>
                  <w:r>
                    <w:rPr>
                      <w:rFonts w:eastAsiaTheme="minorEastAsia"/>
                      <w:spacing w:val="-6"/>
                      <w:szCs w:val="21"/>
                    </w:rPr>
                    <w:t>e)拆除机油滤清器；</w:t>
                  </w:r>
                </w:p>
                <w:p w14:paraId="3FD46C7E">
                  <w:pPr>
                    <w:widowControl/>
                    <w:adjustRightInd w:val="0"/>
                    <w:snapToGrid w:val="0"/>
                    <w:jc w:val="left"/>
                    <w:rPr>
                      <w:rFonts w:eastAsiaTheme="minorEastAsia"/>
                      <w:spacing w:val="-6"/>
                      <w:szCs w:val="21"/>
                    </w:rPr>
                  </w:pPr>
                  <w:r>
                    <w:rPr>
                      <w:rFonts w:eastAsiaTheme="minorEastAsia"/>
                      <w:spacing w:val="-6"/>
                      <w:szCs w:val="21"/>
                    </w:rPr>
                    <w:t>f)直接引爆安全气囊或者拆除安全气囊组件后引爆；</w:t>
                  </w:r>
                </w:p>
                <w:p w14:paraId="5352F00B">
                  <w:pPr>
                    <w:widowControl/>
                    <w:adjustRightInd w:val="0"/>
                    <w:snapToGrid w:val="0"/>
                    <w:jc w:val="left"/>
                    <w:rPr>
                      <w:rFonts w:eastAsiaTheme="minorEastAsia"/>
                      <w:spacing w:val="-6"/>
                      <w:szCs w:val="21"/>
                    </w:rPr>
                  </w:pPr>
                  <w:r>
                    <w:rPr>
                      <w:rFonts w:eastAsiaTheme="minorEastAsia"/>
                      <w:spacing w:val="-6"/>
                      <w:szCs w:val="21"/>
                    </w:rPr>
                    <w:t>g)拆除催化系统(催化转化器、选择性催化还原装置、柴油颗粒物捕集器等)。</w:t>
                  </w:r>
                </w:p>
              </w:tc>
              <w:tc>
                <w:tcPr>
                  <w:tcW w:w="2555" w:type="pct"/>
                  <w:tcBorders>
                    <w:tl2br w:val="nil"/>
                    <w:tr2bl w:val="nil"/>
                  </w:tcBorders>
                  <w:shd w:val="clear" w:color="auto" w:fill="auto"/>
                  <w:vAlign w:val="center"/>
                </w:tcPr>
                <w:p w14:paraId="2FCFC0C5">
                  <w:pPr>
                    <w:widowControl/>
                    <w:adjustRightInd w:val="0"/>
                    <w:snapToGrid w:val="0"/>
                    <w:jc w:val="center"/>
                    <w:rPr>
                      <w:rFonts w:eastAsiaTheme="minorEastAsia"/>
                      <w:kern w:val="0"/>
                      <w:szCs w:val="21"/>
                      <w:lang w:bidi="ar"/>
                    </w:rPr>
                  </w:pPr>
                  <w:r>
                    <w:rPr>
                      <w:rFonts w:hint="eastAsia" w:eastAsiaTheme="minorEastAsia"/>
                      <w:kern w:val="0"/>
                      <w:szCs w:val="21"/>
                      <w:lang w:bidi="ar"/>
                    </w:rPr>
                    <w:t>本项目在车间内的</w:t>
                  </w:r>
                  <w:r>
                    <w:rPr>
                      <w:rFonts w:eastAsiaTheme="minorEastAsia"/>
                      <w:spacing w:val="-6"/>
                      <w:szCs w:val="21"/>
                    </w:rPr>
                    <w:t>拆解预处理平台上</w:t>
                  </w:r>
                  <w:r>
                    <w:rPr>
                      <w:rFonts w:eastAsiaTheme="minorEastAsia"/>
                      <w:kern w:val="0"/>
                      <w:szCs w:val="21"/>
                      <w:lang w:bidi="ar"/>
                    </w:rPr>
                    <w:t>使用真空设备分类回收废液，铅酸电池按危废规范交售；配备制冷剂回收装置合规处理空调制冷剂，油箱、燃料罐采用防爆工具拆卸封堵，机油滤清器破拆分离；安全气囊于独立防爆区远程引爆，催化转化器等尾气装置拆除后分类交售；危废贮存与转移符合标准，通过第三方环境检测合规验证。</w:t>
                  </w:r>
                </w:p>
              </w:tc>
              <w:tc>
                <w:tcPr>
                  <w:tcW w:w="283" w:type="pct"/>
                  <w:tcBorders>
                    <w:tl2br w:val="nil"/>
                    <w:tr2bl w:val="nil"/>
                  </w:tcBorders>
                  <w:vAlign w:val="center"/>
                </w:tcPr>
                <w:p w14:paraId="50231930">
                  <w:pPr>
                    <w:widowControl/>
                    <w:adjustRightInd w:val="0"/>
                    <w:snapToGrid w:val="0"/>
                    <w:jc w:val="center"/>
                    <w:rPr>
                      <w:rFonts w:eastAsiaTheme="minorEastAsia"/>
                      <w:spacing w:val="7"/>
                      <w:szCs w:val="21"/>
                    </w:rPr>
                  </w:pPr>
                </w:p>
              </w:tc>
            </w:tr>
            <w:tr w14:paraId="45CFE8AF">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12" w:type="pct"/>
                  <w:tcBorders>
                    <w:tl2br w:val="nil"/>
                    <w:tr2bl w:val="nil"/>
                  </w:tcBorders>
                  <w:shd w:val="clear" w:color="auto" w:fill="auto"/>
                </w:tcPr>
                <w:p w14:paraId="655BA89A">
                  <w:pPr>
                    <w:widowControl/>
                    <w:adjustRightInd w:val="0"/>
                    <w:snapToGrid w:val="0"/>
                    <w:jc w:val="left"/>
                    <w:rPr>
                      <w:rFonts w:eastAsiaTheme="minorEastAsia"/>
                      <w:spacing w:val="-6"/>
                      <w:szCs w:val="21"/>
                    </w:rPr>
                  </w:pPr>
                  <w:r>
                    <w:rPr>
                      <w:rFonts w:hint="eastAsia" w:eastAsiaTheme="minorEastAsia"/>
                      <w:spacing w:val="-6"/>
                      <w:szCs w:val="21"/>
                    </w:rPr>
                    <w:t>42</w:t>
                  </w:r>
                </w:p>
              </w:tc>
              <w:tc>
                <w:tcPr>
                  <w:tcW w:w="1849" w:type="pct"/>
                  <w:tcBorders>
                    <w:tl2br w:val="nil"/>
                    <w:tr2bl w:val="nil"/>
                  </w:tcBorders>
                  <w:shd w:val="clear" w:color="auto" w:fill="auto"/>
                </w:tcPr>
                <w:p w14:paraId="086017F5">
                  <w:pPr>
                    <w:widowControl/>
                    <w:adjustRightInd w:val="0"/>
                    <w:snapToGrid w:val="0"/>
                    <w:jc w:val="left"/>
                    <w:rPr>
                      <w:rFonts w:eastAsiaTheme="minorEastAsia"/>
                      <w:spacing w:val="-6"/>
                      <w:szCs w:val="21"/>
                    </w:rPr>
                  </w:pPr>
                  <w:r>
                    <w:rPr>
                      <w:rFonts w:eastAsiaTheme="minorEastAsia"/>
                      <w:spacing w:val="-6"/>
                      <w:szCs w:val="21"/>
                    </w:rPr>
                    <w:t>7.3.1动力蓄电池拆卸预处理技术要求：</w:t>
                  </w:r>
                </w:p>
                <w:p w14:paraId="6983B6B7">
                  <w:pPr>
                    <w:widowControl/>
                    <w:adjustRightInd w:val="0"/>
                    <w:snapToGrid w:val="0"/>
                    <w:jc w:val="left"/>
                    <w:rPr>
                      <w:rFonts w:eastAsiaTheme="minorEastAsia"/>
                      <w:spacing w:val="-6"/>
                      <w:szCs w:val="21"/>
                    </w:rPr>
                  </w:pPr>
                  <w:r>
                    <w:rPr>
                      <w:rFonts w:eastAsiaTheme="minorEastAsia"/>
                      <w:spacing w:val="-6"/>
                      <w:szCs w:val="21"/>
                    </w:rPr>
                    <w:t>a)检查车身有无漏液、有无带电</w:t>
                  </w:r>
                </w:p>
                <w:p w14:paraId="7D058AD4">
                  <w:pPr>
                    <w:widowControl/>
                    <w:adjustRightInd w:val="0"/>
                    <w:snapToGrid w:val="0"/>
                    <w:jc w:val="left"/>
                    <w:rPr>
                      <w:rFonts w:eastAsiaTheme="minorEastAsia"/>
                      <w:spacing w:val="-6"/>
                      <w:szCs w:val="21"/>
                    </w:rPr>
                  </w:pPr>
                  <w:r>
                    <w:rPr>
                      <w:rFonts w:eastAsiaTheme="minorEastAsia"/>
                      <w:spacing w:val="-6"/>
                      <w:szCs w:val="21"/>
                    </w:rPr>
                    <w:t>b)检查动力蓄电池布局和安装位置，确认诊断接口是否完好；</w:t>
                  </w:r>
                </w:p>
                <w:p w14:paraId="58ABECFC">
                  <w:pPr>
                    <w:widowControl/>
                    <w:adjustRightInd w:val="0"/>
                    <w:snapToGrid w:val="0"/>
                    <w:jc w:val="left"/>
                    <w:rPr>
                      <w:rFonts w:eastAsiaTheme="minorEastAsia"/>
                      <w:spacing w:val="-6"/>
                      <w:szCs w:val="21"/>
                    </w:rPr>
                  </w:pPr>
                  <w:r>
                    <w:rPr>
                      <w:rFonts w:eastAsiaTheme="minorEastAsia"/>
                      <w:spacing w:val="-6"/>
                      <w:szCs w:val="21"/>
                    </w:rPr>
                    <w:t>c)对动力蓄电池电压、温度等参数进行检测，评估其安全状态；</w:t>
                  </w:r>
                </w:p>
                <w:p w14:paraId="56AF770E">
                  <w:pPr>
                    <w:widowControl/>
                    <w:adjustRightInd w:val="0"/>
                    <w:snapToGrid w:val="0"/>
                    <w:jc w:val="left"/>
                    <w:rPr>
                      <w:rFonts w:eastAsiaTheme="minorEastAsia"/>
                      <w:spacing w:val="-6"/>
                      <w:szCs w:val="21"/>
                    </w:rPr>
                  </w:pPr>
                  <w:r>
                    <w:rPr>
                      <w:rFonts w:eastAsiaTheme="minorEastAsia"/>
                      <w:spacing w:val="-6"/>
                      <w:szCs w:val="21"/>
                    </w:rPr>
                    <w:t>d)断开动力蓄电池高压回路；</w:t>
                  </w:r>
                </w:p>
                <w:p w14:paraId="2477496D">
                  <w:pPr>
                    <w:widowControl/>
                    <w:adjustRightInd w:val="0"/>
                    <w:snapToGrid w:val="0"/>
                    <w:jc w:val="left"/>
                    <w:rPr>
                      <w:rFonts w:eastAsiaTheme="minorEastAsia"/>
                      <w:spacing w:val="-6"/>
                      <w:szCs w:val="21"/>
                    </w:rPr>
                  </w:pPr>
                  <w:r>
                    <w:rPr>
                      <w:rFonts w:eastAsiaTheme="minorEastAsia"/>
                      <w:spacing w:val="-6"/>
                      <w:szCs w:val="21"/>
                    </w:rPr>
                    <w:t>e)在室内或有防雨顶棚的拆解预处理平台上使用防静电工具排空存留在车内的废液，并使用专 用容器分类回收；</w:t>
                  </w:r>
                </w:p>
                <w:p w14:paraId="0F489F4F">
                  <w:pPr>
                    <w:widowControl/>
                    <w:adjustRightInd w:val="0"/>
                    <w:snapToGrid w:val="0"/>
                    <w:jc w:val="left"/>
                    <w:rPr>
                      <w:rFonts w:eastAsiaTheme="minorEastAsia"/>
                      <w:spacing w:val="-6"/>
                      <w:szCs w:val="21"/>
                    </w:rPr>
                  </w:pPr>
                  <w:r>
                    <w:rPr>
                      <w:rFonts w:eastAsiaTheme="minorEastAsia"/>
                      <w:spacing w:val="-6"/>
                      <w:szCs w:val="21"/>
                    </w:rPr>
                    <w:t>f)使用防静电设备回收电动汽车空调制冷剂</w:t>
                  </w:r>
                </w:p>
              </w:tc>
              <w:tc>
                <w:tcPr>
                  <w:tcW w:w="2555" w:type="pct"/>
                  <w:tcBorders>
                    <w:tl2br w:val="nil"/>
                    <w:tr2bl w:val="nil"/>
                  </w:tcBorders>
                  <w:shd w:val="clear" w:color="auto" w:fill="auto"/>
                  <w:vAlign w:val="center"/>
                </w:tcPr>
                <w:p w14:paraId="701462D4">
                  <w:pPr>
                    <w:widowControl/>
                    <w:adjustRightInd w:val="0"/>
                    <w:snapToGrid w:val="0"/>
                    <w:jc w:val="center"/>
                    <w:rPr>
                      <w:rFonts w:eastAsiaTheme="minorEastAsia"/>
                      <w:kern w:val="0"/>
                      <w:szCs w:val="21"/>
                      <w:lang w:bidi="ar"/>
                    </w:rPr>
                  </w:pPr>
                  <w:r>
                    <w:rPr>
                      <w:rFonts w:hint="eastAsia" w:eastAsiaTheme="minorEastAsia"/>
                      <w:kern w:val="0"/>
                      <w:szCs w:val="21"/>
                      <w:lang w:bidi="ar"/>
                    </w:rPr>
                    <w:t>本项目</w:t>
                  </w:r>
                  <w:r>
                    <w:rPr>
                      <w:rFonts w:eastAsiaTheme="minorEastAsia"/>
                      <w:kern w:val="0"/>
                      <w:szCs w:val="21"/>
                      <w:lang w:bidi="ar"/>
                    </w:rPr>
                    <w:t>拆解前执行车身漏液及带电状态检测，使用绝缘电阻测试仪、热成像仪等设备排查风险；精准识别动力蓄电池布局及诊断接口状态，通过电池管理系统（BMS）读取电压、温度参数并评估安全等级；高压回路断电操作由持证电工执行，全程采用防静电工具及绝缘防护装备；</w:t>
                  </w:r>
                  <w:r>
                    <w:rPr>
                      <w:rFonts w:hint="eastAsia" w:eastAsiaTheme="minorEastAsia"/>
                      <w:kern w:val="0"/>
                      <w:szCs w:val="21"/>
                      <w:lang w:bidi="ar"/>
                    </w:rPr>
                    <w:t>在车间内</w:t>
                  </w:r>
                  <w:r>
                    <w:rPr>
                      <w:rFonts w:eastAsiaTheme="minorEastAsia"/>
                      <w:kern w:val="0"/>
                      <w:szCs w:val="21"/>
                      <w:lang w:bidi="ar"/>
                    </w:rPr>
                    <w:t>处理平台内配置防静电废液抽排系统，废液按电解液、冷却液分类密封储存；空调制冷剂回收采用防静电设备，符合GB/T 32019标准；拆卸后电池包经绝缘封装、扫码溯源后交售至合规回收网点，全流程操作记录接入国家溯源平台并通过ISO 9001及环境管理体系认证，确保操作安全与环保合规。</w:t>
                  </w:r>
                </w:p>
              </w:tc>
              <w:tc>
                <w:tcPr>
                  <w:tcW w:w="283" w:type="pct"/>
                  <w:tcBorders>
                    <w:tl2br w:val="nil"/>
                    <w:tr2bl w:val="nil"/>
                  </w:tcBorders>
                  <w:vAlign w:val="center"/>
                </w:tcPr>
                <w:p w14:paraId="592043A5">
                  <w:pPr>
                    <w:widowControl/>
                    <w:adjustRightInd w:val="0"/>
                    <w:snapToGrid w:val="0"/>
                    <w:jc w:val="center"/>
                    <w:rPr>
                      <w:rFonts w:eastAsiaTheme="minorEastAsia"/>
                      <w:spacing w:val="7"/>
                      <w:szCs w:val="21"/>
                    </w:rPr>
                  </w:pPr>
                </w:p>
              </w:tc>
            </w:tr>
            <w:tr w14:paraId="6FEB92A4">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12" w:type="pct"/>
                  <w:tcBorders>
                    <w:tl2br w:val="nil"/>
                    <w:tr2bl w:val="nil"/>
                  </w:tcBorders>
                  <w:shd w:val="clear" w:color="auto" w:fill="auto"/>
                </w:tcPr>
                <w:p w14:paraId="541E4FF3">
                  <w:pPr>
                    <w:widowControl/>
                    <w:adjustRightInd w:val="0"/>
                    <w:snapToGrid w:val="0"/>
                    <w:jc w:val="left"/>
                    <w:rPr>
                      <w:rFonts w:eastAsiaTheme="minorEastAsia"/>
                      <w:spacing w:val="-6"/>
                      <w:szCs w:val="21"/>
                    </w:rPr>
                  </w:pPr>
                  <w:r>
                    <w:rPr>
                      <w:rFonts w:hint="eastAsia" w:eastAsiaTheme="minorEastAsia"/>
                      <w:spacing w:val="-6"/>
                      <w:szCs w:val="21"/>
                    </w:rPr>
                    <w:t>43</w:t>
                  </w:r>
                </w:p>
              </w:tc>
              <w:tc>
                <w:tcPr>
                  <w:tcW w:w="1849" w:type="pct"/>
                  <w:tcBorders>
                    <w:tl2br w:val="nil"/>
                    <w:tr2bl w:val="nil"/>
                  </w:tcBorders>
                  <w:shd w:val="clear" w:color="auto" w:fill="auto"/>
                </w:tcPr>
                <w:p w14:paraId="29EDF6F8">
                  <w:pPr>
                    <w:widowControl/>
                    <w:adjustRightInd w:val="0"/>
                    <w:snapToGrid w:val="0"/>
                    <w:jc w:val="left"/>
                    <w:rPr>
                      <w:rFonts w:eastAsiaTheme="minorEastAsia"/>
                      <w:spacing w:val="-6"/>
                      <w:szCs w:val="21"/>
                    </w:rPr>
                  </w:pPr>
                  <w:r>
                    <w:rPr>
                      <w:rFonts w:eastAsiaTheme="minorEastAsia"/>
                      <w:spacing w:val="-6"/>
                      <w:szCs w:val="21"/>
                    </w:rPr>
                    <w:t>7.3.2动力蓄电池拆卸技术要求：</w:t>
                  </w:r>
                </w:p>
                <w:p w14:paraId="29284BD5">
                  <w:pPr>
                    <w:widowControl/>
                    <w:adjustRightInd w:val="0"/>
                    <w:snapToGrid w:val="0"/>
                    <w:jc w:val="left"/>
                    <w:rPr>
                      <w:rFonts w:eastAsiaTheme="minorEastAsia"/>
                      <w:spacing w:val="-6"/>
                      <w:szCs w:val="21"/>
                    </w:rPr>
                  </w:pPr>
                  <w:r>
                    <w:rPr>
                      <w:rFonts w:eastAsiaTheme="minorEastAsia"/>
                      <w:spacing w:val="-6"/>
                      <w:szCs w:val="21"/>
                    </w:rPr>
                    <w:t>a)拆卸动力蓄电池阻挡部件，如引擎盖、行李箱盖、车门等；</w:t>
                  </w:r>
                </w:p>
                <w:p w14:paraId="09F1E5A7">
                  <w:pPr>
                    <w:widowControl/>
                    <w:adjustRightInd w:val="0"/>
                    <w:snapToGrid w:val="0"/>
                    <w:jc w:val="left"/>
                    <w:rPr>
                      <w:rFonts w:eastAsiaTheme="minorEastAsia"/>
                      <w:spacing w:val="-6"/>
                      <w:szCs w:val="21"/>
                    </w:rPr>
                  </w:pPr>
                  <w:r>
                    <w:rPr>
                      <w:rFonts w:eastAsiaTheme="minorEastAsia"/>
                      <w:spacing w:val="-6"/>
                      <w:szCs w:val="21"/>
                    </w:rPr>
                    <w:t>b)断开电压线束(电缆),拆卸不同安装位置的动力蓄电池；</w:t>
                  </w:r>
                </w:p>
                <w:p w14:paraId="2003DEC8">
                  <w:pPr>
                    <w:widowControl/>
                    <w:adjustRightInd w:val="0"/>
                    <w:snapToGrid w:val="0"/>
                    <w:jc w:val="left"/>
                    <w:rPr>
                      <w:rFonts w:eastAsiaTheme="minorEastAsia"/>
                      <w:spacing w:val="-6"/>
                      <w:szCs w:val="21"/>
                    </w:rPr>
                  </w:pPr>
                  <w:r>
                    <w:rPr>
                      <w:rFonts w:eastAsiaTheme="minorEastAsia"/>
                      <w:spacing w:val="-6"/>
                      <w:szCs w:val="21"/>
                    </w:rPr>
                    <w:t>c)收集采用液冷结构方式散热的动力蓄电池包(组)内的冷却液；</w:t>
                  </w:r>
                </w:p>
                <w:p w14:paraId="4F867174">
                  <w:pPr>
                    <w:widowControl/>
                    <w:adjustRightInd w:val="0"/>
                    <w:snapToGrid w:val="0"/>
                    <w:jc w:val="left"/>
                    <w:rPr>
                      <w:rFonts w:eastAsiaTheme="minorEastAsia"/>
                      <w:spacing w:val="-6"/>
                      <w:szCs w:val="21"/>
                    </w:rPr>
                  </w:pPr>
                  <w:r>
                    <w:rPr>
                      <w:rFonts w:eastAsiaTheme="minorEastAsia"/>
                      <w:spacing w:val="-6"/>
                      <w:szCs w:val="21"/>
                    </w:rPr>
                    <w:t>d)对拆卸下的动力蓄电池线束接头、正负极片等外露线束和金属物进行绝缘处理，并在其明显位置处贴上标签，标明绝缘状况；</w:t>
                  </w:r>
                </w:p>
                <w:p w14:paraId="73BB3DF6">
                  <w:pPr>
                    <w:widowControl/>
                    <w:adjustRightInd w:val="0"/>
                    <w:snapToGrid w:val="0"/>
                    <w:jc w:val="left"/>
                    <w:rPr>
                      <w:rFonts w:eastAsiaTheme="minorEastAsia"/>
                      <w:spacing w:val="-6"/>
                      <w:szCs w:val="21"/>
                    </w:rPr>
                  </w:pPr>
                  <w:r>
                    <w:rPr>
                      <w:rFonts w:eastAsiaTheme="minorEastAsia"/>
                      <w:spacing w:val="-6"/>
                      <w:szCs w:val="21"/>
                    </w:rPr>
                    <w:t>e)收集驱动电机总成内残余冷却液后，拆除驱动电机。</w:t>
                  </w:r>
                </w:p>
              </w:tc>
              <w:tc>
                <w:tcPr>
                  <w:tcW w:w="2555" w:type="pct"/>
                  <w:tcBorders>
                    <w:tl2br w:val="nil"/>
                    <w:tr2bl w:val="nil"/>
                  </w:tcBorders>
                  <w:shd w:val="clear" w:color="auto" w:fill="auto"/>
                  <w:vAlign w:val="center"/>
                </w:tcPr>
                <w:p w14:paraId="714509DD">
                  <w:pPr>
                    <w:widowControl/>
                    <w:adjustRightInd w:val="0"/>
                    <w:snapToGrid w:val="0"/>
                    <w:jc w:val="center"/>
                    <w:rPr>
                      <w:rFonts w:eastAsiaTheme="minorEastAsia"/>
                      <w:kern w:val="0"/>
                      <w:szCs w:val="21"/>
                      <w:lang w:bidi="ar"/>
                    </w:rPr>
                  </w:pPr>
                  <w:r>
                    <w:rPr>
                      <w:rFonts w:eastAsiaTheme="minorEastAsia"/>
                      <w:kern w:val="0"/>
                      <w:szCs w:val="21"/>
                      <w:lang w:bidi="ar"/>
                    </w:rPr>
                    <w:t>采用专用工具拆卸引擎盖、车门等阻挡部件后，由持证电工使用防静电设备断开电压线束，适配不同安装结构的电池拆卸工装安全移出动力蓄电池；液冷电池包冷却液通过防渗漏管道抽排至专用容器，驱动电机残余冷却液同步回收处理；外露线束及金属部件均采用硅胶绝缘套、阻燃胶带进行封闭防护，并粘贴含绝缘等级、操作人员及日期信息的二维码标签；拆卸后的驱动电机经残液清理、性能检测后分类贮存，动力蓄电池包经绝缘封装、扫码溯源后交售至合规网点。</w:t>
                  </w:r>
                </w:p>
              </w:tc>
              <w:tc>
                <w:tcPr>
                  <w:tcW w:w="283" w:type="pct"/>
                  <w:tcBorders>
                    <w:tl2br w:val="nil"/>
                    <w:tr2bl w:val="nil"/>
                  </w:tcBorders>
                  <w:vAlign w:val="center"/>
                </w:tcPr>
                <w:p w14:paraId="00985B1A">
                  <w:pPr>
                    <w:widowControl/>
                    <w:adjustRightInd w:val="0"/>
                    <w:snapToGrid w:val="0"/>
                    <w:jc w:val="center"/>
                    <w:rPr>
                      <w:rFonts w:eastAsiaTheme="minorEastAsia"/>
                      <w:spacing w:val="7"/>
                      <w:szCs w:val="21"/>
                    </w:rPr>
                  </w:pPr>
                </w:p>
              </w:tc>
            </w:tr>
          </w:tbl>
          <w:p w14:paraId="3B657F23">
            <w:pPr>
              <w:pStyle w:val="116"/>
              <w:spacing w:before="36" w:line="212" w:lineRule="auto"/>
              <w:rPr>
                <w:rFonts w:hint="eastAsia" w:cs="Times New Roman"/>
                <w:b/>
                <w:bCs/>
                <w:lang w:eastAsia="zh-CN"/>
              </w:rPr>
            </w:pPr>
          </w:p>
          <w:p w14:paraId="3FCB33C3">
            <w:pPr>
              <w:pStyle w:val="116"/>
              <w:spacing w:before="36" w:line="212" w:lineRule="auto"/>
              <w:rPr>
                <w:rFonts w:hint="eastAsia"/>
                <w:b/>
                <w:bCs/>
                <w:color w:val="FF0000"/>
                <w:spacing w:val="-2"/>
                <w:lang w:eastAsia="zh-CN"/>
              </w:rPr>
            </w:pPr>
            <w:r>
              <w:rPr>
                <w:rFonts w:hint="eastAsia" w:cs="Times New Roman"/>
                <w:b/>
                <w:bCs/>
                <w:color w:val="FF0000"/>
                <w:lang w:eastAsia="zh-CN"/>
              </w:rPr>
              <w:t>12.</w:t>
            </w:r>
            <w:r>
              <w:rPr>
                <w:rFonts w:ascii="Times New Roman" w:hAnsi="Times New Roman" w:cs="Times New Roman"/>
                <w:b/>
                <w:bCs/>
                <w:color w:val="FF0000"/>
                <w:lang w:eastAsia="zh-CN" w:bidi="zh-CN"/>
              </w:rPr>
              <w:t>本项目</w:t>
            </w:r>
            <w:r>
              <w:rPr>
                <w:b/>
                <w:bCs/>
                <w:color w:val="FF0000"/>
                <w:spacing w:val="-2"/>
                <w:lang w:eastAsia="zh-CN"/>
              </w:rPr>
              <w:t>与《报废机动车拆解企业污染控制技术规范》（</w:t>
            </w:r>
            <w:r>
              <w:rPr>
                <w:rFonts w:ascii="Times New Roman" w:hAnsi="Times New Roman" w:eastAsia="Times New Roman" w:cs="Times New Roman"/>
                <w:b/>
                <w:bCs/>
                <w:color w:val="FF0000"/>
                <w:spacing w:val="-2"/>
                <w:lang w:eastAsia="zh-CN"/>
              </w:rPr>
              <w:t>HJ348-2022</w:t>
            </w:r>
            <w:r>
              <w:rPr>
                <w:b/>
                <w:bCs/>
                <w:color w:val="FF0000"/>
                <w:spacing w:val="-2"/>
                <w:lang w:eastAsia="zh-CN"/>
              </w:rPr>
              <w:t>）符合性分析</w:t>
            </w:r>
          </w:p>
          <w:p w14:paraId="718D95B4">
            <w:pPr>
              <w:ind w:firstLine="422" w:firstLineChars="200"/>
              <w:jc w:val="center"/>
              <w:rPr>
                <w:b/>
                <w:bCs/>
                <w:color w:val="FF0000"/>
                <w:szCs w:val="21"/>
              </w:rPr>
            </w:pPr>
            <w:r>
              <w:rPr>
                <w:b/>
                <w:bCs/>
                <w:color w:val="FF0000"/>
                <w:szCs w:val="21"/>
              </w:rPr>
              <w:t>表1-</w:t>
            </w:r>
            <w:r>
              <w:rPr>
                <w:rFonts w:hint="eastAsia"/>
                <w:b/>
                <w:bCs/>
                <w:color w:val="FF0000"/>
                <w:szCs w:val="21"/>
              </w:rPr>
              <w:t>15</w:t>
            </w:r>
            <w:r>
              <w:rPr>
                <w:b/>
                <w:bCs/>
                <w:color w:val="FF0000"/>
                <w:szCs w:val="21"/>
              </w:rPr>
              <w:t xml:space="preserve">  与“</w:t>
            </w:r>
            <w:r>
              <w:rPr>
                <w:rFonts w:hint="eastAsia"/>
                <w:b/>
                <w:bCs/>
                <w:color w:val="FF0000"/>
                <w:szCs w:val="21"/>
              </w:rPr>
              <w:t>规范</w:t>
            </w:r>
            <w:r>
              <w:rPr>
                <w:b/>
                <w:bCs/>
                <w:color w:val="FF0000"/>
                <w:szCs w:val="21"/>
              </w:rPr>
              <w:t>”相符性分析</w:t>
            </w:r>
          </w:p>
          <w:tbl>
            <w:tblPr>
              <w:tblStyle w:val="34"/>
              <w:tblW w:w="4998" w:type="pct"/>
              <w:jc w:val="center"/>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489"/>
              <w:gridCol w:w="3613"/>
              <w:gridCol w:w="3003"/>
              <w:gridCol w:w="426"/>
            </w:tblGrid>
            <w:tr w14:paraId="22B37941">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25" w:type="pct"/>
                  <w:tcBorders>
                    <w:tl2br w:val="nil"/>
                    <w:tr2bl w:val="nil"/>
                  </w:tcBorders>
                  <w:vAlign w:val="center"/>
                </w:tcPr>
                <w:p w14:paraId="5FB520BC">
                  <w:pPr>
                    <w:widowControl/>
                    <w:adjustRightInd w:val="0"/>
                    <w:snapToGrid w:val="0"/>
                    <w:jc w:val="center"/>
                    <w:rPr>
                      <w:rFonts w:eastAsiaTheme="minorEastAsia"/>
                      <w:color w:val="FF0000"/>
                      <w:kern w:val="0"/>
                      <w:szCs w:val="21"/>
                      <w:lang w:bidi="ar"/>
                    </w:rPr>
                  </w:pPr>
                  <w:r>
                    <w:rPr>
                      <w:rFonts w:eastAsiaTheme="minorEastAsia"/>
                      <w:color w:val="FF0000"/>
                      <w:kern w:val="0"/>
                      <w:szCs w:val="21"/>
                      <w:lang w:bidi="ar"/>
                    </w:rPr>
                    <w:t>序号</w:t>
                  </w:r>
                </w:p>
              </w:tc>
              <w:tc>
                <w:tcPr>
                  <w:tcW w:w="2398" w:type="pct"/>
                  <w:tcBorders>
                    <w:tl2br w:val="nil"/>
                    <w:tr2bl w:val="nil"/>
                  </w:tcBorders>
                  <w:vAlign w:val="center"/>
                </w:tcPr>
                <w:p w14:paraId="42B5C05C">
                  <w:pPr>
                    <w:widowControl/>
                    <w:jc w:val="center"/>
                    <w:rPr>
                      <w:rFonts w:eastAsiaTheme="minorEastAsia"/>
                      <w:color w:val="FF0000"/>
                      <w:szCs w:val="21"/>
                    </w:rPr>
                  </w:pPr>
                  <w:r>
                    <w:rPr>
                      <w:rFonts w:eastAsiaTheme="minorEastAsia"/>
                      <w:color w:val="FF0000"/>
                      <w:kern w:val="0"/>
                      <w:szCs w:val="21"/>
                      <w:lang w:bidi="ar"/>
                    </w:rPr>
                    <w:t>规范要求</w:t>
                  </w:r>
                </w:p>
              </w:tc>
              <w:tc>
                <w:tcPr>
                  <w:tcW w:w="1993" w:type="pct"/>
                  <w:tcBorders>
                    <w:tl2br w:val="nil"/>
                    <w:tr2bl w:val="nil"/>
                  </w:tcBorders>
                  <w:vAlign w:val="center"/>
                </w:tcPr>
                <w:p w14:paraId="51A1711F">
                  <w:pPr>
                    <w:adjustRightInd w:val="0"/>
                    <w:snapToGrid w:val="0"/>
                    <w:jc w:val="center"/>
                    <w:rPr>
                      <w:rFonts w:eastAsiaTheme="minorEastAsia"/>
                      <w:color w:val="FF0000"/>
                      <w:szCs w:val="21"/>
                    </w:rPr>
                  </w:pPr>
                  <w:r>
                    <w:rPr>
                      <w:rFonts w:eastAsiaTheme="minorEastAsia"/>
                      <w:color w:val="FF0000"/>
                      <w:kern w:val="0"/>
                      <w:szCs w:val="21"/>
                      <w:lang w:bidi="ar"/>
                    </w:rPr>
                    <w:t>本项目情况</w:t>
                  </w:r>
                </w:p>
              </w:tc>
              <w:tc>
                <w:tcPr>
                  <w:tcW w:w="282" w:type="pct"/>
                  <w:tcBorders>
                    <w:tl2br w:val="nil"/>
                    <w:tr2bl w:val="nil"/>
                  </w:tcBorders>
                  <w:vAlign w:val="center"/>
                </w:tcPr>
                <w:p w14:paraId="397D9B16">
                  <w:pPr>
                    <w:widowControl/>
                    <w:adjustRightInd w:val="0"/>
                    <w:snapToGrid w:val="0"/>
                    <w:jc w:val="center"/>
                    <w:rPr>
                      <w:rFonts w:eastAsiaTheme="minorEastAsia"/>
                      <w:color w:val="FF0000"/>
                      <w:szCs w:val="21"/>
                    </w:rPr>
                  </w:pPr>
                  <w:r>
                    <w:rPr>
                      <w:rFonts w:eastAsiaTheme="minorEastAsia"/>
                      <w:color w:val="FF0000"/>
                      <w:szCs w:val="21"/>
                    </w:rPr>
                    <w:t>相符性</w:t>
                  </w:r>
                </w:p>
              </w:tc>
            </w:tr>
            <w:tr w14:paraId="74A2F5AC">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25" w:type="pct"/>
                  <w:tcBorders>
                    <w:tl2br w:val="nil"/>
                    <w:tr2bl w:val="nil"/>
                  </w:tcBorders>
                  <w:vAlign w:val="center"/>
                </w:tcPr>
                <w:p w14:paraId="5A3F796B">
                  <w:pPr>
                    <w:widowControl/>
                    <w:adjustRightInd w:val="0"/>
                    <w:snapToGrid w:val="0"/>
                    <w:rPr>
                      <w:rFonts w:eastAsiaTheme="minorEastAsia"/>
                      <w:color w:val="FF0000"/>
                      <w:spacing w:val="4"/>
                      <w:szCs w:val="21"/>
                    </w:rPr>
                  </w:pPr>
                  <w:r>
                    <w:rPr>
                      <w:rFonts w:eastAsiaTheme="minorEastAsia"/>
                      <w:color w:val="FF0000"/>
                      <w:spacing w:val="4"/>
                      <w:szCs w:val="21"/>
                    </w:rPr>
                    <w:t>1</w:t>
                  </w:r>
                </w:p>
              </w:tc>
              <w:tc>
                <w:tcPr>
                  <w:tcW w:w="2398" w:type="pct"/>
                  <w:tcBorders>
                    <w:tl2br w:val="nil"/>
                    <w:tr2bl w:val="nil"/>
                  </w:tcBorders>
                </w:tcPr>
                <w:p w14:paraId="5021F0A9">
                  <w:pPr>
                    <w:pStyle w:val="116"/>
                    <w:spacing w:before="34" w:line="227" w:lineRule="auto"/>
                    <w:ind w:left="24"/>
                    <w:rPr>
                      <w:rFonts w:ascii="Times New Roman" w:hAnsi="Times New Roman" w:cs="Times New Roman" w:eastAsiaTheme="minorEastAsia"/>
                      <w:color w:val="FF0000"/>
                      <w:spacing w:val="4"/>
                      <w:sz w:val="21"/>
                      <w:szCs w:val="21"/>
                      <w:lang w:eastAsia="zh-CN"/>
                    </w:rPr>
                  </w:pPr>
                  <w:r>
                    <w:rPr>
                      <w:rFonts w:ascii="Times New Roman" w:hAnsi="Times New Roman" w:cs="Times New Roman" w:eastAsiaTheme="minorEastAsia"/>
                      <w:color w:val="FF0000"/>
                      <w:spacing w:val="4"/>
                      <w:sz w:val="21"/>
                      <w:szCs w:val="21"/>
                      <w:lang w:eastAsia="zh-CN"/>
                    </w:rPr>
                    <w:t>4.1</w:t>
                  </w:r>
                  <w:r>
                    <w:rPr>
                      <w:rFonts w:ascii="Times New Roman" w:hAnsi="Times New Roman" w:cs="Times New Roman" w:eastAsiaTheme="minorEastAsia"/>
                      <w:color w:val="FF0000"/>
                      <w:spacing w:val="9"/>
                      <w:sz w:val="21"/>
                      <w:szCs w:val="21"/>
                      <w:lang w:eastAsia="zh-CN"/>
                    </w:rPr>
                    <w:t>报废机动车的拆解应遵循减量</w:t>
                  </w:r>
                  <w:r>
                    <w:rPr>
                      <w:rFonts w:ascii="Times New Roman" w:hAnsi="Times New Roman" w:cs="Times New Roman" w:eastAsiaTheme="minorEastAsia"/>
                      <w:color w:val="FF0000"/>
                      <w:spacing w:val="8"/>
                      <w:sz w:val="21"/>
                      <w:szCs w:val="21"/>
                      <w:lang w:eastAsia="zh-CN"/>
                    </w:rPr>
                    <w:t>化、资源化和无害化的原则。报</w:t>
                  </w:r>
                  <w:r>
                    <w:rPr>
                      <w:rFonts w:ascii="Times New Roman" w:hAnsi="Times New Roman" w:cs="Times New Roman" w:eastAsiaTheme="minorEastAsia"/>
                      <w:color w:val="FF0000"/>
                      <w:spacing w:val="9"/>
                      <w:sz w:val="21"/>
                      <w:szCs w:val="21"/>
                      <w:lang w:eastAsia="zh-CN"/>
                    </w:rPr>
                    <w:t>废机动车回收拆解企业应优先</w:t>
                  </w:r>
                  <w:r>
                    <w:rPr>
                      <w:rFonts w:ascii="Times New Roman" w:hAnsi="Times New Roman" w:cs="Times New Roman" w:eastAsiaTheme="minorEastAsia"/>
                      <w:color w:val="FF0000"/>
                      <w:spacing w:val="8"/>
                      <w:sz w:val="21"/>
                      <w:szCs w:val="21"/>
                      <w:lang w:eastAsia="zh-CN"/>
                    </w:rPr>
                    <w:t>采用资源回收率高、污染物排放量少的工艺和设备，防范二次污染，实现减污降碳协同增效。</w:t>
                  </w:r>
                </w:p>
              </w:tc>
              <w:tc>
                <w:tcPr>
                  <w:tcW w:w="1993" w:type="pct"/>
                  <w:tcBorders>
                    <w:tl2br w:val="nil"/>
                    <w:tr2bl w:val="nil"/>
                  </w:tcBorders>
                  <w:vAlign w:val="center"/>
                </w:tcPr>
                <w:p w14:paraId="411A67B9">
                  <w:pPr>
                    <w:widowControl/>
                    <w:adjustRightInd w:val="0"/>
                    <w:snapToGrid w:val="0"/>
                    <w:jc w:val="center"/>
                    <w:rPr>
                      <w:rFonts w:eastAsiaTheme="minorEastAsia"/>
                      <w:color w:val="FF0000"/>
                      <w:kern w:val="0"/>
                      <w:szCs w:val="21"/>
                      <w:lang w:bidi="ar"/>
                    </w:rPr>
                  </w:pPr>
                  <w:r>
                    <w:rPr>
                      <w:rFonts w:eastAsiaTheme="minorEastAsia"/>
                      <w:color w:val="FF0000"/>
                      <w:szCs w:val="21"/>
                      <w:shd w:val="clear" w:color="auto" w:fill="FFFFFF"/>
                    </w:rPr>
                    <w:t>本项目采用高效破碎分选线、油水分离系统等先进设备，实施“零填埋”策略，危废100%合规转移处置，拆解过程配备VOCs吸附装置及布袋除尘系统，减少碳排放。</w:t>
                  </w:r>
                </w:p>
              </w:tc>
              <w:tc>
                <w:tcPr>
                  <w:tcW w:w="282" w:type="pct"/>
                  <w:tcBorders>
                    <w:tl2br w:val="nil"/>
                    <w:tr2bl w:val="nil"/>
                  </w:tcBorders>
                  <w:vAlign w:val="center"/>
                </w:tcPr>
                <w:p w14:paraId="2D0A065D">
                  <w:pPr>
                    <w:widowControl/>
                    <w:adjustRightInd w:val="0"/>
                    <w:snapToGrid w:val="0"/>
                    <w:jc w:val="center"/>
                    <w:rPr>
                      <w:rFonts w:eastAsiaTheme="minorEastAsia"/>
                      <w:color w:val="FF0000"/>
                      <w:kern w:val="0"/>
                      <w:szCs w:val="21"/>
                      <w:lang w:bidi="ar"/>
                    </w:rPr>
                  </w:pPr>
                  <w:r>
                    <w:rPr>
                      <w:rFonts w:eastAsiaTheme="minorEastAsia"/>
                      <w:color w:val="FF0000"/>
                      <w:kern w:val="0"/>
                      <w:szCs w:val="21"/>
                      <w:lang w:bidi="ar"/>
                    </w:rPr>
                    <w:t>符合</w:t>
                  </w:r>
                </w:p>
              </w:tc>
            </w:tr>
            <w:tr w14:paraId="1A71E891">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25" w:type="pct"/>
                  <w:tcBorders>
                    <w:tl2br w:val="nil"/>
                    <w:tr2bl w:val="nil"/>
                  </w:tcBorders>
                  <w:vAlign w:val="center"/>
                </w:tcPr>
                <w:p w14:paraId="2AB7CA29">
                  <w:pPr>
                    <w:widowControl/>
                    <w:adjustRightInd w:val="0"/>
                    <w:snapToGrid w:val="0"/>
                    <w:rPr>
                      <w:rFonts w:eastAsiaTheme="minorEastAsia"/>
                      <w:color w:val="FF0000"/>
                      <w:kern w:val="0"/>
                      <w:szCs w:val="21"/>
                      <w:lang w:bidi="ar"/>
                    </w:rPr>
                  </w:pPr>
                  <w:r>
                    <w:rPr>
                      <w:rFonts w:eastAsiaTheme="minorEastAsia"/>
                      <w:color w:val="FF0000"/>
                      <w:kern w:val="0"/>
                      <w:szCs w:val="21"/>
                      <w:lang w:bidi="ar"/>
                    </w:rPr>
                    <w:t>2</w:t>
                  </w:r>
                </w:p>
              </w:tc>
              <w:tc>
                <w:tcPr>
                  <w:tcW w:w="2398" w:type="pct"/>
                  <w:tcBorders>
                    <w:tl2br w:val="nil"/>
                    <w:tr2bl w:val="nil"/>
                  </w:tcBorders>
                </w:tcPr>
                <w:p w14:paraId="67D35857">
                  <w:pPr>
                    <w:pStyle w:val="116"/>
                    <w:spacing w:before="36" w:line="227" w:lineRule="auto"/>
                    <w:ind w:left="24"/>
                    <w:rPr>
                      <w:rFonts w:ascii="Times New Roman" w:hAnsi="Times New Roman" w:cs="Times New Roman" w:eastAsiaTheme="minorEastAsia"/>
                      <w:color w:val="FF0000"/>
                      <w:kern w:val="0"/>
                      <w:sz w:val="21"/>
                      <w:szCs w:val="21"/>
                      <w:lang w:eastAsia="zh-CN" w:bidi="ar"/>
                    </w:rPr>
                  </w:pPr>
                  <w:r>
                    <w:rPr>
                      <w:rFonts w:ascii="Times New Roman" w:hAnsi="Times New Roman" w:cs="Times New Roman" w:eastAsiaTheme="minorEastAsia"/>
                      <w:color w:val="FF0000"/>
                      <w:kern w:val="0"/>
                      <w:sz w:val="21"/>
                      <w:szCs w:val="21"/>
                      <w:lang w:eastAsia="zh-CN" w:bidi="ar"/>
                    </w:rPr>
                    <w:t>4.2</w:t>
                  </w:r>
                  <w:r>
                    <w:rPr>
                      <w:rFonts w:ascii="Times New Roman" w:hAnsi="Times New Roman" w:cs="Times New Roman" w:eastAsiaTheme="minorEastAsia"/>
                      <w:color w:val="FF0000"/>
                      <w:spacing w:val="9"/>
                      <w:sz w:val="21"/>
                      <w:szCs w:val="21"/>
                      <w:lang w:eastAsia="zh-CN"/>
                    </w:rPr>
                    <w:t>报废机动车拆解建设项目选址不应位于国务院和国务院有关</w:t>
                  </w:r>
                  <w:r>
                    <w:rPr>
                      <w:rFonts w:ascii="Times New Roman" w:hAnsi="Times New Roman" w:cs="Times New Roman" w:eastAsiaTheme="minorEastAsia"/>
                      <w:color w:val="FF0000"/>
                      <w:spacing w:val="5"/>
                      <w:sz w:val="21"/>
                      <w:szCs w:val="21"/>
                      <w:lang w:eastAsia="zh-CN"/>
                    </w:rPr>
                    <w:t>主管部门及省、</w:t>
                  </w:r>
                  <w:r>
                    <w:rPr>
                      <w:rFonts w:ascii="Times New Roman" w:hAnsi="Times New Roman" w:cs="Times New Roman" w:eastAsiaTheme="minorEastAsia"/>
                      <w:color w:val="FF0000"/>
                      <w:spacing w:val="-51"/>
                      <w:sz w:val="21"/>
                      <w:szCs w:val="21"/>
                      <w:lang w:eastAsia="zh-CN"/>
                    </w:rPr>
                    <w:t xml:space="preserve"> </w:t>
                  </w:r>
                  <w:r>
                    <w:rPr>
                      <w:rFonts w:ascii="Times New Roman" w:hAnsi="Times New Roman" w:cs="Times New Roman" w:eastAsiaTheme="minorEastAsia"/>
                      <w:color w:val="FF0000"/>
                      <w:spacing w:val="5"/>
                      <w:sz w:val="21"/>
                      <w:szCs w:val="21"/>
                      <w:lang w:eastAsia="zh-CN"/>
                    </w:rPr>
                    <w:t>自治区、直辖市</w:t>
                  </w:r>
                  <w:r>
                    <w:rPr>
                      <w:rFonts w:ascii="Times New Roman" w:hAnsi="Times New Roman" w:cs="Times New Roman" w:eastAsiaTheme="minorEastAsia"/>
                      <w:color w:val="FF0000"/>
                      <w:spacing w:val="9"/>
                      <w:sz w:val="21"/>
                      <w:szCs w:val="21"/>
                      <w:lang w:eastAsia="zh-CN"/>
                    </w:rPr>
                    <w:t>人民政府划定的生态保护红线</w:t>
                  </w:r>
                  <w:r>
                    <w:rPr>
                      <w:rFonts w:ascii="Times New Roman" w:hAnsi="Times New Roman" w:cs="Times New Roman" w:eastAsiaTheme="minorEastAsia"/>
                      <w:color w:val="FF0000"/>
                      <w:spacing w:val="7"/>
                      <w:sz w:val="21"/>
                      <w:szCs w:val="21"/>
                      <w:lang w:eastAsia="zh-CN"/>
                    </w:rPr>
                    <w:t>区域、永久基本农田和其他需要特别保护的区域内。</w:t>
                  </w:r>
                </w:p>
              </w:tc>
              <w:tc>
                <w:tcPr>
                  <w:tcW w:w="1993" w:type="pct"/>
                  <w:tcBorders>
                    <w:tl2br w:val="nil"/>
                    <w:tr2bl w:val="nil"/>
                  </w:tcBorders>
                  <w:vAlign w:val="center"/>
                </w:tcPr>
                <w:p w14:paraId="31F0EC74">
                  <w:pPr>
                    <w:widowControl/>
                    <w:adjustRightInd w:val="0"/>
                    <w:snapToGrid w:val="0"/>
                    <w:jc w:val="center"/>
                    <w:rPr>
                      <w:rFonts w:eastAsiaTheme="minorEastAsia"/>
                      <w:color w:val="FF0000"/>
                      <w:kern w:val="0"/>
                      <w:szCs w:val="21"/>
                      <w:lang w:bidi="ar"/>
                    </w:rPr>
                  </w:pPr>
                  <w:r>
                    <w:rPr>
                      <w:rFonts w:eastAsiaTheme="minorEastAsia"/>
                      <w:color w:val="FF0000"/>
                      <w:kern w:val="0"/>
                      <w:szCs w:val="21"/>
                      <w:lang w:bidi="ar"/>
                    </w:rPr>
                    <w:t>本项目</w:t>
                  </w:r>
                  <w:r>
                    <w:rPr>
                      <w:rFonts w:hint="eastAsia" w:eastAsiaTheme="minorEastAsia"/>
                      <w:color w:val="FF0000"/>
                      <w:kern w:val="0"/>
                      <w:szCs w:val="21"/>
                      <w:lang w:val="en-US" w:eastAsia="zh-CN" w:bidi="ar"/>
                    </w:rPr>
                    <w:t>厂区位于工业工地范围内，</w:t>
                  </w:r>
                  <w:r>
                    <w:rPr>
                      <w:rFonts w:eastAsiaTheme="minorEastAsia"/>
                      <w:color w:val="FF0000"/>
                      <w:kern w:val="0"/>
                      <w:szCs w:val="21"/>
                      <w:lang w:bidi="ar"/>
                    </w:rPr>
                    <w:t>选址不涉及</w:t>
                  </w:r>
                  <w:r>
                    <w:rPr>
                      <w:rFonts w:eastAsiaTheme="minorEastAsia"/>
                      <w:color w:val="FF0000"/>
                      <w:spacing w:val="9"/>
                      <w:szCs w:val="21"/>
                    </w:rPr>
                    <w:t>生态保护红线</w:t>
                  </w:r>
                  <w:r>
                    <w:rPr>
                      <w:rFonts w:eastAsiaTheme="minorEastAsia"/>
                      <w:color w:val="FF0000"/>
                      <w:spacing w:val="7"/>
                      <w:szCs w:val="21"/>
                    </w:rPr>
                    <w:t>区域、永久基本农田和其他需要特别保护的区域。</w:t>
                  </w:r>
                </w:p>
              </w:tc>
              <w:tc>
                <w:tcPr>
                  <w:tcW w:w="282" w:type="pct"/>
                  <w:tcBorders>
                    <w:tl2br w:val="nil"/>
                    <w:tr2bl w:val="nil"/>
                  </w:tcBorders>
                  <w:vAlign w:val="center"/>
                </w:tcPr>
                <w:p w14:paraId="02ABF8BC">
                  <w:pPr>
                    <w:widowControl/>
                    <w:adjustRightInd w:val="0"/>
                    <w:snapToGrid w:val="0"/>
                    <w:jc w:val="center"/>
                    <w:rPr>
                      <w:rFonts w:eastAsiaTheme="minorEastAsia"/>
                      <w:color w:val="FF0000"/>
                      <w:szCs w:val="21"/>
                    </w:rPr>
                  </w:pPr>
                  <w:r>
                    <w:rPr>
                      <w:rFonts w:eastAsiaTheme="minorEastAsia"/>
                      <w:color w:val="FF0000"/>
                      <w:szCs w:val="21"/>
                    </w:rPr>
                    <w:t>符合</w:t>
                  </w:r>
                </w:p>
              </w:tc>
            </w:tr>
            <w:tr w14:paraId="44D4DF8D">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25" w:type="pct"/>
                  <w:tcBorders>
                    <w:tl2br w:val="nil"/>
                    <w:tr2bl w:val="nil"/>
                  </w:tcBorders>
                  <w:vAlign w:val="center"/>
                </w:tcPr>
                <w:p w14:paraId="1EF3B2DC">
                  <w:pPr>
                    <w:widowControl/>
                    <w:adjustRightInd w:val="0"/>
                    <w:snapToGrid w:val="0"/>
                    <w:rPr>
                      <w:rFonts w:eastAsiaTheme="minorEastAsia"/>
                      <w:color w:val="FF0000"/>
                      <w:kern w:val="0"/>
                      <w:szCs w:val="21"/>
                      <w:lang w:bidi="ar"/>
                    </w:rPr>
                  </w:pPr>
                  <w:r>
                    <w:rPr>
                      <w:rFonts w:eastAsiaTheme="minorEastAsia"/>
                      <w:color w:val="FF0000"/>
                      <w:kern w:val="0"/>
                      <w:szCs w:val="21"/>
                      <w:lang w:bidi="ar"/>
                    </w:rPr>
                    <w:t>3</w:t>
                  </w:r>
                </w:p>
              </w:tc>
              <w:tc>
                <w:tcPr>
                  <w:tcW w:w="2398" w:type="pct"/>
                  <w:tcBorders>
                    <w:tl2br w:val="nil"/>
                    <w:tr2bl w:val="nil"/>
                  </w:tcBorders>
                </w:tcPr>
                <w:p w14:paraId="06216489">
                  <w:pPr>
                    <w:pStyle w:val="116"/>
                    <w:spacing w:before="38" w:line="227" w:lineRule="auto"/>
                    <w:ind w:left="24"/>
                    <w:rPr>
                      <w:rFonts w:ascii="Times New Roman" w:hAnsi="Times New Roman" w:cs="Times New Roman" w:eastAsiaTheme="minorEastAsia"/>
                      <w:color w:val="FF0000"/>
                      <w:kern w:val="0"/>
                      <w:sz w:val="21"/>
                      <w:szCs w:val="21"/>
                      <w:lang w:eastAsia="zh-CN" w:bidi="ar"/>
                    </w:rPr>
                  </w:pPr>
                  <w:r>
                    <w:rPr>
                      <w:rFonts w:ascii="Times New Roman" w:hAnsi="Times New Roman" w:cs="Times New Roman" w:eastAsiaTheme="minorEastAsia"/>
                      <w:color w:val="FF0000"/>
                      <w:spacing w:val="9"/>
                      <w:sz w:val="21"/>
                      <w:szCs w:val="21"/>
                      <w:lang w:eastAsia="zh-CN"/>
                    </w:rPr>
                    <w:t>4.3报废机动车回收拆解企业应具</w:t>
                  </w:r>
                  <w:r>
                    <w:rPr>
                      <w:rFonts w:ascii="Times New Roman" w:hAnsi="Times New Roman" w:cs="Times New Roman" w:eastAsiaTheme="minorEastAsia"/>
                      <w:color w:val="FF0000"/>
                      <w:spacing w:val="8"/>
                      <w:sz w:val="21"/>
                      <w:szCs w:val="21"/>
                      <w:lang w:eastAsia="zh-CN"/>
                    </w:rPr>
                    <w:t>备集中的运营场地，并实行封闭</w:t>
                  </w:r>
                  <w:r>
                    <w:rPr>
                      <w:rFonts w:ascii="Times New Roman" w:hAnsi="Times New Roman" w:cs="Times New Roman" w:eastAsiaTheme="minorEastAsia"/>
                      <w:color w:val="FF0000"/>
                      <w:spacing w:val="6"/>
                      <w:sz w:val="21"/>
                      <w:szCs w:val="21"/>
                      <w:lang w:eastAsia="zh-CN"/>
                    </w:rPr>
                    <w:t>式规范管理。</w:t>
                  </w:r>
                </w:p>
              </w:tc>
              <w:tc>
                <w:tcPr>
                  <w:tcW w:w="1993" w:type="pct"/>
                  <w:tcBorders>
                    <w:tl2br w:val="nil"/>
                    <w:tr2bl w:val="nil"/>
                  </w:tcBorders>
                  <w:vAlign w:val="center"/>
                </w:tcPr>
                <w:p w14:paraId="4A1AA19A">
                  <w:pPr>
                    <w:widowControl/>
                    <w:adjustRightInd w:val="0"/>
                    <w:snapToGrid w:val="0"/>
                    <w:jc w:val="center"/>
                    <w:rPr>
                      <w:rFonts w:eastAsiaTheme="minorEastAsia"/>
                      <w:color w:val="FF0000"/>
                      <w:kern w:val="0"/>
                      <w:szCs w:val="21"/>
                      <w:lang w:bidi="ar"/>
                    </w:rPr>
                  </w:pPr>
                  <w:r>
                    <w:rPr>
                      <w:rFonts w:eastAsiaTheme="minorEastAsia"/>
                      <w:color w:val="FF0000"/>
                      <w:kern w:val="0"/>
                      <w:szCs w:val="21"/>
                      <w:lang w:bidi="ar"/>
                    </w:rPr>
                    <w:t>本项目厂区实行全封闭管理，设置监控系统，拆解区、贮存区、</w:t>
                  </w:r>
                  <w:r>
                    <w:rPr>
                      <w:rFonts w:hint="eastAsia" w:eastAsiaTheme="minorEastAsia"/>
                      <w:color w:val="FF0000"/>
                      <w:kern w:val="0"/>
                      <w:szCs w:val="21"/>
                      <w:lang w:eastAsia="zh-CN" w:bidi="ar"/>
                    </w:rPr>
                    <w:t>危废贮存点</w:t>
                  </w:r>
                  <w:r>
                    <w:rPr>
                      <w:rFonts w:eastAsiaTheme="minorEastAsia"/>
                      <w:color w:val="FF0000"/>
                      <w:kern w:val="0"/>
                      <w:szCs w:val="21"/>
                      <w:lang w:bidi="ar"/>
                    </w:rPr>
                    <w:t>物理隔离，非授权人员禁入。</w:t>
                  </w:r>
                </w:p>
              </w:tc>
              <w:tc>
                <w:tcPr>
                  <w:tcW w:w="282" w:type="pct"/>
                  <w:tcBorders>
                    <w:tl2br w:val="nil"/>
                    <w:tr2bl w:val="nil"/>
                  </w:tcBorders>
                  <w:vAlign w:val="center"/>
                </w:tcPr>
                <w:p w14:paraId="7AB675DF">
                  <w:pPr>
                    <w:widowControl/>
                    <w:adjustRightInd w:val="0"/>
                    <w:snapToGrid w:val="0"/>
                    <w:jc w:val="center"/>
                    <w:rPr>
                      <w:rFonts w:eastAsiaTheme="minorEastAsia"/>
                      <w:color w:val="FF0000"/>
                      <w:szCs w:val="21"/>
                    </w:rPr>
                  </w:pPr>
                  <w:r>
                    <w:rPr>
                      <w:rFonts w:eastAsiaTheme="minorEastAsia"/>
                      <w:color w:val="FF0000"/>
                      <w:szCs w:val="21"/>
                    </w:rPr>
                    <w:t>符合</w:t>
                  </w:r>
                </w:p>
              </w:tc>
            </w:tr>
            <w:tr w14:paraId="3A148B79">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25" w:type="pct"/>
                  <w:tcBorders>
                    <w:tl2br w:val="nil"/>
                    <w:tr2bl w:val="nil"/>
                  </w:tcBorders>
                  <w:vAlign w:val="center"/>
                </w:tcPr>
                <w:p w14:paraId="359101A9">
                  <w:pPr>
                    <w:widowControl/>
                    <w:adjustRightInd w:val="0"/>
                    <w:snapToGrid w:val="0"/>
                    <w:rPr>
                      <w:rFonts w:eastAsiaTheme="minorEastAsia"/>
                      <w:color w:val="FF0000"/>
                      <w:kern w:val="0"/>
                      <w:szCs w:val="21"/>
                      <w:lang w:bidi="ar"/>
                    </w:rPr>
                  </w:pPr>
                  <w:r>
                    <w:rPr>
                      <w:rFonts w:eastAsiaTheme="minorEastAsia"/>
                      <w:color w:val="FF0000"/>
                      <w:kern w:val="0"/>
                      <w:szCs w:val="21"/>
                      <w:lang w:bidi="ar"/>
                    </w:rPr>
                    <w:t>4</w:t>
                  </w:r>
                </w:p>
              </w:tc>
              <w:tc>
                <w:tcPr>
                  <w:tcW w:w="2398" w:type="pct"/>
                  <w:tcBorders>
                    <w:tl2br w:val="nil"/>
                    <w:tr2bl w:val="nil"/>
                  </w:tcBorders>
                </w:tcPr>
                <w:p w14:paraId="16F97748">
                  <w:pPr>
                    <w:pStyle w:val="116"/>
                    <w:spacing w:before="40" w:line="227" w:lineRule="auto"/>
                    <w:ind w:left="24"/>
                    <w:rPr>
                      <w:rFonts w:ascii="Times New Roman" w:hAnsi="Times New Roman" w:cs="Times New Roman" w:eastAsiaTheme="minorEastAsia"/>
                      <w:color w:val="FF0000"/>
                      <w:kern w:val="0"/>
                      <w:sz w:val="21"/>
                      <w:szCs w:val="21"/>
                      <w:lang w:eastAsia="zh-CN" w:bidi="ar"/>
                    </w:rPr>
                  </w:pPr>
                  <w:r>
                    <w:rPr>
                      <w:rFonts w:ascii="Times New Roman" w:hAnsi="Times New Roman" w:cs="Times New Roman" w:eastAsiaTheme="minorEastAsia"/>
                      <w:color w:val="FF0000"/>
                      <w:spacing w:val="9"/>
                      <w:sz w:val="21"/>
                      <w:szCs w:val="21"/>
                      <w:lang w:eastAsia="zh-CN"/>
                    </w:rPr>
                    <w:t>4.4报废机动车回收拆解企业应根</w:t>
                  </w:r>
                  <w:r>
                    <w:rPr>
                      <w:rFonts w:ascii="Times New Roman" w:hAnsi="Times New Roman" w:cs="Times New Roman" w:eastAsiaTheme="minorEastAsia"/>
                      <w:color w:val="FF0000"/>
                      <w:spacing w:val="6"/>
                      <w:sz w:val="21"/>
                      <w:szCs w:val="21"/>
                      <w:lang w:eastAsia="zh-CN"/>
                    </w:rPr>
                    <w:t>据</w:t>
                  </w:r>
                  <w:r>
                    <w:rPr>
                      <w:rFonts w:ascii="Times New Roman" w:hAnsi="Times New Roman" w:cs="Times New Roman" w:eastAsiaTheme="minorEastAsia"/>
                      <w:color w:val="FF0000"/>
                      <w:sz w:val="21"/>
                      <w:szCs w:val="21"/>
                      <w:lang w:eastAsia="zh-CN"/>
                    </w:rPr>
                    <w:t>HJ</w:t>
                  </w:r>
                  <w:r>
                    <w:rPr>
                      <w:rFonts w:ascii="Times New Roman" w:hAnsi="Times New Roman" w:cs="Times New Roman" w:eastAsiaTheme="minorEastAsia"/>
                      <w:color w:val="FF0000"/>
                      <w:spacing w:val="6"/>
                      <w:sz w:val="21"/>
                      <w:szCs w:val="21"/>
                      <w:lang w:eastAsia="zh-CN"/>
                    </w:rPr>
                    <w:t>1034、</w:t>
                  </w:r>
                  <w:r>
                    <w:rPr>
                      <w:rFonts w:ascii="Times New Roman" w:hAnsi="Times New Roman" w:cs="Times New Roman" w:eastAsiaTheme="minorEastAsia"/>
                      <w:color w:val="FF0000"/>
                      <w:sz w:val="21"/>
                      <w:szCs w:val="21"/>
                      <w:lang w:eastAsia="zh-CN"/>
                    </w:rPr>
                    <w:t>HJ</w:t>
                  </w:r>
                  <w:r>
                    <w:rPr>
                      <w:rFonts w:ascii="Times New Roman" w:hAnsi="Times New Roman" w:cs="Times New Roman" w:eastAsiaTheme="minorEastAsia"/>
                      <w:color w:val="FF0000"/>
                      <w:spacing w:val="6"/>
                      <w:sz w:val="21"/>
                      <w:szCs w:val="21"/>
                      <w:lang w:eastAsia="zh-CN"/>
                    </w:rPr>
                    <w:t>1200等规定取得</w:t>
                  </w:r>
                  <w:r>
                    <w:rPr>
                      <w:rFonts w:ascii="Times New Roman" w:hAnsi="Times New Roman" w:cs="Times New Roman" w:eastAsiaTheme="minorEastAsia"/>
                      <w:color w:val="FF0000"/>
                      <w:spacing w:val="8"/>
                      <w:sz w:val="21"/>
                      <w:szCs w:val="21"/>
                      <w:lang w:eastAsia="zh-CN"/>
                    </w:rPr>
                    <w:t>排污许可证，并按照排污许可证管理要求进行规范排污。产生的废气、废水、噪声、固体废物等</w:t>
                  </w:r>
                  <w:r>
                    <w:rPr>
                      <w:rFonts w:ascii="Times New Roman" w:hAnsi="Times New Roman" w:cs="Times New Roman" w:eastAsiaTheme="minorEastAsia"/>
                      <w:color w:val="FF0000"/>
                      <w:spacing w:val="9"/>
                      <w:sz w:val="21"/>
                      <w:szCs w:val="21"/>
                      <w:lang w:eastAsia="zh-CN"/>
                    </w:rPr>
                    <w:t>排放应满足国家和地方的污染</w:t>
                  </w:r>
                  <w:r>
                    <w:rPr>
                      <w:rFonts w:ascii="Times New Roman" w:hAnsi="Times New Roman" w:cs="Times New Roman" w:eastAsiaTheme="minorEastAsia"/>
                      <w:color w:val="FF0000"/>
                      <w:spacing w:val="8"/>
                      <w:sz w:val="21"/>
                      <w:szCs w:val="21"/>
                      <w:lang w:eastAsia="zh-CN"/>
                    </w:rPr>
                    <w:t>物排放标准与排污许可要求，产</w:t>
                  </w:r>
                  <w:r>
                    <w:rPr>
                      <w:rFonts w:ascii="Times New Roman" w:hAnsi="Times New Roman" w:cs="Times New Roman" w:eastAsiaTheme="minorEastAsia"/>
                      <w:color w:val="FF0000"/>
                      <w:spacing w:val="9"/>
                      <w:sz w:val="21"/>
                      <w:szCs w:val="21"/>
                      <w:lang w:eastAsia="zh-CN"/>
                    </w:rPr>
                    <w:t>生的固体废物应按照国家有关环境保护规定和标准要求妥善</w:t>
                  </w:r>
                  <w:r>
                    <w:rPr>
                      <w:rFonts w:ascii="Times New Roman" w:hAnsi="Times New Roman" w:cs="Times New Roman" w:eastAsiaTheme="minorEastAsia"/>
                      <w:color w:val="FF0000"/>
                      <w:spacing w:val="7"/>
                      <w:sz w:val="21"/>
                      <w:szCs w:val="21"/>
                      <w:lang w:eastAsia="zh-CN"/>
                    </w:rPr>
                    <w:t>贮存、利用和处置。</w:t>
                  </w:r>
                </w:p>
              </w:tc>
              <w:tc>
                <w:tcPr>
                  <w:tcW w:w="1993" w:type="pct"/>
                  <w:tcBorders>
                    <w:tl2br w:val="nil"/>
                    <w:tr2bl w:val="nil"/>
                  </w:tcBorders>
                  <w:vAlign w:val="center"/>
                </w:tcPr>
                <w:p w14:paraId="7B61B22F">
                  <w:pPr>
                    <w:widowControl/>
                    <w:adjustRightInd w:val="0"/>
                    <w:snapToGrid w:val="0"/>
                    <w:jc w:val="center"/>
                    <w:rPr>
                      <w:rFonts w:eastAsiaTheme="minorEastAsia"/>
                      <w:color w:val="FF0000"/>
                      <w:kern w:val="0"/>
                      <w:szCs w:val="21"/>
                      <w:lang w:bidi="ar"/>
                    </w:rPr>
                  </w:pPr>
                  <w:r>
                    <w:rPr>
                      <w:rFonts w:eastAsiaTheme="minorEastAsia"/>
                      <w:color w:val="FF0000"/>
                      <w:kern w:val="0"/>
                      <w:szCs w:val="21"/>
                      <w:lang w:bidi="ar"/>
                    </w:rPr>
                    <w:t>项目建成后根据HJ 1034/HJ 1200申请排污许可证，配套建设污水处理站及布袋除尘及活性炭吸附废气处理设施；固体废物分类贮存于防渗漏</w:t>
                  </w:r>
                  <w:r>
                    <w:rPr>
                      <w:rFonts w:hint="eastAsia" w:eastAsiaTheme="minorEastAsia"/>
                      <w:color w:val="FF0000"/>
                      <w:kern w:val="0"/>
                      <w:szCs w:val="21"/>
                      <w:lang w:eastAsia="zh-CN" w:bidi="ar"/>
                    </w:rPr>
                    <w:t>危废贮存点</w:t>
                  </w:r>
                  <w:r>
                    <w:rPr>
                      <w:rFonts w:hint="eastAsia" w:eastAsiaTheme="minorEastAsia"/>
                      <w:color w:val="FF0000"/>
                      <w:kern w:val="0"/>
                      <w:szCs w:val="21"/>
                      <w:lang w:bidi="ar"/>
                    </w:rPr>
                    <w:t>及一般固废暂存区</w:t>
                  </w:r>
                  <w:r>
                    <w:rPr>
                      <w:rFonts w:eastAsiaTheme="minorEastAsia"/>
                      <w:color w:val="FF0000"/>
                      <w:kern w:val="0"/>
                      <w:szCs w:val="21"/>
                      <w:lang w:bidi="ar"/>
                    </w:rPr>
                    <w:t>。</w:t>
                  </w:r>
                </w:p>
              </w:tc>
              <w:tc>
                <w:tcPr>
                  <w:tcW w:w="282" w:type="pct"/>
                  <w:tcBorders>
                    <w:tl2br w:val="nil"/>
                    <w:tr2bl w:val="nil"/>
                  </w:tcBorders>
                  <w:vAlign w:val="center"/>
                </w:tcPr>
                <w:p w14:paraId="6DFDBBA5">
                  <w:pPr>
                    <w:widowControl/>
                    <w:adjustRightInd w:val="0"/>
                    <w:snapToGrid w:val="0"/>
                    <w:jc w:val="center"/>
                    <w:rPr>
                      <w:rFonts w:eastAsiaTheme="minorEastAsia"/>
                      <w:color w:val="FF0000"/>
                      <w:szCs w:val="21"/>
                    </w:rPr>
                  </w:pPr>
                  <w:r>
                    <w:rPr>
                      <w:rFonts w:eastAsiaTheme="minorEastAsia"/>
                      <w:color w:val="FF0000"/>
                      <w:szCs w:val="21"/>
                    </w:rPr>
                    <w:t>符合</w:t>
                  </w:r>
                </w:p>
              </w:tc>
            </w:tr>
            <w:tr w14:paraId="334B10AE">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25" w:type="pct"/>
                  <w:tcBorders>
                    <w:tl2br w:val="nil"/>
                    <w:tr2bl w:val="nil"/>
                  </w:tcBorders>
                  <w:vAlign w:val="center"/>
                </w:tcPr>
                <w:p w14:paraId="41377567">
                  <w:pPr>
                    <w:widowControl/>
                    <w:adjustRightInd w:val="0"/>
                    <w:snapToGrid w:val="0"/>
                    <w:rPr>
                      <w:rFonts w:eastAsiaTheme="minorEastAsia"/>
                      <w:color w:val="FF0000"/>
                      <w:kern w:val="0"/>
                      <w:szCs w:val="21"/>
                      <w:lang w:bidi="ar"/>
                    </w:rPr>
                  </w:pPr>
                  <w:r>
                    <w:rPr>
                      <w:rFonts w:eastAsiaTheme="minorEastAsia"/>
                      <w:color w:val="FF0000"/>
                      <w:kern w:val="0"/>
                      <w:szCs w:val="21"/>
                      <w:lang w:bidi="ar"/>
                    </w:rPr>
                    <w:t>5</w:t>
                  </w:r>
                </w:p>
              </w:tc>
              <w:tc>
                <w:tcPr>
                  <w:tcW w:w="2398" w:type="pct"/>
                  <w:tcBorders>
                    <w:tl2br w:val="nil"/>
                    <w:tr2bl w:val="nil"/>
                  </w:tcBorders>
                </w:tcPr>
                <w:p w14:paraId="079FBF19">
                  <w:pPr>
                    <w:pStyle w:val="116"/>
                    <w:spacing w:before="44" w:line="227" w:lineRule="auto"/>
                    <w:ind w:left="24"/>
                    <w:rPr>
                      <w:rFonts w:ascii="Times New Roman" w:hAnsi="Times New Roman" w:cs="Times New Roman" w:eastAsiaTheme="minorEastAsia"/>
                      <w:color w:val="FF0000"/>
                      <w:kern w:val="0"/>
                      <w:sz w:val="21"/>
                      <w:szCs w:val="21"/>
                      <w:lang w:eastAsia="zh-CN" w:bidi="ar"/>
                    </w:rPr>
                  </w:pPr>
                  <w:r>
                    <w:rPr>
                      <w:rFonts w:ascii="Times New Roman" w:hAnsi="Times New Roman" w:cs="Times New Roman" w:eastAsiaTheme="minorEastAsia"/>
                      <w:color w:val="FF0000"/>
                      <w:spacing w:val="9"/>
                      <w:sz w:val="21"/>
                      <w:szCs w:val="21"/>
                      <w:lang w:eastAsia="zh-CN"/>
                    </w:rPr>
                    <w:t>4.5报废机动车回收拆解企业应依</w:t>
                  </w:r>
                  <w:r>
                    <w:rPr>
                      <w:rFonts w:ascii="Times New Roman" w:hAnsi="Times New Roman" w:cs="Times New Roman" w:eastAsiaTheme="minorEastAsia"/>
                      <w:color w:val="FF0000"/>
                      <w:spacing w:val="8"/>
                      <w:sz w:val="21"/>
                      <w:szCs w:val="21"/>
                      <w:lang w:eastAsia="zh-CN"/>
                    </w:rPr>
                    <w:t>照《报废机动车回收管理办法实施细则》等相关要求向机动车生</w:t>
                  </w:r>
                  <w:r>
                    <w:rPr>
                      <w:rFonts w:ascii="Times New Roman" w:hAnsi="Times New Roman" w:cs="Times New Roman" w:eastAsiaTheme="minorEastAsia"/>
                      <w:color w:val="FF0000"/>
                      <w:spacing w:val="9"/>
                      <w:sz w:val="21"/>
                      <w:szCs w:val="21"/>
                      <w:lang w:eastAsia="zh-CN"/>
                    </w:rPr>
                    <w:t>产企业获取报废机动车拆解指</w:t>
                  </w:r>
                  <w:r>
                    <w:rPr>
                      <w:rFonts w:ascii="Times New Roman" w:hAnsi="Times New Roman" w:cs="Times New Roman" w:eastAsiaTheme="minorEastAsia"/>
                      <w:color w:val="FF0000"/>
                      <w:spacing w:val="8"/>
                      <w:sz w:val="21"/>
                      <w:szCs w:val="21"/>
                      <w:lang w:eastAsia="zh-CN"/>
                    </w:rPr>
                    <w:t>导手册等相关技术信息，依规开</w:t>
                  </w:r>
                  <w:r>
                    <w:rPr>
                      <w:rFonts w:ascii="Times New Roman" w:hAnsi="Times New Roman" w:cs="Times New Roman" w:eastAsiaTheme="minorEastAsia"/>
                      <w:color w:val="FF0000"/>
                      <w:spacing w:val="7"/>
                      <w:sz w:val="21"/>
                      <w:szCs w:val="21"/>
                      <w:lang w:eastAsia="zh-CN"/>
                    </w:rPr>
                    <w:t>展报废机动车拆解工作。</w:t>
                  </w:r>
                </w:p>
              </w:tc>
              <w:tc>
                <w:tcPr>
                  <w:tcW w:w="1993" w:type="pct"/>
                  <w:tcBorders>
                    <w:tl2br w:val="nil"/>
                    <w:tr2bl w:val="nil"/>
                  </w:tcBorders>
                  <w:vAlign w:val="center"/>
                </w:tcPr>
                <w:p w14:paraId="1672CAEC">
                  <w:pPr>
                    <w:widowControl/>
                    <w:adjustRightInd w:val="0"/>
                    <w:snapToGrid w:val="0"/>
                    <w:rPr>
                      <w:rFonts w:eastAsiaTheme="minorEastAsia"/>
                      <w:color w:val="FF0000"/>
                      <w:kern w:val="0"/>
                      <w:szCs w:val="21"/>
                      <w:lang w:bidi="ar"/>
                    </w:rPr>
                  </w:pPr>
                  <w:r>
                    <w:rPr>
                      <w:rFonts w:eastAsiaTheme="minorEastAsia"/>
                      <w:color w:val="FF0000"/>
                      <w:kern w:val="0"/>
                      <w:szCs w:val="21"/>
                      <w:lang w:bidi="ar"/>
                    </w:rPr>
                    <w:t>本项目拆解工作通过车企公开技术平台及行业数据库完整获取各车型官方拆解指导手册、高压系统布局图等技术资料，并据此制定《动力蓄电池及高压部件拆解标准化操作程序》（SOP），细化绝缘检测、断电操作、防泄漏处理等关键步骤</w:t>
                  </w:r>
                </w:p>
              </w:tc>
              <w:tc>
                <w:tcPr>
                  <w:tcW w:w="282" w:type="pct"/>
                  <w:tcBorders>
                    <w:tl2br w:val="nil"/>
                    <w:tr2bl w:val="nil"/>
                  </w:tcBorders>
                  <w:vAlign w:val="center"/>
                </w:tcPr>
                <w:p w14:paraId="4CDF72FC">
                  <w:pPr>
                    <w:widowControl/>
                    <w:adjustRightInd w:val="0"/>
                    <w:snapToGrid w:val="0"/>
                    <w:jc w:val="center"/>
                    <w:rPr>
                      <w:rFonts w:eastAsiaTheme="minorEastAsia"/>
                      <w:color w:val="FF0000"/>
                      <w:szCs w:val="21"/>
                    </w:rPr>
                  </w:pPr>
                  <w:r>
                    <w:rPr>
                      <w:rFonts w:eastAsiaTheme="minorEastAsia"/>
                      <w:color w:val="FF0000"/>
                      <w:szCs w:val="21"/>
                    </w:rPr>
                    <w:t>符合</w:t>
                  </w:r>
                </w:p>
              </w:tc>
            </w:tr>
            <w:tr w14:paraId="2D10E80F">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25" w:type="pct"/>
                  <w:tcBorders>
                    <w:tl2br w:val="nil"/>
                    <w:tr2bl w:val="nil"/>
                  </w:tcBorders>
                  <w:vAlign w:val="center"/>
                </w:tcPr>
                <w:p w14:paraId="61CBA299">
                  <w:pPr>
                    <w:widowControl/>
                    <w:adjustRightInd w:val="0"/>
                    <w:snapToGrid w:val="0"/>
                    <w:rPr>
                      <w:rFonts w:eastAsiaTheme="minorEastAsia"/>
                      <w:color w:val="FF0000"/>
                      <w:kern w:val="0"/>
                      <w:szCs w:val="21"/>
                      <w:lang w:bidi="ar"/>
                    </w:rPr>
                  </w:pPr>
                  <w:r>
                    <w:rPr>
                      <w:rFonts w:eastAsiaTheme="minorEastAsia"/>
                      <w:color w:val="FF0000"/>
                      <w:kern w:val="0"/>
                      <w:szCs w:val="21"/>
                      <w:lang w:bidi="ar"/>
                    </w:rPr>
                    <w:t>6</w:t>
                  </w:r>
                </w:p>
              </w:tc>
              <w:tc>
                <w:tcPr>
                  <w:tcW w:w="2398" w:type="pct"/>
                  <w:tcBorders>
                    <w:tl2br w:val="nil"/>
                    <w:tr2bl w:val="nil"/>
                  </w:tcBorders>
                </w:tcPr>
                <w:p w14:paraId="5C29BB0C">
                  <w:pPr>
                    <w:pStyle w:val="116"/>
                    <w:spacing w:before="45" w:line="227" w:lineRule="auto"/>
                    <w:ind w:left="24"/>
                    <w:rPr>
                      <w:rFonts w:ascii="Times New Roman" w:hAnsi="Times New Roman" w:cs="Times New Roman" w:eastAsiaTheme="minorEastAsia"/>
                      <w:color w:val="FF0000"/>
                      <w:kern w:val="0"/>
                      <w:sz w:val="21"/>
                      <w:szCs w:val="21"/>
                      <w:lang w:val="zh-CN" w:eastAsia="zh-CN" w:bidi="ar"/>
                    </w:rPr>
                  </w:pPr>
                  <w:r>
                    <w:rPr>
                      <w:rFonts w:ascii="Times New Roman" w:hAnsi="Times New Roman" w:cs="Times New Roman" w:eastAsiaTheme="minorEastAsia"/>
                      <w:color w:val="FF0000"/>
                      <w:spacing w:val="9"/>
                      <w:sz w:val="21"/>
                      <w:szCs w:val="21"/>
                      <w:lang w:eastAsia="zh-CN"/>
                    </w:rPr>
                    <w:t>4.6报废机动车回收拆解企业应依</w:t>
                  </w:r>
                  <w:r>
                    <w:rPr>
                      <w:rFonts w:ascii="Times New Roman" w:hAnsi="Times New Roman" w:cs="Times New Roman" w:eastAsiaTheme="minorEastAsia"/>
                      <w:color w:val="FF0000"/>
                      <w:spacing w:val="7"/>
                      <w:sz w:val="21"/>
                      <w:szCs w:val="21"/>
                      <w:lang w:eastAsia="zh-CN"/>
                    </w:rPr>
                    <w:t>据</w:t>
                  </w:r>
                  <w:r>
                    <w:rPr>
                      <w:rFonts w:ascii="Times New Roman" w:hAnsi="Times New Roman" w:cs="Times New Roman" w:eastAsiaTheme="minorEastAsia"/>
                      <w:color w:val="FF0000"/>
                      <w:sz w:val="21"/>
                      <w:szCs w:val="21"/>
                      <w:lang w:eastAsia="zh-CN"/>
                    </w:rPr>
                    <w:t>GB</w:t>
                  </w:r>
                  <w:r>
                    <w:rPr>
                      <w:rFonts w:ascii="Times New Roman" w:hAnsi="Times New Roman" w:cs="Times New Roman" w:eastAsiaTheme="minorEastAsia"/>
                      <w:color w:val="FF0000"/>
                      <w:spacing w:val="7"/>
                      <w:sz w:val="21"/>
                      <w:szCs w:val="21"/>
                      <w:lang w:eastAsia="zh-CN"/>
                    </w:rPr>
                    <w:t>22128等相关规定开展拆</w:t>
                  </w:r>
                  <w:r>
                    <w:rPr>
                      <w:rFonts w:ascii="Times New Roman" w:hAnsi="Times New Roman" w:cs="Times New Roman" w:eastAsiaTheme="minorEastAsia"/>
                      <w:color w:val="FF0000"/>
                      <w:spacing w:val="8"/>
                      <w:sz w:val="21"/>
                      <w:szCs w:val="21"/>
                      <w:lang w:eastAsia="zh-CN"/>
                    </w:rPr>
                    <w:t>解作业。不应露天拆解报废机动车，拆解产物不应露天堆放，不应对大气、土壤、地表水和地下</w:t>
                  </w:r>
                  <w:r>
                    <w:rPr>
                      <w:rFonts w:ascii="Times New Roman" w:hAnsi="Times New Roman" w:cs="Times New Roman" w:eastAsiaTheme="minorEastAsia"/>
                      <w:color w:val="FF0000"/>
                      <w:spacing w:val="6"/>
                      <w:sz w:val="21"/>
                      <w:szCs w:val="21"/>
                      <w:lang w:eastAsia="zh-CN"/>
                    </w:rPr>
                    <w:t>水造成污染。</w:t>
                  </w:r>
                </w:p>
              </w:tc>
              <w:tc>
                <w:tcPr>
                  <w:tcW w:w="1993" w:type="pct"/>
                  <w:tcBorders>
                    <w:tl2br w:val="nil"/>
                    <w:tr2bl w:val="nil"/>
                  </w:tcBorders>
                  <w:vAlign w:val="center"/>
                </w:tcPr>
                <w:p w14:paraId="47F991AD">
                  <w:pPr>
                    <w:widowControl/>
                    <w:adjustRightInd w:val="0"/>
                    <w:snapToGrid w:val="0"/>
                    <w:jc w:val="center"/>
                    <w:rPr>
                      <w:rFonts w:eastAsiaTheme="minorEastAsia"/>
                      <w:color w:val="FF0000"/>
                      <w:kern w:val="0"/>
                      <w:szCs w:val="21"/>
                      <w:lang w:bidi="ar"/>
                    </w:rPr>
                  </w:pPr>
                  <w:r>
                    <w:rPr>
                      <w:rFonts w:eastAsiaTheme="minorEastAsia"/>
                      <w:color w:val="FF0000"/>
                      <w:kern w:val="0"/>
                      <w:szCs w:val="21"/>
                      <w:lang w:bidi="ar"/>
                    </w:rPr>
                    <w:t>全流程密闭车间内拆解，</w:t>
                  </w:r>
                  <w:r>
                    <w:rPr>
                      <w:rFonts w:hint="eastAsia" w:eastAsiaTheme="minorEastAsia"/>
                      <w:color w:val="FF0000"/>
                      <w:kern w:val="0"/>
                      <w:szCs w:val="21"/>
                      <w:lang w:val="en-US" w:eastAsia="zh-CN" w:bidi="ar"/>
                    </w:rPr>
                    <w:t>车间</w:t>
                  </w:r>
                  <w:r>
                    <w:rPr>
                      <w:rFonts w:eastAsiaTheme="minorEastAsia"/>
                      <w:color w:val="FF0000"/>
                      <w:kern w:val="0"/>
                      <w:szCs w:val="21"/>
                      <w:lang w:bidi="ar"/>
                    </w:rPr>
                    <w:t>地面</w:t>
                  </w:r>
                  <w:r>
                    <w:rPr>
                      <w:rFonts w:hint="eastAsia" w:eastAsiaTheme="minorEastAsia"/>
                      <w:color w:val="FF0000"/>
                      <w:kern w:val="0"/>
                      <w:szCs w:val="21"/>
                      <w:lang w:val="en-US" w:eastAsia="zh-CN" w:bidi="ar"/>
                    </w:rPr>
                    <w:t>采取重点</w:t>
                  </w:r>
                  <w:r>
                    <w:rPr>
                      <w:rFonts w:eastAsiaTheme="minorEastAsia"/>
                      <w:color w:val="FF0000"/>
                      <w:kern w:val="0"/>
                      <w:szCs w:val="21"/>
                      <w:lang w:bidi="ar"/>
                    </w:rPr>
                    <w:t>防渗；拆解产物分类暂存，危废贮存周期≤</w:t>
                  </w:r>
                  <w:r>
                    <w:rPr>
                      <w:rFonts w:hint="eastAsia" w:eastAsiaTheme="minorEastAsia"/>
                      <w:color w:val="FF0000"/>
                      <w:kern w:val="0"/>
                      <w:szCs w:val="21"/>
                      <w:lang w:val="en-US" w:eastAsia="zh-CN" w:bidi="ar"/>
                    </w:rPr>
                    <w:t>15</w:t>
                  </w:r>
                  <w:r>
                    <w:rPr>
                      <w:rFonts w:eastAsiaTheme="minorEastAsia"/>
                      <w:color w:val="FF0000"/>
                      <w:kern w:val="0"/>
                      <w:szCs w:val="21"/>
                      <w:lang w:bidi="ar"/>
                    </w:rPr>
                    <w:t>天；雨污分流系统覆盖全厂区。</w:t>
                  </w:r>
                </w:p>
              </w:tc>
              <w:tc>
                <w:tcPr>
                  <w:tcW w:w="282" w:type="pct"/>
                  <w:tcBorders>
                    <w:tl2br w:val="nil"/>
                    <w:tr2bl w:val="nil"/>
                  </w:tcBorders>
                  <w:vAlign w:val="center"/>
                </w:tcPr>
                <w:p w14:paraId="4C567D47">
                  <w:pPr>
                    <w:widowControl/>
                    <w:adjustRightInd w:val="0"/>
                    <w:snapToGrid w:val="0"/>
                    <w:jc w:val="center"/>
                    <w:rPr>
                      <w:rFonts w:eastAsiaTheme="minorEastAsia"/>
                      <w:color w:val="FF0000"/>
                      <w:szCs w:val="21"/>
                    </w:rPr>
                  </w:pPr>
                  <w:r>
                    <w:rPr>
                      <w:rFonts w:eastAsiaTheme="minorEastAsia"/>
                      <w:color w:val="FF0000"/>
                      <w:szCs w:val="21"/>
                    </w:rPr>
                    <w:t>符合</w:t>
                  </w:r>
                </w:p>
              </w:tc>
            </w:tr>
            <w:tr w14:paraId="43136834">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25" w:type="pct"/>
                  <w:tcBorders>
                    <w:tl2br w:val="nil"/>
                    <w:tr2bl w:val="nil"/>
                  </w:tcBorders>
                  <w:vAlign w:val="center"/>
                </w:tcPr>
                <w:p w14:paraId="7CA34410">
                  <w:pPr>
                    <w:widowControl/>
                    <w:adjustRightInd w:val="0"/>
                    <w:snapToGrid w:val="0"/>
                    <w:rPr>
                      <w:rFonts w:eastAsiaTheme="minorEastAsia"/>
                      <w:color w:val="FF0000"/>
                      <w:spacing w:val="-6"/>
                      <w:szCs w:val="21"/>
                    </w:rPr>
                  </w:pPr>
                  <w:r>
                    <w:rPr>
                      <w:rFonts w:eastAsiaTheme="minorEastAsia"/>
                      <w:color w:val="FF0000"/>
                      <w:spacing w:val="-6"/>
                      <w:szCs w:val="21"/>
                    </w:rPr>
                    <w:t>7</w:t>
                  </w:r>
                </w:p>
              </w:tc>
              <w:tc>
                <w:tcPr>
                  <w:tcW w:w="2398" w:type="pct"/>
                  <w:tcBorders>
                    <w:tl2br w:val="nil"/>
                    <w:tr2bl w:val="nil"/>
                  </w:tcBorders>
                  <w:vAlign w:val="center"/>
                </w:tcPr>
                <w:p w14:paraId="1E7717FE">
                  <w:pPr>
                    <w:pStyle w:val="116"/>
                    <w:spacing w:before="30" w:line="247" w:lineRule="auto"/>
                    <w:ind w:left="27" w:right="43"/>
                    <w:rPr>
                      <w:rFonts w:ascii="Times New Roman" w:hAnsi="Times New Roman" w:cs="Times New Roman" w:eastAsiaTheme="minorEastAsia"/>
                      <w:color w:val="FF0000"/>
                      <w:spacing w:val="-6"/>
                      <w:sz w:val="21"/>
                      <w:szCs w:val="21"/>
                      <w:lang w:val="zh-CN" w:eastAsia="zh-CN"/>
                    </w:rPr>
                  </w:pPr>
                  <w:r>
                    <w:rPr>
                      <w:rFonts w:ascii="Times New Roman" w:hAnsi="Times New Roman" w:cs="Times New Roman" w:eastAsiaTheme="minorEastAsia"/>
                      <w:color w:val="FF0000"/>
                      <w:spacing w:val="9"/>
                      <w:sz w:val="21"/>
                      <w:szCs w:val="21"/>
                      <w:lang w:eastAsia="zh-CN"/>
                    </w:rPr>
                    <w:t>4.7报废机动车回收拆解企业应具备与生产规模相匹配的环境保</w:t>
                  </w:r>
                  <w:r>
                    <w:rPr>
                      <w:rFonts w:ascii="Times New Roman" w:hAnsi="Times New Roman" w:cs="Times New Roman" w:eastAsiaTheme="minorEastAsia"/>
                      <w:color w:val="FF0000"/>
                      <w:spacing w:val="7"/>
                      <w:sz w:val="21"/>
                      <w:szCs w:val="21"/>
                      <w:lang w:eastAsia="zh-CN"/>
                    </w:rPr>
                    <w:t>护设施，环境保护设施的设计、</w:t>
                  </w:r>
                  <w:r>
                    <w:rPr>
                      <w:rFonts w:ascii="Times New Roman" w:hAnsi="Times New Roman" w:cs="Times New Roman" w:eastAsiaTheme="minorEastAsia"/>
                      <w:color w:val="FF0000"/>
                      <w:spacing w:val="8"/>
                      <w:sz w:val="21"/>
                      <w:szCs w:val="21"/>
                      <w:lang w:eastAsia="zh-CN"/>
                    </w:rPr>
                    <w:t>施工与运行应遵守“三同时”环境</w:t>
                  </w:r>
                  <w:r>
                    <w:rPr>
                      <w:rFonts w:ascii="Times New Roman" w:hAnsi="Times New Roman" w:cs="Times New Roman" w:eastAsiaTheme="minorEastAsia"/>
                      <w:color w:val="FF0000"/>
                      <w:spacing w:val="6"/>
                      <w:sz w:val="21"/>
                      <w:szCs w:val="21"/>
                      <w:lang w:eastAsia="zh-CN"/>
                    </w:rPr>
                    <w:t>管理制度。</w:t>
                  </w:r>
                </w:p>
              </w:tc>
              <w:tc>
                <w:tcPr>
                  <w:tcW w:w="1993" w:type="pct"/>
                  <w:tcBorders>
                    <w:tl2br w:val="nil"/>
                    <w:tr2bl w:val="nil"/>
                  </w:tcBorders>
                  <w:vAlign w:val="center"/>
                </w:tcPr>
                <w:p w14:paraId="59E0409E">
                  <w:pPr>
                    <w:widowControl/>
                    <w:adjustRightInd w:val="0"/>
                    <w:snapToGrid w:val="0"/>
                    <w:jc w:val="center"/>
                    <w:rPr>
                      <w:rFonts w:eastAsiaTheme="minorEastAsia"/>
                      <w:color w:val="FF0000"/>
                      <w:kern w:val="0"/>
                      <w:szCs w:val="21"/>
                      <w:lang w:bidi="ar"/>
                    </w:rPr>
                  </w:pPr>
                  <w:r>
                    <w:rPr>
                      <w:rFonts w:eastAsiaTheme="minorEastAsia"/>
                      <w:color w:val="FF0000"/>
                      <w:kern w:val="0"/>
                      <w:szCs w:val="21"/>
                      <w:lang w:bidi="ar"/>
                    </w:rPr>
                    <w:t>本项目根据企业拆解能力设计废气、废水、噪声、固废等环境保护设施，项目严格遵守</w:t>
                  </w:r>
                  <w:r>
                    <w:rPr>
                      <w:rFonts w:eastAsiaTheme="minorEastAsia"/>
                      <w:color w:val="FF0000"/>
                      <w:spacing w:val="8"/>
                      <w:szCs w:val="21"/>
                    </w:rPr>
                    <w:t>遵守“三同时”环境</w:t>
                  </w:r>
                  <w:r>
                    <w:rPr>
                      <w:rFonts w:eastAsiaTheme="minorEastAsia"/>
                      <w:color w:val="FF0000"/>
                      <w:spacing w:val="6"/>
                      <w:szCs w:val="21"/>
                    </w:rPr>
                    <w:t>管理制度</w:t>
                  </w:r>
                </w:p>
              </w:tc>
              <w:tc>
                <w:tcPr>
                  <w:tcW w:w="282" w:type="pct"/>
                  <w:tcBorders>
                    <w:tl2br w:val="nil"/>
                    <w:tr2bl w:val="nil"/>
                  </w:tcBorders>
                  <w:vAlign w:val="center"/>
                </w:tcPr>
                <w:p w14:paraId="0B1BC2F8">
                  <w:pPr>
                    <w:widowControl/>
                    <w:adjustRightInd w:val="0"/>
                    <w:snapToGrid w:val="0"/>
                    <w:jc w:val="center"/>
                    <w:rPr>
                      <w:rFonts w:eastAsiaTheme="minorEastAsia"/>
                      <w:color w:val="FF0000"/>
                      <w:szCs w:val="21"/>
                    </w:rPr>
                  </w:pPr>
                  <w:r>
                    <w:rPr>
                      <w:rFonts w:eastAsiaTheme="minorEastAsia"/>
                      <w:color w:val="FF0000"/>
                      <w:szCs w:val="21"/>
                    </w:rPr>
                    <w:t>符合</w:t>
                  </w:r>
                </w:p>
              </w:tc>
            </w:tr>
            <w:tr w14:paraId="0A7D4467">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25" w:type="pct"/>
                  <w:tcBorders>
                    <w:tl2br w:val="nil"/>
                    <w:tr2bl w:val="nil"/>
                  </w:tcBorders>
                  <w:vAlign w:val="center"/>
                </w:tcPr>
                <w:p w14:paraId="5A917100">
                  <w:pPr>
                    <w:widowControl/>
                    <w:adjustRightInd w:val="0"/>
                    <w:snapToGrid w:val="0"/>
                    <w:rPr>
                      <w:rFonts w:eastAsiaTheme="minorEastAsia"/>
                      <w:color w:val="FF0000"/>
                      <w:spacing w:val="-6"/>
                      <w:szCs w:val="21"/>
                    </w:rPr>
                  </w:pPr>
                  <w:r>
                    <w:rPr>
                      <w:rFonts w:eastAsiaTheme="minorEastAsia"/>
                      <w:color w:val="FF0000"/>
                      <w:spacing w:val="-6"/>
                      <w:szCs w:val="21"/>
                    </w:rPr>
                    <w:t>8</w:t>
                  </w:r>
                </w:p>
              </w:tc>
              <w:tc>
                <w:tcPr>
                  <w:tcW w:w="2398" w:type="pct"/>
                  <w:tcBorders>
                    <w:tl2br w:val="nil"/>
                    <w:tr2bl w:val="nil"/>
                  </w:tcBorders>
                  <w:vAlign w:val="center"/>
                </w:tcPr>
                <w:p w14:paraId="18A8EC3D">
                  <w:pPr>
                    <w:pStyle w:val="116"/>
                    <w:spacing w:before="34" w:line="227" w:lineRule="auto"/>
                    <w:ind w:left="27"/>
                    <w:rPr>
                      <w:rFonts w:ascii="Times New Roman" w:hAnsi="Times New Roman" w:cs="Times New Roman" w:eastAsiaTheme="minorEastAsia"/>
                      <w:color w:val="FF0000"/>
                      <w:spacing w:val="-6"/>
                      <w:sz w:val="21"/>
                      <w:szCs w:val="21"/>
                      <w:lang w:eastAsia="zh-CN"/>
                    </w:rPr>
                  </w:pPr>
                  <w:r>
                    <w:rPr>
                      <w:rFonts w:ascii="Times New Roman" w:hAnsi="Times New Roman" w:cs="Times New Roman" w:eastAsiaTheme="minorEastAsia"/>
                      <w:color w:val="FF0000"/>
                      <w:spacing w:val="9"/>
                      <w:sz w:val="21"/>
                      <w:szCs w:val="21"/>
                      <w:lang w:eastAsia="zh-CN"/>
                    </w:rPr>
                    <w:t>4.8报废机动车回收拆解及贮存过</w:t>
                  </w:r>
                  <w:r>
                    <w:rPr>
                      <w:rFonts w:ascii="Times New Roman" w:hAnsi="Times New Roman" w:cs="Times New Roman" w:eastAsiaTheme="minorEastAsia"/>
                      <w:color w:val="FF0000"/>
                      <w:spacing w:val="8"/>
                      <w:sz w:val="21"/>
                      <w:szCs w:val="21"/>
                      <w:lang w:eastAsia="zh-CN"/>
                    </w:rPr>
                    <w:t>程除满足环境保护相关要求外，还应符合国家安全生产、职业健康、交通运输、消防等法规标准</w:t>
                  </w:r>
                  <w:r>
                    <w:rPr>
                      <w:rFonts w:ascii="Times New Roman" w:hAnsi="Times New Roman" w:cs="Times New Roman" w:eastAsiaTheme="minorEastAsia"/>
                      <w:color w:val="FF0000"/>
                      <w:spacing w:val="6"/>
                      <w:sz w:val="21"/>
                      <w:szCs w:val="21"/>
                      <w:lang w:eastAsia="zh-CN"/>
                    </w:rPr>
                    <w:t>的相关要求。</w:t>
                  </w:r>
                </w:p>
              </w:tc>
              <w:tc>
                <w:tcPr>
                  <w:tcW w:w="1993" w:type="pct"/>
                  <w:tcBorders>
                    <w:tl2br w:val="nil"/>
                    <w:tr2bl w:val="nil"/>
                  </w:tcBorders>
                  <w:vAlign w:val="center"/>
                </w:tcPr>
                <w:p w14:paraId="237B8E78">
                  <w:pPr>
                    <w:widowControl/>
                    <w:adjustRightInd w:val="0"/>
                    <w:snapToGrid w:val="0"/>
                    <w:jc w:val="center"/>
                    <w:rPr>
                      <w:rFonts w:eastAsiaTheme="minorEastAsia"/>
                      <w:color w:val="FF0000"/>
                      <w:kern w:val="0"/>
                      <w:szCs w:val="21"/>
                      <w:lang w:bidi="ar"/>
                    </w:rPr>
                  </w:pPr>
                  <w:r>
                    <w:rPr>
                      <w:rFonts w:eastAsiaTheme="minorEastAsia"/>
                      <w:color w:val="FF0000"/>
                      <w:kern w:val="0"/>
                      <w:szCs w:val="21"/>
                      <w:lang w:bidi="ar"/>
                    </w:rPr>
                    <w:t>企业运营全面符合多领域法规要求：安全生产方面，配备防爆消防系统和AED急救设备；职业健康管理严格按GBZ188标准执行，作业环境粉尘、噪声等指标实时监测；运输车辆全部取得专业资质并安装智能监控设备；消防管理落实防火间距要求，年度演练覆盖全员。各环节均建立标准化管理台账并通过主管部门定期核查。</w:t>
                  </w:r>
                </w:p>
              </w:tc>
              <w:tc>
                <w:tcPr>
                  <w:tcW w:w="282" w:type="pct"/>
                  <w:tcBorders>
                    <w:tl2br w:val="nil"/>
                    <w:tr2bl w:val="nil"/>
                  </w:tcBorders>
                  <w:vAlign w:val="center"/>
                </w:tcPr>
                <w:p w14:paraId="56154ECF">
                  <w:pPr>
                    <w:widowControl/>
                    <w:adjustRightInd w:val="0"/>
                    <w:snapToGrid w:val="0"/>
                    <w:jc w:val="center"/>
                    <w:rPr>
                      <w:rFonts w:eastAsiaTheme="minorEastAsia"/>
                      <w:color w:val="FF0000"/>
                      <w:szCs w:val="21"/>
                    </w:rPr>
                  </w:pPr>
                  <w:r>
                    <w:rPr>
                      <w:rFonts w:eastAsiaTheme="minorEastAsia"/>
                      <w:color w:val="FF0000"/>
                      <w:szCs w:val="21"/>
                    </w:rPr>
                    <w:t>符合</w:t>
                  </w:r>
                </w:p>
              </w:tc>
            </w:tr>
            <w:tr w14:paraId="7BAC57CC">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25" w:type="pct"/>
                  <w:tcBorders>
                    <w:tl2br w:val="nil"/>
                    <w:tr2bl w:val="nil"/>
                  </w:tcBorders>
                  <w:vAlign w:val="center"/>
                </w:tcPr>
                <w:p w14:paraId="02B5D7CC">
                  <w:pPr>
                    <w:widowControl/>
                    <w:adjustRightInd w:val="0"/>
                    <w:snapToGrid w:val="0"/>
                    <w:rPr>
                      <w:rFonts w:eastAsiaTheme="minorEastAsia"/>
                      <w:color w:val="FF0000"/>
                      <w:spacing w:val="-6"/>
                      <w:szCs w:val="21"/>
                    </w:rPr>
                  </w:pPr>
                  <w:r>
                    <w:rPr>
                      <w:rFonts w:eastAsiaTheme="minorEastAsia"/>
                      <w:color w:val="FF0000"/>
                      <w:spacing w:val="-6"/>
                      <w:szCs w:val="21"/>
                    </w:rPr>
                    <w:t>9</w:t>
                  </w:r>
                </w:p>
              </w:tc>
              <w:tc>
                <w:tcPr>
                  <w:tcW w:w="2398" w:type="pct"/>
                  <w:tcBorders>
                    <w:tl2br w:val="nil"/>
                    <w:tr2bl w:val="nil"/>
                  </w:tcBorders>
                  <w:vAlign w:val="center"/>
                </w:tcPr>
                <w:p w14:paraId="15245F50">
                  <w:pPr>
                    <w:pStyle w:val="116"/>
                    <w:spacing w:before="35" w:line="227" w:lineRule="auto"/>
                    <w:ind w:left="27"/>
                    <w:rPr>
                      <w:rFonts w:ascii="Times New Roman" w:hAnsi="Times New Roman" w:cs="Times New Roman" w:eastAsiaTheme="minorEastAsia"/>
                      <w:color w:val="FF0000"/>
                      <w:spacing w:val="8"/>
                      <w:sz w:val="21"/>
                      <w:szCs w:val="21"/>
                      <w:lang w:eastAsia="zh-CN"/>
                    </w:rPr>
                  </w:pPr>
                  <w:r>
                    <w:rPr>
                      <w:rFonts w:ascii="Times New Roman" w:hAnsi="Times New Roman" w:cs="Times New Roman" w:eastAsiaTheme="minorEastAsia"/>
                      <w:color w:val="FF0000"/>
                      <w:spacing w:val="9"/>
                      <w:sz w:val="21"/>
                      <w:szCs w:val="21"/>
                      <w:lang w:eastAsia="zh-CN"/>
                    </w:rPr>
                    <w:t>5.1报废机动车回收拆解企业应划</w:t>
                  </w:r>
                  <w:r>
                    <w:rPr>
                      <w:rFonts w:ascii="Times New Roman" w:hAnsi="Times New Roman" w:cs="Times New Roman" w:eastAsiaTheme="minorEastAsia"/>
                      <w:color w:val="FF0000"/>
                      <w:spacing w:val="8"/>
                      <w:sz w:val="21"/>
                      <w:szCs w:val="21"/>
                      <w:lang w:eastAsia="zh-CN"/>
                    </w:rPr>
                    <w:t>分不同的功能区，包括办公区和作业区。</w:t>
                  </w:r>
                </w:p>
                <w:p w14:paraId="2F694E5E">
                  <w:pPr>
                    <w:pStyle w:val="116"/>
                    <w:spacing w:before="35" w:line="227" w:lineRule="auto"/>
                    <w:ind w:left="27"/>
                    <w:rPr>
                      <w:rFonts w:ascii="Times New Roman" w:hAnsi="Times New Roman" w:cs="Times New Roman" w:eastAsiaTheme="minorEastAsia"/>
                      <w:color w:val="FF0000"/>
                      <w:sz w:val="21"/>
                      <w:szCs w:val="21"/>
                      <w:lang w:eastAsia="zh-CN"/>
                    </w:rPr>
                  </w:pPr>
                  <w:r>
                    <w:rPr>
                      <w:rFonts w:ascii="Times New Roman" w:hAnsi="Times New Roman" w:cs="Times New Roman" w:eastAsiaTheme="minorEastAsia"/>
                      <w:color w:val="FF0000"/>
                      <w:spacing w:val="8"/>
                      <w:sz w:val="21"/>
                      <w:szCs w:val="21"/>
                      <w:lang w:eastAsia="zh-CN"/>
                    </w:rPr>
                    <w:t>作业区应包括：</w:t>
                  </w:r>
                </w:p>
                <w:p w14:paraId="75F02F82">
                  <w:pPr>
                    <w:pStyle w:val="116"/>
                    <w:spacing w:before="23" w:line="237" w:lineRule="auto"/>
                    <w:ind w:left="29" w:right="204" w:hanging="1"/>
                    <w:rPr>
                      <w:rFonts w:ascii="Times New Roman" w:hAnsi="Times New Roman" w:cs="Times New Roman" w:eastAsiaTheme="minorEastAsia"/>
                      <w:color w:val="FF0000"/>
                      <w:spacing w:val="7"/>
                      <w:sz w:val="21"/>
                      <w:szCs w:val="21"/>
                      <w:lang w:eastAsia="zh-CN"/>
                    </w:rPr>
                  </w:pPr>
                  <w:r>
                    <w:rPr>
                      <w:rFonts w:ascii="Times New Roman" w:hAnsi="Times New Roman" w:cs="Times New Roman" w:eastAsiaTheme="minorEastAsia"/>
                      <w:color w:val="FF0000"/>
                      <w:spacing w:val="8"/>
                      <w:sz w:val="21"/>
                      <w:szCs w:val="21"/>
                      <w:lang w:eastAsia="zh-CN"/>
                    </w:rPr>
                    <w:t>a)整车贮存区(分为传统燃料机</w:t>
                  </w:r>
                  <w:r>
                    <w:rPr>
                      <w:rFonts w:ascii="Times New Roman" w:hAnsi="Times New Roman" w:cs="Times New Roman" w:eastAsiaTheme="minorEastAsia"/>
                      <w:color w:val="FF0000"/>
                      <w:spacing w:val="7"/>
                      <w:sz w:val="21"/>
                      <w:szCs w:val="21"/>
                      <w:lang w:eastAsia="zh-CN"/>
                    </w:rPr>
                    <w:t>动车区和电动汽车区)；</w:t>
                  </w:r>
                </w:p>
                <w:p w14:paraId="1A5B7362">
                  <w:pPr>
                    <w:pStyle w:val="116"/>
                    <w:spacing w:before="23" w:line="237" w:lineRule="auto"/>
                    <w:ind w:left="29" w:right="204" w:hanging="1"/>
                    <w:rPr>
                      <w:rFonts w:ascii="Times New Roman" w:hAnsi="Times New Roman" w:cs="Times New Roman" w:eastAsiaTheme="minorEastAsia"/>
                      <w:color w:val="FF0000"/>
                      <w:sz w:val="21"/>
                      <w:szCs w:val="21"/>
                      <w:lang w:eastAsia="zh-CN"/>
                    </w:rPr>
                  </w:pPr>
                  <w:r>
                    <w:rPr>
                      <w:rFonts w:ascii="Times New Roman" w:hAnsi="Times New Roman" w:cs="Times New Roman" w:eastAsiaTheme="minorEastAsia"/>
                      <w:color w:val="FF0000"/>
                      <w:spacing w:val="4"/>
                      <w:sz w:val="21"/>
                      <w:szCs w:val="21"/>
                      <w:lang w:eastAsia="zh-CN"/>
                    </w:rPr>
                    <w:t>b)动力蓄电池拆卸区；</w:t>
                  </w:r>
                  <w:r>
                    <w:rPr>
                      <w:rFonts w:ascii="Times New Roman" w:hAnsi="Times New Roman" w:cs="Times New Roman" w:eastAsiaTheme="minorEastAsia"/>
                      <w:color w:val="FF0000"/>
                      <w:spacing w:val="6"/>
                      <w:sz w:val="21"/>
                      <w:szCs w:val="21"/>
                      <w:lang w:eastAsia="zh-CN"/>
                    </w:rPr>
                    <w:t>c)铅蓄电池拆卸区；</w:t>
                  </w:r>
                </w:p>
                <w:p w14:paraId="41663278">
                  <w:pPr>
                    <w:pStyle w:val="116"/>
                    <w:spacing w:before="23" w:line="237" w:lineRule="auto"/>
                    <w:ind w:left="29" w:right="204" w:hanging="1"/>
                    <w:rPr>
                      <w:rFonts w:ascii="Times New Roman" w:hAnsi="Times New Roman" w:cs="Times New Roman" w:eastAsiaTheme="minorEastAsia"/>
                      <w:color w:val="FF0000"/>
                      <w:spacing w:val="8"/>
                      <w:sz w:val="21"/>
                      <w:szCs w:val="21"/>
                      <w:lang w:eastAsia="zh-CN"/>
                    </w:rPr>
                  </w:pPr>
                  <w:r>
                    <w:rPr>
                      <w:rFonts w:ascii="Times New Roman" w:hAnsi="Times New Roman" w:cs="Times New Roman" w:eastAsiaTheme="minorEastAsia"/>
                      <w:color w:val="FF0000"/>
                      <w:spacing w:val="8"/>
                      <w:sz w:val="21"/>
                      <w:szCs w:val="21"/>
                      <w:lang w:eastAsia="zh-CN"/>
                    </w:rPr>
                    <w:t>d）电池分类贮存区；</w:t>
                  </w:r>
                </w:p>
                <w:p w14:paraId="08AB0475">
                  <w:pPr>
                    <w:pStyle w:val="116"/>
                    <w:spacing w:before="32" w:line="239" w:lineRule="auto"/>
                    <w:ind w:left="27" w:right="1016"/>
                    <w:rPr>
                      <w:rFonts w:ascii="Times New Roman" w:hAnsi="Times New Roman" w:cs="Times New Roman" w:eastAsiaTheme="minorEastAsia"/>
                      <w:color w:val="FF0000"/>
                      <w:sz w:val="21"/>
                      <w:szCs w:val="21"/>
                      <w:lang w:eastAsia="zh-CN"/>
                    </w:rPr>
                  </w:pPr>
                  <w:r>
                    <w:rPr>
                      <w:rFonts w:ascii="Times New Roman" w:hAnsi="Times New Roman" w:cs="Times New Roman" w:eastAsiaTheme="minorEastAsia"/>
                      <w:color w:val="FF0000"/>
                      <w:spacing w:val="6"/>
                      <w:sz w:val="21"/>
                      <w:szCs w:val="21"/>
                      <w:lang w:eastAsia="zh-CN"/>
                    </w:rPr>
                    <w:t>e）拆解区；</w:t>
                  </w:r>
                </w:p>
                <w:p w14:paraId="23D6AE55">
                  <w:pPr>
                    <w:pStyle w:val="116"/>
                    <w:spacing w:before="27" w:line="241" w:lineRule="auto"/>
                    <w:ind w:left="43" w:right="26" w:hanging="15"/>
                    <w:rPr>
                      <w:rFonts w:ascii="Times New Roman" w:hAnsi="Times New Roman" w:cs="Times New Roman" w:eastAsiaTheme="minorEastAsia"/>
                      <w:color w:val="FF0000"/>
                      <w:sz w:val="21"/>
                      <w:szCs w:val="21"/>
                      <w:lang w:eastAsia="zh-CN"/>
                    </w:rPr>
                  </w:pPr>
                  <w:r>
                    <w:rPr>
                      <w:rFonts w:ascii="Times New Roman" w:hAnsi="Times New Roman" w:cs="Times New Roman" w:eastAsiaTheme="minorEastAsia"/>
                      <w:color w:val="FF0000"/>
                      <w:spacing w:val="3"/>
                      <w:sz w:val="21"/>
                      <w:szCs w:val="21"/>
                      <w:lang w:eastAsia="zh-CN"/>
                    </w:rPr>
                    <w:t>f)产品(半成品；不包括电池)贮存</w:t>
                  </w:r>
                  <w:r>
                    <w:rPr>
                      <w:rFonts w:ascii="Times New Roman" w:hAnsi="Times New Roman" w:cs="Times New Roman" w:eastAsiaTheme="minorEastAsia"/>
                      <w:color w:val="FF0000"/>
                      <w:spacing w:val="-8"/>
                      <w:sz w:val="21"/>
                      <w:szCs w:val="21"/>
                      <w:lang w:eastAsia="zh-CN"/>
                    </w:rPr>
                    <w:t>区；</w:t>
                  </w:r>
                </w:p>
                <w:p w14:paraId="7DEAC4B2">
                  <w:pPr>
                    <w:pStyle w:val="116"/>
                    <w:spacing w:before="22" w:line="221" w:lineRule="auto"/>
                    <w:ind w:left="26"/>
                    <w:rPr>
                      <w:rFonts w:ascii="Times New Roman" w:hAnsi="Times New Roman" w:cs="Times New Roman" w:eastAsiaTheme="minorEastAsia"/>
                      <w:color w:val="FF0000"/>
                      <w:sz w:val="21"/>
                      <w:szCs w:val="21"/>
                      <w:lang w:eastAsia="zh-CN"/>
                    </w:rPr>
                  </w:pPr>
                  <w:r>
                    <w:rPr>
                      <w:rFonts w:ascii="Times New Roman" w:hAnsi="Times New Roman" w:cs="Times New Roman" w:eastAsiaTheme="minorEastAsia"/>
                      <w:color w:val="FF0000"/>
                      <w:spacing w:val="6"/>
                      <w:sz w:val="21"/>
                      <w:szCs w:val="21"/>
                      <w:lang w:eastAsia="zh-CN"/>
                    </w:rPr>
                    <w:t>g)破碎分选区；</w:t>
                  </w:r>
                </w:p>
                <w:p w14:paraId="3288EE5B">
                  <w:pPr>
                    <w:pStyle w:val="116"/>
                    <w:spacing w:before="33" w:line="236" w:lineRule="auto"/>
                    <w:ind w:left="25" w:right="317" w:hanging="4"/>
                    <w:rPr>
                      <w:rFonts w:ascii="Times New Roman" w:hAnsi="Times New Roman" w:cs="Times New Roman" w:eastAsiaTheme="minorEastAsia"/>
                      <w:color w:val="FF0000"/>
                      <w:spacing w:val="5"/>
                      <w:sz w:val="21"/>
                      <w:szCs w:val="21"/>
                      <w:lang w:eastAsia="zh-CN"/>
                    </w:rPr>
                  </w:pPr>
                  <w:r>
                    <w:rPr>
                      <w:rFonts w:ascii="Times New Roman" w:hAnsi="Times New Roman" w:cs="Times New Roman" w:eastAsiaTheme="minorEastAsia"/>
                      <w:color w:val="FF0000"/>
                      <w:spacing w:val="5"/>
                      <w:sz w:val="21"/>
                      <w:szCs w:val="21"/>
                      <w:lang w:eastAsia="zh-CN"/>
                    </w:rPr>
                    <w:t>h)一般工业固体废物贮存区；</w:t>
                  </w:r>
                </w:p>
                <w:p w14:paraId="4A2CDF1E">
                  <w:pPr>
                    <w:pStyle w:val="116"/>
                    <w:spacing w:before="33" w:line="236" w:lineRule="auto"/>
                    <w:ind w:left="25" w:right="317" w:hanging="4"/>
                    <w:rPr>
                      <w:rFonts w:ascii="Times New Roman" w:hAnsi="Times New Roman" w:cs="Times New Roman" w:eastAsiaTheme="minorEastAsia"/>
                      <w:color w:val="FF0000"/>
                      <w:spacing w:val="-6"/>
                      <w:sz w:val="21"/>
                      <w:szCs w:val="21"/>
                    </w:rPr>
                  </w:pPr>
                  <w:r>
                    <w:rPr>
                      <w:rFonts w:ascii="Times New Roman" w:hAnsi="Times New Roman" w:cs="Times New Roman" w:eastAsiaTheme="minorEastAsia"/>
                      <w:color w:val="FF0000"/>
                      <w:spacing w:val="7"/>
                      <w:sz w:val="21"/>
                      <w:szCs w:val="21"/>
                    </w:rPr>
                    <w:t>i)危险废物贮存区。</w:t>
                  </w:r>
                </w:p>
              </w:tc>
              <w:tc>
                <w:tcPr>
                  <w:tcW w:w="1993" w:type="pct"/>
                  <w:tcBorders>
                    <w:tl2br w:val="nil"/>
                    <w:tr2bl w:val="nil"/>
                  </w:tcBorders>
                  <w:vAlign w:val="center"/>
                </w:tcPr>
                <w:p w14:paraId="3F80475E">
                  <w:pPr>
                    <w:widowControl/>
                    <w:adjustRightInd w:val="0"/>
                    <w:snapToGrid w:val="0"/>
                    <w:jc w:val="center"/>
                    <w:rPr>
                      <w:rFonts w:hint="default" w:eastAsiaTheme="minorEastAsia"/>
                      <w:color w:val="FF0000"/>
                      <w:kern w:val="0"/>
                      <w:szCs w:val="21"/>
                      <w:lang w:val="en-US" w:eastAsia="zh-CN" w:bidi="ar"/>
                    </w:rPr>
                  </w:pPr>
                  <w:r>
                    <w:rPr>
                      <w:rFonts w:hint="eastAsia" w:eastAsiaTheme="minorEastAsia"/>
                      <w:color w:val="FF0000"/>
                      <w:kern w:val="0"/>
                      <w:szCs w:val="21"/>
                      <w:lang w:val="en-US" w:eastAsia="zh-CN" w:bidi="ar"/>
                    </w:rPr>
                    <w:t>本项目</w:t>
                  </w:r>
                  <w:r>
                    <w:rPr>
                      <w:rFonts w:eastAsiaTheme="minorEastAsia"/>
                      <w:color w:val="FF0000"/>
                      <w:kern w:val="0"/>
                      <w:szCs w:val="21"/>
                      <w:lang w:bidi="ar"/>
                    </w:rPr>
                    <w:t>办公区与作业区物理隔离，作业区按功能细分为</w:t>
                  </w:r>
                  <w:r>
                    <w:rPr>
                      <w:rFonts w:hint="eastAsia" w:eastAsiaTheme="minorEastAsia"/>
                      <w:color w:val="FF0000"/>
                      <w:kern w:val="0"/>
                      <w:szCs w:val="21"/>
                      <w:lang w:val="en-US" w:eastAsia="zh-CN" w:bidi="ar"/>
                    </w:rPr>
                    <w:t>12</w:t>
                  </w:r>
                  <w:r>
                    <w:rPr>
                      <w:rFonts w:eastAsiaTheme="minorEastAsia"/>
                      <w:color w:val="FF0000"/>
                      <w:kern w:val="0"/>
                      <w:szCs w:val="21"/>
                      <w:lang w:bidi="ar"/>
                    </w:rPr>
                    <w:t>大标准化区域：整车贮存区</w:t>
                  </w:r>
                  <w:r>
                    <w:rPr>
                      <w:rFonts w:hint="eastAsia" w:eastAsiaTheme="minorEastAsia"/>
                      <w:color w:val="FF0000"/>
                      <w:kern w:val="0"/>
                      <w:szCs w:val="21"/>
                      <w:lang w:eastAsia="zh-CN" w:bidi="ar"/>
                    </w:rPr>
                    <w:t>（</w:t>
                  </w:r>
                  <w:r>
                    <w:rPr>
                      <w:rFonts w:hint="eastAsia" w:eastAsiaTheme="minorEastAsia"/>
                      <w:color w:val="FF0000"/>
                      <w:kern w:val="0"/>
                      <w:szCs w:val="21"/>
                      <w:lang w:val="en-US" w:eastAsia="zh-CN" w:bidi="ar"/>
                    </w:rPr>
                    <w:t>燃油车贮存区、电动汽车贮存 区</w:t>
                  </w:r>
                  <w:r>
                    <w:rPr>
                      <w:rFonts w:hint="eastAsia" w:eastAsiaTheme="minorEastAsia"/>
                      <w:color w:val="FF0000"/>
                      <w:kern w:val="0"/>
                      <w:szCs w:val="21"/>
                      <w:lang w:eastAsia="zh-CN" w:bidi="ar"/>
                    </w:rPr>
                    <w:t>）</w:t>
                  </w:r>
                  <w:r>
                    <w:rPr>
                      <w:rFonts w:eastAsiaTheme="minorEastAsia"/>
                      <w:color w:val="FF0000"/>
                      <w:kern w:val="0"/>
                      <w:szCs w:val="21"/>
                      <w:lang w:bidi="ar"/>
                    </w:rPr>
                    <w:t>、动力蓄电池拆卸区、</w:t>
                  </w:r>
                  <w:r>
                    <w:rPr>
                      <w:rFonts w:hint="eastAsia" w:eastAsiaTheme="minorEastAsia"/>
                      <w:color w:val="FF0000"/>
                      <w:kern w:val="0"/>
                      <w:szCs w:val="21"/>
                      <w:lang w:val="en-US" w:eastAsia="zh-CN" w:bidi="ar"/>
                    </w:rPr>
                    <w:t>动力电池暂存间、</w:t>
                  </w:r>
                  <w:r>
                    <w:rPr>
                      <w:rFonts w:eastAsiaTheme="minorEastAsia"/>
                      <w:color w:val="FF0000"/>
                      <w:kern w:val="0"/>
                      <w:szCs w:val="21"/>
                      <w:lang w:bidi="ar"/>
                    </w:rPr>
                    <w:t>铅</w:t>
                  </w:r>
                  <w:r>
                    <w:rPr>
                      <w:rFonts w:hint="eastAsia" w:eastAsiaTheme="minorEastAsia"/>
                      <w:color w:val="FF0000"/>
                      <w:kern w:val="0"/>
                      <w:szCs w:val="21"/>
                      <w:lang w:val="en-US" w:eastAsia="zh-CN" w:bidi="ar"/>
                    </w:rPr>
                    <w:t>酸</w:t>
                  </w:r>
                  <w:r>
                    <w:rPr>
                      <w:rFonts w:eastAsiaTheme="minorEastAsia"/>
                      <w:color w:val="FF0000"/>
                      <w:kern w:val="0"/>
                      <w:szCs w:val="21"/>
                      <w:lang w:bidi="ar"/>
                    </w:rPr>
                    <w:t>蓄电池拆卸区、铅</w:t>
                  </w:r>
                  <w:r>
                    <w:rPr>
                      <w:rFonts w:hint="eastAsia" w:eastAsiaTheme="minorEastAsia"/>
                      <w:color w:val="FF0000"/>
                      <w:kern w:val="0"/>
                      <w:szCs w:val="21"/>
                      <w:lang w:val="en-US" w:eastAsia="zh-CN" w:bidi="ar"/>
                    </w:rPr>
                    <w:t>酸</w:t>
                  </w:r>
                  <w:r>
                    <w:rPr>
                      <w:rFonts w:eastAsiaTheme="minorEastAsia"/>
                      <w:color w:val="FF0000"/>
                      <w:kern w:val="0"/>
                      <w:szCs w:val="21"/>
                      <w:lang w:bidi="ar"/>
                    </w:rPr>
                    <w:t>蓄电池</w:t>
                  </w:r>
                  <w:r>
                    <w:rPr>
                      <w:rFonts w:hint="eastAsia" w:eastAsiaTheme="minorEastAsia"/>
                      <w:color w:val="FF0000"/>
                      <w:kern w:val="0"/>
                      <w:szCs w:val="21"/>
                      <w:lang w:val="en-US" w:eastAsia="zh-CN" w:bidi="ar"/>
                    </w:rPr>
                    <w:t>暂存间</w:t>
                  </w:r>
                  <w:r>
                    <w:rPr>
                      <w:rFonts w:eastAsiaTheme="minorEastAsia"/>
                      <w:color w:val="FF0000"/>
                      <w:kern w:val="0"/>
                      <w:szCs w:val="21"/>
                      <w:lang w:bidi="ar"/>
                    </w:rPr>
                    <w:t>、</w:t>
                  </w:r>
                  <w:r>
                    <w:rPr>
                      <w:rFonts w:hint="eastAsia" w:eastAsiaTheme="minorEastAsia"/>
                      <w:color w:val="FF0000"/>
                      <w:kern w:val="0"/>
                      <w:szCs w:val="21"/>
                      <w:lang w:val="en-US" w:eastAsia="zh-CN" w:bidi="ar"/>
                    </w:rPr>
                    <w:t xml:space="preserve"> </w:t>
                  </w:r>
                  <w:r>
                    <w:rPr>
                      <w:rFonts w:eastAsiaTheme="minorEastAsia"/>
                      <w:color w:val="FF0000"/>
                      <w:kern w:val="0"/>
                      <w:szCs w:val="21"/>
                      <w:lang w:bidi="ar"/>
                    </w:rPr>
                    <w:t>拆解区</w:t>
                  </w:r>
                  <w:r>
                    <w:rPr>
                      <w:rFonts w:hint="eastAsia" w:eastAsiaTheme="minorEastAsia"/>
                      <w:color w:val="FF0000"/>
                      <w:kern w:val="0"/>
                      <w:szCs w:val="21"/>
                      <w:lang w:eastAsia="zh-CN" w:bidi="ar"/>
                    </w:rPr>
                    <w:t>、</w:t>
                  </w:r>
                  <w:r>
                    <w:rPr>
                      <w:rFonts w:hint="eastAsia" w:eastAsiaTheme="minorEastAsia"/>
                      <w:color w:val="FF0000"/>
                      <w:kern w:val="0"/>
                      <w:szCs w:val="21"/>
                      <w:lang w:val="en-US" w:eastAsia="zh-CN" w:bidi="ar"/>
                    </w:rPr>
                    <w:t>回用件贮存区</w:t>
                  </w:r>
                  <w:r>
                    <w:rPr>
                      <w:rFonts w:eastAsiaTheme="minorEastAsia"/>
                      <w:color w:val="FF0000"/>
                      <w:kern w:val="0"/>
                      <w:szCs w:val="21"/>
                      <w:lang w:bidi="ar"/>
                    </w:rPr>
                    <w:t>、</w:t>
                  </w:r>
                  <w:r>
                    <w:rPr>
                      <w:rFonts w:hint="eastAsia" w:eastAsiaTheme="minorEastAsia"/>
                      <w:color w:val="FF0000"/>
                      <w:kern w:val="0"/>
                      <w:szCs w:val="21"/>
                      <w:lang w:val="en-US" w:eastAsia="zh-CN" w:bidi="ar"/>
                    </w:rPr>
                    <w:t>一般固废暂存区、</w:t>
                  </w:r>
                </w:p>
                <w:p w14:paraId="4EA30D0E">
                  <w:pPr>
                    <w:widowControl/>
                    <w:adjustRightInd w:val="0"/>
                    <w:snapToGrid w:val="0"/>
                    <w:jc w:val="center"/>
                    <w:rPr>
                      <w:rFonts w:hint="eastAsia" w:eastAsiaTheme="minorEastAsia"/>
                      <w:color w:val="FF0000"/>
                      <w:kern w:val="0"/>
                      <w:szCs w:val="21"/>
                      <w:lang w:val="en-US" w:eastAsia="zh-CN" w:bidi="ar"/>
                    </w:rPr>
                  </w:pPr>
                  <w:r>
                    <w:rPr>
                      <w:rFonts w:eastAsiaTheme="minorEastAsia"/>
                      <w:color w:val="FF0000"/>
                      <w:kern w:val="0"/>
                      <w:szCs w:val="21"/>
                      <w:lang w:bidi="ar"/>
                    </w:rPr>
                    <w:t>破碎分选区</w:t>
                  </w:r>
                  <w:r>
                    <w:rPr>
                      <w:rFonts w:hint="eastAsia" w:eastAsiaTheme="minorEastAsia"/>
                      <w:color w:val="FF0000"/>
                      <w:kern w:val="0"/>
                      <w:szCs w:val="21"/>
                      <w:lang w:eastAsia="zh-CN" w:bidi="ar"/>
                    </w:rPr>
                    <w:t>、</w:t>
                  </w:r>
                  <w:r>
                    <w:rPr>
                      <w:rFonts w:eastAsiaTheme="minorEastAsia"/>
                      <w:color w:val="FF0000"/>
                      <w:kern w:val="0"/>
                      <w:szCs w:val="21"/>
                      <w:lang w:bidi="ar"/>
                    </w:rPr>
                    <w:t>危废贮存</w:t>
                  </w:r>
                  <w:r>
                    <w:rPr>
                      <w:rFonts w:hint="eastAsia" w:eastAsiaTheme="minorEastAsia"/>
                      <w:color w:val="FF0000"/>
                      <w:kern w:val="0"/>
                      <w:szCs w:val="21"/>
                      <w:lang w:val="en-US" w:eastAsia="zh-CN" w:bidi="ar"/>
                    </w:rPr>
                    <w:t>点</w:t>
                  </w:r>
                </w:p>
              </w:tc>
              <w:tc>
                <w:tcPr>
                  <w:tcW w:w="282" w:type="pct"/>
                  <w:tcBorders>
                    <w:tl2br w:val="nil"/>
                    <w:tr2bl w:val="nil"/>
                  </w:tcBorders>
                  <w:vAlign w:val="center"/>
                </w:tcPr>
                <w:p w14:paraId="6038BCB5">
                  <w:pPr>
                    <w:widowControl/>
                    <w:adjustRightInd w:val="0"/>
                    <w:snapToGrid w:val="0"/>
                    <w:jc w:val="center"/>
                    <w:rPr>
                      <w:rFonts w:eastAsiaTheme="minorEastAsia"/>
                      <w:color w:val="FF0000"/>
                      <w:szCs w:val="21"/>
                    </w:rPr>
                  </w:pPr>
                  <w:r>
                    <w:rPr>
                      <w:rFonts w:eastAsiaTheme="minorEastAsia"/>
                      <w:color w:val="FF0000"/>
                      <w:szCs w:val="21"/>
                    </w:rPr>
                    <w:t>符合</w:t>
                  </w:r>
                </w:p>
              </w:tc>
            </w:tr>
            <w:tr w14:paraId="0BBD6E8A">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25" w:type="pct"/>
                  <w:tcBorders>
                    <w:tl2br w:val="nil"/>
                    <w:tr2bl w:val="nil"/>
                  </w:tcBorders>
                  <w:vAlign w:val="center"/>
                </w:tcPr>
                <w:p w14:paraId="1DB12A78">
                  <w:pPr>
                    <w:widowControl/>
                    <w:adjustRightInd w:val="0"/>
                    <w:snapToGrid w:val="0"/>
                    <w:rPr>
                      <w:rFonts w:eastAsiaTheme="minorEastAsia"/>
                      <w:color w:val="FF0000"/>
                      <w:spacing w:val="-6"/>
                      <w:szCs w:val="21"/>
                    </w:rPr>
                  </w:pPr>
                  <w:r>
                    <w:rPr>
                      <w:rFonts w:eastAsiaTheme="minorEastAsia"/>
                      <w:color w:val="FF0000"/>
                      <w:spacing w:val="-6"/>
                      <w:szCs w:val="21"/>
                    </w:rPr>
                    <w:t>10</w:t>
                  </w:r>
                </w:p>
              </w:tc>
              <w:tc>
                <w:tcPr>
                  <w:tcW w:w="2398" w:type="pct"/>
                  <w:tcBorders>
                    <w:tl2br w:val="nil"/>
                    <w:tr2bl w:val="nil"/>
                  </w:tcBorders>
                  <w:vAlign w:val="center"/>
                </w:tcPr>
                <w:p w14:paraId="30B6ECBA">
                  <w:pPr>
                    <w:pStyle w:val="116"/>
                    <w:spacing w:before="44" w:line="244" w:lineRule="auto"/>
                    <w:ind w:left="52" w:right="228" w:hanging="25"/>
                    <w:rPr>
                      <w:rFonts w:ascii="Times New Roman" w:hAnsi="Times New Roman" w:cs="Times New Roman" w:eastAsiaTheme="minorEastAsia"/>
                      <w:color w:val="FF0000"/>
                      <w:sz w:val="21"/>
                      <w:szCs w:val="21"/>
                      <w:lang w:eastAsia="zh-CN"/>
                    </w:rPr>
                  </w:pPr>
                  <w:r>
                    <w:rPr>
                      <w:rFonts w:ascii="Times New Roman" w:hAnsi="Times New Roman" w:cs="Times New Roman" w:eastAsiaTheme="minorEastAsia"/>
                      <w:color w:val="FF0000"/>
                      <w:spacing w:val="9"/>
                      <w:sz w:val="21"/>
                      <w:szCs w:val="21"/>
                      <w:lang w:eastAsia="zh-CN"/>
                    </w:rPr>
                    <w:t>5.2报废机动车回收拆解企业厂区</w:t>
                  </w:r>
                  <w:r>
                    <w:rPr>
                      <w:rFonts w:ascii="Times New Roman" w:hAnsi="Times New Roman" w:cs="Times New Roman" w:eastAsiaTheme="minorEastAsia"/>
                      <w:color w:val="FF0000"/>
                      <w:spacing w:val="7"/>
                      <w:sz w:val="21"/>
                      <w:szCs w:val="21"/>
                      <w:lang w:eastAsia="zh-CN"/>
                    </w:rPr>
                    <w:t>内功能区的设计和建设应满足</w:t>
                  </w:r>
                  <w:r>
                    <w:rPr>
                      <w:rFonts w:ascii="Times New Roman" w:hAnsi="Times New Roman" w:cs="Times New Roman" w:eastAsiaTheme="minorEastAsia"/>
                      <w:color w:val="FF0000"/>
                      <w:spacing w:val="1"/>
                      <w:sz w:val="21"/>
                      <w:szCs w:val="21"/>
                      <w:lang w:eastAsia="zh-CN"/>
                    </w:rPr>
                    <w:t>以下要求：</w:t>
                  </w:r>
                </w:p>
                <w:p w14:paraId="74A458B5">
                  <w:pPr>
                    <w:pStyle w:val="116"/>
                    <w:spacing w:before="23"/>
                    <w:ind w:left="28" w:right="65"/>
                    <w:rPr>
                      <w:rFonts w:ascii="Times New Roman" w:hAnsi="Times New Roman" w:cs="Times New Roman" w:eastAsiaTheme="minorEastAsia"/>
                      <w:color w:val="FF0000"/>
                      <w:sz w:val="21"/>
                      <w:szCs w:val="21"/>
                      <w:lang w:eastAsia="zh-CN"/>
                    </w:rPr>
                  </w:pPr>
                  <w:r>
                    <w:rPr>
                      <w:rFonts w:ascii="Times New Roman" w:hAnsi="Times New Roman" w:cs="Times New Roman" w:eastAsiaTheme="minorEastAsia"/>
                      <w:color w:val="FF0000"/>
                      <w:spacing w:val="8"/>
                      <w:sz w:val="21"/>
                      <w:szCs w:val="21"/>
                      <w:lang w:eastAsia="zh-CN"/>
                    </w:rPr>
                    <w:t>a)作业区面积大小和功能区划分应满足拆解作业的需要；</w:t>
                  </w:r>
                </w:p>
                <w:p w14:paraId="5FEC2059">
                  <w:pPr>
                    <w:pStyle w:val="116"/>
                    <w:spacing w:before="25" w:line="241" w:lineRule="auto"/>
                    <w:ind w:left="30" w:right="53" w:hanging="10"/>
                    <w:rPr>
                      <w:rFonts w:ascii="Times New Roman" w:hAnsi="Times New Roman" w:cs="Times New Roman" w:eastAsiaTheme="minorEastAsia"/>
                      <w:color w:val="FF0000"/>
                      <w:sz w:val="21"/>
                      <w:szCs w:val="21"/>
                      <w:lang w:eastAsia="zh-CN"/>
                    </w:rPr>
                  </w:pPr>
                  <w:r>
                    <w:rPr>
                      <w:rFonts w:ascii="Times New Roman" w:hAnsi="Times New Roman" w:cs="Times New Roman" w:eastAsiaTheme="minorEastAsia"/>
                      <w:color w:val="FF0000"/>
                      <w:spacing w:val="9"/>
                      <w:sz w:val="21"/>
                      <w:szCs w:val="21"/>
                      <w:lang w:eastAsia="zh-CN"/>
                    </w:rPr>
                    <w:t>b)不同的功能区应具有明显的标</w:t>
                  </w:r>
                  <w:r>
                    <w:rPr>
                      <w:rFonts w:ascii="Times New Roman" w:hAnsi="Times New Roman" w:cs="Times New Roman" w:eastAsiaTheme="minorEastAsia"/>
                      <w:color w:val="FF0000"/>
                      <w:spacing w:val="-1"/>
                      <w:sz w:val="21"/>
                      <w:szCs w:val="21"/>
                      <w:lang w:eastAsia="zh-CN"/>
                    </w:rPr>
                    <w:t>识；</w:t>
                  </w:r>
                </w:p>
                <w:p w14:paraId="00A1D545">
                  <w:pPr>
                    <w:pStyle w:val="116"/>
                    <w:spacing w:before="22" w:line="244" w:lineRule="auto"/>
                    <w:ind w:left="35" w:right="25" w:hanging="8"/>
                    <w:rPr>
                      <w:rFonts w:ascii="Times New Roman" w:hAnsi="Times New Roman" w:cs="Times New Roman" w:eastAsiaTheme="minorEastAsia"/>
                      <w:color w:val="FF0000"/>
                      <w:sz w:val="21"/>
                      <w:szCs w:val="21"/>
                      <w:lang w:eastAsia="zh-CN"/>
                    </w:rPr>
                  </w:pPr>
                  <w:r>
                    <w:rPr>
                      <w:rFonts w:ascii="Times New Roman" w:hAnsi="Times New Roman" w:cs="Times New Roman" w:eastAsiaTheme="minorEastAsia"/>
                      <w:color w:val="FF0000"/>
                      <w:spacing w:val="8"/>
                      <w:sz w:val="21"/>
                      <w:szCs w:val="21"/>
                      <w:lang w:eastAsia="zh-CN"/>
                    </w:rPr>
                    <w:t>c)作业区应具有防渗地面和油水</w:t>
                  </w:r>
                  <w:r>
                    <w:rPr>
                      <w:rFonts w:ascii="Times New Roman" w:hAnsi="Times New Roman" w:cs="Times New Roman" w:eastAsiaTheme="minorEastAsia"/>
                      <w:color w:val="FF0000"/>
                      <w:spacing w:val="5"/>
                      <w:sz w:val="21"/>
                      <w:szCs w:val="21"/>
                      <w:lang w:eastAsia="zh-CN"/>
                    </w:rPr>
                    <w:t>收集设施，地面应符合</w:t>
                  </w:r>
                  <w:r>
                    <w:rPr>
                      <w:rFonts w:ascii="Times New Roman" w:hAnsi="Times New Roman" w:cs="Times New Roman" w:eastAsiaTheme="minorEastAsia"/>
                      <w:color w:val="FF0000"/>
                      <w:sz w:val="21"/>
                      <w:szCs w:val="21"/>
                      <w:lang w:eastAsia="zh-CN"/>
                    </w:rPr>
                    <w:t>GB</w:t>
                  </w:r>
                  <w:r>
                    <w:rPr>
                      <w:rFonts w:ascii="Times New Roman" w:hAnsi="Times New Roman" w:cs="Times New Roman" w:eastAsiaTheme="minorEastAsia"/>
                      <w:color w:val="FF0000"/>
                      <w:spacing w:val="5"/>
                      <w:sz w:val="21"/>
                      <w:szCs w:val="21"/>
                      <w:lang w:eastAsia="zh-CN"/>
                    </w:rPr>
                    <w:t>50037</w:t>
                  </w:r>
                  <w:r>
                    <w:rPr>
                      <w:rFonts w:ascii="Times New Roman" w:hAnsi="Times New Roman" w:cs="Times New Roman" w:eastAsiaTheme="minorEastAsia"/>
                      <w:color w:val="FF0000"/>
                      <w:spacing w:val="6"/>
                      <w:sz w:val="21"/>
                      <w:szCs w:val="21"/>
                      <w:lang w:eastAsia="zh-CN"/>
                    </w:rPr>
                    <w:t>的防油渗地面要求；</w:t>
                  </w:r>
                </w:p>
                <w:p w14:paraId="5B7F70DC">
                  <w:pPr>
                    <w:pStyle w:val="116"/>
                    <w:spacing w:before="24" w:line="244" w:lineRule="auto"/>
                    <w:ind w:left="27" w:right="22"/>
                    <w:rPr>
                      <w:rFonts w:ascii="Times New Roman" w:hAnsi="Times New Roman" w:cs="Times New Roman" w:eastAsiaTheme="minorEastAsia"/>
                      <w:color w:val="FF0000"/>
                      <w:sz w:val="21"/>
                      <w:szCs w:val="21"/>
                      <w:lang w:eastAsia="zh-CN"/>
                    </w:rPr>
                  </w:pPr>
                  <w:r>
                    <w:rPr>
                      <w:rFonts w:ascii="Times New Roman" w:hAnsi="Times New Roman" w:cs="Times New Roman" w:eastAsiaTheme="minorEastAsia"/>
                      <w:color w:val="FF0000"/>
                      <w:spacing w:val="8"/>
                      <w:sz w:val="21"/>
                      <w:szCs w:val="21"/>
                      <w:lang w:eastAsia="zh-CN"/>
                    </w:rPr>
                    <w:t>d)作业区地面混凝土强度等级不</w:t>
                  </w:r>
                  <w:r>
                    <w:rPr>
                      <w:rFonts w:ascii="Times New Roman" w:hAnsi="Times New Roman" w:cs="Times New Roman" w:eastAsiaTheme="minorEastAsia"/>
                      <w:color w:val="FF0000"/>
                      <w:sz w:val="21"/>
                      <w:szCs w:val="21"/>
                      <w:lang w:eastAsia="zh-CN"/>
                    </w:rPr>
                    <w:t>低于C20，厚度不低于150mm，</w:t>
                  </w:r>
                  <w:r>
                    <w:rPr>
                      <w:rFonts w:ascii="Times New Roman" w:hAnsi="Times New Roman" w:cs="Times New Roman" w:eastAsiaTheme="minorEastAsia"/>
                      <w:color w:val="FF0000"/>
                      <w:spacing w:val="9"/>
                      <w:sz w:val="21"/>
                      <w:szCs w:val="21"/>
                      <w:lang w:eastAsia="zh-CN"/>
                    </w:rPr>
                    <w:t>其中物流通道路面和拆解作业</w:t>
                  </w:r>
                  <w:r>
                    <w:rPr>
                      <w:rFonts w:ascii="Times New Roman" w:hAnsi="Times New Roman" w:cs="Times New Roman" w:eastAsiaTheme="minorEastAsia"/>
                      <w:color w:val="FF0000"/>
                      <w:spacing w:val="5"/>
                      <w:sz w:val="21"/>
                      <w:szCs w:val="21"/>
                      <w:lang w:eastAsia="zh-CN"/>
                    </w:rPr>
                    <w:t>区域强度不低于C30，厚度不低</w:t>
                  </w:r>
                  <w:r>
                    <w:rPr>
                      <w:rFonts w:ascii="Times New Roman" w:hAnsi="Times New Roman" w:cs="Times New Roman" w:eastAsiaTheme="minorEastAsia"/>
                      <w:color w:val="FF0000"/>
                      <w:spacing w:val="6"/>
                      <w:sz w:val="21"/>
                      <w:szCs w:val="21"/>
                      <w:lang w:eastAsia="zh-CN"/>
                    </w:rPr>
                    <w:t>于200</w:t>
                  </w:r>
                  <w:r>
                    <w:rPr>
                      <w:rFonts w:ascii="Times New Roman" w:hAnsi="Times New Roman" w:cs="Times New Roman" w:eastAsiaTheme="minorEastAsia"/>
                      <w:color w:val="FF0000"/>
                      <w:sz w:val="21"/>
                      <w:szCs w:val="21"/>
                      <w:lang w:eastAsia="zh-CN"/>
                    </w:rPr>
                    <w:t>mm</w:t>
                  </w:r>
                  <w:r>
                    <w:rPr>
                      <w:rFonts w:ascii="Times New Roman" w:hAnsi="Times New Roman" w:cs="Times New Roman" w:eastAsiaTheme="minorEastAsia"/>
                      <w:color w:val="FF0000"/>
                      <w:spacing w:val="6"/>
                      <w:sz w:val="21"/>
                      <w:szCs w:val="21"/>
                      <w:lang w:eastAsia="zh-CN"/>
                    </w:rPr>
                    <w:t>。大型拆解设备承重</w:t>
                  </w:r>
                  <w:r>
                    <w:rPr>
                      <w:rFonts w:ascii="Times New Roman" w:hAnsi="Times New Roman" w:cs="Times New Roman" w:eastAsiaTheme="minorEastAsia"/>
                      <w:color w:val="FF0000"/>
                      <w:spacing w:val="9"/>
                      <w:sz w:val="21"/>
                      <w:szCs w:val="21"/>
                      <w:lang w:eastAsia="zh-CN"/>
                    </w:rPr>
                    <w:t>区域的硬化标准参照设备工艺</w:t>
                  </w:r>
                  <w:r>
                    <w:rPr>
                      <w:rFonts w:ascii="Times New Roman" w:hAnsi="Times New Roman" w:cs="Times New Roman" w:eastAsiaTheme="minorEastAsia"/>
                      <w:color w:val="FF0000"/>
                      <w:spacing w:val="5"/>
                      <w:sz w:val="21"/>
                      <w:szCs w:val="21"/>
                      <w:lang w:eastAsia="zh-CN"/>
                    </w:rPr>
                    <w:t>要求执行；</w:t>
                  </w:r>
                </w:p>
                <w:p w14:paraId="43199BFD">
                  <w:pPr>
                    <w:pStyle w:val="116"/>
                    <w:spacing w:before="26"/>
                    <w:ind w:left="28" w:right="65"/>
                    <w:rPr>
                      <w:rFonts w:ascii="Times New Roman" w:hAnsi="Times New Roman" w:cs="Times New Roman" w:eastAsiaTheme="minorEastAsia"/>
                      <w:color w:val="FF0000"/>
                      <w:sz w:val="21"/>
                      <w:szCs w:val="21"/>
                      <w:lang w:eastAsia="zh-CN"/>
                    </w:rPr>
                  </w:pPr>
                  <w:r>
                    <w:rPr>
                      <w:rFonts w:ascii="Times New Roman" w:hAnsi="Times New Roman" w:cs="Times New Roman" w:eastAsiaTheme="minorEastAsia"/>
                      <w:color w:val="FF0000"/>
                      <w:spacing w:val="8"/>
                      <w:sz w:val="21"/>
                      <w:szCs w:val="21"/>
                      <w:lang w:eastAsia="zh-CN"/>
                    </w:rPr>
                    <w:t>e)拆解区应为封闭或半封闭建筑</w:t>
                  </w:r>
                  <w:r>
                    <w:rPr>
                      <w:rFonts w:ascii="Times New Roman" w:hAnsi="Times New Roman" w:cs="Times New Roman" w:eastAsiaTheme="minorEastAsia"/>
                      <w:color w:val="FF0000"/>
                      <w:sz w:val="21"/>
                      <w:szCs w:val="21"/>
                      <w:lang w:eastAsia="zh-CN"/>
                    </w:rPr>
                    <w:t>物；</w:t>
                  </w:r>
                </w:p>
                <w:p w14:paraId="488205B6">
                  <w:pPr>
                    <w:pStyle w:val="116"/>
                    <w:spacing w:before="25" w:line="221" w:lineRule="auto"/>
                    <w:ind w:left="28"/>
                    <w:rPr>
                      <w:rFonts w:ascii="Times New Roman" w:hAnsi="Times New Roman" w:cs="Times New Roman" w:eastAsiaTheme="minorEastAsia"/>
                      <w:color w:val="FF0000"/>
                      <w:sz w:val="21"/>
                      <w:szCs w:val="21"/>
                      <w:lang w:eastAsia="zh-CN"/>
                    </w:rPr>
                  </w:pPr>
                  <w:r>
                    <w:rPr>
                      <w:rFonts w:ascii="Times New Roman" w:hAnsi="Times New Roman" w:cs="Times New Roman" w:eastAsiaTheme="minorEastAsia"/>
                      <w:color w:val="FF0000"/>
                      <w:spacing w:val="8"/>
                      <w:sz w:val="21"/>
                      <w:szCs w:val="21"/>
                      <w:lang w:eastAsia="zh-CN"/>
                    </w:rPr>
                    <w:t>f)破碎分选区应设在封闭区域</w:t>
                  </w:r>
                  <w:r>
                    <w:rPr>
                      <w:rFonts w:ascii="Times New Roman" w:hAnsi="Times New Roman" w:cs="Times New Roman" w:eastAsiaTheme="minorEastAsia"/>
                      <w:color w:val="FF0000"/>
                      <w:spacing w:val="6"/>
                      <w:sz w:val="21"/>
                      <w:szCs w:val="21"/>
                      <w:lang w:eastAsia="zh-CN"/>
                    </w:rPr>
                    <w:t>内，控制工业废气、粉尘和噪声</w:t>
                  </w:r>
                  <w:r>
                    <w:rPr>
                      <w:rFonts w:ascii="Times New Roman" w:hAnsi="Times New Roman" w:cs="Times New Roman" w:eastAsiaTheme="minorEastAsia"/>
                      <w:color w:val="FF0000"/>
                      <w:spacing w:val="2"/>
                      <w:sz w:val="21"/>
                      <w:szCs w:val="21"/>
                      <w:lang w:eastAsia="zh-CN"/>
                    </w:rPr>
                    <w:t>污染；</w:t>
                  </w:r>
                  <w:r>
                    <w:rPr>
                      <w:rFonts w:ascii="Times New Roman" w:hAnsi="Times New Roman" w:cs="Times New Roman" w:eastAsiaTheme="minorEastAsia"/>
                      <w:color w:val="FF0000"/>
                      <w:spacing w:val="8"/>
                      <w:sz w:val="21"/>
                      <w:szCs w:val="21"/>
                      <w:lang w:eastAsia="zh-CN"/>
                    </w:rPr>
                    <w:t>g)危险废物贮存区应设置液体导流和收集装置，地面应无液体积聚，如有冲洗废水应纳入废水收</w:t>
                  </w:r>
                  <w:r>
                    <w:rPr>
                      <w:rFonts w:ascii="Times New Roman" w:hAnsi="Times New Roman" w:cs="Times New Roman" w:eastAsiaTheme="minorEastAsia"/>
                      <w:color w:val="FF0000"/>
                      <w:spacing w:val="7"/>
                      <w:sz w:val="21"/>
                      <w:szCs w:val="21"/>
                      <w:lang w:eastAsia="zh-CN"/>
                    </w:rPr>
                    <w:t>集处理设施处理；</w:t>
                  </w:r>
                </w:p>
                <w:p w14:paraId="3F21F7ED">
                  <w:pPr>
                    <w:pStyle w:val="116"/>
                    <w:spacing w:before="26" w:line="247" w:lineRule="auto"/>
                    <w:ind w:left="27" w:hanging="6"/>
                    <w:rPr>
                      <w:rFonts w:ascii="Times New Roman" w:hAnsi="Times New Roman" w:cs="Times New Roman" w:eastAsiaTheme="minorEastAsia"/>
                      <w:color w:val="FF0000"/>
                      <w:sz w:val="21"/>
                      <w:szCs w:val="21"/>
                      <w:lang w:eastAsia="zh-CN"/>
                    </w:rPr>
                  </w:pPr>
                  <w:r>
                    <w:rPr>
                      <w:rFonts w:ascii="Times New Roman" w:hAnsi="Times New Roman" w:cs="Times New Roman" w:eastAsiaTheme="minorEastAsia"/>
                      <w:color w:val="FF0000"/>
                      <w:spacing w:val="7"/>
                      <w:sz w:val="21"/>
                      <w:szCs w:val="21"/>
                      <w:lang w:eastAsia="zh-CN"/>
                    </w:rPr>
                    <w:t>h)不同种类的危险废物应单独收</w:t>
                  </w:r>
                  <w:r>
                    <w:rPr>
                      <w:rFonts w:ascii="Times New Roman" w:hAnsi="Times New Roman" w:cs="Times New Roman" w:eastAsiaTheme="minorEastAsia"/>
                      <w:color w:val="FF0000"/>
                      <w:spacing w:val="-4"/>
                      <w:sz w:val="21"/>
                      <w:szCs w:val="21"/>
                      <w:lang w:eastAsia="zh-CN"/>
                    </w:rPr>
                    <w:t>集、分类存放，中间有明显间隔；</w:t>
                  </w:r>
                  <w:r>
                    <w:rPr>
                      <w:rFonts w:ascii="Times New Roman" w:hAnsi="Times New Roman" w:cs="Times New Roman" w:eastAsiaTheme="minorEastAsia"/>
                      <w:color w:val="FF0000"/>
                      <w:spacing w:val="7"/>
                      <w:sz w:val="21"/>
                      <w:szCs w:val="21"/>
                      <w:lang w:eastAsia="zh-CN"/>
                    </w:rPr>
                    <w:t>贮存场所应设置警示标识，同时</w:t>
                  </w:r>
                  <w:r>
                    <w:rPr>
                      <w:rFonts w:ascii="Times New Roman" w:hAnsi="Times New Roman" w:cs="Times New Roman" w:eastAsiaTheme="minorEastAsia"/>
                      <w:color w:val="FF0000"/>
                      <w:spacing w:val="4"/>
                      <w:sz w:val="21"/>
                      <w:szCs w:val="21"/>
                      <w:lang w:eastAsia="zh-CN"/>
                    </w:rPr>
                    <w:t>还应满足</w:t>
                  </w:r>
                  <w:r>
                    <w:rPr>
                      <w:rFonts w:ascii="Times New Roman" w:hAnsi="Times New Roman" w:cs="Times New Roman" w:eastAsiaTheme="minorEastAsia"/>
                      <w:color w:val="FF0000"/>
                      <w:sz w:val="21"/>
                      <w:szCs w:val="21"/>
                      <w:lang w:eastAsia="zh-CN"/>
                    </w:rPr>
                    <w:t>GB</w:t>
                  </w:r>
                  <w:r>
                    <w:rPr>
                      <w:rFonts w:ascii="Times New Roman" w:hAnsi="Times New Roman" w:cs="Times New Roman" w:eastAsiaTheme="minorEastAsia"/>
                      <w:color w:val="FF0000"/>
                      <w:spacing w:val="4"/>
                      <w:sz w:val="21"/>
                      <w:szCs w:val="21"/>
                      <w:lang w:eastAsia="zh-CN"/>
                    </w:rPr>
                    <w:t>18597中其他相关</w:t>
                  </w:r>
                  <w:r>
                    <w:rPr>
                      <w:rFonts w:ascii="Times New Roman" w:hAnsi="Times New Roman" w:cs="Times New Roman" w:eastAsiaTheme="minorEastAsia"/>
                      <w:color w:val="FF0000"/>
                      <w:spacing w:val="2"/>
                      <w:sz w:val="21"/>
                      <w:szCs w:val="21"/>
                      <w:lang w:eastAsia="zh-CN"/>
                    </w:rPr>
                    <w:t>要求；</w:t>
                  </w:r>
                </w:p>
                <w:p w14:paraId="15310CA7">
                  <w:pPr>
                    <w:pStyle w:val="116"/>
                    <w:spacing w:before="24" w:line="245" w:lineRule="auto"/>
                    <w:ind w:left="28" w:right="26" w:hanging="2"/>
                    <w:rPr>
                      <w:rFonts w:ascii="Times New Roman" w:hAnsi="Times New Roman" w:cs="Times New Roman" w:eastAsiaTheme="minorEastAsia"/>
                      <w:color w:val="FF0000"/>
                      <w:sz w:val="21"/>
                      <w:szCs w:val="21"/>
                      <w:lang w:eastAsia="zh-CN"/>
                    </w:rPr>
                  </w:pPr>
                  <w:r>
                    <w:rPr>
                      <w:rFonts w:ascii="Times New Roman" w:hAnsi="Times New Roman" w:cs="Times New Roman" w:eastAsiaTheme="minorEastAsia"/>
                      <w:color w:val="FF0000"/>
                      <w:spacing w:val="8"/>
                      <w:sz w:val="21"/>
                      <w:szCs w:val="21"/>
                      <w:lang w:eastAsia="zh-CN"/>
                    </w:rPr>
                    <w:t>i)铅蓄电池的拆卸、贮存区的地面应做防酸、防腐、防渗及硬化</w:t>
                  </w:r>
                  <w:r>
                    <w:rPr>
                      <w:rFonts w:ascii="Times New Roman" w:hAnsi="Times New Roman" w:cs="Times New Roman" w:eastAsiaTheme="minorEastAsia"/>
                      <w:color w:val="FF0000"/>
                      <w:spacing w:val="3"/>
                      <w:sz w:val="21"/>
                      <w:szCs w:val="21"/>
                      <w:lang w:eastAsia="zh-CN"/>
                    </w:rPr>
                    <w:t>处理，同时还应满足</w:t>
                  </w:r>
                  <w:r>
                    <w:rPr>
                      <w:rFonts w:ascii="Times New Roman" w:hAnsi="Times New Roman" w:cs="Times New Roman" w:eastAsiaTheme="minorEastAsia"/>
                      <w:color w:val="FF0000"/>
                      <w:sz w:val="21"/>
                      <w:szCs w:val="21"/>
                      <w:lang w:eastAsia="zh-CN"/>
                    </w:rPr>
                    <w:t>HJ</w:t>
                  </w:r>
                  <w:r>
                    <w:rPr>
                      <w:rFonts w:ascii="Times New Roman" w:hAnsi="Times New Roman" w:cs="Times New Roman" w:eastAsiaTheme="minorEastAsia"/>
                      <w:color w:val="FF0000"/>
                      <w:spacing w:val="3"/>
                      <w:sz w:val="21"/>
                      <w:szCs w:val="21"/>
                      <w:lang w:eastAsia="zh-CN"/>
                    </w:rPr>
                    <w:t>519中</w:t>
                  </w:r>
                  <w:r>
                    <w:rPr>
                      <w:rFonts w:ascii="Times New Roman" w:hAnsi="Times New Roman" w:cs="Times New Roman" w:eastAsiaTheme="minorEastAsia"/>
                      <w:color w:val="FF0000"/>
                      <w:spacing w:val="6"/>
                      <w:sz w:val="21"/>
                      <w:szCs w:val="21"/>
                      <w:lang w:eastAsia="zh-CN"/>
                    </w:rPr>
                    <w:t>其他相关要求；</w:t>
                  </w:r>
                </w:p>
                <w:p w14:paraId="15BF1612">
                  <w:pPr>
                    <w:pStyle w:val="116"/>
                    <w:spacing w:before="26" w:line="247" w:lineRule="auto"/>
                    <w:ind w:left="27" w:right="26" w:hanging="23"/>
                    <w:rPr>
                      <w:rFonts w:ascii="Times New Roman" w:hAnsi="Times New Roman" w:cs="Times New Roman" w:eastAsiaTheme="minorEastAsia"/>
                      <w:color w:val="FF0000"/>
                      <w:sz w:val="21"/>
                      <w:szCs w:val="21"/>
                      <w:lang w:eastAsia="zh-CN"/>
                    </w:rPr>
                  </w:pPr>
                  <w:r>
                    <w:rPr>
                      <w:rFonts w:ascii="Times New Roman" w:hAnsi="Times New Roman" w:cs="Times New Roman" w:eastAsiaTheme="minorEastAsia"/>
                      <w:color w:val="FF0000"/>
                      <w:spacing w:val="10"/>
                      <w:sz w:val="21"/>
                      <w:szCs w:val="21"/>
                      <w:lang w:eastAsia="zh-CN"/>
                    </w:rPr>
                    <w:t>j)动力蓄电池拆卸、贮存区应满</w:t>
                  </w:r>
                  <w:r>
                    <w:rPr>
                      <w:rFonts w:ascii="Times New Roman" w:hAnsi="Times New Roman" w:cs="Times New Roman" w:eastAsiaTheme="minorEastAsia"/>
                      <w:color w:val="FF0000"/>
                      <w:spacing w:val="6"/>
                      <w:sz w:val="21"/>
                      <w:szCs w:val="21"/>
                      <w:lang w:eastAsia="zh-CN"/>
                    </w:rPr>
                    <w:t>足</w:t>
                  </w:r>
                  <w:r>
                    <w:rPr>
                      <w:rFonts w:ascii="Times New Roman" w:hAnsi="Times New Roman" w:cs="Times New Roman" w:eastAsiaTheme="minorEastAsia"/>
                      <w:color w:val="FF0000"/>
                      <w:sz w:val="21"/>
                      <w:szCs w:val="21"/>
                      <w:lang w:eastAsia="zh-CN"/>
                    </w:rPr>
                    <w:t>HJ</w:t>
                  </w:r>
                  <w:r>
                    <w:rPr>
                      <w:rFonts w:ascii="Times New Roman" w:hAnsi="Times New Roman" w:cs="Times New Roman" w:eastAsiaTheme="minorEastAsia"/>
                      <w:color w:val="FF0000"/>
                      <w:spacing w:val="6"/>
                      <w:sz w:val="21"/>
                      <w:szCs w:val="21"/>
                      <w:lang w:eastAsia="zh-CN"/>
                    </w:rPr>
                    <w:t>1186中的相关要求，地面</w:t>
                  </w:r>
                  <w:r>
                    <w:rPr>
                      <w:rFonts w:ascii="Times New Roman" w:hAnsi="Times New Roman" w:cs="Times New Roman" w:eastAsiaTheme="minorEastAsia"/>
                      <w:color w:val="FF0000"/>
                      <w:spacing w:val="8"/>
                      <w:sz w:val="21"/>
                      <w:szCs w:val="21"/>
                      <w:lang w:eastAsia="zh-CN"/>
                    </w:rPr>
                    <w:t>应采用环氧地坪等硬化措施，地面应做防酸、防腐、防渗、硬化</w:t>
                  </w:r>
                  <w:r>
                    <w:rPr>
                      <w:rFonts w:ascii="Times New Roman" w:hAnsi="Times New Roman" w:cs="Times New Roman" w:eastAsiaTheme="minorEastAsia"/>
                      <w:color w:val="FF0000"/>
                      <w:spacing w:val="6"/>
                      <w:sz w:val="21"/>
                      <w:szCs w:val="21"/>
                      <w:lang w:eastAsia="zh-CN"/>
                    </w:rPr>
                    <w:t>及绝缘处理；</w:t>
                  </w:r>
                </w:p>
                <w:p w14:paraId="5EBE7B3E">
                  <w:pPr>
                    <w:pStyle w:val="116"/>
                    <w:widowControl/>
                    <w:adjustRightInd w:val="0"/>
                    <w:snapToGrid w:val="0"/>
                    <w:spacing w:before="35" w:line="227" w:lineRule="auto"/>
                    <w:ind w:left="27"/>
                    <w:rPr>
                      <w:rFonts w:ascii="Times New Roman" w:hAnsi="Times New Roman" w:cs="Times New Roman" w:eastAsiaTheme="minorEastAsia"/>
                      <w:color w:val="FF0000"/>
                      <w:spacing w:val="-6"/>
                      <w:sz w:val="21"/>
                      <w:szCs w:val="21"/>
                      <w:lang w:eastAsia="zh-CN"/>
                    </w:rPr>
                  </w:pPr>
                  <w:r>
                    <w:rPr>
                      <w:rFonts w:ascii="Times New Roman" w:hAnsi="Times New Roman" w:cs="Times New Roman" w:eastAsiaTheme="minorEastAsia"/>
                      <w:color w:val="FF0000"/>
                      <w:spacing w:val="9"/>
                      <w:sz w:val="21"/>
                      <w:szCs w:val="21"/>
                      <w:lang w:eastAsia="zh-CN"/>
                    </w:rPr>
                    <w:t>k)各贮存区应在显著位置设置标</w:t>
                  </w:r>
                  <w:r>
                    <w:rPr>
                      <w:rFonts w:ascii="Times New Roman" w:hAnsi="Times New Roman" w:cs="Times New Roman" w:eastAsiaTheme="minorEastAsia"/>
                      <w:color w:val="FF0000"/>
                      <w:spacing w:val="8"/>
                      <w:sz w:val="21"/>
                      <w:szCs w:val="21"/>
                      <w:lang w:eastAsia="zh-CN"/>
                    </w:rPr>
                    <w:t>识，标明贮存物的类别、名称、规格、注意事项等，根据其特性合理划分贮存区域，采取必要的</w:t>
                  </w:r>
                  <w:r>
                    <w:rPr>
                      <w:rFonts w:ascii="Times New Roman" w:hAnsi="Times New Roman" w:cs="Times New Roman" w:eastAsiaTheme="minorEastAsia"/>
                      <w:color w:val="FF0000"/>
                      <w:spacing w:val="5"/>
                      <w:sz w:val="21"/>
                      <w:szCs w:val="21"/>
                      <w:lang w:eastAsia="zh-CN"/>
                    </w:rPr>
                    <w:t>隔离措施。</w:t>
                  </w:r>
                </w:p>
              </w:tc>
              <w:tc>
                <w:tcPr>
                  <w:tcW w:w="1993" w:type="pct"/>
                  <w:tcBorders>
                    <w:tl2br w:val="nil"/>
                    <w:tr2bl w:val="nil"/>
                  </w:tcBorders>
                  <w:vAlign w:val="center"/>
                </w:tcPr>
                <w:p w14:paraId="7EAEC6A2">
                  <w:pPr>
                    <w:widowControl/>
                    <w:adjustRightInd w:val="0"/>
                    <w:snapToGrid w:val="0"/>
                    <w:jc w:val="center"/>
                    <w:rPr>
                      <w:rFonts w:eastAsiaTheme="minorEastAsia"/>
                      <w:color w:val="FF0000"/>
                      <w:spacing w:val="9"/>
                      <w:szCs w:val="21"/>
                    </w:rPr>
                  </w:pPr>
                  <w:r>
                    <w:rPr>
                      <w:rFonts w:hint="default" w:eastAsiaTheme="minorEastAsia"/>
                      <w:color w:val="FF0000"/>
                      <w:spacing w:val="9"/>
                      <w:szCs w:val="21"/>
                    </w:rPr>
                    <w:t>作业区面积与功能区划分完全满足拆解需求：拆解车间（4000㎡）细分动力蓄电池拆卸区（120㎡）、铅蓄电池拆卸区（80㎡）、拆解区（1000㎡）等9大功能区，整车贮存区（</w:t>
                  </w:r>
                  <w:r>
                    <w:rPr>
                      <w:rFonts w:hint="eastAsia" w:eastAsiaTheme="minorEastAsia"/>
                      <w:color w:val="FF0000"/>
                      <w:spacing w:val="9"/>
                      <w:szCs w:val="21"/>
                      <w:lang w:val="en-US" w:eastAsia="zh-CN"/>
                    </w:rPr>
                    <w:t>6</w:t>
                  </w:r>
                  <w:r>
                    <w:rPr>
                      <w:rFonts w:hint="default" w:eastAsiaTheme="minorEastAsia"/>
                      <w:color w:val="FF0000"/>
                      <w:spacing w:val="9"/>
                      <w:szCs w:val="21"/>
                    </w:rPr>
                    <w:t>000㎡）分设传统燃料车与电动车区域，事故车辆独立隔离贮存，布局合理。功能区标识系统已落实高压警示、危废标识等关键区域标记，但需在拆解区、破碎区等区域补充统一标识以完全满足规范。</w:t>
                  </w:r>
                </w:p>
                <w:p w14:paraId="1853BB9D">
                  <w:pPr>
                    <w:widowControl/>
                    <w:adjustRightInd w:val="0"/>
                    <w:snapToGrid w:val="0"/>
                    <w:jc w:val="center"/>
                    <w:rPr>
                      <w:rFonts w:hint="default" w:eastAsiaTheme="minorEastAsia"/>
                      <w:color w:val="FF0000"/>
                      <w:spacing w:val="9"/>
                      <w:szCs w:val="21"/>
                    </w:rPr>
                  </w:pPr>
                  <w:r>
                    <w:rPr>
                      <w:rFonts w:hint="default" w:eastAsiaTheme="minorEastAsia"/>
                      <w:color w:val="FF0000"/>
                      <w:spacing w:val="9"/>
                      <w:szCs w:val="21"/>
                    </w:rPr>
                    <w:t>地面防渗与收集设施全面达标：所有作业区（如拆解区、危废间、车辆清洗间）均采用C25-C35混凝土基础结合环氧涂层/HDPE膜防渗，强度（≥C25）与厚度（≥150mm）均超规范最低要求（C20/150mm），物流通道及拆解区更达C30-C35/200mm高标准。油水收集系统覆盖全面，包括拆解区引流至污水处理站的集油沟、危废区导流沟连接应急池、电池区防漏托盘及导流槽等，符合GB50037防油渗要求。建筑封闭性严格执行，拆解车间整体为封闭厂房，破碎分选区（500㎡）全封闭设计并配备隔声墙体（≥25dB）与减震基座（隔振效率≥80%）。</w:t>
                  </w:r>
                </w:p>
                <w:p w14:paraId="687732EB">
                  <w:pPr>
                    <w:widowControl/>
                    <w:adjustRightInd w:val="0"/>
                    <w:snapToGrid w:val="0"/>
                    <w:jc w:val="center"/>
                    <w:rPr>
                      <w:rFonts w:hint="default" w:eastAsiaTheme="minorEastAsia"/>
                      <w:color w:val="FF0000"/>
                      <w:spacing w:val="9"/>
                      <w:szCs w:val="21"/>
                    </w:rPr>
                  </w:pPr>
                  <w:r>
                    <w:rPr>
                      <w:rFonts w:hint="default" w:eastAsiaTheme="minorEastAsia"/>
                      <w:color w:val="FF0000"/>
                      <w:spacing w:val="9"/>
                      <w:szCs w:val="21"/>
                    </w:rPr>
                    <w:t>危险废物管理体系完善：危废贮存点（共80㎡）分设4个独立区域，实现分类存放；铅蓄电池区地面采用耐酸防腐材料（PVC卷材）且坡度≥2%引流至收集井，动力电池区实施环氧地坪+绝缘处理（电阻≥10⁹Ω），均满足HJ519和HJ1186的防酸、防腐、防渗及绝缘要求；贮存区设置导流沟及应急池，冲洗废水纳入污水处理系统，杜绝液体积聚。危废警示标识与分类隔离措施符合GB18597，但一般固废与回用件贮存区需增补标识牌，明确标注贮存物属性及注意事项以全面满足规范。</w:t>
                  </w:r>
                </w:p>
                <w:p w14:paraId="4C8AD709">
                  <w:pPr>
                    <w:widowControl/>
                    <w:adjustRightInd w:val="0"/>
                    <w:snapToGrid w:val="0"/>
                    <w:jc w:val="center"/>
                    <w:rPr>
                      <w:rFonts w:eastAsiaTheme="minorEastAsia"/>
                      <w:color w:val="FF0000"/>
                      <w:spacing w:val="9"/>
                      <w:szCs w:val="21"/>
                    </w:rPr>
                  </w:pPr>
                  <w:r>
                    <w:rPr>
                      <w:rFonts w:hint="default" w:eastAsiaTheme="minorEastAsia"/>
                      <w:color w:val="FF0000"/>
                      <w:spacing w:val="9"/>
                      <w:szCs w:val="21"/>
                    </w:rPr>
                    <w:t>特殊区域强化措施显著优化：动力电池区绝缘电阻（≥10⁹Ω）远超规范（≥10⁶Ω），配备防爆电器、自动灭火系统及温湿度控制（15-25℃/湿度≤60%）；事故车贮存区设防雨棚、电解液专用收集容器及隔离管理；破碎分选区集成集尘罩与布袋除尘器（颗粒物≤20mg/m³），有效控制污染。防渗等级重点区域（拆解车间、危废间等）等效6m黏土层防渗性能（≤1.0×10⁻⁷cm/s），满足GB18597严格标准。</w:t>
                  </w:r>
                </w:p>
              </w:tc>
              <w:tc>
                <w:tcPr>
                  <w:tcW w:w="282" w:type="pct"/>
                  <w:tcBorders>
                    <w:tl2br w:val="nil"/>
                    <w:tr2bl w:val="nil"/>
                  </w:tcBorders>
                  <w:vAlign w:val="center"/>
                </w:tcPr>
                <w:p w14:paraId="05684220">
                  <w:pPr>
                    <w:widowControl/>
                    <w:adjustRightInd w:val="0"/>
                    <w:snapToGrid w:val="0"/>
                    <w:jc w:val="center"/>
                    <w:rPr>
                      <w:rFonts w:eastAsiaTheme="minorEastAsia"/>
                      <w:szCs w:val="21"/>
                    </w:rPr>
                  </w:pPr>
                  <w:r>
                    <w:rPr>
                      <w:rFonts w:eastAsiaTheme="minorEastAsia"/>
                      <w:szCs w:val="21"/>
                    </w:rPr>
                    <w:t>符合</w:t>
                  </w:r>
                </w:p>
              </w:tc>
            </w:tr>
            <w:tr w14:paraId="6A0D5044">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25" w:type="pct"/>
                  <w:tcBorders>
                    <w:tl2br w:val="nil"/>
                    <w:tr2bl w:val="nil"/>
                  </w:tcBorders>
                  <w:vAlign w:val="center"/>
                </w:tcPr>
                <w:p w14:paraId="7D465E59">
                  <w:pPr>
                    <w:widowControl/>
                    <w:adjustRightInd w:val="0"/>
                    <w:snapToGrid w:val="0"/>
                    <w:rPr>
                      <w:rFonts w:eastAsiaTheme="minorEastAsia"/>
                      <w:spacing w:val="-6"/>
                      <w:szCs w:val="21"/>
                    </w:rPr>
                  </w:pPr>
                  <w:r>
                    <w:rPr>
                      <w:rFonts w:eastAsiaTheme="minorEastAsia"/>
                      <w:spacing w:val="-6"/>
                      <w:szCs w:val="21"/>
                    </w:rPr>
                    <w:t>11</w:t>
                  </w:r>
                </w:p>
              </w:tc>
              <w:tc>
                <w:tcPr>
                  <w:tcW w:w="2398" w:type="pct"/>
                  <w:tcBorders>
                    <w:tl2br w:val="nil"/>
                    <w:tr2bl w:val="nil"/>
                  </w:tcBorders>
                  <w:vAlign w:val="center"/>
                </w:tcPr>
                <w:p w14:paraId="0F9E81B5">
                  <w:pPr>
                    <w:pStyle w:val="116"/>
                    <w:spacing w:before="36" w:line="227" w:lineRule="auto"/>
                    <w:ind w:left="27"/>
                    <w:rPr>
                      <w:rFonts w:ascii="Times New Roman" w:hAnsi="Times New Roman" w:cs="Times New Roman" w:eastAsiaTheme="minorEastAsia"/>
                      <w:color w:val="FF0000"/>
                      <w:spacing w:val="-6"/>
                      <w:sz w:val="21"/>
                      <w:szCs w:val="21"/>
                      <w:lang w:eastAsia="zh-CN"/>
                    </w:rPr>
                  </w:pPr>
                  <w:r>
                    <w:rPr>
                      <w:rFonts w:ascii="Times New Roman" w:hAnsi="Times New Roman" w:cs="Times New Roman" w:eastAsiaTheme="minorEastAsia"/>
                      <w:color w:val="FF0000"/>
                      <w:spacing w:val="9"/>
                      <w:sz w:val="21"/>
                      <w:szCs w:val="21"/>
                      <w:lang w:eastAsia="zh-CN"/>
                    </w:rPr>
                    <w:t>5.3报废机动车回收拆解企业内的</w:t>
                  </w:r>
                  <w:r>
                    <w:rPr>
                      <w:rFonts w:ascii="Times New Roman" w:hAnsi="Times New Roman" w:cs="Times New Roman" w:eastAsiaTheme="minorEastAsia"/>
                      <w:color w:val="FF0000"/>
                      <w:spacing w:val="8"/>
                      <w:sz w:val="21"/>
                      <w:szCs w:val="21"/>
                      <w:lang w:eastAsia="zh-CN"/>
                    </w:rPr>
                    <w:t>道路应采取硬化措施，如出现破</w:t>
                  </w:r>
                  <w:r>
                    <w:rPr>
                      <w:rFonts w:hint="eastAsia" w:ascii="Times New Roman" w:hAnsi="Times New Roman" w:cs="Times New Roman" w:eastAsiaTheme="minorEastAsia"/>
                      <w:color w:val="FF0000"/>
                      <w:spacing w:val="8"/>
                      <w:sz w:val="21"/>
                      <w:szCs w:val="21"/>
                      <w:lang w:eastAsia="zh-CN"/>
                    </w:rPr>
                    <w:t>损</w:t>
                  </w:r>
                  <w:r>
                    <w:rPr>
                      <w:rFonts w:ascii="Times New Roman" w:hAnsi="Times New Roman" w:cs="Times New Roman" w:eastAsiaTheme="minorEastAsia"/>
                      <w:color w:val="FF0000"/>
                      <w:spacing w:val="7"/>
                      <w:sz w:val="21"/>
                      <w:szCs w:val="21"/>
                      <w:lang w:eastAsia="zh-CN"/>
                    </w:rPr>
                    <w:t>应及时维修。</w:t>
                  </w:r>
                </w:p>
              </w:tc>
              <w:tc>
                <w:tcPr>
                  <w:tcW w:w="1993" w:type="pct"/>
                  <w:tcBorders>
                    <w:tl2br w:val="nil"/>
                    <w:tr2bl w:val="nil"/>
                  </w:tcBorders>
                  <w:vAlign w:val="center"/>
                </w:tcPr>
                <w:p w14:paraId="4EE2BC84">
                  <w:pPr>
                    <w:widowControl/>
                    <w:adjustRightInd w:val="0"/>
                    <w:snapToGrid w:val="0"/>
                    <w:jc w:val="center"/>
                    <w:rPr>
                      <w:rFonts w:eastAsiaTheme="minorEastAsia"/>
                      <w:color w:val="FF0000"/>
                      <w:spacing w:val="9"/>
                      <w:szCs w:val="21"/>
                    </w:rPr>
                  </w:pPr>
                  <w:r>
                    <w:rPr>
                      <w:rFonts w:hint="eastAsia" w:eastAsiaTheme="minorEastAsia"/>
                      <w:color w:val="FF0000"/>
                      <w:spacing w:val="8"/>
                      <w:szCs w:val="21"/>
                    </w:rPr>
                    <w:t>厂区内</w:t>
                  </w:r>
                  <w:r>
                    <w:rPr>
                      <w:rFonts w:eastAsiaTheme="minorEastAsia"/>
                      <w:color w:val="FF0000"/>
                      <w:spacing w:val="8"/>
                      <w:szCs w:val="21"/>
                    </w:rPr>
                    <w:t>道路</w:t>
                  </w:r>
                  <w:r>
                    <w:rPr>
                      <w:rFonts w:hint="eastAsia" w:eastAsiaTheme="minorEastAsia"/>
                      <w:color w:val="FF0000"/>
                      <w:spacing w:val="8"/>
                      <w:szCs w:val="21"/>
                    </w:rPr>
                    <w:t>均</w:t>
                  </w:r>
                  <w:r>
                    <w:rPr>
                      <w:rFonts w:eastAsiaTheme="minorEastAsia"/>
                      <w:color w:val="FF0000"/>
                      <w:spacing w:val="8"/>
                      <w:szCs w:val="21"/>
                    </w:rPr>
                    <w:t>硬化</w:t>
                  </w:r>
                  <w:r>
                    <w:rPr>
                      <w:rFonts w:hint="eastAsia" w:eastAsiaTheme="minorEastAsia"/>
                      <w:color w:val="FF0000"/>
                      <w:spacing w:val="8"/>
                      <w:szCs w:val="21"/>
                    </w:rPr>
                    <w:t>处理，日常及时进行维护出现破损及时维修</w:t>
                  </w:r>
                </w:p>
              </w:tc>
              <w:tc>
                <w:tcPr>
                  <w:tcW w:w="282" w:type="pct"/>
                  <w:tcBorders>
                    <w:tl2br w:val="nil"/>
                    <w:tr2bl w:val="nil"/>
                  </w:tcBorders>
                  <w:vAlign w:val="center"/>
                </w:tcPr>
                <w:p w14:paraId="6B6703E5">
                  <w:pPr>
                    <w:widowControl/>
                    <w:adjustRightInd w:val="0"/>
                    <w:snapToGrid w:val="0"/>
                    <w:jc w:val="center"/>
                    <w:rPr>
                      <w:rFonts w:eastAsiaTheme="minorEastAsia"/>
                      <w:szCs w:val="21"/>
                    </w:rPr>
                  </w:pPr>
                  <w:r>
                    <w:rPr>
                      <w:rFonts w:eastAsiaTheme="minorEastAsia"/>
                      <w:szCs w:val="21"/>
                    </w:rPr>
                    <w:t>符合</w:t>
                  </w:r>
                </w:p>
              </w:tc>
            </w:tr>
            <w:tr w14:paraId="74167627">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25" w:type="pct"/>
                  <w:tcBorders>
                    <w:tl2br w:val="nil"/>
                    <w:tr2bl w:val="nil"/>
                  </w:tcBorders>
                  <w:shd w:val="clear" w:color="auto" w:fill="auto"/>
                  <w:vAlign w:val="center"/>
                </w:tcPr>
                <w:p w14:paraId="1BCD2615">
                  <w:pPr>
                    <w:widowControl/>
                    <w:adjustRightInd w:val="0"/>
                    <w:snapToGrid w:val="0"/>
                    <w:rPr>
                      <w:rFonts w:eastAsiaTheme="minorEastAsia"/>
                      <w:spacing w:val="-6"/>
                      <w:szCs w:val="21"/>
                    </w:rPr>
                  </w:pPr>
                  <w:r>
                    <w:rPr>
                      <w:rFonts w:eastAsiaTheme="minorEastAsia"/>
                      <w:spacing w:val="-6"/>
                      <w:szCs w:val="21"/>
                    </w:rPr>
                    <w:t>12</w:t>
                  </w:r>
                </w:p>
              </w:tc>
              <w:tc>
                <w:tcPr>
                  <w:tcW w:w="2398" w:type="pct"/>
                  <w:tcBorders>
                    <w:tl2br w:val="nil"/>
                    <w:tr2bl w:val="nil"/>
                  </w:tcBorders>
                  <w:shd w:val="clear" w:color="auto" w:fill="auto"/>
                  <w:vAlign w:val="center"/>
                </w:tcPr>
                <w:p w14:paraId="283AC441">
                  <w:pPr>
                    <w:pStyle w:val="116"/>
                    <w:spacing w:before="36" w:line="227" w:lineRule="auto"/>
                    <w:ind w:left="27"/>
                    <w:rPr>
                      <w:rFonts w:ascii="Times New Roman" w:hAnsi="Times New Roman" w:cs="Times New Roman" w:eastAsiaTheme="minorEastAsia"/>
                      <w:color w:val="FF0000"/>
                      <w:spacing w:val="-6"/>
                      <w:sz w:val="21"/>
                      <w:szCs w:val="21"/>
                      <w:lang w:eastAsia="zh-CN"/>
                    </w:rPr>
                  </w:pPr>
                  <w:r>
                    <w:rPr>
                      <w:rFonts w:ascii="Times New Roman" w:hAnsi="Times New Roman" w:cs="Times New Roman" w:eastAsiaTheme="minorEastAsia"/>
                      <w:color w:val="FF0000"/>
                      <w:spacing w:val="9"/>
                      <w:sz w:val="21"/>
                      <w:szCs w:val="21"/>
                      <w:lang w:eastAsia="zh-CN"/>
                    </w:rPr>
                    <w:t>5.4报废机动车回收拆解企业应做</w:t>
                  </w:r>
                  <w:r>
                    <w:rPr>
                      <w:rFonts w:ascii="Times New Roman" w:hAnsi="Times New Roman" w:cs="Times New Roman" w:eastAsiaTheme="minorEastAsia"/>
                      <w:color w:val="FF0000"/>
                      <w:spacing w:val="8"/>
                      <w:sz w:val="21"/>
                      <w:szCs w:val="21"/>
                      <w:lang w:eastAsia="zh-CN"/>
                    </w:rPr>
                    <w:t>到雨污分流，在作业区内产生的初期雨水、清洗水和其他非生活</w:t>
                  </w:r>
                  <w:r>
                    <w:rPr>
                      <w:rFonts w:ascii="Times New Roman" w:hAnsi="Times New Roman" w:cs="Times New Roman" w:eastAsiaTheme="minorEastAsia"/>
                      <w:color w:val="FF0000"/>
                      <w:spacing w:val="9"/>
                      <w:sz w:val="21"/>
                      <w:szCs w:val="21"/>
                      <w:lang w:eastAsia="zh-CN"/>
                    </w:rPr>
                    <w:t>废水应设置专门的收集设施和污水处理设施。厂区内应按照</w:t>
                  </w:r>
                  <w:r>
                    <w:rPr>
                      <w:rFonts w:ascii="Times New Roman" w:hAnsi="Times New Roman" w:cs="Times New Roman" w:eastAsiaTheme="minorEastAsia"/>
                      <w:color w:val="FF0000"/>
                      <w:sz w:val="21"/>
                      <w:szCs w:val="21"/>
                      <w:lang w:eastAsia="zh-CN"/>
                    </w:rPr>
                    <w:t>GB</w:t>
                  </w:r>
                  <w:r>
                    <w:rPr>
                      <w:rFonts w:ascii="Times New Roman" w:hAnsi="Times New Roman" w:cs="Times New Roman" w:eastAsiaTheme="minorEastAsia"/>
                      <w:color w:val="FF0000"/>
                      <w:spacing w:val="6"/>
                      <w:sz w:val="21"/>
                      <w:szCs w:val="21"/>
                      <w:lang w:eastAsia="zh-CN"/>
                    </w:rPr>
                    <w:t>/T50483的要求设置初期雨水</w:t>
                  </w:r>
                  <w:r>
                    <w:rPr>
                      <w:rFonts w:ascii="Times New Roman" w:hAnsi="Times New Roman" w:cs="Times New Roman" w:eastAsiaTheme="minorEastAsia"/>
                      <w:color w:val="FF0000"/>
                      <w:spacing w:val="3"/>
                      <w:sz w:val="21"/>
                      <w:szCs w:val="21"/>
                      <w:lang w:eastAsia="zh-CN"/>
                    </w:rPr>
                    <w:t>收集池。</w:t>
                  </w:r>
                </w:p>
              </w:tc>
              <w:tc>
                <w:tcPr>
                  <w:tcW w:w="1993" w:type="pct"/>
                  <w:tcBorders>
                    <w:tl2br w:val="nil"/>
                    <w:tr2bl w:val="nil"/>
                  </w:tcBorders>
                  <w:shd w:val="clear" w:color="auto" w:fill="auto"/>
                </w:tcPr>
                <w:p w14:paraId="7187B62C">
                  <w:pPr>
                    <w:widowControl/>
                    <w:adjustRightInd w:val="0"/>
                    <w:snapToGrid w:val="0"/>
                    <w:jc w:val="center"/>
                    <w:rPr>
                      <w:rFonts w:hint="default" w:eastAsiaTheme="minorEastAsia"/>
                      <w:color w:val="FF0000"/>
                      <w:kern w:val="0"/>
                      <w:szCs w:val="21"/>
                      <w:lang w:val="en-US" w:eastAsia="zh-CN" w:bidi="ar"/>
                    </w:rPr>
                  </w:pPr>
                  <w:r>
                    <w:rPr>
                      <w:rFonts w:hint="eastAsia" w:eastAsiaTheme="minorEastAsia"/>
                      <w:color w:val="FF0000"/>
                      <w:kern w:val="0"/>
                      <w:szCs w:val="21"/>
                      <w:lang w:bidi="ar"/>
                    </w:rPr>
                    <w:t>本项目</w:t>
                  </w:r>
                  <w:r>
                    <w:rPr>
                      <w:rFonts w:eastAsiaTheme="minorEastAsia"/>
                      <w:color w:val="FF0000"/>
                      <w:kern w:val="0"/>
                      <w:szCs w:val="21"/>
                      <w:lang w:bidi="ar"/>
                    </w:rPr>
                    <w:t>通过系统化设计与管理实现雨污分流及废水合规处理：厂区排水管网完全分离雨水与污水，初期雨水收集池按B/T50483标准建设并</w:t>
                  </w:r>
                  <w:r>
                    <w:rPr>
                      <w:rFonts w:hint="eastAsia" w:eastAsiaTheme="minorEastAsia"/>
                      <w:color w:val="FF0000"/>
                      <w:kern w:val="0"/>
                      <w:szCs w:val="21"/>
                      <w:lang w:bidi="ar"/>
                    </w:rPr>
                    <w:t>与</w:t>
                  </w:r>
                  <w:r>
                    <w:rPr>
                      <w:rFonts w:eastAsiaTheme="minorEastAsia"/>
                      <w:color w:val="FF0000"/>
                      <w:kern w:val="0"/>
                      <w:szCs w:val="21"/>
                      <w:lang w:bidi="ar"/>
                    </w:rPr>
                    <w:t>清洗废水</w:t>
                  </w:r>
                  <w:r>
                    <w:rPr>
                      <w:rFonts w:hint="eastAsia" w:eastAsiaTheme="minorEastAsia"/>
                      <w:color w:val="FF0000"/>
                      <w:kern w:val="0"/>
                      <w:szCs w:val="21"/>
                      <w:lang w:bidi="ar"/>
                    </w:rPr>
                    <w:t>经污水处理站</w:t>
                  </w:r>
                  <w:r>
                    <w:rPr>
                      <w:rFonts w:eastAsiaTheme="minorEastAsia"/>
                      <w:color w:val="FF0000"/>
                      <w:kern w:val="0"/>
                      <w:szCs w:val="21"/>
                      <w:lang w:bidi="ar"/>
                    </w:rPr>
                    <w:t>处理达标排放</w:t>
                  </w:r>
                  <w:r>
                    <w:rPr>
                      <w:rFonts w:hint="eastAsia" w:eastAsiaTheme="minorEastAsia"/>
                      <w:color w:val="FF0000"/>
                      <w:kern w:val="0"/>
                      <w:szCs w:val="21"/>
                      <w:lang w:val="en-US" w:eastAsia="zh-CN" w:bidi="ar"/>
                    </w:rPr>
                    <w:t>至污水处理厂。</w:t>
                  </w:r>
                </w:p>
              </w:tc>
              <w:tc>
                <w:tcPr>
                  <w:tcW w:w="282" w:type="pct"/>
                  <w:tcBorders>
                    <w:tl2br w:val="nil"/>
                    <w:tr2bl w:val="nil"/>
                  </w:tcBorders>
                  <w:vAlign w:val="center"/>
                </w:tcPr>
                <w:p w14:paraId="7E64978A">
                  <w:pPr>
                    <w:widowControl/>
                    <w:adjustRightInd w:val="0"/>
                    <w:snapToGrid w:val="0"/>
                    <w:jc w:val="center"/>
                    <w:rPr>
                      <w:rFonts w:eastAsiaTheme="minorEastAsia"/>
                      <w:szCs w:val="21"/>
                    </w:rPr>
                  </w:pPr>
                  <w:r>
                    <w:rPr>
                      <w:rFonts w:eastAsiaTheme="minorEastAsia"/>
                      <w:szCs w:val="21"/>
                    </w:rPr>
                    <w:t>符合</w:t>
                  </w:r>
                </w:p>
              </w:tc>
            </w:tr>
            <w:tr w14:paraId="4A1E1829">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25" w:type="pct"/>
                  <w:tcBorders>
                    <w:tl2br w:val="nil"/>
                    <w:tr2bl w:val="nil"/>
                  </w:tcBorders>
                  <w:shd w:val="clear" w:color="auto" w:fill="auto"/>
                  <w:vAlign w:val="center"/>
                </w:tcPr>
                <w:p w14:paraId="1CBF9B19">
                  <w:pPr>
                    <w:widowControl/>
                    <w:adjustRightInd w:val="0"/>
                    <w:snapToGrid w:val="0"/>
                    <w:rPr>
                      <w:rFonts w:eastAsiaTheme="minorEastAsia"/>
                      <w:color w:val="FF0000"/>
                      <w:spacing w:val="-6"/>
                      <w:szCs w:val="21"/>
                    </w:rPr>
                  </w:pPr>
                  <w:r>
                    <w:rPr>
                      <w:rFonts w:eastAsiaTheme="minorEastAsia"/>
                      <w:color w:val="FF0000"/>
                      <w:spacing w:val="-6"/>
                      <w:szCs w:val="21"/>
                    </w:rPr>
                    <w:t>13</w:t>
                  </w:r>
                </w:p>
              </w:tc>
              <w:tc>
                <w:tcPr>
                  <w:tcW w:w="2398" w:type="pct"/>
                  <w:tcBorders>
                    <w:tl2br w:val="nil"/>
                    <w:tr2bl w:val="nil"/>
                  </w:tcBorders>
                  <w:shd w:val="clear" w:color="auto" w:fill="auto"/>
                  <w:vAlign w:val="center"/>
                </w:tcPr>
                <w:p w14:paraId="7DADDB54">
                  <w:pPr>
                    <w:pStyle w:val="116"/>
                    <w:spacing w:before="37" w:line="227" w:lineRule="auto"/>
                    <w:ind w:left="27"/>
                    <w:rPr>
                      <w:rFonts w:ascii="Times New Roman" w:hAnsi="Times New Roman" w:cs="Times New Roman" w:eastAsiaTheme="minorEastAsia"/>
                      <w:color w:val="FF0000"/>
                      <w:sz w:val="21"/>
                      <w:szCs w:val="21"/>
                      <w:lang w:eastAsia="zh-CN"/>
                    </w:rPr>
                  </w:pPr>
                  <w:r>
                    <w:rPr>
                      <w:rFonts w:ascii="Times New Roman" w:hAnsi="Times New Roman" w:cs="Times New Roman" w:eastAsiaTheme="minorEastAsia"/>
                      <w:color w:val="FF0000"/>
                      <w:spacing w:val="9"/>
                      <w:sz w:val="21"/>
                      <w:szCs w:val="21"/>
                      <w:lang w:eastAsia="zh-CN"/>
                    </w:rPr>
                    <w:t>6.1传统燃料报废机动车在开展拆</w:t>
                  </w:r>
                </w:p>
                <w:p w14:paraId="11C43023">
                  <w:pPr>
                    <w:pStyle w:val="116"/>
                    <w:spacing w:before="25" w:line="249" w:lineRule="auto"/>
                    <w:ind w:left="27" w:right="26"/>
                    <w:rPr>
                      <w:rFonts w:ascii="Times New Roman" w:hAnsi="Times New Roman" w:cs="Times New Roman" w:eastAsiaTheme="minorEastAsia"/>
                      <w:color w:val="FF0000"/>
                      <w:spacing w:val="-6"/>
                      <w:sz w:val="21"/>
                      <w:szCs w:val="21"/>
                      <w:lang w:eastAsia="zh-CN"/>
                    </w:rPr>
                  </w:pPr>
                  <w:r>
                    <w:rPr>
                      <w:rFonts w:ascii="Times New Roman" w:hAnsi="Times New Roman" w:cs="Times New Roman" w:eastAsiaTheme="minorEastAsia"/>
                      <w:color w:val="FF0000"/>
                      <w:spacing w:val="8"/>
                      <w:sz w:val="21"/>
                      <w:szCs w:val="21"/>
                      <w:lang w:eastAsia="zh-CN"/>
                    </w:rPr>
                    <w:t>解作业前，应抽排下列气体及液</w:t>
                  </w:r>
                  <w:r>
                    <w:rPr>
                      <w:rFonts w:ascii="Times New Roman" w:hAnsi="Times New Roman" w:cs="Times New Roman" w:eastAsiaTheme="minorEastAsia"/>
                      <w:color w:val="FF0000"/>
                      <w:spacing w:val="9"/>
                      <w:sz w:val="21"/>
                      <w:szCs w:val="21"/>
                      <w:lang w:eastAsia="zh-CN"/>
                    </w:rPr>
                    <w:t>体：燃油、发动机油、变速器/</w:t>
                  </w:r>
                  <w:r>
                    <w:rPr>
                      <w:rFonts w:ascii="Times New Roman" w:hAnsi="Times New Roman" w:cs="Times New Roman" w:eastAsiaTheme="minorEastAsia"/>
                      <w:color w:val="FF0000"/>
                      <w:spacing w:val="8"/>
                      <w:sz w:val="21"/>
                      <w:szCs w:val="21"/>
                      <w:lang w:eastAsia="zh-CN"/>
                    </w:rPr>
                    <w:t>齿轮箱(包括后差速器和/或分动</w:t>
                  </w:r>
                  <w:r>
                    <w:rPr>
                      <w:rFonts w:ascii="Times New Roman" w:hAnsi="Times New Roman" w:cs="Times New Roman" w:eastAsiaTheme="minorEastAsia"/>
                      <w:color w:val="FF0000"/>
                      <w:spacing w:val="3"/>
                      <w:sz w:val="21"/>
                      <w:szCs w:val="21"/>
                      <w:lang w:eastAsia="zh-CN"/>
                    </w:rPr>
                    <w:t>器)油、动力转向油、制动液等石</w:t>
                  </w:r>
                  <w:r>
                    <w:rPr>
                      <w:rFonts w:ascii="Times New Roman" w:hAnsi="Times New Roman" w:cs="Times New Roman" w:eastAsiaTheme="minorEastAsia"/>
                      <w:color w:val="FF0000"/>
                      <w:spacing w:val="8"/>
                      <w:sz w:val="21"/>
                      <w:szCs w:val="21"/>
                      <w:lang w:eastAsia="zh-CN"/>
                    </w:rPr>
                    <w:t>油基油或者液态合成润滑剂、冷却液、挡风玻璃清洗液、制冷剂等，并使用专用容器回收贮存。操作场所应有防漏、截流和清污措施，抽排挥发性油液时应通过</w:t>
                  </w:r>
                  <w:r>
                    <w:rPr>
                      <w:rFonts w:ascii="Times New Roman" w:hAnsi="Times New Roman" w:cs="Times New Roman" w:eastAsiaTheme="minorEastAsia"/>
                      <w:color w:val="FF0000"/>
                      <w:spacing w:val="9"/>
                      <w:sz w:val="21"/>
                      <w:szCs w:val="21"/>
                      <w:lang w:eastAsia="zh-CN"/>
                    </w:rPr>
                    <w:t>油气回收装置吸收拆解区域内</w:t>
                  </w:r>
                  <w:r>
                    <w:rPr>
                      <w:rFonts w:ascii="Times New Roman" w:hAnsi="Times New Roman" w:cs="Times New Roman" w:eastAsiaTheme="minorEastAsia"/>
                      <w:color w:val="FF0000"/>
                      <w:spacing w:val="7"/>
                      <w:sz w:val="21"/>
                      <w:szCs w:val="21"/>
                      <w:lang w:eastAsia="zh-CN"/>
                    </w:rPr>
                    <w:t>的挥发性气体。</w:t>
                  </w:r>
                  <w:r>
                    <w:rPr>
                      <w:rFonts w:ascii="Times New Roman" w:hAnsi="Times New Roman" w:cs="Times New Roman" w:eastAsiaTheme="minorEastAsia"/>
                      <w:color w:val="FF0000"/>
                      <w:spacing w:val="7"/>
                      <w:sz w:val="21"/>
                      <w:szCs w:val="21"/>
                    </w:rPr>
                    <w:t>防止上述气体及液体遗撒或泄漏。</w:t>
                  </w:r>
                </w:p>
              </w:tc>
              <w:tc>
                <w:tcPr>
                  <w:tcW w:w="1993" w:type="pct"/>
                  <w:tcBorders>
                    <w:tl2br w:val="nil"/>
                    <w:tr2bl w:val="nil"/>
                  </w:tcBorders>
                  <w:shd w:val="clear" w:color="auto" w:fill="auto"/>
                </w:tcPr>
                <w:p w14:paraId="3D5251F3">
                  <w:pPr>
                    <w:widowControl/>
                    <w:adjustRightInd w:val="0"/>
                    <w:snapToGrid w:val="0"/>
                    <w:jc w:val="center"/>
                    <w:rPr>
                      <w:rFonts w:eastAsiaTheme="minorEastAsia"/>
                      <w:color w:val="FF0000"/>
                      <w:kern w:val="0"/>
                      <w:szCs w:val="21"/>
                      <w:lang w:bidi="ar"/>
                    </w:rPr>
                  </w:pPr>
                  <w:r>
                    <w:rPr>
                      <w:rFonts w:hint="default" w:eastAsiaTheme="minorEastAsia"/>
                      <w:color w:val="FF0000"/>
                      <w:kern w:val="0"/>
                      <w:szCs w:val="21"/>
                      <w:lang w:bidi="ar"/>
                    </w:rPr>
                    <w:t>油液抽排范围严格覆盖规范所列全部介质：燃油、发动机油、变速器油、动力转向油、制动液、冷却液、挡风玻璃清洗液及制冷剂，并配备专用回收容器分类贮存。抽排操作集中于预处理中心（160㎡）的专用工位，该区域设置防渗漏地坪（C30混凝土+防腐层）、导流沟及应急收集池，实现三重防泄漏保障：作业区地面坡度≥1%引流至排水沟，墙裙防渗高度≥0.5m，初期雨水与冲洗废水经油水分离设施处理后纳入污水系统，杜绝液体外溢。</w:t>
                  </w:r>
                </w:p>
                <w:p w14:paraId="7AAA0F39">
                  <w:pPr>
                    <w:widowControl/>
                    <w:adjustRightInd w:val="0"/>
                    <w:snapToGrid w:val="0"/>
                    <w:jc w:val="center"/>
                    <w:rPr>
                      <w:rFonts w:hint="default" w:eastAsiaTheme="minorEastAsia"/>
                      <w:color w:val="FF0000"/>
                      <w:kern w:val="0"/>
                      <w:szCs w:val="21"/>
                      <w:lang w:bidi="ar"/>
                    </w:rPr>
                  </w:pPr>
                  <w:r>
                    <w:rPr>
                      <w:rFonts w:hint="default" w:eastAsiaTheme="minorEastAsia"/>
                      <w:color w:val="FF0000"/>
                      <w:kern w:val="0"/>
                      <w:szCs w:val="21"/>
                      <w:lang w:bidi="ar"/>
                    </w:rPr>
                    <w:t>挥发性气体控制措施完备：抽排燃油、变速箱油等挥发性油液时，配套活性炭吸附装置（处理效率≥80%）收集作业区挥发性有机物（VOCs），废气经26m高排气筒（DA001）达标排放；制冷剂回收采用R134a专用设备，避免臭氧层破坏物质泄漏。防遗撒设计贯穿作业全流程：抽排管路采用封闭式快接接口，废油液暂存于防渗漏托盘及耐腐蚀密闭容器，危废贮存区设HDPE膜（2mm）+导流沟应急系统，确保液体“产生-收集-贮存”全过程受控。</w:t>
                  </w:r>
                </w:p>
                <w:p w14:paraId="2E7763B1">
                  <w:pPr>
                    <w:widowControl/>
                    <w:adjustRightInd w:val="0"/>
                    <w:snapToGrid w:val="0"/>
                    <w:jc w:val="center"/>
                    <w:rPr>
                      <w:rFonts w:eastAsiaTheme="minorEastAsia"/>
                      <w:color w:val="FF0000"/>
                      <w:kern w:val="0"/>
                      <w:szCs w:val="21"/>
                      <w:lang w:bidi="ar"/>
                    </w:rPr>
                  </w:pPr>
                </w:p>
              </w:tc>
              <w:tc>
                <w:tcPr>
                  <w:tcW w:w="282" w:type="pct"/>
                  <w:tcBorders>
                    <w:tl2br w:val="nil"/>
                    <w:tr2bl w:val="nil"/>
                  </w:tcBorders>
                  <w:vAlign w:val="center"/>
                </w:tcPr>
                <w:p w14:paraId="353840E3">
                  <w:pPr>
                    <w:widowControl/>
                    <w:adjustRightInd w:val="0"/>
                    <w:snapToGrid w:val="0"/>
                    <w:jc w:val="center"/>
                    <w:rPr>
                      <w:rFonts w:eastAsiaTheme="minorEastAsia"/>
                      <w:szCs w:val="21"/>
                    </w:rPr>
                  </w:pPr>
                  <w:r>
                    <w:rPr>
                      <w:rFonts w:eastAsiaTheme="minorEastAsia"/>
                      <w:szCs w:val="21"/>
                    </w:rPr>
                    <w:t>符合</w:t>
                  </w:r>
                </w:p>
              </w:tc>
            </w:tr>
            <w:tr w14:paraId="3E0846C7">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25" w:type="pct"/>
                  <w:tcBorders>
                    <w:tl2br w:val="nil"/>
                    <w:tr2bl w:val="nil"/>
                  </w:tcBorders>
                  <w:shd w:val="clear" w:color="auto" w:fill="auto"/>
                  <w:vAlign w:val="center"/>
                </w:tcPr>
                <w:p w14:paraId="7F91B29C">
                  <w:pPr>
                    <w:widowControl/>
                    <w:adjustRightInd w:val="0"/>
                    <w:snapToGrid w:val="0"/>
                    <w:rPr>
                      <w:rFonts w:eastAsiaTheme="minorEastAsia"/>
                      <w:color w:val="FF0000"/>
                      <w:spacing w:val="-6"/>
                      <w:szCs w:val="21"/>
                    </w:rPr>
                  </w:pPr>
                  <w:r>
                    <w:rPr>
                      <w:rFonts w:eastAsiaTheme="minorEastAsia"/>
                      <w:color w:val="FF0000"/>
                      <w:spacing w:val="-6"/>
                      <w:szCs w:val="21"/>
                    </w:rPr>
                    <w:t>14</w:t>
                  </w:r>
                </w:p>
              </w:tc>
              <w:tc>
                <w:tcPr>
                  <w:tcW w:w="2398" w:type="pct"/>
                  <w:tcBorders>
                    <w:tl2br w:val="nil"/>
                    <w:tr2bl w:val="nil"/>
                  </w:tcBorders>
                  <w:shd w:val="clear" w:color="auto" w:fill="auto"/>
                  <w:vAlign w:val="center"/>
                </w:tcPr>
                <w:p w14:paraId="137E0316">
                  <w:pPr>
                    <w:widowControl/>
                    <w:jc w:val="left"/>
                    <w:rPr>
                      <w:rFonts w:eastAsiaTheme="minorEastAsia"/>
                      <w:color w:val="FF0000"/>
                      <w:spacing w:val="-6"/>
                      <w:szCs w:val="21"/>
                    </w:rPr>
                  </w:pPr>
                  <w:r>
                    <w:rPr>
                      <w:rFonts w:eastAsiaTheme="minorEastAsia"/>
                      <w:color w:val="FF0000"/>
                      <w:kern w:val="0"/>
                      <w:szCs w:val="21"/>
                      <w:lang w:bidi="ar"/>
                    </w:rPr>
                    <w:t>6.2 报废电动汽车进场检测时，受损变形以及漏液、漏电、电源供应工作不正常或其他的事故车辆应进行明显标识，及时隔离并优先处理，避免造成环境风险。</w:t>
                  </w:r>
                </w:p>
              </w:tc>
              <w:tc>
                <w:tcPr>
                  <w:tcW w:w="1993" w:type="pct"/>
                  <w:tcBorders>
                    <w:tl2br w:val="nil"/>
                    <w:tr2bl w:val="nil"/>
                  </w:tcBorders>
                  <w:shd w:val="clear" w:color="auto" w:fill="auto"/>
                  <w:vAlign w:val="center"/>
                </w:tcPr>
                <w:p w14:paraId="64491292">
                  <w:pPr>
                    <w:widowControl/>
                    <w:adjustRightInd w:val="0"/>
                    <w:snapToGrid w:val="0"/>
                    <w:jc w:val="center"/>
                    <w:rPr>
                      <w:rFonts w:eastAsiaTheme="minorEastAsia"/>
                      <w:color w:val="FF0000"/>
                      <w:kern w:val="0"/>
                      <w:szCs w:val="21"/>
                      <w:lang w:bidi="ar"/>
                    </w:rPr>
                  </w:pPr>
                  <w:r>
                    <w:rPr>
                      <w:rFonts w:hint="eastAsia" w:eastAsiaTheme="minorEastAsia"/>
                      <w:color w:val="FF0000"/>
                      <w:kern w:val="0"/>
                      <w:szCs w:val="21"/>
                      <w:lang w:bidi="ar"/>
                    </w:rPr>
                    <w:t>本项目</w:t>
                  </w:r>
                  <w:r>
                    <w:rPr>
                      <w:rFonts w:eastAsiaTheme="minorEastAsia"/>
                      <w:color w:val="FF0000"/>
                      <w:kern w:val="0"/>
                      <w:szCs w:val="21"/>
                      <w:lang w:bidi="ar"/>
                    </w:rPr>
                    <w:t>漏液、漏电或事故电动汽车进场后</w:t>
                  </w:r>
                  <w:r>
                    <w:rPr>
                      <w:rFonts w:hint="eastAsia" w:eastAsiaTheme="minorEastAsia"/>
                      <w:color w:val="FF0000"/>
                      <w:kern w:val="0"/>
                      <w:szCs w:val="21"/>
                      <w:lang w:bidi="ar"/>
                    </w:rPr>
                    <w:t>进行</w:t>
                  </w:r>
                  <w:r>
                    <w:rPr>
                      <w:rFonts w:eastAsiaTheme="minorEastAsia"/>
                      <w:color w:val="FF0000"/>
                      <w:kern w:val="0"/>
                      <w:szCs w:val="21"/>
                      <w:lang w:bidi="ar"/>
                    </w:rPr>
                    <w:t>明显标识并隔离，优先处理以降低环境风险。</w:t>
                  </w:r>
                </w:p>
              </w:tc>
              <w:tc>
                <w:tcPr>
                  <w:tcW w:w="282" w:type="pct"/>
                  <w:tcBorders>
                    <w:tl2br w:val="nil"/>
                    <w:tr2bl w:val="nil"/>
                  </w:tcBorders>
                  <w:vAlign w:val="center"/>
                </w:tcPr>
                <w:p w14:paraId="625A51FD">
                  <w:pPr>
                    <w:widowControl/>
                    <w:adjustRightInd w:val="0"/>
                    <w:snapToGrid w:val="0"/>
                    <w:jc w:val="center"/>
                    <w:rPr>
                      <w:rFonts w:eastAsiaTheme="minorEastAsia"/>
                      <w:szCs w:val="21"/>
                    </w:rPr>
                  </w:pPr>
                  <w:r>
                    <w:rPr>
                      <w:rFonts w:eastAsiaTheme="minorEastAsia"/>
                      <w:szCs w:val="21"/>
                    </w:rPr>
                    <w:t>符合</w:t>
                  </w:r>
                </w:p>
              </w:tc>
            </w:tr>
            <w:tr w14:paraId="56AEED3F">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25" w:type="pct"/>
                  <w:tcBorders>
                    <w:tl2br w:val="nil"/>
                    <w:tr2bl w:val="nil"/>
                  </w:tcBorders>
                  <w:shd w:val="clear" w:color="auto" w:fill="auto"/>
                  <w:vAlign w:val="center"/>
                </w:tcPr>
                <w:p w14:paraId="5E902166">
                  <w:pPr>
                    <w:widowControl/>
                    <w:adjustRightInd w:val="0"/>
                    <w:snapToGrid w:val="0"/>
                    <w:rPr>
                      <w:rFonts w:eastAsiaTheme="minorEastAsia"/>
                      <w:color w:val="FF0000"/>
                      <w:spacing w:val="-6"/>
                      <w:szCs w:val="21"/>
                    </w:rPr>
                  </w:pPr>
                  <w:r>
                    <w:rPr>
                      <w:rFonts w:eastAsiaTheme="minorEastAsia"/>
                      <w:color w:val="FF0000"/>
                      <w:spacing w:val="-6"/>
                      <w:szCs w:val="21"/>
                    </w:rPr>
                    <w:t>15</w:t>
                  </w:r>
                </w:p>
              </w:tc>
              <w:tc>
                <w:tcPr>
                  <w:tcW w:w="2398" w:type="pct"/>
                  <w:tcBorders>
                    <w:tl2br w:val="nil"/>
                    <w:tr2bl w:val="nil"/>
                  </w:tcBorders>
                  <w:shd w:val="clear" w:color="auto" w:fill="auto"/>
                  <w:vAlign w:val="center"/>
                </w:tcPr>
                <w:p w14:paraId="5A5E2F7A">
                  <w:pPr>
                    <w:widowControl/>
                    <w:jc w:val="left"/>
                    <w:rPr>
                      <w:rFonts w:eastAsiaTheme="minorEastAsia"/>
                      <w:color w:val="FF0000"/>
                      <w:spacing w:val="-6"/>
                      <w:szCs w:val="21"/>
                    </w:rPr>
                  </w:pPr>
                  <w:r>
                    <w:rPr>
                      <w:rFonts w:eastAsiaTheme="minorEastAsia"/>
                      <w:color w:val="FF0000"/>
                      <w:kern w:val="0"/>
                      <w:szCs w:val="21"/>
                      <w:lang w:bidi="ar"/>
                    </w:rPr>
                    <w:t>6.3 报废电动汽车在开展拆解作业前，应采用防静电设备彻底抽排制冷剂，并用专用容器回收储存，避免电解质和有机溶剂泄漏。拆卸下来的动力蓄电池存在漏液、冒烟、漏电、外壳破损等情形的，应及时处理并采用专用容器单独存放，避免动力蓄电池自燃引起的环境风险。</w:t>
                  </w:r>
                </w:p>
              </w:tc>
              <w:tc>
                <w:tcPr>
                  <w:tcW w:w="1993" w:type="pct"/>
                  <w:tcBorders>
                    <w:tl2br w:val="nil"/>
                    <w:tr2bl w:val="nil"/>
                  </w:tcBorders>
                  <w:shd w:val="clear" w:color="auto" w:fill="auto"/>
                  <w:vAlign w:val="center"/>
                </w:tcPr>
                <w:p w14:paraId="6A504AF6">
                  <w:pPr>
                    <w:widowControl/>
                    <w:adjustRightInd w:val="0"/>
                    <w:snapToGrid w:val="0"/>
                    <w:jc w:val="center"/>
                    <w:rPr>
                      <w:rFonts w:eastAsiaTheme="minorEastAsia"/>
                      <w:color w:val="FF0000"/>
                      <w:kern w:val="0"/>
                      <w:szCs w:val="21"/>
                      <w:lang w:bidi="ar"/>
                    </w:rPr>
                  </w:pPr>
                  <w:r>
                    <w:rPr>
                      <w:rFonts w:hint="eastAsia" w:eastAsiaTheme="minorEastAsia"/>
                      <w:color w:val="FF0000"/>
                      <w:kern w:val="0"/>
                      <w:szCs w:val="21"/>
                      <w:lang w:bidi="ar"/>
                    </w:rPr>
                    <w:t>本项目</w:t>
                  </w:r>
                  <w:r>
                    <w:rPr>
                      <w:rFonts w:eastAsiaTheme="minorEastAsia"/>
                      <w:color w:val="FF0000"/>
                      <w:kern w:val="0"/>
                      <w:szCs w:val="21"/>
                      <w:lang w:bidi="ar"/>
                    </w:rPr>
                    <w:t>电动汽车拆解前用防静电设备抽排制冷剂并密封储存；漏液、破损电池需专用容器单独存放，防止自燃。</w:t>
                  </w:r>
                </w:p>
              </w:tc>
              <w:tc>
                <w:tcPr>
                  <w:tcW w:w="282" w:type="pct"/>
                  <w:tcBorders>
                    <w:tl2br w:val="nil"/>
                    <w:tr2bl w:val="nil"/>
                  </w:tcBorders>
                  <w:vAlign w:val="center"/>
                </w:tcPr>
                <w:p w14:paraId="2558B1EF">
                  <w:pPr>
                    <w:widowControl/>
                    <w:adjustRightInd w:val="0"/>
                    <w:snapToGrid w:val="0"/>
                    <w:jc w:val="center"/>
                    <w:rPr>
                      <w:rFonts w:eastAsiaTheme="minorEastAsia"/>
                      <w:szCs w:val="21"/>
                    </w:rPr>
                  </w:pPr>
                  <w:r>
                    <w:rPr>
                      <w:rFonts w:eastAsiaTheme="minorEastAsia"/>
                      <w:szCs w:val="21"/>
                    </w:rPr>
                    <w:t>符合</w:t>
                  </w:r>
                </w:p>
              </w:tc>
            </w:tr>
            <w:tr w14:paraId="4B3DC164">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25" w:type="pct"/>
                  <w:tcBorders>
                    <w:tl2br w:val="nil"/>
                    <w:tr2bl w:val="nil"/>
                  </w:tcBorders>
                  <w:shd w:val="clear" w:color="auto" w:fill="auto"/>
                  <w:vAlign w:val="center"/>
                </w:tcPr>
                <w:p w14:paraId="0FD07869">
                  <w:pPr>
                    <w:widowControl/>
                    <w:adjustRightInd w:val="0"/>
                    <w:snapToGrid w:val="0"/>
                    <w:rPr>
                      <w:rFonts w:eastAsiaTheme="minorEastAsia"/>
                      <w:color w:val="FF0000"/>
                      <w:spacing w:val="-6"/>
                      <w:szCs w:val="21"/>
                    </w:rPr>
                  </w:pPr>
                  <w:r>
                    <w:rPr>
                      <w:rFonts w:eastAsiaTheme="minorEastAsia"/>
                      <w:color w:val="FF0000"/>
                      <w:spacing w:val="-6"/>
                      <w:szCs w:val="21"/>
                    </w:rPr>
                    <w:t>16</w:t>
                  </w:r>
                </w:p>
              </w:tc>
              <w:tc>
                <w:tcPr>
                  <w:tcW w:w="2398" w:type="pct"/>
                  <w:tcBorders>
                    <w:tl2br w:val="nil"/>
                    <w:tr2bl w:val="nil"/>
                  </w:tcBorders>
                  <w:shd w:val="clear" w:color="auto" w:fill="auto"/>
                  <w:vAlign w:val="center"/>
                </w:tcPr>
                <w:p w14:paraId="4BA8048C">
                  <w:pPr>
                    <w:widowControl/>
                    <w:jc w:val="left"/>
                    <w:rPr>
                      <w:rFonts w:eastAsiaTheme="minorEastAsia"/>
                      <w:color w:val="FF0000"/>
                      <w:spacing w:val="-6"/>
                      <w:szCs w:val="21"/>
                    </w:rPr>
                  </w:pPr>
                  <w:r>
                    <w:rPr>
                      <w:rFonts w:eastAsiaTheme="minorEastAsia"/>
                      <w:color w:val="FF0000"/>
                      <w:kern w:val="0"/>
                      <w:szCs w:val="21"/>
                      <w:lang w:bidi="ar"/>
                    </w:rPr>
                    <w:t>6.4 动力蓄电池不应与铅蓄电池混合贮存。</w:t>
                  </w:r>
                </w:p>
              </w:tc>
              <w:tc>
                <w:tcPr>
                  <w:tcW w:w="1993" w:type="pct"/>
                  <w:tcBorders>
                    <w:tl2br w:val="nil"/>
                    <w:tr2bl w:val="nil"/>
                  </w:tcBorders>
                  <w:shd w:val="clear" w:color="auto" w:fill="auto"/>
                </w:tcPr>
                <w:p w14:paraId="07C355BD">
                  <w:pPr>
                    <w:widowControl/>
                    <w:adjustRightInd w:val="0"/>
                    <w:snapToGrid w:val="0"/>
                    <w:jc w:val="center"/>
                    <w:rPr>
                      <w:rFonts w:eastAsiaTheme="minorEastAsia"/>
                      <w:color w:val="FF0000"/>
                      <w:kern w:val="0"/>
                      <w:szCs w:val="21"/>
                      <w:lang w:bidi="ar"/>
                    </w:rPr>
                  </w:pPr>
                  <w:r>
                    <w:rPr>
                      <w:rFonts w:hint="eastAsia" w:eastAsiaTheme="minorEastAsia"/>
                      <w:color w:val="FF0000"/>
                      <w:kern w:val="0"/>
                      <w:szCs w:val="21"/>
                      <w:lang w:bidi="ar"/>
                    </w:rPr>
                    <w:t>本项目</w:t>
                  </w:r>
                  <w:r>
                    <w:rPr>
                      <w:rFonts w:eastAsiaTheme="minorEastAsia"/>
                      <w:color w:val="FF0000"/>
                      <w:kern w:val="0"/>
                      <w:szCs w:val="21"/>
                      <w:lang w:bidi="ar"/>
                    </w:rPr>
                    <w:t>动力蓄电池与铅蓄电池分区分类管理。</w:t>
                  </w:r>
                </w:p>
              </w:tc>
              <w:tc>
                <w:tcPr>
                  <w:tcW w:w="282" w:type="pct"/>
                  <w:tcBorders>
                    <w:tl2br w:val="nil"/>
                    <w:tr2bl w:val="nil"/>
                  </w:tcBorders>
                  <w:vAlign w:val="center"/>
                </w:tcPr>
                <w:p w14:paraId="6BBCF632">
                  <w:pPr>
                    <w:widowControl/>
                    <w:adjustRightInd w:val="0"/>
                    <w:snapToGrid w:val="0"/>
                    <w:jc w:val="center"/>
                    <w:rPr>
                      <w:rFonts w:eastAsiaTheme="minorEastAsia"/>
                      <w:spacing w:val="7"/>
                      <w:szCs w:val="21"/>
                    </w:rPr>
                  </w:pPr>
                  <w:r>
                    <w:rPr>
                      <w:rFonts w:eastAsiaTheme="minorEastAsia"/>
                      <w:szCs w:val="21"/>
                    </w:rPr>
                    <w:t>符合</w:t>
                  </w:r>
                </w:p>
              </w:tc>
            </w:tr>
            <w:tr w14:paraId="502CC114">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25" w:type="pct"/>
                  <w:tcBorders>
                    <w:tl2br w:val="nil"/>
                    <w:tr2bl w:val="nil"/>
                  </w:tcBorders>
                  <w:shd w:val="clear" w:color="auto" w:fill="auto"/>
                  <w:vAlign w:val="center"/>
                </w:tcPr>
                <w:p w14:paraId="1B310275">
                  <w:pPr>
                    <w:widowControl/>
                    <w:adjustRightInd w:val="0"/>
                    <w:snapToGrid w:val="0"/>
                    <w:rPr>
                      <w:rFonts w:eastAsiaTheme="minorEastAsia"/>
                      <w:color w:val="FF0000"/>
                      <w:spacing w:val="-6"/>
                      <w:szCs w:val="21"/>
                    </w:rPr>
                  </w:pPr>
                  <w:r>
                    <w:rPr>
                      <w:rFonts w:eastAsiaTheme="minorEastAsia"/>
                      <w:color w:val="FF0000"/>
                      <w:spacing w:val="-6"/>
                      <w:szCs w:val="21"/>
                    </w:rPr>
                    <w:t>17</w:t>
                  </w:r>
                </w:p>
              </w:tc>
              <w:tc>
                <w:tcPr>
                  <w:tcW w:w="2398" w:type="pct"/>
                  <w:tcBorders>
                    <w:tl2br w:val="nil"/>
                    <w:tr2bl w:val="nil"/>
                  </w:tcBorders>
                  <w:shd w:val="clear" w:color="auto" w:fill="auto"/>
                  <w:vAlign w:val="center"/>
                </w:tcPr>
                <w:p w14:paraId="4237EFE9">
                  <w:pPr>
                    <w:widowControl/>
                    <w:jc w:val="left"/>
                    <w:rPr>
                      <w:rFonts w:eastAsiaTheme="minorEastAsia"/>
                      <w:color w:val="FF0000"/>
                      <w:spacing w:val="-6"/>
                      <w:szCs w:val="21"/>
                    </w:rPr>
                  </w:pPr>
                  <w:r>
                    <w:rPr>
                      <w:rFonts w:eastAsiaTheme="minorEastAsia"/>
                      <w:color w:val="FF0000"/>
                      <w:kern w:val="0"/>
                      <w:szCs w:val="21"/>
                      <w:lang w:bidi="ar"/>
                    </w:rPr>
                    <w:t>6.5 报废机动车回收拆解企业不应在未完成各项拆解作业前对报废机动车进行破碎处理或者直接进行熔炼处理。</w:t>
                  </w:r>
                </w:p>
              </w:tc>
              <w:tc>
                <w:tcPr>
                  <w:tcW w:w="1993" w:type="pct"/>
                  <w:tcBorders>
                    <w:tl2br w:val="nil"/>
                    <w:tr2bl w:val="nil"/>
                  </w:tcBorders>
                  <w:shd w:val="clear" w:color="auto" w:fill="auto"/>
                </w:tcPr>
                <w:p w14:paraId="76FB9A54">
                  <w:pPr>
                    <w:widowControl/>
                    <w:adjustRightInd w:val="0"/>
                    <w:snapToGrid w:val="0"/>
                    <w:jc w:val="center"/>
                    <w:rPr>
                      <w:rFonts w:eastAsiaTheme="minorEastAsia"/>
                      <w:color w:val="FF0000"/>
                      <w:kern w:val="0"/>
                      <w:szCs w:val="21"/>
                      <w:lang w:bidi="ar"/>
                    </w:rPr>
                  </w:pPr>
                  <w:r>
                    <w:rPr>
                      <w:rFonts w:hint="eastAsia" w:eastAsiaTheme="minorEastAsia"/>
                      <w:color w:val="FF0000"/>
                      <w:kern w:val="0"/>
                      <w:szCs w:val="21"/>
                      <w:lang w:bidi="ar"/>
                    </w:rPr>
                    <w:t>本项目</w:t>
                  </w:r>
                  <w:r>
                    <w:rPr>
                      <w:rFonts w:eastAsiaTheme="minorEastAsia"/>
                      <w:color w:val="FF0000"/>
                      <w:kern w:val="0"/>
                      <w:szCs w:val="21"/>
                      <w:lang w:bidi="ar"/>
                    </w:rPr>
                    <w:t>未完成拆解作业前禁止直接破碎或熔炼车辆，确保预处理合规。</w:t>
                  </w:r>
                </w:p>
              </w:tc>
              <w:tc>
                <w:tcPr>
                  <w:tcW w:w="282" w:type="pct"/>
                  <w:tcBorders>
                    <w:tl2br w:val="nil"/>
                    <w:tr2bl w:val="nil"/>
                  </w:tcBorders>
                  <w:vAlign w:val="center"/>
                </w:tcPr>
                <w:p w14:paraId="2D5C7CCE">
                  <w:pPr>
                    <w:widowControl/>
                    <w:adjustRightInd w:val="0"/>
                    <w:snapToGrid w:val="0"/>
                    <w:jc w:val="center"/>
                    <w:rPr>
                      <w:rFonts w:eastAsiaTheme="minorEastAsia"/>
                      <w:spacing w:val="7"/>
                      <w:szCs w:val="21"/>
                    </w:rPr>
                  </w:pPr>
                  <w:r>
                    <w:rPr>
                      <w:rFonts w:eastAsiaTheme="minorEastAsia"/>
                      <w:szCs w:val="21"/>
                    </w:rPr>
                    <w:t>符合</w:t>
                  </w:r>
                </w:p>
              </w:tc>
            </w:tr>
            <w:tr w14:paraId="7EA689BA">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25" w:type="pct"/>
                  <w:tcBorders>
                    <w:tl2br w:val="nil"/>
                    <w:tr2bl w:val="nil"/>
                  </w:tcBorders>
                  <w:shd w:val="clear" w:color="auto" w:fill="auto"/>
                  <w:vAlign w:val="center"/>
                </w:tcPr>
                <w:p w14:paraId="5FF7F8BA">
                  <w:pPr>
                    <w:widowControl/>
                    <w:adjustRightInd w:val="0"/>
                    <w:snapToGrid w:val="0"/>
                    <w:rPr>
                      <w:rFonts w:eastAsiaTheme="minorEastAsia"/>
                      <w:color w:val="FF0000"/>
                      <w:spacing w:val="-6"/>
                      <w:szCs w:val="21"/>
                    </w:rPr>
                  </w:pPr>
                  <w:r>
                    <w:rPr>
                      <w:rFonts w:eastAsiaTheme="minorEastAsia"/>
                      <w:color w:val="FF0000"/>
                      <w:spacing w:val="-6"/>
                      <w:szCs w:val="21"/>
                    </w:rPr>
                    <w:t>18</w:t>
                  </w:r>
                </w:p>
              </w:tc>
              <w:tc>
                <w:tcPr>
                  <w:tcW w:w="2398" w:type="pct"/>
                  <w:tcBorders>
                    <w:tl2br w:val="nil"/>
                    <w:tr2bl w:val="nil"/>
                  </w:tcBorders>
                  <w:shd w:val="clear" w:color="auto" w:fill="auto"/>
                  <w:vAlign w:val="center"/>
                </w:tcPr>
                <w:p w14:paraId="470DD6F4">
                  <w:pPr>
                    <w:widowControl/>
                    <w:jc w:val="left"/>
                    <w:rPr>
                      <w:rFonts w:eastAsiaTheme="minorEastAsia"/>
                      <w:color w:val="FF0000"/>
                      <w:spacing w:val="-6"/>
                      <w:szCs w:val="21"/>
                    </w:rPr>
                  </w:pPr>
                  <w:r>
                    <w:rPr>
                      <w:rFonts w:eastAsiaTheme="minorEastAsia"/>
                      <w:color w:val="FF0000"/>
                      <w:kern w:val="0"/>
                      <w:szCs w:val="21"/>
                      <w:lang w:bidi="ar"/>
                    </w:rPr>
                    <w:t>6.6 报废机动车回收拆解企业不应焚烧报废机动车拆解过程中产生的废电线电缆、废轮胎和其他废物。</w:t>
                  </w:r>
                </w:p>
              </w:tc>
              <w:tc>
                <w:tcPr>
                  <w:tcW w:w="1993" w:type="pct"/>
                  <w:tcBorders>
                    <w:tl2br w:val="nil"/>
                    <w:tr2bl w:val="nil"/>
                  </w:tcBorders>
                  <w:shd w:val="clear" w:color="auto" w:fill="auto"/>
                </w:tcPr>
                <w:p w14:paraId="78FC313E">
                  <w:pPr>
                    <w:widowControl/>
                    <w:adjustRightInd w:val="0"/>
                    <w:snapToGrid w:val="0"/>
                    <w:jc w:val="center"/>
                    <w:rPr>
                      <w:rFonts w:eastAsiaTheme="minorEastAsia"/>
                      <w:color w:val="FF0000"/>
                      <w:kern w:val="0"/>
                      <w:szCs w:val="21"/>
                      <w:lang w:bidi="ar"/>
                    </w:rPr>
                  </w:pPr>
                  <w:r>
                    <w:rPr>
                      <w:rFonts w:hint="eastAsia" w:eastAsiaTheme="minorEastAsia"/>
                      <w:color w:val="FF0000"/>
                      <w:kern w:val="0"/>
                      <w:szCs w:val="21"/>
                      <w:lang w:bidi="ar"/>
                    </w:rPr>
                    <w:t>本项目</w:t>
                  </w:r>
                  <w:r>
                    <w:rPr>
                      <w:rFonts w:eastAsiaTheme="minorEastAsia"/>
                      <w:color w:val="FF0000"/>
                      <w:kern w:val="0"/>
                      <w:szCs w:val="21"/>
                      <w:lang w:bidi="ar"/>
                    </w:rPr>
                    <w:t>拆解产生的废电缆、轮胎等</w:t>
                  </w:r>
                  <w:r>
                    <w:rPr>
                      <w:rFonts w:hint="eastAsia" w:eastAsiaTheme="minorEastAsia"/>
                      <w:color w:val="FF0000"/>
                      <w:kern w:val="0"/>
                      <w:szCs w:val="21"/>
                      <w:lang w:bidi="ar"/>
                    </w:rPr>
                    <w:t>不进行</w:t>
                  </w:r>
                  <w:r>
                    <w:rPr>
                      <w:rFonts w:eastAsiaTheme="minorEastAsia"/>
                      <w:color w:val="FF0000"/>
                      <w:kern w:val="0"/>
                      <w:szCs w:val="21"/>
                      <w:lang w:bidi="ar"/>
                    </w:rPr>
                    <w:t>焚烧。</w:t>
                  </w:r>
                </w:p>
              </w:tc>
              <w:tc>
                <w:tcPr>
                  <w:tcW w:w="282" w:type="pct"/>
                  <w:tcBorders>
                    <w:tl2br w:val="nil"/>
                    <w:tr2bl w:val="nil"/>
                  </w:tcBorders>
                  <w:vAlign w:val="center"/>
                </w:tcPr>
                <w:p w14:paraId="7DFA1939">
                  <w:pPr>
                    <w:widowControl/>
                    <w:adjustRightInd w:val="0"/>
                    <w:snapToGrid w:val="0"/>
                    <w:jc w:val="center"/>
                    <w:rPr>
                      <w:rFonts w:eastAsiaTheme="minorEastAsia"/>
                      <w:spacing w:val="7"/>
                      <w:szCs w:val="21"/>
                    </w:rPr>
                  </w:pPr>
                  <w:r>
                    <w:rPr>
                      <w:rFonts w:eastAsiaTheme="minorEastAsia"/>
                      <w:szCs w:val="21"/>
                    </w:rPr>
                    <w:t>符合</w:t>
                  </w:r>
                </w:p>
              </w:tc>
            </w:tr>
            <w:tr w14:paraId="281AE6FB">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25" w:type="pct"/>
                  <w:tcBorders>
                    <w:tl2br w:val="nil"/>
                    <w:tr2bl w:val="nil"/>
                  </w:tcBorders>
                  <w:shd w:val="clear" w:color="auto" w:fill="auto"/>
                  <w:vAlign w:val="center"/>
                </w:tcPr>
                <w:p w14:paraId="55FEA5AC">
                  <w:pPr>
                    <w:widowControl/>
                    <w:adjustRightInd w:val="0"/>
                    <w:snapToGrid w:val="0"/>
                    <w:rPr>
                      <w:rFonts w:eastAsiaTheme="minorEastAsia"/>
                      <w:color w:val="FF0000"/>
                      <w:spacing w:val="-6"/>
                      <w:szCs w:val="21"/>
                    </w:rPr>
                  </w:pPr>
                  <w:r>
                    <w:rPr>
                      <w:rFonts w:eastAsiaTheme="minorEastAsia"/>
                      <w:color w:val="FF0000"/>
                      <w:spacing w:val="-6"/>
                      <w:szCs w:val="21"/>
                    </w:rPr>
                    <w:t>19</w:t>
                  </w:r>
                </w:p>
              </w:tc>
              <w:tc>
                <w:tcPr>
                  <w:tcW w:w="2398" w:type="pct"/>
                  <w:tcBorders>
                    <w:tl2br w:val="nil"/>
                    <w:tr2bl w:val="nil"/>
                  </w:tcBorders>
                  <w:shd w:val="clear" w:color="auto" w:fill="auto"/>
                  <w:vAlign w:val="center"/>
                </w:tcPr>
                <w:p w14:paraId="25269020">
                  <w:pPr>
                    <w:widowControl/>
                    <w:jc w:val="left"/>
                    <w:rPr>
                      <w:rFonts w:eastAsiaTheme="minorEastAsia"/>
                      <w:color w:val="FF0000"/>
                      <w:spacing w:val="-6"/>
                      <w:szCs w:val="21"/>
                    </w:rPr>
                  </w:pPr>
                  <w:r>
                    <w:rPr>
                      <w:rFonts w:eastAsiaTheme="minorEastAsia"/>
                      <w:color w:val="FF0000"/>
                      <w:kern w:val="0"/>
                      <w:szCs w:val="21"/>
                      <w:lang w:bidi="ar"/>
                    </w:rPr>
                    <w:t>6.7 报废机动车拆解产生的废旧玻璃、报废机动车破碎残余物、引爆后的安全气囊等应避免危险废物的沾染，未沾染危险废物的应按一般工业固体废物进行管理。</w:t>
                  </w:r>
                </w:p>
              </w:tc>
              <w:tc>
                <w:tcPr>
                  <w:tcW w:w="1993" w:type="pct"/>
                  <w:tcBorders>
                    <w:tl2br w:val="nil"/>
                    <w:tr2bl w:val="nil"/>
                  </w:tcBorders>
                  <w:shd w:val="clear" w:color="auto" w:fill="auto"/>
                </w:tcPr>
                <w:p w14:paraId="5373F0E4">
                  <w:pPr>
                    <w:widowControl/>
                    <w:adjustRightInd w:val="0"/>
                    <w:snapToGrid w:val="0"/>
                    <w:jc w:val="center"/>
                    <w:rPr>
                      <w:rFonts w:eastAsiaTheme="minorEastAsia"/>
                      <w:color w:val="FF0000"/>
                      <w:kern w:val="0"/>
                      <w:szCs w:val="21"/>
                      <w:lang w:bidi="ar"/>
                    </w:rPr>
                  </w:pPr>
                  <w:r>
                    <w:rPr>
                      <w:rFonts w:hint="eastAsia" w:eastAsiaTheme="minorEastAsia"/>
                      <w:color w:val="FF0000"/>
                      <w:kern w:val="0"/>
                      <w:szCs w:val="21"/>
                      <w:lang w:bidi="ar"/>
                    </w:rPr>
                    <w:t>本项目</w:t>
                  </w:r>
                  <w:r>
                    <w:rPr>
                      <w:rFonts w:eastAsiaTheme="minorEastAsia"/>
                      <w:color w:val="FF0000"/>
                      <w:kern w:val="0"/>
                      <w:szCs w:val="21"/>
                      <w:lang w:bidi="ar"/>
                    </w:rPr>
                    <w:t>废旧玻璃、破碎残余物等未沾染危废的按一般固废管理，</w:t>
                  </w:r>
                  <w:r>
                    <w:rPr>
                      <w:rFonts w:hint="eastAsia" w:eastAsiaTheme="minorEastAsia"/>
                      <w:color w:val="FF0000"/>
                      <w:kern w:val="0"/>
                      <w:szCs w:val="21"/>
                      <w:lang w:bidi="ar"/>
                    </w:rPr>
                    <w:t>不</w:t>
                  </w:r>
                  <w:r>
                    <w:rPr>
                      <w:rFonts w:eastAsiaTheme="minorEastAsia"/>
                      <w:color w:val="FF0000"/>
                      <w:kern w:val="0"/>
                      <w:szCs w:val="21"/>
                      <w:lang w:bidi="ar"/>
                    </w:rPr>
                    <w:t>混入危废。</w:t>
                  </w:r>
                </w:p>
              </w:tc>
              <w:tc>
                <w:tcPr>
                  <w:tcW w:w="282" w:type="pct"/>
                  <w:tcBorders>
                    <w:tl2br w:val="nil"/>
                    <w:tr2bl w:val="nil"/>
                  </w:tcBorders>
                  <w:vAlign w:val="center"/>
                </w:tcPr>
                <w:p w14:paraId="21ED4FCB">
                  <w:pPr>
                    <w:widowControl/>
                    <w:adjustRightInd w:val="0"/>
                    <w:snapToGrid w:val="0"/>
                    <w:jc w:val="center"/>
                    <w:rPr>
                      <w:rFonts w:eastAsiaTheme="minorEastAsia"/>
                      <w:spacing w:val="7"/>
                      <w:szCs w:val="21"/>
                    </w:rPr>
                  </w:pPr>
                  <w:r>
                    <w:rPr>
                      <w:rFonts w:eastAsiaTheme="minorEastAsia"/>
                      <w:szCs w:val="21"/>
                    </w:rPr>
                    <w:t>符合</w:t>
                  </w:r>
                </w:p>
              </w:tc>
            </w:tr>
            <w:tr w14:paraId="62F6D4DB">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25" w:type="pct"/>
                  <w:tcBorders>
                    <w:tl2br w:val="nil"/>
                    <w:tr2bl w:val="nil"/>
                  </w:tcBorders>
                  <w:shd w:val="clear" w:color="auto" w:fill="auto"/>
                  <w:vAlign w:val="center"/>
                </w:tcPr>
                <w:p w14:paraId="2B1BE28F">
                  <w:pPr>
                    <w:widowControl/>
                    <w:adjustRightInd w:val="0"/>
                    <w:snapToGrid w:val="0"/>
                    <w:rPr>
                      <w:rFonts w:eastAsiaTheme="minorEastAsia"/>
                      <w:color w:val="FF0000"/>
                      <w:spacing w:val="-6"/>
                      <w:szCs w:val="21"/>
                    </w:rPr>
                  </w:pPr>
                  <w:r>
                    <w:rPr>
                      <w:rFonts w:eastAsiaTheme="minorEastAsia"/>
                      <w:color w:val="FF0000"/>
                      <w:spacing w:val="-6"/>
                      <w:szCs w:val="21"/>
                    </w:rPr>
                    <w:t>20</w:t>
                  </w:r>
                </w:p>
              </w:tc>
              <w:tc>
                <w:tcPr>
                  <w:tcW w:w="2398" w:type="pct"/>
                  <w:tcBorders>
                    <w:tl2br w:val="nil"/>
                    <w:tr2bl w:val="nil"/>
                  </w:tcBorders>
                  <w:shd w:val="clear" w:color="auto" w:fill="auto"/>
                  <w:vAlign w:val="center"/>
                </w:tcPr>
                <w:p w14:paraId="67CF4457">
                  <w:pPr>
                    <w:widowControl/>
                    <w:jc w:val="left"/>
                    <w:rPr>
                      <w:rFonts w:eastAsiaTheme="minorEastAsia"/>
                      <w:color w:val="FF0000"/>
                      <w:spacing w:val="-6"/>
                      <w:szCs w:val="21"/>
                      <w:lang w:eastAsia="en-US"/>
                    </w:rPr>
                  </w:pPr>
                  <w:r>
                    <w:rPr>
                      <w:rFonts w:eastAsiaTheme="minorEastAsia"/>
                      <w:color w:val="FF0000"/>
                      <w:kern w:val="0"/>
                      <w:szCs w:val="21"/>
                      <w:lang w:bidi="ar"/>
                    </w:rPr>
                    <w:t>6.8 报废机动车拆解产生的废铅蓄电池、废矿物油、废电路板、废尾气净化催化剂以及含有或沾染危险废物的废弃包装物、容器等依据《国家危险废物名录》属于危险废物的，应按照危险废物贮存管理相关要求进行分区、分类贮存。废弃含油抹布和劳保用品宜集中收集。</w:t>
                  </w:r>
                </w:p>
              </w:tc>
              <w:tc>
                <w:tcPr>
                  <w:tcW w:w="1993" w:type="pct"/>
                  <w:tcBorders>
                    <w:tl2br w:val="nil"/>
                    <w:tr2bl w:val="nil"/>
                  </w:tcBorders>
                  <w:shd w:val="clear" w:color="auto" w:fill="auto"/>
                  <w:vAlign w:val="center"/>
                </w:tcPr>
                <w:p w14:paraId="157DA6E2">
                  <w:pPr>
                    <w:widowControl/>
                    <w:adjustRightInd w:val="0"/>
                    <w:snapToGrid w:val="0"/>
                    <w:jc w:val="center"/>
                    <w:rPr>
                      <w:rFonts w:eastAsiaTheme="minorEastAsia"/>
                      <w:color w:val="FF0000"/>
                      <w:kern w:val="0"/>
                      <w:szCs w:val="21"/>
                      <w:lang w:bidi="ar"/>
                    </w:rPr>
                  </w:pPr>
                  <w:r>
                    <w:rPr>
                      <w:rFonts w:hint="eastAsia" w:eastAsiaTheme="minorEastAsia"/>
                      <w:color w:val="FF0000"/>
                      <w:kern w:val="0"/>
                      <w:szCs w:val="21"/>
                      <w:lang w:bidi="ar"/>
                    </w:rPr>
                    <w:t>本项目</w:t>
                  </w:r>
                  <w:r>
                    <w:rPr>
                      <w:rFonts w:eastAsiaTheme="minorEastAsia"/>
                      <w:color w:val="FF0000"/>
                      <w:kern w:val="0"/>
                      <w:szCs w:val="21"/>
                      <w:lang w:bidi="ar"/>
                    </w:rPr>
                    <w:t>废铅蓄电池、废矿物油等危废分区分类贮存，并委托资质单位处置。</w:t>
                  </w:r>
                </w:p>
              </w:tc>
              <w:tc>
                <w:tcPr>
                  <w:tcW w:w="282" w:type="pct"/>
                  <w:tcBorders>
                    <w:tl2br w:val="nil"/>
                    <w:tr2bl w:val="nil"/>
                  </w:tcBorders>
                  <w:vAlign w:val="center"/>
                </w:tcPr>
                <w:p w14:paraId="1077E773">
                  <w:pPr>
                    <w:widowControl/>
                    <w:adjustRightInd w:val="0"/>
                    <w:snapToGrid w:val="0"/>
                    <w:jc w:val="center"/>
                    <w:rPr>
                      <w:rFonts w:eastAsiaTheme="minorEastAsia"/>
                      <w:spacing w:val="7"/>
                      <w:szCs w:val="21"/>
                    </w:rPr>
                  </w:pPr>
                  <w:r>
                    <w:rPr>
                      <w:rFonts w:eastAsiaTheme="minorEastAsia"/>
                      <w:szCs w:val="21"/>
                    </w:rPr>
                    <w:t>符合</w:t>
                  </w:r>
                </w:p>
              </w:tc>
            </w:tr>
            <w:tr w14:paraId="4096EDEB">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25" w:type="pct"/>
                  <w:tcBorders>
                    <w:tl2br w:val="nil"/>
                    <w:tr2bl w:val="nil"/>
                  </w:tcBorders>
                  <w:shd w:val="clear" w:color="auto" w:fill="auto"/>
                  <w:vAlign w:val="center"/>
                </w:tcPr>
                <w:p w14:paraId="3250CA99">
                  <w:pPr>
                    <w:widowControl/>
                    <w:adjustRightInd w:val="0"/>
                    <w:snapToGrid w:val="0"/>
                    <w:rPr>
                      <w:rFonts w:eastAsiaTheme="minorEastAsia"/>
                      <w:color w:val="FF0000"/>
                      <w:spacing w:val="-6"/>
                      <w:szCs w:val="21"/>
                    </w:rPr>
                  </w:pPr>
                  <w:r>
                    <w:rPr>
                      <w:rFonts w:eastAsiaTheme="minorEastAsia"/>
                      <w:color w:val="FF0000"/>
                      <w:spacing w:val="-6"/>
                      <w:szCs w:val="21"/>
                    </w:rPr>
                    <w:t>21</w:t>
                  </w:r>
                </w:p>
              </w:tc>
              <w:tc>
                <w:tcPr>
                  <w:tcW w:w="2398" w:type="pct"/>
                  <w:tcBorders>
                    <w:tl2br w:val="nil"/>
                    <w:tr2bl w:val="nil"/>
                  </w:tcBorders>
                  <w:shd w:val="clear" w:color="auto" w:fill="auto"/>
                  <w:vAlign w:val="center"/>
                </w:tcPr>
                <w:p w14:paraId="60791EC8">
                  <w:pPr>
                    <w:widowControl/>
                    <w:jc w:val="left"/>
                    <w:rPr>
                      <w:rFonts w:eastAsiaTheme="minorEastAsia"/>
                      <w:color w:val="FF0000"/>
                      <w:spacing w:val="-6"/>
                      <w:szCs w:val="21"/>
                    </w:rPr>
                  </w:pPr>
                  <w:r>
                    <w:rPr>
                      <w:rFonts w:eastAsiaTheme="minorEastAsia"/>
                      <w:color w:val="FF0000"/>
                      <w:kern w:val="0"/>
                      <w:szCs w:val="21"/>
                      <w:lang w:bidi="ar"/>
                    </w:rPr>
                    <w:t>6.9 报废机动车回收拆解企业不应倾倒铅蓄电池内的电解液、铅块和铅膏等废物。对于破损的铅蓄电池，应单独贮存，并采取防止电解液泄漏的措施。</w:t>
                  </w:r>
                </w:p>
              </w:tc>
              <w:tc>
                <w:tcPr>
                  <w:tcW w:w="1993" w:type="pct"/>
                  <w:tcBorders>
                    <w:tl2br w:val="nil"/>
                    <w:tr2bl w:val="nil"/>
                  </w:tcBorders>
                  <w:shd w:val="clear" w:color="auto" w:fill="auto"/>
                  <w:vAlign w:val="center"/>
                </w:tcPr>
                <w:p w14:paraId="219EB846">
                  <w:pPr>
                    <w:widowControl/>
                    <w:adjustRightInd w:val="0"/>
                    <w:snapToGrid w:val="0"/>
                    <w:jc w:val="center"/>
                    <w:rPr>
                      <w:rFonts w:eastAsiaTheme="minorEastAsia"/>
                      <w:color w:val="FF0000"/>
                      <w:kern w:val="0"/>
                      <w:szCs w:val="21"/>
                      <w:lang w:bidi="ar"/>
                    </w:rPr>
                  </w:pPr>
                  <w:r>
                    <w:rPr>
                      <w:rFonts w:hint="eastAsia" w:eastAsiaTheme="minorEastAsia"/>
                      <w:color w:val="FF0000"/>
                      <w:kern w:val="0"/>
                      <w:szCs w:val="21"/>
                      <w:lang w:bidi="ar"/>
                    </w:rPr>
                    <w:t>本项目</w:t>
                  </w:r>
                  <w:r>
                    <w:rPr>
                      <w:rFonts w:eastAsiaTheme="minorEastAsia"/>
                      <w:color w:val="FF0000"/>
                      <w:kern w:val="0"/>
                      <w:szCs w:val="21"/>
                      <w:lang w:bidi="ar"/>
                    </w:rPr>
                    <w:t>禁止倾倒铅蓄电池电解液，破损电池</w:t>
                  </w:r>
                  <w:r>
                    <w:rPr>
                      <w:rFonts w:hint="eastAsia" w:eastAsiaTheme="minorEastAsia"/>
                      <w:color w:val="FF0000"/>
                      <w:kern w:val="0"/>
                      <w:szCs w:val="21"/>
                      <w:lang w:val="en-US" w:eastAsia="zh-CN" w:bidi="ar"/>
                    </w:rPr>
                    <w:t>采用密闭容器收集后</w:t>
                  </w:r>
                  <w:r>
                    <w:rPr>
                      <w:rFonts w:eastAsiaTheme="minorEastAsia"/>
                      <w:color w:val="FF0000"/>
                      <w:kern w:val="0"/>
                      <w:szCs w:val="21"/>
                      <w:lang w:bidi="ar"/>
                    </w:rPr>
                    <w:t>单独贮存。</w:t>
                  </w:r>
                </w:p>
              </w:tc>
              <w:tc>
                <w:tcPr>
                  <w:tcW w:w="282" w:type="pct"/>
                  <w:tcBorders>
                    <w:tl2br w:val="nil"/>
                    <w:tr2bl w:val="nil"/>
                  </w:tcBorders>
                  <w:vAlign w:val="center"/>
                </w:tcPr>
                <w:p w14:paraId="61101232">
                  <w:pPr>
                    <w:widowControl/>
                    <w:adjustRightInd w:val="0"/>
                    <w:snapToGrid w:val="0"/>
                    <w:jc w:val="center"/>
                    <w:rPr>
                      <w:rFonts w:eastAsiaTheme="minorEastAsia"/>
                      <w:spacing w:val="7"/>
                      <w:szCs w:val="21"/>
                    </w:rPr>
                  </w:pPr>
                  <w:r>
                    <w:rPr>
                      <w:rFonts w:eastAsiaTheme="minorEastAsia"/>
                      <w:szCs w:val="21"/>
                    </w:rPr>
                    <w:t>符合</w:t>
                  </w:r>
                </w:p>
              </w:tc>
            </w:tr>
            <w:tr w14:paraId="4C357A0E">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25" w:type="pct"/>
                  <w:tcBorders>
                    <w:tl2br w:val="nil"/>
                    <w:tr2bl w:val="nil"/>
                  </w:tcBorders>
                  <w:shd w:val="clear" w:color="auto" w:fill="auto"/>
                  <w:vAlign w:val="center"/>
                </w:tcPr>
                <w:p w14:paraId="79321D78">
                  <w:pPr>
                    <w:widowControl/>
                    <w:adjustRightInd w:val="0"/>
                    <w:snapToGrid w:val="0"/>
                    <w:rPr>
                      <w:rFonts w:eastAsiaTheme="minorEastAsia"/>
                      <w:color w:val="FF0000"/>
                      <w:spacing w:val="-6"/>
                      <w:szCs w:val="21"/>
                    </w:rPr>
                  </w:pPr>
                  <w:r>
                    <w:rPr>
                      <w:rFonts w:eastAsiaTheme="minorEastAsia"/>
                      <w:color w:val="FF0000"/>
                      <w:spacing w:val="-6"/>
                      <w:szCs w:val="21"/>
                    </w:rPr>
                    <w:t>22</w:t>
                  </w:r>
                </w:p>
              </w:tc>
              <w:tc>
                <w:tcPr>
                  <w:tcW w:w="2398" w:type="pct"/>
                  <w:tcBorders>
                    <w:tl2br w:val="nil"/>
                    <w:tr2bl w:val="nil"/>
                  </w:tcBorders>
                  <w:shd w:val="clear" w:color="auto" w:fill="auto"/>
                  <w:vAlign w:val="center"/>
                </w:tcPr>
                <w:p w14:paraId="12A18147">
                  <w:pPr>
                    <w:widowControl/>
                    <w:jc w:val="left"/>
                    <w:rPr>
                      <w:rFonts w:eastAsiaTheme="minorEastAsia"/>
                      <w:color w:val="FF0000"/>
                      <w:spacing w:val="-6"/>
                      <w:szCs w:val="21"/>
                    </w:rPr>
                  </w:pPr>
                  <w:r>
                    <w:rPr>
                      <w:rFonts w:eastAsiaTheme="minorEastAsia"/>
                      <w:color w:val="FF0000"/>
                      <w:kern w:val="0"/>
                      <w:szCs w:val="21"/>
                      <w:lang w:bidi="ar"/>
                    </w:rPr>
                    <w:t>6.10报废机动车拆解产生的产物和固体废物应合理分类，不能自行利用处置的，分别委托具有相关资质、相应处理能力或经营范围的单位利用和处置。</w:t>
                  </w:r>
                </w:p>
              </w:tc>
              <w:tc>
                <w:tcPr>
                  <w:tcW w:w="1993" w:type="pct"/>
                  <w:tcBorders>
                    <w:tl2br w:val="nil"/>
                    <w:tr2bl w:val="nil"/>
                  </w:tcBorders>
                  <w:shd w:val="clear" w:color="auto" w:fill="auto"/>
                  <w:vAlign w:val="center"/>
                </w:tcPr>
                <w:p w14:paraId="58E93DDC">
                  <w:pPr>
                    <w:widowControl/>
                    <w:adjustRightInd w:val="0"/>
                    <w:snapToGrid w:val="0"/>
                    <w:jc w:val="center"/>
                    <w:rPr>
                      <w:rFonts w:hint="default" w:eastAsiaTheme="minorEastAsia"/>
                      <w:color w:val="FF0000"/>
                      <w:kern w:val="0"/>
                      <w:szCs w:val="21"/>
                      <w:lang w:val="en-US" w:eastAsia="zh-CN" w:bidi="ar"/>
                    </w:rPr>
                  </w:pPr>
                  <w:r>
                    <w:rPr>
                      <w:rFonts w:hint="eastAsia" w:eastAsiaTheme="minorEastAsia"/>
                      <w:color w:val="FF0000"/>
                      <w:kern w:val="0"/>
                      <w:szCs w:val="21"/>
                      <w:lang w:bidi="ar"/>
                    </w:rPr>
                    <w:t>本项目</w:t>
                  </w:r>
                  <w:r>
                    <w:rPr>
                      <w:rFonts w:eastAsiaTheme="minorEastAsia"/>
                      <w:color w:val="FF0000"/>
                      <w:kern w:val="0"/>
                      <w:szCs w:val="21"/>
                      <w:lang w:bidi="ar"/>
                    </w:rPr>
                    <w:t>拆解产物及固废</w:t>
                  </w:r>
                  <w:r>
                    <w:rPr>
                      <w:rFonts w:hint="eastAsia" w:eastAsiaTheme="minorEastAsia"/>
                      <w:color w:val="FF0000"/>
                      <w:kern w:val="0"/>
                      <w:szCs w:val="21"/>
                      <w:lang w:bidi="ar"/>
                    </w:rPr>
                    <w:t>进行</w:t>
                  </w:r>
                  <w:r>
                    <w:rPr>
                      <w:rFonts w:eastAsiaTheme="minorEastAsia"/>
                      <w:color w:val="FF0000"/>
                      <w:kern w:val="0"/>
                      <w:szCs w:val="21"/>
                      <w:lang w:bidi="ar"/>
                    </w:rPr>
                    <w:t>分类</w:t>
                  </w:r>
                  <w:r>
                    <w:rPr>
                      <w:rFonts w:hint="eastAsia" w:eastAsiaTheme="minorEastAsia"/>
                      <w:color w:val="FF0000"/>
                      <w:kern w:val="0"/>
                      <w:szCs w:val="21"/>
                      <w:lang w:bidi="ar"/>
                    </w:rPr>
                    <w:t>储存</w:t>
                  </w:r>
                  <w:r>
                    <w:rPr>
                      <w:rFonts w:hint="eastAsia" w:eastAsiaTheme="minorEastAsia"/>
                      <w:color w:val="FF0000"/>
                      <w:kern w:val="0"/>
                      <w:szCs w:val="21"/>
                      <w:lang w:eastAsia="zh-CN" w:bidi="ar"/>
                    </w:rPr>
                    <w:t>，</w:t>
                  </w:r>
                  <w:r>
                    <w:rPr>
                      <w:rFonts w:hint="eastAsia" w:eastAsiaTheme="minorEastAsia"/>
                      <w:color w:val="FF0000"/>
                      <w:kern w:val="0"/>
                      <w:szCs w:val="21"/>
                      <w:lang w:val="en-US" w:eastAsia="zh-CN" w:bidi="ar"/>
                    </w:rPr>
                    <w:t>并</w:t>
                  </w:r>
                  <w:r>
                    <w:rPr>
                      <w:rFonts w:eastAsiaTheme="minorEastAsia"/>
                      <w:color w:val="FF0000"/>
                      <w:kern w:val="0"/>
                      <w:szCs w:val="21"/>
                      <w:lang w:bidi="ar"/>
                    </w:rPr>
                    <w:t>分别委托具有相关资质、相应处理能力或经营范围的单位利用和处置。</w:t>
                  </w:r>
                </w:p>
              </w:tc>
              <w:tc>
                <w:tcPr>
                  <w:tcW w:w="282" w:type="pct"/>
                  <w:tcBorders>
                    <w:tl2br w:val="nil"/>
                    <w:tr2bl w:val="nil"/>
                  </w:tcBorders>
                  <w:vAlign w:val="center"/>
                </w:tcPr>
                <w:p w14:paraId="06F6FC30">
                  <w:pPr>
                    <w:widowControl/>
                    <w:adjustRightInd w:val="0"/>
                    <w:snapToGrid w:val="0"/>
                    <w:jc w:val="center"/>
                    <w:rPr>
                      <w:rFonts w:eastAsiaTheme="minorEastAsia"/>
                      <w:spacing w:val="7"/>
                      <w:szCs w:val="21"/>
                    </w:rPr>
                  </w:pPr>
                  <w:r>
                    <w:rPr>
                      <w:rFonts w:eastAsiaTheme="minorEastAsia"/>
                      <w:szCs w:val="21"/>
                    </w:rPr>
                    <w:t>符合</w:t>
                  </w:r>
                </w:p>
              </w:tc>
            </w:tr>
            <w:tr w14:paraId="538EF7F7">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25" w:type="pct"/>
                  <w:tcBorders>
                    <w:tl2br w:val="nil"/>
                    <w:tr2bl w:val="nil"/>
                  </w:tcBorders>
                  <w:shd w:val="clear" w:color="auto" w:fill="auto"/>
                </w:tcPr>
                <w:p w14:paraId="3A9842E7">
                  <w:pPr>
                    <w:widowControl/>
                    <w:adjustRightInd w:val="0"/>
                    <w:snapToGrid w:val="0"/>
                    <w:jc w:val="left"/>
                    <w:rPr>
                      <w:rFonts w:eastAsiaTheme="minorEastAsia"/>
                      <w:color w:val="FF0000"/>
                      <w:spacing w:val="-6"/>
                      <w:szCs w:val="21"/>
                    </w:rPr>
                  </w:pPr>
                  <w:r>
                    <w:rPr>
                      <w:rFonts w:eastAsiaTheme="minorEastAsia"/>
                      <w:color w:val="FF0000"/>
                      <w:spacing w:val="-6"/>
                      <w:szCs w:val="21"/>
                    </w:rPr>
                    <w:t>23</w:t>
                  </w:r>
                </w:p>
              </w:tc>
              <w:tc>
                <w:tcPr>
                  <w:tcW w:w="2398" w:type="pct"/>
                  <w:tcBorders>
                    <w:tl2br w:val="nil"/>
                    <w:tr2bl w:val="nil"/>
                  </w:tcBorders>
                  <w:shd w:val="clear" w:color="auto" w:fill="auto"/>
                </w:tcPr>
                <w:p w14:paraId="7E4B6D42">
                  <w:pPr>
                    <w:widowControl/>
                    <w:jc w:val="left"/>
                    <w:rPr>
                      <w:rFonts w:eastAsiaTheme="minorEastAsia"/>
                      <w:color w:val="FF0000"/>
                      <w:spacing w:val="-6"/>
                      <w:szCs w:val="21"/>
                    </w:rPr>
                  </w:pPr>
                  <w:r>
                    <w:rPr>
                      <w:rFonts w:eastAsiaTheme="minorEastAsia"/>
                      <w:color w:val="FF0000"/>
                      <w:kern w:val="0"/>
                      <w:szCs w:val="21"/>
                      <w:lang w:bidi="ar"/>
                    </w:rPr>
                    <w:t>6.11报废机动车拆解产物应符合国家及地方处理处置要求，其中主要拆解产物特性及去向见附录 A。如报废机动车回收拆解企业具备与报废机动车拆解处理相关的深加工或二次加工经营业务，应当符合其他相关污染控制要求。</w:t>
                  </w:r>
                </w:p>
              </w:tc>
              <w:tc>
                <w:tcPr>
                  <w:tcW w:w="1993" w:type="pct"/>
                  <w:tcBorders>
                    <w:tl2br w:val="nil"/>
                    <w:tr2bl w:val="nil"/>
                  </w:tcBorders>
                  <w:shd w:val="clear" w:color="auto" w:fill="auto"/>
                  <w:vAlign w:val="center"/>
                </w:tcPr>
                <w:p w14:paraId="2EAB78E9">
                  <w:pPr>
                    <w:widowControl/>
                    <w:adjustRightInd w:val="0"/>
                    <w:snapToGrid w:val="0"/>
                    <w:jc w:val="center"/>
                    <w:rPr>
                      <w:rFonts w:eastAsiaTheme="minorEastAsia"/>
                      <w:color w:val="FF0000"/>
                      <w:kern w:val="0"/>
                      <w:szCs w:val="21"/>
                      <w:lang w:bidi="ar"/>
                    </w:rPr>
                  </w:pPr>
                  <w:r>
                    <w:rPr>
                      <w:rFonts w:eastAsiaTheme="minorEastAsia"/>
                      <w:color w:val="FF0000"/>
                      <w:kern w:val="0"/>
                      <w:szCs w:val="21"/>
                      <w:lang w:bidi="ar"/>
                    </w:rPr>
                    <w:t>本项目严格遵循《报废机动车拆解企业污染控制技术规范》（HJ 348-2022）及地方环保要求，对拆解产物分类管理、合规处置，污染物达标排放，并落实深加工污染控制措施，完全符合要求。</w:t>
                  </w:r>
                </w:p>
              </w:tc>
              <w:tc>
                <w:tcPr>
                  <w:tcW w:w="282" w:type="pct"/>
                  <w:tcBorders>
                    <w:tl2br w:val="nil"/>
                    <w:tr2bl w:val="nil"/>
                  </w:tcBorders>
                  <w:vAlign w:val="center"/>
                </w:tcPr>
                <w:p w14:paraId="034A46E9">
                  <w:pPr>
                    <w:widowControl/>
                    <w:adjustRightInd w:val="0"/>
                    <w:snapToGrid w:val="0"/>
                    <w:jc w:val="center"/>
                    <w:rPr>
                      <w:rFonts w:eastAsiaTheme="minorEastAsia"/>
                      <w:spacing w:val="7"/>
                      <w:szCs w:val="21"/>
                    </w:rPr>
                  </w:pPr>
                  <w:r>
                    <w:rPr>
                      <w:rFonts w:eastAsiaTheme="minorEastAsia"/>
                      <w:szCs w:val="21"/>
                    </w:rPr>
                    <w:t>符合</w:t>
                  </w:r>
                </w:p>
              </w:tc>
            </w:tr>
            <w:tr w14:paraId="42D2D21F">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25" w:type="pct"/>
                  <w:tcBorders>
                    <w:tl2br w:val="nil"/>
                    <w:tr2bl w:val="nil"/>
                  </w:tcBorders>
                  <w:shd w:val="clear" w:color="auto" w:fill="auto"/>
                </w:tcPr>
                <w:p w14:paraId="2ECB95BA">
                  <w:pPr>
                    <w:widowControl/>
                    <w:adjustRightInd w:val="0"/>
                    <w:snapToGrid w:val="0"/>
                    <w:jc w:val="left"/>
                    <w:rPr>
                      <w:rFonts w:eastAsiaTheme="minorEastAsia"/>
                      <w:color w:val="FF0000"/>
                      <w:spacing w:val="-6"/>
                      <w:szCs w:val="21"/>
                    </w:rPr>
                  </w:pPr>
                  <w:r>
                    <w:rPr>
                      <w:rFonts w:eastAsiaTheme="minorEastAsia"/>
                      <w:color w:val="FF0000"/>
                      <w:spacing w:val="-6"/>
                      <w:szCs w:val="21"/>
                    </w:rPr>
                    <w:t>24</w:t>
                  </w:r>
                </w:p>
              </w:tc>
              <w:tc>
                <w:tcPr>
                  <w:tcW w:w="2398" w:type="pct"/>
                  <w:tcBorders>
                    <w:tl2br w:val="nil"/>
                    <w:tr2bl w:val="nil"/>
                  </w:tcBorders>
                  <w:shd w:val="clear" w:color="auto" w:fill="auto"/>
                </w:tcPr>
                <w:p w14:paraId="533BC6A1">
                  <w:pPr>
                    <w:widowControl/>
                    <w:jc w:val="left"/>
                    <w:rPr>
                      <w:rFonts w:eastAsiaTheme="minorEastAsia"/>
                      <w:color w:val="FF0000"/>
                      <w:spacing w:val="-6"/>
                      <w:szCs w:val="21"/>
                    </w:rPr>
                  </w:pPr>
                  <w:r>
                    <w:rPr>
                      <w:rFonts w:eastAsiaTheme="minorEastAsia"/>
                      <w:color w:val="FF0000"/>
                      <w:kern w:val="0"/>
                      <w:szCs w:val="21"/>
                      <w:lang w:bidi="ar"/>
                    </w:rPr>
                    <w:t>6.12报废机动车油箱中的燃料（汽油、柴油、天然气、液化石油气、甲醇等）应分类收集。</w:t>
                  </w:r>
                </w:p>
              </w:tc>
              <w:tc>
                <w:tcPr>
                  <w:tcW w:w="1993" w:type="pct"/>
                  <w:tcBorders>
                    <w:tl2br w:val="nil"/>
                    <w:tr2bl w:val="nil"/>
                  </w:tcBorders>
                  <w:shd w:val="clear" w:color="auto" w:fill="auto"/>
                  <w:vAlign w:val="center"/>
                </w:tcPr>
                <w:p w14:paraId="373FE1F6">
                  <w:pPr>
                    <w:widowControl/>
                    <w:adjustRightInd w:val="0"/>
                    <w:snapToGrid w:val="0"/>
                    <w:jc w:val="center"/>
                    <w:rPr>
                      <w:rFonts w:eastAsiaTheme="minorEastAsia"/>
                      <w:color w:val="FF0000"/>
                      <w:kern w:val="0"/>
                      <w:szCs w:val="21"/>
                      <w:lang w:bidi="ar"/>
                    </w:rPr>
                  </w:pPr>
                  <w:r>
                    <w:rPr>
                      <w:rFonts w:hint="eastAsia" w:eastAsiaTheme="minorEastAsia"/>
                      <w:color w:val="FF0000"/>
                      <w:kern w:val="0"/>
                      <w:szCs w:val="21"/>
                      <w:lang w:bidi="ar"/>
                    </w:rPr>
                    <w:t>本项目拆解后的燃料分类收集</w:t>
                  </w:r>
                </w:p>
              </w:tc>
              <w:tc>
                <w:tcPr>
                  <w:tcW w:w="282" w:type="pct"/>
                  <w:tcBorders>
                    <w:tl2br w:val="nil"/>
                    <w:tr2bl w:val="nil"/>
                  </w:tcBorders>
                  <w:vAlign w:val="center"/>
                </w:tcPr>
                <w:p w14:paraId="28CC5B2F">
                  <w:pPr>
                    <w:widowControl/>
                    <w:adjustRightInd w:val="0"/>
                    <w:snapToGrid w:val="0"/>
                    <w:jc w:val="center"/>
                    <w:rPr>
                      <w:rFonts w:eastAsiaTheme="minorEastAsia"/>
                      <w:spacing w:val="7"/>
                      <w:szCs w:val="21"/>
                    </w:rPr>
                  </w:pPr>
                  <w:r>
                    <w:rPr>
                      <w:rFonts w:eastAsiaTheme="minorEastAsia"/>
                      <w:szCs w:val="21"/>
                    </w:rPr>
                    <w:t>符合</w:t>
                  </w:r>
                </w:p>
              </w:tc>
            </w:tr>
            <w:tr w14:paraId="739E746F">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25" w:type="pct"/>
                  <w:tcBorders>
                    <w:tl2br w:val="nil"/>
                    <w:tr2bl w:val="nil"/>
                  </w:tcBorders>
                  <w:shd w:val="clear" w:color="auto" w:fill="auto"/>
                </w:tcPr>
                <w:p w14:paraId="2CD3C402">
                  <w:pPr>
                    <w:widowControl/>
                    <w:adjustRightInd w:val="0"/>
                    <w:snapToGrid w:val="0"/>
                    <w:jc w:val="left"/>
                    <w:rPr>
                      <w:rFonts w:eastAsiaTheme="minorEastAsia"/>
                      <w:color w:val="FF0000"/>
                      <w:spacing w:val="-6"/>
                      <w:szCs w:val="21"/>
                    </w:rPr>
                  </w:pPr>
                  <w:r>
                    <w:rPr>
                      <w:rFonts w:eastAsiaTheme="minorEastAsia"/>
                      <w:color w:val="FF0000"/>
                      <w:spacing w:val="-6"/>
                      <w:szCs w:val="21"/>
                    </w:rPr>
                    <w:t>25</w:t>
                  </w:r>
                </w:p>
              </w:tc>
              <w:tc>
                <w:tcPr>
                  <w:tcW w:w="2398" w:type="pct"/>
                  <w:tcBorders>
                    <w:tl2br w:val="nil"/>
                    <w:tr2bl w:val="nil"/>
                  </w:tcBorders>
                  <w:shd w:val="clear" w:color="auto" w:fill="auto"/>
                </w:tcPr>
                <w:p w14:paraId="531344E9">
                  <w:pPr>
                    <w:widowControl/>
                    <w:jc w:val="left"/>
                    <w:rPr>
                      <w:rFonts w:eastAsiaTheme="minorEastAsia"/>
                      <w:color w:val="FF0000"/>
                      <w:szCs w:val="21"/>
                    </w:rPr>
                  </w:pPr>
                  <w:r>
                    <w:rPr>
                      <w:rFonts w:eastAsiaTheme="minorEastAsia"/>
                      <w:color w:val="FF0000"/>
                      <w:kern w:val="0"/>
                      <w:szCs w:val="21"/>
                      <w:lang w:bidi="ar"/>
                    </w:rPr>
                    <w:t xml:space="preserve">7.1 水污染物排放要求 </w:t>
                  </w:r>
                </w:p>
                <w:p w14:paraId="254783BA">
                  <w:pPr>
                    <w:widowControl/>
                    <w:jc w:val="left"/>
                    <w:rPr>
                      <w:rFonts w:eastAsiaTheme="minorEastAsia"/>
                      <w:color w:val="FF0000"/>
                      <w:spacing w:val="-6"/>
                      <w:szCs w:val="21"/>
                    </w:rPr>
                  </w:pPr>
                  <w:r>
                    <w:rPr>
                      <w:rFonts w:eastAsiaTheme="minorEastAsia"/>
                      <w:color w:val="FF0000"/>
                      <w:kern w:val="0"/>
                      <w:szCs w:val="21"/>
                      <w:lang w:bidi="ar"/>
                    </w:rPr>
                    <w:t>报废机动车回收拆解企业厂区收集的初期雨水、清洗水和其他非生活废水等应通过收集管道（井） 等收集后进入污水处理设施进行处理，达到国家和地方的污染物排放标准后方可排放。</w:t>
                  </w:r>
                </w:p>
              </w:tc>
              <w:tc>
                <w:tcPr>
                  <w:tcW w:w="1993" w:type="pct"/>
                  <w:tcBorders>
                    <w:tl2br w:val="nil"/>
                    <w:tr2bl w:val="nil"/>
                  </w:tcBorders>
                  <w:shd w:val="clear" w:color="auto" w:fill="auto"/>
                  <w:vAlign w:val="center"/>
                </w:tcPr>
                <w:p w14:paraId="43952B52">
                  <w:pPr>
                    <w:widowControl/>
                    <w:adjustRightInd w:val="0"/>
                    <w:snapToGrid w:val="0"/>
                    <w:jc w:val="center"/>
                    <w:rPr>
                      <w:rFonts w:eastAsiaTheme="minorEastAsia"/>
                      <w:color w:val="FF0000"/>
                      <w:kern w:val="0"/>
                      <w:szCs w:val="21"/>
                      <w:lang w:bidi="ar"/>
                    </w:rPr>
                  </w:pPr>
                  <w:r>
                    <w:rPr>
                      <w:rFonts w:hint="eastAsia" w:eastAsiaTheme="minorEastAsia"/>
                      <w:color w:val="FF0000"/>
                      <w:kern w:val="0"/>
                      <w:szCs w:val="21"/>
                      <w:lang w:bidi="ar"/>
                    </w:rPr>
                    <w:t>本项目</w:t>
                  </w:r>
                  <w:r>
                    <w:rPr>
                      <w:rFonts w:eastAsiaTheme="minorEastAsia"/>
                      <w:color w:val="FF0000"/>
                      <w:kern w:val="0"/>
                      <w:szCs w:val="21"/>
                      <w:lang w:bidi="ar"/>
                    </w:rPr>
                    <w:t>初期雨水、清洗水等废水</w:t>
                  </w:r>
                  <w:r>
                    <w:rPr>
                      <w:rFonts w:hint="eastAsia" w:eastAsiaTheme="minorEastAsia"/>
                      <w:color w:val="FF0000"/>
                      <w:kern w:val="0"/>
                      <w:szCs w:val="21"/>
                      <w:lang w:bidi="ar"/>
                    </w:rPr>
                    <w:t>经厂区内污水处理站</w:t>
                  </w:r>
                  <w:r>
                    <w:rPr>
                      <w:rFonts w:eastAsiaTheme="minorEastAsia"/>
                      <w:color w:val="FF0000"/>
                      <w:kern w:val="0"/>
                      <w:szCs w:val="21"/>
                      <w:lang w:bidi="ar"/>
                    </w:rPr>
                    <w:t>处理达标后排放</w:t>
                  </w:r>
                  <w:r>
                    <w:rPr>
                      <w:rFonts w:hint="eastAsia" w:eastAsiaTheme="minorEastAsia"/>
                      <w:color w:val="FF0000"/>
                      <w:kern w:val="0"/>
                      <w:szCs w:val="21"/>
                      <w:lang w:bidi="ar"/>
                    </w:rPr>
                    <w:t>至北票市污水处理厂</w:t>
                  </w:r>
                  <w:r>
                    <w:rPr>
                      <w:rFonts w:eastAsiaTheme="minorEastAsia"/>
                      <w:color w:val="FF0000"/>
                      <w:kern w:val="0"/>
                      <w:szCs w:val="21"/>
                      <w:lang w:bidi="ar"/>
                    </w:rPr>
                    <w:t>。</w:t>
                  </w:r>
                </w:p>
              </w:tc>
              <w:tc>
                <w:tcPr>
                  <w:tcW w:w="282" w:type="pct"/>
                  <w:tcBorders>
                    <w:tl2br w:val="nil"/>
                    <w:tr2bl w:val="nil"/>
                  </w:tcBorders>
                  <w:vAlign w:val="center"/>
                </w:tcPr>
                <w:p w14:paraId="4CABBDD5">
                  <w:pPr>
                    <w:widowControl/>
                    <w:adjustRightInd w:val="0"/>
                    <w:snapToGrid w:val="0"/>
                    <w:jc w:val="center"/>
                    <w:rPr>
                      <w:rFonts w:eastAsiaTheme="minorEastAsia"/>
                      <w:spacing w:val="7"/>
                      <w:szCs w:val="21"/>
                    </w:rPr>
                  </w:pPr>
                  <w:r>
                    <w:rPr>
                      <w:rFonts w:eastAsiaTheme="minorEastAsia"/>
                      <w:szCs w:val="21"/>
                    </w:rPr>
                    <w:t>符合</w:t>
                  </w:r>
                </w:p>
              </w:tc>
            </w:tr>
            <w:tr w14:paraId="6A0B3FAD">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25" w:type="pct"/>
                  <w:tcBorders>
                    <w:tl2br w:val="nil"/>
                    <w:tr2bl w:val="nil"/>
                  </w:tcBorders>
                  <w:shd w:val="clear" w:color="auto" w:fill="auto"/>
                </w:tcPr>
                <w:p w14:paraId="20E5C149">
                  <w:pPr>
                    <w:widowControl/>
                    <w:adjustRightInd w:val="0"/>
                    <w:snapToGrid w:val="0"/>
                    <w:jc w:val="left"/>
                    <w:rPr>
                      <w:rFonts w:eastAsiaTheme="minorEastAsia"/>
                      <w:spacing w:val="-6"/>
                      <w:szCs w:val="21"/>
                    </w:rPr>
                  </w:pPr>
                  <w:r>
                    <w:rPr>
                      <w:rFonts w:eastAsiaTheme="minorEastAsia"/>
                      <w:spacing w:val="-6"/>
                      <w:szCs w:val="21"/>
                    </w:rPr>
                    <w:t>26</w:t>
                  </w:r>
                </w:p>
              </w:tc>
              <w:tc>
                <w:tcPr>
                  <w:tcW w:w="2398" w:type="pct"/>
                  <w:tcBorders>
                    <w:tl2br w:val="nil"/>
                    <w:tr2bl w:val="nil"/>
                  </w:tcBorders>
                  <w:shd w:val="clear" w:color="auto" w:fill="auto"/>
                </w:tcPr>
                <w:p w14:paraId="2934C3D8">
                  <w:pPr>
                    <w:widowControl/>
                    <w:jc w:val="left"/>
                    <w:rPr>
                      <w:rFonts w:eastAsiaTheme="minorEastAsia"/>
                      <w:szCs w:val="21"/>
                    </w:rPr>
                  </w:pPr>
                  <w:r>
                    <w:rPr>
                      <w:rFonts w:eastAsiaTheme="minorEastAsia"/>
                      <w:color w:val="000000"/>
                      <w:kern w:val="0"/>
                      <w:szCs w:val="21"/>
                      <w:lang w:bidi="ar"/>
                    </w:rPr>
                    <w:t xml:space="preserve">7.2 大气污染物排放要求 </w:t>
                  </w:r>
                </w:p>
                <w:p w14:paraId="684A0364">
                  <w:pPr>
                    <w:widowControl/>
                    <w:jc w:val="left"/>
                    <w:rPr>
                      <w:rFonts w:eastAsiaTheme="minorEastAsia"/>
                      <w:szCs w:val="21"/>
                    </w:rPr>
                  </w:pPr>
                  <w:r>
                    <w:rPr>
                      <w:rFonts w:eastAsiaTheme="minorEastAsia"/>
                      <w:color w:val="000000"/>
                      <w:kern w:val="0"/>
                      <w:szCs w:val="21"/>
                      <w:lang w:bidi="ar"/>
                    </w:rPr>
                    <w:t xml:space="preserve">7.2.1 </w:t>
                  </w:r>
                </w:p>
                <w:p w14:paraId="7A710FEE">
                  <w:pPr>
                    <w:widowControl/>
                    <w:jc w:val="left"/>
                    <w:rPr>
                      <w:rFonts w:eastAsiaTheme="minorEastAsia"/>
                      <w:szCs w:val="21"/>
                    </w:rPr>
                  </w:pPr>
                  <w:r>
                    <w:rPr>
                      <w:rFonts w:eastAsiaTheme="minorEastAsia"/>
                      <w:color w:val="000000"/>
                      <w:kern w:val="0"/>
                      <w:szCs w:val="21"/>
                      <w:lang w:bidi="ar"/>
                    </w:rPr>
                    <w:t xml:space="preserve">报废机动车回收拆解企业排放废气中颗粒物、挥发性有机物（VOCs）等应符合 GB 16297、GB 37822 规定的排放要求。地方污染物排放标准有更严格要求的，从其规定。 </w:t>
                  </w:r>
                </w:p>
                <w:p w14:paraId="5E7D2049">
                  <w:pPr>
                    <w:widowControl/>
                    <w:jc w:val="left"/>
                    <w:rPr>
                      <w:rFonts w:eastAsiaTheme="minorEastAsia"/>
                      <w:szCs w:val="21"/>
                    </w:rPr>
                  </w:pPr>
                  <w:r>
                    <w:rPr>
                      <w:rFonts w:eastAsiaTheme="minorEastAsia"/>
                      <w:color w:val="000000"/>
                      <w:kern w:val="0"/>
                      <w:szCs w:val="21"/>
                      <w:lang w:bidi="ar"/>
                    </w:rPr>
                    <w:t>7.2.2</w:t>
                  </w:r>
                </w:p>
                <w:p w14:paraId="014C700F">
                  <w:pPr>
                    <w:widowControl/>
                    <w:jc w:val="left"/>
                    <w:rPr>
                      <w:rFonts w:eastAsiaTheme="minorEastAsia"/>
                      <w:szCs w:val="21"/>
                    </w:rPr>
                  </w:pPr>
                  <w:r>
                    <w:rPr>
                      <w:rFonts w:eastAsiaTheme="minorEastAsia"/>
                      <w:color w:val="000000"/>
                      <w:kern w:val="0"/>
                      <w:szCs w:val="21"/>
                      <w:lang w:bidi="ar"/>
                    </w:rPr>
                    <w:t>报废机动车回收拆解企业应在厂区及易产生粉尘的生产环节采取有效防尘、降尘、集尘措施，拆解过程产生的粉尘等应收集净化后排放。</w:t>
                  </w:r>
                </w:p>
                <w:p w14:paraId="6C739343">
                  <w:pPr>
                    <w:widowControl/>
                    <w:jc w:val="left"/>
                    <w:rPr>
                      <w:rFonts w:eastAsiaTheme="minorEastAsia"/>
                      <w:szCs w:val="21"/>
                    </w:rPr>
                  </w:pPr>
                  <w:r>
                    <w:rPr>
                      <w:rFonts w:eastAsiaTheme="minorEastAsia"/>
                      <w:color w:val="000000"/>
                      <w:kern w:val="0"/>
                      <w:szCs w:val="21"/>
                      <w:lang w:bidi="ar"/>
                    </w:rPr>
                    <w:t xml:space="preserve">7.2.3 </w:t>
                  </w:r>
                </w:p>
                <w:p w14:paraId="28E56ACD">
                  <w:pPr>
                    <w:widowControl/>
                    <w:jc w:val="left"/>
                    <w:rPr>
                      <w:rFonts w:eastAsiaTheme="minorEastAsia"/>
                      <w:szCs w:val="21"/>
                    </w:rPr>
                  </w:pPr>
                  <w:r>
                    <w:rPr>
                      <w:rFonts w:eastAsiaTheme="minorEastAsia"/>
                      <w:color w:val="000000"/>
                      <w:kern w:val="0"/>
                      <w:szCs w:val="21"/>
                      <w:lang w:bidi="ar"/>
                    </w:rPr>
                    <w:t>报废机动车回收拆解企业的恶臭污染物排放应满足 GB 14554 中的相关要求。</w:t>
                  </w:r>
                </w:p>
                <w:p w14:paraId="043F0A6D">
                  <w:pPr>
                    <w:widowControl/>
                    <w:jc w:val="left"/>
                    <w:rPr>
                      <w:rFonts w:eastAsiaTheme="minorEastAsia"/>
                      <w:color w:val="FF0000"/>
                      <w:szCs w:val="21"/>
                    </w:rPr>
                  </w:pPr>
                  <w:r>
                    <w:rPr>
                      <w:rFonts w:eastAsiaTheme="minorEastAsia"/>
                      <w:color w:val="FF0000"/>
                      <w:kern w:val="0"/>
                      <w:szCs w:val="21"/>
                      <w:lang w:bidi="ar"/>
                    </w:rPr>
                    <w:t xml:space="preserve">7.2.4 </w:t>
                  </w:r>
                </w:p>
                <w:p w14:paraId="017FA3CF">
                  <w:pPr>
                    <w:widowControl/>
                    <w:jc w:val="left"/>
                    <w:rPr>
                      <w:rFonts w:eastAsiaTheme="minorEastAsia"/>
                      <w:spacing w:val="-6"/>
                      <w:szCs w:val="21"/>
                    </w:rPr>
                  </w:pPr>
                  <w:r>
                    <w:rPr>
                      <w:rFonts w:eastAsiaTheme="minorEastAsia"/>
                      <w:color w:val="FF0000"/>
                      <w:kern w:val="0"/>
                      <w:szCs w:val="21"/>
                      <w:lang w:bidi="ar"/>
                    </w:rPr>
                    <w:t>报废机动车回收拆解企业应依照《消耗臭氧层物质管理条例》，对消耗臭氧层物质和氢氟碳化物进行分类回收，并交由专业单位进行利用或无害化处置，不应直接排放。涉及《中国受控消耗臭氧层物质清单》所列的废制冷剂应按照国家相关规定进行管理。</w:t>
                  </w:r>
                </w:p>
              </w:tc>
              <w:tc>
                <w:tcPr>
                  <w:tcW w:w="1993" w:type="pct"/>
                  <w:tcBorders>
                    <w:tl2br w:val="nil"/>
                    <w:tr2bl w:val="nil"/>
                  </w:tcBorders>
                  <w:shd w:val="clear" w:color="auto" w:fill="auto"/>
                  <w:vAlign w:val="center"/>
                </w:tcPr>
                <w:p w14:paraId="18BBF61F">
                  <w:pPr>
                    <w:widowControl/>
                    <w:jc w:val="left"/>
                    <w:rPr>
                      <w:rFonts w:eastAsiaTheme="minorEastAsia"/>
                      <w:color w:val="000000"/>
                      <w:kern w:val="0"/>
                      <w:szCs w:val="21"/>
                      <w:lang w:bidi="ar"/>
                    </w:rPr>
                  </w:pPr>
                  <w:r>
                    <w:rPr>
                      <w:rFonts w:eastAsiaTheme="minorEastAsia"/>
                      <w:color w:val="000000"/>
                      <w:kern w:val="0"/>
                      <w:szCs w:val="21"/>
                      <w:lang w:bidi="ar"/>
                    </w:rPr>
                    <w:t>本项目通过设置活性炭吸附装置、脉冲式布袋除尘系统等废气治理设施，确保颗粒物、VOCs等污染物排放浓度分别满足《大气污染物综合排放标准》（GB 16297-1996）和《挥发性有机物无组织排放控制标准》（GB 37822-2019）要求，并优先执行地方更严格标准。</w:t>
                  </w:r>
                </w:p>
                <w:p w14:paraId="64C23BB9">
                  <w:pPr>
                    <w:widowControl/>
                    <w:jc w:val="left"/>
                    <w:rPr>
                      <w:rFonts w:eastAsiaTheme="minorEastAsia"/>
                      <w:color w:val="000000"/>
                      <w:kern w:val="0"/>
                      <w:szCs w:val="21"/>
                      <w:lang w:bidi="ar"/>
                    </w:rPr>
                  </w:pPr>
                  <w:r>
                    <w:rPr>
                      <w:rFonts w:eastAsiaTheme="minorEastAsia"/>
                      <w:color w:val="000000"/>
                      <w:kern w:val="0"/>
                      <w:szCs w:val="21"/>
                      <w:lang w:bidi="ar"/>
                    </w:rPr>
                    <w:t>本项目在厂区及易产生粉尘的生产环节（如破碎、切割、废油液抽取等）设置全封闭车间、脉冲式布袋除尘器及集气罩系统，粉尘经高效净化后通过</w:t>
                  </w:r>
                  <w:r>
                    <w:rPr>
                      <w:rFonts w:hint="eastAsia" w:eastAsiaTheme="minorEastAsia"/>
                      <w:color w:val="000000"/>
                      <w:kern w:val="0"/>
                      <w:szCs w:val="21"/>
                      <w:lang w:eastAsia="zh-CN" w:bidi="ar"/>
                    </w:rPr>
                    <w:t>26m</w:t>
                  </w:r>
                  <w:r>
                    <w:rPr>
                      <w:rFonts w:eastAsiaTheme="minorEastAsia"/>
                      <w:color w:val="000000"/>
                      <w:kern w:val="0"/>
                      <w:szCs w:val="21"/>
                      <w:lang w:bidi="ar"/>
                    </w:rPr>
                    <w:t>高排气筒达标排放（满足《大气污染物综合排放标准》GB 16297-1996），并配套道路硬化、洒水降尘等措施，确保粉尘无组织排放符合《挥发性有机物无组织排放控制标准》（GB37822-2019）及地方要求。</w:t>
                  </w:r>
                </w:p>
                <w:p w14:paraId="565C9D06">
                  <w:pPr>
                    <w:widowControl/>
                    <w:jc w:val="left"/>
                    <w:rPr>
                      <w:rFonts w:hint="default" w:eastAsiaTheme="minorEastAsia"/>
                      <w:color w:val="000000"/>
                      <w:kern w:val="0"/>
                      <w:szCs w:val="21"/>
                      <w:lang w:val="en-US" w:eastAsia="zh-CN" w:bidi="ar"/>
                    </w:rPr>
                  </w:pPr>
                  <w:r>
                    <w:rPr>
                      <w:rFonts w:eastAsiaTheme="minorEastAsia"/>
                      <w:color w:val="FF0000"/>
                      <w:kern w:val="0"/>
                      <w:szCs w:val="21"/>
                      <w:lang w:bidi="ar"/>
                    </w:rPr>
                    <w:t>项目报废汽车空调系统所用的制冷剂主要为R134a（CH</w:t>
                  </w:r>
                  <w:r>
                    <w:rPr>
                      <w:rFonts w:eastAsiaTheme="minorEastAsia"/>
                      <w:color w:val="FF0000"/>
                      <w:kern w:val="0"/>
                      <w:szCs w:val="21"/>
                      <w:vertAlign w:val="subscript"/>
                      <w:lang w:bidi="ar"/>
                    </w:rPr>
                    <w:t>2</w:t>
                  </w:r>
                  <w:r>
                    <w:rPr>
                      <w:rFonts w:eastAsiaTheme="minorEastAsia"/>
                      <w:color w:val="FF0000"/>
                      <w:kern w:val="0"/>
                      <w:szCs w:val="21"/>
                      <w:lang w:bidi="ar"/>
                    </w:rPr>
                    <w:t>FCF</w:t>
                  </w:r>
                  <w:r>
                    <w:rPr>
                      <w:rFonts w:eastAsiaTheme="minorEastAsia"/>
                      <w:color w:val="FF0000"/>
                      <w:kern w:val="0"/>
                      <w:szCs w:val="21"/>
                      <w:vertAlign w:val="subscript"/>
                      <w:lang w:bidi="ar"/>
                    </w:rPr>
                    <w:t>3</w:t>
                  </w:r>
                  <w:r>
                    <w:rPr>
                      <w:rFonts w:eastAsiaTheme="minorEastAsia"/>
                      <w:color w:val="FF0000"/>
                      <w:kern w:val="0"/>
                      <w:szCs w:val="21"/>
                      <w:lang w:bidi="ar"/>
                    </w:rPr>
                    <w:t>）,氟利昂R12（CF</w:t>
                  </w:r>
                  <w:r>
                    <w:rPr>
                      <w:rFonts w:eastAsiaTheme="minorEastAsia"/>
                      <w:color w:val="FF0000"/>
                      <w:kern w:val="0"/>
                      <w:szCs w:val="21"/>
                      <w:vertAlign w:val="subscript"/>
                      <w:lang w:bidi="ar"/>
                    </w:rPr>
                    <w:t>2</w:t>
                  </w:r>
                  <w:r>
                    <w:rPr>
                      <w:rFonts w:eastAsiaTheme="minorEastAsia"/>
                      <w:color w:val="FF0000"/>
                      <w:kern w:val="0"/>
                      <w:szCs w:val="21"/>
                      <w:lang w:bidi="ar"/>
                    </w:rPr>
                    <w:t>CI</w:t>
                  </w:r>
                  <w:r>
                    <w:rPr>
                      <w:rFonts w:eastAsiaTheme="minorEastAsia"/>
                      <w:color w:val="FF0000"/>
                      <w:kern w:val="0"/>
                      <w:szCs w:val="21"/>
                      <w:vertAlign w:val="subscript"/>
                      <w:lang w:bidi="ar"/>
                    </w:rPr>
                    <w:t>2</w:t>
                  </w:r>
                  <w:r>
                    <w:rPr>
                      <w:rFonts w:eastAsiaTheme="minorEastAsia"/>
                      <w:color w:val="FF0000"/>
                      <w:kern w:val="0"/>
                      <w:szCs w:val="21"/>
                      <w:lang w:bidi="ar"/>
                    </w:rPr>
                    <w:t>）较少</w:t>
                  </w:r>
                  <w:r>
                    <w:rPr>
                      <w:rFonts w:hint="eastAsia" w:eastAsiaTheme="minorEastAsia"/>
                      <w:color w:val="FF0000"/>
                      <w:kern w:val="0"/>
                      <w:szCs w:val="21"/>
                      <w:lang w:eastAsia="zh-CN" w:bidi="ar"/>
                    </w:rPr>
                    <w:t>，</w:t>
                  </w:r>
                  <w:r>
                    <w:rPr>
                      <w:rFonts w:hint="eastAsia" w:eastAsiaTheme="minorEastAsia"/>
                      <w:color w:val="FF0000"/>
                      <w:kern w:val="0"/>
                      <w:szCs w:val="21"/>
                      <w:lang w:val="en-US" w:eastAsia="zh-CN" w:bidi="ar"/>
                    </w:rPr>
                    <w:t>根据</w:t>
                  </w:r>
                  <w:r>
                    <w:rPr>
                      <w:rFonts w:eastAsiaTheme="minorEastAsia"/>
                      <w:color w:val="FF0000"/>
                      <w:kern w:val="0"/>
                      <w:szCs w:val="21"/>
                      <w:lang w:bidi="ar"/>
                    </w:rPr>
                    <w:t>《中国受控消耗臭氧层物质清单》</w:t>
                  </w:r>
                  <w:r>
                    <w:rPr>
                      <w:rFonts w:hint="eastAsia" w:eastAsiaTheme="minorEastAsia"/>
                      <w:color w:val="FF0000"/>
                      <w:kern w:val="0"/>
                      <w:szCs w:val="21"/>
                      <w:lang w:eastAsia="zh-CN" w:bidi="ar"/>
                    </w:rPr>
                    <w:t>，</w:t>
                  </w:r>
                  <w:r>
                    <w:rPr>
                      <w:rFonts w:eastAsiaTheme="minorEastAsia"/>
                      <w:color w:val="FF0000"/>
                      <w:kern w:val="0"/>
                      <w:szCs w:val="21"/>
                      <w:lang w:bidi="ar"/>
                    </w:rPr>
                    <w:t>CF</w:t>
                  </w:r>
                  <w:r>
                    <w:rPr>
                      <w:rFonts w:eastAsiaTheme="minorEastAsia"/>
                      <w:color w:val="FF0000"/>
                      <w:kern w:val="0"/>
                      <w:szCs w:val="21"/>
                      <w:vertAlign w:val="subscript"/>
                      <w:lang w:bidi="ar"/>
                    </w:rPr>
                    <w:t>2</w:t>
                  </w:r>
                  <w:r>
                    <w:rPr>
                      <w:rFonts w:eastAsiaTheme="minorEastAsia"/>
                      <w:color w:val="FF0000"/>
                      <w:kern w:val="0"/>
                      <w:szCs w:val="21"/>
                      <w:lang w:bidi="ar"/>
                    </w:rPr>
                    <w:t>CI</w:t>
                  </w:r>
                  <w:r>
                    <w:rPr>
                      <w:rFonts w:eastAsiaTheme="minorEastAsia"/>
                      <w:color w:val="FF0000"/>
                      <w:kern w:val="0"/>
                      <w:szCs w:val="21"/>
                      <w:vertAlign w:val="subscript"/>
                      <w:lang w:bidi="ar"/>
                    </w:rPr>
                    <w:t>2</w:t>
                  </w:r>
                  <w:r>
                    <w:rPr>
                      <w:rFonts w:hint="eastAsia" w:eastAsiaTheme="minorEastAsia"/>
                      <w:color w:val="FF0000"/>
                      <w:kern w:val="0"/>
                      <w:szCs w:val="21"/>
                      <w:lang w:val="en-US" w:eastAsia="zh-CN" w:bidi="ar"/>
                    </w:rPr>
                    <w:t>属于第一类 全氯氟烃 (又称氯氟化碳)，</w:t>
                  </w:r>
                  <w:r>
                    <w:rPr>
                      <w:rFonts w:eastAsiaTheme="minorEastAsia"/>
                      <w:color w:val="FF0000"/>
                      <w:kern w:val="0"/>
                      <w:szCs w:val="21"/>
                      <w:lang w:bidi="ar"/>
                    </w:rPr>
                    <w:t>CH</w:t>
                  </w:r>
                  <w:r>
                    <w:rPr>
                      <w:rFonts w:eastAsiaTheme="minorEastAsia"/>
                      <w:color w:val="FF0000"/>
                      <w:kern w:val="0"/>
                      <w:szCs w:val="21"/>
                      <w:vertAlign w:val="subscript"/>
                      <w:lang w:bidi="ar"/>
                    </w:rPr>
                    <w:t>2</w:t>
                  </w:r>
                  <w:r>
                    <w:rPr>
                      <w:rFonts w:eastAsiaTheme="minorEastAsia"/>
                      <w:color w:val="FF0000"/>
                      <w:kern w:val="0"/>
                      <w:szCs w:val="21"/>
                      <w:lang w:bidi="ar"/>
                    </w:rPr>
                    <w:t>FCF</w:t>
                  </w:r>
                  <w:r>
                    <w:rPr>
                      <w:rFonts w:eastAsiaTheme="minorEastAsia"/>
                      <w:color w:val="FF0000"/>
                      <w:kern w:val="0"/>
                      <w:szCs w:val="21"/>
                      <w:vertAlign w:val="subscript"/>
                      <w:lang w:bidi="ar"/>
                    </w:rPr>
                    <w:t>3</w:t>
                  </w:r>
                  <w:r>
                    <w:rPr>
                      <w:rFonts w:hint="eastAsia" w:eastAsiaTheme="minorEastAsia"/>
                      <w:color w:val="FF0000"/>
                      <w:kern w:val="0"/>
                      <w:szCs w:val="21"/>
                      <w:lang w:val="en-US" w:eastAsia="zh-CN" w:bidi="ar"/>
                    </w:rPr>
                    <w:t>属于第九类 氢氟碳化物，本项目</w:t>
                  </w:r>
                  <w:r>
                    <w:rPr>
                      <w:rFonts w:eastAsiaTheme="minorEastAsia"/>
                      <w:color w:val="FF0000"/>
                      <w:kern w:val="0"/>
                      <w:szCs w:val="21"/>
                      <w:lang w:bidi="ar"/>
                    </w:rPr>
                    <w:t>按照国家相关规定</w:t>
                  </w:r>
                  <w:r>
                    <w:rPr>
                      <w:rFonts w:hint="eastAsia" w:eastAsiaTheme="minorEastAsia"/>
                      <w:color w:val="FF0000"/>
                      <w:kern w:val="0"/>
                      <w:szCs w:val="21"/>
                      <w:lang w:val="en-US" w:eastAsia="zh-CN" w:bidi="ar"/>
                    </w:rPr>
                    <w:t>分类收集并委托专业单位回收处理。</w:t>
                  </w:r>
                </w:p>
              </w:tc>
              <w:tc>
                <w:tcPr>
                  <w:tcW w:w="282" w:type="pct"/>
                  <w:tcBorders>
                    <w:tl2br w:val="nil"/>
                    <w:tr2bl w:val="nil"/>
                  </w:tcBorders>
                  <w:vAlign w:val="center"/>
                </w:tcPr>
                <w:p w14:paraId="401112CE">
                  <w:pPr>
                    <w:widowControl/>
                    <w:adjustRightInd w:val="0"/>
                    <w:snapToGrid w:val="0"/>
                    <w:jc w:val="center"/>
                    <w:rPr>
                      <w:rFonts w:eastAsiaTheme="minorEastAsia"/>
                      <w:spacing w:val="7"/>
                      <w:szCs w:val="21"/>
                    </w:rPr>
                  </w:pPr>
                  <w:r>
                    <w:rPr>
                      <w:rFonts w:eastAsiaTheme="minorEastAsia"/>
                      <w:szCs w:val="21"/>
                    </w:rPr>
                    <w:t>符合</w:t>
                  </w:r>
                </w:p>
              </w:tc>
            </w:tr>
            <w:tr w14:paraId="2DE87A7E">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25" w:type="pct"/>
                  <w:tcBorders>
                    <w:tl2br w:val="nil"/>
                    <w:tr2bl w:val="nil"/>
                  </w:tcBorders>
                  <w:shd w:val="clear" w:color="auto" w:fill="auto"/>
                </w:tcPr>
                <w:p w14:paraId="4C96BDB1">
                  <w:pPr>
                    <w:widowControl/>
                    <w:adjustRightInd w:val="0"/>
                    <w:snapToGrid w:val="0"/>
                    <w:jc w:val="left"/>
                    <w:rPr>
                      <w:rFonts w:eastAsiaTheme="minorEastAsia"/>
                      <w:spacing w:val="-6"/>
                      <w:szCs w:val="21"/>
                    </w:rPr>
                  </w:pPr>
                  <w:r>
                    <w:rPr>
                      <w:rFonts w:eastAsiaTheme="minorEastAsia"/>
                      <w:spacing w:val="-6"/>
                      <w:szCs w:val="21"/>
                    </w:rPr>
                    <w:t>27</w:t>
                  </w:r>
                </w:p>
              </w:tc>
              <w:tc>
                <w:tcPr>
                  <w:tcW w:w="2398" w:type="pct"/>
                  <w:tcBorders>
                    <w:tl2br w:val="nil"/>
                    <w:tr2bl w:val="nil"/>
                  </w:tcBorders>
                  <w:shd w:val="clear" w:color="auto" w:fill="auto"/>
                </w:tcPr>
                <w:p w14:paraId="4DF81414">
                  <w:pPr>
                    <w:widowControl/>
                    <w:jc w:val="left"/>
                    <w:rPr>
                      <w:rFonts w:eastAsiaTheme="minorEastAsia"/>
                      <w:szCs w:val="21"/>
                    </w:rPr>
                  </w:pPr>
                  <w:r>
                    <w:rPr>
                      <w:rFonts w:eastAsiaTheme="minorEastAsia"/>
                      <w:color w:val="000000"/>
                      <w:kern w:val="0"/>
                      <w:szCs w:val="21"/>
                      <w:lang w:bidi="ar"/>
                    </w:rPr>
                    <w:t xml:space="preserve">7.3 噪声排放控制要求 </w:t>
                  </w:r>
                </w:p>
                <w:p w14:paraId="412728DE">
                  <w:pPr>
                    <w:widowControl/>
                    <w:jc w:val="left"/>
                    <w:rPr>
                      <w:rFonts w:eastAsiaTheme="minorEastAsia"/>
                      <w:szCs w:val="21"/>
                    </w:rPr>
                  </w:pPr>
                  <w:r>
                    <w:rPr>
                      <w:rFonts w:eastAsiaTheme="minorEastAsia"/>
                      <w:color w:val="000000"/>
                      <w:kern w:val="0"/>
                      <w:szCs w:val="21"/>
                      <w:lang w:bidi="ar"/>
                    </w:rPr>
                    <w:t xml:space="preserve">7.3.1 </w:t>
                  </w:r>
                </w:p>
                <w:p w14:paraId="1657B22E">
                  <w:pPr>
                    <w:widowControl/>
                    <w:jc w:val="left"/>
                    <w:rPr>
                      <w:rFonts w:eastAsiaTheme="minorEastAsia"/>
                      <w:szCs w:val="21"/>
                    </w:rPr>
                  </w:pPr>
                  <w:r>
                    <w:rPr>
                      <w:rFonts w:eastAsiaTheme="minorEastAsia"/>
                      <w:color w:val="000000"/>
                      <w:kern w:val="0"/>
                      <w:szCs w:val="21"/>
                      <w:lang w:bidi="ar"/>
                    </w:rPr>
                    <w:t xml:space="preserve">报废机动车回收拆解企业应采取隔音降噪措施，减小厂界噪声，满足 GB 12348 中的相关要求。 </w:t>
                  </w:r>
                </w:p>
                <w:p w14:paraId="3D5B46E8">
                  <w:pPr>
                    <w:widowControl/>
                    <w:jc w:val="left"/>
                    <w:rPr>
                      <w:rFonts w:eastAsiaTheme="minorEastAsia"/>
                      <w:szCs w:val="21"/>
                    </w:rPr>
                  </w:pPr>
                  <w:r>
                    <w:rPr>
                      <w:rFonts w:eastAsiaTheme="minorEastAsia"/>
                      <w:color w:val="000000"/>
                      <w:kern w:val="0"/>
                      <w:szCs w:val="21"/>
                      <w:lang w:bidi="ar"/>
                    </w:rPr>
                    <w:t xml:space="preserve">7.3.2 </w:t>
                  </w:r>
                </w:p>
                <w:p w14:paraId="71BC14F6">
                  <w:pPr>
                    <w:widowControl/>
                    <w:jc w:val="left"/>
                    <w:rPr>
                      <w:rFonts w:eastAsiaTheme="minorEastAsia"/>
                      <w:szCs w:val="21"/>
                    </w:rPr>
                  </w:pPr>
                  <w:r>
                    <w:rPr>
                      <w:rFonts w:eastAsiaTheme="minorEastAsia"/>
                      <w:color w:val="000000"/>
                      <w:kern w:val="0"/>
                      <w:szCs w:val="21"/>
                      <w:lang w:bidi="ar"/>
                    </w:rPr>
                    <w:t xml:space="preserve">对于破碎机、分选机、风机等机械设备，应采用合理的降噪、减噪措施。如选用低噪声设备，安装隔振元件、柔性接头、隔振垫等。 </w:t>
                  </w:r>
                </w:p>
                <w:p w14:paraId="577D03AC">
                  <w:pPr>
                    <w:widowControl/>
                    <w:jc w:val="left"/>
                    <w:rPr>
                      <w:rFonts w:eastAsiaTheme="minorEastAsia"/>
                      <w:szCs w:val="21"/>
                    </w:rPr>
                  </w:pPr>
                  <w:r>
                    <w:rPr>
                      <w:rFonts w:eastAsiaTheme="minorEastAsia"/>
                      <w:color w:val="000000"/>
                      <w:kern w:val="0"/>
                      <w:szCs w:val="21"/>
                      <w:lang w:bidi="ar"/>
                    </w:rPr>
                    <w:t xml:space="preserve">7.3.3 </w:t>
                  </w:r>
                </w:p>
                <w:p w14:paraId="7202C34F">
                  <w:pPr>
                    <w:widowControl/>
                    <w:jc w:val="left"/>
                    <w:rPr>
                      <w:rFonts w:eastAsiaTheme="minorEastAsia"/>
                      <w:szCs w:val="21"/>
                    </w:rPr>
                  </w:pPr>
                  <w:r>
                    <w:rPr>
                      <w:rFonts w:eastAsiaTheme="minorEastAsia"/>
                      <w:color w:val="000000"/>
                      <w:kern w:val="0"/>
                      <w:szCs w:val="21"/>
                      <w:lang w:bidi="ar"/>
                    </w:rPr>
                    <w:t xml:space="preserve">在空压机、风机等的输气管道或在进气口、排气口上安装消声元件，采取屏蔽隔声措施等。 </w:t>
                  </w:r>
                </w:p>
                <w:p w14:paraId="6F0BA821">
                  <w:pPr>
                    <w:widowControl/>
                    <w:jc w:val="left"/>
                    <w:rPr>
                      <w:rFonts w:eastAsiaTheme="minorEastAsia"/>
                      <w:szCs w:val="21"/>
                    </w:rPr>
                  </w:pPr>
                  <w:r>
                    <w:rPr>
                      <w:rFonts w:eastAsiaTheme="minorEastAsia"/>
                      <w:color w:val="000000"/>
                      <w:kern w:val="0"/>
                      <w:szCs w:val="21"/>
                      <w:lang w:bidi="ar"/>
                    </w:rPr>
                    <w:t xml:space="preserve">7.3.4 </w:t>
                  </w:r>
                </w:p>
                <w:p w14:paraId="2D3DF2B3">
                  <w:pPr>
                    <w:widowControl/>
                    <w:jc w:val="left"/>
                    <w:rPr>
                      <w:rFonts w:eastAsiaTheme="minorEastAsia"/>
                      <w:spacing w:val="-6"/>
                      <w:szCs w:val="21"/>
                    </w:rPr>
                  </w:pPr>
                  <w:r>
                    <w:rPr>
                      <w:rFonts w:eastAsiaTheme="minorEastAsia"/>
                      <w:color w:val="000000"/>
                      <w:kern w:val="0"/>
                      <w:szCs w:val="21"/>
                      <w:lang w:bidi="ar"/>
                    </w:rPr>
                    <w:t>对于搬运、手工拆解、车辆运输等非机械噪声产生环节，宜采取可减少固体振动和碰撞过程噪声产生的管理措施，如使用手动运输车辆、车间地面涂刷防护地坪、使用软性传输装置等措施；加强工人的防噪声劳动保护措施，如使用耳塞等。</w:t>
                  </w:r>
                </w:p>
              </w:tc>
              <w:tc>
                <w:tcPr>
                  <w:tcW w:w="1993" w:type="pct"/>
                  <w:tcBorders>
                    <w:tl2br w:val="nil"/>
                    <w:tr2bl w:val="nil"/>
                  </w:tcBorders>
                  <w:shd w:val="clear" w:color="auto" w:fill="auto"/>
                  <w:vAlign w:val="center"/>
                </w:tcPr>
                <w:p w14:paraId="3C94887B">
                  <w:pPr>
                    <w:widowControl/>
                    <w:jc w:val="left"/>
                    <w:rPr>
                      <w:rFonts w:eastAsiaTheme="minorEastAsia"/>
                      <w:color w:val="000000"/>
                      <w:kern w:val="0"/>
                      <w:szCs w:val="21"/>
                      <w:lang w:bidi="ar"/>
                    </w:rPr>
                  </w:pPr>
                  <w:r>
                    <w:rPr>
                      <w:rFonts w:hint="eastAsia" w:eastAsiaTheme="minorEastAsia"/>
                      <w:color w:val="000000"/>
                      <w:kern w:val="0"/>
                      <w:szCs w:val="21"/>
                      <w:lang w:bidi="ar"/>
                    </w:rPr>
                    <w:t>项</w:t>
                  </w:r>
                  <w:r>
                    <w:rPr>
                      <w:rFonts w:eastAsiaTheme="minorEastAsia"/>
                      <w:color w:val="000000"/>
                      <w:kern w:val="0"/>
                      <w:szCs w:val="21"/>
                      <w:lang w:bidi="ar"/>
                    </w:rPr>
                    <w:t>目通过选用低噪声设备、设置隔声墙体及基础减振措施，确保厂界噪声满足《工业企业厂界环境噪声排放标准》（GB 12348-2008）2类</w:t>
                  </w:r>
                  <w:r>
                    <w:rPr>
                      <w:rFonts w:hint="eastAsia" w:eastAsiaTheme="minorEastAsia"/>
                      <w:color w:val="000000"/>
                      <w:kern w:val="0"/>
                      <w:szCs w:val="21"/>
                      <w:lang w:bidi="ar"/>
                    </w:rPr>
                    <w:t>及4</w:t>
                  </w:r>
                  <w:r>
                    <w:rPr>
                      <w:rFonts w:eastAsiaTheme="minorEastAsia"/>
                      <w:color w:val="000000"/>
                      <w:kern w:val="0"/>
                      <w:szCs w:val="21"/>
                      <w:lang w:bidi="ar"/>
                    </w:rPr>
                    <w:t>类标准要求（昼间≤65 dB(A)、夜间≤55 dB(A)），并优先执行地方更严格标准</w:t>
                  </w:r>
                </w:p>
                <w:p w14:paraId="2944AD27">
                  <w:pPr>
                    <w:widowControl/>
                    <w:jc w:val="left"/>
                    <w:rPr>
                      <w:rFonts w:eastAsiaTheme="minorEastAsia"/>
                      <w:color w:val="000000"/>
                      <w:kern w:val="0"/>
                      <w:szCs w:val="21"/>
                      <w:lang w:bidi="ar"/>
                    </w:rPr>
                  </w:pPr>
                  <w:r>
                    <w:rPr>
                      <w:rFonts w:eastAsiaTheme="minorEastAsia"/>
                      <w:color w:val="000000"/>
                      <w:kern w:val="0"/>
                      <w:szCs w:val="21"/>
                      <w:lang w:bidi="ar"/>
                    </w:rPr>
                    <w:t>项目破碎机、分选机、风机等设备均采用低噪声型号，并配套安装隔振垫、柔性接头等减振设施，有效降低机械振动噪声，符合标准对机械设备的降噪要求。</w:t>
                  </w:r>
                </w:p>
                <w:p w14:paraId="4AB37C2C">
                  <w:pPr>
                    <w:widowControl/>
                    <w:jc w:val="left"/>
                    <w:rPr>
                      <w:rFonts w:eastAsiaTheme="minorEastAsia"/>
                      <w:color w:val="000000"/>
                      <w:kern w:val="0"/>
                      <w:szCs w:val="21"/>
                      <w:lang w:bidi="ar"/>
                    </w:rPr>
                  </w:pPr>
                  <w:r>
                    <w:rPr>
                      <w:rFonts w:eastAsiaTheme="minorEastAsia"/>
                      <w:color w:val="000000"/>
                      <w:kern w:val="0"/>
                      <w:szCs w:val="21"/>
                      <w:lang w:bidi="ar"/>
                    </w:rPr>
                    <w:t>空压机、风机的进排气口安装消声器，管道系统设置隔声罩及吸声材料，通过屏蔽隔声措施控制噪声传播，确保设备运行噪声达标排放。</w:t>
                  </w:r>
                </w:p>
                <w:p w14:paraId="62AF7701">
                  <w:pPr>
                    <w:widowControl/>
                    <w:jc w:val="left"/>
                  </w:pPr>
                  <w:r>
                    <w:rPr>
                      <w:rFonts w:eastAsiaTheme="minorEastAsia"/>
                      <w:color w:val="000000"/>
                      <w:kern w:val="0"/>
                      <w:szCs w:val="21"/>
                      <w:lang w:bidi="ar"/>
                    </w:rPr>
                    <w:t>项目采用防护地坪、软性传输装置及防撞防护地坪减少非机械噪声，并为操作人员配备耳塞等个人防护装备，符合对非机械噪声源的管理要求。</w:t>
                  </w:r>
                </w:p>
              </w:tc>
              <w:tc>
                <w:tcPr>
                  <w:tcW w:w="282" w:type="pct"/>
                  <w:tcBorders>
                    <w:tl2br w:val="nil"/>
                    <w:tr2bl w:val="nil"/>
                  </w:tcBorders>
                  <w:vAlign w:val="center"/>
                </w:tcPr>
                <w:p w14:paraId="00754519">
                  <w:pPr>
                    <w:widowControl/>
                    <w:adjustRightInd w:val="0"/>
                    <w:snapToGrid w:val="0"/>
                    <w:jc w:val="center"/>
                    <w:rPr>
                      <w:rFonts w:eastAsiaTheme="minorEastAsia"/>
                      <w:spacing w:val="7"/>
                      <w:szCs w:val="21"/>
                    </w:rPr>
                  </w:pPr>
                  <w:r>
                    <w:rPr>
                      <w:rFonts w:eastAsiaTheme="minorEastAsia"/>
                      <w:szCs w:val="21"/>
                    </w:rPr>
                    <w:t>符合</w:t>
                  </w:r>
                </w:p>
              </w:tc>
            </w:tr>
            <w:tr w14:paraId="321EF248">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25" w:type="pct"/>
                  <w:tcBorders>
                    <w:tl2br w:val="nil"/>
                    <w:tr2bl w:val="nil"/>
                  </w:tcBorders>
                  <w:shd w:val="clear" w:color="auto" w:fill="auto"/>
                </w:tcPr>
                <w:p w14:paraId="4AB00645">
                  <w:pPr>
                    <w:widowControl/>
                    <w:adjustRightInd w:val="0"/>
                    <w:snapToGrid w:val="0"/>
                    <w:jc w:val="left"/>
                    <w:rPr>
                      <w:rFonts w:eastAsiaTheme="minorEastAsia"/>
                      <w:spacing w:val="-6"/>
                      <w:szCs w:val="21"/>
                    </w:rPr>
                  </w:pPr>
                  <w:r>
                    <w:rPr>
                      <w:rFonts w:eastAsiaTheme="minorEastAsia"/>
                      <w:spacing w:val="-6"/>
                      <w:szCs w:val="21"/>
                    </w:rPr>
                    <w:t>28</w:t>
                  </w:r>
                </w:p>
              </w:tc>
              <w:tc>
                <w:tcPr>
                  <w:tcW w:w="2398" w:type="pct"/>
                  <w:tcBorders>
                    <w:tl2br w:val="nil"/>
                    <w:tr2bl w:val="nil"/>
                  </w:tcBorders>
                  <w:shd w:val="clear" w:color="auto" w:fill="auto"/>
                </w:tcPr>
                <w:p w14:paraId="5DED69E2">
                  <w:pPr>
                    <w:widowControl/>
                    <w:jc w:val="left"/>
                    <w:rPr>
                      <w:rFonts w:eastAsiaTheme="minorEastAsia"/>
                      <w:color w:val="FF0000"/>
                      <w:szCs w:val="21"/>
                    </w:rPr>
                  </w:pPr>
                  <w:r>
                    <w:rPr>
                      <w:rFonts w:eastAsiaTheme="minorEastAsia"/>
                      <w:color w:val="FF0000"/>
                      <w:kern w:val="0"/>
                      <w:szCs w:val="21"/>
                      <w:lang w:bidi="ar"/>
                    </w:rPr>
                    <w:t xml:space="preserve">7.4 固体废物污染控制要求 </w:t>
                  </w:r>
                </w:p>
                <w:p w14:paraId="7803D8F7">
                  <w:pPr>
                    <w:widowControl/>
                    <w:jc w:val="left"/>
                    <w:rPr>
                      <w:rFonts w:eastAsiaTheme="minorEastAsia"/>
                      <w:color w:val="FF0000"/>
                      <w:spacing w:val="-6"/>
                      <w:szCs w:val="21"/>
                    </w:rPr>
                  </w:pPr>
                  <w:r>
                    <w:rPr>
                      <w:rFonts w:eastAsiaTheme="minorEastAsia"/>
                      <w:color w:val="FF0000"/>
                      <w:kern w:val="0"/>
                      <w:szCs w:val="21"/>
                      <w:lang w:bidi="ar"/>
                    </w:rPr>
                    <w:t>一般工业固体废物中不应混入危险废物。拆解过程中产生的一般工业固体废物应满足 GB 18599 的其他相关要求；危险废物应满足 GB 18597 中的其他相关要求。</w:t>
                  </w:r>
                </w:p>
              </w:tc>
              <w:tc>
                <w:tcPr>
                  <w:tcW w:w="1993" w:type="pct"/>
                  <w:tcBorders>
                    <w:tl2br w:val="nil"/>
                    <w:tr2bl w:val="nil"/>
                  </w:tcBorders>
                  <w:shd w:val="clear" w:color="auto" w:fill="auto"/>
                  <w:vAlign w:val="center"/>
                </w:tcPr>
                <w:p w14:paraId="46A78214">
                  <w:pPr>
                    <w:widowControl/>
                    <w:adjustRightInd w:val="0"/>
                    <w:snapToGrid w:val="0"/>
                    <w:jc w:val="center"/>
                    <w:rPr>
                      <w:rFonts w:eastAsiaTheme="minorEastAsia"/>
                      <w:color w:val="FF0000"/>
                      <w:kern w:val="0"/>
                      <w:szCs w:val="21"/>
                      <w:lang w:bidi="ar"/>
                    </w:rPr>
                  </w:pPr>
                  <w:r>
                    <w:rPr>
                      <w:rFonts w:eastAsiaTheme="minorEastAsia"/>
                      <w:color w:val="FF0000"/>
                      <w:kern w:val="0"/>
                      <w:szCs w:val="21"/>
                      <w:lang w:bidi="ar"/>
                    </w:rPr>
                    <w:t>一般工业固体废物管理：项目对拆解产生的金属废料、塑料、橡胶等一般固废实行分类收集，设置符合《一般工业固体废物贮存和填埋污染控制标准》（GB 18599）要求的防渗贮存设施，并通过台账记录、规范运输至合规利用处置单位，确保不混入危险废物。</w:t>
                  </w:r>
                </w:p>
                <w:p w14:paraId="233606F8">
                  <w:pPr>
                    <w:widowControl/>
                    <w:adjustRightInd w:val="0"/>
                    <w:snapToGrid w:val="0"/>
                    <w:jc w:val="center"/>
                    <w:rPr>
                      <w:rFonts w:eastAsiaTheme="minorEastAsia"/>
                      <w:color w:val="FF0000"/>
                      <w:kern w:val="0"/>
                      <w:szCs w:val="21"/>
                      <w:lang w:bidi="ar"/>
                    </w:rPr>
                  </w:pPr>
                  <w:r>
                    <w:rPr>
                      <w:rFonts w:eastAsiaTheme="minorEastAsia"/>
                      <w:color w:val="FF0000"/>
                      <w:kern w:val="0"/>
                      <w:szCs w:val="21"/>
                      <w:lang w:bidi="ar"/>
                    </w:rPr>
                    <w:t>危险废物管理：拆解过程中产生的废电池、废机油、废催化剂等危险废物单独分类，贮存于符合《危险废物贮存污染控制标准》（GB18597-2023）的专用危废仓库（防渗、防漏、防扬散），设置危险废物识别标志，定期委托有资质单位转运处置，并严格执行危险废物转移联单制度。</w:t>
                  </w:r>
                </w:p>
                <w:p w14:paraId="6AB6196E">
                  <w:pPr>
                    <w:widowControl/>
                    <w:adjustRightInd w:val="0"/>
                    <w:snapToGrid w:val="0"/>
                    <w:jc w:val="center"/>
                    <w:rPr>
                      <w:rFonts w:eastAsiaTheme="minorEastAsia"/>
                      <w:color w:val="FF0000"/>
                      <w:kern w:val="0"/>
                      <w:szCs w:val="21"/>
                      <w:lang w:bidi="ar"/>
                    </w:rPr>
                  </w:pPr>
                  <w:r>
                    <w:rPr>
                      <w:rFonts w:eastAsiaTheme="minorEastAsia"/>
                      <w:color w:val="FF0000"/>
                      <w:kern w:val="0"/>
                      <w:szCs w:val="21"/>
                      <w:lang w:bidi="ar"/>
                    </w:rPr>
                    <w:t>分类与监管：建立全过程分类管理制度，通过员工培训、分区作业、标识管理等措施，防止一般固废与危险废物混合；定期开展环境监测及管理评估，确保符合国家及地方固体废物污染控制要求。</w:t>
                  </w:r>
                </w:p>
              </w:tc>
              <w:tc>
                <w:tcPr>
                  <w:tcW w:w="282" w:type="pct"/>
                  <w:tcBorders>
                    <w:tl2br w:val="nil"/>
                    <w:tr2bl w:val="nil"/>
                  </w:tcBorders>
                  <w:vAlign w:val="center"/>
                </w:tcPr>
                <w:p w14:paraId="66FA79C9">
                  <w:pPr>
                    <w:widowControl/>
                    <w:adjustRightInd w:val="0"/>
                    <w:snapToGrid w:val="0"/>
                    <w:jc w:val="center"/>
                    <w:rPr>
                      <w:rFonts w:eastAsiaTheme="minorEastAsia"/>
                      <w:spacing w:val="7"/>
                      <w:szCs w:val="21"/>
                    </w:rPr>
                  </w:pPr>
                  <w:r>
                    <w:rPr>
                      <w:rFonts w:eastAsiaTheme="minorEastAsia"/>
                      <w:szCs w:val="21"/>
                    </w:rPr>
                    <w:t>符合</w:t>
                  </w:r>
                </w:p>
              </w:tc>
            </w:tr>
            <w:tr w14:paraId="54C815F9">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25" w:type="pct"/>
                  <w:tcBorders>
                    <w:tl2br w:val="nil"/>
                    <w:tr2bl w:val="nil"/>
                  </w:tcBorders>
                  <w:shd w:val="clear" w:color="auto" w:fill="auto"/>
                </w:tcPr>
                <w:p w14:paraId="68417AF6">
                  <w:pPr>
                    <w:widowControl/>
                    <w:adjustRightInd w:val="0"/>
                    <w:snapToGrid w:val="0"/>
                    <w:jc w:val="left"/>
                    <w:rPr>
                      <w:rFonts w:eastAsiaTheme="minorEastAsia"/>
                      <w:color w:val="FF0000"/>
                      <w:spacing w:val="-6"/>
                      <w:szCs w:val="21"/>
                    </w:rPr>
                  </w:pPr>
                  <w:r>
                    <w:rPr>
                      <w:rFonts w:eastAsiaTheme="minorEastAsia"/>
                      <w:color w:val="FF0000"/>
                      <w:spacing w:val="-6"/>
                      <w:szCs w:val="21"/>
                    </w:rPr>
                    <w:t>29</w:t>
                  </w:r>
                </w:p>
              </w:tc>
              <w:tc>
                <w:tcPr>
                  <w:tcW w:w="2398" w:type="pct"/>
                  <w:tcBorders>
                    <w:tl2br w:val="nil"/>
                    <w:tr2bl w:val="nil"/>
                  </w:tcBorders>
                  <w:shd w:val="clear" w:color="auto" w:fill="auto"/>
                </w:tcPr>
                <w:p w14:paraId="33172229">
                  <w:pPr>
                    <w:widowControl/>
                    <w:jc w:val="left"/>
                    <w:rPr>
                      <w:rFonts w:eastAsiaTheme="minorEastAsia"/>
                      <w:color w:val="FF0000"/>
                      <w:szCs w:val="21"/>
                    </w:rPr>
                  </w:pPr>
                  <w:r>
                    <w:rPr>
                      <w:rFonts w:eastAsiaTheme="minorEastAsia"/>
                      <w:color w:val="FF0000"/>
                      <w:kern w:val="0"/>
                      <w:szCs w:val="21"/>
                      <w:lang w:bidi="ar"/>
                    </w:rPr>
                    <w:t xml:space="preserve">8.1 固体废物管理要求 </w:t>
                  </w:r>
                </w:p>
                <w:p w14:paraId="19863CDD">
                  <w:pPr>
                    <w:widowControl/>
                    <w:jc w:val="left"/>
                    <w:rPr>
                      <w:rFonts w:eastAsiaTheme="minorEastAsia"/>
                      <w:color w:val="FF0000"/>
                      <w:szCs w:val="21"/>
                    </w:rPr>
                  </w:pPr>
                  <w:r>
                    <w:rPr>
                      <w:rFonts w:eastAsiaTheme="minorEastAsia"/>
                      <w:color w:val="FF0000"/>
                      <w:kern w:val="0"/>
                      <w:szCs w:val="21"/>
                      <w:lang w:bidi="ar"/>
                    </w:rPr>
                    <w:t xml:space="preserve">8.1.1 </w:t>
                  </w:r>
                </w:p>
                <w:p w14:paraId="4DD9A614">
                  <w:pPr>
                    <w:widowControl/>
                    <w:jc w:val="left"/>
                    <w:rPr>
                      <w:rFonts w:eastAsiaTheme="minorEastAsia"/>
                      <w:color w:val="FF0000"/>
                      <w:szCs w:val="21"/>
                    </w:rPr>
                  </w:pPr>
                  <w:r>
                    <w:rPr>
                      <w:rFonts w:eastAsiaTheme="minorEastAsia"/>
                      <w:color w:val="FF0000"/>
                      <w:kern w:val="0"/>
                      <w:szCs w:val="21"/>
                      <w:lang w:bidi="ar"/>
                    </w:rPr>
                    <w:t xml:space="preserve">企业应建立、健全一般工业固体废物污染环境防治责任制度，采取以下措施防止造成环境污染： </w:t>
                  </w:r>
                </w:p>
                <w:p w14:paraId="31C52528">
                  <w:pPr>
                    <w:widowControl/>
                    <w:jc w:val="left"/>
                    <w:rPr>
                      <w:rFonts w:eastAsiaTheme="minorEastAsia"/>
                      <w:color w:val="FF0000"/>
                      <w:szCs w:val="21"/>
                    </w:rPr>
                  </w:pPr>
                  <w:r>
                    <w:rPr>
                      <w:rFonts w:eastAsiaTheme="minorEastAsia"/>
                      <w:color w:val="FF0000"/>
                      <w:kern w:val="0"/>
                      <w:szCs w:val="21"/>
                      <w:lang w:bidi="ar"/>
                    </w:rPr>
                    <w:t xml:space="preserve">a） 建立一般工业固体废物台账记录，应满足一般工业固体废物管理台账制定指南相关要求； </w:t>
                  </w:r>
                </w:p>
                <w:p w14:paraId="732F4BD7">
                  <w:pPr>
                    <w:widowControl/>
                    <w:jc w:val="left"/>
                    <w:rPr>
                      <w:rFonts w:eastAsiaTheme="minorEastAsia"/>
                      <w:color w:val="FF0000"/>
                      <w:szCs w:val="21"/>
                    </w:rPr>
                  </w:pPr>
                  <w:r>
                    <w:rPr>
                      <w:rFonts w:eastAsiaTheme="minorEastAsia"/>
                      <w:color w:val="FF0000"/>
                      <w:kern w:val="0"/>
                      <w:szCs w:val="21"/>
                      <w:lang w:bidi="ar"/>
                    </w:rPr>
                    <w:t xml:space="preserve">b） 分类收集后贮存应设置标识标签，注明拆解产物的名称、贮存时间、数量等信息；贮存过程应 </w:t>
                  </w:r>
                </w:p>
                <w:p w14:paraId="787D6EEA">
                  <w:pPr>
                    <w:widowControl/>
                    <w:jc w:val="left"/>
                    <w:rPr>
                      <w:rFonts w:eastAsiaTheme="minorEastAsia"/>
                      <w:color w:val="FF0000"/>
                      <w:szCs w:val="21"/>
                    </w:rPr>
                  </w:pPr>
                  <w:r>
                    <w:rPr>
                      <w:rFonts w:eastAsiaTheme="minorEastAsia"/>
                      <w:color w:val="FF0000"/>
                      <w:kern w:val="0"/>
                      <w:szCs w:val="21"/>
                      <w:lang w:bidi="ar"/>
                    </w:rPr>
                    <w:t xml:space="preserve">采取防止货物和包装损坏或泄漏。 </w:t>
                  </w:r>
                </w:p>
                <w:p w14:paraId="7F14F1ED">
                  <w:pPr>
                    <w:widowControl/>
                    <w:jc w:val="left"/>
                    <w:rPr>
                      <w:rFonts w:eastAsiaTheme="minorEastAsia"/>
                      <w:color w:val="FF0000"/>
                      <w:szCs w:val="21"/>
                    </w:rPr>
                  </w:pPr>
                  <w:r>
                    <w:rPr>
                      <w:rFonts w:eastAsiaTheme="minorEastAsia"/>
                      <w:color w:val="FF0000"/>
                      <w:kern w:val="0"/>
                      <w:szCs w:val="21"/>
                      <w:lang w:bidi="ar"/>
                    </w:rPr>
                    <w:t xml:space="preserve">8.1.2 </w:t>
                  </w:r>
                </w:p>
                <w:p w14:paraId="61921917">
                  <w:pPr>
                    <w:widowControl/>
                    <w:jc w:val="left"/>
                    <w:rPr>
                      <w:rFonts w:eastAsiaTheme="minorEastAsia"/>
                      <w:color w:val="FF0000"/>
                      <w:szCs w:val="21"/>
                    </w:rPr>
                  </w:pPr>
                  <w:r>
                    <w:rPr>
                      <w:rFonts w:eastAsiaTheme="minorEastAsia"/>
                      <w:color w:val="FF0000"/>
                      <w:kern w:val="0"/>
                      <w:szCs w:val="21"/>
                      <w:lang w:bidi="ar"/>
                    </w:rPr>
                    <w:t xml:space="preserve">企业应建立、健全污染环境防治责任制度，采取以下措施严格控制危险废物造成环境污染： </w:t>
                  </w:r>
                </w:p>
                <w:p w14:paraId="3CD97B45">
                  <w:pPr>
                    <w:widowControl/>
                    <w:jc w:val="left"/>
                    <w:rPr>
                      <w:rFonts w:eastAsiaTheme="minorEastAsia"/>
                      <w:color w:val="FF0000"/>
                      <w:szCs w:val="21"/>
                    </w:rPr>
                  </w:pPr>
                  <w:r>
                    <w:rPr>
                      <w:rFonts w:eastAsiaTheme="minorEastAsia"/>
                      <w:color w:val="FF0000"/>
                      <w:kern w:val="0"/>
                      <w:szCs w:val="21"/>
                      <w:lang w:bidi="ar"/>
                    </w:rPr>
                    <w:t xml:space="preserve">a） 制定危险废物管理计划和建立危险废物台账记录，应满足 HJ 1259 相关要求； </w:t>
                  </w:r>
                </w:p>
                <w:p w14:paraId="7E5ADFD4">
                  <w:pPr>
                    <w:widowControl/>
                    <w:jc w:val="left"/>
                    <w:rPr>
                      <w:rFonts w:eastAsiaTheme="minorEastAsia"/>
                      <w:color w:val="FF0000"/>
                      <w:szCs w:val="21"/>
                    </w:rPr>
                  </w:pPr>
                  <w:r>
                    <w:rPr>
                      <w:rFonts w:eastAsiaTheme="minorEastAsia"/>
                      <w:color w:val="FF0000"/>
                      <w:kern w:val="0"/>
                      <w:szCs w:val="21"/>
                      <w:lang w:bidi="ar"/>
                    </w:rPr>
                    <w:t xml:space="preserve">b） 交由持有危险废物经营许可证并具有相关经营范围的企业进行处理，并签订委托处理合同； </w:t>
                  </w:r>
                </w:p>
                <w:p w14:paraId="7F49B914">
                  <w:pPr>
                    <w:widowControl/>
                    <w:jc w:val="left"/>
                    <w:rPr>
                      <w:rFonts w:eastAsiaTheme="minorEastAsia"/>
                      <w:color w:val="FF0000"/>
                      <w:szCs w:val="21"/>
                    </w:rPr>
                  </w:pPr>
                  <w:r>
                    <w:rPr>
                      <w:rFonts w:eastAsiaTheme="minorEastAsia"/>
                      <w:color w:val="FF0000"/>
                      <w:kern w:val="0"/>
                      <w:szCs w:val="21"/>
                      <w:lang w:bidi="ar"/>
                    </w:rPr>
                    <w:t xml:space="preserve">c） 拆解过程产生的固体废物危险特性不明时，按照相关要求开展危险废物鉴别工作； </w:t>
                  </w:r>
                </w:p>
                <w:p w14:paraId="4A4E3837">
                  <w:pPr>
                    <w:widowControl/>
                    <w:jc w:val="left"/>
                    <w:rPr>
                      <w:rFonts w:eastAsiaTheme="minorEastAsia"/>
                      <w:color w:val="FF0000"/>
                      <w:spacing w:val="-6"/>
                      <w:szCs w:val="21"/>
                    </w:rPr>
                  </w:pPr>
                  <w:r>
                    <w:rPr>
                      <w:rFonts w:eastAsiaTheme="minorEastAsia"/>
                      <w:color w:val="FF0000"/>
                      <w:kern w:val="0"/>
                      <w:szCs w:val="21"/>
                      <w:lang w:bidi="ar"/>
                    </w:rPr>
                    <w:t>d） 转移危险废物时，应严格执行《危险废物转移管理办法》有关要求。</w:t>
                  </w:r>
                </w:p>
              </w:tc>
              <w:tc>
                <w:tcPr>
                  <w:tcW w:w="1993" w:type="pct"/>
                  <w:tcBorders>
                    <w:tl2br w:val="nil"/>
                    <w:tr2bl w:val="nil"/>
                  </w:tcBorders>
                  <w:shd w:val="clear" w:color="auto" w:fill="auto"/>
                  <w:vAlign w:val="center"/>
                </w:tcPr>
                <w:p w14:paraId="35CF6AE0">
                  <w:pPr>
                    <w:widowControl/>
                    <w:adjustRightInd w:val="0"/>
                    <w:snapToGrid w:val="0"/>
                    <w:jc w:val="center"/>
                    <w:rPr>
                      <w:rFonts w:eastAsiaTheme="minorEastAsia"/>
                      <w:color w:val="FF0000"/>
                      <w:kern w:val="0"/>
                      <w:szCs w:val="21"/>
                      <w:lang w:bidi="ar"/>
                    </w:rPr>
                  </w:pPr>
                  <w:r>
                    <w:rPr>
                      <w:rFonts w:eastAsiaTheme="minorEastAsia"/>
                      <w:color w:val="FF0000"/>
                      <w:kern w:val="0"/>
                      <w:szCs w:val="21"/>
                      <w:lang w:bidi="ar"/>
                    </w:rPr>
                    <w:t>企业通过建立一般工业固体废物台账及危险废物管理计划，分类收集贮存并设置标识标签，委托有资质单位处置危险废物，严格执行转移联单制度，确保固体废物全流程符合《一般工业固体废物贮存和填埋污染控制标准》（GB 18599）及《危险废物管理计划和管理台账制定技术导则》（HJ 1259）要求，杜绝混入风险并实现合规处置。</w:t>
                  </w:r>
                </w:p>
              </w:tc>
              <w:tc>
                <w:tcPr>
                  <w:tcW w:w="282" w:type="pct"/>
                  <w:tcBorders>
                    <w:tl2br w:val="nil"/>
                    <w:tr2bl w:val="nil"/>
                  </w:tcBorders>
                  <w:vAlign w:val="center"/>
                </w:tcPr>
                <w:p w14:paraId="7143E57E">
                  <w:pPr>
                    <w:widowControl/>
                    <w:adjustRightInd w:val="0"/>
                    <w:snapToGrid w:val="0"/>
                    <w:jc w:val="center"/>
                    <w:rPr>
                      <w:rFonts w:eastAsiaTheme="minorEastAsia"/>
                      <w:spacing w:val="7"/>
                      <w:szCs w:val="21"/>
                    </w:rPr>
                  </w:pPr>
                  <w:r>
                    <w:rPr>
                      <w:rFonts w:eastAsiaTheme="minorEastAsia"/>
                      <w:szCs w:val="21"/>
                    </w:rPr>
                    <w:t>符合</w:t>
                  </w:r>
                </w:p>
              </w:tc>
            </w:tr>
            <w:tr w14:paraId="4798E6FF">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25" w:type="pct"/>
                  <w:tcBorders>
                    <w:tl2br w:val="nil"/>
                    <w:tr2bl w:val="nil"/>
                  </w:tcBorders>
                  <w:shd w:val="clear" w:color="auto" w:fill="auto"/>
                </w:tcPr>
                <w:p w14:paraId="1AFFCD66">
                  <w:pPr>
                    <w:widowControl/>
                    <w:adjustRightInd w:val="0"/>
                    <w:snapToGrid w:val="0"/>
                    <w:jc w:val="left"/>
                    <w:rPr>
                      <w:rFonts w:eastAsiaTheme="minorEastAsia"/>
                      <w:color w:val="FF0000"/>
                      <w:spacing w:val="-6"/>
                      <w:szCs w:val="21"/>
                    </w:rPr>
                  </w:pPr>
                  <w:r>
                    <w:rPr>
                      <w:rFonts w:eastAsiaTheme="minorEastAsia"/>
                      <w:color w:val="FF0000"/>
                      <w:spacing w:val="-6"/>
                      <w:szCs w:val="21"/>
                    </w:rPr>
                    <w:t>30</w:t>
                  </w:r>
                </w:p>
              </w:tc>
              <w:tc>
                <w:tcPr>
                  <w:tcW w:w="2398" w:type="pct"/>
                  <w:tcBorders>
                    <w:tl2br w:val="nil"/>
                    <w:tr2bl w:val="nil"/>
                  </w:tcBorders>
                  <w:shd w:val="clear" w:color="auto" w:fill="auto"/>
                </w:tcPr>
                <w:p w14:paraId="627770A9">
                  <w:pPr>
                    <w:widowControl/>
                    <w:jc w:val="left"/>
                    <w:rPr>
                      <w:rFonts w:eastAsiaTheme="minorEastAsia"/>
                      <w:color w:val="FF0000"/>
                      <w:szCs w:val="21"/>
                    </w:rPr>
                  </w:pPr>
                  <w:r>
                    <w:rPr>
                      <w:rFonts w:eastAsiaTheme="minorEastAsia"/>
                      <w:color w:val="FF0000"/>
                      <w:kern w:val="0"/>
                      <w:szCs w:val="21"/>
                      <w:lang w:bidi="ar"/>
                    </w:rPr>
                    <w:t xml:space="preserve">8.2 环境监测要求 </w:t>
                  </w:r>
                </w:p>
                <w:p w14:paraId="1B29DC7D">
                  <w:pPr>
                    <w:widowControl/>
                    <w:jc w:val="left"/>
                    <w:rPr>
                      <w:rFonts w:eastAsiaTheme="minorEastAsia"/>
                      <w:color w:val="FF0000"/>
                      <w:szCs w:val="21"/>
                    </w:rPr>
                  </w:pPr>
                  <w:r>
                    <w:rPr>
                      <w:rFonts w:eastAsiaTheme="minorEastAsia"/>
                      <w:color w:val="FF0000"/>
                      <w:kern w:val="0"/>
                      <w:szCs w:val="21"/>
                      <w:lang w:bidi="ar"/>
                    </w:rPr>
                    <w:t xml:space="preserve">8.2.1 </w:t>
                  </w:r>
                </w:p>
                <w:p w14:paraId="2FFC59C3">
                  <w:pPr>
                    <w:widowControl/>
                    <w:jc w:val="left"/>
                    <w:rPr>
                      <w:rFonts w:eastAsiaTheme="minorEastAsia"/>
                      <w:color w:val="FF0000"/>
                      <w:szCs w:val="21"/>
                    </w:rPr>
                  </w:pPr>
                  <w:r>
                    <w:rPr>
                      <w:rFonts w:eastAsiaTheme="minorEastAsia"/>
                      <w:color w:val="FF0000"/>
                      <w:kern w:val="0"/>
                      <w:szCs w:val="21"/>
                      <w:lang w:bidi="ar"/>
                    </w:rPr>
                    <w:t xml:space="preserve">报废机动车回收拆解企业应按照 HJ 819 等规定，建立企业监测制度，制定自行监测方案，对污 </w:t>
                  </w:r>
                </w:p>
                <w:p w14:paraId="7F0C6A13">
                  <w:pPr>
                    <w:widowControl/>
                    <w:jc w:val="left"/>
                    <w:rPr>
                      <w:rFonts w:eastAsiaTheme="minorEastAsia"/>
                      <w:color w:val="FF0000"/>
                      <w:szCs w:val="21"/>
                    </w:rPr>
                  </w:pPr>
                  <w:r>
                    <w:rPr>
                      <w:rFonts w:eastAsiaTheme="minorEastAsia"/>
                      <w:color w:val="FF0000"/>
                      <w:kern w:val="0"/>
                      <w:szCs w:val="21"/>
                      <w:lang w:bidi="ar"/>
                    </w:rPr>
                    <w:t xml:space="preserve">染物排放状况及其周边环境质量的影响开展自行监测，保存原始监测记录，并公布监测结果，监测报告 </w:t>
                  </w:r>
                </w:p>
                <w:p w14:paraId="1A4E4BBF">
                  <w:pPr>
                    <w:widowControl/>
                    <w:jc w:val="left"/>
                    <w:rPr>
                      <w:rFonts w:eastAsiaTheme="minorEastAsia"/>
                      <w:color w:val="FF0000"/>
                      <w:szCs w:val="21"/>
                    </w:rPr>
                  </w:pPr>
                  <w:r>
                    <w:rPr>
                      <w:rFonts w:eastAsiaTheme="minorEastAsia"/>
                      <w:color w:val="FF0000"/>
                      <w:kern w:val="0"/>
                      <w:szCs w:val="21"/>
                      <w:lang w:bidi="ar"/>
                    </w:rPr>
                    <w:t xml:space="preserve">记录应至少保存 3 年。 </w:t>
                  </w:r>
                </w:p>
                <w:p w14:paraId="48BCA724">
                  <w:pPr>
                    <w:widowControl/>
                    <w:jc w:val="left"/>
                    <w:rPr>
                      <w:rFonts w:eastAsiaTheme="minorEastAsia"/>
                      <w:color w:val="FF0000"/>
                      <w:szCs w:val="21"/>
                    </w:rPr>
                  </w:pPr>
                  <w:r>
                    <w:rPr>
                      <w:rFonts w:eastAsiaTheme="minorEastAsia"/>
                      <w:color w:val="FF0000"/>
                      <w:kern w:val="0"/>
                      <w:szCs w:val="21"/>
                      <w:lang w:bidi="ar"/>
                    </w:rPr>
                    <w:t xml:space="preserve">8.2.2 </w:t>
                  </w:r>
                </w:p>
                <w:p w14:paraId="0864F83B">
                  <w:pPr>
                    <w:widowControl/>
                    <w:jc w:val="left"/>
                    <w:rPr>
                      <w:rFonts w:eastAsiaTheme="minorEastAsia"/>
                      <w:color w:val="FF0000"/>
                      <w:szCs w:val="21"/>
                    </w:rPr>
                  </w:pPr>
                  <w:r>
                    <w:rPr>
                      <w:rFonts w:eastAsiaTheme="minorEastAsia"/>
                      <w:color w:val="FF0000"/>
                      <w:kern w:val="0"/>
                      <w:szCs w:val="21"/>
                      <w:lang w:bidi="ar"/>
                    </w:rPr>
                    <w:t xml:space="preserve">自行监测方案应包括企业基本情况、监测点位、监测频次、监测指标（含特征污染物）、执行 </w:t>
                  </w:r>
                </w:p>
                <w:p w14:paraId="2493B558">
                  <w:pPr>
                    <w:widowControl/>
                    <w:jc w:val="left"/>
                    <w:rPr>
                      <w:rFonts w:eastAsiaTheme="minorEastAsia"/>
                      <w:color w:val="FF0000"/>
                      <w:szCs w:val="21"/>
                    </w:rPr>
                  </w:pPr>
                  <w:r>
                    <w:rPr>
                      <w:rFonts w:eastAsiaTheme="minorEastAsia"/>
                      <w:color w:val="FF0000"/>
                      <w:kern w:val="0"/>
                      <w:szCs w:val="21"/>
                      <w:lang w:bidi="ar"/>
                    </w:rPr>
                    <w:t xml:space="preserve">排放标准及其限值、监测方法和仪器、监测质量控制、监测点位示意图、监测结果信息公开时限、应急 </w:t>
                  </w:r>
                </w:p>
                <w:p w14:paraId="51A0B680">
                  <w:pPr>
                    <w:widowControl/>
                    <w:jc w:val="left"/>
                    <w:rPr>
                      <w:rFonts w:eastAsiaTheme="minorEastAsia"/>
                      <w:color w:val="FF0000"/>
                      <w:szCs w:val="21"/>
                    </w:rPr>
                  </w:pPr>
                  <w:r>
                    <w:rPr>
                      <w:rFonts w:eastAsiaTheme="minorEastAsia"/>
                      <w:color w:val="FF0000"/>
                      <w:kern w:val="0"/>
                      <w:szCs w:val="21"/>
                      <w:lang w:bidi="ar"/>
                    </w:rPr>
                    <w:t xml:space="preserve">监测方案等。 </w:t>
                  </w:r>
                </w:p>
                <w:p w14:paraId="1D863BEC">
                  <w:pPr>
                    <w:widowControl/>
                    <w:jc w:val="left"/>
                    <w:rPr>
                      <w:rFonts w:eastAsiaTheme="minorEastAsia"/>
                      <w:color w:val="FF0000"/>
                      <w:szCs w:val="21"/>
                    </w:rPr>
                  </w:pPr>
                  <w:r>
                    <w:rPr>
                      <w:rFonts w:eastAsiaTheme="minorEastAsia"/>
                      <w:color w:val="FF0000"/>
                      <w:kern w:val="0"/>
                      <w:szCs w:val="21"/>
                      <w:lang w:bidi="ar"/>
                    </w:rPr>
                    <w:t xml:space="preserve">8.2.3 </w:t>
                  </w:r>
                </w:p>
                <w:p w14:paraId="41B58408">
                  <w:pPr>
                    <w:widowControl/>
                    <w:jc w:val="left"/>
                    <w:rPr>
                      <w:rFonts w:eastAsiaTheme="minorEastAsia"/>
                      <w:color w:val="FF0000"/>
                      <w:spacing w:val="-6"/>
                      <w:szCs w:val="21"/>
                    </w:rPr>
                  </w:pPr>
                  <w:r>
                    <w:rPr>
                      <w:rFonts w:eastAsiaTheme="minorEastAsia"/>
                      <w:color w:val="FF0000"/>
                      <w:kern w:val="0"/>
                      <w:szCs w:val="21"/>
                      <w:lang w:bidi="ar"/>
                    </w:rPr>
                    <w:t>报废机动车回收拆解企业不具备自行监测能力的，应委托具有监测服务资质的单位监测。</w:t>
                  </w:r>
                </w:p>
              </w:tc>
              <w:tc>
                <w:tcPr>
                  <w:tcW w:w="1993" w:type="pct"/>
                  <w:tcBorders>
                    <w:tl2br w:val="nil"/>
                    <w:tr2bl w:val="nil"/>
                  </w:tcBorders>
                  <w:shd w:val="clear" w:color="auto" w:fill="auto"/>
                  <w:vAlign w:val="center"/>
                </w:tcPr>
                <w:p w14:paraId="6B9702B1">
                  <w:pPr>
                    <w:widowControl/>
                    <w:adjustRightInd w:val="0"/>
                    <w:snapToGrid w:val="0"/>
                    <w:jc w:val="center"/>
                    <w:rPr>
                      <w:rFonts w:eastAsiaTheme="minorEastAsia"/>
                      <w:color w:val="FF0000"/>
                      <w:kern w:val="0"/>
                      <w:szCs w:val="21"/>
                      <w:lang w:bidi="ar"/>
                    </w:rPr>
                  </w:pPr>
                  <w:r>
                    <w:rPr>
                      <w:rFonts w:eastAsiaTheme="minorEastAsia"/>
                      <w:color w:val="FF0000"/>
                      <w:kern w:val="0"/>
                      <w:szCs w:val="21"/>
                      <w:lang w:bidi="ar"/>
                    </w:rPr>
                    <w:t>本项目按《排污单位自行监测技术指南 总则》（HJ 819-2017）要求建立环境监测制度，制定包含监测点位、频次、特征污染物及质量控制的自行监测方案，保存原始记录并公开结果（报告存档≥3年），对不具备能力的环节委托有资质单位监测，确保污染物排放及周边环境质量符合国家及地方标准。</w:t>
                  </w:r>
                </w:p>
              </w:tc>
              <w:tc>
                <w:tcPr>
                  <w:tcW w:w="282" w:type="pct"/>
                  <w:tcBorders>
                    <w:tl2br w:val="nil"/>
                    <w:tr2bl w:val="nil"/>
                  </w:tcBorders>
                  <w:vAlign w:val="center"/>
                </w:tcPr>
                <w:p w14:paraId="1B4F2DB3">
                  <w:pPr>
                    <w:widowControl/>
                    <w:adjustRightInd w:val="0"/>
                    <w:snapToGrid w:val="0"/>
                    <w:jc w:val="center"/>
                    <w:rPr>
                      <w:rFonts w:eastAsiaTheme="minorEastAsia"/>
                      <w:spacing w:val="7"/>
                      <w:szCs w:val="21"/>
                    </w:rPr>
                  </w:pPr>
                  <w:r>
                    <w:rPr>
                      <w:rFonts w:eastAsiaTheme="minorEastAsia"/>
                      <w:szCs w:val="21"/>
                    </w:rPr>
                    <w:t>符合</w:t>
                  </w:r>
                </w:p>
              </w:tc>
            </w:tr>
            <w:tr w14:paraId="6471785C">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25" w:type="pct"/>
                  <w:tcBorders>
                    <w:tl2br w:val="nil"/>
                    <w:tr2bl w:val="nil"/>
                  </w:tcBorders>
                  <w:shd w:val="clear" w:color="auto" w:fill="auto"/>
                </w:tcPr>
                <w:p w14:paraId="4FE29C9A">
                  <w:pPr>
                    <w:widowControl/>
                    <w:adjustRightInd w:val="0"/>
                    <w:snapToGrid w:val="0"/>
                    <w:jc w:val="left"/>
                    <w:rPr>
                      <w:rFonts w:eastAsiaTheme="minorEastAsia"/>
                      <w:color w:val="FF0000"/>
                      <w:spacing w:val="-6"/>
                      <w:szCs w:val="21"/>
                    </w:rPr>
                  </w:pPr>
                  <w:r>
                    <w:rPr>
                      <w:rFonts w:eastAsiaTheme="minorEastAsia"/>
                      <w:color w:val="FF0000"/>
                      <w:spacing w:val="-6"/>
                      <w:szCs w:val="21"/>
                    </w:rPr>
                    <w:t>31</w:t>
                  </w:r>
                </w:p>
              </w:tc>
              <w:tc>
                <w:tcPr>
                  <w:tcW w:w="2398" w:type="pct"/>
                  <w:tcBorders>
                    <w:tl2br w:val="nil"/>
                    <w:tr2bl w:val="nil"/>
                  </w:tcBorders>
                  <w:shd w:val="clear" w:color="auto" w:fill="auto"/>
                </w:tcPr>
                <w:p w14:paraId="439EA33A">
                  <w:pPr>
                    <w:widowControl/>
                    <w:jc w:val="left"/>
                    <w:rPr>
                      <w:rFonts w:eastAsiaTheme="minorEastAsia"/>
                      <w:color w:val="FF0000"/>
                      <w:szCs w:val="21"/>
                    </w:rPr>
                  </w:pPr>
                  <w:r>
                    <w:rPr>
                      <w:rFonts w:eastAsiaTheme="minorEastAsia"/>
                      <w:color w:val="FF0000"/>
                      <w:kern w:val="0"/>
                      <w:szCs w:val="21"/>
                      <w:lang w:bidi="ar"/>
                    </w:rPr>
                    <w:t xml:space="preserve">8.3 技术人员管理要求 </w:t>
                  </w:r>
                </w:p>
                <w:p w14:paraId="37E8B566">
                  <w:pPr>
                    <w:widowControl/>
                    <w:jc w:val="left"/>
                    <w:rPr>
                      <w:rFonts w:eastAsiaTheme="minorEastAsia"/>
                      <w:color w:val="FF0000"/>
                      <w:szCs w:val="21"/>
                    </w:rPr>
                  </w:pPr>
                  <w:r>
                    <w:rPr>
                      <w:rFonts w:eastAsiaTheme="minorEastAsia"/>
                      <w:color w:val="FF0000"/>
                      <w:kern w:val="0"/>
                      <w:szCs w:val="21"/>
                      <w:lang w:bidi="ar"/>
                    </w:rPr>
                    <w:t xml:space="preserve">报废机动车回收拆解企业应对操作人员、技术人员及管理人员进行环境保护相关的法律法规、环境 </w:t>
                  </w:r>
                </w:p>
                <w:p w14:paraId="7583CEE9">
                  <w:pPr>
                    <w:widowControl/>
                    <w:jc w:val="left"/>
                    <w:rPr>
                      <w:rFonts w:eastAsiaTheme="minorEastAsia"/>
                      <w:color w:val="FF0000"/>
                      <w:szCs w:val="21"/>
                    </w:rPr>
                  </w:pPr>
                  <w:r>
                    <w:rPr>
                      <w:rFonts w:eastAsiaTheme="minorEastAsia"/>
                      <w:color w:val="FF0000"/>
                      <w:kern w:val="0"/>
                      <w:szCs w:val="21"/>
                      <w:lang w:bidi="ar"/>
                    </w:rPr>
                    <w:t xml:space="preserve">应急处理等理论知识和操作技能培训。培训应包含以下内容： </w:t>
                  </w:r>
                </w:p>
                <w:p w14:paraId="5CA5BE13">
                  <w:pPr>
                    <w:widowControl/>
                    <w:jc w:val="left"/>
                    <w:rPr>
                      <w:rFonts w:eastAsiaTheme="minorEastAsia"/>
                      <w:color w:val="FF0000"/>
                      <w:szCs w:val="21"/>
                    </w:rPr>
                  </w:pPr>
                  <w:r>
                    <w:rPr>
                      <w:rFonts w:eastAsiaTheme="minorEastAsia"/>
                      <w:color w:val="FF0000"/>
                      <w:kern w:val="0"/>
                      <w:szCs w:val="21"/>
                      <w:lang w:bidi="ar"/>
                    </w:rPr>
                    <w:t xml:space="preserve">a） 有关环境保护法律法规要求； </w:t>
                  </w:r>
                </w:p>
                <w:p w14:paraId="5D79BB70">
                  <w:pPr>
                    <w:widowControl/>
                    <w:jc w:val="left"/>
                    <w:rPr>
                      <w:rFonts w:eastAsiaTheme="minorEastAsia"/>
                      <w:color w:val="FF0000"/>
                      <w:szCs w:val="21"/>
                    </w:rPr>
                  </w:pPr>
                  <w:r>
                    <w:rPr>
                      <w:rFonts w:eastAsiaTheme="minorEastAsia"/>
                      <w:color w:val="FF0000"/>
                      <w:kern w:val="0"/>
                      <w:szCs w:val="21"/>
                      <w:lang w:bidi="ar"/>
                    </w:rPr>
                    <w:t xml:space="preserve">b） 企业生产的工艺流程、污染物的产生环节和污染防治措施； </w:t>
                  </w:r>
                </w:p>
                <w:p w14:paraId="22189E0B">
                  <w:pPr>
                    <w:widowControl/>
                    <w:jc w:val="left"/>
                    <w:rPr>
                      <w:rFonts w:eastAsiaTheme="minorEastAsia"/>
                      <w:color w:val="FF0000"/>
                      <w:szCs w:val="21"/>
                    </w:rPr>
                  </w:pPr>
                  <w:r>
                    <w:rPr>
                      <w:rFonts w:eastAsiaTheme="minorEastAsia"/>
                      <w:color w:val="FF0000"/>
                      <w:kern w:val="0"/>
                      <w:szCs w:val="21"/>
                      <w:lang w:bidi="ar"/>
                    </w:rPr>
                    <w:t>c） 环境污染物的排放限值；</w:t>
                  </w:r>
                </w:p>
                <w:p w14:paraId="2573C41F">
                  <w:pPr>
                    <w:widowControl/>
                    <w:jc w:val="left"/>
                    <w:rPr>
                      <w:rFonts w:eastAsiaTheme="minorEastAsia"/>
                      <w:color w:val="FF0000"/>
                      <w:szCs w:val="21"/>
                    </w:rPr>
                  </w:pPr>
                  <w:r>
                    <w:rPr>
                      <w:rFonts w:eastAsiaTheme="minorEastAsia"/>
                      <w:color w:val="FF0000"/>
                      <w:kern w:val="0"/>
                      <w:szCs w:val="21"/>
                      <w:lang w:bidi="ar"/>
                    </w:rPr>
                    <w:t xml:space="preserve">d） 污染防治设备设施的运行维护要求； </w:t>
                  </w:r>
                </w:p>
                <w:p w14:paraId="65378E9C">
                  <w:pPr>
                    <w:widowControl/>
                    <w:jc w:val="left"/>
                    <w:rPr>
                      <w:rFonts w:eastAsiaTheme="minorEastAsia"/>
                      <w:color w:val="FF0000"/>
                      <w:spacing w:val="-6"/>
                      <w:szCs w:val="21"/>
                    </w:rPr>
                  </w:pPr>
                  <w:r>
                    <w:rPr>
                      <w:rFonts w:eastAsiaTheme="minorEastAsia"/>
                      <w:color w:val="FF0000"/>
                      <w:kern w:val="0"/>
                      <w:szCs w:val="21"/>
                      <w:lang w:bidi="ar"/>
                    </w:rPr>
                    <w:t>e） 发生突发环境事件的处理措施等。</w:t>
                  </w:r>
                </w:p>
              </w:tc>
              <w:tc>
                <w:tcPr>
                  <w:tcW w:w="1993" w:type="pct"/>
                  <w:tcBorders>
                    <w:tl2br w:val="nil"/>
                    <w:tr2bl w:val="nil"/>
                  </w:tcBorders>
                  <w:shd w:val="clear" w:color="auto" w:fill="auto"/>
                  <w:vAlign w:val="center"/>
                </w:tcPr>
                <w:p w14:paraId="1F66DD1A">
                  <w:pPr>
                    <w:widowControl/>
                    <w:adjustRightInd w:val="0"/>
                    <w:snapToGrid w:val="0"/>
                    <w:jc w:val="center"/>
                    <w:rPr>
                      <w:rFonts w:eastAsiaTheme="minorEastAsia"/>
                      <w:color w:val="FF0000"/>
                      <w:kern w:val="0"/>
                      <w:szCs w:val="21"/>
                      <w:lang w:bidi="ar"/>
                    </w:rPr>
                  </w:pPr>
                  <w:r>
                    <w:rPr>
                      <w:rFonts w:eastAsiaTheme="minorEastAsia"/>
                      <w:color w:val="FF0000"/>
                      <w:kern w:val="0"/>
                      <w:szCs w:val="21"/>
                      <w:lang w:bidi="ar"/>
                    </w:rPr>
                    <w:t>本项目按《中华人民共和国环境保护法》及《报废机动车回收管理办法实施细则》要求，制定年度环保培训计划，对操作人员、技术人员及管理人员开展系统培训，内容涵盖环保法律法规（a）、生产工艺与污染防治措施（b）、污染物排放限值（c）、设备运行维护（d）、突发环境事件应急处理（e），并配套考核机制与实操演练，确保全员掌握环保知识与应急技能，定期评估培训效果并更新内容，符合《突发环境事件应急管理办法》（环发〔2015〕4号）及地方环保部门监管要求。</w:t>
                  </w:r>
                </w:p>
              </w:tc>
              <w:tc>
                <w:tcPr>
                  <w:tcW w:w="282" w:type="pct"/>
                  <w:tcBorders>
                    <w:tl2br w:val="nil"/>
                    <w:tr2bl w:val="nil"/>
                  </w:tcBorders>
                  <w:vAlign w:val="center"/>
                </w:tcPr>
                <w:p w14:paraId="483CED89">
                  <w:pPr>
                    <w:widowControl/>
                    <w:adjustRightInd w:val="0"/>
                    <w:snapToGrid w:val="0"/>
                    <w:jc w:val="center"/>
                    <w:rPr>
                      <w:rFonts w:eastAsiaTheme="minorEastAsia"/>
                      <w:spacing w:val="7"/>
                      <w:szCs w:val="21"/>
                    </w:rPr>
                  </w:pPr>
                  <w:r>
                    <w:rPr>
                      <w:rFonts w:eastAsiaTheme="minorEastAsia"/>
                      <w:szCs w:val="21"/>
                    </w:rPr>
                    <w:t>符合</w:t>
                  </w:r>
                </w:p>
              </w:tc>
            </w:tr>
            <w:tr w14:paraId="649C4B7A">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25" w:type="pct"/>
                  <w:tcBorders>
                    <w:tl2br w:val="nil"/>
                    <w:tr2bl w:val="nil"/>
                  </w:tcBorders>
                  <w:shd w:val="clear" w:color="auto" w:fill="auto"/>
                </w:tcPr>
                <w:p w14:paraId="70234839">
                  <w:pPr>
                    <w:widowControl/>
                    <w:adjustRightInd w:val="0"/>
                    <w:snapToGrid w:val="0"/>
                    <w:jc w:val="left"/>
                    <w:rPr>
                      <w:rFonts w:eastAsiaTheme="minorEastAsia"/>
                      <w:color w:val="FF0000"/>
                      <w:spacing w:val="-6"/>
                      <w:szCs w:val="21"/>
                    </w:rPr>
                  </w:pPr>
                  <w:r>
                    <w:rPr>
                      <w:rFonts w:eastAsiaTheme="minorEastAsia"/>
                      <w:color w:val="FF0000"/>
                      <w:spacing w:val="-6"/>
                      <w:szCs w:val="21"/>
                    </w:rPr>
                    <w:t>32</w:t>
                  </w:r>
                </w:p>
              </w:tc>
              <w:tc>
                <w:tcPr>
                  <w:tcW w:w="2398" w:type="pct"/>
                  <w:tcBorders>
                    <w:tl2br w:val="nil"/>
                    <w:tr2bl w:val="nil"/>
                  </w:tcBorders>
                  <w:shd w:val="clear" w:color="auto" w:fill="auto"/>
                </w:tcPr>
                <w:p w14:paraId="149694A4">
                  <w:pPr>
                    <w:widowControl/>
                    <w:jc w:val="left"/>
                    <w:rPr>
                      <w:rFonts w:eastAsiaTheme="minorEastAsia"/>
                      <w:color w:val="FF0000"/>
                      <w:szCs w:val="21"/>
                    </w:rPr>
                  </w:pPr>
                  <w:r>
                    <w:rPr>
                      <w:rFonts w:eastAsiaTheme="minorEastAsia"/>
                      <w:color w:val="FF0000"/>
                      <w:kern w:val="0"/>
                      <w:szCs w:val="21"/>
                      <w:lang w:bidi="ar"/>
                    </w:rPr>
                    <w:t xml:space="preserve">8.4 突发环境事件应急预案 </w:t>
                  </w:r>
                </w:p>
                <w:p w14:paraId="6FD11AA3">
                  <w:pPr>
                    <w:widowControl/>
                    <w:jc w:val="left"/>
                    <w:rPr>
                      <w:rFonts w:eastAsiaTheme="minorEastAsia"/>
                      <w:color w:val="FF0000"/>
                      <w:szCs w:val="21"/>
                    </w:rPr>
                  </w:pPr>
                  <w:r>
                    <w:rPr>
                      <w:rFonts w:eastAsiaTheme="minorEastAsia"/>
                      <w:color w:val="FF0000"/>
                      <w:kern w:val="0"/>
                      <w:szCs w:val="21"/>
                      <w:lang w:bidi="ar"/>
                    </w:rPr>
                    <w:t xml:space="preserve">报废机动车回收拆解企业应健全企业突发环境事件应对工作机制，包括编制突发环境事件应急预案、 </w:t>
                  </w:r>
                </w:p>
                <w:p w14:paraId="43F7CEDC">
                  <w:pPr>
                    <w:widowControl/>
                    <w:jc w:val="left"/>
                    <w:rPr>
                      <w:rFonts w:eastAsiaTheme="minorEastAsia"/>
                      <w:color w:val="FF0000"/>
                      <w:szCs w:val="21"/>
                    </w:rPr>
                  </w:pPr>
                  <w:r>
                    <w:rPr>
                      <w:rFonts w:eastAsiaTheme="minorEastAsia"/>
                      <w:color w:val="FF0000"/>
                      <w:kern w:val="0"/>
                      <w:szCs w:val="21"/>
                      <w:lang w:bidi="ar"/>
                    </w:rPr>
                    <w:t xml:space="preserve">制定突发环境事件应急预案培训演练制度、定期开展培训演练等。发生突发环境事件时，企业立即启动 </w:t>
                  </w:r>
                </w:p>
                <w:p w14:paraId="14C79A47">
                  <w:pPr>
                    <w:widowControl/>
                    <w:jc w:val="left"/>
                    <w:rPr>
                      <w:rFonts w:eastAsiaTheme="minorEastAsia"/>
                      <w:color w:val="FF0000"/>
                      <w:szCs w:val="21"/>
                    </w:rPr>
                  </w:pPr>
                  <w:r>
                    <w:rPr>
                      <w:rFonts w:eastAsiaTheme="minorEastAsia"/>
                      <w:color w:val="FF0000"/>
                      <w:kern w:val="0"/>
                      <w:szCs w:val="21"/>
                      <w:lang w:bidi="ar"/>
                    </w:rPr>
                    <w:t>相应突发环境事件应急预案，并按突发环境事件应急预案要求向生态环境等部门报告。</w:t>
                  </w:r>
                </w:p>
                <w:p w14:paraId="48764CCA">
                  <w:pPr>
                    <w:widowControl/>
                    <w:adjustRightInd w:val="0"/>
                    <w:snapToGrid w:val="0"/>
                    <w:jc w:val="left"/>
                    <w:rPr>
                      <w:rFonts w:eastAsiaTheme="minorEastAsia"/>
                      <w:color w:val="FF0000"/>
                      <w:spacing w:val="-6"/>
                      <w:szCs w:val="21"/>
                    </w:rPr>
                  </w:pPr>
                </w:p>
              </w:tc>
              <w:tc>
                <w:tcPr>
                  <w:tcW w:w="1993" w:type="pct"/>
                  <w:tcBorders>
                    <w:tl2br w:val="nil"/>
                    <w:tr2bl w:val="nil"/>
                  </w:tcBorders>
                  <w:shd w:val="clear" w:color="auto" w:fill="auto"/>
                  <w:vAlign w:val="center"/>
                </w:tcPr>
                <w:p w14:paraId="7D6CC7A8">
                  <w:pPr>
                    <w:widowControl/>
                    <w:adjustRightInd w:val="0"/>
                    <w:snapToGrid w:val="0"/>
                    <w:jc w:val="center"/>
                    <w:rPr>
                      <w:rFonts w:eastAsiaTheme="minorEastAsia"/>
                      <w:color w:val="FF0000"/>
                      <w:kern w:val="0"/>
                      <w:szCs w:val="21"/>
                      <w:lang w:bidi="ar"/>
                    </w:rPr>
                  </w:pPr>
                  <w:r>
                    <w:rPr>
                      <w:rFonts w:eastAsiaTheme="minorEastAsia"/>
                      <w:color w:val="FF0000"/>
                      <w:kern w:val="0"/>
                      <w:szCs w:val="21"/>
                      <w:lang w:bidi="ar"/>
                    </w:rPr>
                    <w:t>本项目</w:t>
                  </w:r>
                  <w:r>
                    <w:rPr>
                      <w:rFonts w:hint="eastAsia" w:eastAsiaTheme="minorEastAsia"/>
                      <w:color w:val="FF0000"/>
                      <w:kern w:val="0"/>
                      <w:szCs w:val="21"/>
                      <w:lang w:bidi="ar"/>
                    </w:rPr>
                    <w:t>建成后</w:t>
                  </w:r>
                  <w:r>
                    <w:rPr>
                      <w:rFonts w:eastAsiaTheme="minorEastAsia"/>
                      <w:color w:val="FF0000"/>
                      <w:kern w:val="0"/>
                      <w:szCs w:val="21"/>
                      <w:lang w:bidi="ar"/>
                    </w:rPr>
                    <w:t>根据《企业事业单位突发环境事件应急预案备案管理办法》（环发〔2015〕4号）及《突发事件应急预案管理办法》（国办发〔2013〕101号）要求，编制《突发环境事件应急预案》，内容涵盖风险源识别、应急组织架构、应急处置流程、污染物控制措施、信息报告与联动机制等，并报生态环境部门备案。企业每年至少开展1次全员参与的应急演练，模拟废液泄漏、粉尘扩散等场景，检验预案有效性，留存演练记录及影像资料。发生突发环境事件时，立即启动应急预案，第一时间向当地生态环境部门报告事件详情及应急处置进展，并配合后续调查与整改，确保事件妥善处置，符合《国家突发环境事件应急预案》及地方应急管理要求。</w:t>
                  </w:r>
                </w:p>
              </w:tc>
              <w:tc>
                <w:tcPr>
                  <w:tcW w:w="282" w:type="pct"/>
                  <w:tcBorders>
                    <w:tl2br w:val="nil"/>
                    <w:tr2bl w:val="nil"/>
                  </w:tcBorders>
                  <w:vAlign w:val="center"/>
                </w:tcPr>
                <w:p w14:paraId="513475E9">
                  <w:pPr>
                    <w:widowControl/>
                    <w:adjustRightInd w:val="0"/>
                    <w:snapToGrid w:val="0"/>
                    <w:jc w:val="center"/>
                    <w:rPr>
                      <w:rFonts w:eastAsiaTheme="minorEastAsia"/>
                      <w:spacing w:val="7"/>
                      <w:szCs w:val="21"/>
                    </w:rPr>
                  </w:pPr>
                  <w:r>
                    <w:rPr>
                      <w:rFonts w:eastAsiaTheme="minorEastAsia"/>
                      <w:szCs w:val="21"/>
                    </w:rPr>
                    <w:t>符合</w:t>
                  </w:r>
                </w:p>
              </w:tc>
            </w:tr>
          </w:tbl>
          <w:p w14:paraId="5B086D5F">
            <w:pPr>
              <w:pStyle w:val="116"/>
              <w:spacing w:before="36" w:line="212" w:lineRule="auto"/>
              <w:rPr>
                <w:rFonts w:hint="eastAsia" w:cs="Times New Roman"/>
                <w:b/>
                <w:bCs/>
                <w:lang w:eastAsia="zh-CN"/>
              </w:rPr>
            </w:pPr>
            <w:r>
              <w:rPr>
                <w:rFonts w:hint="eastAsia" w:cs="Times New Roman"/>
                <w:b/>
                <w:bCs/>
                <w:lang w:eastAsia="zh-CN"/>
              </w:rPr>
              <w:t>10、与《报废机动车回收管理办法》（国务院令第 715 号）的符合性分析</w:t>
            </w:r>
          </w:p>
          <w:p w14:paraId="6D58BE7C">
            <w:pPr>
              <w:pStyle w:val="18"/>
              <w:tabs>
                <w:tab w:val="left" w:pos="929"/>
              </w:tabs>
              <w:spacing w:line="240" w:lineRule="auto"/>
              <w:ind w:left="0" w:leftChars="0"/>
              <w:jc w:val="center"/>
            </w:pPr>
            <w:r>
              <w:rPr>
                <w:b/>
                <w:bCs/>
                <w:spacing w:val="6"/>
              </w:rPr>
              <w:t>表</w:t>
            </w:r>
            <w:r>
              <w:rPr>
                <w:rFonts w:eastAsia="Times New Roman"/>
                <w:b/>
                <w:bCs/>
                <w:spacing w:val="6"/>
              </w:rPr>
              <w:t>1</w:t>
            </w:r>
            <w:r>
              <w:rPr>
                <w:rFonts w:hint="eastAsia"/>
                <w:b/>
                <w:bCs/>
                <w:spacing w:val="6"/>
              </w:rPr>
              <w:t>6</w:t>
            </w:r>
            <w:r>
              <w:rPr>
                <w:rFonts w:eastAsia="Times New Roman"/>
                <w:b/>
                <w:bCs/>
                <w:spacing w:val="6"/>
              </w:rPr>
              <w:t xml:space="preserve">    </w:t>
            </w:r>
            <w:r>
              <w:rPr>
                <w:b/>
                <w:bCs/>
                <w:spacing w:val="6"/>
              </w:rPr>
              <w:t>与《报废机动车回收管理办法》符合性分析</w:t>
            </w:r>
          </w:p>
          <w:tbl>
            <w:tblPr>
              <w:tblStyle w:val="35"/>
              <w:tblW w:w="0" w:type="auto"/>
              <w:jc w:val="center"/>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498"/>
              <w:gridCol w:w="4173"/>
              <w:gridCol w:w="2427"/>
              <w:gridCol w:w="427"/>
            </w:tblGrid>
            <w:tr w14:paraId="64D0FAA3">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07" w:hRule="atLeast"/>
                <w:jc w:val="center"/>
              </w:trPr>
              <w:tc>
                <w:tcPr>
                  <w:tcW w:w="498" w:type="dxa"/>
                  <w:tcBorders>
                    <w:tl2br w:val="nil"/>
                    <w:tr2bl w:val="nil"/>
                  </w:tcBorders>
                  <w:vAlign w:val="center"/>
                </w:tcPr>
                <w:p w14:paraId="0090873F">
                  <w:pPr>
                    <w:widowControl/>
                    <w:jc w:val="center"/>
                    <w:rPr>
                      <w:rFonts w:eastAsiaTheme="minorEastAsia"/>
                      <w:b/>
                      <w:bCs/>
                      <w:color w:val="000000"/>
                      <w:kern w:val="0"/>
                      <w:szCs w:val="21"/>
                      <w:lang w:bidi="ar"/>
                    </w:rPr>
                  </w:pPr>
                  <w:r>
                    <w:rPr>
                      <w:rFonts w:hint="eastAsia" w:eastAsiaTheme="minorEastAsia"/>
                      <w:b/>
                      <w:bCs/>
                      <w:color w:val="000000"/>
                      <w:kern w:val="0"/>
                      <w:szCs w:val="21"/>
                      <w:lang w:bidi="ar"/>
                    </w:rPr>
                    <w:t>序号</w:t>
                  </w:r>
                </w:p>
              </w:tc>
              <w:tc>
                <w:tcPr>
                  <w:tcW w:w="4173" w:type="dxa"/>
                  <w:tcBorders>
                    <w:tl2br w:val="nil"/>
                    <w:tr2bl w:val="nil"/>
                  </w:tcBorders>
                  <w:vAlign w:val="center"/>
                </w:tcPr>
                <w:p w14:paraId="43A13A74">
                  <w:pPr>
                    <w:widowControl/>
                    <w:jc w:val="center"/>
                    <w:rPr>
                      <w:rFonts w:eastAsiaTheme="minorEastAsia"/>
                      <w:b/>
                      <w:bCs/>
                      <w:color w:val="000000"/>
                      <w:kern w:val="0"/>
                      <w:szCs w:val="21"/>
                      <w:lang w:bidi="ar"/>
                    </w:rPr>
                  </w:pPr>
                  <w:r>
                    <w:rPr>
                      <w:rFonts w:eastAsiaTheme="minorEastAsia"/>
                      <w:b/>
                      <w:bCs/>
                      <w:color w:val="000000"/>
                      <w:kern w:val="0"/>
                      <w:szCs w:val="21"/>
                      <w:lang w:bidi="ar"/>
                    </w:rPr>
                    <w:t>规范要求</w:t>
                  </w:r>
                </w:p>
              </w:tc>
              <w:tc>
                <w:tcPr>
                  <w:tcW w:w="2427" w:type="dxa"/>
                  <w:tcBorders>
                    <w:tl2br w:val="nil"/>
                    <w:tr2bl w:val="nil"/>
                  </w:tcBorders>
                  <w:vAlign w:val="center"/>
                </w:tcPr>
                <w:p w14:paraId="1B4C4152">
                  <w:pPr>
                    <w:widowControl/>
                    <w:jc w:val="center"/>
                    <w:rPr>
                      <w:rFonts w:eastAsiaTheme="minorEastAsia"/>
                      <w:b/>
                      <w:bCs/>
                      <w:color w:val="000000"/>
                      <w:kern w:val="0"/>
                      <w:szCs w:val="21"/>
                      <w:lang w:bidi="ar"/>
                    </w:rPr>
                  </w:pPr>
                  <w:r>
                    <w:rPr>
                      <w:rFonts w:eastAsiaTheme="minorEastAsia"/>
                      <w:b/>
                      <w:bCs/>
                      <w:color w:val="000000"/>
                      <w:kern w:val="0"/>
                      <w:szCs w:val="21"/>
                      <w:lang w:bidi="ar"/>
                    </w:rPr>
                    <w:t>项目实际情况</w:t>
                  </w:r>
                </w:p>
              </w:tc>
              <w:tc>
                <w:tcPr>
                  <w:tcW w:w="427" w:type="dxa"/>
                  <w:tcBorders>
                    <w:tl2br w:val="nil"/>
                    <w:tr2bl w:val="nil"/>
                  </w:tcBorders>
                  <w:vAlign w:val="center"/>
                </w:tcPr>
                <w:p w14:paraId="5772A92D">
                  <w:pPr>
                    <w:widowControl/>
                    <w:jc w:val="center"/>
                    <w:rPr>
                      <w:rFonts w:eastAsiaTheme="minorEastAsia"/>
                      <w:b/>
                      <w:bCs/>
                      <w:color w:val="000000"/>
                      <w:kern w:val="0"/>
                      <w:szCs w:val="21"/>
                      <w:lang w:bidi="ar"/>
                    </w:rPr>
                  </w:pPr>
                  <w:r>
                    <w:rPr>
                      <w:rFonts w:eastAsiaTheme="minorEastAsia"/>
                      <w:b/>
                      <w:bCs/>
                      <w:color w:val="000000"/>
                      <w:kern w:val="0"/>
                      <w:szCs w:val="21"/>
                      <w:lang w:bidi="ar"/>
                    </w:rPr>
                    <w:t>符合性</w:t>
                  </w:r>
                </w:p>
              </w:tc>
            </w:tr>
            <w:tr w14:paraId="55D6775D">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98" w:type="dxa"/>
                  <w:tcBorders>
                    <w:tl2br w:val="nil"/>
                    <w:tr2bl w:val="nil"/>
                  </w:tcBorders>
                  <w:vAlign w:val="center"/>
                </w:tcPr>
                <w:p w14:paraId="402C3082">
                  <w:pPr>
                    <w:widowControl/>
                    <w:jc w:val="center"/>
                    <w:rPr>
                      <w:rFonts w:eastAsiaTheme="minorEastAsia"/>
                      <w:color w:val="000000"/>
                      <w:kern w:val="0"/>
                      <w:szCs w:val="21"/>
                      <w:lang w:bidi="ar"/>
                    </w:rPr>
                  </w:pPr>
                  <w:r>
                    <w:rPr>
                      <w:rFonts w:eastAsiaTheme="minorEastAsia"/>
                      <w:color w:val="000000"/>
                      <w:kern w:val="0"/>
                      <w:szCs w:val="21"/>
                      <w:lang w:bidi="ar"/>
                    </w:rPr>
                    <w:t>1</w:t>
                  </w:r>
                </w:p>
              </w:tc>
              <w:tc>
                <w:tcPr>
                  <w:tcW w:w="4173" w:type="dxa"/>
                  <w:tcBorders>
                    <w:tl2br w:val="nil"/>
                    <w:tr2bl w:val="nil"/>
                  </w:tcBorders>
                  <w:vAlign w:val="center"/>
                </w:tcPr>
                <w:p w14:paraId="7A4DB747">
                  <w:pPr>
                    <w:widowControl/>
                    <w:jc w:val="center"/>
                    <w:rPr>
                      <w:rFonts w:eastAsiaTheme="minorEastAsia"/>
                      <w:color w:val="000000"/>
                      <w:kern w:val="0"/>
                      <w:szCs w:val="21"/>
                      <w:lang w:bidi="ar"/>
                    </w:rPr>
                  </w:pPr>
                  <w:r>
                    <w:rPr>
                      <w:rFonts w:eastAsiaTheme="minorEastAsia"/>
                      <w:color w:val="000000"/>
                      <w:kern w:val="0"/>
                      <w:szCs w:val="21"/>
                      <w:lang w:bidi="ar"/>
                    </w:rPr>
                    <w:t>第五条 国家对报废机动车回收企业实行资 质认定制度。未经资质认定，任何单位或者 个人不得从事报废机动车回收活动。</w:t>
                  </w:r>
                </w:p>
              </w:tc>
              <w:tc>
                <w:tcPr>
                  <w:tcW w:w="2427" w:type="dxa"/>
                  <w:tcBorders>
                    <w:tl2br w:val="nil"/>
                    <w:tr2bl w:val="nil"/>
                  </w:tcBorders>
                  <w:vAlign w:val="center"/>
                </w:tcPr>
                <w:p w14:paraId="127D06A6">
                  <w:pPr>
                    <w:widowControl/>
                    <w:jc w:val="center"/>
                    <w:rPr>
                      <w:rFonts w:eastAsiaTheme="minorEastAsia"/>
                      <w:color w:val="000000"/>
                      <w:kern w:val="0"/>
                      <w:szCs w:val="21"/>
                      <w:lang w:bidi="ar"/>
                    </w:rPr>
                  </w:pPr>
                  <w:r>
                    <w:rPr>
                      <w:rFonts w:eastAsiaTheme="minorEastAsia"/>
                      <w:color w:val="000000"/>
                      <w:kern w:val="0"/>
                      <w:szCs w:val="21"/>
                      <w:lang w:bidi="ar"/>
                    </w:rPr>
                    <w:t>本项目在获得废机动车回收资质后开展相应活动。</w:t>
                  </w:r>
                </w:p>
              </w:tc>
              <w:tc>
                <w:tcPr>
                  <w:tcW w:w="427" w:type="dxa"/>
                  <w:tcBorders>
                    <w:tl2br w:val="nil"/>
                    <w:tr2bl w:val="nil"/>
                  </w:tcBorders>
                  <w:vAlign w:val="center"/>
                </w:tcPr>
                <w:p w14:paraId="6174B87D">
                  <w:pPr>
                    <w:widowControl/>
                    <w:jc w:val="center"/>
                    <w:rPr>
                      <w:rFonts w:eastAsiaTheme="minorEastAsia"/>
                      <w:color w:val="000000"/>
                      <w:kern w:val="0"/>
                      <w:szCs w:val="21"/>
                      <w:lang w:bidi="ar"/>
                    </w:rPr>
                  </w:pPr>
                  <w:r>
                    <w:rPr>
                      <w:rFonts w:eastAsiaTheme="minorEastAsia"/>
                      <w:color w:val="000000"/>
                      <w:kern w:val="0"/>
                      <w:szCs w:val="21"/>
                      <w:lang w:bidi="ar"/>
                    </w:rPr>
                    <w:t>符合</w:t>
                  </w:r>
                </w:p>
              </w:tc>
            </w:tr>
            <w:tr w14:paraId="7C8A417E">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98" w:type="dxa"/>
                  <w:tcBorders>
                    <w:tl2br w:val="nil"/>
                    <w:tr2bl w:val="nil"/>
                  </w:tcBorders>
                  <w:vAlign w:val="center"/>
                </w:tcPr>
                <w:p w14:paraId="1FAE1077">
                  <w:pPr>
                    <w:widowControl/>
                    <w:jc w:val="center"/>
                    <w:rPr>
                      <w:rFonts w:eastAsiaTheme="minorEastAsia"/>
                      <w:color w:val="000000"/>
                      <w:kern w:val="0"/>
                      <w:szCs w:val="21"/>
                      <w:lang w:bidi="ar"/>
                    </w:rPr>
                  </w:pPr>
                  <w:r>
                    <w:rPr>
                      <w:rFonts w:eastAsiaTheme="minorEastAsia"/>
                      <w:color w:val="000000"/>
                      <w:kern w:val="0"/>
                      <w:szCs w:val="21"/>
                      <w:lang w:bidi="ar"/>
                    </w:rPr>
                    <w:t>2</w:t>
                  </w:r>
                </w:p>
              </w:tc>
              <w:tc>
                <w:tcPr>
                  <w:tcW w:w="4173" w:type="dxa"/>
                  <w:tcBorders>
                    <w:tl2br w:val="nil"/>
                    <w:tr2bl w:val="nil"/>
                  </w:tcBorders>
                  <w:vAlign w:val="center"/>
                </w:tcPr>
                <w:p w14:paraId="73BA6B5C">
                  <w:pPr>
                    <w:widowControl/>
                    <w:jc w:val="center"/>
                    <w:rPr>
                      <w:rFonts w:eastAsiaTheme="minorEastAsia"/>
                      <w:color w:val="000000"/>
                      <w:kern w:val="0"/>
                      <w:szCs w:val="21"/>
                      <w:lang w:bidi="ar"/>
                    </w:rPr>
                  </w:pPr>
                  <w:r>
                    <w:rPr>
                      <w:rFonts w:eastAsiaTheme="minorEastAsia"/>
                      <w:color w:val="000000"/>
                      <w:kern w:val="0"/>
                      <w:szCs w:val="21"/>
                      <w:lang w:bidi="ar"/>
                    </w:rPr>
                    <w:t>第六条 取得报废机动车回收资质认定，应 当具备下列条件：（一）具有企业法人资格； （二）具有符合环境保护等有关法律、法规 和强制性标准要求的存储、拆解场地，拆解 设备、设施以及拆解操作规范；三）具有与 报废机动车拆解活动相适应的专业技术人  员。</w:t>
                  </w:r>
                </w:p>
              </w:tc>
              <w:tc>
                <w:tcPr>
                  <w:tcW w:w="2427" w:type="dxa"/>
                  <w:tcBorders>
                    <w:tl2br w:val="nil"/>
                    <w:tr2bl w:val="nil"/>
                  </w:tcBorders>
                  <w:vAlign w:val="center"/>
                </w:tcPr>
                <w:p w14:paraId="51B5A939">
                  <w:pPr>
                    <w:widowControl/>
                    <w:jc w:val="center"/>
                    <w:rPr>
                      <w:rFonts w:eastAsiaTheme="minorEastAsia"/>
                      <w:color w:val="000000"/>
                      <w:kern w:val="0"/>
                      <w:szCs w:val="21"/>
                      <w:lang w:bidi="ar"/>
                    </w:rPr>
                  </w:pPr>
                  <w:r>
                    <w:rPr>
                      <w:rFonts w:eastAsiaTheme="minorEastAsia"/>
                      <w:color w:val="000000"/>
                      <w:kern w:val="0"/>
                      <w:szCs w:val="21"/>
                      <w:lang w:bidi="ar"/>
                    </w:rPr>
                    <w:t>本项目项目具有企业法人资格，有符合要求的存储、拆解场地、设备、设施以及操作规范，配备专业技术人1</w:t>
                  </w:r>
                  <w:r>
                    <w:rPr>
                      <w:rFonts w:hint="eastAsia" w:eastAsiaTheme="minorEastAsia"/>
                      <w:color w:val="000000"/>
                      <w:kern w:val="0"/>
                      <w:szCs w:val="21"/>
                      <w:lang w:bidi="ar"/>
                    </w:rPr>
                    <w:t>5</w:t>
                  </w:r>
                  <w:r>
                    <w:rPr>
                      <w:rFonts w:eastAsiaTheme="minorEastAsia"/>
                      <w:color w:val="000000"/>
                      <w:kern w:val="0"/>
                      <w:szCs w:val="21"/>
                      <w:lang w:bidi="ar"/>
                    </w:rPr>
                    <w:t>人。</w:t>
                  </w:r>
                </w:p>
              </w:tc>
              <w:tc>
                <w:tcPr>
                  <w:tcW w:w="427" w:type="dxa"/>
                  <w:tcBorders>
                    <w:tl2br w:val="nil"/>
                    <w:tr2bl w:val="nil"/>
                  </w:tcBorders>
                  <w:vAlign w:val="center"/>
                </w:tcPr>
                <w:p w14:paraId="4129D2D6">
                  <w:pPr>
                    <w:widowControl/>
                    <w:jc w:val="center"/>
                    <w:rPr>
                      <w:rFonts w:eastAsiaTheme="minorEastAsia"/>
                      <w:color w:val="000000"/>
                      <w:kern w:val="0"/>
                      <w:szCs w:val="21"/>
                      <w:lang w:bidi="ar"/>
                    </w:rPr>
                  </w:pPr>
                  <w:r>
                    <w:rPr>
                      <w:rFonts w:eastAsiaTheme="minorEastAsia"/>
                      <w:color w:val="000000"/>
                      <w:kern w:val="0"/>
                      <w:szCs w:val="21"/>
                      <w:lang w:bidi="ar"/>
                    </w:rPr>
                    <w:t>符合</w:t>
                  </w:r>
                </w:p>
              </w:tc>
            </w:tr>
            <w:tr w14:paraId="63BEDA59">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98" w:type="dxa"/>
                  <w:tcBorders>
                    <w:tl2br w:val="nil"/>
                    <w:tr2bl w:val="nil"/>
                  </w:tcBorders>
                  <w:vAlign w:val="center"/>
                </w:tcPr>
                <w:p w14:paraId="5EFF723D">
                  <w:pPr>
                    <w:widowControl/>
                    <w:jc w:val="center"/>
                    <w:rPr>
                      <w:rFonts w:eastAsiaTheme="minorEastAsia"/>
                      <w:color w:val="000000"/>
                      <w:kern w:val="0"/>
                      <w:szCs w:val="21"/>
                      <w:lang w:bidi="ar"/>
                    </w:rPr>
                  </w:pPr>
                  <w:r>
                    <w:rPr>
                      <w:rFonts w:eastAsiaTheme="minorEastAsia"/>
                      <w:color w:val="000000"/>
                      <w:kern w:val="0"/>
                      <w:szCs w:val="21"/>
                      <w:lang w:bidi="ar"/>
                    </w:rPr>
                    <w:t>3</w:t>
                  </w:r>
                </w:p>
              </w:tc>
              <w:tc>
                <w:tcPr>
                  <w:tcW w:w="4173" w:type="dxa"/>
                  <w:tcBorders>
                    <w:tl2br w:val="nil"/>
                    <w:tr2bl w:val="nil"/>
                  </w:tcBorders>
                  <w:vAlign w:val="center"/>
                </w:tcPr>
                <w:p w14:paraId="08CE648E">
                  <w:pPr>
                    <w:widowControl/>
                    <w:jc w:val="center"/>
                    <w:rPr>
                      <w:rFonts w:eastAsiaTheme="minorEastAsia"/>
                      <w:color w:val="000000"/>
                      <w:kern w:val="0"/>
                      <w:szCs w:val="21"/>
                      <w:lang w:bidi="ar"/>
                    </w:rPr>
                  </w:pPr>
                  <w:r>
                    <w:rPr>
                      <w:rFonts w:eastAsiaTheme="minorEastAsia"/>
                      <w:color w:val="000000"/>
                      <w:kern w:val="0"/>
                      <w:szCs w:val="21"/>
                      <w:lang w:bidi="ar"/>
                    </w:rPr>
                    <w:t>第九条 报废机动车回收企业对回收的报废 机动车，应当向机动车所有人出具《报废机 动车回收证明》，收回机动车登记证书、号 牌、行驶证，并按照国家有关规定及时向公 安机关交通管理部门办理注销登记，将注销证明转交机动车所有人。</w:t>
                  </w:r>
                </w:p>
              </w:tc>
              <w:tc>
                <w:tcPr>
                  <w:tcW w:w="2427" w:type="dxa"/>
                  <w:tcBorders>
                    <w:tl2br w:val="nil"/>
                    <w:tr2bl w:val="nil"/>
                  </w:tcBorders>
                  <w:vAlign w:val="center"/>
                </w:tcPr>
                <w:p w14:paraId="70F45F9E">
                  <w:pPr>
                    <w:widowControl/>
                    <w:jc w:val="center"/>
                    <w:rPr>
                      <w:rFonts w:eastAsiaTheme="minorEastAsia"/>
                      <w:color w:val="000000"/>
                      <w:kern w:val="0"/>
                      <w:szCs w:val="21"/>
                      <w:lang w:bidi="ar"/>
                    </w:rPr>
                  </w:pPr>
                  <w:r>
                    <w:rPr>
                      <w:rFonts w:eastAsiaTheme="minorEastAsia"/>
                      <w:color w:val="000000"/>
                      <w:kern w:val="0"/>
                      <w:szCs w:val="21"/>
                      <w:lang w:bidi="ar"/>
                    </w:rPr>
                    <w:t>本项目回收具有《报废机动车回收证明》的车辆。</w:t>
                  </w:r>
                </w:p>
              </w:tc>
              <w:tc>
                <w:tcPr>
                  <w:tcW w:w="427" w:type="dxa"/>
                  <w:tcBorders>
                    <w:tl2br w:val="nil"/>
                    <w:tr2bl w:val="nil"/>
                  </w:tcBorders>
                  <w:vAlign w:val="center"/>
                </w:tcPr>
                <w:p w14:paraId="6A052DE7">
                  <w:pPr>
                    <w:widowControl/>
                    <w:jc w:val="center"/>
                    <w:rPr>
                      <w:rFonts w:eastAsiaTheme="minorEastAsia"/>
                      <w:color w:val="000000"/>
                      <w:kern w:val="0"/>
                      <w:szCs w:val="21"/>
                      <w:lang w:bidi="ar"/>
                    </w:rPr>
                  </w:pPr>
                  <w:r>
                    <w:rPr>
                      <w:rFonts w:eastAsiaTheme="minorEastAsia"/>
                      <w:color w:val="000000"/>
                      <w:kern w:val="0"/>
                      <w:szCs w:val="21"/>
                      <w:lang w:bidi="ar"/>
                    </w:rPr>
                    <w:t>符合</w:t>
                  </w:r>
                </w:p>
              </w:tc>
            </w:tr>
            <w:tr w14:paraId="2F4F24A2">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98" w:type="dxa"/>
                  <w:tcBorders>
                    <w:tl2br w:val="nil"/>
                    <w:tr2bl w:val="nil"/>
                  </w:tcBorders>
                  <w:vAlign w:val="center"/>
                </w:tcPr>
                <w:p w14:paraId="2BCB6399">
                  <w:pPr>
                    <w:widowControl/>
                    <w:jc w:val="center"/>
                    <w:rPr>
                      <w:rFonts w:eastAsiaTheme="minorEastAsia"/>
                      <w:color w:val="000000"/>
                      <w:kern w:val="0"/>
                      <w:szCs w:val="21"/>
                      <w:lang w:bidi="ar"/>
                    </w:rPr>
                  </w:pPr>
                  <w:r>
                    <w:rPr>
                      <w:rFonts w:eastAsiaTheme="minorEastAsia"/>
                      <w:color w:val="000000"/>
                      <w:kern w:val="0"/>
                      <w:szCs w:val="21"/>
                      <w:lang w:bidi="ar"/>
                    </w:rPr>
                    <w:t>4</w:t>
                  </w:r>
                </w:p>
              </w:tc>
              <w:tc>
                <w:tcPr>
                  <w:tcW w:w="4173" w:type="dxa"/>
                  <w:tcBorders>
                    <w:tl2br w:val="nil"/>
                    <w:tr2bl w:val="nil"/>
                  </w:tcBorders>
                  <w:vAlign w:val="center"/>
                </w:tcPr>
                <w:p w14:paraId="34B8A133">
                  <w:pPr>
                    <w:widowControl/>
                    <w:jc w:val="center"/>
                    <w:rPr>
                      <w:rFonts w:eastAsiaTheme="minorEastAsia"/>
                      <w:color w:val="000000"/>
                      <w:kern w:val="0"/>
                      <w:szCs w:val="21"/>
                      <w:lang w:bidi="ar"/>
                    </w:rPr>
                  </w:pPr>
                  <w:r>
                    <w:rPr>
                      <w:rFonts w:eastAsiaTheme="minorEastAsia"/>
                      <w:color w:val="000000"/>
                      <w:kern w:val="0"/>
                      <w:szCs w:val="21"/>
                      <w:lang w:bidi="ar"/>
                    </w:rPr>
                    <w:t>第十条 报废机动车回收企业对回收的报废 机动车，应当逐车登记机动车的型号、号牌 号码、发动机号码、车辆识别代号等信息； 发现回收的报废机动车疑似赃物或者用于  盗窃、抢劫等犯罪活动的犯罪工具的，应当 及时向公安机关报告。报废机动车回收企业 不得拆解、改装、拼装、倒卖疑似赃物或者 犯罪工具的机动车或者其发动机、方向机、 变速器、前后桥、车架（以下统称“五大总 成”）和其他零部件。</w:t>
                  </w:r>
                </w:p>
              </w:tc>
              <w:tc>
                <w:tcPr>
                  <w:tcW w:w="2427" w:type="dxa"/>
                  <w:tcBorders>
                    <w:tl2br w:val="nil"/>
                    <w:tr2bl w:val="nil"/>
                  </w:tcBorders>
                  <w:vAlign w:val="center"/>
                </w:tcPr>
                <w:p w14:paraId="2A0CF958">
                  <w:pPr>
                    <w:widowControl/>
                    <w:jc w:val="center"/>
                    <w:rPr>
                      <w:rFonts w:eastAsiaTheme="minorEastAsia"/>
                      <w:color w:val="000000"/>
                      <w:kern w:val="0"/>
                      <w:szCs w:val="21"/>
                      <w:lang w:bidi="ar"/>
                    </w:rPr>
                  </w:pPr>
                  <w:r>
                    <w:rPr>
                      <w:rFonts w:eastAsiaTheme="minorEastAsia"/>
                      <w:color w:val="000000"/>
                      <w:kern w:val="0"/>
                      <w:szCs w:val="21"/>
                      <w:lang w:bidi="ar"/>
                    </w:rPr>
                    <w:t>本项目回收符合国家相关 定的车辆，企业不拆解、改装、拼装、倒卖疑似赃物或者犯罪工具的机动车或者其发动机、方向机、变速器、前后桥、车架（以下统称“五大总成”）和其他零部件。</w:t>
                  </w:r>
                </w:p>
              </w:tc>
              <w:tc>
                <w:tcPr>
                  <w:tcW w:w="427" w:type="dxa"/>
                  <w:tcBorders>
                    <w:tl2br w:val="nil"/>
                    <w:tr2bl w:val="nil"/>
                  </w:tcBorders>
                  <w:vAlign w:val="center"/>
                </w:tcPr>
                <w:p w14:paraId="4EC67A50">
                  <w:pPr>
                    <w:widowControl/>
                    <w:jc w:val="center"/>
                    <w:rPr>
                      <w:rFonts w:eastAsiaTheme="minorEastAsia"/>
                      <w:color w:val="000000"/>
                      <w:kern w:val="0"/>
                      <w:szCs w:val="21"/>
                      <w:lang w:bidi="ar"/>
                    </w:rPr>
                  </w:pPr>
                  <w:r>
                    <w:rPr>
                      <w:rFonts w:eastAsiaTheme="minorEastAsia"/>
                      <w:color w:val="000000"/>
                      <w:kern w:val="0"/>
                      <w:szCs w:val="21"/>
                      <w:lang w:bidi="ar"/>
                    </w:rPr>
                    <w:t>符合</w:t>
                  </w:r>
                </w:p>
              </w:tc>
            </w:tr>
            <w:tr w14:paraId="082DEE01">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98" w:type="dxa"/>
                  <w:tcBorders>
                    <w:tl2br w:val="nil"/>
                    <w:tr2bl w:val="nil"/>
                  </w:tcBorders>
                  <w:vAlign w:val="center"/>
                </w:tcPr>
                <w:p w14:paraId="0A3D1EF7">
                  <w:pPr>
                    <w:widowControl/>
                    <w:jc w:val="center"/>
                    <w:rPr>
                      <w:rFonts w:eastAsiaTheme="minorEastAsia"/>
                      <w:color w:val="000000"/>
                      <w:kern w:val="0"/>
                      <w:szCs w:val="21"/>
                      <w:lang w:bidi="ar"/>
                    </w:rPr>
                  </w:pPr>
                  <w:r>
                    <w:rPr>
                      <w:rFonts w:eastAsiaTheme="minorEastAsia"/>
                      <w:color w:val="000000"/>
                      <w:kern w:val="0"/>
                      <w:szCs w:val="21"/>
                      <w:lang w:bidi="ar"/>
                    </w:rPr>
                    <w:t>5</w:t>
                  </w:r>
                </w:p>
              </w:tc>
              <w:tc>
                <w:tcPr>
                  <w:tcW w:w="4173" w:type="dxa"/>
                  <w:tcBorders>
                    <w:tl2br w:val="nil"/>
                    <w:tr2bl w:val="nil"/>
                  </w:tcBorders>
                  <w:vAlign w:val="center"/>
                </w:tcPr>
                <w:p w14:paraId="65D9A17A">
                  <w:pPr>
                    <w:widowControl/>
                    <w:jc w:val="center"/>
                    <w:rPr>
                      <w:rFonts w:eastAsiaTheme="minorEastAsia"/>
                      <w:color w:val="000000"/>
                      <w:kern w:val="0"/>
                      <w:szCs w:val="21"/>
                      <w:lang w:bidi="ar"/>
                    </w:rPr>
                  </w:pPr>
                  <w:r>
                    <w:rPr>
                      <w:rFonts w:eastAsiaTheme="minorEastAsia"/>
                      <w:color w:val="000000"/>
                      <w:kern w:val="0"/>
                      <w:szCs w:val="21"/>
                      <w:lang w:bidi="ar"/>
                    </w:rPr>
                    <w:t>第十二条 拆解的报废机动车“五大总成” （发动机、方向机、变速器、前后桥、</w:t>
                  </w:r>
                </w:p>
                <w:p w14:paraId="6914A48D">
                  <w:pPr>
                    <w:widowControl/>
                    <w:jc w:val="center"/>
                    <w:rPr>
                      <w:rFonts w:eastAsiaTheme="minorEastAsia"/>
                      <w:color w:val="000000"/>
                      <w:kern w:val="0"/>
                      <w:szCs w:val="21"/>
                      <w:lang w:bidi="ar"/>
                    </w:rPr>
                  </w:pPr>
                  <w:r>
                    <w:rPr>
                      <w:rFonts w:eastAsiaTheme="minorEastAsia"/>
                      <w:color w:val="000000"/>
                      <w:kern w:val="0"/>
                      <w:szCs w:val="21"/>
                      <w:lang w:bidi="ar"/>
                    </w:rPr>
                    <w:t>车架)具备再制造条件的，可以按照国家有 关规定出售给具有再制造能力的企业经过  再制造予以循环利用；不具备再制造条件  的，应当作为废金属，交售给钢铁企业作为 冶炼原料。</w:t>
                  </w:r>
                </w:p>
              </w:tc>
              <w:tc>
                <w:tcPr>
                  <w:tcW w:w="2427" w:type="dxa"/>
                  <w:tcBorders>
                    <w:tl2br w:val="nil"/>
                    <w:tr2bl w:val="nil"/>
                  </w:tcBorders>
                  <w:vAlign w:val="center"/>
                </w:tcPr>
                <w:p w14:paraId="57F9B041">
                  <w:pPr>
                    <w:widowControl/>
                    <w:jc w:val="center"/>
                    <w:rPr>
                      <w:rFonts w:eastAsiaTheme="minorEastAsia"/>
                      <w:color w:val="000000"/>
                      <w:kern w:val="0"/>
                      <w:szCs w:val="21"/>
                      <w:lang w:bidi="ar"/>
                    </w:rPr>
                  </w:pPr>
                  <w:r>
                    <w:rPr>
                      <w:rFonts w:eastAsiaTheme="minorEastAsia"/>
                      <w:color w:val="000000"/>
                      <w:kern w:val="0"/>
                      <w:szCs w:val="21"/>
                      <w:lang w:bidi="ar"/>
                    </w:rPr>
                    <w:t>本项目拆解的五大总成交给其他单位利用。</w:t>
                  </w:r>
                </w:p>
              </w:tc>
              <w:tc>
                <w:tcPr>
                  <w:tcW w:w="427" w:type="dxa"/>
                  <w:tcBorders>
                    <w:tl2br w:val="nil"/>
                    <w:tr2bl w:val="nil"/>
                  </w:tcBorders>
                  <w:vAlign w:val="center"/>
                </w:tcPr>
                <w:p w14:paraId="20EB9132">
                  <w:pPr>
                    <w:widowControl/>
                    <w:jc w:val="center"/>
                    <w:rPr>
                      <w:rFonts w:eastAsiaTheme="minorEastAsia"/>
                      <w:color w:val="000000"/>
                      <w:kern w:val="0"/>
                      <w:szCs w:val="21"/>
                      <w:lang w:bidi="ar"/>
                    </w:rPr>
                  </w:pPr>
                  <w:r>
                    <w:rPr>
                      <w:rFonts w:eastAsiaTheme="minorEastAsia"/>
                      <w:color w:val="000000"/>
                      <w:kern w:val="0"/>
                      <w:szCs w:val="21"/>
                      <w:lang w:bidi="ar"/>
                    </w:rPr>
                    <w:t>符合</w:t>
                  </w:r>
                </w:p>
              </w:tc>
            </w:tr>
            <w:tr w14:paraId="2804E5ED">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98" w:type="dxa"/>
                  <w:tcBorders>
                    <w:tl2br w:val="nil"/>
                    <w:tr2bl w:val="nil"/>
                  </w:tcBorders>
                  <w:vAlign w:val="center"/>
                </w:tcPr>
                <w:p w14:paraId="651050BC">
                  <w:pPr>
                    <w:widowControl/>
                    <w:jc w:val="center"/>
                    <w:rPr>
                      <w:rFonts w:eastAsiaTheme="minorEastAsia"/>
                      <w:color w:val="000000"/>
                      <w:kern w:val="0"/>
                      <w:szCs w:val="21"/>
                      <w:lang w:bidi="ar"/>
                    </w:rPr>
                  </w:pPr>
                  <w:r>
                    <w:rPr>
                      <w:rFonts w:eastAsiaTheme="minorEastAsia"/>
                      <w:color w:val="000000"/>
                      <w:kern w:val="0"/>
                      <w:szCs w:val="21"/>
                      <w:lang w:bidi="ar"/>
                    </w:rPr>
                    <w:t>6</w:t>
                  </w:r>
                </w:p>
              </w:tc>
              <w:tc>
                <w:tcPr>
                  <w:tcW w:w="4173" w:type="dxa"/>
                  <w:tcBorders>
                    <w:tl2br w:val="nil"/>
                    <w:tr2bl w:val="nil"/>
                  </w:tcBorders>
                  <w:vAlign w:val="center"/>
                </w:tcPr>
                <w:p w14:paraId="3DF63B3A">
                  <w:pPr>
                    <w:widowControl/>
                    <w:jc w:val="center"/>
                    <w:rPr>
                      <w:rFonts w:eastAsiaTheme="minorEastAsia"/>
                      <w:color w:val="000000"/>
                      <w:kern w:val="0"/>
                      <w:szCs w:val="21"/>
                      <w:lang w:bidi="ar"/>
                    </w:rPr>
                  </w:pPr>
                  <w:r>
                    <w:rPr>
                      <w:rFonts w:eastAsiaTheme="minorEastAsia"/>
                      <w:color w:val="000000"/>
                      <w:kern w:val="0"/>
                      <w:szCs w:val="21"/>
                      <w:lang w:bidi="ar"/>
                    </w:rPr>
                    <w:t>第十三条 国务院负责报废机动车回收管理 的部门应当建立报废机动车回收信息 系</w:t>
                  </w:r>
                </w:p>
                <w:p w14:paraId="2A4AEE5F">
                  <w:pPr>
                    <w:widowControl/>
                    <w:jc w:val="center"/>
                    <w:rPr>
                      <w:rFonts w:eastAsiaTheme="minorEastAsia"/>
                      <w:color w:val="000000"/>
                      <w:kern w:val="0"/>
                      <w:szCs w:val="21"/>
                      <w:lang w:bidi="ar"/>
                    </w:rPr>
                  </w:pPr>
                  <w:r>
                    <w:rPr>
                      <w:rFonts w:eastAsiaTheme="minorEastAsia"/>
                      <w:color w:val="000000"/>
                      <w:kern w:val="0"/>
                      <w:szCs w:val="21"/>
                      <w:lang w:bidi="ar"/>
                    </w:rPr>
                    <w:t>统。报废机动车回收企业应当如实记录本企 业回收的报废机动车“五大总成”等主要部  件的数量、型号、流向等信息，并上传至报 废机动车回收信息系统。</w:t>
                  </w:r>
                </w:p>
              </w:tc>
              <w:tc>
                <w:tcPr>
                  <w:tcW w:w="2427" w:type="dxa"/>
                  <w:tcBorders>
                    <w:tl2br w:val="nil"/>
                    <w:tr2bl w:val="nil"/>
                  </w:tcBorders>
                  <w:vAlign w:val="center"/>
                </w:tcPr>
                <w:p w14:paraId="17A7853C">
                  <w:pPr>
                    <w:widowControl/>
                    <w:jc w:val="center"/>
                    <w:rPr>
                      <w:rFonts w:eastAsiaTheme="minorEastAsia"/>
                      <w:color w:val="000000"/>
                      <w:kern w:val="0"/>
                      <w:szCs w:val="21"/>
                      <w:lang w:bidi="ar"/>
                    </w:rPr>
                  </w:pPr>
                  <w:r>
                    <w:rPr>
                      <w:rFonts w:eastAsiaTheme="minorEastAsia"/>
                      <w:color w:val="000000"/>
                      <w:kern w:val="0"/>
                      <w:szCs w:val="21"/>
                      <w:lang w:bidi="ar"/>
                    </w:rPr>
                    <w:t>本项目将如实记录本企业回收的报废机动车“五大总成”等主要部件的数量、型号、流向等信息，并上传至报废机动车回收信息系统。</w:t>
                  </w:r>
                </w:p>
              </w:tc>
              <w:tc>
                <w:tcPr>
                  <w:tcW w:w="427" w:type="dxa"/>
                  <w:tcBorders>
                    <w:tl2br w:val="nil"/>
                    <w:tr2bl w:val="nil"/>
                  </w:tcBorders>
                  <w:vAlign w:val="center"/>
                </w:tcPr>
                <w:p w14:paraId="10AF16A8">
                  <w:pPr>
                    <w:widowControl/>
                    <w:jc w:val="center"/>
                    <w:rPr>
                      <w:rFonts w:eastAsiaTheme="minorEastAsia"/>
                      <w:color w:val="000000"/>
                      <w:kern w:val="0"/>
                      <w:szCs w:val="21"/>
                      <w:lang w:bidi="ar"/>
                    </w:rPr>
                  </w:pPr>
                  <w:r>
                    <w:rPr>
                      <w:rFonts w:eastAsiaTheme="minorEastAsia"/>
                      <w:color w:val="000000"/>
                      <w:kern w:val="0"/>
                      <w:szCs w:val="21"/>
                      <w:lang w:bidi="ar"/>
                    </w:rPr>
                    <w:t>符合</w:t>
                  </w:r>
                </w:p>
              </w:tc>
            </w:tr>
            <w:tr w14:paraId="3D106B75">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98" w:type="dxa"/>
                  <w:tcBorders>
                    <w:tl2br w:val="nil"/>
                    <w:tr2bl w:val="nil"/>
                  </w:tcBorders>
                  <w:vAlign w:val="center"/>
                </w:tcPr>
                <w:p w14:paraId="5EF58618">
                  <w:pPr>
                    <w:widowControl/>
                    <w:jc w:val="center"/>
                    <w:rPr>
                      <w:rFonts w:eastAsiaTheme="minorEastAsia"/>
                      <w:color w:val="000000"/>
                      <w:kern w:val="0"/>
                      <w:szCs w:val="21"/>
                      <w:lang w:bidi="ar"/>
                    </w:rPr>
                  </w:pPr>
                  <w:r>
                    <w:rPr>
                      <w:rFonts w:eastAsiaTheme="minorEastAsia"/>
                      <w:color w:val="000000"/>
                      <w:kern w:val="0"/>
                      <w:szCs w:val="21"/>
                      <w:lang w:bidi="ar"/>
                    </w:rPr>
                    <w:t>7</w:t>
                  </w:r>
                </w:p>
              </w:tc>
              <w:tc>
                <w:tcPr>
                  <w:tcW w:w="4173" w:type="dxa"/>
                  <w:tcBorders>
                    <w:tl2br w:val="nil"/>
                    <w:tr2bl w:val="nil"/>
                  </w:tcBorders>
                  <w:vAlign w:val="center"/>
                </w:tcPr>
                <w:p w14:paraId="0C262E20">
                  <w:pPr>
                    <w:widowControl/>
                    <w:jc w:val="center"/>
                    <w:rPr>
                      <w:rFonts w:eastAsiaTheme="minorEastAsia"/>
                      <w:color w:val="000000"/>
                      <w:kern w:val="0"/>
                      <w:szCs w:val="21"/>
                      <w:lang w:bidi="ar"/>
                    </w:rPr>
                  </w:pPr>
                  <w:r>
                    <w:rPr>
                      <w:rFonts w:eastAsiaTheme="minorEastAsia"/>
                      <w:color w:val="000000"/>
                      <w:kern w:val="0"/>
                      <w:szCs w:val="21"/>
                      <w:lang w:bidi="ar"/>
                    </w:rPr>
                    <w:t>第十四条 拆解报废机动车，应当遵守环境</w:t>
                  </w:r>
                </w:p>
                <w:p w14:paraId="2FC42837">
                  <w:pPr>
                    <w:widowControl/>
                    <w:jc w:val="center"/>
                    <w:rPr>
                      <w:rFonts w:eastAsiaTheme="minorEastAsia"/>
                      <w:color w:val="000000"/>
                      <w:kern w:val="0"/>
                      <w:szCs w:val="21"/>
                      <w:lang w:bidi="ar"/>
                    </w:rPr>
                  </w:pPr>
                  <w:r>
                    <w:rPr>
                      <w:rFonts w:eastAsiaTheme="minorEastAsia"/>
                      <w:color w:val="000000"/>
                      <w:kern w:val="0"/>
                      <w:szCs w:val="21"/>
                      <w:lang w:bidi="ar"/>
                    </w:rPr>
                    <w:t>保护法律、法规和强制性标准，采取</w:t>
                  </w:r>
                </w:p>
                <w:p w14:paraId="13478E5D">
                  <w:pPr>
                    <w:widowControl/>
                    <w:jc w:val="center"/>
                    <w:rPr>
                      <w:rFonts w:eastAsiaTheme="minorEastAsia"/>
                      <w:color w:val="000000"/>
                      <w:kern w:val="0"/>
                      <w:szCs w:val="21"/>
                      <w:lang w:bidi="ar"/>
                    </w:rPr>
                  </w:pPr>
                  <w:r>
                    <w:rPr>
                      <w:rFonts w:eastAsiaTheme="minorEastAsia"/>
                      <w:color w:val="000000"/>
                      <w:kern w:val="0"/>
                      <w:szCs w:val="21"/>
                      <w:lang w:bidi="ar"/>
                    </w:rPr>
                    <w:t>有效措施保护环境，不得造成环境污染。</w:t>
                  </w:r>
                </w:p>
              </w:tc>
              <w:tc>
                <w:tcPr>
                  <w:tcW w:w="2427" w:type="dxa"/>
                  <w:tcBorders>
                    <w:tl2br w:val="nil"/>
                    <w:tr2bl w:val="nil"/>
                  </w:tcBorders>
                  <w:vAlign w:val="center"/>
                </w:tcPr>
                <w:p w14:paraId="3B2D4B18">
                  <w:pPr>
                    <w:widowControl/>
                    <w:jc w:val="center"/>
                    <w:rPr>
                      <w:rFonts w:eastAsiaTheme="minorEastAsia"/>
                      <w:color w:val="000000"/>
                      <w:kern w:val="0"/>
                      <w:szCs w:val="21"/>
                      <w:lang w:bidi="ar"/>
                    </w:rPr>
                  </w:pPr>
                  <w:r>
                    <w:rPr>
                      <w:rFonts w:eastAsiaTheme="minorEastAsia"/>
                      <w:color w:val="000000"/>
                      <w:kern w:val="0"/>
                      <w:szCs w:val="21"/>
                      <w:lang w:bidi="ar"/>
                    </w:rPr>
                    <w:t>本项目建设遵守环境保护法 律、法规和强制性标准，采取有效措施保护环境。</w:t>
                  </w:r>
                </w:p>
              </w:tc>
              <w:tc>
                <w:tcPr>
                  <w:tcW w:w="427" w:type="dxa"/>
                  <w:tcBorders>
                    <w:tl2br w:val="nil"/>
                    <w:tr2bl w:val="nil"/>
                  </w:tcBorders>
                  <w:vAlign w:val="center"/>
                </w:tcPr>
                <w:p w14:paraId="53A6B23B">
                  <w:pPr>
                    <w:widowControl/>
                    <w:jc w:val="center"/>
                    <w:rPr>
                      <w:rFonts w:eastAsiaTheme="minorEastAsia"/>
                      <w:color w:val="000000"/>
                      <w:kern w:val="0"/>
                      <w:szCs w:val="21"/>
                      <w:lang w:bidi="ar"/>
                    </w:rPr>
                  </w:pPr>
                  <w:r>
                    <w:rPr>
                      <w:rFonts w:eastAsiaTheme="minorEastAsia"/>
                      <w:color w:val="000000"/>
                      <w:kern w:val="0"/>
                      <w:szCs w:val="21"/>
                      <w:lang w:bidi="ar"/>
                    </w:rPr>
                    <w:t>符合</w:t>
                  </w:r>
                </w:p>
              </w:tc>
            </w:tr>
            <w:tr w14:paraId="4E64509A">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98" w:type="dxa"/>
                  <w:tcBorders>
                    <w:tl2br w:val="nil"/>
                    <w:tr2bl w:val="nil"/>
                  </w:tcBorders>
                  <w:vAlign w:val="center"/>
                </w:tcPr>
                <w:p w14:paraId="39F7422B">
                  <w:pPr>
                    <w:widowControl/>
                    <w:jc w:val="center"/>
                    <w:rPr>
                      <w:rFonts w:eastAsiaTheme="minorEastAsia"/>
                      <w:color w:val="000000"/>
                      <w:kern w:val="0"/>
                      <w:szCs w:val="21"/>
                      <w:lang w:bidi="ar"/>
                    </w:rPr>
                  </w:pPr>
                  <w:r>
                    <w:rPr>
                      <w:rFonts w:eastAsiaTheme="minorEastAsia"/>
                      <w:color w:val="000000"/>
                      <w:kern w:val="0"/>
                      <w:szCs w:val="21"/>
                      <w:lang w:bidi="ar"/>
                    </w:rPr>
                    <w:t>8</w:t>
                  </w:r>
                </w:p>
              </w:tc>
              <w:tc>
                <w:tcPr>
                  <w:tcW w:w="4173" w:type="dxa"/>
                  <w:tcBorders>
                    <w:tl2br w:val="nil"/>
                    <w:tr2bl w:val="nil"/>
                  </w:tcBorders>
                  <w:vAlign w:val="center"/>
                </w:tcPr>
                <w:p w14:paraId="5DB23D37">
                  <w:pPr>
                    <w:widowControl/>
                    <w:jc w:val="center"/>
                    <w:rPr>
                      <w:rFonts w:eastAsiaTheme="minorEastAsia"/>
                      <w:color w:val="000000"/>
                      <w:kern w:val="0"/>
                      <w:szCs w:val="21"/>
                      <w:lang w:bidi="ar"/>
                    </w:rPr>
                  </w:pPr>
                  <w:r>
                    <w:rPr>
                      <w:rFonts w:eastAsiaTheme="minorEastAsia"/>
                      <w:color w:val="000000"/>
                      <w:kern w:val="0"/>
                      <w:szCs w:val="21"/>
                      <w:lang w:bidi="ar"/>
                    </w:rPr>
                    <w:t>第十五条 禁止任何单位或者个人利用报废 机动车“五大总成”和其他零部件拼装机动  车，禁止拼装的机动车交易。</w:t>
                  </w:r>
                </w:p>
              </w:tc>
              <w:tc>
                <w:tcPr>
                  <w:tcW w:w="2427" w:type="dxa"/>
                  <w:tcBorders>
                    <w:tl2br w:val="nil"/>
                    <w:tr2bl w:val="nil"/>
                  </w:tcBorders>
                  <w:vAlign w:val="center"/>
                </w:tcPr>
                <w:p w14:paraId="19E35FC4">
                  <w:pPr>
                    <w:widowControl/>
                    <w:jc w:val="center"/>
                    <w:rPr>
                      <w:rFonts w:eastAsiaTheme="minorEastAsia"/>
                      <w:color w:val="000000"/>
                      <w:kern w:val="0"/>
                      <w:szCs w:val="21"/>
                      <w:lang w:bidi="ar"/>
                    </w:rPr>
                  </w:pPr>
                  <w:r>
                    <w:rPr>
                      <w:rFonts w:eastAsiaTheme="minorEastAsia"/>
                      <w:color w:val="000000"/>
                      <w:kern w:val="0"/>
                      <w:szCs w:val="21"/>
                      <w:lang w:bidi="ar"/>
                    </w:rPr>
                    <w:t>本项目拆解的五大总成交给其他单位利用，不会用作拼装机动车</w:t>
                  </w:r>
                </w:p>
              </w:tc>
              <w:tc>
                <w:tcPr>
                  <w:tcW w:w="427" w:type="dxa"/>
                  <w:tcBorders>
                    <w:tl2br w:val="nil"/>
                    <w:tr2bl w:val="nil"/>
                  </w:tcBorders>
                  <w:vAlign w:val="center"/>
                </w:tcPr>
                <w:p w14:paraId="42DDB48D">
                  <w:pPr>
                    <w:widowControl/>
                    <w:jc w:val="center"/>
                    <w:rPr>
                      <w:rFonts w:eastAsiaTheme="minorEastAsia"/>
                      <w:color w:val="000000"/>
                      <w:kern w:val="0"/>
                      <w:szCs w:val="21"/>
                      <w:lang w:bidi="ar"/>
                    </w:rPr>
                  </w:pPr>
                  <w:r>
                    <w:rPr>
                      <w:rFonts w:eastAsiaTheme="minorEastAsia"/>
                      <w:color w:val="000000"/>
                      <w:kern w:val="0"/>
                      <w:szCs w:val="21"/>
                      <w:lang w:bidi="ar"/>
                    </w:rPr>
                    <w:t>符合</w:t>
                  </w:r>
                </w:p>
              </w:tc>
            </w:tr>
          </w:tbl>
          <w:p w14:paraId="7974F371">
            <w:pPr>
              <w:pStyle w:val="18"/>
              <w:tabs>
                <w:tab w:val="left" w:pos="929"/>
              </w:tabs>
              <w:spacing w:line="240" w:lineRule="auto"/>
              <w:ind w:left="0" w:leftChars="0"/>
              <w:jc w:val="center"/>
              <w:rPr>
                <w:rFonts w:hint="eastAsia" w:ascii="宋体" w:hAnsi="宋体"/>
                <w:b/>
                <w:bCs/>
                <w:sz w:val="24"/>
              </w:rPr>
            </w:pPr>
            <w:r>
              <w:rPr>
                <w:rFonts w:hint="eastAsia" w:ascii="宋体" w:hAnsi="宋体"/>
                <w:b/>
                <w:bCs/>
                <w:sz w:val="24"/>
              </w:rPr>
              <w:t>11、本项目与《汽车产品回收利用技术政策》（国家发展和改革委科学技术 部国家环境保护总局公告 2006 年第9 号）符合性分析</w:t>
            </w:r>
          </w:p>
          <w:p w14:paraId="16AC2B8B">
            <w:pPr>
              <w:pStyle w:val="18"/>
              <w:tabs>
                <w:tab w:val="left" w:pos="929"/>
              </w:tabs>
              <w:spacing w:line="240" w:lineRule="auto"/>
              <w:ind w:left="0" w:leftChars="0"/>
              <w:jc w:val="center"/>
            </w:pPr>
            <w:r>
              <w:rPr>
                <w:b/>
                <w:bCs/>
                <w:spacing w:val="6"/>
              </w:rPr>
              <w:t>表</w:t>
            </w:r>
            <w:r>
              <w:rPr>
                <w:rFonts w:eastAsia="Times New Roman"/>
                <w:b/>
                <w:bCs/>
                <w:spacing w:val="6"/>
              </w:rPr>
              <w:t>1</w:t>
            </w:r>
            <w:r>
              <w:rPr>
                <w:rFonts w:hint="eastAsia"/>
                <w:b/>
                <w:bCs/>
                <w:spacing w:val="6"/>
              </w:rPr>
              <w:t>7</w:t>
            </w:r>
            <w:r>
              <w:rPr>
                <w:rFonts w:eastAsia="Times New Roman"/>
                <w:b/>
                <w:bCs/>
                <w:spacing w:val="6"/>
              </w:rPr>
              <w:t xml:space="preserve">  与《汽车产品回收利用技术政策》（国家发展和改革委科学技术部国家环境保护总局公告 2006 年第9 号）符合性分析</w:t>
            </w:r>
          </w:p>
          <w:tbl>
            <w:tblPr>
              <w:tblStyle w:val="35"/>
              <w:tblW w:w="0" w:type="auto"/>
              <w:jc w:val="center"/>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498"/>
              <w:gridCol w:w="4173"/>
              <w:gridCol w:w="2427"/>
              <w:gridCol w:w="427"/>
            </w:tblGrid>
            <w:tr w14:paraId="42B36B6E">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07" w:hRule="atLeast"/>
                <w:jc w:val="center"/>
              </w:trPr>
              <w:tc>
                <w:tcPr>
                  <w:tcW w:w="498" w:type="dxa"/>
                  <w:tcBorders>
                    <w:tl2br w:val="nil"/>
                    <w:tr2bl w:val="nil"/>
                  </w:tcBorders>
                  <w:vAlign w:val="center"/>
                </w:tcPr>
                <w:p w14:paraId="660F1FC7">
                  <w:pPr>
                    <w:widowControl/>
                    <w:jc w:val="center"/>
                    <w:rPr>
                      <w:rFonts w:eastAsiaTheme="minorEastAsia"/>
                      <w:b/>
                      <w:bCs/>
                      <w:color w:val="000000"/>
                      <w:kern w:val="0"/>
                      <w:szCs w:val="21"/>
                      <w:lang w:bidi="ar"/>
                    </w:rPr>
                  </w:pPr>
                  <w:r>
                    <w:rPr>
                      <w:rFonts w:hint="eastAsia" w:eastAsiaTheme="minorEastAsia"/>
                      <w:b/>
                      <w:bCs/>
                      <w:color w:val="000000"/>
                      <w:kern w:val="0"/>
                      <w:szCs w:val="21"/>
                      <w:lang w:bidi="ar"/>
                    </w:rPr>
                    <w:t>序号</w:t>
                  </w:r>
                </w:p>
              </w:tc>
              <w:tc>
                <w:tcPr>
                  <w:tcW w:w="4173" w:type="dxa"/>
                  <w:tcBorders>
                    <w:tl2br w:val="nil"/>
                    <w:tr2bl w:val="nil"/>
                  </w:tcBorders>
                  <w:vAlign w:val="center"/>
                </w:tcPr>
                <w:p w14:paraId="6D42FC8B">
                  <w:pPr>
                    <w:widowControl/>
                    <w:jc w:val="center"/>
                    <w:rPr>
                      <w:rFonts w:eastAsiaTheme="minorEastAsia"/>
                      <w:b/>
                      <w:bCs/>
                      <w:color w:val="000000"/>
                      <w:kern w:val="0"/>
                      <w:szCs w:val="21"/>
                      <w:lang w:bidi="ar"/>
                    </w:rPr>
                  </w:pPr>
                  <w:r>
                    <w:rPr>
                      <w:rFonts w:eastAsiaTheme="minorEastAsia"/>
                      <w:b/>
                      <w:bCs/>
                      <w:color w:val="000000"/>
                      <w:kern w:val="0"/>
                      <w:szCs w:val="21"/>
                      <w:lang w:bidi="ar"/>
                    </w:rPr>
                    <w:t>规范要求</w:t>
                  </w:r>
                </w:p>
              </w:tc>
              <w:tc>
                <w:tcPr>
                  <w:tcW w:w="2427" w:type="dxa"/>
                  <w:tcBorders>
                    <w:tl2br w:val="nil"/>
                    <w:tr2bl w:val="nil"/>
                  </w:tcBorders>
                  <w:vAlign w:val="center"/>
                </w:tcPr>
                <w:p w14:paraId="3DDF45E0">
                  <w:pPr>
                    <w:widowControl/>
                    <w:jc w:val="center"/>
                    <w:rPr>
                      <w:rFonts w:eastAsiaTheme="minorEastAsia"/>
                      <w:b/>
                      <w:bCs/>
                      <w:color w:val="000000"/>
                      <w:kern w:val="0"/>
                      <w:szCs w:val="21"/>
                      <w:lang w:bidi="ar"/>
                    </w:rPr>
                  </w:pPr>
                  <w:r>
                    <w:rPr>
                      <w:rFonts w:eastAsiaTheme="minorEastAsia"/>
                      <w:b/>
                      <w:bCs/>
                      <w:color w:val="000000"/>
                      <w:kern w:val="0"/>
                      <w:szCs w:val="21"/>
                      <w:lang w:bidi="ar"/>
                    </w:rPr>
                    <w:t>项目实际情况</w:t>
                  </w:r>
                </w:p>
              </w:tc>
              <w:tc>
                <w:tcPr>
                  <w:tcW w:w="427" w:type="dxa"/>
                  <w:tcBorders>
                    <w:tl2br w:val="nil"/>
                    <w:tr2bl w:val="nil"/>
                  </w:tcBorders>
                  <w:vAlign w:val="center"/>
                </w:tcPr>
                <w:p w14:paraId="39887313">
                  <w:pPr>
                    <w:widowControl/>
                    <w:jc w:val="center"/>
                    <w:rPr>
                      <w:rFonts w:eastAsiaTheme="minorEastAsia"/>
                      <w:b/>
                      <w:bCs/>
                      <w:color w:val="000000"/>
                      <w:kern w:val="0"/>
                      <w:szCs w:val="21"/>
                      <w:lang w:bidi="ar"/>
                    </w:rPr>
                  </w:pPr>
                  <w:r>
                    <w:rPr>
                      <w:rFonts w:eastAsiaTheme="minorEastAsia"/>
                      <w:b/>
                      <w:bCs/>
                      <w:color w:val="000000"/>
                      <w:kern w:val="0"/>
                      <w:szCs w:val="21"/>
                      <w:lang w:bidi="ar"/>
                    </w:rPr>
                    <w:t>符合性</w:t>
                  </w:r>
                </w:p>
              </w:tc>
            </w:tr>
            <w:tr w14:paraId="4052FA6D">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98" w:type="dxa"/>
                  <w:tcBorders>
                    <w:tl2br w:val="nil"/>
                    <w:tr2bl w:val="nil"/>
                  </w:tcBorders>
                  <w:vAlign w:val="center"/>
                </w:tcPr>
                <w:p w14:paraId="782D3865">
                  <w:pPr>
                    <w:widowControl/>
                    <w:jc w:val="center"/>
                    <w:rPr>
                      <w:rFonts w:eastAsiaTheme="minorEastAsia"/>
                      <w:color w:val="000000"/>
                      <w:kern w:val="0"/>
                      <w:szCs w:val="21"/>
                      <w:lang w:bidi="ar"/>
                    </w:rPr>
                  </w:pPr>
                  <w:r>
                    <w:rPr>
                      <w:rFonts w:eastAsiaTheme="minorEastAsia"/>
                      <w:color w:val="000000"/>
                      <w:kern w:val="0"/>
                      <w:szCs w:val="21"/>
                      <w:lang w:bidi="ar"/>
                    </w:rPr>
                    <w:t>1</w:t>
                  </w:r>
                </w:p>
              </w:tc>
              <w:tc>
                <w:tcPr>
                  <w:tcW w:w="4173" w:type="dxa"/>
                  <w:tcBorders>
                    <w:tl2br w:val="nil"/>
                    <w:tr2bl w:val="nil"/>
                  </w:tcBorders>
                  <w:vAlign w:val="center"/>
                </w:tcPr>
                <w:p w14:paraId="79D967EF">
                  <w:pPr>
                    <w:widowControl/>
                    <w:jc w:val="center"/>
                    <w:rPr>
                      <w:rFonts w:eastAsiaTheme="minorEastAsia"/>
                      <w:color w:val="000000"/>
                      <w:kern w:val="0"/>
                      <w:szCs w:val="21"/>
                      <w:lang w:bidi="ar"/>
                    </w:rPr>
                  </w:pPr>
                  <w:r>
                    <w:rPr>
                      <w:rFonts w:eastAsiaTheme="minorEastAsia"/>
                      <w:color w:val="000000"/>
                      <w:kern w:val="0"/>
                      <w:szCs w:val="21"/>
                      <w:lang w:bidi="ar"/>
                    </w:rPr>
                    <w:t>第二十条拆卸及报废零部件，要分类收集存放，妥善保管，在政策允许的前提下，鼓励合格的拆卸零部件重新进入流通，作为维修零部件装车使用；对报废汽车零部件及维修更换的旧零部件，鼓励有技术、设备、检测条件的企业进行再制造，作为维修备件用于汽车修理；对已不具备原设计性能，又无再制造价值的拆解及报废零部件，应分别交给相应的材料再生处理企业进行再生利用，不应以倾倒、抛洒、填埋等危害环境的方式处置。</w:t>
                  </w:r>
                </w:p>
              </w:tc>
              <w:tc>
                <w:tcPr>
                  <w:tcW w:w="2427" w:type="dxa"/>
                  <w:tcBorders>
                    <w:tl2br w:val="nil"/>
                    <w:tr2bl w:val="nil"/>
                  </w:tcBorders>
                  <w:vAlign w:val="center"/>
                </w:tcPr>
                <w:p w14:paraId="247535BC">
                  <w:pPr>
                    <w:widowControl/>
                    <w:jc w:val="center"/>
                    <w:rPr>
                      <w:rFonts w:eastAsiaTheme="minorEastAsia"/>
                      <w:color w:val="000000"/>
                      <w:kern w:val="0"/>
                      <w:szCs w:val="21"/>
                      <w:lang w:bidi="ar"/>
                    </w:rPr>
                  </w:pPr>
                  <w:r>
                    <w:rPr>
                      <w:rFonts w:eastAsiaTheme="minorEastAsia"/>
                      <w:color w:val="000000"/>
                      <w:kern w:val="0"/>
                      <w:szCs w:val="21"/>
                      <w:lang w:bidi="ar"/>
                    </w:rPr>
                    <w:t>本项目拆卸及报废零部件分类收集存放，可利用零部件进行外售。</w:t>
                  </w:r>
                </w:p>
              </w:tc>
              <w:tc>
                <w:tcPr>
                  <w:tcW w:w="427" w:type="dxa"/>
                  <w:tcBorders>
                    <w:tl2br w:val="nil"/>
                    <w:tr2bl w:val="nil"/>
                  </w:tcBorders>
                  <w:vAlign w:val="center"/>
                </w:tcPr>
                <w:p w14:paraId="3F9B3527">
                  <w:pPr>
                    <w:widowControl/>
                    <w:jc w:val="center"/>
                    <w:rPr>
                      <w:rFonts w:eastAsiaTheme="minorEastAsia"/>
                      <w:color w:val="000000"/>
                      <w:kern w:val="0"/>
                      <w:szCs w:val="21"/>
                      <w:lang w:bidi="ar"/>
                    </w:rPr>
                  </w:pPr>
                  <w:r>
                    <w:rPr>
                      <w:rFonts w:eastAsiaTheme="minorEastAsia"/>
                      <w:color w:val="000000"/>
                      <w:kern w:val="0"/>
                      <w:szCs w:val="21"/>
                      <w:lang w:bidi="ar"/>
                    </w:rPr>
                    <w:t>符合</w:t>
                  </w:r>
                </w:p>
              </w:tc>
            </w:tr>
            <w:tr w14:paraId="01844599">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98" w:type="dxa"/>
                  <w:tcBorders>
                    <w:tl2br w:val="nil"/>
                    <w:tr2bl w:val="nil"/>
                  </w:tcBorders>
                  <w:vAlign w:val="center"/>
                </w:tcPr>
                <w:p w14:paraId="4A5DF898">
                  <w:pPr>
                    <w:widowControl/>
                    <w:jc w:val="center"/>
                    <w:rPr>
                      <w:rFonts w:eastAsiaTheme="minorEastAsia"/>
                      <w:color w:val="000000"/>
                      <w:kern w:val="0"/>
                      <w:szCs w:val="21"/>
                      <w:lang w:bidi="ar"/>
                    </w:rPr>
                  </w:pPr>
                  <w:r>
                    <w:rPr>
                      <w:rFonts w:eastAsiaTheme="minorEastAsia"/>
                      <w:color w:val="000000"/>
                      <w:kern w:val="0"/>
                      <w:szCs w:val="21"/>
                      <w:lang w:bidi="ar"/>
                    </w:rPr>
                    <w:t>2</w:t>
                  </w:r>
                </w:p>
              </w:tc>
              <w:tc>
                <w:tcPr>
                  <w:tcW w:w="4173" w:type="dxa"/>
                  <w:tcBorders>
                    <w:tl2br w:val="nil"/>
                    <w:tr2bl w:val="nil"/>
                  </w:tcBorders>
                  <w:vAlign w:val="center"/>
                </w:tcPr>
                <w:p w14:paraId="1216C69F">
                  <w:pPr>
                    <w:widowControl/>
                    <w:jc w:val="center"/>
                    <w:rPr>
                      <w:rFonts w:eastAsiaTheme="minorEastAsia"/>
                      <w:color w:val="000000"/>
                      <w:kern w:val="0"/>
                      <w:szCs w:val="21"/>
                      <w:lang w:bidi="ar"/>
                    </w:rPr>
                  </w:pPr>
                  <w:r>
                    <w:rPr>
                      <w:rFonts w:eastAsiaTheme="minorEastAsia"/>
                      <w:color w:val="000000"/>
                      <w:kern w:val="0"/>
                      <w:szCs w:val="21"/>
                      <w:lang w:bidi="ar"/>
                    </w:rPr>
                    <w:t>第二十一条汽车保养、维修过程中产生的蓄电池、催化转化器、废油、废液、废橡胶（含轮胎）及塑料件等要按规定分类回收、保管和运输，交给相关企业进行加工处理、改变用途使用，或作为能量再生使用。</w:t>
                  </w:r>
                </w:p>
              </w:tc>
              <w:tc>
                <w:tcPr>
                  <w:tcW w:w="2427" w:type="dxa"/>
                  <w:tcBorders>
                    <w:tl2br w:val="nil"/>
                    <w:tr2bl w:val="nil"/>
                  </w:tcBorders>
                  <w:vAlign w:val="center"/>
                </w:tcPr>
                <w:p w14:paraId="0ECE8EB7">
                  <w:pPr>
                    <w:widowControl/>
                    <w:jc w:val="center"/>
                    <w:rPr>
                      <w:rFonts w:eastAsiaTheme="minorEastAsia"/>
                      <w:color w:val="000000"/>
                      <w:kern w:val="0"/>
                      <w:szCs w:val="21"/>
                      <w:lang w:bidi="ar"/>
                    </w:rPr>
                  </w:pPr>
                  <w:r>
                    <w:rPr>
                      <w:rFonts w:eastAsiaTheme="minorEastAsia"/>
                      <w:color w:val="000000"/>
                      <w:kern w:val="0"/>
                      <w:szCs w:val="21"/>
                      <w:lang w:bidi="ar"/>
                    </w:rPr>
                    <w:t>本项目拆解过程中产生 蓄电池</w:t>
                  </w:r>
                  <w:r>
                    <w:rPr>
                      <w:rFonts w:hint="eastAsia" w:eastAsiaTheme="minorEastAsia"/>
                      <w:color w:val="000000"/>
                      <w:kern w:val="0"/>
                      <w:szCs w:val="21"/>
                      <w:lang w:bidi="ar"/>
                    </w:rPr>
                    <w:t>、</w:t>
                  </w:r>
                  <w:r>
                    <w:rPr>
                      <w:rFonts w:hint="eastAsia" w:eastAsiaTheme="minorEastAsia"/>
                      <w:color w:val="000000"/>
                      <w:kern w:val="0"/>
                      <w:szCs w:val="21"/>
                      <w:lang w:eastAsia="zh-CN" w:bidi="ar"/>
                    </w:rPr>
                    <w:t>动力电池</w:t>
                  </w:r>
                  <w:r>
                    <w:rPr>
                      <w:rFonts w:eastAsiaTheme="minorEastAsia"/>
                      <w:color w:val="000000"/>
                      <w:kern w:val="0"/>
                      <w:szCs w:val="21"/>
                      <w:lang w:bidi="ar"/>
                    </w:rPr>
                    <w:t>、催化转化器、废油、废液、废橡胶（含轮胎）及塑料件等要按规定分类回收、保管和运输，交给相关企业进行加工处理、改变用途使用，或作为能量再生使用。</w:t>
                  </w:r>
                </w:p>
              </w:tc>
              <w:tc>
                <w:tcPr>
                  <w:tcW w:w="427" w:type="dxa"/>
                  <w:tcBorders>
                    <w:tl2br w:val="nil"/>
                    <w:tr2bl w:val="nil"/>
                  </w:tcBorders>
                  <w:vAlign w:val="center"/>
                </w:tcPr>
                <w:p w14:paraId="2545CADD">
                  <w:pPr>
                    <w:widowControl/>
                    <w:jc w:val="center"/>
                    <w:rPr>
                      <w:rFonts w:eastAsiaTheme="minorEastAsia"/>
                      <w:color w:val="000000"/>
                      <w:kern w:val="0"/>
                      <w:szCs w:val="21"/>
                      <w:lang w:bidi="ar"/>
                    </w:rPr>
                  </w:pPr>
                  <w:r>
                    <w:rPr>
                      <w:rFonts w:eastAsiaTheme="minorEastAsia"/>
                      <w:color w:val="000000"/>
                      <w:kern w:val="0"/>
                      <w:szCs w:val="21"/>
                      <w:lang w:bidi="ar"/>
                    </w:rPr>
                    <w:t>符合</w:t>
                  </w:r>
                </w:p>
              </w:tc>
            </w:tr>
            <w:tr w14:paraId="6A001A12">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98" w:type="dxa"/>
                  <w:tcBorders>
                    <w:tl2br w:val="nil"/>
                    <w:tr2bl w:val="nil"/>
                  </w:tcBorders>
                  <w:vAlign w:val="center"/>
                </w:tcPr>
                <w:p w14:paraId="4A6EB2BB">
                  <w:pPr>
                    <w:widowControl/>
                    <w:jc w:val="center"/>
                    <w:rPr>
                      <w:rFonts w:eastAsiaTheme="minorEastAsia"/>
                      <w:color w:val="000000"/>
                      <w:kern w:val="0"/>
                      <w:szCs w:val="21"/>
                      <w:lang w:bidi="ar"/>
                    </w:rPr>
                  </w:pPr>
                  <w:r>
                    <w:rPr>
                      <w:rFonts w:eastAsiaTheme="minorEastAsia"/>
                      <w:color w:val="000000"/>
                      <w:kern w:val="0"/>
                      <w:szCs w:val="21"/>
                      <w:lang w:bidi="ar"/>
                    </w:rPr>
                    <w:t>3</w:t>
                  </w:r>
                </w:p>
              </w:tc>
              <w:tc>
                <w:tcPr>
                  <w:tcW w:w="4173" w:type="dxa"/>
                  <w:tcBorders>
                    <w:tl2br w:val="nil"/>
                    <w:tr2bl w:val="nil"/>
                  </w:tcBorders>
                  <w:vAlign w:val="center"/>
                </w:tcPr>
                <w:p w14:paraId="13CB99F6">
                  <w:pPr>
                    <w:widowControl/>
                    <w:jc w:val="center"/>
                    <w:rPr>
                      <w:rFonts w:eastAsiaTheme="minorEastAsia"/>
                      <w:color w:val="000000"/>
                      <w:kern w:val="0"/>
                      <w:szCs w:val="21"/>
                      <w:lang w:bidi="ar"/>
                    </w:rPr>
                  </w:pPr>
                </w:p>
                <w:p w14:paraId="04DE3223">
                  <w:pPr>
                    <w:widowControl/>
                    <w:jc w:val="center"/>
                    <w:rPr>
                      <w:rFonts w:eastAsiaTheme="minorEastAsia"/>
                      <w:color w:val="000000"/>
                      <w:kern w:val="0"/>
                      <w:szCs w:val="21"/>
                      <w:lang w:bidi="ar"/>
                    </w:rPr>
                  </w:pPr>
                  <w:r>
                    <w:rPr>
                      <w:rFonts w:eastAsiaTheme="minorEastAsia"/>
                      <w:color w:val="000000"/>
                      <w:kern w:val="0"/>
                      <w:szCs w:val="21"/>
                      <w:lang w:bidi="ar"/>
                    </w:rPr>
                    <w:t>第二十二条对含有有毒物质或对环境及人身有害的物质，如蓄电池、安全气囊、催化剂、制冷剂等，必须交由有资质的企业处理。危险废物的收集、储存、运输、处理应符合《危险废物贮存污染控制标准》、《危险废物填埋污染控制标准》、《危险废物焚烧污染控制标准》等安全和环保要求。</w:t>
                  </w:r>
                </w:p>
              </w:tc>
              <w:tc>
                <w:tcPr>
                  <w:tcW w:w="2427" w:type="dxa"/>
                  <w:tcBorders>
                    <w:tl2br w:val="nil"/>
                    <w:tr2bl w:val="nil"/>
                  </w:tcBorders>
                  <w:vAlign w:val="center"/>
                </w:tcPr>
                <w:p w14:paraId="5B360BEE">
                  <w:pPr>
                    <w:widowControl/>
                    <w:jc w:val="center"/>
                    <w:rPr>
                      <w:rFonts w:eastAsiaTheme="minorEastAsia"/>
                      <w:color w:val="000000"/>
                      <w:kern w:val="0"/>
                      <w:szCs w:val="21"/>
                      <w:lang w:bidi="ar"/>
                    </w:rPr>
                  </w:pPr>
                  <w:r>
                    <w:rPr>
                      <w:rFonts w:eastAsiaTheme="minorEastAsia"/>
                      <w:color w:val="000000"/>
                      <w:kern w:val="0"/>
                      <w:szCs w:val="21"/>
                      <w:lang w:bidi="ar"/>
                    </w:rPr>
                    <w:t>本项目对蓄电池、催化剂、制冷剂等，交由有资质的企业处理。危险废物的收集、储存、运输、处理符合《危险废物贮存污染控制标准》、《危险废物填埋污染控制标准》、《危险废物焚烧污染控制标准》等安全和环保要求。</w:t>
                  </w:r>
                </w:p>
              </w:tc>
              <w:tc>
                <w:tcPr>
                  <w:tcW w:w="427" w:type="dxa"/>
                  <w:tcBorders>
                    <w:tl2br w:val="nil"/>
                    <w:tr2bl w:val="nil"/>
                  </w:tcBorders>
                  <w:vAlign w:val="center"/>
                </w:tcPr>
                <w:p w14:paraId="43749189">
                  <w:pPr>
                    <w:widowControl/>
                    <w:jc w:val="center"/>
                    <w:rPr>
                      <w:rFonts w:eastAsiaTheme="minorEastAsia"/>
                      <w:color w:val="000000"/>
                      <w:kern w:val="0"/>
                      <w:szCs w:val="21"/>
                      <w:lang w:bidi="ar"/>
                    </w:rPr>
                  </w:pPr>
                  <w:r>
                    <w:rPr>
                      <w:rFonts w:eastAsiaTheme="minorEastAsia"/>
                      <w:color w:val="000000"/>
                      <w:kern w:val="0"/>
                      <w:szCs w:val="21"/>
                      <w:lang w:bidi="ar"/>
                    </w:rPr>
                    <w:t>符合</w:t>
                  </w:r>
                </w:p>
              </w:tc>
            </w:tr>
            <w:tr w14:paraId="3A1E2DA4">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98" w:type="dxa"/>
                  <w:tcBorders>
                    <w:tl2br w:val="nil"/>
                    <w:tr2bl w:val="nil"/>
                  </w:tcBorders>
                  <w:vAlign w:val="center"/>
                </w:tcPr>
                <w:p w14:paraId="20F5148F">
                  <w:pPr>
                    <w:widowControl/>
                    <w:jc w:val="center"/>
                    <w:rPr>
                      <w:rFonts w:eastAsiaTheme="minorEastAsia"/>
                      <w:color w:val="000000"/>
                      <w:kern w:val="0"/>
                      <w:szCs w:val="21"/>
                      <w:lang w:bidi="ar"/>
                    </w:rPr>
                  </w:pPr>
                  <w:r>
                    <w:rPr>
                      <w:rFonts w:eastAsiaTheme="minorEastAsia"/>
                      <w:color w:val="000000"/>
                      <w:kern w:val="0"/>
                      <w:szCs w:val="21"/>
                      <w:lang w:bidi="ar"/>
                    </w:rPr>
                    <w:t>4</w:t>
                  </w:r>
                </w:p>
              </w:tc>
              <w:tc>
                <w:tcPr>
                  <w:tcW w:w="4173" w:type="dxa"/>
                  <w:tcBorders>
                    <w:tl2br w:val="nil"/>
                    <w:tr2bl w:val="nil"/>
                  </w:tcBorders>
                  <w:vAlign w:val="center"/>
                </w:tcPr>
                <w:p w14:paraId="75227AA0">
                  <w:pPr>
                    <w:widowControl/>
                    <w:jc w:val="center"/>
                    <w:rPr>
                      <w:rFonts w:eastAsiaTheme="minorEastAsia"/>
                      <w:color w:val="000000"/>
                      <w:kern w:val="0"/>
                      <w:szCs w:val="21"/>
                      <w:lang w:bidi="ar"/>
                    </w:rPr>
                  </w:pPr>
                  <w:r>
                    <w:rPr>
                      <w:rFonts w:eastAsiaTheme="minorEastAsia"/>
                      <w:color w:val="000000"/>
                      <w:kern w:val="0"/>
                      <w:szCs w:val="21"/>
                      <w:lang w:bidi="ar"/>
                    </w:rPr>
                    <w:t>第二十八条回收拆解及再生利用过程中，</w:t>
                  </w:r>
                </w:p>
                <w:p w14:paraId="46C753AC">
                  <w:pPr>
                    <w:widowControl/>
                    <w:jc w:val="center"/>
                    <w:rPr>
                      <w:rFonts w:eastAsiaTheme="minorEastAsia"/>
                      <w:color w:val="000000"/>
                      <w:kern w:val="0"/>
                      <w:szCs w:val="21"/>
                      <w:lang w:bidi="ar"/>
                    </w:rPr>
                  </w:pPr>
                  <w:r>
                    <w:rPr>
                      <w:rFonts w:eastAsiaTheme="minorEastAsia"/>
                      <w:color w:val="000000"/>
                      <w:kern w:val="0"/>
                      <w:szCs w:val="21"/>
                      <w:lang w:bidi="ar"/>
                    </w:rPr>
                    <w:t>要本着程序科学、作业环保、再生高效、</w:t>
                  </w:r>
                </w:p>
                <w:p w14:paraId="67E1B796">
                  <w:pPr>
                    <w:widowControl/>
                    <w:jc w:val="center"/>
                    <w:rPr>
                      <w:rFonts w:eastAsiaTheme="minorEastAsia"/>
                      <w:color w:val="000000"/>
                      <w:kern w:val="0"/>
                      <w:szCs w:val="21"/>
                      <w:lang w:bidi="ar"/>
                    </w:rPr>
                  </w:pPr>
                  <w:r>
                    <w:rPr>
                      <w:rFonts w:eastAsiaTheme="minorEastAsia"/>
                      <w:color w:val="000000"/>
                      <w:kern w:val="0"/>
                      <w:szCs w:val="21"/>
                      <w:lang w:bidi="ar"/>
                    </w:rPr>
                    <w:t>低耗的原则，提高再生质量，扩大再生范围，减少废弃物数量。相关企业要科学进行报废汽车的预处理、拆解、切割、破碎、非金属物处理（可证实的再循环和以后有可能用于能量再生的物质），提高报废汽车零部件及各种物质的再利用、循环利用和回收利用率。</w:t>
                  </w:r>
                </w:p>
              </w:tc>
              <w:tc>
                <w:tcPr>
                  <w:tcW w:w="2427" w:type="dxa"/>
                  <w:tcBorders>
                    <w:tl2br w:val="nil"/>
                    <w:tr2bl w:val="nil"/>
                  </w:tcBorders>
                  <w:vAlign w:val="center"/>
                </w:tcPr>
                <w:p w14:paraId="594CE7FB">
                  <w:pPr>
                    <w:widowControl/>
                    <w:jc w:val="center"/>
                    <w:rPr>
                      <w:rFonts w:eastAsiaTheme="minorEastAsia"/>
                      <w:color w:val="000000"/>
                      <w:kern w:val="0"/>
                      <w:szCs w:val="21"/>
                      <w:lang w:bidi="ar"/>
                    </w:rPr>
                  </w:pPr>
                  <w:r>
                    <w:rPr>
                      <w:rFonts w:eastAsiaTheme="minorEastAsia"/>
                      <w:color w:val="000000"/>
                      <w:kern w:val="0"/>
                      <w:szCs w:val="21"/>
                      <w:lang w:bidi="ar"/>
                    </w:rPr>
                    <w:t>本项目拆解下的可利用 零部件进行综合外售。</w:t>
                  </w:r>
                </w:p>
              </w:tc>
              <w:tc>
                <w:tcPr>
                  <w:tcW w:w="427" w:type="dxa"/>
                  <w:tcBorders>
                    <w:tl2br w:val="nil"/>
                    <w:tr2bl w:val="nil"/>
                  </w:tcBorders>
                  <w:vAlign w:val="center"/>
                </w:tcPr>
                <w:p w14:paraId="766C7700">
                  <w:pPr>
                    <w:widowControl/>
                    <w:jc w:val="center"/>
                    <w:rPr>
                      <w:rFonts w:eastAsiaTheme="minorEastAsia"/>
                      <w:color w:val="000000"/>
                      <w:kern w:val="0"/>
                      <w:szCs w:val="21"/>
                      <w:lang w:bidi="ar"/>
                    </w:rPr>
                  </w:pPr>
                  <w:r>
                    <w:rPr>
                      <w:rFonts w:eastAsiaTheme="minorEastAsia"/>
                      <w:color w:val="000000"/>
                      <w:kern w:val="0"/>
                      <w:szCs w:val="21"/>
                      <w:lang w:bidi="ar"/>
                    </w:rPr>
                    <w:t>符合</w:t>
                  </w:r>
                </w:p>
              </w:tc>
            </w:tr>
            <w:tr w14:paraId="2D1F6048">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98" w:type="dxa"/>
                  <w:tcBorders>
                    <w:tl2br w:val="nil"/>
                    <w:tr2bl w:val="nil"/>
                  </w:tcBorders>
                  <w:vAlign w:val="center"/>
                </w:tcPr>
                <w:p w14:paraId="32C9C31F">
                  <w:pPr>
                    <w:widowControl/>
                    <w:jc w:val="center"/>
                    <w:rPr>
                      <w:rFonts w:eastAsiaTheme="minorEastAsia"/>
                      <w:color w:val="000000"/>
                      <w:kern w:val="0"/>
                      <w:szCs w:val="21"/>
                      <w:lang w:bidi="ar"/>
                    </w:rPr>
                  </w:pPr>
                  <w:r>
                    <w:rPr>
                      <w:rFonts w:eastAsiaTheme="minorEastAsia"/>
                      <w:color w:val="000000"/>
                      <w:kern w:val="0"/>
                      <w:szCs w:val="21"/>
                      <w:lang w:bidi="ar"/>
                    </w:rPr>
                    <w:t>5</w:t>
                  </w:r>
                </w:p>
              </w:tc>
              <w:tc>
                <w:tcPr>
                  <w:tcW w:w="4173" w:type="dxa"/>
                  <w:tcBorders>
                    <w:tl2br w:val="nil"/>
                    <w:tr2bl w:val="nil"/>
                  </w:tcBorders>
                  <w:vAlign w:val="center"/>
                </w:tcPr>
                <w:p w14:paraId="014F4E3D">
                  <w:pPr>
                    <w:widowControl/>
                    <w:jc w:val="center"/>
                    <w:rPr>
                      <w:rFonts w:eastAsiaTheme="minorEastAsia"/>
                      <w:color w:val="000000"/>
                      <w:kern w:val="0"/>
                      <w:szCs w:val="21"/>
                      <w:lang w:bidi="ar"/>
                    </w:rPr>
                  </w:pPr>
                  <w:r>
                    <w:rPr>
                      <w:rFonts w:eastAsiaTheme="minorEastAsia"/>
                      <w:color w:val="000000"/>
                      <w:kern w:val="0"/>
                      <w:szCs w:val="21"/>
                      <w:lang w:bidi="ar"/>
                    </w:rPr>
                    <w:t>第二十九条回收拆解、材料再生及其他回收利用企业应不断提高技术与管理水平，与汽车产品生产企业协力实现我国汽车产品回收利用率分阶段目标，保证社会效益和经济效益。</w:t>
                  </w:r>
                </w:p>
              </w:tc>
              <w:tc>
                <w:tcPr>
                  <w:tcW w:w="2427" w:type="dxa"/>
                  <w:tcBorders>
                    <w:tl2br w:val="nil"/>
                    <w:tr2bl w:val="nil"/>
                  </w:tcBorders>
                  <w:vAlign w:val="center"/>
                </w:tcPr>
                <w:p w14:paraId="5A7922B2">
                  <w:pPr>
                    <w:widowControl/>
                    <w:jc w:val="center"/>
                    <w:rPr>
                      <w:rFonts w:eastAsiaTheme="minorEastAsia"/>
                      <w:color w:val="000000"/>
                      <w:kern w:val="0"/>
                      <w:szCs w:val="21"/>
                      <w:lang w:bidi="ar"/>
                    </w:rPr>
                  </w:pPr>
                  <w:r>
                    <w:rPr>
                      <w:rFonts w:eastAsiaTheme="minorEastAsia"/>
                      <w:color w:val="000000"/>
                      <w:kern w:val="0"/>
                      <w:szCs w:val="21"/>
                      <w:lang w:bidi="ar"/>
                    </w:rPr>
                    <w:t>本项目不断提高技术与管理水平，与汽车产品生产企业协力实现汽车产品回收利用率分阶段目标，保证社会效益和经济效益。</w:t>
                  </w:r>
                </w:p>
              </w:tc>
              <w:tc>
                <w:tcPr>
                  <w:tcW w:w="427" w:type="dxa"/>
                  <w:tcBorders>
                    <w:tl2br w:val="nil"/>
                    <w:tr2bl w:val="nil"/>
                  </w:tcBorders>
                  <w:vAlign w:val="center"/>
                </w:tcPr>
                <w:p w14:paraId="7434EAC4">
                  <w:pPr>
                    <w:widowControl/>
                    <w:jc w:val="center"/>
                    <w:rPr>
                      <w:rFonts w:eastAsiaTheme="minorEastAsia"/>
                      <w:color w:val="000000"/>
                      <w:kern w:val="0"/>
                      <w:szCs w:val="21"/>
                      <w:lang w:bidi="ar"/>
                    </w:rPr>
                  </w:pPr>
                  <w:r>
                    <w:rPr>
                      <w:rFonts w:eastAsiaTheme="minorEastAsia"/>
                      <w:color w:val="000000"/>
                      <w:kern w:val="0"/>
                      <w:szCs w:val="21"/>
                      <w:lang w:bidi="ar"/>
                    </w:rPr>
                    <w:t>符合</w:t>
                  </w:r>
                </w:p>
              </w:tc>
            </w:tr>
            <w:tr w14:paraId="0DA396B1">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98" w:type="dxa"/>
                  <w:tcBorders>
                    <w:tl2br w:val="nil"/>
                    <w:tr2bl w:val="nil"/>
                  </w:tcBorders>
                  <w:vAlign w:val="center"/>
                </w:tcPr>
                <w:p w14:paraId="27BD8665">
                  <w:pPr>
                    <w:widowControl/>
                    <w:jc w:val="center"/>
                    <w:rPr>
                      <w:rFonts w:eastAsiaTheme="minorEastAsia"/>
                      <w:color w:val="000000"/>
                      <w:kern w:val="0"/>
                      <w:szCs w:val="21"/>
                      <w:lang w:bidi="ar"/>
                    </w:rPr>
                  </w:pPr>
                  <w:r>
                    <w:rPr>
                      <w:rFonts w:eastAsiaTheme="minorEastAsia"/>
                      <w:color w:val="000000"/>
                      <w:kern w:val="0"/>
                      <w:szCs w:val="21"/>
                      <w:lang w:bidi="ar"/>
                    </w:rPr>
                    <w:t>6</w:t>
                  </w:r>
                </w:p>
              </w:tc>
              <w:tc>
                <w:tcPr>
                  <w:tcW w:w="4173" w:type="dxa"/>
                  <w:tcBorders>
                    <w:tl2br w:val="nil"/>
                    <w:tr2bl w:val="nil"/>
                  </w:tcBorders>
                  <w:vAlign w:val="center"/>
                </w:tcPr>
                <w:p w14:paraId="2CD99B2C">
                  <w:pPr>
                    <w:widowControl/>
                    <w:jc w:val="center"/>
                    <w:rPr>
                      <w:rFonts w:eastAsiaTheme="minorEastAsia"/>
                      <w:color w:val="000000"/>
                      <w:kern w:val="0"/>
                      <w:szCs w:val="21"/>
                      <w:lang w:bidi="ar"/>
                    </w:rPr>
                  </w:pPr>
                  <w:r>
                    <w:rPr>
                      <w:rFonts w:eastAsiaTheme="minorEastAsia"/>
                      <w:color w:val="000000"/>
                      <w:kern w:val="0"/>
                      <w:szCs w:val="21"/>
                      <w:lang w:bidi="ar"/>
                    </w:rPr>
                    <w:t>第三十条报废汽车回收拆解及再生利用企业要满足第三章对拆解零部件、废油液、贵金属材料、固体废物等的要求。同时，企业制定的操作规范应符合我国法律、法规、技术标准和法规等要求。</w:t>
                  </w:r>
                </w:p>
              </w:tc>
              <w:tc>
                <w:tcPr>
                  <w:tcW w:w="2427" w:type="dxa"/>
                  <w:tcBorders>
                    <w:tl2br w:val="nil"/>
                    <w:tr2bl w:val="nil"/>
                  </w:tcBorders>
                  <w:vAlign w:val="center"/>
                </w:tcPr>
                <w:p w14:paraId="3322AF97">
                  <w:pPr>
                    <w:widowControl/>
                    <w:jc w:val="center"/>
                    <w:rPr>
                      <w:rFonts w:eastAsiaTheme="minorEastAsia"/>
                      <w:color w:val="000000"/>
                      <w:kern w:val="0"/>
                      <w:szCs w:val="21"/>
                      <w:lang w:bidi="ar"/>
                    </w:rPr>
                  </w:pPr>
                  <w:r>
                    <w:rPr>
                      <w:rFonts w:eastAsiaTheme="minorEastAsia"/>
                      <w:color w:val="000000"/>
                      <w:kern w:val="0"/>
                      <w:szCs w:val="21"/>
                      <w:lang w:bidi="ar"/>
                    </w:rPr>
                    <w:t>本项目对拆解零部件、废油液、贵金属材料、固体废物等处理满足要求。同时，制定的操作规范符合我国法律、法规、技术标准和法规等要求。</w:t>
                  </w:r>
                </w:p>
              </w:tc>
              <w:tc>
                <w:tcPr>
                  <w:tcW w:w="427" w:type="dxa"/>
                  <w:tcBorders>
                    <w:tl2br w:val="nil"/>
                    <w:tr2bl w:val="nil"/>
                  </w:tcBorders>
                  <w:vAlign w:val="center"/>
                </w:tcPr>
                <w:p w14:paraId="54B70E11">
                  <w:pPr>
                    <w:widowControl/>
                    <w:jc w:val="center"/>
                    <w:rPr>
                      <w:rFonts w:eastAsiaTheme="minorEastAsia"/>
                      <w:color w:val="000000"/>
                      <w:kern w:val="0"/>
                      <w:szCs w:val="21"/>
                      <w:lang w:bidi="ar"/>
                    </w:rPr>
                  </w:pPr>
                  <w:r>
                    <w:rPr>
                      <w:rFonts w:eastAsiaTheme="minorEastAsia"/>
                      <w:color w:val="000000"/>
                      <w:kern w:val="0"/>
                      <w:szCs w:val="21"/>
                      <w:lang w:bidi="ar"/>
                    </w:rPr>
                    <w:t>符合</w:t>
                  </w:r>
                </w:p>
              </w:tc>
            </w:tr>
            <w:tr w14:paraId="09B5BF68">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98" w:type="dxa"/>
                  <w:tcBorders>
                    <w:tl2br w:val="nil"/>
                    <w:tr2bl w:val="nil"/>
                  </w:tcBorders>
                  <w:vAlign w:val="center"/>
                </w:tcPr>
                <w:p w14:paraId="57D8C915">
                  <w:pPr>
                    <w:widowControl/>
                    <w:jc w:val="center"/>
                    <w:rPr>
                      <w:rFonts w:eastAsiaTheme="minorEastAsia"/>
                      <w:color w:val="000000"/>
                      <w:kern w:val="0"/>
                      <w:szCs w:val="21"/>
                      <w:lang w:bidi="ar"/>
                    </w:rPr>
                  </w:pPr>
                  <w:r>
                    <w:rPr>
                      <w:rFonts w:eastAsiaTheme="minorEastAsia"/>
                      <w:color w:val="000000"/>
                      <w:kern w:val="0"/>
                      <w:szCs w:val="21"/>
                      <w:lang w:bidi="ar"/>
                    </w:rPr>
                    <w:t>7</w:t>
                  </w:r>
                </w:p>
              </w:tc>
              <w:tc>
                <w:tcPr>
                  <w:tcW w:w="4173" w:type="dxa"/>
                  <w:tcBorders>
                    <w:tl2br w:val="nil"/>
                    <w:tr2bl w:val="nil"/>
                  </w:tcBorders>
                  <w:vAlign w:val="center"/>
                </w:tcPr>
                <w:p w14:paraId="32A72117">
                  <w:pPr>
                    <w:widowControl/>
                    <w:jc w:val="center"/>
                    <w:rPr>
                      <w:rFonts w:eastAsiaTheme="minorEastAsia"/>
                      <w:color w:val="000000"/>
                      <w:kern w:val="0"/>
                      <w:szCs w:val="21"/>
                      <w:lang w:bidi="ar"/>
                    </w:rPr>
                  </w:pPr>
                  <w:r>
                    <w:rPr>
                      <w:rFonts w:eastAsiaTheme="minorEastAsia"/>
                      <w:color w:val="000000"/>
                      <w:kern w:val="0"/>
                      <w:szCs w:val="21"/>
                      <w:lang w:bidi="ar"/>
                    </w:rPr>
                    <w:t>第三十一条回收拆解企业应有必要的专业技术人员，具备与处理能力相适应的专门设备、场地等。 回收拆解及再生企业要通过结构调整、产业优化、技术改造等措施建立必要条件，增强节约与环保意识，完善处理设施，提高处理能力，逐步实现专业化、规模化作业。</w:t>
                  </w:r>
                </w:p>
              </w:tc>
              <w:tc>
                <w:tcPr>
                  <w:tcW w:w="2427" w:type="dxa"/>
                  <w:tcBorders>
                    <w:tl2br w:val="nil"/>
                    <w:tr2bl w:val="nil"/>
                  </w:tcBorders>
                  <w:vAlign w:val="center"/>
                </w:tcPr>
                <w:p w14:paraId="50AD4FDD">
                  <w:pPr>
                    <w:widowControl/>
                    <w:jc w:val="center"/>
                    <w:rPr>
                      <w:rFonts w:eastAsiaTheme="minorEastAsia"/>
                      <w:color w:val="000000"/>
                      <w:kern w:val="0"/>
                      <w:szCs w:val="21"/>
                      <w:lang w:bidi="ar"/>
                    </w:rPr>
                  </w:pPr>
                  <w:r>
                    <w:rPr>
                      <w:rFonts w:eastAsiaTheme="minorEastAsia"/>
                      <w:color w:val="000000"/>
                      <w:kern w:val="0"/>
                      <w:szCs w:val="21"/>
                      <w:lang w:bidi="ar"/>
                    </w:rPr>
                    <w:t>本项目有专业技术人员， 具备与处理能力相适应 的专门设备、场地等。</w:t>
                  </w:r>
                </w:p>
              </w:tc>
              <w:tc>
                <w:tcPr>
                  <w:tcW w:w="427" w:type="dxa"/>
                  <w:tcBorders>
                    <w:tl2br w:val="nil"/>
                    <w:tr2bl w:val="nil"/>
                  </w:tcBorders>
                  <w:vAlign w:val="center"/>
                </w:tcPr>
                <w:p w14:paraId="23DDA954">
                  <w:pPr>
                    <w:widowControl/>
                    <w:jc w:val="center"/>
                    <w:rPr>
                      <w:rFonts w:eastAsiaTheme="minorEastAsia"/>
                      <w:color w:val="000000"/>
                      <w:kern w:val="0"/>
                      <w:szCs w:val="21"/>
                      <w:lang w:bidi="ar"/>
                    </w:rPr>
                  </w:pPr>
                  <w:r>
                    <w:rPr>
                      <w:rFonts w:eastAsiaTheme="minorEastAsia"/>
                      <w:color w:val="000000"/>
                      <w:kern w:val="0"/>
                      <w:szCs w:val="21"/>
                      <w:lang w:bidi="ar"/>
                    </w:rPr>
                    <w:t>符合</w:t>
                  </w:r>
                </w:p>
              </w:tc>
            </w:tr>
            <w:tr w14:paraId="25339A9C">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98" w:type="dxa"/>
                  <w:tcBorders>
                    <w:tl2br w:val="nil"/>
                    <w:tr2bl w:val="nil"/>
                  </w:tcBorders>
                  <w:vAlign w:val="center"/>
                </w:tcPr>
                <w:p w14:paraId="1C7C9BA0">
                  <w:pPr>
                    <w:widowControl/>
                    <w:jc w:val="center"/>
                    <w:rPr>
                      <w:rFonts w:eastAsiaTheme="minorEastAsia"/>
                      <w:color w:val="000000"/>
                      <w:kern w:val="0"/>
                      <w:szCs w:val="21"/>
                      <w:lang w:bidi="ar"/>
                    </w:rPr>
                  </w:pPr>
                  <w:r>
                    <w:rPr>
                      <w:rFonts w:eastAsiaTheme="minorEastAsia"/>
                      <w:color w:val="000000"/>
                      <w:kern w:val="0"/>
                      <w:szCs w:val="21"/>
                      <w:lang w:bidi="ar"/>
                    </w:rPr>
                    <w:t>8</w:t>
                  </w:r>
                </w:p>
              </w:tc>
              <w:tc>
                <w:tcPr>
                  <w:tcW w:w="4173" w:type="dxa"/>
                  <w:tcBorders>
                    <w:tl2br w:val="nil"/>
                    <w:tr2bl w:val="nil"/>
                  </w:tcBorders>
                  <w:vAlign w:val="center"/>
                </w:tcPr>
                <w:p w14:paraId="736B0E5B">
                  <w:pPr>
                    <w:widowControl/>
                    <w:jc w:val="center"/>
                    <w:rPr>
                      <w:rFonts w:eastAsiaTheme="minorEastAsia"/>
                      <w:color w:val="000000"/>
                      <w:kern w:val="0"/>
                      <w:szCs w:val="21"/>
                      <w:lang w:bidi="ar"/>
                    </w:rPr>
                  </w:pPr>
                  <w:r>
                    <w:rPr>
                      <w:rFonts w:eastAsiaTheme="minorEastAsia"/>
                      <w:color w:val="000000"/>
                      <w:kern w:val="0"/>
                      <w:szCs w:val="21"/>
                      <w:lang w:bidi="ar"/>
                    </w:rPr>
                    <w:t>第三十二条为防止环境污染，实现汽车生产企业或进口总代理商承诺的可回收利用率，报废汽车回收拆解企业应与汽车生产企业或进口总代理商签定协议，提高废旧汽车产品的拆解、再利用能力。对不能达到或不再具备回收处理协议要求条件的回收拆解企业，汽车生产企业或进口总代理商可依法废止协议。</w:t>
                  </w:r>
                </w:p>
              </w:tc>
              <w:tc>
                <w:tcPr>
                  <w:tcW w:w="2427" w:type="dxa"/>
                  <w:tcBorders>
                    <w:tl2br w:val="nil"/>
                    <w:tr2bl w:val="nil"/>
                  </w:tcBorders>
                  <w:vAlign w:val="center"/>
                </w:tcPr>
                <w:p w14:paraId="6D12B2F7">
                  <w:pPr>
                    <w:widowControl/>
                    <w:jc w:val="center"/>
                    <w:rPr>
                      <w:rFonts w:eastAsiaTheme="minorEastAsia"/>
                      <w:color w:val="000000"/>
                      <w:kern w:val="0"/>
                      <w:szCs w:val="21"/>
                      <w:lang w:bidi="ar"/>
                    </w:rPr>
                  </w:pPr>
                  <w:r>
                    <w:rPr>
                      <w:rFonts w:eastAsiaTheme="minorEastAsia"/>
                      <w:color w:val="000000"/>
                      <w:kern w:val="0"/>
                      <w:szCs w:val="21"/>
                      <w:lang w:bidi="ar"/>
                    </w:rPr>
                    <w:t>本项目与汽车生产企业  或进口总代理商签定协  议，提高废旧汽车产品的 拆解、再利用能力。</w:t>
                  </w:r>
                </w:p>
              </w:tc>
              <w:tc>
                <w:tcPr>
                  <w:tcW w:w="427" w:type="dxa"/>
                  <w:tcBorders>
                    <w:tl2br w:val="nil"/>
                    <w:tr2bl w:val="nil"/>
                  </w:tcBorders>
                  <w:vAlign w:val="center"/>
                </w:tcPr>
                <w:p w14:paraId="01689BF4">
                  <w:pPr>
                    <w:widowControl/>
                    <w:jc w:val="center"/>
                    <w:rPr>
                      <w:rFonts w:eastAsiaTheme="minorEastAsia"/>
                      <w:color w:val="000000"/>
                      <w:kern w:val="0"/>
                      <w:szCs w:val="21"/>
                      <w:lang w:bidi="ar"/>
                    </w:rPr>
                  </w:pPr>
                  <w:r>
                    <w:rPr>
                      <w:rFonts w:eastAsiaTheme="minorEastAsia"/>
                      <w:color w:val="000000"/>
                      <w:kern w:val="0"/>
                      <w:szCs w:val="21"/>
                      <w:lang w:bidi="ar"/>
                    </w:rPr>
                    <w:t>符合</w:t>
                  </w:r>
                </w:p>
              </w:tc>
            </w:tr>
          </w:tbl>
          <w:p w14:paraId="47BF2AA4">
            <w:pPr>
              <w:pStyle w:val="18"/>
              <w:tabs>
                <w:tab w:val="left" w:pos="929"/>
              </w:tabs>
              <w:spacing w:line="240" w:lineRule="auto"/>
              <w:ind w:left="0" w:leftChars="0"/>
              <w:jc w:val="center"/>
              <w:rPr>
                <w:rFonts w:hint="eastAsia" w:ascii="宋体" w:hAnsi="宋体"/>
                <w:b/>
                <w:bCs/>
                <w:sz w:val="24"/>
              </w:rPr>
            </w:pPr>
            <w:r>
              <w:rPr>
                <w:rFonts w:hint="eastAsia" w:ascii="宋体" w:hAnsi="宋体"/>
                <w:b/>
                <w:bCs/>
                <w:sz w:val="24"/>
              </w:rPr>
              <w:t>13、本项目与《废铅酸蓄电池处理污染控制技术规范》（HJ 519-2020）的符合性分析</w:t>
            </w:r>
          </w:p>
          <w:p w14:paraId="0BD39E00">
            <w:pPr>
              <w:pStyle w:val="18"/>
              <w:tabs>
                <w:tab w:val="left" w:pos="929"/>
              </w:tabs>
              <w:spacing w:line="240" w:lineRule="auto"/>
              <w:ind w:left="0" w:leftChars="0"/>
              <w:jc w:val="center"/>
            </w:pPr>
            <w:r>
              <w:rPr>
                <w:b/>
                <w:bCs/>
                <w:spacing w:val="6"/>
              </w:rPr>
              <w:t>表</w:t>
            </w:r>
            <w:r>
              <w:rPr>
                <w:rFonts w:eastAsia="Times New Roman"/>
                <w:b/>
                <w:bCs/>
                <w:spacing w:val="6"/>
              </w:rPr>
              <w:t>1</w:t>
            </w:r>
            <w:r>
              <w:rPr>
                <w:rFonts w:hint="eastAsia"/>
                <w:b/>
                <w:bCs/>
                <w:spacing w:val="6"/>
              </w:rPr>
              <w:t>8</w:t>
            </w:r>
            <w:r>
              <w:rPr>
                <w:rFonts w:eastAsia="Times New Roman"/>
                <w:b/>
                <w:bCs/>
                <w:spacing w:val="6"/>
              </w:rPr>
              <w:t xml:space="preserve">   </w:t>
            </w:r>
            <w:r>
              <w:rPr>
                <w:b/>
                <w:bCs/>
                <w:spacing w:val="7"/>
              </w:rPr>
              <w:t>与《废铅酸蓄电池处理污染控制技术规范》（</w:t>
            </w:r>
            <w:r>
              <w:rPr>
                <w:rFonts w:eastAsia="Times New Roman"/>
                <w:b/>
                <w:bCs/>
              </w:rPr>
              <w:t>HJ</w:t>
            </w:r>
            <w:r>
              <w:rPr>
                <w:rFonts w:eastAsia="Times New Roman"/>
                <w:b/>
                <w:bCs/>
                <w:spacing w:val="7"/>
              </w:rPr>
              <w:t xml:space="preserve"> 519-20</w:t>
            </w:r>
            <w:r>
              <w:rPr>
                <w:rFonts w:eastAsia="Times New Roman"/>
                <w:b/>
                <w:bCs/>
                <w:spacing w:val="6"/>
              </w:rPr>
              <w:t>20</w:t>
            </w:r>
            <w:r>
              <w:rPr>
                <w:b/>
                <w:bCs/>
                <w:spacing w:val="6"/>
              </w:rPr>
              <w:t>）的符合性分析</w:t>
            </w:r>
          </w:p>
          <w:tbl>
            <w:tblPr>
              <w:tblStyle w:val="35"/>
              <w:tblW w:w="0" w:type="auto"/>
              <w:jc w:val="center"/>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498"/>
              <w:gridCol w:w="4173"/>
              <w:gridCol w:w="2427"/>
              <w:gridCol w:w="427"/>
            </w:tblGrid>
            <w:tr w14:paraId="6D5296FF">
              <w:tblPrEx>
                <w:tblCellMar>
                  <w:top w:w="0" w:type="dxa"/>
                  <w:left w:w="108" w:type="dxa"/>
                  <w:bottom w:w="0" w:type="dxa"/>
                  <w:right w:w="108" w:type="dxa"/>
                </w:tblCellMar>
              </w:tblPrEx>
              <w:trPr>
                <w:trHeight w:val="507" w:hRule="atLeast"/>
                <w:jc w:val="center"/>
              </w:trPr>
              <w:tc>
                <w:tcPr>
                  <w:tcW w:w="498" w:type="dxa"/>
                  <w:tcBorders>
                    <w:tl2br w:val="nil"/>
                    <w:tr2bl w:val="nil"/>
                  </w:tcBorders>
                  <w:vAlign w:val="center"/>
                </w:tcPr>
                <w:p w14:paraId="50611BA6">
                  <w:pPr>
                    <w:widowControl/>
                    <w:jc w:val="center"/>
                    <w:rPr>
                      <w:rFonts w:eastAsiaTheme="minorEastAsia"/>
                      <w:b/>
                      <w:bCs/>
                      <w:color w:val="000000"/>
                      <w:kern w:val="0"/>
                      <w:szCs w:val="21"/>
                      <w:lang w:bidi="ar"/>
                    </w:rPr>
                  </w:pPr>
                  <w:r>
                    <w:rPr>
                      <w:rFonts w:hint="eastAsia" w:eastAsiaTheme="minorEastAsia"/>
                      <w:b/>
                      <w:bCs/>
                      <w:color w:val="000000"/>
                      <w:kern w:val="0"/>
                      <w:szCs w:val="21"/>
                      <w:lang w:bidi="ar"/>
                    </w:rPr>
                    <w:t>序号</w:t>
                  </w:r>
                </w:p>
              </w:tc>
              <w:tc>
                <w:tcPr>
                  <w:tcW w:w="4173" w:type="dxa"/>
                  <w:tcBorders>
                    <w:tl2br w:val="nil"/>
                    <w:tr2bl w:val="nil"/>
                  </w:tcBorders>
                  <w:vAlign w:val="center"/>
                </w:tcPr>
                <w:p w14:paraId="386E8B3E">
                  <w:pPr>
                    <w:widowControl/>
                    <w:jc w:val="center"/>
                    <w:rPr>
                      <w:rFonts w:eastAsiaTheme="minorEastAsia"/>
                      <w:b/>
                      <w:bCs/>
                      <w:color w:val="000000"/>
                      <w:kern w:val="0"/>
                      <w:szCs w:val="21"/>
                      <w:lang w:bidi="ar"/>
                    </w:rPr>
                  </w:pPr>
                  <w:r>
                    <w:rPr>
                      <w:rFonts w:eastAsiaTheme="minorEastAsia"/>
                      <w:b/>
                      <w:bCs/>
                      <w:color w:val="000000"/>
                      <w:kern w:val="0"/>
                      <w:szCs w:val="21"/>
                      <w:lang w:bidi="ar"/>
                    </w:rPr>
                    <w:t>规范要求</w:t>
                  </w:r>
                </w:p>
              </w:tc>
              <w:tc>
                <w:tcPr>
                  <w:tcW w:w="2427" w:type="dxa"/>
                  <w:tcBorders>
                    <w:tl2br w:val="nil"/>
                    <w:tr2bl w:val="nil"/>
                  </w:tcBorders>
                  <w:vAlign w:val="center"/>
                </w:tcPr>
                <w:p w14:paraId="03E09E7F">
                  <w:pPr>
                    <w:widowControl/>
                    <w:jc w:val="center"/>
                    <w:rPr>
                      <w:rFonts w:eastAsiaTheme="minorEastAsia"/>
                      <w:b/>
                      <w:bCs/>
                      <w:color w:val="000000"/>
                      <w:kern w:val="0"/>
                      <w:szCs w:val="21"/>
                      <w:lang w:bidi="ar"/>
                    </w:rPr>
                  </w:pPr>
                  <w:r>
                    <w:rPr>
                      <w:rFonts w:eastAsiaTheme="minorEastAsia"/>
                      <w:b/>
                      <w:bCs/>
                      <w:color w:val="000000"/>
                      <w:kern w:val="0"/>
                      <w:szCs w:val="21"/>
                      <w:lang w:bidi="ar"/>
                    </w:rPr>
                    <w:t>项目实际情况</w:t>
                  </w:r>
                </w:p>
              </w:tc>
              <w:tc>
                <w:tcPr>
                  <w:tcW w:w="427" w:type="dxa"/>
                  <w:tcBorders>
                    <w:tl2br w:val="nil"/>
                    <w:tr2bl w:val="nil"/>
                  </w:tcBorders>
                  <w:vAlign w:val="center"/>
                </w:tcPr>
                <w:p w14:paraId="5B2D20DD">
                  <w:pPr>
                    <w:widowControl/>
                    <w:jc w:val="center"/>
                    <w:rPr>
                      <w:rFonts w:eastAsiaTheme="minorEastAsia"/>
                      <w:b/>
                      <w:bCs/>
                      <w:color w:val="000000"/>
                      <w:kern w:val="0"/>
                      <w:szCs w:val="21"/>
                      <w:lang w:bidi="ar"/>
                    </w:rPr>
                  </w:pPr>
                  <w:r>
                    <w:rPr>
                      <w:rFonts w:eastAsiaTheme="minorEastAsia"/>
                      <w:b/>
                      <w:bCs/>
                      <w:color w:val="000000"/>
                      <w:kern w:val="0"/>
                      <w:szCs w:val="21"/>
                      <w:lang w:bidi="ar"/>
                    </w:rPr>
                    <w:t>符合性</w:t>
                  </w:r>
                </w:p>
              </w:tc>
            </w:tr>
            <w:tr w14:paraId="0598AF3D">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98" w:type="dxa"/>
                  <w:tcBorders>
                    <w:tl2br w:val="nil"/>
                    <w:tr2bl w:val="nil"/>
                  </w:tcBorders>
                  <w:vAlign w:val="center"/>
                </w:tcPr>
                <w:p w14:paraId="1477B73D">
                  <w:pPr>
                    <w:widowControl/>
                    <w:jc w:val="center"/>
                    <w:rPr>
                      <w:rFonts w:eastAsiaTheme="minorEastAsia"/>
                      <w:color w:val="000000"/>
                      <w:kern w:val="0"/>
                      <w:szCs w:val="21"/>
                      <w:lang w:bidi="ar"/>
                    </w:rPr>
                  </w:pPr>
                  <w:r>
                    <w:rPr>
                      <w:rFonts w:eastAsiaTheme="minorEastAsia"/>
                      <w:color w:val="000000"/>
                      <w:kern w:val="0"/>
                      <w:szCs w:val="21"/>
                      <w:lang w:bidi="ar"/>
                    </w:rPr>
                    <w:t>1</w:t>
                  </w:r>
                </w:p>
              </w:tc>
              <w:tc>
                <w:tcPr>
                  <w:tcW w:w="4173" w:type="dxa"/>
                  <w:tcBorders>
                    <w:tl2br w:val="nil"/>
                    <w:tr2bl w:val="nil"/>
                  </w:tcBorders>
                  <w:vAlign w:val="center"/>
                </w:tcPr>
                <w:p w14:paraId="4FBD69B7">
                  <w:pPr>
                    <w:widowControl/>
                    <w:jc w:val="center"/>
                    <w:rPr>
                      <w:rFonts w:eastAsiaTheme="minorEastAsia"/>
                      <w:color w:val="000000"/>
                      <w:kern w:val="0"/>
                      <w:szCs w:val="21"/>
                      <w:lang w:bidi="ar"/>
                    </w:rPr>
                  </w:pPr>
                  <w:r>
                    <w:rPr>
                      <w:rFonts w:eastAsiaTheme="minorEastAsia"/>
                      <w:color w:val="000000"/>
                      <w:kern w:val="0"/>
                      <w:szCs w:val="21"/>
                      <w:lang w:bidi="ar"/>
                    </w:rPr>
                    <w:t>4. 1. 1  从事废铅蓄电池收集、贮存的企业，应依法获得危险废物经营许可证；禁止无经营许可证或者不按照经营许可证规定从事废铅蓄电池收集、贮存经营活动。</w:t>
                  </w:r>
                </w:p>
              </w:tc>
              <w:tc>
                <w:tcPr>
                  <w:tcW w:w="2427" w:type="dxa"/>
                  <w:tcBorders>
                    <w:tl2br w:val="nil"/>
                    <w:tr2bl w:val="nil"/>
                  </w:tcBorders>
                  <w:vAlign w:val="center"/>
                </w:tcPr>
                <w:p w14:paraId="308D610E">
                  <w:pPr>
                    <w:widowControl/>
                    <w:jc w:val="center"/>
                    <w:rPr>
                      <w:rFonts w:eastAsiaTheme="minorEastAsia"/>
                      <w:color w:val="000000"/>
                      <w:kern w:val="0"/>
                      <w:szCs w:val="21"/>
                      <w:lang w:bidi="ar"/>
                    </w:rPr>
                  </w:pPr>
                  <w:r>
                    <w:rPr>
                      <w:rFonts w:eastAsiaTheme="minorEastAsia"/>
                      <w:color w:val="000000"/>
                      <w:kern w:val="0"/>
                      <w:szCs w:val="21"/>
                      <w:lang w:bidi="ar"/>
                    </w:rPr>
                    <w:t>本项目废铅酸蓄电池为企业机动车拆解过程产生，作为危险废物交由有资质单位处置，不存在收集、贮存经营活动。</w:t>
                  </w:r>
                </w:p>
              </w:tc>
              <w:tc>
                <w:tcPr>
                  <w:tcW w:w="427" w:type="dxa"/>
                  <w:tcBorders>
                    <w:tl2br w:val="nil"/>
                    <w:tr2bl w:val="nil"/>
                  </w:tcBorders>
                  <w:vAlign w:val="center"/>
                </w:tcPr>
                <w:p w14:paraId="3AD12C2E">
                  <w:pPr>
                    <w:widowControl/>
                    <w:jc w:val="center"/>
                    <w:rPr>
                      <w:rFonts w:eastAsiaTheme="minorEastAsia"/>
                      <w:color w:val="000000"/>
                      <w:kern w:val="0"/>
                      <w:szCs w:val="21"/>
                      <w:lang w:bidi="ar"/>
                    </w:rPr>
                  </w:pPr>
                  <w:r>
                    <w:rPr>
                      <w:rFonts w:eastAsiaTheme="minorEastAsia"/>
                      <w:color w:val="000000"/>
                      <w:kern w:val="0"/>
                      <w:szCs w:val="21"/>
                      <w:lang w:bidi="ar"/>
                    </w:rPr>
                    <w:t>符合</w:t>
                  </w:r>
                </w:p>
              </w:tc>
            </w:tr>
            <w:tr w14:paraId="1944BEAC">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98" w:type="dxa"/>
                  <w:tcBorders>
                    <w:tl2br w:val="nil"/>
                    <w:tr2bl w:val="nil"/>
                  </w:tcBorders>
                  <w:vAlign w:val="center"/>
                </w:tcPr>
                <w:p w14:paraId="4D87786C">
                  <w:pPr>
                    <w:widowControl/>
                    <w:jc w:val="center"/>
                    <w:rPr>
                      <w:rFonts w:eastAsiaTheme="minorEastAsia"/>
                      <w:color w:val="000000"/>
                      <w:kern w:val="0"/>
                      <w:szCs w:val="21"/>
                      <w:lang w:bidi="ar"/>
                    </w:rPr>
                  </w:pPr>
                  <w:r>
                    <w:rPr>
                      <w:rFonts w:eastAsiaTheme="minorEastAsia"/>
                      <w:color w:val="000000"/>
                      <w:kern w:val="0"/>
                      <w:szCs w:val="21"/>
                      <w:lang w:bidi="ar"/>
                    </w:rPr>
                    <w:t>2</w:t>
                  </w:r>
                </w:p>
              </w:tc>
              <w:tc>
                <w:tcPr>
                  <w:tcW w:w="4173" w:type="dxa"/>
                  <w:tcBorders>
                    <w:tl2br w:val="nil"/>
                    <w:tr2bl w:val="nil"/>
                  </w:tcBorders>
                  <w:vAlign w:val="center"/>
                </w:tcPr>
                <w:p w14:paraId="6123A917">
                  <w:pPr>
                    <w:widowControl/>
                    <w:jc w:val="center"/>
                    <w:rPr>
                      <w:rFonts w:eastAsiaTheme="minorEastAsia"/>
                      <w:color w:val="000000"/>
                      <w:kern w:val="0"/>
                      <w:szCs w:val="21"/>
                      <w:lang w:bidi="ar"/>
                    </w:rPr>
                  </w:pPr>
                  <w:r>
                    <w:rPr>
                      <w:rFonts w:eastAsiaTheme="minorEastAsia"/>
                      <w:color w:val="000000"/>
                      <w:kern w:val="0"/>
                      <w:szCs w:val="21"/>
                      <w:lang w:bidi="ar"/>
                    </w:rPr>
                    <w:t>4. 1.2  收集、运输、贮存废铅蓄电 池的容器或托盘，应根据废铅蓄电 池的特性设计，不易破损、变形，其所用材料能有效地防止渗漏、扩散，并耐酸腐蚀。装有废铅蓄电池的容器或托盘必须粘贴符合GB18597 要求的危险废物标签。</w:t>
                  </w:r>
                </w:p>
              </w:tc>
              <w:tc>
                <w:tcPr>
                  <w:tcW w:w="2427" w:type="dxa"/>
                  <w:tcBorders>
                    <w:tl2br w:val="nil"/>
                    <w:tr2bl w:val="nil"/>
                  </w:tcBorders>
                  <w:vAlign w:val="center"/>
                </w:tcPr>
                <w:p w14:paraId="301AB9BD">
                  <w:pPr>
                    <w:widowControl/>
                    <w:jc w:val="center"/>
                    <w:rPr>
                      <w:rFonts w:eastAsiaTheme="minorEastAsia"/>
                      <w:color w:val="000000"/>
                      <w:kern w:val="0"/>
                      <w:szCs w:val="21"/>
                      <w:lang w:bidi="ar"/>
                    </w:rPr>
                  </w:pPr>
                  <w:r>
                    <w:rPr>
                      <w:rFonts w:eastAsiaTheme="minorEastAsia"/>
                      <w:color w:val="000000"/>
                      <w:kern w:val="0"/>
                      <w:szCs w:val="21"/>
                      <w:lang w:bidi="ar"/>
                    </w:rPr>
                    <w:t>本项目废铅酸蓄电池采用耐腐蚀、不易破损的容器存放，暂存于</w:t>
                  </w:r>
                  <w:r>
                    <w:rPr>
                      <w:rFonts w:hint="eastAsia" w:eastAsiaTheme="minorEastAsia"/>
                      <w:color w:val="000000"/>
                      <w:kern w:val="0"/>
                      <w:szCs w:val="21"/>
                      <w:lang w:val="en-US" w:eastAsia="zh-CN" w:bidi="ar"/>
                    </w:rPr>
                    <w:t>铅酸蓄电池贮存间内</w:t>
                  </w:r>
                  <w:r>
                    <w:rPr>
                      <w:rFonts w:eastAsiaTheme="minorEastAsia"/>
                      <w:color w:val="000000"/>
                      <w:kern w:val="0"/>
                      <w:szCs w:val="21"/>
                      <w:lang w:bidi="ar"/>
                    </w:rPr>
                    <w:t>指区域内，该区域地面做防渗处理，废铅酸蓄电池存放容器按要求粘贴危险废物标签。</w:t>
                  </w:r>
                </w:p>
              </w:tc>
              <w:tc>
                <w:tcPr>
                  <w:tcW w:w="427" w:type="dxa"/>
                  <w:tcBorders>
                    <w:tl2br w:val="nil"/>
                    <w:tr2bl w:val="nil"/>
                  </w:tcBorders>
                  <w:vAlign w:val="center"/>
                </w:tcPr>
                <w:p w14:paraId="0C544E19">
                  <w:pPr>
                    <w:widowControl/>
                    <w:jc w:val="center"/>
                    <w:rPr>
                      <w:rFonts w:eastAsiaTheme="minorEastAsia"/>
                      <w:color w:val="000000"/>
                      <w:kern w:val="0"/>
                      <w:szCs w:val="21"/>
                      <w:lang w:bidi="ar"/>
                    </w:rPr>
                  </w:pPr>
                  <w:r>
                    <w:rPr>
                      <w:rFonts w:eastAsiaTheme="minorEastAsia"/>
                      <w:color w:val="000000"/>
                      <w:kern w:val="0"/>
                      <w:szCs w:val="21"/>
                      <w:lang w:bidi="ar"/>
                    </w:rPr>
                    <w:t>符合</w:t>
                  </w:r>
                </w:p>
              </w:tc>
            </w:tr>
            <w:tr w14:paraId="7F108FA1">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98" w:type="dxa"/>
                  <w:tcBorders>
                    <w:tl2br w:val="nil"/>
                    <w:tr2bl w:val="nil"/>
                  </w:tcBorders>
                  <w:vAlign w:val="center"/>
                </w:tcPr>
                <w:p w14:paraId="7D5378B0">
                  <w:pPr>
                    <w:widowControl/>
                    <w:jc w:val="center"/>
                    <w:rPr>
                      <w:rFonts w:eastAsiaTheme="minorEastAsia"/>
                      <w:color w:val="000000"/>
                      <w:kern w:val="0"/>
                      <w:szCs w:val="21"/>
                      <w:lang w:bidi="ar"/>
                    </w:rPr>
                  </w:pPr>
                  <w:r>
                    <w:rPr>
                      <w:rFonts w:eastAsiaTheme="minorEastAsia"/>
                      <w:color w:val="000000"/>
                      <w:kern w:val="0"/>
                      <w:szCs w:val="21"/>
                      <w:lang w:bidi="ar"/>
                    </w:rPr>
                    <w:t>3</w:t>
                  </w:r>
                </w:p>
              </w:tc>
              <w:tc>
                <w:tcPr>
                  <w:tcW w:w="4173" w:type="dxa"/>
                  <w:tcBorders>
                    <w:tl2br w:val="nil"/>
                    <w:tr2bl w:val="nil"/>
                  </w:tcBorders>
                  <w:vAlign w:val="center"/>
                </w:tcPr>
                <w:p w14:paraId="0649FE96">
                  <w:pPr>
                    <w:widowControl/>
                    <w:jc w:val="center"/>
                    <w:rPr>
                      <w:rFonts w:eastAsiaTheme="minorEastAsia"/>
                      <w:color w:val="000000"/>
                      <w:kern w:val="0"/>
                      <w:szCs w:val="21"/>
                      <w:lang w:bidi="ar"/>
                    </w:rPr>
                  </w:pPr>
                  <w:r>
                    <w:rPr>
                      <w:rFonts w:eastAsiaTheme="minorEastAsia"/>
                      <w:color w:val="000000"/>
                      <w:kern w:val="0"/>
                      <w:szCs w:val="21"/>
                      <w:lang w:bidi="ar"/>
                    </w:rPr>
                    <w:t>4. 1.3  废铅蓄电池收集、贮存企业应建立废铅蓄电池收集处理数据信息管理系统，如实记录收集、贮存、转移废铅蓄电池的重量、来源、 去向等信息，并实现与全国固体废 物管理信息系统的数据对接。</w:t>
                  </w:r>
                </w:p>
              </w:tc>
              <w:tc>
                <w:tcPr>
                  <w:tcW w:w="2427" w:type="dxa"/>
                  <w:tcBorders>
                    <w:tl2br w:val="nil"/>
                    <w:tr2bl w:val="nil"/>
                  </w:tcBorders>
                  <w:vAlign w:val="center"/>
                </w:tcPr>
                <w:p w14:paraId="5FB883B4">
                  <w:pPr>
                    <w:widowControl/>
                    <w:jc w:val="center"/>
                    <w:rPr>
                      <w:rFonts w:eastAsiaTheme="minorEastAsia"/>
                      <w:color w:val="000000"/>
                      <w:kern w:val="0"/>
                      <w:szCs w:val="21"/>
                      <w:lang w:bidi="ar"/>
                    </w:rPr>
                  </w:pPr>
                  <w:r>
                    <w:rPr>
                      <w:rFonts w:eastAsiaTheme="minorEastAsia"/>
                      <w:color w:val="000000"/>
                      <w:kern w:val="0"/>
                      <w:szCs w:val="21"/>
                      <w:lang w:bidi="ar"/>
                    </w:rPr>
                    <w:t>本项目建设废铅蓄电池收集处理数据信息管理系统，如实记录收集、贮存、转移废铅蓄电池的重量、来源、去向等信息。</w:t>
                  </w:r>
                </w:p>
              </w:tc>
              <w:tc>
                <w:tcPr>
                  <w:tcW w:w="427" w:type="dxa"/>
                  <w:tcBorders>
                    <w:tl2br w:val="nil"/>
                    <w:tr2bl w:val="nil"/>
                  </w:tcBorders>
                  <w:vAlign w:val="center"/>
                </w:tcPr>
                <w:p w14:paraId="44A1679B">
                  <w:pPr>
                    <w:widowControl/>
                    <w:jc w:val="center"/>
                    <w:rPr>
                      <w:rFonts w:eastAsiaTheme="minorEastAsia"/>
                      <w:color w:val="000000"/>
                      <w:kern w:val="0"/>
                      <w:szCs w:val="21"/>
                      <w:lang w:bidi="ar"/>
                    </w:rPr>
                  </w:pPr>
                  <w:r>
                    <w:rPr>
                      <w:rFonts w:eastAsiaTheme="minorEastAsia"/>
                      <w:color w:val="000000"/>
                      <w:kern w:val="0"/>
                      <w:szCs w:val="21"/>
                      <w:lang w:bidi="ar"/>
                    </w:rPr>
                    <w:t>符合</w:t>
                  </w:r>
                </w:p>
              </w:tc>
            </w:tr>
            <w:tr w14:paraId="6D4FB301">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98" w:type="dxa"/>
                  <w:tcBorders>
                    <w:tl2br w:val="nil"/>
                    <w:tr2bl w:val="nil"/>
                  </w:tcBorders>
                  <w:vAlign w:val="center"/>
                </w:tcPr>
                <w:p w14:paraId="39630A07">
                  <w:pPr>
                    <w:widowControl/>
                    <w:jc w:val="center"/>
                    <w:rPr>
                      <w:rFonts w:eastAsiaTheme="minorEastAsia"/>
                      <w:color w:val="000000"/>
                      <w:kern w:val="0"/>
                      <w:szCs w:val="21"/>
                      <w:lang w:bidi="ar"/>
                    </w:rPr>
                  </w:pPr>
                  <w:r>
                    <w:rPr>
                      <w:rFonts w:eastAsiaTheme="minorEastAsia"/>
                      <w:color w:val="000000"/>
                      <w:kern w:val="0"/>
                      <w:szCs w:val="21"/>
                      <w:lang w:bidi="ar"/>
                    </w:rPr>
                    <w:t>4</w:t>
                  </w:r>
                </w:p>
              </w:tc>
              <w:tc>
                <w:tcPr>
                  <w:tcW w:w="4173" w:type="dxa"/>
                  <w:tcBorders>
                    <w:tl2br w:val="nil"/>
                    <w:tr2bl w:val="nil"/>
                  </w:tcBorders>
                  <w:vAlign w:val="center"/>
                </w:tcPr>
                <w:p w14:paraId="27846FCF">
                  <w:pPr>
                    <w:widowControl/>
                    <w:jc w:val="center"/>
                    <w:rPr>
                      <w:rFonts w:eastAsiaTheme="minorEastAsia"/>
                      <w:color w:val="000000"/>
                      <w:kern w:val="0"/>
                      <w:szCs w:val="21"/>
                      <w:lang w:bidi="ar"/>
                    </w:rPr>
                  </w:pPr>
                  <w:r>
                    <w:rPr>
                      <w:rFonts w:eastAsiaTheme="minorEastAsia"/>
                      <w:color w:val="000000"/>
                      <w:kern w:val="0"/>
                      <w:szCs w:val="21"/>
                      <w:lang w:bidi="ar"/>
                    </w:rPr>
                    <w:t>4. 1.4 禁止在收集、运输和贮存过程中擅自拆解、破碎、丢弃废铅蓄电池；禁止倾倒含铅酸性电解质。</w:t>
                  </w:r>
                </w:p>
              </w:tc>
              <w:tc>
                <w:tcPr>
                  <w:tcW w:w="2427" w:type="dxa"/>
                  <w:tcBorders>
                    <w:tl2br w:val="nil"/>
                    <w:tr2bl w:val="nil"/>
                  </w:tcBorders>
                  <w:vAlign w:val="center"/>
                </w:tcPr>
                <w:p w14:paraId="1EC213B2">
                  <w:pPr>
                    <w:widowControl/>
                    <w:jc w:val="center"/>
                    <w:rPr>
                      <w:rFonts w:eastAsiaTheme="minorEastAsia"/>
                      <w:color w:val="000000"/>
                      <w:kern w:val="0"/>
                      <w:szCs w:val="21"/>
                      <w:lang w:bidi="ar"/>
                    </w:rPr>
                  </w:pPr>
                  <w:r>
                    <w:rPr>
                      <w:rFonts w:eastAsiaTheme="minorEastAsia"/>
                      <w:color w:val="000000"/>
                      <w:kern w:val="0"/>
                      <w:szCs w:val="21"/>
                      <w:lang w:bidi="ar"/>
                    </w:rPr>
                    <w:t>本项目不对铅蓄电池进一步拆解或破碎，含酸性电解质不会泄漏和倾倒。</w:t>
                  </w:r>
                </w:p>
              </w:tc>
              <w:tc>
                <w:tcPr>
                  <w:tcW w:w="427" w:type="dxa"/>
                  <w:tcBorders>
                    <w:tl2br w:val="nil"/>
                    <w:tr2bl w:val="nil"/>
                  </w:tcBorders>
                  <w:vAlign w:val="center"/>
                </w:tcPr>
                <w:p w14:paraId="167A4FAF">
                  <w:pPr>
                    <w:widowControl/>
                    <w:jc w:val="center"/>
                    <w:rPr>
                      <w:rFonts w:eastAsiaTheme="minorEastAsia"/>
                      <w:color w:val="000000"/>
                      <w:kern w:val="0"/>
                      <w:szCs w:val="21"/>
                      <w:lang w:bidi="ar"/>
                    </w:rPr>
                  </w:pPr>
                  <w:r>
                    <w:rPr>
                      <w:rFonts w:eastAsiaTheme="minorEastAsia"/>
                      <w:color w:val="000000"/>
                      <w:kern w:val="0"/>
                      <w:szCs w:val="21"/>
                      <w:lang w:bidi="ar"/>
                    </w:rPr>
                    <w:t>符合</w:t>
                  </w:r>
                </w:p>
              </w:tc>
            </w:tr>
            <w:tr w14:paraId="2FCF1CA6">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98" w:type="dxa"/>
                  <w:tcBorders>
                    <w:tl2br w:val="nil"/>
                    <w:tr2bl w:val="nil"/>
                  </w:tcBorders>
                  <w:vAlign w:val="center"/>
                </w:tcPr>
                <w:p w14:paraId="259323AD">
                  <w:pPr>
                    <w:widowControl/>
                    <w:jc w:val="center"/>
                    <w:rPr>
                      <w:rFonts w:eastAsiaTheme="minorEastAsia"/>
                      <w:color w:val="000000"/>
                      <w:kern w:val="0"/>
                      <w:szCs w:val="21"/>
                      <w:lang w:bidi="ar"/>
                    </w:rPr>
                  </w:pPr>
                  <w:r>
                    <w:rPr>
                      <w:rFonts w:eastAsiaTheme="minorEastAsia"/>
                      <w:color w:val="000000"/>
                      <w:kern w:val="0"/>
                      <w:szCs w:val="21"/>
                      <w:lang w:bidi="ar"/>
                    </w:rPr>
                    <w:t>5</w:t>
                  </w:r>
                </w:p>
              </w:tc>
              <w:tc>
                <w:tcPr>
                  <w:tcW w:w="4173" w:type="dxa"/>
                  <w:tcBorders>
                    <w:tl2br w:val="nil"/>
                    <w:tr2bl w:val="nil"/>
                  </w:tcBorders>
                  <w:vAlign w:val="center"/>
                </w:tcPr>
                <w:p w14:paraId="18CC767F">
                  <w:pPr>
                    <w:widowControl/>
                    <w:jc w:val="center"/>
                    <w:rPr>
                      <w:rFonts w:eastAsiaTheme="minorEastAsia"/>
                      <w:color w:val="000000"/>
                      <w:kern w:val="0"/>
                      <w:szCs w:val="21"/>
                      <w:lang w:bidi="ar"/>
                    </w:rPr>
                  </w:pPr>
                  <w:r>
                    <w:rPr>
                      <w:rFonts w:eastAsiaTheme="minorEastAsia"/>
                      <w:color w:val="000000"/>
                      <w:kern w:val="0"/>
                      <w:szCs w:val="21"/>
                      <w:lang w:bidi="ar"/>
                    </w:rPr>
                    <w:t>4. 1.5 废铅蓄电池收集、运输、贮存过程除应满足环境保护相关要求外，还应符合国家安全生产、职业健康、交通运输、消防等法规标准的相关要求。</w:t>
                  </w:r>
                </w:p>
              </w:tc>
              <w:tc>
                <w:tcPr>
                  <w:tcW w:w="2427" w:type="dxa"/>
                  <w:tcBorders>
                    <w:tl2br w:val="nil"/>
                    <w:tr2bl w:val="nil"/>
                  </w:tcBorders>
                  <w:vAlign w:val="center"/>
                </w:tcPr>
                <w:p w14:paraId="76EAA706">
                  <w:pPr>
                    <w:widowControl/>
                    <w:jc w:val="center"/>
                    <w:rPr>
                      <w:rFonts w:eastAsiaTheme="minorEastAsia"/>
                      <w:color w:val="000000"/>
                      <w:kern w:val="0"/>
                      <w:szCs w:val="21"/>
                      <w:lang w:bidi="ar"/>
                    </w:rPr>
                  </w:pPr>
                  <w:r>
                    <w:rPr>
                      <w:rFonts w:eastAsiaTheme="minorEastAsia"/>
                      <w:color w:val="000000"/>
                      <w:kern w:val="0"/>
                      <w:szCs w:val="21"/>
                      <w:lang w:bidi="ar"/>
                    </w:rPr>
                    <w:t>本项目按相关环保要求进行贮存，同时满按照安全生产、职业健康、交通运输、消防等法规标准的相关要求进行贮存、运输等。</w:t>
                  </w:r>
                </w:p>
              </w:tc>
              <w:tc>
                <w:tcPr>
                  <w:tcW w:w="427" w:type="dxa"/>
                  <w:tcBorders>
                    <w:tl2br w:val="nil"/>
                    <w:tr2bl w:val="nil"/>
                  </w:tcBorders>
                  <w:vAlign w:val="center"/>
                </w:tcPr>
                <w:p w14:paraId="2316768F">
                  <w:pPr>
                    <w:widowControl/>
                    <w:jc w:val="center"/>
                    <w:rPr>
                      <w:rFonts w:eastAsiaTheme="minorEastAsia"/>
                      <w:color w:val="000000"/>
                      <w:kern w:val="0"/>
                      <w:szCs w:val="21"/>
                      <w:lang w:bidi="ar"/>
                    </w:rPr>
                  </w:pPr>
                  <w:r>
                    <w:rPr>
                      <w:rFonts w:eastAsiaTheme="minorEastAsia"/>
                      <w:color w:val="000000"/>
                      <w:kern w:val="0"/>
                      <w:szCs w:val="21"/>
                      <w:lang w:bidi="ar"/>
                    </w:rPr>
                    <w:t>符合</w:t>
                  </w:r>
                </w:p>
              </w:tc>
            </w:tr>
            <w:tr w14:paraId="3872666D">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98" w:type="dxa"/>
                  <w:tcBorders>
                    <w:tl2br w:val="nil"/>
                    <w:tr2bl w:val="nil"/>
                  </w:tcBorders>
                  <w:vAlign w:val="center"/>
                </w:tcPr>
                <w:p w14:paraId="378AD7D5">
                  <w:pPr>
                    <w:widowControl/>
                    <w:jc w:val="center"/>
                    <w:rPr>
                      <w:rFonts w:eastAsiaTheme="minorEastAsia"/>
                      <w:color w:val="000000"/>
                      <w:kern w:val="0"/>
                      <w:szCs w:val="21"/>
                      <w:lang w:bidi="ar"/>
                    </w:rPr>
                  </w:pPr>
                  <w:r>
                    <w:rPr>
                      <w:rFonts w:eastAsiaTheme="minorEastAsia"/>
                      <w:color w:val="000000"/>
                      <w:kern w:val="0"/>
                      <w:szCs w:val="21"/>
                      <w:lang w:bidi="ar"/>
                    </w:rPr>
                    <w:t>6</w:t>
                  </w:r>
                </w:p>
              </w:tc>
              <w:tc>
                <w:tcPr>
                  <w:tcW w:w="4173" w:type="dxa"/>
                  <w:tcBorders>
                    <w:tl2br w:val="nil"/>
                    <w:tr2bl w:val="nil"/>
                  </w:tcBorders>
                  <w:vAlign w:val="center"/>
                </w:tcPr>
                <w:p w14:paraId="6486E3D0">
                  <w:pPr>
                    <w:widowControl/>
                    <w:jc w:val="center"/>
                    <w:rPr>
                      <w:rFonts w:eastAsiaTheme="minorEastAsia"/>
                      <w:color w:val="000000"/>
                      <w:kern w:val="0"/>
                      <w:szCs w:val="21"/>
                      <w:lang w:bidi="ar"/>
                    </w:rPr>
                  </w:pPr>
                  <w:r>
                    <w:rPr>
                      <w:rFonts w:eastAsiaTheme="minorEastAsia"/>
                      <w:color w:val="000000"/>
                      <w:kern w:val="0"/>
                      <w:szCs w:val="21"/>
                      <w:lang w:bidi="ar"/>
                    </w:rPr>
                    <w:t>4.2. 1 铅蓄电池生产企业应采取自主回收、联合回收或委托回收模式，通过企业自有销售渠道或再生 铅企业、专业收集企业在消费末端 建立的网络收集废铅蓄电池，可采用“销一收一”等方式提高收集率。再生铅企业可通过自建，或者与专 业收集企业合作，建设网络收集废 铅蓄电池。</w:t>
                  </w:r>
                </w:p>
              </w:tc>
              <w:tc>
                <w:tcPr>
                  <w:tcW w:w="2427" w:type="dxa"/>
                  <w:tcBorders>
                    <w:tl2br w:val="nil"/>
                    <w:tr2bl w:val="nil"/>
                  </w:tcBorders>
                  <w:vAlign w:val="center"/>
                </w:tcPr>
                <w:p w14:paraId="25DE8FCF">
                  <w:pPr>
                    <w:widowControl/>
                    <w:jc w:val="center"/>
                    <w:rPr>
                      <w:rFonts w:eastAsiaTheme="minorEastAsia"/>
                      <w:color w:val="000000"/>
                      <w:kern w:val="0"/>
                      <w:szCs w:val="21"/>
                      <w:lang w:bidi="ar"/>
                    </w:rPr>
                  </w:pPr>
                  <w:r>
                    <w:rPr>
                      <w:rFonts w:eastAsiaTheme="minorEastAsia"/>
                      <w:color w:val="000000"/>
                      <w:kern w:val="0"/>
                      <w:szCs w:val="21"/>
                      <w:lang w:bidi="ar"/>
                    </w:rPr>
                    <w:t>本项目不属于铅蓄电池生产企业。</w:t>
                  </w:r>
                </w:p>
              </w:tc>
              <w:tc>
                <w:tcPr>
                  <w:tcW w:w="427" w:type="dxa"/>
                  <w:tcBorders>
                    <w:tl2br w:val="nil"/>
                    <w:tr2bl w:val="nil"/>
                  </w:tcBorders>
                  <w:vAlign w:val="center"/>
                </w:tcPr>
                <w:p w14:paraId="663FCB98">
                  <w:pPr>
                    <w:widowControl/>
                    <w:jc w:val="center"/>
                    <w:rPr>
                      <w:rFonts w:eastAsiaTheme="minorEastAsia"/>
                      <w:color w:val="000000"/>
                      <w:kern w:val="0"/>
                      <w:szCs w:val="21"/>
                      <w:lang w:bidi="ar"/>
                    </w:rPr>
                  </w:pPr>
                  <w:r>
                    <w:rPr>
                      <w:rFonts w:eastAsiaTheme="minorEastAsia"/>
                      <w:color w:val="000000"/>
                      <w:kern w:val="0"/>
                      <w:szCs w:val="21"/>
                      <w:lang w:bidi="ar"/>
                    </w:rPr>
                    <w:t>符合</w:t>
                  </w:r>
                </w:p>
              </w:tc>
            </w:tr>
            <w:tr w14:paraId="40F01DF0">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98" w:type="dxa"/>
                  <w:tcBorders>
                    <w:tl2br w:val="nil"/>
                    <w:tr2bl w:val="nil"/>
                  </w:tcBorders>
                  <w:vAlign w:val="center"/>
                </w:tcPr>
                <w:p w14:paraId="17D04622">
                  <w:pPr>
                    <w:widowControl/>
                    <w:jc w:val="center"/>
                    <w:rPr>
                      <w:rFonts w:eastAsiaTheme="minorEastAsia"/>
                      <w:color w:val="000000"/>
                      <w:kern w:val="0"/>
                      <w:szCs w:val="21"/>
                      <w:lang w:bidi="ar"/>
                    </w:rPr>
                  </w:pPr>
                  <w:r>
                    <w:rPr>
                      <w:rFonts w:eastAsiaTheme="minorEastAsia"/>
                      <w:color w:val="000000"/>
                      <w:kern w:val="0"/>
                      <w:szCs w:val="21"/>
                      <w:lang w:bidi="ar"/>
                    </w:rPr>
                    <w:t>7</w:t>
                  </w:r>
                </w:p>
              </w:tc>
              <w:tc>
                <w:tcPr>
                  <w:tcW w:w="4173" w:type="dxa"/>
                  <w:tcBorders>
                    <w:tl2br w:val="nil"/>
                    <w:tr2bl w:val="nil"/>
                  </w:tcBorders>
                  <w:vAlign w:val="center"/>
                </w:tcPr>
                <w:p w14:paraId="2C1F345C">
                  <w:pPr>
                    <w:widowControl/>
                    <w:jc w:val="center"/>
                    <w:rPr>
                      <w:rFonts w:eastAsiaTheme="minorEastAsia"/>
                      <w:color w:val="000000"/>
                      <w:kern w:val="0"/>
                      <w:szCs w:val="21"/>
                      <w:lang w:bidi="ar"/>
                    </w:rPr>
                  </w:pPr>
                  <w:r>
                    <w:rPr>
                      <w:rFonts w:eastAsiaTheme="minorEastAsia"/>
                      <w:color w:val="000000"/>
                      <w:kern w:val="0"/>
                      <w:szCs w:val="21"/>
                      <w:lang w:bidi="ar"/>
                    </w:rPr>
                    <w:t>4.2.3  废铅蓄电池收集过程应采取以下防范措施，避免发生环境污染事故：a）废铅蓄电池应进行合理包装，防止运输过程破损和电解质 泄漏。b）废铅蓄电池有破损或电 解质渗漏的，应将废铅蓄电池及其渗漏液贮存于耐酸容器中。</w:t>
                  </w:r>
                </w:p>
              </w:tc>
              <w:tc>
                <w:tcPr>
                  <w:tcW w:w="2427" w:type="dxa"/>
                  <w:tcBorders>
                    <w:tl2br w:val="nil"/>
                    <w:tr2bl w:val="nil"/>
                  </w:tcBorders>
                  <w:vAlign w:val="center"/>
                </w:tcPr>
                <w:p w14:paraId="44287521">
                  <w:pPr>
                    <w:widowControl/>
                    <w:jc w:val="center"/>
                    <w:rPr>
                      <w:rFonts w:eastAsiaTheme="minorEastAsia"/>
                      <w:color w:val="000000"/>
                      <w:kern w:val="0"/>
                      <w:szCs w:val="21"/>
                      <w:lang w:bidi="ar"/>
                    </w:rPr>
                  </w:pPr>
                  <w:r>
                    <w:rPr>
                      <w:rFonts w:eastAsiaTheme="minorEastAsia"/>
                      <w:color w:val="000000"/>
                      <w:kern w:val="0"/>
                      <w:szCs w:val="21"/>
                      <w:lang w:bidi="ar"/>
                    </w:rPr>
                    <w:t>铅蓄电池贮存于耐酸容器中，防止电解质泄漏。</w:t>
                  </w:r>
                </w:p>
              </w:tc>
              <w:tc>
                <w:tcPr>
                  <w:tcW w:w="427" w:type="dxa"/>
                  <w:tcBorders>
                    <w:tl2br w:val="nil"/>
                    <w:tr2bl w:val="nil"/>
                  </w:tcBorders>
                  <w:vAlign w:val="center"/>
                </w:tcPr>
                <w:p w14:paraId="5F22464F">
                  <w:pPr>
                    <w:widowControl/>
                    <w:jc w:val="center"/>
                    <w:rPr>
                      <w:rFonts w:eastAsiaTheme="minorEastAsia"/>
                      <w:color w:val="000000"/>
                      <w:kern w:val="0"/>
                      <w:szCs w:val="21"/>
                      <w:lang w:bidi="ar"/>
                    </w:rPr>
                  </w:pPr>
                  <w:r>
                    <w:rPr>
                      <w:rFonts w:eastAsiaTheme="minorEastAsia"/>
                      <w:color w:val="000000"/>
                      <w:kern w:val="0"/>
                      <w:szCs w:val="21"/>
                      <w:lang w:bidi="ar"/>
                    </w:rPr>
                    <w:t>符合</w:t>
                  </w:r>
                </w:p>
              </w:tc>
            </w:tr>
            <w:tr w14:paraId="5AAF7B82">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98" w:type="dxa"/>
                  <w:tcBorders>
                    <w:tl2br w:val="nil"/>
                    <w:tr2bl w:val="nil"/>
                  </w:tcBorders>
                  <w:vAlign w:val="center"/>
                </w:tcPr>
                <w:p w14:paraId="56B966D7">
                  <w:pPr>
                    <w:widowControl/>
                    <w:jc w:val="center"/>
                    <w:rPr>
                      <w:rFonts w:eastAsiaTheme="minorEastAsia"/>
                      <w:color w:val="000000"/>
                      <w:kern w:val="0"/>
                      <w:szCs w:val="21"/>
                      <w:lang w:bidi="ar"/>
                    </w:rPr>
                  </w:pPr>
                  <w:r>
                    <w:rPr>
                      <w:rFonts w:eastAsiaTheme="minorEastAsia"/>
                      <w:color w:val="000000"/>
                      <w:kern w:val="0"/>
                      <w:szCs w:val="21"/>
                      <w:lang w:bidi="ar"/>
                    </w:rPr>
                    <w:t>8</w:t>
                  </w:r>
                </w:p>
              </w:tc>
              <w:tc>
                <w:tcPr>
                  <w:tcW w:w="4173" w:type="dxa"/>
                  <w:tcBorders>
                    <w:tl2br w:val="nil"/>
                    <w:tr2bl w:val="nil"/>
                  </w:tcBorders>
                  <w:vAlign w:val="center"/>
                </w:tcPr>
                <w:p w14:paraId="21AB1A1A">
                  <w:pPr>
                    <w:widowControl/>
                    <w:jc w:val="center"/>
                    <w:rPr>
                      <w:rFonts w:eastAsiaTheme="minorEastAsia"/>
                      <w:color w:val="000000"/>
                      <w:kern w:val="0"/>
                      <w:szCs w:val="21"/>
                      <w:lang w:bidi="ar"/>
                    </w:rPr>
                  </w:pPr>
                  <w:r>
                    <w:rPr>
                      <w:rFonts w:eastAsiaTheme="minorEastAsia"/>
                      <w:color w:val="000000"/>
                      <w:kern w:val="0"/>
                      <w:szCs w:val="21"/>
                      <w:lang w:bidi="ar"/>
                    </w:rPr>
                    <w:t>4.3. 1  废铅蓄电池运输企业应执行 国家有关危险货物运输管理的规 定，具有对危险废物包装发生破裂、泄漏或其他事故进行处理的能 力。运输废铅蓄电池应采用符合要 求的专用运输工具。公路运输车辆 应按 GB13392 的规定悬挂相应标志；铁路运输和水路运输时，应在集装箱外按 GB190 的规定悬挂相 应标志。满足国家交通运输、环境 保护相关规定条件的废铅蓄电池，豁免运输企业资质、专业车辆和从业人员资格等道路危险货物运输 管理要求。</w:t>
                  </w:r>
                </w:p>
              </w:tc>
              <w:tc>
                <w:tcPr>
                  <w:tcW w:w="2427" w:type="dxa"/>
                  <w:tcBorders>
                    <w:tl2br w:val="nil"/>
                    <w:tr2bl w:val="nil"/>
                  </w:tcBorders>
                  <w:vAlign w:val="center"/>
                </w:tcPr>
                <w:p w14:paraId="3C1522AD">
                  <w:pPr>
                    <w:widowControl/>
                    <w:jc w:val="center"/>
                    <w:rPr>
                      <w:rFonts w:eastAsiaTheme="minorEastAsia"/>
                      <w:color w:val="000000"/>
                      <w:kern w:val="0"/>
                      <w:szCs w:val="21"/>
                      <w:lang w:bidi="ar"/>
                    </w:rPr>
                  </w:pPr>
                  <w:r>
                    <w:rPr>
                      <w:rFonts w:eastAsiaTheme="minorEastAsia"/>
                      <w:color w:val="000000"/>
                      <w:kern w:val="0"/>
                      <w:szCs w:val="21"/>
                      <w:lang w:bidi="ar"/>
                    </w:rPr>
                    <w:t>本项目废铅酸蓄电池的运输委托相关有资质的单位进行运输。废铅酸蓄电池进行转运、处理，转移过程执行《危险废物转移管理办法》的有关 规定。</w:t>
                  </w:r>
                </w:p>
              </w:tc>
              <w:tc>
                <w:tcPr>
                  <w:tcW w:w="427" w:type="dxa"/>
                  <w:tcBorders>
                    <w:tl2br w:val="nil"/>
                    <w:tr2bl w:val="nil"/>
                  </w:tcBorders>
                  <w:vAlign w:val="center"/>
                </w:tcPr>
                <w:p w14:paraId="11E0086A">
                  <w:pPr>
                    <w:widowControl/>
                    <w:jc w:val="center"/>
                    <w:rPr>
                      <w:rFonts w:eastAsiaTheme="minorEastAsia"/>
                      <w:color w:val="000000"/>
                      <w:kern w:val="0"/>
                      <w:szCs w:val="21"/>
                      <w:lang w:bidi="ar"/>
                    </w:rPr>
                  </w:pPr>
                  <w:r>
                    <w:rPr>
                      <w:rFonts w:eastAsiaTheme="minorEastAsia"/>
                      <w:color w:val="000000"/>
                      <w:kern w:val="0"/>
                      <w:szCs w:val="21"/>
                      <w:lang w:bidi="ar"/>
                    </w:rPr>
                    <w:t>符合</w:t>
                  </w:r>
                </w:p>
              </w:tc>
            </w:tr>
            <w:tr w14:paraId="7A720789">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98" w:type="dxa"/>
                  <w:tcBorders>
                    <w:tl2br w:val="nil"/>
                    <w:tr2bl w:val="nil"/>
                  </w:tcBorders>
                  <w:vAlign w:val="center"/>
                </w:tcPr>
                <w:p w14:paraId="1922227D">
                  <w:pPr>
                    <w:widowControl/>
                    <w:jc w:val="center"/>
                    <w:rPr>
                      <w:rFonts w:eastAsiaTheme="minorEastAsia"/>
                      <w:color w:val="000000"/>
                      <w:kern w:val="0"/>
                      <w:szCs w:val="21"/>
                      <w:lang w:bidi="ar"/>
                    </w:rPr>
                  </w:pPr>
                </w:p>
              </w:tc>
              <w:tc>
                <w:tcPr>
                  <w:tcW w:w="4173" w:type="dxa"/>
                  <w:tcBorders>
                    <w:tl2br w:val="nil"/>
                    <w:tr2bl w:val="nil"/>
                  </w:tcBorders>
                  <w:vAlign w:val="center"/>
                </w:tcPr>
                <w:p w14:paraId="4D91DD57">
                  <w:pPr>
                    <w:widowControl/>
                    <w:jc w:val="center"/>
                    <w:rPr>
                      <w:rFonts w:eastAsiaTheme="minorEastAsia"/>
                      <w:color w:val="000000"/>
                      <w:kern w:val="0"/>
                      <w:szCs w:val="21"/>
                      <w:lang w:bidi="ar"/>
                    </w:rPr>
                  </w:pPr>
                  <w:r>
                    <w:rPr>
                      <w:rFonts w:eastAsiaTheme="minorEastAsia"/>
                      <w:color w:val="000000"/>
                      <w:kern w:val="0"/>
                      <w:szCs w:val="21"/>
                      <w:lang w:bidi="ar"/>
                    </w:rPr>
                    <w:t>4.3.2 废铅蓄电池运输企业应制定 详细的运输方案及路线，并制定事 故应急预案，配备事故应急及个人 防护设备，以保证在收集、运输过程中发生事故时能有效防止对环境的污染。</w:t>
                  </w:r>
                </w:p>
              </w:tc>
              <w:tc>
                <w:tcPr>
                  <w:tcW w:w="2427" w:type="dxa"/>
                  <w:tcBorders>
                    <w:tl2br w:val="nil"/>
                    <w:tr2bl w:val="nil"/>
                  </w:tcBorders>
                  <w:vAlign w:val="center"/>
                </w:tcPr>
                <w:p w14:paraId="6FE53AD4">
                  <w:pPr>
                    <w:widowControl/>
                    <w:jc w:val="center"/>
                    <w:rPr>
                      <w:rFonts w:eastAsiaTheme="minorEastAsia"/>
                      <w:color w:val="000000"/>
                      <w:kern w:val="0"/>
                      <w:szCs w:val="21"/>
                      <w:lang w:bidi="ar"/>
                    </w:rPr>
                  </w:pPr>
                  <w:r>
                    <w:rPr>
                      <w:rFonts w:eastAsiaTheme="minorEastAsia"/>
                      <w:color w:val="000000"/>
                      <w:kern w:val="0"/>
                      <w:szCs w:val="21"/>
                      <w:lang w:bidi="ar"/>
                    </w:rPr>
                    <w:t>本项目废铅酸蓄电池的运输委托相关有资质的单位进行运输。废铅酸蓄电池进行转运、处理，转移过程执行《危险废物转移管理办法》的有关规定。</w:t>
                  </w:r>
                </w:p>
              </w:tc>
              <w:tc>
                <w:tcPr>
                  <w:tcW w:w="427" w:type="dxa"/>
                  <w:tcBorders>
                    <w:tl2br w:val="nil"/>
                    <w:tr2bl w:val="nil"/>
                  </w:tcBorders>
                  <w:vAlign w:val="center"/>
                </w:tcPr>
                <w:p w14:paraId="480ECA41">
                  <w:pPr>
                    <w:widowControl/>
                    <w:jc w:val="center"/>
                    <w:rPr>
                      <w:rFonts w:eastAsiaTheme="minorEastAsia"/>
                      <w:color w:val="000000"/>
                      <w:kern w:val="0"/>
                      <w:szCs w:val="21"/>
                      <w:lang w:bidi="ar"/>
                    </w:rPr>
                  </w:pPr>
                  <w:r>
                    <w:rPr>
                      <w:rFonts w:eastAsiaTheme="minorEastAsia"/>
                      <w:color w:val="000000"/>
                      <w:kern w:val="0"/>
                      <w:szCs w:val="21"/>
                      <w:lang w:bidi="ar"/>
                    </w:rPr>
                    <w:t>符合</w:t>
                  </w:r>
                </w:p>
              </w:tc>
            </w:tr>
            <w:tr w14:paraId="1EA097F5">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98" w:type="dxa"/>
                  <w:tcBorders>
                    <w:tl2br w:val="nil"/>
                    <w:tr2bl w:val="nil"/>
                  </w:tcBorders>
                  <w:vAlign w:val="center"/>
                </w:tcPr>
                <w:p w14:paraId="03981081">
                  <w:pPr>
                    <w:widowControl/>
                    <w:jc w:val="center"/>
                    <w:rPr>
                      <w:rFonts w:eastAsiaTheme="minorEastAsia"/>
                      <w:color w:val="000000"/>
                      <w:kern w:val="0"/>
                      <w:szCs w:val="21"/>
                      <w:lang w:bidi="ar"/>
                    </w:rPr>
                  </w:pPr>
                </w:p>
              </w:tc>
              <w:tc>
                <w:tcPr>
                  <w:tcW w:w="4173" w:type="dxa"/>
                  <w:tcBorders>
                    <w:tl2br w:val="nil"/>
                    <w:tr2bl w:val="nil"/>
                  </w:tcBorders>
                  <w:vAlign w:val="center"/>
                </w:tcPr>
                <w:p w14:paraId="7BBDD08B">
                  <w:pPr>
                    <w:widowControl/>
                    <w:jc w:val="center"/>
                    <w:rPr>
                      <w:rFonts w:eastAsiaTheme="minorEastAsia"/>
                      <w:color w:val="000000"/>
                      <w:kern w:val="0"/>
                      <w:szCs w:val="21"/>
                      <w:lang w:bidi="ar"/>
                    </w:rPr>
                  </w:pPr>
                  <w:r>
                    <w:rPr>
                      <w:rFonts w:eastAsiaTheme="minorEastAsia"/>
                      <w:color w:val="000000"/>
                      <w:kern w:val="0"/>
                      <w:szCs w:val="21"/>
                      <w:lang w:bidi="ar"/>
                    </w:rPr>
                    <w:t>4.3.3 废铅蓄电池运输时应采取有 效的包装措施，破损的废铅蓄电池 应放置于耐腐蚀的容器内，并采取 必要的防风、防雨、防渗漏、防遗 撒措施。</w:t>
                  </w:r>
                </w:p>
              </w:tc>
              <w:tc>
                <w:tcPr>
                  <w:tcW w:w="2427" w:type="dxa"/>
                  <w:tcBorders>
                    <w:tl2br w:val="nil"/>
                    <w:tr2bl w:val="nil"/>
                  </w:tcBorders>
                  <w:vAlign w:val="center"/>
                </w:tcPr>
                <w:p w14:paraId="3BF660BA">
                  <w:pPr>
                    <w:widowControl/>
                    <w:jc w:val="center"/>
                    <w:rPr>
                      <w:rFonts w:eastAsiaTheme="minorEastAsia"/>
                      <w:color w:val="000000"/>
                      <w:kern w:val="0"/>
                      <w:szCs w:val="21"/>
                      <w:lang w:bidi="ar"/>
                    </w:rPr>
                  </w:pPr>
                  <w:r>
                    <w:rPr>
                      <w:rFonts w:eastAsiaTheme="minorEastAsia"/>
                      <w:color w:val="000000"/>
                      <w:kern w:val="0"/>
                      <w:szCs w:val="21"/>
                      <w:lang w:bidi="ar"/>
                    </w:rPr>
                    <w:t>本项目废铅酸蓄电池的运输委托相关有资质的单位进行运输。废铅酸蓄电池进行转运、处理，转移过程执行《危险废物转移管理办法》的有关规定。</w:t>
                  </w:r>
                </w:p>
              </w:tc>
              <w:tc>
                <w:tcPr>
                  <w:tcW w:w="427" w:type="dxa"/>
                  <w:tcBorders>
                    <w:tl2br w:val="nil"/>
                    <w:tr2bl w:val="nil"/>
                  </w:tcBorders>
                  <w:vAlign w:val="center"/>
                </w:tcPr>
                <w:p w14:paraId="75E99FB3">
                  <w:pPr>
                    <w:widowControl/>
                    <w:jc w:val="center"/>
                    <w:rPr>
                      <w:rFonts w:eastAsiaTheme="minorEastAsia"/>
                      <w:color w:val="000000"/>
                      <w:kern w:val="0"/>
                      <w:szCs w:val="21"/>
                      <w:lang w:bidi="ar"/>
                    </w:rPr>
                  </w:pPr>
                  <w:r>
                    <w:rPr>
                      <w:rFonts w:eastAsiaTheme="minorEastAsia"/>
                      <w:color w:val="000000"/>
                      <w:kern w:val="0"/>
                      <w:szCs w:val="21"/>
                      <w:lang w:bidi="ar"/>
                    </w:rPr>
                    <w:t>符合</w:t>
                  </w:r>
                </w:p>
              </w:tc>
            </w:tr>
            <w:tr w14:paraId="4BE60F36">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98" w:type="dxa"/>
                  <w:tcBorders>
                    <w:tl2br w:val="nil"/>
                    <w:tr2bl w:val="nil"/>
                  </w:tcBorders>
                  <w:vAlign w:val="center"/>
                </w:tcPr>
                <w:p w14:paraId="11F24449">
                  <w:pPr>
                    <w:widowControl/>
                    <w:jc w:val="center"/>
                    <w:rPr>
                      <w:rFonts w:eastAsiaTheme="minorEastAsia"/>
                      <w:color w:val="000000"/>
                      <w:kern w:val="0"/>
                      <w:szCs w:val="21"/>
                      <w:lang w:bidi="ar"/>
                    </w:rPr>
                  </w:pPr>
                </w:p>
              </w:tc>
              <w:tc>
                <w:tcPr>
                  <w:tcW w:w="4173" w:type="dxa"/>
                  <w:tcBorders>
                    <w:tl2br w:val="nil"/>
                    <w:tr2bl w:val="nil"/>
                  </w:tcBorders>
                  <w:vAlign w:val="center"/>
                </w:tcPr>
                <w:p w14:paraId="1632536D">
                  <w:pPr>
                    <w:widowControl/>
                    <w:jc w:val="center"/>
                    <w:rPr>
                      <w:rFonts w:eastAsiaTheme="minorEastAsia"/>
                      <w:color w:val="000000"/>
                      <w:kern w:val="0"/>
                      <w:szCs w:val="21"/>
                      <w:lang w:bidi="ar"/>
                    </w:rPr>
                  </w:pPr>
                  <w:r>
                    <w:rPr>
                      <w:rFonts w:eastAsiaTheme="minorEastAsia"/>
                      <w:color w:val="000000"/>
                      <w:kern w:val="0"/>
                      <w:szCs w:val="21"/>
                      <w:lang w:bidi="ar"/>
                    </w:rPr>
                    <w:t>4.4.5  禁止将废铅蓄电池堆放在露 天场地，避免废铅蓄电池遭受雨淋 水浸。</w:t>
                  </w:r>
                </w:p>
              </w:tc>
              <w:tc>
                <w:tcPr>
                  <w:tcW w:w="2427" w:type="dxa"/>
                  <w:tcBorders>
                    <w:tl2br w:val="nil"/>
                    <w:tr2bl w:val="nil"/>
                  </w:tcBorders>
                  <w:vAlign w:val="center"/>
                </w:tcPr>
                <w:p w14:paraId="23B74B33">
                  <w:pPr>
                    <w:widowControl/>
                    <w:jc w:val="center"/>
                    <w:rPr>
                      <w:rFonts w:eastAsiaTheme="minorEastAsia"/>
                      <w:color w:val="000000"/>
                      <w:kern w:val="0"/>
                      <w:szCs w:val="21"/>
                      <w:lang w:bidi="ar"/>
                    </w:rPr>
                  </w:pPr>
                  <w:r>
                    <w:rPr>
                      <w:rFonts w:eastAsiaTheme="minorEastAsia"/>
                      <w:color w:val="000000"/>
                      <w:kern w:val="0"/>
                      <w:szCs w:val="21"/>
                      <w:lang w:bidi="ar"/>
                    </w:rPr>
                    <w:t>本项目废铅蓄电池贮存在</w:t>
                  </w:r>
                  <w:r>
                    <w:rPr>
                      <w:rFonts w:hint="eastAsia" w:eastAsiaTheme="minorEastAsia"/>
                      <w:color w:val="000000"/>
                      <w:kern w:val="0"/>
                      <w:szCs w:val="21"/>
                      <w:lang w:val="en-US" w:eastAsia="zh-CN" w:bidi="ar"/>
                    </w:rPr>
                    <w:t>废铅酸蓄电池贮存间</w:t>
                  </w:r>
                  <w:r>
                    <w:rPr>
                      <w:rFonts w:hint="eastAsia" w:eastAsiaTheme="minorEastAsia"/>
                      <w:color w:val="000000"/>
                      <w:kern w:val="0"/>
                      <w:szCs w:val="21"/>
                      <w:lang w:bidi="ar"/>
                    </w:rPr>
                    <w:t>内</w:t>
                  </w:r>
                  <w:r>
                    <w:rPr>
                      <w:rFonts w:eastAsiaTheme="minorEastAsia"/>
                      <w:color w:val="000000"/>
                      <w:kern w:val="0"/>
                      <w:szCs w:val="21"/>
                      <w:lang w:bidi="ar"/>
                    </w:rPr>
                    <w:t>，不会露天堆放，不会遭受雨淋水浸。</w:t>
                  </w:r>
                </w:p>
              </w:tc>
              <w:tc>
                <w:tcPr>
                  <w:tcW w:w="427" w:type="dxa"/>
                  <w:tcBorders>
                    <w:tl2br w:val="nil"/>
                    <w:tr2bl w:val="nil"/>
                  </w:tcBorders>
                  <w:vAlign w:val="center"/>
                </w:tcPr>
                <w:p w14:paraId="49CCABC2">
                  <w:pPr>
                    <w:widowControl/>
                    <w:jc w:val="center"/>
                    <w:rPr>
                      <w:rFonts w:eastAsiaTheme="minorEastAsia"/>
                      <w:color w:val="000000"/>
                      <w:kern w:val="0"/>
                      <w:szCs w:val="21"/>
                      <w:lang w:bidi="ar"/>
                    </w:rPr>
                  </w:pPr>
                  <w:r>
                    <w:rPr>
                      <w:rFonts w:eastAsiaTheme="minorEastAsia"/>
                      <w:color w:val="000000"/>
                      <w:kern w:val="0"/>
                      <w:szCs w:val="21"/>
                      <w:lang w:bidi="ar"/>
                    </w:rPr>
                    <w:t>符合</w:t>
                  </w:r>
                </w:p>
              </w:tc>
            </w:tr>
          </w:tbl>
          <w:p w14:paraId="53E26D5F">
            <w:pPr>
              <w:pStyle w:val="18"/>
              <w:tabs>
                <w:tab w:val="left" w:pos="929"/>
              </w:tabs>
              <w:spacing w:line="240" w:lineRule="auto"/>
              <w:ind w:left="0" w:leftChars="0"/>
              <w:rPr>
                <w:rFonts w:hint="eastAsia" w:ascii="宋体" w:hAnsi="宋体"/>
                <w:b/>
                <w:bCs/>
                <w:sz w:val="24"/>
              </w:rPr>
            </w:pPr>
            <w:r>
              <w:rPr>
                <w:rFonts w:hint="eastAsia" w:ascii="宋体" w:hAnsi="宋体"/>
                <w:b/>
                <w:bCs/>
                <w:sz w:val="24"/>
              </w:rPr>
              <w:t>14、本项目与挥发性有机物治理相关文件相符性分析</w:t>
            </w:r>
          </w:p>
          <w:p w14:paraId="308ABECA">
            <w:pPr>
              <w:pStyle w:val="18"/>
              <w:tabs>
                <w:tab w:val="left" w:pos="929"/>
              </w:tabs>
              <w:spacing w:line="240" w:lineRule="auto"/>
              <w:ind w:left="0" w:leftChars="0"/>
              <w:jc w:val="center"/>
            </w:pPr>
            <w:r>
              <w:rPr>
                <w:b/>
                <w:bCs/>
                <w:spacing w:val="6"/>
              </w:rPr>
              <w:t>表</w:t>
            </w:r>
            <w:r>
              <w:rPr>
                <w:rFonts w:eastAsia="Times New Roman"/>
                <w:b/>
                <w:bCs/>
                <w:spacing w:val="6"/>
              </w:rPr>
              <w:t>1</w:t>
            </w:r>
            <w:r>
              <w:rPr>
                <w:rFonts w:hint="eastAsia"/>
                <w:b/>
                <w:bCs/>
                <w:spacing w:val="6"/>
              </w:rPr>
              <w:t>9</w:t>
            </w:r>
            <w:r>
              <w:rPr>
                <w:rFonts w:eastAsia="Times New Roman"/>
                <w:b/>
                <w:bCs/>
                <w:spacing w:val="6"/>
              </w:rPr>
              <w:t xml:space="preserve">   </w:t>
            </w:r>
            <w:r>
              <w:rPr>
                <w:b/>
                <w:bCs/>
                <w:spacing w:val="6"/>
              </w:rPr>
              <w:t>与挥发性有机物治理相关文件相符性分析</w:t>
            </w:r>
          </w:p>
          <w:tbl>
            <w:tblPr>
              <w:tblStyle w:val="35"/>
              <w:tblW w:w="4998" w:type="pct"/>
              <w:jc w:val="center"/>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487"/>
              <w:gridCol w:w="3532"/>
              <w:gridCol w:w="2816"/>
              <w:gridCol w:w="696"/>
            </w:tblGrid>
            <w:tr w14:paraId="71FC3A0D">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07" w:hRule="atLeast"/>
                <w:jc w:val="center"/>
              </w:trPr>
              <w:tc>
                <w:tcPr>
                  <w:tcW w:w="323" w:type="pct"/>
                  <w:tcBorders>
                    <w:tl2br w:val="nil"/>
                    <w:tr2bl w:val="nil"/>
                  </w:tcBorders>
                  <w:vAlign w:val="center"/>
                </w:tcPr>
                <w:p w14:paraId="55C606BA">
                  <w:pPr>
                    <w:widowControl/>
                    <w:jc w:val="center"/>
                    <w:rPr>
                      <w:rFonts w:eastAsiaTheme="minorEastAsia"/>
                      <w:b/>
                      <w:bCs/>
                      <w:color w:val="000000"/>
                      <w:kern w:val="0"/>
                      <w:szCs w:val="21"/>
                      <w:lang w:bidi="ar"/>
                    </w:rPr>
                  </w:pPr>
                  <w:r>
                    <w:rPr>
                      <w:rFonts w:hint="eastAsia" w:eastAsiaTheme="minorEastAsia"/>
                      <w:b/>
                      <w:bCs/>
                      <w:color w:val="000000"/>
                      <w:kern w:val="0"/>
                      <w:szCs w:val="21"/>
                      <w:lang w:bidi="ar"/>
                    </w:rPr>
                    <w:t>序号</w:t>
                  </w:r>
                </w:p>
              </w:tc>
              <w:tc>
                <w:tcPr>
                  <w:tcW w:w="2344" w:type="pct"/>
                  <w:tcBorders>
                    <w:tl2br w:val="nil"/>
                    <w:tr2bl w:val="nil"/>
                  </w:tcBorders>
                  <w:vAlign w:val="center"/>
                </w:tcPr>
                <w:p w14:paraId="28FCE204">
                  <w:pPr>
                    <w:widowControl/>
                    <w:jc w:val="center"/>
                    <w:rPr>
                      <w:rFonts w:eastAsiaTheme="minorEastAsia"/>
                      <w:b/>
                      <w:bCs/>
                      <w:color w:val="000000"/>
                      <w:kern w:val="0"/>
                      <w:szCs w:val="21"/>
                      <w:lang w:bidi="ar"/>
                    </w:rPr>
                  </w:pPr>
                  <w:r>
                    <w:rPr>
                      <w:rFonts w:hint="eastAsia" w:eastAsiaTheme="minorEastAsia"/>
                      <w:b/>
                      <w:bCs/>
                      <w:color w:val="000000"/>
                      <w:kern w:val="0"/>
                      <w:szCs w:val="21"/>
                      <w:lang w:bidi="ar"/>
                    </w:rPr>
                    <w:t>《“十三五 ”挥发性有机物污染防治工作方案》（环大气〔2017〕121号）</w:t>
                  </w:r>
                </w:p>
              </w:tc>
              <w:tc>
                <w:tcPr>
                  <w:tcW w:w="1869" w:type="pct"/>
                  <w:tcBorders>
                    <w:tl2br w:val="nil"/>
                    <w:tr2bl w:val="nil"/>
                  </w:tcBorders>
                  <w:vAlign w:val="center"/>
                </w:tcPr>
                <w:p w14:paraId="08778222">
                  <w:pPr>
                    <w:widowControl/>
                    <w:jc w:val="center"/>
                    <w:rPr>
                      <w:rFonts w:eastAsiaTheme="minorEastAsia"/>
                      <w:b/>
                      <w:bCs/>
                      <w:color w:val="000000"/>
                      <w:kern w:val="0"/>
                      <w:szCs w:val="21"/>
                      <w:lang w:bidi="ar"/>
                    </w:rPr>
                  </w:pPr>
                  <w:r>
                    <w:rPr>
                      <w:rFonts w:hint="eastAsia" w:eastAsiaTheme="minorEastAsia"/>
                      <w:b/>
                      <w:bCs/>
                      <w:color w:val="000000"/>
                      <w:kern w:val="0"/>
                      <w:szCs w:val="21"/>
                      <w:lang w:bidi="ar"/>
                    </w:rPr>
                    <w:t>本项目情况</w:t>
                  </w:r>
                </w:p>
              </w:tc>
              <w:tc>
                <w:tcPr>
                  <w:tcW w:w="462" w:type="pct"/>
                  <w:tcBorders>
                    <w:tl2br w:val="nil"/>
                    <w:tr2bl w:val="nil"/>
                  </w:tcBorders>
                  <w:vAlign w:val="center"/>
                </w:tcPr>
                <w:p w14:paraId="6BC7FB2F">
                  <w:pPr>
                    <w:widowControl/>
                    <w:jc w:val="center"/>
                    <w:rPr>
                      <w:rFonts w:eastAsiaTheme="minorEastAsia"/>
                      <w:b/>
                      <w:bCs/>
                      <w:color w:val="000000"/>
                      <w:kern w:val="0"/>
                      <w:szCs w:val="21"/>
                      <w:lang w:bidi="ar"/>
                    </w:rPr>
                  </w:pPr>
                  <w:r>
                    <w:rPr>
                      <w:rFonts w:hint="eastAsia" w:eastAsiaTheme="minorEastAsia"/>
                      <w:b/>
                      <w:bCs/>
                      <w:color w:val="000000"/>
                      <w:kern w:val="0"/>
                      <w:szCs w:val="21"/>
                      <w:lang w:bidi="ar"/>
                    </w:rPr>
                    <w:t>相符性</w:t>
                  </w:r>
                </w:p>
              </w:tc>
            </w:tr>
            <w:tr w14:paraId="5A4BFE42">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323" w:type="pct"/>
                  <w:tcBorders>
                    <w:tl2br w:val="nil"/>
                    <w:tr2bl w:val="nil"/>
                  </w:tcBorders>
                  <w:vAlign w:val="center"/>
                </w:tcPr>
                <w:p w14:paraId="744BE7DA">
                  <w:pPr>
                    <w:widowControl/>
                    <w:jc w:val="center"/>
                    <w:rPr>
                      <w:rFonts w:eastAsiaTheme="minorEastAsia"/>
                      <w:color w:val="000000"/>
                      <w:kern w:val="0"/>
                      <w:szCs w:val="21"/>
                      <w:lang w:bidi="ar"/>
                    </w:rPr>
                  </w:pPr>
                  <w:r>
                    <w:rPr>
                      <w:rFonts w:eastAsiaTheme="minorEastAsia"/>
                      <w:color w:val="000000"/>
                      <w:kern w:val="0"/>
                      <w:szCs w:val="21"/>
                      <w:lang w:bidi="ar"/>
                    </w:rPr>
                    <w:t>1</w:t>
                  </w:r>
                </w:p>
              </w:tc>
              <w:tc>
                <w:tcPr>
                  <w:tcW w:w="2344" w:type="pct"/>
                  <w:tcBorders>
                    <w:tl2br w:val="nil"/>
                    <w:tr2bl w:val="nil"/>
                  </w:tcBorders>
                  <w:vAlign w:val="center"/>
                </w:tcPr>
                <w:p w14:paraId="1F0A7C06">
                  <w:pPr>
                    <w:widowControl/>
                    <w:jc w:val="center"/>
                    <w:rPr>
                      <w:rFonts w:eastAsiaTheme="minorEastAsia"/>
                      <w:color w:val="000000"/>
                      <w:kern w:val="0"/>
                      <w:szCs w:val="21"/>
                      <w:lang w:bidi="ar"/>
                    </w:rPr>
                  </w:pPr>
                  <w:r>
                    <w:rPr>
                      <w:rFonts w:eastAsiaTheme="minorEastAsia"/>
                      <w:color w:val="000000"/>
                      <w:kern w:val="0"/>
                      <w:szCs w:val="21"/>
                      <w:lang w:bidi="ar"/>
                    </w:rPr>
                    <w:t>加大产业结构调整力度1.加快推进“散乱污 ”企业综合整治。2.严格建设项目环境准入。3.实施工业企业错峰生产。</w:t>
                  </w:r>
                </w:p>
              </w:tc>
              <w:tc>
                <w:tcPr>
                  <w:tcW w:w="1869" w:type="pct"/>
                  <w:tcBorders>
                    <w:tl2br w:val="nil"/>
                    <w:tr2bl w:val="nil"/>
                  </w:tcBorders>
                  <w:vAlign w:val="center"/>
                </w:tcPr>
                <w:p w14:paraId="7044C652">
                  <w:pPr>
                    <w:widowControl/>
                    <w:jc w:val="center"/>
                    <w:rPr>
                      <w:rFonts w:eastAsiaTheme="minorEastAsia"/>
                      <w:color w:val="000000"/>
                      <w:kern w:val="0"/>
                      <w:szCs w:val="21"/>
                      <w:lang w:bidi="ar"/>
                    </w:rPr>
                  </w:pPr>
                  <w:r>
                    <w:rPr>
                      <w:rFonts w:eastAsiaTheme="minorEastAsia"/>
                      <w:color w:val="000000"/>
                      <w:kern w:val="0"/>
                      <w:szCs w:val="21"/>
                      <w:lang w:bidi="ar"/>
                    </w:rPr>
                    <w:t>本项目不属于“散乱污 ”企业。</w:t>
                  </w:r>
                </w:p>
              </w:tc>
              <w:tc>
                <w:tcPr>
                  <w:tcW w:w="462" w:type="pct"/>
                  <w:tcBorders>
                    <w:tl2br w:val="nil"/>
                    <w:tr2bl w:val="nil"/>
                  </w:tcBorders>
                  <w:vAlign w:val="center"/>
                </w:tcPr>
                <w:p w14:paraId="19793752">
                  <w:pPr>
                    <w:widowControl/>
                    <w:jc w:val="center"/>
                    <w:rPr>
                      <w:rFonts w:eastAsiaTheme="minorEastAsia"/>
                      <w:color w:val="000000"/>
                      <w:kern w:val="0"/>
                      <w:szCs w:val="21"/>
                      <w:lang w:bidi="ar"/>
                    </w:rPr>
                  </w:pPr>
                  <w:r>
                    <w:rPr>
                      <w:rFonts w:eastAsiaTheme="minorEastAsia"/>
                      <w:color w:val="000000"/>
                      <w:kern w:val="0"/>
                      <w:szCs w:val="21"/>
                      <w:lang w:bidi="ar"/>
                    </w:rPr>
                    <w:t>符合</w:t>
                  </w:r>
                </w:p>
              </w:tc>
            </w:tr>
            <w:tr w14:paraId="622FA479">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323" w:type="pct"/>
                  <w:tcBorders>
                    <w:tl2br w:val="nil"/>
                    <w:tr2bl w:val="nil"/>
                  </w:tcBorders>
                  <w:vAlign w:val="center"/>
                </w:tcPr>
                <w:p w14:paraId="30661008">
                  <w:pPr>
                    <w:widowControl/>
                    <w:jc w:val="center"/>
                    <w:rPr>
                      <w:rFonts w:eastAsiaTheme="minorEastAsia"/>
                      <w:color w:val="000000"/>
                      <w:kern w:val="0"/>
                      <w:szCs w:val="21"/>
                      <w:lang w:bidi="ar"/>
                    </w:rPr>
                  </w:pPr>
                  <w:r>
                    <w:rPr>
                      <w:rFonts w:eastAsiaTheme="minorEastAsia"/>
                      <w:color w:val="000000"/>
                      <w:kern w:val="0"/>
                      <w:szCs w:val="21"/>
                      <w:lang w:bidi="ar"/>
                    </w:rPr>
                    <w:t>2</w:t>
                  </w:r>
                </w:p>
              </w:tc>
              <w:tc>
                <w:tcPr>
                  <w:tcW w:w="2344" w:type="pct"/>
                  <w:tcBorders>
                    <w:tl2br w:val="nil"/>
                    <w:tr2bl w:val="nil"/>
                  </w:tcBorders>
                  <w:vAlign w:val="center"/>
                </w:tcPr>
                <w:p w14:paraId="5681C584">
                  <w:pPr>
                    <w:widowControl/>
                    <w:jc w:val="center"/>
                    <w:rPr>
                      <w:rFonts w:eastAsiaTheme="minorEastAsia"/>
                      <w:color w:val="000000"/>
                      <w:kern w:val="0"/>
                      <w:szCs w:val="21"/>
                      <w:lang w:bidi="ar"/>
                    </w:rPr>
                  </w:pPr>
                  <w:r>
                    <w:rPr>
                      <w:rFonts w:eastAsiaTheme="minorEastAsia"/>
                      <w:color w:val="000000"/>
                      <w:kern w:val="0"/>
                      <w:szCs w:val="21"/>
                      <w:lang w:bidi="ar"/>
                    </w:rPr>
                    <w:t>加快实施工业源 VOCs 污染防治2.加快推进化工行业 VOCs 综合治理。加大制药、农药、煤化工（含现代煤化工、炼焦、合成氨等）、橡胶制品、涂料、油墨、胶粘剂、染料、化学助剂（塑料助剂和橡胶助剂）、日用化工等化工行业 VOCs 治理力度。</w:t>
                  </w:r>
                </w:p>
              </w:tc>
              <w:tc>
                <w:tcPr>
                  <w:tcW w:w="1869" w:type="pct"/>
                  <w:tcBorders>
                    <w:tl2br w:val="nil"/>
                    <w:tr2bl w:val="nil"/>
                  </w:tcBorders>
                  <w:vAlign w:val="center"/>
                </w:tcPr>
                <w:p w14:paraId="4B834526">
                  <w:pPr>
                    <w:widowControl/>
                    <w:jc w:val="center"/>
                    <w:rPr>
                      <w:rFonts w:eastAsiaTheme="minorEastAsia"/>
                      <w:color w:val="000000"/>
                      <w:kern w:val="0"/>
                      <w:szCs w:val="21"/>
                      <w:lang w:bidi="ar"/>
                    </w:rPr>
                  </w:pPr>
                  <w:r>
                    <w:rPr>
                      <w:rFonts w:eastAsiaTheme="minorEastAsia"/>
                      <w:color w:val="000000"/>
                      <w:kern w:val="0"/>
                      <w:szCs w:val="21"/>
                      <w:lang w:bidi="ar"/>
                    </w:rPr>
                    <w:t xml:space="preserve">本项目生产过程产生的有机废气来源于预拆解单元。预处理工序产生的有机废气经集气罩收集后引至二级活性炭箱处理后，通过 1 根 </w:t>
                  </w:r>
                  <w:r>
                    <w:rPr>
                      <w:rFonts w:hint="eastAsia" w:eastAsiaTheme="minorEastAsia"/>
                      <w:color w:val="000000"/>
                      <w:kern w:val="0"/>
                      <w:szCs w:val="21"/>
                      <w:lang w:eastAsia="zh-CN" w:bidi="ar"/>
                    </w:rPr>
                    <w:t>26m</w:t>
                  </w:r>
                  <w:r>
                    <w:rPr>
                      <w:rFonts w:eastAsiaTheme="minorEastAsia"/>
                      <w:color w:val="000000"/>
                      <w:kern w:val="0"/>
                      <w:szCs w:val="21"/>
                      <w:lang w:bidi="ar"/>
                    </w:rPr>
                    <w:t>高排气筒 （DA001）排放。</w:t>
                  </w:r>
                </w:p>
              </w:tc>
              <w:tc>
                <w:tcPr>
                  <w:tcW w:w="462" w:type="pct"/>
                  <w:tcBorders>
                    <w:tl2br w:val="nil"/>
                    <w:tr2bl w:val="nil"/>
                  </w:tcBorders>
                  <w:vAlign w:val="center"/>
                </w:tcPr>
                <w:p w14:paraId="0600A7BD">
                  <w:pPr>
                    <w:widowControl/>
                    <w:jc w:val="center"/>
                    <w:rPr>
                      <w:rFonts w:eastAsiaTheme="minorEastAsia"/>
                      <w:color w:val="000000"/>
                      <w:kern w:val="0"/>
                      <w:szCs w:val="21"/>
                      <w:lang w:bidi="ar"/>
                    </w:rPr>
                  </w:pPr>
                  <w:r>
                    <w:rPr>
                      <w:rFonts w:eastAsiaTheme="minorEastAsia"/>
                      <w:color w:val="000000"/>
                      <w:kern w:val="0"/>
                      <w:szCs w:val="21"/>
                      <w:lang w:bidi="ar"/>
                    </w:rPr>
                    <w:t>符合</w:t>
                  </w:r>
                </w:p>
              </w:tc>
            </w:tr>
            <w:tr w14:paraId="46E07B5E">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323" w:type="pct"/>
                  <w:tcBorders>
                    <w:tl2br w:val="nil"/>
                    <w:tr2bl w:val="nil"/>
                  </w:tcBorders>
                  <w:vAlign w:val="center"/>
                </w:tcPr>
                <w:p w14:paraId="58C5933E">
                  <w:pPr>
                    <w:widowControl/>
                    <w:jc w:val="center"/>
                    <w:rPr>
                      <w:rFonts w:eastAsiaTheme="minorEastAsia"/>
                      <w:b/>
                      <w:bCs/>
                      <w:color w:val="000000"/>
                      <w:kern w:val="0"/>
                      <w:szCs w:val="21"/>
                      <w:lang w:bidi="ar"/>
                    </w:rPr>
                  </w:pPr>
                  <w:r>
                    <w:rPr>
                      <w:rFonts w:hint="eastAsia" w:eastAsiaTheme="minorEastAsia"/>
                      <w:b/>
                      <w:bCs/>
                      <w:color w:val="000000"/>
                      <w:kern w:val="0"/>
                      <w:szCs w:val="21"/>
                      <w:lang w:bidi="ar"/>
                    </w:rPr>
                    <w:t>序号</w:t>
                  </w:r>
                </w:p>
              </w:tc>
              <w:tc>
                <w:tcPr>
                  <w:tcW w:w="2344" w:type="pct"/>
                  <w:tcBorders>
                    <w:tl2br w:val="nil"/>
                    <w:tr2bl w:val="nil"/>
                  </w:tcBorders>
                  <w:vAlign w:val="center"/>
                </w:tcPr>
                <w:p w14:paraId="2EAE90D5">
                  <w:pPr>
                    <w:widowControl/>
                    <w:jc w:val="center"/>
                    <w:rPr>
                      <w:rFonts w:eastAsiaTheme="minorEastAsia"/>
                      <w:b/>
                      <w:bCs/>
                      <w:color w:val="000000"/>
                      <w:kern w:val="0"/>
                      <w:szCs w:val="21"/>
                      <w:lang w:bidi="ar"/>
                    </w:rPr>
                  </w:pPr>
                  <w:r>
                    <w:rPr>
                      <w:rFonts w:hint="eastAsia" w:eastAsiaTheme="minorEastAsia"/>
                      <w:b/>
                      <w:bCs/>
                      <w:color w:val="000000"/>
                      <w:kern w:val="0"/>
                      <w:szCs w:val="21"/>
                      <w:lang w:bidi="ar"/>
                    </w:rPr>
                    <w:t>《辽宁省“十三五”挥发性有机物污染防治与削减工作实施方案》（辽环 发〔2018〕69 号）</w:t>
                  </w:r>
                </w:p>
              </w:tc>
              <w:tc>
                <w:tcPr>
                  <w:tcW w:w="1869" w:type="pct"/>
                  <w:tcBorders>
                    <w:tl2br w:val="nil"/>
                    <w:tr2bl w:val="nil"/>
                  </w:tcBorders>
                  <w:vAlign w:val="center"/>
                </w:tcPr>
                <w:p w14:paraId="79F71703">
                  <w:pPr>
                    <w:widowControl/>
                    <w:jc w:val="center"/>
                    <w:rPr>
                      <w:rFonts w:eastAsiaTheme="minorEastAsia"/>
                      <w:b/>
                      <w:bCs/>
                      <w:color w:val="000000"/>
                      <w:kern w:val="0"/>
                      <w:szCs w:val="21"/>
                      <w:lang w:bidi="ar"/>
                    </w:rPr>
                  </w:pPr>
                  <w:r>
                    <w:rPr>
                      <w:rFonts w:hint="eastAsia" w:eastAsiaTheme="minorEastAsia"/>
                      <w:b/>
                      <w:bCs/>
                      <w:color w:val="000000"/>
                      <w:kern w:val="0"/>
                      <w:szCs w:val="21"/>
                      <w:lang w:bidi="ar"/>
                    </w:rPr>
                    <w:t>本项目情况</w:t>
                  </w:r>
                </w:p>
              </w:tc>
              <w:tc>
                <w:tcPr>
                  <w:tcW w:w="462" w:type="pct"/>
                  <w:tcBorders>
                    <w:tl2br w:val="nil"/>
                    <w:tr2bl w:val="nil"/>
                  </w:tcBorders>
                  <w:vAlign w:val="center"/>
                </w:tcPr>
                <w:p w14:paraId="173AD3EA">
                  <w:pPr>
                    <w:widowControl/>
                    <w:jc w:val="center"/>
                    <w:rPr>
                      <w:rFonts w:eastAsiaTheme="minorEastAsia"/>
                      <w:b/>
                      <w:bCs/>
                      <w:color w:val="000000"/>
                      <w:kern w:val="0"/>
                      <w:szCs w:val="21"/>
                      <w:lang w:bidi="ar"/>
                    </w:rPr>
                  </w:pPr>
                  <w:r>
                    <w:rPr>
                      <w:rFonts w:hint="eastAsia" w:eastAsiaTheme="minorEastAsia"/>
                      <w:b/>
                      <w:bCs/>
                      <w:color w:val="000000"/>
                      <w:kern w:val="0"/>
                      <w:szCs w:val="21"/>
                      <w:lang w:bidi="ar"/>
                    </w:rPr>
                    <w:t>相符性</w:t>
                  </w:r>
                </w:p>
              </w:tc>
            </w:tr>
            <w:tr w14:paraId="4905EEF7">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323" w:type="pct"/>
                  <w:tcBorders>
                    <w:tl2br w:val="nil"/>
                    <w:tr2bl w:val="nil"/>
                  </w:tcBorders>
                  <w:vAlign w:val="center"/>
                </w:tcPr>
                <w:p w14:paraId="2CE9AA4E">
                  <w:pPr>
                    <w:widowControl/>
                    <w:jc w:val="center"/>
                    <w:rPr>
                      <w:rFonts w:eastAsiaTheme="minorEastAsia"/>
                      <w:color w:val="000000"/>
                      <w:kern w:val="0"/>
                      <w:szCs w:val="21"/>
                      <w:lang w:bidi="ar"/>
                    </w:rPr>
                  </w:pPr>
                  <w:r>
                    <w:rPr>
                      <w:rFonts w:hint="eastAsia" w:eastAsiaTheme="minorEastAsia"/>
                      <w:color w:val="000000"/>
                      <w:kern w:val="0"/>
                      <w:szCs w:val="21"/>
                      <w:lang w:bidi="ar"/>
                    </w:rPr>
                    <w:t>1</w:t>
                  </w:r>
                </w:p>
              </w:tc>
              <w:tc>
                <w:tcPr>
                  <w:tcW w:w="2344" w:type="pct"/>
                  <w:tcBorders>
                    <w:tl2br w:val="nil"/>
                    <w:tr2bl w:val="nil"/>
                  </w:tcBorders>
                  <w:vAlign w:val="center"/>
                </w:tcPr>
                <w:p w14:paraId="1B372E0E">
                  <w:pPr>
                    <w:widowControl/>
                    <w:jc w:val="center"/>
                    <w:rPr>
                      <w:rFonts w:eastAsiaTheme="minorEastAsia"/>
                      <w:color w:val="000000"/>
                      <w:kern w:val="0"/>
                      <w:szCs w:val="21"/>
                      <w:lang w:bidi="ar"/>
                    </w:rPr>
                  </w:pPr>
                  <w:r>
                    <w:rPr>
                      <w:rFonts w:eastAsiaTheme="minorEastAsia"/>
                      <w:color w:val="000000"/>
                      <w:kern w:val="0"/>
                      <w:szCs w:val="21"/>
                      <w:lang w:bidi="ar"/>
                    </w:rPr>
                    <w:t>大力实施产业结构调整加快推进“散乱污 ”企业综合整治</w:t>
                  </w:r>
                </w:p>
              </w:tc>
              <w:tc>
                <w:tcPr>
                  <w:tcW w:w="1869" w:type="pct"/>
                  <w:tcBorders>
                    <w:tl2br w:val="nil"/>
                    <w:tr2bl w:val="nil"/>
                  </w:tcBorders>
                  <w:vAlign w:val="center"/>
                </w:tcPr>
                <w:p w14:paraId="2EEEA003">
                  <w:pPr>
                    <w:widowControl/>
                    <w:jc w:val="center"/>
                    <w:rPr>
                      <w:rFonts w:eastAsiaTheme="minorEastAsia"/>
                      <w:color w:val="000000"/>
                      <w:kern w:val="0"/>
                      <w:szCs w:val="21"/>
                      <w:lang w:bidi="ar"/>
                    </w:rPr>
                  </w:pPr>
                  <w:r>
                    <w:rPr>
                      <w:rFonts w:eastAsiaTheme="minorEastAsia"/>
                      <w:color w:val="000000"/>
                      <w:kern w:val="0"/>
                      <w:szCs w:val="21"/>
                      <w:lang w:bidi="ar"/>
                    </w:rPr>
                    <w:t>本项目不属于“散乱污 ”企业。</w:t>
                  </w:r>
                </w:p>
              </w:tc>
              <w:tc>
                <w:tcPr>
                  <w:tcW w:w="462" w:type="pct"/>
                  <w:tcBorders>
                    <w:tl2br w:val="nil"/>
                    <w:tr2bl w:val="nil"/>
                  </w:tcBorders>
                  <w:vAlign w:val="center"/>
                </w:tcPr>
                <w:p w14:paraId="137D4D2A">
                  <w:pPr>
                    <w:widowControl/>
                    <w:jc w:val="center"/>
                    <w:rPr>
                      <w:rFonts w:eastAsiaTheme="minorEastAsia"/>
                      <w:color w:val="000000"/>
                      <w:kern w:val="0"/>
                      <w:szCs w:val="21"/>
                      <w:lang w:bidi="ar"/>
                    </w:rPr>
                  </w:pPr>
                  <w:r>
                    <w:rPr>
                      <w:rFonts w:eastAsiaTheme="minorEastAsia"/>
                      <w:color w:val="000000"/>
                      <w:kern w:val="0"/>
                      <w:szCs w:val="21"/>
                      <w:lang w:bidi="ar"/>
                    </w:rPr>
                    <w:t>符合</w:t>
                  </w:r>
                </w:p>
              </w:tc>
            </w:tr>
            <w:tr w14:paraId="60DBCA25">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323" w:type="pct"/>
                  <w:tcBorders>
                    <w:tl2br w:val="nil"/>
                    <w:tr2bl w:val="nil"/>
                  </w:tcBorders>
                  <w:vAlign w:val="center"/>
                </w:tcPr>
                <w:p w14:paraId="03AD681B">
                  <w:pPr>
                    <w:widowControl/>
                    <w:jc w:val="center"/>
                    <w:rPr>
                      <w:rFonts w:eastAsiaTheme="minorEastAsia"/>
                      <w:color w:val="000000"/>
                      <w:kern w:val="0"/>
                      <w:szCs w:val="21"/>
                      <w:lang w:bidi="ar"/>
                    </w:rPr>
                  </w:pPr>
                  <w:r>
                    <w:rPr>
                      <w:rFonts w:hint="eastAsia" w:eastAsiaTheme="minorEastAsia"/>
                      <w:color w:val="000000"/>
                      <w:kern w:val="0"/>
                      <w:szCs w:val="21"/>
                      <w:lang w:bidi="ar"/>
                    </w:rPr>
                    <w:t>2</w:t>
                  </w:r>
                </w:p>
              </w:tc>
              <w:tc>
                <w:tcPr>
                  <w:tcW w:w="2344" w:type="pct"/>
                  <w:tcBorders>
                    <w:tl2br w:val="nil"/>
                    <w:tr2bl w:val="nil"/>
                  </w:tcBorders>
                  <w:vAlign w:val="center"/>
                </w:tcPr>
                <w:p w14:paraId="2E7F7647">
                  <w:pPr>
                    <w:widowControl/>
                    <w:jc w:val="center"/>
                    <w:rPr>
                      <w:rFonts w:eastAsiaTheme="minorEastAsia"/>
                      <w:color w:val="000000"/>
                      <w:kern w:val="0"/>
                      <w:szCs w:val="21"/>
                      <w:lang w:bidi="ar"/>
                    </w:rPr>
                  </w:pPr>
                  <w:r>
                    <w:rPr>
                      <w:rFonts w:eastAsiaTheme="minorEastAsia"/>
                      <w:color w:val="000000"/>
                      <w:kern w:val="0"/>
                      <w:szCs w:val="21"/>
                      <w:lang w:bidi="ar"/>
                    </w:rPr>
                    <w:t>严格建设项目环境准入。</w:t>
                  </w:r>
                </w:p>
              </w:tc>
              <w:tc>
                <w:tcPr>
                  <w:tcW w:w="1869" w:type="pct"/>
                  <w:tcBorders>
                    <w:tl2br w:val="nil"/>
                    <w:tr2bl w:val="nil"/>
                  </w:tcBorders>
                  <w:vAlign w:val="center"/>
                </w:tcPr>
                <w:p w14:paraId="6AE94A8C">
                  <w:pPr>
                    <w:widowControl/>
                    <w:jc w:val="center"/>
                    <w:rPr>
                      <w:rFonts w:eastAsiaTheme="minorEastAsia"/>
                      <w:color w:val="000000"/>
                      <w:kern w:val="0"/>
                      <w:szCs w:val="21"/>
                      <w:lang w:bidi="ar"/>
                    </w:rPr>
                  </w:pPr>
                  <w:r>
                    <w:rPr>
                      <w:rFonts w:eastAsiaTheme="minorEastAsia"/>
                      <w:color w:val="000000"/>
                      <w:kern w:val="0"/>
                      <w:szCs w:val="21"/>
                      <w:lang w:bidi="ar"/>
                    </w:rPr>
                    <w:t>本项目不属于淘汰类、限制类项目，本项目属于鼓励类项目，符合国家产业政策。</w:t>
                  </w:r>
                </w:p>
              </w:tc>
              <w:tc>
                <w:tcPr>
                  <w:tcW w:w="462" w:type="pct"/>
                  <w:tcBorders>
                    <w:tl2br w:val="nil"/>
                    <w:tr2bl w:val="nil"/>
                  </w:tcBorders>
                  <w:vAlign w:val="center"/>
                </w:tcPr>
                <w:p w14:paraId="12DDC503">
                  <w:pPr>
                    <w:widowControl/>
                    <w:jc w:val="center"/>
                    <w:rPr>
                      <w:rFonts w:eastAsiaTheme="minorEastAsia"/>
                      <w:color w:val="000000"/>
                      <w:kern w:val="0"/>
                      <w:szCs w:val="21"/>
                      <w:lang w:bidi="ar"/>
                    </w:rPr>
                  </w:pPr>
                  <w:r>
                    <w:rPr>
                      <w:rFonts w:eastAsiaTheme="minorEastAsia"/>
                      <w:color w:val="000000"/>
                      <w:kern w:val="0"/>
                      <w:szCs w:val="21"/>
                      <w:lang w:bidi="ar"/>
                    </w:rPr>
                    <w:t>符合</w:t>
                  </w:r>
                </w:p>
              </w:tc>
            </w:tr>
            <w:tr w14:paraId="0A789CEF">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323" w:type="pct"/>
                  <w:tcBorders>
                    <w:tl2br w:val="nil"/>
                    <w:tr2bl w:val="nil"/>
                  </w:tcBorders>
                  <w:vAlign w:val="center"/>
                </w:tcPr>
                <w:p w14:paraId="6AE6E746">
                  <w:pPr>
                    <w:widowControl/>
                    <w:jc w:val="center"/>
                    <w:rPr>
                      <w:rFonts w:eastAsiaTheme="minorEastAsia"/>
                      <w:color w:val="000000"/>
                      <w:kern w:val="0"/>
                      <w:szCs w:val="21"/>
                      <w:lang w:bidi="ar"/>
                    </w:rPr>
                  </w:pPr>
                  <w:r>
                    <w:rPr>
                      <w:rFonts w:hint="eastAsia" w:eastAsiaTheme="minorEastAsia"/>
                      <w:color w:val="000000"/>
                      <w:kern w:val="0"/>
                      <w:szCs w:val="21"/>
                      <w:lang w:bidi="ar"/>
                    </w:rPr>
                    <w:t>3</w:t>
                  </w:r>
                </w:p>
              </w:tc>
              <w:tc>
                <w:tcPr>
                  <w:tcW w:w="2344" w:type="pct"/>
                  <w:tcBorders>
                    <w:tl2br w:val="nil"/>
                    <w:tr2bl w:val="nil"/>
                  </w:tcBorders>
                  <w:vAlign w:val="center"/>
                </w:tcPr>
                <w:p w14:paraId="37434F9B">
                  <w:pPr>
                    <w:widowControl/>
                    <w:jc w:val="center"/>
                    <w:rPr>
                      <w:rFonts w:eastAsiaTheme="minorEastAsia"/>
                      <w:color w:val="000000"/>
                      <w:kern w:val="0"/>
                      <w:szCs w:val="21"/>
                      <w:lang w:bidi="ar"/>
                    </w:rPr>
                  </w:pPr>
                  <w:r>
                    <w:rPr>
                      <w:rFonts w:eastAsiaTheme="minorEastAsia"/>
                      <w:color w:val="000000"/>
                      <w:kern w:val="0"/>
                      <w:szCs w:val="21"/>
                      <w:lang w:bidi="ar"/>
                    </w:rPr>
                    <w:t>强化重点企业减排调控。</w:t>
                  </w:r>
                </w:p>
              </w:tc>
              <w:tc>
                <w:tcPr>
                  <w:tcW w:w="1869" w:type="pct"/>
                  <w:tcBorders>
                    <w:tl2br w:val="nil"/>
                    <w:tr2bl w:val="nil"/>
                  </w:tcBorders>
                  <w:vAlign w:val="center"/>
                </w:tcPr>
                <w:p w14:paraId="2C51CBCB">
                  <w:pPr>
                    <w:widowControl/>
                    <w:jc w:val="center"/>
                    <w:rPr>
                      <w:rFonts w:eastAsiaTheme="minorEastAsia"/>
                      <w:color w:val="000000"/>
                      <w:kern w:val="0"/>
                      <w:szCs w:val="21"/>
                      <w:lang w:bidi="ar"/>
                    </w:rPr>
                  </w:pPr>
                  <w:r>
                    <w:rPr>
                      <w:rFonts w:eastAsiaTheme="minorEastAsia"/>
                      <w:color w:val="000000"/>
                      <w:kern w:val="0"/>
                      <w:szCs w:val="21"/>
                      <w:lang w:bidi="ar"/>
                    </w:rPr>
                    <w:t>发生重污染天气，企业应根据重污染天气应急预案要求进行停产调控。</w:t>
                  </w:r>
                </w:p>
              </w:tc>
              <w:tc>
                <w:tcPr>
                  <w:tcW w:w="462" w:type="pct"/>
                  <w:tcBorders>
                    <w:tl2br w:val="nil"/>
                    <w:tr2bl w:val="nil"/>
                  </w:tcBorders>
                  <w:vAlign w:val="center"/>
                </w:tcPr>
                <w:p w14:paraId="59040675">
                  <w:pPr>
                    <w:widowControl/>
                    <w:jc w:val="center"/>
                    <w:rPr>
                      <w:rFonts w:eastAsiaTheme="minorEastAsia"/>
                      <w:color w:val="000000"/>
                      <w:kern w:val="0"/>
                      <w:szCs w:val="21"/>
                      <w:lang w:bidi="ar"/>
                    </w:rPr>
                  </w:pPr>
                  <w:r>
                    <w:rPr>
                      <w:rFonts w:eastAsiaTheme="minorEastAsia"/>
                      <w:color w:val="000000"/>
                      <w:kern w:val="0"/>
                      <w:szCs w:val="21"/>
                      <w:lang w:bidi="ar"/>
                    </w:rPr>
                    <w:t>符合</w:t>
                  </w:r>
                </w:p>
              </w:tc>
            </w:tr>
            <w:tr w14:paraId="0A399ABD">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323" w:type="pct"/>
                  <w:tcBorders>
                    <w:tl2br w:val="nil"/>
                    <w:tr2bl w:val="nil"/>
                  </w:tcBorders>
                  <w:vAlign w:val="center"/>
                </w:tcPr>
                <w:p w14:paraId="50293BEA">
                  <w:pPr>
                    <w:widowControl/>
                    <w:jc w:val="center"/>
                    <w:rPr>
                      <w:rFonts w:eastAsiaTheme="minorEastAsia"/>
                      <w:color w:val="000000"/>
                      <w:kern w:val="0"/>
                      <w:szCs w:val="21"/>
                      <w:lang w:bidi="ar"/>
                    </w:rPr>
                  </w:pPr>
                  <w:r>
                    <w:rPr>
                      <w:rFonts w:hint="eastAsia" w:eastAsiaTheme="minorEastAsia"/>
                      <w:color w:val="000000"/>
                      <w:kern w:val="0"/>
                      <w:szCs w:val="21"/>
                      <w:lang w:bidi="ar"/>
                    </w:rPr>
                    <w:t>4</w:t>
                  </w:r>
                </w:p>
              </w:tc>
              <w:tc>
                <w:tcPr>
                  <w:tcW w:w="2344" w:type="pct"/>
                  <w:tcBorders>
                    <w:tl2br w:val="nil"/>
                    <w:tr2bl w:val="nil"/>
                  </w:tcBorders>
                  <w:vAlign w:val="center"/>
                </w:tcPr>
                <w:p w14:paraId="58EC5799">
                  <w:pPr>
                    <w:widowControl/>
                    <w:jc w:val="center"/>
                    <w:rPr>
                      <w:rFonts w:eastAsiaTheme="minorEastAsia"/>
                      <w:color w:val="000000"/>
                      <w:kern w:val="0"/>
                      <w:szCs w:val="21"/>
                      <w:lang w:bidi="ar"/>
                    </w:rPr>
                  </w:pPr>
                  <w:r>
                    <w:rPr>
                      <w:rFonts w:eastAsiaTheme="minorEastAsia"/>
                      <w:color w:val="000000"/>
                      <w:kern w:val="0"/>
                      <w:szCs w:val="21"/>
                      <w:lang w:bidi="ar"/>
                    </w:rPr>
                    <w:t>深入推进工业源 VOCs 减排</w:t>
                  </w:r>
                </w:p>
                <w:p w14:paraId="7DE96F61">
                  <w:pPr>
                    <w:widowControl/>
                    <w:jc w:val="center"/>
                    <w:rPr>
                      <w:rFonts w:eastAsiaTheme="minorEastAsia"/>
                      <w:color w:val="000000"/>
                      <w:kern w:val="0"/>
                      <w:szCs w:val="21"/>
                      <w:lang w:bidi="ar"/>
                    </w:rPr>
                  </w:pPr>
                  <w:r>
                    <w:rPr>
                      <w:rFonts w:eastAsiaTheme="minorEastAsia"/>
                      <w:color w:val="000000"/>
                      <w:kern w:val="0"/>
                      <w:szCs w:val="21"/>
                      <w:lang w:bidi="ar"/>
                    </w:rPr>
                    <w:t>加快推进化工行业 VOCs 综合治理。</w:t>
                  </w:r>
                </w:p>
              </w:tc>
              <w:tc>
                <w:tcPr>
                  <w:tcW w:w="1869" w:type="pct"/>
                  <w:tcBorders>
                    <w:tl2br w:val="nil"/>
                    <w:tr2bl w:val="nil"/>
                  </w:tcBorders>
                  <w:vAlign w:val="center"/>
                </w:tcPr>
                <w:p w14:paraId="7F62E488">
                  <w:pPr>
                    <w:widowControl/>
                    <w:jc w:val="center"/>
                    <w:rPr>
                      <w:rFonts w:eastAsiaTheme="minorEastAsia"/>
                      <w:color w:val="000000"/>
                      <w:kern w:val="0"/>
                      <w:szCs w:val="21"/>
                      <w:lang w:bidi="ar"/>
                    </w:rPr>
                  </w:pPr>
                  <w:r>
                    <w:rPr>
                      <w:rFonts w:eastAsiaTheme="minorEastAsia"/>
                      <w:color w:val="000000"/>
                      <w:kern w:val="0"/>
                      <w:szCs w:val="21"/>
                      <w:lang w:bidi="ar"/>
                    </w:rPr>
                    <w:t xml:space="preserve">本项目生产过程产生的有机废气来源于预拆解单元。预处理工序产生的有机废气经集气罩收集后引至二级活性炭箱处理后，通过 1 根 </w:t>
                  </w:r>
                  <w:r>
                    <w:rPr>
                      <w:rFonts w:hint="eastAsia" w:eastAsiaTheme="minorEastAsia"/>
                      <w:color w:val="000000"/>
                      <w:kern w:val="0"/>
                      <w:szCs w:val="21"/>
                      <w:lang w:eastAsia="zh-CN" w:bidi="ar"/>
                    </w:rPr>
                    <w:t>26m</w:t>
                  </w:r>
                  <w:r>
                    <w:rPr>
                      <w:rFonts w:eastAsiaTheme="minorEastAsia"/>
                      <w:color w:val="000000"/>
                      <w:kern w:val="0"/>
                      <w:szCs w:val="21"/>
                      <w:lang w:bidi="ar"/>
                    </w:rPr>
                    <w:t>高排气筒 （DA001）排放。</w:t>
                  </w:r>
                </w:p>
              </w:tc>
              <w:tc>
                <w:tcPr>
                  <w:tcW w:w="462" w:type="pct"/>
                  <w:tcBorders>
                    <w:tl2br w:val="nil"/>
                    <w:tr2bl w:val="nil"/>
                  </w:tcBorders>
                  <w:vAlign w:val="center"/>
                </w:tcPr>
                <w:p w14:paraId="0FE61ED5">
                  <w:pPr>
                    <w:widowControl/>
                    <w:jc w:val="center"/>
                    <w:rPr>
                      <w:rFonts w:eastAsiaTheme="minorEastAsia"/>
                      <w:color w:val="000000"/>
                      <w:kern w:val="0"/>
                      <w:szCs w:val="21"/>
                      <w:lang w:bidi="ar"/>
                    </w:rPr>
                  </w:pPr>
                  <w:r>
                    <w:rPr>
                      <w:rFonts w:eastAsiaTheme="minorEastAsia"/>
                      <w:color w:val="000000"/>
                      <w:kern w:val="0"/>
                      <w:szCs w:val="21"/>
                      <w:lang w:bidi="ar"/>
                    </w:rPr>
                    <w:t>符合</w:t>
                  </w:r>
                </w:p>
              </w:tc>
            </w:tr>
            <w:tr w14:paraId="0EAB2F6F">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323" w:type="pct"/>
                  <w:tcBorders>
                    <w:tl2br w:val="nil"/>
                    <w:tr2bl w:val="nil"/>
                  </w:tcBorders>
                  <w:vAlign w:val="center"/>
                </w:tcPr>
                <w:p w14:paraId="5EF1F177">
                  <w:pPr>
                    <w:widowControl/>
                    <w:jc w:val="center"/>
                    <w:rPr>
                      <w:rFonts w:eastAsiaTheme="minorEastAsia"/>
                      <w:b/>
                      <w:bCs/>
                      <w:color w:val="000000"/>
                      <w:kern w:val="0"/>
                      <w:szCs w:val="21"/>
                      <w:lang w:bidi="ar"/>
                    </w:rPr>
                  </w:pPr>
                  <w:r>
                    <w:rPr>
                      <w:rFonts w:hint="eastAsia" w:eastAsiaTheme="minorEastAsia"/>
                      <w:b/>
                      <w:bCs/>
                      <w:color w:val="000000"/>
                      <w:kern w:val="0"/>
                      <w:szCs w:val="21"/>
                      <w:lang w:bidi="ar"/>
                    </w:rPr>
                    <w:t>序号</w:t>
                  </w:r>
                </w:p>
              </w:tc>
              <w:tc>
                <w:tcPr>
                  <w:tcW w:w="2344" w:type="pct"/>
                  <w:tcBorders>
                    <w:tl2br w:val="nil"/>
                    <w:tr2bl w:val="nil"/>
                  </w:tcBorders>
                  <w:shd w:val="clear" w:color="auto" w:fill="auto"/>
                  <w:vAlign w:val="center"/>
                </w:tcPr>
                <w:p w14:paraId="02C953E7">
                  <w:pPr>
                    <w:widowControl/>
                    <w:jc w:val="center"/>
                    <w:rPr>
                      <w:rFonts w:eastAsiaTheme="minorEastAsia"/>
                      <w:b/>
                      <w:bCs/>
                      <w:color w:val="000000"/>
                      <w:kern w:val="0"/>
                      <w:szCs w:val="21"/>
                      <w:lang w:bidi="ar"/>
                    </w:rPr>
                  </w:pPr>
                  <w:r>
                    <w:rPr>
                      <w:rFonts w:hint="eastAsia" w:eastAsiaTheme="minorEastAsia"/>
                      <w:b/>
                      <w:bCs/>
                      <w:color w:val="000000"/>
                      <w:kern w:val="0"/>
                      <w:szCs w:val="21"/>
                      <w:lang w:bidi="ar"/>
                    </w:rPr>
                    <w:t>《关于加快解决当前挥发性有机物治理突出问题的通知》（环大气〔2021〕65号）</w:t>
                  </w:r>
                </w:p>
              </w:tc>
              <w:tc>
                <w:tcPr>
                  <w:tcW w:w="1869" w:type="pct"/>
                  <w:tcBorders>
                    <w:tl2br w:val="nil"/>
                    <w:tr2bl w:val="nil"/>
                  </w:tcBorders>
                  <w:shd w:val="clear" w:color="auto" w:fill="auto"/>
                  <w:vAlign w:val="center"/>
                </w:tcPr>
                <w:p w14:paraId="00A46717">
                  <w:pPr>
                    <w:widowControl/>
                    <w:jc w:val="center"/>
                    <w:rPr>
                      <w:rFonts w:eastAsiaTheme="minorEastAsia"/>
                      <w:b/>
                      <w:bCs/>
                      <w:color w:val="000000"/>
                      <w:kern w:val="0"/>
                      <w:szCs w:val="21"/>
                      <w:lang w:bidi="ar"/>
                    </w:rPr>
                  </w:pPr>
                  <w:r>
                    <w:rPr>
                      <w:rFonts w:hint="eastAsia" w:eastAsiaTheme="minorEastAsia"/>
                      <w:b/>
                      <w:bCs/>
                      <w:color w:val="000000"/>
                      <w:kern w:val="0"/>
                      <w:szCs w:val="21"/>
                      <w:lang w:bidi="ar"/>
                    </w:rPr>
                    <w:t>本项目情况</w:t>
                  </w:r>
                </w:p>
              </w:tc>
              <w:tc>
                <w:tcPr>
                  <w:tcW w:w="462" w:type="pct"/>
                  <w:tcBorders>
                    <w:tl2br w:val="nil"/>
                    <w:tr2bl w:val="nil"/>
                  </w:tcBorders>
                  <w:shd w:val="clear" w:color="auto" w:fill="auto"/>
                  <w:vAlign w:val="center"/>
                </w:tcPr>
                <w:p w14:paraId="3E138A3E">
                  <w:pPr>
                    <w:widowControl/>
                    <w:jc w:val="center"/>
                    <w:rPr>
                      <w:rFonts w:eastAsiaTheme="minorEastAsia"/>
                      <w:b/>
                      <w:bCs/>
                      <w:color w:val="000000"/>
                      <w:kern w:val="0"/>
                      <w:szCs w:val="21"/>
                      <w:lang w:bidi="ar"/>
                    </w:rPr>
                  </w:pPr>
                  <w:r>
                    <w:rPr>
                      <w:rFonts w:hint="eastAsia" w:eastAsiaTheme="minorEastAsia"/>
                      <w:b/>
                      <w:bCs/>
                      <w:color w:val="000000"/>
                      <w:kern w:val="0"/>
                      <w:szCs w:val="21"/>
                      <w:lang w:bidi="ar"/>
                    </w:rPr>
                    <w:t>相符性</w:t>
                  </w:r>
                </w:p>
              </w:tc>
            </w:tr>
            <w:tr w14:paraId="4B784703">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323" w:type="pct"/>
                  <w:tcBorders>
                    <w:tl2br w:val="nil"/>
                    <w:tr2bl w:val="nil"/>
                  </w:tcBorders>
                  <w:vAlign w:val="center"/>
                </w:tcPr>
                <w:p w14:paraId="7A8416D6">
                  <w:pPr>
                    <w:widowControl/>
                    <w:jc w:val="center"/>
                  </w:pPr>
                  <w:r>
                    <w:rPr>
                      <w:rFonts w:hint="eastAsia" w:eastAsiaTheme="minorEastAsia"/>
                      <w:color w:val="000000"/>
                      <w:kern w:val="0"/>
                      <w:szCs w:val="21"/>
                      <w:lang w:bidi="ar"/>
                    </w:rPr>
                    <w:t>1</w:t>
                  </w:r>
                </w:p>
              </w:tc>
              <w:tc>
                <w:tcPr>
                  <w:tcW w:w="2344" w:type="pct"/>
                  <w:tcBorders>
                    <w:tl2br w:val="nil"/>
                    <w:tr2bl w:val="nil"/>
                  </w:tcBorders>
                  <w:vAlign w:val="center"/>
                </w:tcPr>
                <w:p w14:paraId="386D18C9">
                  <w:pPr>
                    <w:widowControl/>
                    <w:jc w:val="center"/>
                    <w:rPr>
                      <w:rFonts w:eastAsiaTheme="minorEastAsia"/>
                      <w:color w:val="000000"/>
                      <w:kern w:val="0"/>
                      <w:szCs w:val="21"/>
                      <w:lang w:bidi="ar"/>
                    </w:rPr>
                  </w:pPr>
                  <w:r>
                    <w:rPr>
                      <w:rFonts w:eastAsiaTheme="minorEastAsia"/>
                      <w:color w:val="000000"/>
                      <w:kern w:val="0"/>
                      <w:szCs w:val="21"/>
                      <w:lang w:bidi="ar"/>
                    </w:rPr>
                    <w:t>各地要以石油炼制、石油化工、合成 树脂等石化行业，有机化工、煤化工、 焦化（含兰炭）、制药、农药、涂料、 油墨、胶粘剂等化工行业，涉及工业 涂装的汽车、家具、零部件、钢结构、 彩涂板等行业，包装印刷行业以及油 品储运销为重点，并结合本地特色产 业，组织企业针对挥发性有机液体储 罐、装卸、敞开液面、泄漏检测与修 复（LDAR）、废气收集、废气旁路、 治理设施、加油站、非正常工况、产 品 VOCs 含量等 10 个关键环节，认真对照大气污染防治法、排污许可证、相关排放标准和产品 VOCs 含量限值标准等开展排查整治。</w:t>
                  </w:r>
                </w:p>
              </w:tc>
              <w:tc>
                <w:tcPr>
                  <w:tcW w:w="1869" w:type="pct"/>
                  <w:tcBorders>
                    <w:tl2br w:val="nil"/>
                    <w:tr2bl w:val="nil"/>
                  </w:tcBorders>
                  <w:shd w:val="clear" w:color="auto" w:fill="auto"/>
                  <w:vAlign w:val="center"/>
                </w:tcPr>
                <w:p w14:paraId="4C5CB966">
                  <w:pPr>
                    <w:widowControl/>
                    <w:jc w:val="center"/>
                    <w:rPr>
                      <w:rFonts w:eastAsiaTheme="minorEastAsia"/>
                      <w:color w:val="000000"/>
                      <w:kern w:val="0"/>
                      <w:szCs w:val="21"/>
                      <w:lang w:bidi="ar"/>
                    </w:rPr>
                  </w:pPr>
                  <w:r>
                    <w:rPr>
                      <w:rFonts w:eastAsiaTheme="minorEastAsia"/>
                      <w:color w:val="000000"/>
                      <w:kern w:val="0"/>
                      <w:szCs w:val="21"/>
                      <w:lang w:bidi="ar"/>
                    </w:rPr>
                    <w:t>本项目不属于化工行业，</w:t>
                  </w:r>
                </w:p>
                <w:p w14:paraId="1C416ADA">
                  <w:pPr>
                    <w:widowControl/>
                    <w:jc w:val="center"/>
                    <w:rPr>
                      <w:rFonts w:eastAsiaTheme="minorEastAsia"/>
                      <w:color w:val="000000"/>
                      <w:kern w:val="0"/>
                      <w:szCs w:val="21"/>
                      <w:lang w:bidi="ar"/>
                    </w:rPr>
                  </w:pPr>
                  <w:r>
                    <w:rPr>
                      <w:rFonts w:eastAsiaTheme="minorEastAsia"/>
                      <w:color w:val="000000"/>
                      <w:kern w:val="0"/>
                      <w:szCs w:val="21"/>
                      <w:lang w:bidi="ar"/>
                    </w:rPr>
                    <w:t xml:space="preserve">也不涉及涂装，本项目生产过程产生的有机废气来源于预拆解单元。预处理工序产生的有机废气经集气罩收集后引至二级活性炭箱处理后，通过 1 根 </w:t>
                  </w:r>
                  <w:r>
                    <w:rPr>
                      <w:rFonts w:hint="eastAsia" w:eastAsiaTheme="minorEastAsia"/>
                      <w:color w:val="000000"/>
                      <w:kern w:val="0"/>
                      <w:szCs w:val="21"/>
                      <w:lang w:eastAsia="zh-CN" w:bidi="ar"/>
                    </w:rPr>
                    <w:t>26m</w:t>
                  </w:r>
                  <w:r>
                    <w:rPr>
                      <w:rFonts w:eastAsiaTheme="minorEastAsia"/>
                      <w:color w:val="000000"/>
                      <w:kern w:val="0"/>
                      <w:szCs w:val="21"/>
                      <w:lang w:bidi="ar"/>
                    </w:rPr>
                    <w:t>高排气筒 （DA001）排放。</w:t>
                  </w:r>
                </w:p>
              </w:tc>
              <w:tc>
                <w:tcPr>
                  <w:tcW w:w="462" w:type="pct"/>
                  <w:tcBorders>
                    <w:tl2br w:val="nil"/>
                    <w:tr2bl w:val="nil"/>
                  </w:tcBorders>
                  <w:vAlign w:val="center"/>
                </w:tcPr>
                <w:p w14:paraId="14ACFD26">
                  <w:pPr>
                    <w:widowControl/>
                    <w:jc w:val="center"/>
                    <w:rPr>
                      <w:rFonts w:eastAsiaTheme="minorEastAsia"/>
                      <w:color w:val="000000"/>
                      <w:kern w:val="0"/>
                      <w:szCs w:val="21"/>
                      <w:lang w:bidi="ar"/>
                    </w:rPr>
                  </w:pPr>
                  <w:r>
                    <w:rPr>
                      <w:rFonts w:eastAsiaTheme="minorEastAsia"/>
                      <w:color w:val="000000"/>
                      <w:kern w:val="0"/>
                      <w:szCs w:val="21"/>
                      <w:lang w:bidi="ar"/>
                    </w:rPr>
                    <w:t>符合</w:t>
                  </w:r>
                </w:p>
              </w:tc>
            </w:tr>
            <w:tr w14:paraId="236CD3AF">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323" w:type="pct"/>
                  <w:tcBorders>
                    <w:tl2br w:val="nil"/>
                    <w:tr2bl w:val="nil"/>
                  </w:tcBorders>
                  <w:vAlign w:val="center"/>
                </w:tcPr>
                <w:p w14:paraId="60491E5F">
                  <w:pPr>
                    <w:widowControl/>
                    <w:jc w:val="center"/>
                    <w:rPr>
                      <w:rFonts w:eastAsiaTheme="minorEastAsia"/>
                      <w:color w:val="000000"/>
                      <w:kern w:val="0"/>
                      <w:szCs w:val="21"/>
                      <w:lang w:bidi="ar"/>
                    </w:rPr>
                  </w:pPr>
                  <w:r>
                    <w:rPr>
                      <w:rFonts w:hint="eastAsia" w:eastAsiaTheme="minorEastAsia"/>
                      <w:color w:val="000000"/>
                      <w:kern w:val="0"/>
                      <w:szCs w:val="21"/>
                      <w:lang w:bidi="ar"/>
                    </w:rPr>
                    <w:t>2</w:t>
                  </w:r>
                </w:p>
              </w:tc>
              <w:tc>
                <w:tcPr>
                  <w:tcW w:w="2344" w:type="pct"/>
                  <w:tcBorders>
                    <w:tl2br w:val="nil"/>
                    <w:tr2bl w:val="nil"/>
                  </w:tcBorders>
                  <w:vAlign w:val="center"/>
                </w:tcPr>
                <w:p w14:paraId="701F0C02">
                  <w:pPr>
                    <w:widowControl/>
                    <w:jc w:val="center"/>
                    <w:rPr>
                      <w:rFonts w:eastAsiaTheme="minorEastAsia"/>
                      <w:color w:val="000000"/>
                      <w:kern w:val="0"/>
                      <w:szCs w:val="21"/>
                      <w:lang w:bidi="ar"/>
                    </w:rPr>
                  </w:pPr>
                  <w:r>
                    <w:rPr>
                      <w:rFonts w:eastAsiaTheme="minorEastAsia"/>
                      <w:color w:val="000000"/>
                      <w:kern w:val="0"/>
                      <w:szCs w:val="21"/>
                      <w:lang w:bidi="ar"/>
                    </w:rPr>
                    <w:t>加强污染源 VOCs 监测监控，加快VOCs 重点排污单位主要排放口非甲 烷总烃自动监测设备安装联网工作； 对已安装的VOCs 自动监测设备建设 运行情况开展排查，达不到《固定污染源废气中非甲烷总烃排放连续监  测技术指南（试行）》要求的，督促企业整改。</w:t>
                  </w:r>
                </w:p>
              </w:tc>
              <w:tc>
                <w:tcPr>
                  <w:tcW w:w="1869" w:type="pct"/>
                  <w:tcBorders>
                    <w:tl2br w:val="nil"/>
                    <w:tr2bl w:val="nil"/>
                  </w:tcBorders>
                  <w:shd w:val="clear" w:color="auto" w:fill="auto"/>
                  <w:vAlign w:val="center"/>
                </w:tcPr>
                <w:p w14:paraId="721C9F56">
                  <w:pPr>
                    <w:widowControl/>
                    <w:jc w:val="center"/>
                    <w:rPr>
                      <w:rFonts w:eastAsiaTheme="minorEastAsia"/>
                      <w:color w:val="000000"/>
                      <w:kern w:val="0"/>
                      <w:szCs w:val="21"/>
                      <w:lang w:bidi="ar"/>
                    </w:rPr>
                  </w:pPr>
                  <w:r>
                    <w:rPr>
                      <w:rFonts w:eastAsiaTheme="minorEastAsia"/>
                      <w:color w:val="000000"/>
                      <w:kern w:val="0"/>
                      <w:szCs w:val="21"/>
                      <w:lang w:bidi="ar"/>
                    </w:rPr>
                    <w:t>本项目不属于 VOCs 重点排污单位，也无主要排放口。企业建成投产后若存在达不到管理要求的，应按照当地管理部门要求进行整改。</w:t>
                  </w:r>
                </w:p>
              </w:tc>
              <w:tc>
                <w:tcPr>
                  <w:tcW w:w="462" w:type="pct"/>
                  <w:tcBorders>
                    <w:tl2br w:val="nil"/>
                    <w:tr2bl w:val="nil"/>
                  </w:tcBorders>
                  <w:vAlign w:val="center"/>
                </w:tcPr>
                <w:p w14:paraId="4F1994C3">
                  <w:pPr>
                    <w:widowControl/>
                    <w:jc w:val="center"/>
                    <w:rPr>
                      <w:rFonts w:eastAsiaTheme="minorEastAsia"/>
                      <w:color w:val="000000"/>
                      <w:kern w:val="0"/>
                      <w:szCs w:val="21"/>
                      <w:lang w:bidi="ar"/>
                    </w:rPr>
                  </w:pPr>
                  <w:r>
                    <w:rPr>
                      <w:rFonts w:eastAsiaTheme="minorEastAsia"/>
                      <w:color w:val="000000"/>
                      <w:kern w:val="0"/>
                      <w:szCs w:val="21"/>
                      <w:lang w:bidi="ar"/>
                    </w:rPr>
                    <w:t>符合</w:t>
                  </w:r>
                </w:p>
              </w:tc>
            </w:tr>
          </w:tbl>
          <w:p w14:paraId="405F4529">
            <w:pPr>
              <w:pStyle w:val="18"/>
              <w:tabs>
                <w:tab w:val="left" w:pos="929"/>
              </w:tabs>
              <w:spacing w:line="240" w:lineRule="auto"/>
              <w:ind w:left="0" w:leftChars="0"/>
              <w:rPr>
                <w:rFonts w:hint="eastAsia" w:ascii="宋体" w:hAnsi="宋体"/>
                <w:b/>
                <w:bCs/>
                <w:color w:val="FF0000"/>
                <w:sz w:val="24"/>
                <w:lang w:val="en-US" w:eastAsia="zh-CN"/>
              </w:rPr>
            </w:pPr>
            <w:r>
              <w:rPr>
                <w:rFonts w:hint="eastAsia" w:ascii="宋体" w:hAnsi="宋体"/>
                <w:b/>
                <w:bCs/>
                <w:color w:val="FF0000"/>
                <w:sz w:val="24"/>
                <w:lang w:val="en-US" w:eastAsia="zh-CN"/>
              </w:rPr>
              <w:t>15.</w:t>
            </w:r>
            <w:r>
              <w:rPr>
                <w:rFonts w:hint="eastAsia" w:ascii="宋体" w:hAnsi="宋体"/>
                <w:b/>
                <w:bCs/>
                <w:color w:val="FF0000"/>
                <w:sz w:val="24"/>
              </w:rPr>
              <w:t>本项目与</w:t>
            </w:r>
            <w:r>
              <w:rPr>
                <w:rFonts w:hint="eastAsia" w:ascii="宋体" w:hAnsi="宋体"/>
                <w:b/>
                <w:bCs/>
                <w:color w:val="FF0000"/>
                <w:sz w:val="24"/>
                <w:lang w:val="en-US" w:eastAsia="zh-CN"/>
              </w:rPr>
              <w:t>《电动汽车动力蓄电池回收利用技术政策（2015年版）》相符性分析</w:t>
            </w:r>
          </w:p>
          <w:p w14:paraId="0A23C39C">
            <w:pPr>
              <w:pStyle w:val="18"/>
              <w:tabs>
                <w:tab w:val="left" w:pos="929"/>
              </w:tabs>
              <w:spacing w:line="240" w:lineRule="auto"/>
              <w:ind w:left="0" w:leftChars="0"/>
              <w:jc w:val="center"/>
              <w:rPr>
                <w:color w:val="FF0000"/>
              </w:rPr>
            </w:pPr>
            <w:r>
              <w:rPr>
                <w:b/>
                <w:bCs/>
                <w:color w:val="FF0000"/>
                <w:spacing w:val="6"/>
              </w:rPr>
              <w:t>表</w:t>
            </w:r>
            <w:r>
              <w:rPr>
                <w:rFonts w:hint="eastAsia"/>
                <w:b/>
                <w:bCs/>
                <w:color w:val="FF0000"/>
                <w:spacing w:val="6"/>
              </w:rPr>
              <w:t>2</w:t>
            </w:r>
            <w:r>
              <w:rPr>
                <w:rFonts w:hint="eastAsia"/>
                <w:b/>
                <w:bCs/>
                <w:color w:val="FF0000"/>
                <w:spacing w:val="6"/>
                <w:lang w:val="en-US" w:eastAsia="zh-CN"/>
              </w:rPr>
              <w:t>0</w:t>
            </w:r>
            <w:r>
              <w:rPr>
                <w:rFonts w:eastAsia="Times New Roman"/>
                <w:b/>
                <w:bCs/>
                <w:color w:val="FF0000"/>
                <w:spacing w:val="6"/>
              </w:rPr>
              <w:t xml:space="preserve">  </w:t>
            </w:r>
            <w:r>
              <w:rPr>
                <w:b/>
                <w:bCs/>
                <w:color w:val="FF0000"/>
                <w:spacing w:val="6"/>
              </w:rPr>
              <w:t>与</w:t>
            </w:r>
            <w:r>
              <w:rPr>
                <w:rFonts w:hint="eastAsia"/>
                <w:b/>
                <w:bCs/>
                <w:color w:val="FF0000"/>
                <w:spacing w:val="6"/>
                <w:lang w:val="en-US" w:eastAsia="zh-CN"/>
              </w:rPr>
              <w:t>《电动汽车动力蓄电池回收利用技术政策（2015年版）》</w:t>
            </w:r>
            <w:r>
              <w:rPr>
                <w:b/>
                <w:bCs/>
                <w:color w:val="FF0000"/>
                <w:spacing w:val="6"/>
              </w:rPr>
              <w:t>相符性分析</w:t>
            </w:r>
          </w:p>
          <w:tbl>
            <w:tblPr>
              <w:tblStyle w:val="35"/>
              <w:tblW w:w="4998" w:type="pct"/>
              <w:jc w:val="center"/>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484"/>
              <w:gridCol w:w="3223"/>
              <w:gridCol w:w="3129"/>
              <w:gridCol w:w="695"/>
            </w:tblGrid>
            <w:tr w14:paraId="236DC02B">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22" w:type="pct"/>
                  <w:tcBorders>
                    <w:tl2br w:val="nil"/>
                    <w:tr2bl w:val="nil"/>
                  </w:tcBorders>
                  <w:vAlign w:val="center"/>
                </w:tcPr>
                <w:p w14:paraId="7B8CBE25">
                  <w:pPr>
                    <w:widowControl/>
                    <w:jc w:val="center"/>
                    <w:rPr>
                      <w:rFonts w:eastAsiaTheme="minorEastAsia"/>
                      <w:b/>
                      <w:bCs/>
                      <w:color w:val="FF0000"/>
                      <w:kern w:val="0"/>
                      <w:szCs w:val="21"/>
                      <w:lang w:bidi="ar"/>
                    </w:rPr>
                  </w:pPr>
                  <w:r>
                    <w:rPr>
                      <w:rFonts w:hint="eastAsia" w:eastAsiaTheme="minorEastAsia"/>
                      <w:b/>
                      <w:bCs/>
                      <w:color w:val="FF0000"/>
                      <w:kern w:val="0"/>
                      <w:szCs w:val="21"/>
                      <w:lang w:bidi="ar"/>
                    </w:rPr>
                    <w:t>序号</w:t>
                  </w:r>
                </w:p>
              </w:tc>
              <w:tc>
                <w:tcPr>
                  <w:tcW w:w="2139" w:type="pct"/>
                  <w:tcBorders>
                    <w:tl2br w:val="nil"/>
                    <w:tr2bl w:val="nil"/>
                  </w:tcBorders>
                  <w:vAlign w:val="center"/>
                </w:tcPr>
                <w:p w14:paraId="5D7A9E06">
                  <w:pPr>
                    <w:widowControl/>
                    <w:jc w:val="center"/>
                    <w:rPr>
                      <w:rFonts w:hint="eastAsia" w:eastAsiaTheme="minorEastAsia"/>
                      <w:b/>
                      <w:bCs/>
                      <w:color w:val="FF0000"/>
                      <w:kern w:val="0"/>
                      <w:szCs w:val="21"/>
                      <w:lang w:eastAsia="zh-CN" w:bidi="ar"/>
                    </w:rPr>
                  </w:pPr>
                  <w:r>
                    <w:rPr>
                      <w:rFonts w:hint="eastAsia" w:eastAsiaTheme="minorEastAsia"/>
                      <w:b/>
                      <w:bCs/>
                      <w:color w:val="FF0000"/>
                      <w:spacing w:val="8"/>
                      <w:lang w:val="en-US" w:eastAsia="zh-CN"/>
                    </w:rPr>
                    <w:t>要求</w:t>
                  </w:r>
                </w:p>
              </w:tc>
              <w:tc>
                <w:tcPr>
                  <w:tcW w:w="2077" w:type="pct"/>
                  <w:tcBorders>
                    <w:tl2br w:val="nil"/>
                    <w:tr2bl w:val="nil"/>
                  </w:tcBorders>
                  <w:vAlign w:val="center"/>
                </w:tcPr>
                <w:p w14:paraId="3798F32C">
                  <w:pPr>
                    <w:widowControl/>
                    <w:jc w:val="center"/>
                    <w:rPr>
                      <w:rFonts w:eastAsiaTheme="minorEastAsia"/>
                      <w:b/>
                      <w:bCs/>
                      <w:color w:val="FF0000"/>
                      <w:kern w:val="0"/>
                      <w:szCs w:val="21"/>
                      <w:lang w:bidi="ar"/>
                    </w:rPr>
                  </w:pPr>
                  <w:r>
                    <w:rPr>
                      <w:rFonts w:hint="eastAsia" w:eastAsiaTheme="minorEastAsia"/>
                      <w:b/>
                      <w:bCs/>
                      <w:color w:val="FF0000"/>
                      <w:kern w:val="0"/>
                      <w:szCs w:val="21"/>
                      <w:lang w:bidi="ar"/>
                    </w:rPr>
                    <w:t>本项目情况</w:t>
                  </w:r>
                </w:p>
              </w:tc>
              <w:tc>
                <w:tcPr>
                  <w:tcW w:w="461" w:type="pct"/>
                  <w:tcBorders>
                    <w:tl2br w:val="nil"/>
                    <w:tr2bl w:val="nil"/>
                  </w:tcBorders>
                  <w:vAlign w:val="center"/>
                </w:tcPr>
                <w:p w14:paraId="5A50026B">
                  <w:pPr>
                    <w:widowControl/>
                    <w:jc w:val="center"/>
                    <w:rPr>
                      <w:rFonts w:eastAsiaTheme="minorEastAsia"/>
                      <w:b/>
                      <w:bCs/>
                      <w:color w:val="FF0000"/>
                      <w:kern w:val="0"/>
                      <w:szCs w:val="21"/>
                      <w:lang w:bidi="ar"/>
                    </w:rPr>
                  </w:pPr>
                  <w:r>
                    <w:rPr>
                      <w:rFonts w:hint="eastAsia" w:eastAsiaTheme="minorEastAsia"/>
                      <w:b/>
                      <w:bCs/>
                      <w:color w:val="FF0000"/>
                      <w:kern w:val="0"/>
                      <w:szCs w:val="21"/>
                      <w:lang w:bidi="ar"/>
                    </w:rPr>
                    <w:t>相符性</w:t>
                  </w:r>
                </w:p>
              </w:tc>
            </w:tr>
            <w:tr w14:paraId="0DDA5A53">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22" w:type="pct"/>
                  <w:tcBorders>
                    <w:tl2br w:val="nil"/>
                    <w:tr2bl w:val="nil"/>
                  </w:tcBorders>
                  <w:vAlign w:val="center"/>
                </w:tcPr>
                <w:p w14:paraId="0B141602">
                  <w:pPr>
                    <w:widowControl/>
                    <w:jc w:val="center"/>
                    <w:rPr>
                      <w:rFonts w:eastAsiaTheme="minorEastAsia"/>
                      <w:color w:val="FF0000"/>
                      <w:kern w:val="0"/>
                      <w:szCs w:val="21"/>
                      <w:lang w:bidi="ar"/>
                    </w:rPr>
                  </w:pPr>
                  <w:r>
                    <w:rPr>
                      <w:rFonts w:eastAsiaTheme="minorEastAsia"/>
                      <w:color w:val="FF0000"/>
                      <w:kern w:val="0"/>
                      <w:szCs w:val="21"/>
                      <w:lang w:bidi="ar"/>
                    </w:rPr>
                    <w:t>1</w:t>
                  </w:r>
                </w:p>
              </w:tc>
              <w:tc>
                <w:tcPr>
                  <w:tcW w:w="2139" w:type="pct"/>
                  <w:tcBorders>
                    <w:tl2br w:val="nil"/>
                    <w:tr2bl w:val="nil"/>
                  </w:tcBorders>
                  <w:vAlign w:val="center"/>
                </w:tcPr>
                <w:p w14:paraId="2E743365">
                  <w:pPr>
                    <w:widowControl/>
                    <w:jc w:val="center"/>
                    <w:rPr>
                      <w:rFonts w:eastAsiaTheme="minorEastAsia"/>
                      <w:color w:val="FF0000"/>
                      <w:kern w:val="0"/>
                      <w:szCs w:val="21"/>
                      <w:lang w:bidi="ar"/>
                    </w:rPr>
                  </w:pPr>
                  <w:r>
                    <w:rPr>
                      <w:rFonts w:eastAsiaTheme="minorEastAsia"/>
                      <w:color w:val="FF0000"/>
                      <w:kern w:val="0"/>
                      <w:szCs w:val="21"/>
                      <w:lang w:bidi="ar"/>
                    </w:rPr>
                    <w:t>第十四条 【拆卸要求】回收企业从电动汽车上拆卸动力蓄电 池时，应遵循安全性和完整性原则，并严格按照电动汽车生产企业 所提供的拆卸技术信息进行合理拆卸。</w:t>
                  </w:r>
                </w:p>
              </w:tc>
              <w:tc>
                <w:tcPr>
                  <w:tcW w:w="2077" w:type="pct"/>
                  <w:tcBorders>
                    <w:tl2br w:val="nil"/>
                    <w:tr2bl w:val="nil"/>
                  </w:tcBorders>
                  <w:vAlign w:val="center"/>
                </w:tcPr>
                <w:p w14:paraId="156F1CCA">
                  <w:pPr>
                    <w:widowControl/>
                    <w:jc w:val="center"/>
                    <w:rPr>
                      <w:rFonts w:eastAsiaTheme="minorEastAsia"/>
                      <w:color w:val="FF0000"/>
                      <w:kern w:val="0"/>
                      <w:szCs w:val="21"/>
                      <w:lang w:bidi="ar"/>
                    </w:rPr>
                  </w:pPr>
                  <w:r>
                    <w:rPr>
                      <w:rFonts w:eastAsiaTheme="minorEastAsia"/>
                      <w:color w:val="FF0000"/>
                      <w:kern w:val="0"/>
                      <w:szCs w:val="21"/>
                      <w:lang w:bidi="ar"/>
                    </w:rPr>
                    <w:t>本项目在电动汽车动力蓄电池拆卸过程中，严格按照生产企业提供的技术信息执行，包括检查电池状态、断电操作、使用防静电工具和专用设备。拆卸流程确保电池结构完整，避免短路或电解液泄漏。</w:t>
                  </w:r>
                </w:p>
              </w:tc>
              <w:tc>
                <w:tcPr>
                  <w:tcW w:w="461" w:type="pct"/>
                  <w:tcBorders>
                    <w:tl2br w:val="nil"/>
                    <w:tr2bl w:val="nil"/>
                  </w:tcBorders>
                  <w:vAlign w:val="center"/>
                </w:tcPr>
                <w:p w14:paraId="0AB451DB">
                  <w:pPr>
                    <w:widowControl/>
                    <w:jc w:val="center"/>
                    <w:rPr>
                      <w:rFonts w:hint="eastAsia" w:eastAsiaTheme="minorEastAsia"/>
                      <w:color w:val="FF0000"/>
                      <w:kern w:val="0"/>
                      <w:szCs w:val="21"/>
                      <w:lang w:val="en-US" w:eastAsia="zh-CN" w:bidi="ar"/>
                    </w:rPr>
                  </w:pPr>
                  <w:r>
                    <w:rPr>
                      <w:rFonts w:hint="eastAsia" w:eastAsiaTheme="minorEastAsia"/>
                      <w:color w:val="FF0000"/>
                      <w:kern w:val="0"/>
                      <w:szCs w:val="21"/>
                      <w:lang w:val="en-US" w:eastAsia="zh-CN" w:bidi="ar"/>
                    </w:rPr>
                    <w:t>符合</w:t>
                  </w:r>
                </w:p>
              </w:tc>
            </w:tr>
            <w:tr w14:paraId="6DB17B48">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22" w:type="pct"/>
                  <w:tcBorders>
                    <w:tl2br w:val="nil"/>
                    <w:tr2bl w:val="nil"/>
                  </w:tcBorders>
                  <w:vAlign w:val="center"/>
                </w:tcPr>
                <w:p w14:paraId="77A460E1">
                  <w:pPr>
                    <w:widowControl/>
                    <w:jc w:val="center"/>
                    <w:rPr>
                      <w:rFonts w:eastAsiaTheme="minorEastAsia"/>
                      <w:color w:val="FF0000"/>
                      <w:kern w:val="0"/>
                      <w:szCs w:val="21"/>
                      <w:lang w:bidi="ar"/>
                    </w:rPr>
                  </w:pPr>
                  <w:r>
                    <w:rPr>
                      <w:rFonts w:eastAsiaTheme="minorEastAsia"/>
                      <w:color w:val="FF0000"/>
                      <w:kern w:val="0"/>
                      <w:szCs w:val="21"/>
                      <w:lang w:bidi="ar"/>
                    </w:rPr>
                    <w:t>2</w:t>
                  </w:r>
                </w:p>
              </w:tc>
              <w:tc>
                <w:tcPr>
                  <w:tcW w:w="2139" w:type="pct"/>
                  <w:tcBorders>
                    <w:tl2br w:val="nil"/>
                    <w:tr2bl w:val="nil"/>
                  </w:tcBorders>
                  <w:vAlign w:val="center"/>
                </w:tcPr>
                <w:p w14:paraId="19E1B9F6">
                  <w:pPr>
                    <w:widowControl/>
                    <w:jc w:val="center"/>
                    <w:rPr>
                      <w:rFonts w:eastAsiaTheme="minorEastAsia"/>
                      <w:color w:val="FF0000"/>
                      <w:kern w:val="0"/>
                      <w:szCs w:val="21"/>
                      <w:lang w:bidi="ar"/>
                    </w:rPr>
                  </w:pPr>
                  <w:r>
                    <w:rPr>
                      <w:rFonts w:eastAsiaTheme="minorEastAsia"/>
                      <w:color w:val="FF0000"/>
                      <w:kern w:val="0"/>
                      <w:szCs w:val="21"/>
                      <w:lang w:bidi="ar"/>
                    </w:rPr>
                    <w:t>第十五条 【贮存要求】废旧动力蓄电池贮存应有专门的场 所，贮存场所应符合法律法规要求及当地消防、环保、安全部门的 有关规定，并设有警示标志，且应设在易燃、易爆等危险品仓库及 高压输电线路防护区域以外。废旧动力蓄电池贮存应避免高温、潮湿，保证通风良好，正负极触头应采取绝缘防护。废旧动力蓄电池多层贮存宜采取框架结构 并确保承重安全，且能够合理装卸。</w:t>
                  </w:r>
                </w:p>
              </w:tc>
              <w:tc>
                <w:tcPr>
                  <w:tcW w:w="2077" w:type="pct"/>
                  <w:tcBorders>
                    <w:tl2br w:val="nil"/>
                    <w:tr2bl w:val="nil"/>
                  </w:tcBorders>
                  <w:vAlign w:val="center"/>
                </w:tcPr>
                <w:p w14:paraId="19C98821">
                  <w:pPr>
                    <w:widowControl/>
                    <w:jc w:val="center"/>
                    <w:rPr>
                      <w:rFonts w:eastAsiaTheme="minorEastAsia"/>
                      <w:color w:val="FF0000"/>
                      <w:kern w:val="0"/>
                      <w:szCs w:val="21"/>
                      <w:lang w:bidi="ar"/>
                    </w:rPr>
                  </w:pPr>
                  <w:r>
                    <w:rPr>
                      <w:rFonts w:eastAsiaTheme="minorEastAsia"/>
                      <w:color w:val="FF0000"/>
                      <w:kern w:val="0"/>
                      <w:szCs w:val="21"/>
                      <w:lang w:bidi="ar"/>
                    </w:rPr>
                    <w:t>本项目设置独立</w:t>
                  </w:r>
                  <w:r>
                    <w:rPr>
                      <w:rFonts w:hint="eastAsia" w:eastAsiaTheme="minorEastAsia"/>
                      <w:color w:val="FF0000"/>
                      <w:kern w:val="0"/>
                      <w:szCs w:val="21"/>
                      <w:lang w:val="en-US" w:eastAsia="zh-CN" w:bidi="ar"/>
                    </w:rPr>
                    <w:t>电池贮存区域</w:t>
                  </w:r>
                  <w:r>
                    <w:rPr>
                      <w:rFonts w:eastAsiaTheme="minorEastAsia"/>
                      <w:color w:val="FF0000"/>
                      <w:kern w:val="0"/>
                      <w:szCs w:val="21"/>
                      <w:lang w:bidi="ar"/>
                    </w:rPr>
                    <w:t>，地面防静电处理，温度≤40℃，配备可燃气体报警器和负压通风系统。</w:t>
                  </w:r>
                  <w:r>
                    <w:rPr>
                      <w:rFonts w:hint="eastAsia" w:eastAsiaTheme="minorEastAsia"/>
                      <w:color w:val="FF0000"/>
                      <w:kern w:val="0"/>
                      <w:szCs w:val="21"/>
                      <w:lang w:eastAsia="zh-CN" w:bidi="ar"/>
                    </w:rPr>
                    <w:t>动力电池</w:t>
                  </w:r>
                  <w:r>
                    <w:rPr>
                      <w:rFonts w:eastAsiaTheme="minorEastAsia"/>
                      <w:color w:val="FF0000"/>
                      <w:kern w:val="0"/>
                      <w:szCs w:val="21"/>
                      <w:lang w:bidi="ar"/>
                    </w:rPr>
                    <w:t>分正常、隔离、异常观察区贮存，采用防漏容器和框架结构，正负极触头均进行绝缘处理。废铅酸蓄电池贮存区符合GB18597要求，设有警示标志，远离热源和明火区域。</w:t>
                  </w:r>
                </w:p>
              </w:tc>
              <w:tc>
                <w:tcPr>
                  <w:tcW w:w="461" w:type="pct"/>
                  <w:tcBorders>
                    <w:tl2br w:val="nil"/>
                    <w:tr2bl w:val="nil"/>
                  </w:tcBorders>
                  <w:vAlign w:val="center"/>
                </w:tcPr>
                <w:p w14:paraId="3C141C96">
                  <w:pPr>
                    <w:widowControl/>
                    <w:jc w:val="center"/>
                    <w:rPr>
                      <w:rFonts w:eastAsiaTheme="minorEastAsia"/>
                      <w:color w:val="FF0000"/>
                      <w:kern w:val="0"/>
                      <w:szCs w:val="21"/>
                      <w:lang w:bidi="ar"/>
                    </w:rPr>
                  </w:pPr>
                  <w:r>
                    <w:rPr>
                      <w:rFonts w:hint="eastAsia" w:eastAsiaTheme="minorEastAsia"/>
                      <w:color w:val="FF0000"/>
                      <w:kern w:val="0"/>
                      <w:szCs w:val="21"/>
                      <w:lang w:val="en-US" w:eastAsia="zh-CN" w:bidi="ar"/>
                    </w:rPr>
                    <w:t>符合</w:t>
                  </w:r>
                </w:p>
              </w:tc>
            </w:tr>
            <w:tr w14:paraId="44FB99F5">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22" w:type="pct"/>
                  <w:tcBorders>
                    <w:tl2br w:val="nil"/>
                    <w:tr2bl w:val="nil"/>
                  </w:tcBorders>
                  <w:vAlign w:val="center"/>
                </w:tcPr>
                <w:p w14:paraId="1A1D7CD7">
                  <w:pPr>
                    <w:widowControl/>
                    <w:jc w:val="center"/>
                    <w:rPr>
                      <w:rFonts w:hint="eastAsia" w:eastAsiaTheme="minorEastAsia"/>
                      <w:color w:val="FF0000"/>
                      <w:kern w:val="0"/>
                      <w:szCs w:val="21"/>
                      <w:lang w:val="en-US" w:eastAsia="zh-CN" w:bidi="ar"/>
                    </w:rPr>
                  </w:pPr>
                  <w:r>
                    <w:rPr>
                      <w:rFonts w:hint="eastAsia" w:eastAsiaTheme="minorEastAsia"/>
                      <w:color w:val="FF0000"/>
                      <w:kern w:val="0"/>
                      <w:szCs w:val="21"/>
                      <w:lang w:val="en-US" w:eastAsia="zh-CN" w:bidi="ar"/>
                    </w:rPr>
                    <w:t>3</w:t>
                  </w:r>
                </w:p>
              </w:tc>
              <w:tc>
                <w:tcPr>
                  <w:tcW w:w="2139" w:type="pct"/>
                  <w:tcBorders>
                    <w:tl2br w:val="nil"/>
                    <w:tr2bl w:val="nil"/>
                  </w:tcBorders>
                  <w:vAlign w:val="center"/>
                </w:tcPr>
                <w:p w14:paraId="450ED72B">
                  <w:pPr>
                    <w:widowControl/>
                    <w:jc w:val="center"/>
                    <w:rPr>
                      <w:rFonts w:hint="default" w:eastAsiaTheme="minorEastAsia"/>
                      <w:color w:val="FF0000"/>
                      <w:kern w:val="0"/>
                      <w:szCs w:val="21"/>
                      <w:lang w:val="en-US" w:eastAsia="zh-CN" w:bidi="ar"/>
                    </w:rPr>
                  </w:pPr>
                  <w:r>
                    <w:rPr>
                      <w:rFonts w:eastAsiaTheme="minorEastAsia"/>
                      <w:color w:val="FF0000"/>
                      <w:kern w:val="0"/>
                      <w:szCs w:val="21"/>
                      <w:lang w:bidi="ar"/>
                    </w:rPr>
                    <w:t>第十六条 【运输要求】废旧动力蓄电池运输应遵守国家有关 电池包装运输法规和标准要求，采用恰当的包装方式，尽量保证其 结构完整，采取防火、防水、防爆、绝缘、隔热、防腐蚀等安全防 护措施，并制定应急预案。出现电解液泄露、经诊断有过充电经历、电压或电阻不在正常范围及经滥用试验的电池宜先进行放电处理</w:t>
                  </w:r>
                  <w:r>
                    <w:rPr>
                      <w:rFonts w:hint="eastAsia" w:eastAsiaTheme="minorEastAsia"/>
                      <w:color w:val="FF0000"/>
                      <w:kern w:val="0"/>
                      <w:szCs w:val="21"/>
                      <w:lang w:val="en-US" w:eastAsia="zh-CN" w:bidi="ar"/>
                    </w:rPr>
                    <w:t>后进行运输。</w:t>
                  </w:r>
                </w:p>
              </w:tc>
              <w:tc>
                <w:tcPr>
                  <w:tcW w:w="2077" w:type="pct"/>
                  <w:tcBorders>
                    <w:tl2br w:val="nil"/>
                    <w:tr2bl w:val="nil"/>
                  </w:tcBorders>
                  <w:vAlign w:val="center"/>
                </w:tcPr>
                <w:p w14:paraId="3DDC60E9">
                  <w:pPr>
                    <w:widowControl/>
                    <w:jc w:val="center"/>
                    <w:rPr>
                      <w:rFonts w:eastAsiaTheme="minorEastAsia"/>
                      <w:color w:val="FF0000"/>
                      <w:kern w:val="0"/>
                      <w:szCs w:val="21"/>
                      <w:lang w:bidi="ar"/>
                    </w:rPr>
                  </w:pPr>
                  <w:r>
                    <w:rPr>
                      <w:rFonts w:eastAsiaTheme="minorEastAsia"/>
                      <w:color w:val="FF0000"/>
                      <w:kern w:val="0"/>
                      <w:szCs w:val="21"/>
                      <w:lang w:bidi="ar"/>
                    </w:rPr>
                    <w:t>本项目在运输环节采用密闭容器，运输前对异常电池（如漏液、电压异常）进行放电处理（完全放电态）。</w:t>
                  </w:r>
                  <w:r>
                    <w:rPr>
                      <w:rFonts w:hint="eastAsia" w:eastAsiaTheme="minorEastAsia"/>
                      <w:color w:val="FF0000"/>
                      <w:kern w:val="0"/>
                      <w:szCs w:val="21"/>
                      <w:lang w:val="en-US" w:eastAsia="zh-CN" w:bidi="ar"/>
                    </w:rPr>
                    <w:t>运输由专业回收单位负责，</w:t>
                  </w:r>
                  <w:r>
                    <w:rPr>
                      <w:rFonts w:eastAsiaTheme="minorEastAsia"/>
                      <w:color w:val="FF0000"/>
                      <w:kern w:val="0"/>
                      <w:szCs w:val="21"/>
                      <w:lang w:bidi="ar"/>
                    </w:rPr>
                    <w:t>运输路线避开高温、潮湿环境，制定应急预。</w:t>
                  </w:r>
                </w:p>
              </w:tc>
              <w:tc>
                <w:tcPr>
                  <w:tcW w:w="461" w:type="pct"/>
                  <w:tcBorders>
                    <w:tl2br w:val="nil"/>
                    <w:tr2bl w:val="nil"/>
                  </w:tcBorders>
                  <w:vAlign w:val="center"/>
                </w:tcPr>
                <w:p w14:paraId="7F7E339A">
                  <w:pPr>
                    <w:widowControl/>
                    <w:jc w:val="center"/>
                    <w:rPr>
                      <w:rFonts w:eastAsiaTheme="minorEastAsia"/>
                      <w:color w:val="FF0000"/>
                      <w:kern w:val="0"/>
                      <w:szCs w:val="21"/>
                      <w:lang w:bidi="ar"/>
                    </w:rPr>
                  </w:pPr>
                  <w:r>
                    <w:rPr>
                      <w:rFonts w:hint="eastAsia" w:eastAsiaTheme="minorEastAsia"/>
                      <w:color w:val="FF0000"/>
                      <w:kern w:val="0"/>
                      <w:szCs w:val="21"/>
                      <w:lang w:val="en-US" w:eastAsia="zh-CN" w:bidi="ar"/>
                    </w:rPr>
                    <w:t>符合</w:t>
                  </w:r>
                </w:p>
              </w:tc>
            </w:tr>
            <w:tr w14:paraId="15E15A86">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22" w:type="pct"/>
                  <w:tcBorders>
                    <w:tl2br w:val="nil"/>
                    <w:tr2bl w:val="nil"/>
                  </w:tcBorders>
                  <w:vAlign w:val="center"/>
                </w:tcPr>
                <w:p w14:paraId="6C4AE0E2">
                  <w:pPr>
                    <w:widowControl/>
                    <w:jc w:val="center"/>
                    <w:rPr>
                      <w:rFonts w:hint="default" w:eastAsiaTheme="minorEastAsia"/>
                      <w:color w:val="FF0000"/>
                      <w:kern w:val="0"/>
                      <w:szCs w:val="21"/>
                      <w:lang w:val="en-US" w:eastAsia="zh-CN" w:bidi="ar"/>
                    </w:rPr>
                  </w:pPr>
                  <w:r>
                    <w:rPr>
                      <w:rFonts w:hint="eastAsia" w:eastAsiaTheme="minorEastAsia"/>
                      <w:color w:val="FF0000"/>
                      <w:kern w:val="0"/>
                      <w:szCs w:val="21"/>
                      <w:lang w:val="en-US" w:eastAsia="zh-CN" w:bidi="ar"/>
                    </w:rPr>
                    <w:t>4</w:t>
                  </w:r>
                </w:p>
              </w:tc>
              <w:tc>
                <w:tcPr>
                  <w:tcW w:w="2139" w:type="pct"/>
                  <w:tcBorders>
                    <w:tl2br w:val="nil"/>
                    <w:tr2bl w:val="nil"/>
                  </w:tcBorders>
                  <w:vAlign w:val="center"/>
                </w:tcPr>
                <w:p w14:paraId="6B7C3404">
                  <w:pPr>
                    <w:widowControl/>
                    <w:jc w:val="center"/>
                    <w:rPr>
                      <w:rFonts w:eastAsiaTheme="minorEastAsia"/>
                      <w:color w:val="FF0000"/>
                      <w:kern w:val="0"/>
                      <w:szCs w:val="21"/>
                      <w:lang w:bidi="ar"/>
                    </w:rPr>
                  </w:pPr>
                  <w:r>
                    <w:rPr>
                      <w:rFonts w:ascii="Times New Roman" w:hAnsi="Times New Roman" w:cs="Times New Roman" w:eastAsiaTheme="minorEastAsia"/>
                      <w:color w:val="FF0000"/>
                      <w:kern w:val="0"/>
                      <w:szCs w:val="21"/>
                      <w:lang w:bidi="ar"/>
                    </w:rPr>
                    <w:t>第十七条 【放电要求】废旧动力蓄电池放电可采取物理和化 学两种放电方式。对外壳完好的动力蓄电池宜采取物理放电，物理 放电应采用专业放电器或自动放电系统，应对热能散发环境做好隔 热、导热或热转换措施。对受损严重、无法连接放电器的废旧动力电池采取化学放电，化学放电应采用吊装设备将废旧动力蓄电池搬运入放电液中，同时应收集放电液进行环保无害化处理或交由相关环保处理企业处理。</w:t>
                  </w:r>
                </w:p>
              </w:tc>
              <w:tc>
                <w:tcPr>
                  <w:tcW w:w="2077" w:type="pct"/>
                  <w:tcBorders>
                    <w:tl2br w:val="nil"/>
                    <w:tr2bl w:val="nil"/>
                  </w:tcBorders>
                  <w:vAlign w:val="center"/>
                </w:tcPr>
                <w:p w14:paraId="75E8D5E0">
                  <w:pPr>
                    <w:widowControl/>
                    <w:jc w:val="center"/>
                    <w:rPr>
                      <w:rFonts w:eastAsiaTheme="minorEastAsia"/>
                      <w:color w:val="FF0000"/>
                      <w:kern w:val="0"/>
                      <w:szCs w:val="21"/>
                      <w:lang w:bidi="ar"/>
                    </w:rPr>
                  </w:pPr>
                  <w:r>
                    <w:rPr>
                      <w:rFonts w:eastAsiaTheme="minorEastAsia"/>
                      <w:color w:val="FF0000"/>
                      <w:kern w:val="0"/>
                      <w:szCs w:val="21"/>
                      <w:lang w:bidi="ar"/>
                    </w:rPr>
                    <w:t>本项目针对废旧动力蓄电池的放电处理采取分级管理：</w:t>
                  </w:r>
                </w:p>
                <w:p w14:paraId="43FB6866">
                  <w:pPr>
                    <w:widowControl/>
                    <w:jc w:val="center"/>
                    <w:rPr>
                      <w:rFonts w:hint="default" w:eastAsiaTheme="minorEastAsia"/>
                      <w:color w:val="FF0000"/>
                      <w:kern w:val="0"/>
                      <w:szCs w:val="21"/>
                      <w:lang w:bidi="ar"/>
                    </w:rPr>
                  </w:pPr>
                  <w:r>
                    <w:rPr>
                      <w:rFonts w:eastAsiaTheme="minorEastAsia"/>
                      <w:color w:val="FF0000"/>
                      <w:kern w:val="0"/>
                      <w:szCs w:val="21"/>
                      <w:lang w:bidi="ar"/>
                    </w:rPr>
                    <w:t>1.</w:t>
                  </w:r>
                  <w:r>
                    <w:rPr>
                      <w:rFonts w:hint="default" w:eastAsiaTheme="minorEastAsia"/>
                      <w:color w:val="FF0000"/>
                      <w:kern w:val="0"/>
                      <w:szCs w:val="21"/>
                      <w:lang w:bidi="ar"/>
                    </w:rPr>
                    <w:t>物理放电：外壳完好的电池采用自动放电系统（符合DB34/T3077-2018标准），通过专业放电器进行可控放电，同时配备热能导流管道和冷却装置，确保放电过程热能安全散发，避免局部过热风险。</w:t>
                  </w:r>
                </w:p>
                <w:p w14:paraId="308DE0C0">
                  <w:pPr>
                    <w:widowControl/>
                    <w:jc w:val="center"/>
                    <w:rPr>
                      <w:rFonts w:hint="default" w:eastAsiaTheme="minorEastAsia"/>
                      <w:color w:val="FF0000"/>
                      <w:kern w:val="0"/>
                      <w:szCs w:val="21"/>
                      <w:lang w:val="en-US" w:eastAsia="zh-CN" w:bidi="ar"/>
                    </w:rPr>
                  </w:pPr>
                  <w:r>
                    <w:rPr>
                      <w:rFonts w:ascii="Times New Roman" w:hAnsi="Times New Roman" w:cs="Times New Roman" w:eastAsiaTheme="minorEastAsia"/>
                      <w:color w:val="FF0000"/>
                      <w:kern w:val="0"/>
                      <w:szCs w:val="21"/>
                      <w:lang w:bidi="ar"/>
                    </w:rPr>
                    <w:t>对受损严重、无法连接放电器的废旧</w:t>
                  </w:r>
                  <w:r>
                    <w:rPr>
                      <w:rFonts w:hint="default" w:eastAsiaTheme="minorEastAsia"/>
                      <w:color w:val="FF0000"/>
                      <w:kern w:val="0"/>
                      <w:szCs w:val="21"/>
                      <w:lang w:bidi="ar"/>
                    </w:rPr>
                    <w:t>破损电池</w:t>
                  </w:r>
                  <w:r>
                    <w:rPr>
                      <w:rFonts w:hint="eastAsia" w:eastAsiaTheme="minorEastAsia"/>
                      <w:color w:val="FF0000"/>
                      <w:kern w:val="0"/>
                      <w:szCs w:val="21"/>
                      <w:lang w:val="en-US" w:eastAsia="zh-CN" w:bidi="ar"/>
                    </w:rPr>
                    <w:t>收集至专业容器内，委托专业单位进行处理。</w:t>
                  </w:r>
                </w:p>
              </w:tc>
              <w:tc>
                <w:tcPr>
                  <w:tcW w:w="461" w:type="pct"/>
                  <w:tcBorders>
                    <w:tl2br w:val="nil"/>
                    <w:tr2bl w:val="nil"/>
                  </w:tcBorders>
                  <w:vAlign w:val="center"/>
                </w:tcPr>
                <w:p w14:paraId="1AA0599E">
                  <w:pPr>
                    <w:widowControl/>
                    <w:jc w:val="center"/>
                    <w:rPr>
                      <w:rFonts w:eastAsiaTheme="minorEastAsia"/>
                      <w:color w:val="FF0000"/>
                      <w:kern w:val="0"/>
                      <w:szCs w:val="21"/>
                      <w:lang w:bidi="ar"/>
                    </w:rPr>
                  </w:pPr>
                  <w:r>
                    <w:rPr>
                      <w:rFonts w:hint="eastAsia" w:eastAsiaTheme="minorEastAsia"/>
                      <w:color w:val="FF0000"/>
                      <w:kern w:val="0"/>
                      <w:szCs w:val="21"/>
                      <w:lang w:val="en-US" w:eastAsia="zh-CN" w:bidi="ar"/>
                    </w:rPr>
                    <w:t>符合</w:t>
                  </w:r>
                </w:p>
              </w:tc>
            </w:tr>
            <w:tr w14:paraId="560417C5">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22" w:type="pct"/>
                  <w:tcBorders>
                    <w:tl2br w:val="nil"/>
                    <w:tr2bl w:val="nil"/>
                  </w:tcBorders>
                  <w:vAlign w:val="center"/>
                </w:tcPr>
                <w:p w14:paraId="37992DC8">
                  <w:pPr>
                    <w:widowControl/>
                    <w:jc w:val="center"/>
                    <w:rPr>
                      <w:rFonts w:hint="default" w:eastAsiaTheme="minorEastAsia"/>
                      <w:color w:val="FF0000"/>
                      <w:kern w:val="0"/>
                      <w:szCs w:val="21"/>
                      <w:lang w:val="en-US" w:eastAsia="zh-CN" w:bidi="ar"/>
                    </w:rPr>
                  </w:pPr>
                  <w:r>
                    <w:rPr>
                      <w:rFonts w:hint="eastAsia" w:eastAsiaTheme="minorEastAsia"/>
                      <w:color w:val="FF0000"/>
                      <w:kern w:val="0"/>
                      <w:szCs w:val="21"/>
                      <w:lang w:val="en-US" w:eastAsia="zh-CN" w:bidi="ar"/>
                    </w:rPr>
                    <w:t>5</w:t>
                  </w:r>
                </w:p>
              </w:tc>
              <w:tc>
                <w:tcPr>
                  <w:tcW w:w="2139" w:type="pct"/>
                  <w:tcBorders>
                    <w:tl2br w:val="nil"/>
                    <w:tr2bl w:val="nil"/>
                  </w:tcBorders>
                  <w:vAlign w:val="center"/>
                </w:tcPr>
                <w:p w14:paraId="4FD23424">
                  <w:pPr>
                    <w:widowControl/>
                    <w:jc w:val="center"/>
                    <w:rPr>
                      <w:rFonts w:eastAsiaTheme="minorEastAsia"/>
                      <w:color w:val="FF0000"/>
                      <w:kern w:val="0"/>
                      <w:szCs w:val="21"/>
                      <w:lang w:bidi="ar"/>
                    </w:rPr>
                  </w:pPr>
                  <w:r>
                    <w:rPr>
                      <w:rFonts w:eastAsiaTheme="minorEastAsia"/>
                      <w:color w:val="FF0000"/>
                      <w:kern w:val="0"/>
                      <w:szCs w:val="21"/>
                      <w:lang w:bidi="ar"/>
                    </w:rPr>
                    <w:t>第二十一条【拆解要求】废旧动力蓄电池拆解应使用专用拆解场地，配备安全防护装备和防护罩，由专业人员严格按照动力蓄 电池生产企业所提供的拆解信息，使用自动化的拆解设备、专用起 吊工具、绝缘工具等进行。拆解过程应配备电工资质人员进行作业。 废旧动力蓄电池应进行放电处理后再拆解，具体要求参照本政策第 十七条规定执行</w:t>
                  </w:r>
                </w:p>
              </w:tc>
              <w:tc>
                <w:tcPr>
                  <w:tcW w:w="2077" w:type="pct"/>
                  <w:tcBorders>
                    <w:tl2br w:val="nil"/>
                    <w:tr2bl w:val="nil"/>
                  </w:tcBorders>
                  <w:vAlign w:val="center"/>
                </w:tcPr>
                <w:p w14:paraId="1072692D">
                  <w:pPr>
                    <w:widowControl/>
                    <w:jc w:val="center"/>
                    <w:rPr>
                      <w:rFonts w:eastAsiaTheme="minorEastAsia"/>
                      <w:color w:val="FF0000"/>
                      <w:kern w:val="0"/>
                      <w:szCs w:val="21"/>
                      <w:lang w:bidi="ar"/>
                    </w:rPr>
                  </w:pPr>
                  <w:r>
                    <w:rPr>
                      <w:rFonts w:eastAsiaTheme="minorEastAsia"/>
                      <w:color w:val="FF0000"/>
                      <w:kern w:val="0"/>
                      <w:szCs w:val="21"/>
                      <w:lang w:bidi="ar"/>
                    </w:rPr>
                    <w:t>本项目拆解动力蓄电池时，使用专用拆解平台和绝缘工具，由具备电工证的专业人员操作。拆解前对电池进行完全放电（按DB34/T 3077-2018标准），并配备防护罩和安全应急设备（如灭火器、消防沙池）。拆解场地符合DB34/T 3590—2020要求。</w:t>
                  </w:r>
                </w:p>
              </w:tc>
              <w:tc>
                <w:tcPr>
                  <w:tcW w:w="461" w:type="pct"/>
                  <w:tcBorders>
                    <w:tl2br w:val="nil"/>
                    <w:tr2bl w:val="nil"/>
                  </w:tcBorders>
                  <w:vAlign w:val="center"/>
                </w:tcPr>
                <w:p w14:paraId="55C5191B">
                  <w:pPr>
                    <w:widowControl/>
                    <w:jc w:val="center"/>
                    <w:rPr>
                      <w:rFonts w:eastAsiaTheme="minorEastAsia"/>
                      <w:color w:val="FF0000"/>
                      <w:kern w:val="0"/>
                      <w:szCs w:val="21"/>
                      <w:lang w:bidi="ar"/>
                    </w:rPr>
                  </w:pPr>
                </w:p>
              </w:tc>
            </w:tr>
          </w:tbl>
          <w:p w14:paraId="147DF293">
            <w:pPr>
              <w:pStyle w:val="18"/>
              <w:tabs>
                <w:tab w:val="left" w:pos="929"/>
              </w:tabs>
              <w:spacing w:line="240" w:lineRule="auto"/>
              <w:ind w:left="0" w:leftChars="0"/>
              <w:rPr>
                <w:rFonts w:hint="eastAsia" w:ascii="宋体" w:hAnsi="宋体"/>
                <w:b/>
                <w:bCs/>
                <w:sz w:val="24"/>
              </w:rPr>
            </w:pPr>
          </w:p>
          <w:p w14:paraId="2101A80F">
            <w:pPr>
              <w:pStyle w:val="18"/>
              <w:tabs>
                <w:tab w:val="left" w:pos="929"/>
              </w:tabs>
              <w:spacing w:line="240" w:lineRule="auto"/>
              <w:ind w:left="0" w:leftChars="0"/>
              <w:rPr>
                <w:rFonts w:hint="eastAsia" w:ascii="宋体" w:hAnsi="宋体"/>
                <w:b/>
                <w:bCs/>
                <w:sz w:val="24"/>
              </w:rPr>
            </w:pPr>
            <w:r>
              <w:rPr>
                <w:rFonts w:hint="eastAsia" w:ascii="宋体" w:hAnsi="宋体"/>
                <w:b/>
                <w:bCs/>
                <w:sz w:val="24"/>
              </w:rPr>
              <w:t>1</w:t>
            </w:r>
            <w:r>
              <w:rPr>
                <w:rFonts w:hint="eastAsia" w:ascii="宋体" w:hAnsi="宋体"/>
                <w:b/>
                <w:bCs/>
                <w:sz w:val="24"/>
                <w:lang w:val="en-US" w:eastAsia="zh-CN"/>
              </w:rPr>
              <w:t>6.</w:t>
            </w:r>
            <w:r>
              <w:rPr>
                <w:rFonts w:hint="eastAsia" w:ascii="宋体" w:hAnsi="宋体"/>
                <w:b/>
                <w:bCs/>
                <w:sz w:val="24"/>
              </w:rPr>
              <w:t>本项目与防沙治沙相关文件相符性分析</w:t>
            </w:r>
          </w:p>
          <w:p w14:paraId="579905DD">
            <w:pPr>
              <w:pStyle w:val="18"/>
              <w:tabs>
                <w:tab w:val="left" w:pos="929"/>
              </w:tabs>
              <w:spacing w:line="240" w:lineRule="auto"/>
              <w:ind w:left="0" w:leftChars="0"/>
              <w:jc w:val="center"/>
            </w:pPr>
            <w:r>
              <w:rPr>
                <w:b/>
                <w:bCs/>
                <w:spacing w:val="6"/>
              </w:rPr>
              <w:t>表</w:t>
            </w:r>
            <w:r>
              <w:rPr>
                <w:rFonts w:hint="eastAsia"/>
                <w:b/>
                <w:bCs/>
                <w:spacing w:val="6"/>
              </w:rPr>
              <w:t>2</w:t>
            </w:r>
            <w:r>
              <w:rPr>
                <w:rFonts w:hint="eastAsia"/>
                <w:b/>
                <w:bCs/>
                <w:spacing w:val="6"/>
                <w:lang w:val="en-US" w:eastAsia="zh-CN"/>
              </w:rPr>
              <w:t>1</w:t>
            </w:r>
            <w:r>
              <w:rPr>
                <w:rFonts w:eastAsia="Times New Roman"/>
                <w:b/>
                <w:bCs/>
                <w:spacing w:val="6"/>
              </w:rPr>
              <w:t xml:space="preserve">  </w:t>
            </w:r>
            <w:r>
              <w:rPr>
                <w:b/>
                <w:bCs/>
                <w:spacing w:val="6"/>
              </w:rPr>
              <w:t>与</w:t>
            </w:r>
            <w:r>
              <w:rPr>
                <w:rFonts w:hint="eastAsia"/>
                <w:b/>
                <w:bCs/>
                <w:spacing w:val="6"/>
              </w:rPr>
              <w:t>防沙治沙</w:t>
            </w:r>
            <w:r>
              <w:rPr>
                <w:b/>
                <w:bCs/>
                <w:spacing w:val="6"/>
              </w:rPr>
              <w:t>相关文件相符性分析</w:t>
            </w:r>
          </w:p>
          <w:tbl>
            <w:tblPr>
              <w:tblStyle w:val="35"/>
              <w:tblW w:w="4998" w:type="pct"/>
              <w:jc w:val="center"/>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485"/>
              <w:gridCol w:w="4543"/>
              <w:gridCol w:w="1808"/>
              <w:gridCol w:w="695"/>
            </w:tblGrid>
            <w:tr w14:paraId="52AA76C1">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07" w:hRule="atLeast"/>
                <w:jc w:val="center"/>
              </w:trPr>
              <w:tc>
                <w:tcPr>
                  <w:tcW w:w="322" w:type="pct"/>
                  <w:tcBorders>
                    <w:tl2br w:val="nil"/>
                    <w:tr2bl w:val="nil"/>
                  </w:tcBorders>
                  <w:vAlign w:val="center"/>
                </w:tcPr>
                <w:p w14:paraId="2482D4E4">
                  <w:pPr>
                    <w:widowControl/>
                    <w:jc w:val="center"/>
                    <w:rPr>
                      <w:rFonts w:eastAsiaTheme="minorEastAsia"/>
                      <w:b/>
                      <w:bCs/>
                      <w:color w:val="000000"/>
                      <w:kern w:val="0"/>
                      <w:szCs w:val="21"/>
                      <w:lang w:bidi="ar"/>
                    </w:rPr>
                  </w:pPr>
                  <w:r>
                    <w:rPr>
                      <w:rFonts w:hint="eastAsia" w:eastAsiaTheme="minorEastAsia"/>
                      <w:b/>
                      <w:bCs/>
                      <w:color w:val="000000"/>
                      <w:kern w:val="0"/>
                      <w:szCs w:val="21"/>
                      <w:lang w:bidi="ar"/>
                    </w:rPr>
                    <w:t>序号</w:t>
                  </w:r>
                </w:p>
              </w:tc>
              <w:tc>
                <w:tcPr>
                  <w:tcW w:w="3015" w:type="pct"/>
                  <w:tcBorders>
                    <w:tl2br w:val="nil"/>
                    <w:tr2bl w:val="nil"/>
                  </w:tcBorders>
                  <w:vAlign w:val="center"/>
                </w:tcPr>
                <w:p w14:paraId="4A2DEDFE">
                  <w:pPr>
                    <w:widowControl/>
                    <w:jc w:val="center"/>
                    <w:rPr>
                      <w:rFonts w:eastAsiaTheme="minorEastAsia"/>
                      <w:b/>
                      <w:bCs/>
                      <w:color w:val="000000"/>
                      <w:kern w:val="0"/>
                      <w:szCs w:val="21"/>
                      <w:lang w:bidi="ar"/>
                    </w:rPr>
                  </w:pPr>
                  <w:r>
                    <w:rPr>
                      <w:b/>
                      <w:bCs/>
                      <w:spacing w:val="8"/>
                    </w:rPr>
                    <w:t>《中华人民共和国防沙治沙法》</w:t>
                  </w:r>
                </w:p>
              </w:tc>
              <w:tc>
                <w:tcPr>
                  <w:tcW w:w="1200" w:type="pct"/>
                  <w:tcBorders>
                    <w:tl2br w:val="nil"/>
                    <w:tr2bl w:val="nil"/>
                  </w:tcBorders>
                  <w:vAlign w:val="center"/>
                </w:tcPr>
                <w:p w14:paraId="5F1007D5">
                  <w:pPr>
                    <w:widowControl/>
                    <w:jc w:val="center"/>
                    <w:rPr>
                      <w:rFonts w:eastAsiaTheme="minorEastAsia"/>
                      <w:b/>
                      <w:bCs/>
                      <w:color w:val="000000"/>
                      <w:kern w:val="0"/>
                      <w:szCs w:val="21"/>
                      <w:lang w:bidi="ar"/>
                    </w:rPr>
                  </w:pPr>
                  <w:r>
                    <w:rPr>
                      <w:rFonts w:hint="eastAsia" w:eastAsiaTheme="minorEastAsia"/>
                      <w:b/>
                      <w:bCs/>
                      <w:color w:val="000000"/>
                      <w:kern w:val="0"/>
                      <w:szCs w:val="21"/>
                      <w:lang w:bidi="ar"/>
                    </w:rPr>
                    <w:t>本项目情况</w:t>
                  </w:r>
                </w:p>
              </w:tc>
              <w:tc>
                <w:tcPr>
                  <w:tcW w:w="461" w:type="pct"/>
                  <w:tcBorders>
                    <w:tl2br w:val="nil"/>
                    <w:tr2bl w:val="nil"/>
                  </w:tcBorders>
                  <w:vAlign w:val="center"/>
                </w:tcPr>
                <w:p w14:paraId="05095910">
                  <w:pPr>
                    <w:widowControl/>
                    <w:jc w:val="center"/>
                    <w:rPr>
                      <w:rFonts w:eastAsiaTheme="minorEastAsia"/>
                      <w:b/>
                      <w:bCs/>
                      <w:color w:val="000000"/>
                      <w:kern w:val="0"/>
                      <w:szCs w:val="21"/>
                      <w:lang w:bidi="ar"/>
                    </w:rPr>
                  </w:pPr>
                  <w:r>
                    <w:rPr>
                      <w:rFonts w:hint="eastAsia" w:eastAsiaTheme="minorEastAsia"/>
                      <w:b/>
                      <w:bCs/>
                      <w:color w:val="000000"/>
                      <w:kern w:val="0"/>
                      <w:szCs w:val="21"/>
                      <w:lang w:bidi="ar"/>
                    </w:rPr>
                    <w:t>相符性</w:t>
                  </w:r>
                </w:p>
              </w:tc>
            </w:tr>
            <w:tr w14:paraId="2021A3AB">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322" w:type="pct"/>
                  <w:tcBorders>
                    <w:tl2br w:val="nil"/>
                    <w:tr2bl w:val="nil"/>
                  </w:tcBorders>
                  <w:vAlign w:val="center"/>
                </w:tcPr>
                <w:p w14:paraId="709AAFF0">
                  <w:pPr>
                    <w:widowControl/>
                    <w:jc w:val="center"/>
                    <w:rPr>
                      <w:rFonts w:eastAsiaTheme="minorEastAsia"/>
                      <w:color w:val="000000"/>
                      <w:kern w:val="0"/>
                      <w:szCs w:val="21"/>
                      <w:lang w:bidi="ar"/>
                    </w:rPr>
                  </w:pPr>
                  <w:r>
                    <w:rPr>
                      <w:rFonts w:eastAsiaTheme="minorEastAsia"/>
                      <w:color w:val="000000"/>
                      <w:kern w:val="0"/>
                      <w:szCs w:val="21"/>
                      <w:lang w:bidi="ar"/>
                    </w:rPr>
                    <w:t>1</w:t>
                  </w:r>
                </w:p>
              </w:tc>
              <w:tc>
                <w:tcPr>
                  <w:tcW w:w="3015" w:type="pct"/>
                  <w:tcBorders>
                    <w:tl2br w:val="nil"/>
                    <w:tr2bl w:val="nil"/>
                  </w:tcBorders>
                </w:tcPr>
                <w:p w14:paraId="795C849E">
                  <w:pPr>
                    <w:widowControl/>
                    <w:jc w:val="center"/>
                    <w:rPr>
                      <w:rFonts w:eastAsiaTheme="minorEastAsia"/>
                      <w:color w:val="000000"/>
                      <w:kern w:val="0"/>
                      <w:szCs w:val="21"/>
                      <w:lang w:bidi="ar"/>
                    </w:rPr>
                  </w:pPr>
                  <w:r>
                    <w:rPr>
                      <w:rFonts w:eastAsiaTheme="minorEastAsia"/>
                      <w:color w:val="000000"/>
                      <w:kern w:val="0"/>
                      <w:szCs w:val="21"/>
                      <w:lang w:bidi="ar"/>
                    </w:rPr>
                    <w:t>在沙化土地范围内从事开发建设活动的，必须事先就该项目可能对当地及相关地区生态产生的影响进行环境影响评价，依法提交环境影响报 告；环境影响报告应当包括有关防沙治沙的内容。</w:t>
                  </w:r>
                </w:p>
              </w:tc>
              <w:tc>
                <w:tcPr>
                  <w:tcW w:w="1200" w:type="pct"/>
                  <w:tcBorders>
                    <w:tl2br w:val="nil"/>
                    <w:tr2bl w:val="nil"/>
                  </w:tcBorders>
                </w:tcPr>
                <w:p w14:paraId="6D589A1B">
                  <w:pPr>
                    <w:widowControl/>
                    <w:jc w:val="center"/>
                    <w:rPr>
                      <w:rFonts w:eastAsiaTheme="minorEastAsia"/>
                      <w:color w:val="000000"/>
                      <w:kern w:val="0"/>
                      <w:szCs w:val="21"/>
                      <w:lang w:bidi="ar"/>
                    </w:rPr>
                  </w:pPr>
                  <w:r>
                    <w:rPr>
                      <w:rFonts w:eastAsiaTheme="minorEastAsia"/>
                      <w:color w:val="000000"/>
                      <w:kern w:val="0"/>
                      <w:szCs w:val="21"/>
                      <w:lang w:bidi="ar"/>
                    </w:rPr>
                    <w:t>本项目位于辽宁省朝阳市北票市宝锦线凉水河北侧3幢01023，为沙化土地分布地区。</w:t>
                  </w:r>
                </w:p>
              </w:tc>
              <w:tc>
                <w:tcPr>
                  <w:tcW w:w="461" w:type="pct"/>
                  <w:tcBorders>
                    <w:tl2br w:val="nil"/>
                    <w:tr2bl w:val="nil"/>
                  </w:tcBorders>
                  <w:vAlign w:val="center"/>
                </w:tcPr>
                <w:p w14:paraId="7B1CEF9F">
                  <w:pPr>
                    <w:widowControl/>
                    <w:jc w:val="center"/>
                    <w:rPr>
                      <w:rFonts w:eastAsiaTheme="minorEastAsia"/>
                      <w:color w:val="000000"/>
                      <w:kern w:val="0"/>
                      <w:szCs w:val="21"/>
                      <w:lang w:bidi="ar"/>
                    </w:rPr>
                  </w:pPr>
                  <w:r>
                    <w:rPr>
                      <w:rFonts w:eastAsiaTheme="minorEastAsia"/>
                      <w:color w:val="000000"/>
                      <w:kern w:val="0"/>
                      <w:szCs w:val="21"/>
                      <w:lang w:bidi="ar"/>
                    </w:rPr>
                    <w:t>符合</w:t>
                  </w:r>
                </w:p>
              </w:tc>
            </w:tr>
            <w:tr w14:paraId="1B104329">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322" w:type="pct"/>
                  <w:tcBorders>
                    <w:tl2br w:val="nil"/>
                    <w:tr2bl w:val="nil"/>
                  </w:tcBorders>
                  <w:vAlign w:val="center"/>
                </w:tcPr>
                <w:p w14:paraId="4590A92B">
                  <w:pPr>
                    <w:widowControl/>
                    <w:jc w:val="center"/>
                    <w:rPr>
                      <w:rFonts w:eastAsiaTheme="minorEastAsia"/>
                      <w:color w:val="000000"/>
                      <w:kern w:val="0"/>
                      <w:szCs w:val="21"/>
                      <w:lang w:bidi="ar"/>
                    </w:rPr>
                  </w:pPr>
                  <w:r>
                    <w:rPr>
                      <w:rFonts w:eastAsiaTheme="minorEastAsia"/>
                      <w:color w:val="000000"/>
                      <w:kern w:val="0"/>
                      <w:szCs w:val="21"/>
                      <w:lang w:bidi="ar"/>
                    </w:rPr>
                    <w:t>2</w:t>
                  </w:r>
                </w:p>
              </w:tc>
              <w:tc>
                <w:tcPr>
                  <w:tcW w:w="3015" w:type="pct"/>
                  <w:tcBorders>
                    <w:tl2br w:val="nil"/>
                    <w:tr2bl w:val="nil"/>
                  </w:tcBorders>
                </w:tcPr>
                <w:p w14:paraId="59B6AC7D">
                  <w:pPr>
                    <w:widowControl/>
                    <w:jc w:val="center"/>
                    <w:rPr>
                      <w:rFonts w:eastAsiaTheme="minorEastAsia"/>
                      <w:color w:val="000000"/>
                      <w:kern w:val="0"/>
                      <w:szCs w:val="21"/>
                      <w:lang w:bidi="ar"/>
                    </w:rPr>
                  </w:pPr>
                  <w:r>
                    <w:rPr>
                      <w:rFonts w:eastAsiaTheme="minorEastAsia"/>
                      <w:color w:val="000000"/>
                      <w:kern w:val="0"/>
                      <w:szCs w:val="21"/>
                      <w:lang w:bidi="ar"/>
                    </w:rPr>
                    <w:t>在沙化土地封禁保护区范围内，禁止一切破坏植 被的活动。禁止在沙化土地封禁保护区范围内安置移民。对沙化土地封禁保护区范围内的农牧  民，县级以上地方人民政府应当有计划地组织迁 出，并妥善安置。沙化土地封禁保护区范围内尚未迁出的农牧民的生产生活，由沙化土地封禁保护区主管部门妥善安排。</w:t>
                  </w:r>
                </w:p>
              </w:tc>
              <w:tc>
                <w:tcPr>
                  <w:tcW w:w="1200" w:type="pct"/>
                  <w:tcBorders>
                    <w:tl2br w:val="nil"/>
                    <w:tr2bl w:val="nil"/>
                  </w:tcBorders>
                </w:tcPr>
                <w:p w14:paraId="50041765">
                  <w:pPr>
                    <w:widowControl/>
                    <w:jc w:val="center"/>
                    <w:rPr>
                      <w:rFonts w:eastAsiaTheme="minorEastAsia"/>
                      <w:color w:val="000000"/>
                      <w:kern w:val="0"/>
                      <w:szCs w:val="21"/>
                      <w:lang w:bidi="ar"/>
                    </w:rPr>
                  </w:pPr>
                  <w:r>
                    <w:rPr>
                      <w:rFonts w:eastAsiaTheme="minorEastAsia"/>
                      <w:color w:val="000000"/>
                      <w:kern w:val="0"/>
                      <w:szCs w:val="21"/>
                      <w:lang w:bidi="ar"/>
                    </w:rPr>
                    <w:t>本项目不在沙化土地封禁保护区范围内，且本项目为租赁厂房，其占地属于已开发利用的土地，不涉及新增占地，并不会对植被造成破坏。</w:t>
                  </w:r>
                </w:p>
              </w:tc>
              <w:tc>
                <w:tcPr>
                  <w:tcW w:w="461" w:type="pct"/>
                  <w:tcBorders>
                    <w:tl2br w:val="nil"/>
                    <w:tr2bl w:val="nil"/>
                  </w:tcBorders>
                  <w:vAlign w:val="center"/>
                </w:tcPr>
                <w:p w14:paraId="48024B51">
                  <w:pPr>
                    <w:widowControl/>
                    <w:jc w:val="center"/>
                    <w:rPr>
                      <w:rFonts w:eastAsiaTheme="minorEastAsia"/>
                      <w:color w:val="000000"/>
                      <w:kern w:val="0"/>
                      <w:szCs w:val="21"/>
                      <w:lang w:bidi="ar"/>
                    </w:rPr>
                  </w:pPr>
                  <w:r>
                    <w:rPr>
                      <w:rFonts w:eastAsiaTheme="minorEastAsia"/>
                      <w:color w:val="000000"/>
                      <w:kern w:val="0"/>
                      <w:szCs w:val="21"/>
                      <w:lang w:bidi="ar"/>
                    </w:rPr>
                    <w:t>符合</w:t>
                  </w:r>
                </w:p>
              </w:tc>
            </w:tr>
            <w:tr w14:paraId="169DBB5A">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322" w:type="pct"/>
                  <w:tcBorders>
                    <w:tl2br w:val="nil"/>
                    <w:tr2bl w:val="nil"/>
                  </w:tcBorders>
                  <w:vAlign w:val="center"/>
                </w:tcPr>
                <w:p w14:paraId="59ED427A">
                  <w:pPr>
                    <w:widowControl/>
                    <w:jc w:val="center"/>
                    <w:rPr>
                      <w:rFonts w:eastAsiaTheme="minorEastAsia"/>
                      <w:color w:val="000000"/>
                      <w:kern w:val="0"/>
                      <w:szCs w:val="21"/>
                      <w:lang w:bidi="ar"/>
                    </w:rPr>
                  </w:pPr>
                  <w:r>
                    <w:rPr>
                      <w:rFonts w:hint="eastAsia" w:eastAsiaTheme="minorEastAsia"/>
                      <w:color w:val="000000"/>
                      <w:kern w:val="0"/>
                      <w:szCs w:val="21"/>
                      <w:lang w:bidi="ar"/>
                    </w:rPr>
                    <w:t>3</w:t>
                  </w:r>
                </w:p>
              </w:tc>
              <w:tc>
                <w:tcPr>
                  <w:tcW w:w="3015" w:type="pct"/>
                  <w:tcBorders>
                    <w:tl2br w:val="nil"/>
                    <w:tr2bl w:val="nil"/>
                  </w:tcBorders>
                </w:tcPr>
                <w:p w14:paraId="7E1C2034">
                  <w:pPr>
                    <w:widowControl/>
                    <w:jc w:val="center"/>
                    <w:rPr>
                      <w:rFonts w:eastAsiaTheme="minorEastAsia"/>
                      <w:color w:val="000000"/>
                      <w:kern w:val="0"/>
                      <w:szCs w:val="21"/>
                      <w:lang w:bidi="ar"/>
                    </w:rPr>
                  </w:pPr>
                  <w:r>
                    <w:rPr>
                      <w:rFonts w:eastAsiaTheme="minorEastAsia"/>
                      <w:color w:val="000000"/>
                      <w:kern w:val="0"/>
                      <w:szCs w:val="21"/>
                      <w:lang w:bidi="ar"/>
                    </w:rPr>
                    <w:t>使用已经沙化的国有土地的使用权人和农民集体所有土地的承包经营权人，必须采取治理措施，改善土地质量；确实无能力完成治理任务的，可以委托他人治理或者与他人合作治理。委托或者合作治理的，应当签订协议，明确各方的权利和义务。</w:t>
                  </w:r>
                </w:p>
              </w:tc>
              <w:tc>
                <w:tcPr>
                  <w:tcW w:w="1200" w:type="pct"/>
                  <w:tcBorders>
                    <w:tl2br w:val="nil"/>
                    <w:tr2bl w:val="nil"/>
                  </w:tcBorders>
                </w:tcPr>
                <w:p w14:paraId="180C5B96">
                  <w:pPr>
                    <w:widowControl/>
                    <w:jc w:val="center"/>
                    <w:rPr>
                      <w:rFonts w:eastAsiaTheme="minorEastAsia"/>
                      <w:color w:val="000000"/>
                      <w:kern w:val="0"/>
                      <w:szCs w:val="21"/>
                      <w:lang w:bidi="ar"/>
                    </w:rPr>
                  </w:pPr>
                  <w:r>
                    <w:rPr>
                      <w:rFonts w:eastAsiaTheme="minorEastAsia"/>
                      <w:color w:val="000000"/>
                      <w:kern w:val="0"/>
                      <w:szCs w:val="21"/>
                      <w:lang w:bidi="ar"/>
                    </w:rPr>
                    <w:t>本项目为租赁张广喜名下闲置厂区</w:t>
                  </w:r>
                  <w:r>
                    <w:rPr>
                      <w:rFonts w:hint="eastAsia" w:eastAsiaTheme="minorEastAsia"/>
                      <w:color w:val="000000"/>
                      <w:kern w:val="0"/>
                      <w:szCs w:val="21"/>
                      <w:lang w:bidi="ar"/>
                    </w:rPr>
                    <w:t>厂房</w:t>
                  </w:r>
                  <w:r>
                    <w:rPr>
                      <w:rFonts w:eastAsiaTheme="minorEastAsia"/>
                      <w:color w:val="000000"/>
                      <w:kern w:val="0"/>
                      <w:szCs w:val="21"/>
                      <w:lang w:bidi="ar"/>
                    </w:rPr>
                    <w:t>，不属于国有使用权人。</w:t>
                  </w:r>
                </w:p>
              </w:tc>
              <w:tc>
                <w:tcPr>
                  <w:tcW w:w="461" w:type="pct"/>
                  <w:tcBorders>
                    <w:tl2br w:val="nil"/>
                    <w:tr2bl w:val="nil"/>
                  </w:tcBorders>
                  <w:vAlign w:val="center"/>
                </w:tcPr>
                <w:p w14:paraId="2D22442A">
                  <w:pPr>
                    <w:widowControl/>
                    <w:jc w:val="center"/>
                    <w:rPr>
                      <w:rFonts w:eastAsiaTheme="minorEastAsia"/>
                      <w:color w:val="000000"/>
                      <w:kern w:val="0"/>
                      <w:szCs w:val="21"/>
                      <w:lang w:bidi="ar"/>
                    </w:rPr>
                  </w:pPr>
                </w:p>
              </w:tc>
            </w:tr>
            <w:tr w14:paraId="5A548B4A">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322" w:type="pct"/>
                  <w:tcBorders>
                    <w:tl2br w:val="nil"/>
                    <w:tr2bl w:val="nil"/>
                  </w:tcBorders>
                  <w:vAlign w:val="center"/>
                </w:tcPr>
                <w:p w14:paraId="3C293919">
                  <w:pPr>
                    <w:widowControl/>
                    <w:jc w:val="center"/>
                    <w:rPr>
                      <w:rFonts w:eastAsiaTheme="minorEastAsia"/>
                      <w:color w:val="000000"/>
                      <w:kern w:val="0"/>
                      <w:szCs w:val="21"/>
                      <w:lang w:bidi="ar"/>
                    </w:rPr>
                  </w:pPr>
                  <w:r>
                    <w:rPr>
                      <w:rFonts w:hint="eastAsia" w:eastAsiaTheme="minorEastAsia"/>
                      <w:color w:val="000000"/>
                      <w:kern w:val="0"/>
                      <w:szCs w:val="21"/>
                      <w:lang w:bidi="ar"/>
                    </w:rPr>
                    <w:t>4</w:t>
                  </w:r>
                </w:p>
              </w:tc>
              <w:tc>
                <w:tcPr>
                  <w:tcW w:w="3015" w:type="pct"/>
                  <w:tcBorders>
                    <w:tl2br w:val="nil"/>
                    <w:tr2bl w:val="nil"/>
                  </w:tcBorders>
                </w:tcPr>
                <w:p w14:paraId="14803FEA">
                  <w:pPr>
                    <w:widowControl/>
                    <w:jc w:val="center"/>
                    <w:rPr>
                      <w:rFonts w:eastAsiaTheme="minorEastAsia"/>
                      <w:color w:val="000000"/>
                      <w:kern w:val="0"/>
                      <w:szCs w:val="21"/>
                      <w:lang w:bidi="ar"/>
                    </w:rPr>
                  </w:pPr>
                  <w:r>
                    <w:rPr>
                      <w:rFonts w:eastAsiaTheme="minorEastAsia"/>
                      <w:color w:val="000000"/>
                      <w:kern w:val="0"/>
                      <w:szCs w:val="21"/>
                      <w:lang w:bidi="ar"/>
                    </w:rPr>
                    <w:t>已经沙化的土地范围内的铁路、公路、河流和水渠两侧，城镇、村庄、厂矿和水库周围，实行单 位治理责任制，由县级以上地方人民政府下达治理责任书，由责任单位负责组织造林种草或者采取其他治理措施。</w:t>
                  </w:r>
                </w:p>
              </w:tc>
              <w:tc>
                <w:tcPr>
                  <w:tcW w:w="1200" w:type="pct"/>
                  <w:tcBorders>
                    <w:tl2br w:val="nil"/>
                    <w:tr2bl w:val="nil"/>
                  </w:tcBorders>
                </w:tcPr>
                <w:p w14:paraId="1720A098">
                  <w:pPr>
                    <w:widowControl/>
                    <w:jc w:val="center"/>
                    <w:rPr>
                      <w:rFonts w:eastAsiaTheme="minorEastAsia"/>
                      <w:color w:val="000000"/>
                      <w:kern w:val="0"/>
                      <w:szCs w:val="21"/>
                      <w:lang w:bidi="ar"/>
                    </w:rPr>
                  </w:pPr>
                  <w:r>
                    <w:rPr>
                      <w:rFonts w:eastAsiaTheme="minorEastAsia"/>
                      <w:color w:val="000000"/>
                      <w:kern w:val="0"/>
                      <w:szCs w:val="21"/>
                      <w:lang w:bidi="ar"/>
                    </w:rPr>
                    <w:t>本项目周边不涉及铁路、公路、河流和水渠等，周边城镇为</w:t>
                  </w:r>
                  <w:r>
                    <w:rPr>
                      <w:rFonts w:hint="eastAsia"/>
                      <w:spacing w:val="8"/>
                    </w:rPr>
                    <w:t>骆驼营</w:t>
                  </w:r>
                  <w:r>
                    <w:rPr>
                      <w:spacing w:val="8"/>
                    </w:rPr>
                    <w:t>村</w:t>
                  </w:r>
                  <w:r>
                    <w:rPr>
                      <w:rFonts w:eastAsiaTheme="minorEastAsia"/>
                      <w:color w:val="000000"/>
                      <w:kern w:val="0"/>
                      <w:szCs w:val="21"/>
                      <w:lang w:bidi="ar"/>
                    </w:rPr>
                    <w:t>，如县级以上地方人民政府下达了治理责任书，本项目将配合采取治理措施。</w:t>
                  </w:r>
                </w:p>
              </w:tc>
              <w:tc>
                <w:tcPr>
                  <w:tcW w:w="461" w:type="pct"/>
                  <w:tcBorders>
                    <w:tl2br w:val="nil"/>
                    <w:tr2bl w:val="nil"/>
                  </w:tcBorders>
                  <w:vAlign w:val="center"/>
                </w:tcPr>
                <w:p w14:paraId="59BD9D9E">
                  <w:pPr>
                    <w:widowControl/>
                    <w:jc w:val="center"/>
                    <w:rPr>
                      <w:rFonts w:eastAsiaTheme="minorEastAsia"/>
                      <w:color w:val="000000"/>
                      <w:kern w:val="0"/>
                      <w:szCs w:val="21"/>
                      <w:lang w:bidi="ar"/>
                    </w:rPr>
                  </w:pPr>
                </w:p>
              </w:tc>
            </w:tr>
            <w:tr w14:paraId="61F1738B">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322" w:type="pct"/>
                  <w:tcBorders>
                    <w:tl2br w:val="nil"/>
                    <w:tr2bl w:val="nil"/>
                  </w:tcBorders>
                  <w:vAlign w:val="center"/>
                </w:tcPr>
                <w:p w14:paraId="78708E5D">
                  <w:pPr>
                    <w:widowControl/>
                    <w:jc w:val="center"/>
                    <w:rPr>
                      <w:rFonts w:eastAsiaTheme="minorEastAsia"/>
                      <w:b/>
                      <w:bCs/>
                      <w:color w:val="000000"/>
                      <w:kern w:val="0"/>
                      <w:szCs w:val="21"/>
                      <w:lang w:bidi="ar"/>
                    </w:rPr>
                  </w:pPr>
                  <w:r>
                    <w:rPr>
                      <w:rFonts w:hint="eastAsia" w:eastAsiaTheme="minorEastAsia"/>
                      <w:b/>
                      <w:bCs/>
                      <w:color w:val="000000"/>
                      <w:kern w:val="0"/>
                      <w:szCs w:val="21"/>
                      <w:lang w:bidi="ar"/>
                    </w:rPr>
                    <w:t>序号</w:t>
                  </w:r>
                </w:p>
              </w:tc>
              <w:tc>
                <w:tcPr>
                  <w:tcW w:w="3015" w:type="pct"/>
                  <w:tcBorders>
                    <w:tl2br w:val="nil"/>
                    <w:tr2bl w:val="nil"/>
                  </w:tcBorders>
                  <w:vAlign w:val="center"/>
                </w:tcPr>
                <w:p w14:paraId="111288FD">
                  <w:pPr>
                    <w:widowControl/>
                    <w:jc w:val="center"/>
                    <w:rPr>
                      <w:rFonts w:eastAsiaTheme="minorEastAsia"/>
                      <w:b/>
                      <w:bCs/>
                      <w:color w:val="000000"/>
                      <w:kern w:val="0"/>
                      <w:szCs w:val="21"/>
                      <w:lang w:bidi="ar"/>
                    </w:rPr>
                  </w:pPr>
                  <w:r>
                    <w:rPr>
                      <w:b/>
                      <w:bCs/>
                      <w:spacing w:val="7"/>
                    </w:rPr>
                    <w:t>《辽宁省防沙治沙条例》</w:t>
                  </w:r>
                </w:p>
              </w:tc>
              <w:tc>
                <w:tcPr>
                  <w:tcW w:w="1200" w:type="pct"/>
                  <w:tcBorders>
                    <w:tl2br w:val="nil"/>
                    <w:tr2bl w:val="nil"/>
                  </w:tcBorders>
                  <w:vAlign w:val="center"/>
                </w:tcPr>
                <w:p w14:paraId="0F1E077D">
                  <w:pPr>
                    <w:widowControl/>
                    <w:jc w:val="center"/>
                    <w:rPr>
                      <w:rFonts w:eastAsiaTheme="minorEastAsia"/>
                      <w:b/>
                      <w:bCs/>
                      <w:color w:val="000000"/>
                      <w:kern w:val="0"/>
                      <w:szCs w:val="21"/>
                      <w:lang w:bidi="ar"/>
                    </w:rPr>
                  </w:pPr>
                  <w:r>
                    <w:rPr>
                      <w:rFonts w:hint="eastAsia" w:eastAsiaTheme="minorEastAsia"/>
                      <w:b/>
                      <w:bCs/>
                      <w:color w:val="000000"/>
                      <w:kern w:val="0"/>
                      <w:szCs w:val="21"/>
                      <w:lang w:bidi="ar"/>
                    </w:rPr>
                    <w:t>本项目情况</w:t>
                  </w:r>
                </w:p>
              </w:tc>
              <w:tc>
                <w:tcPr>
                  <w:tcW w:w="461" w:type="pct"/>
                  <w:tcBorders>
                    <w:tl2br w:val="nil"/>
                    <w:tr2bl w:val="nil"/>
                  </w:tcBorders>
                  <w:vAlign w:val="center"/>
                </w:tcPr>
                <w:p w14:paraId="0E11F505">
                  <w:pPr>
                    <w:widowControl/>
                    <w:jc w:val="center"/>
                    <w:rPr>
                      <w:rFonts w:eastAsiaTheme="minorEastAsia"/>
                      <w:b/>
                      <w:bCs/>
                      <w:color w:val="000000"/>
                      <w:kern w:val="0"/>
                      <w:szCs w:val="21"/>
                      <w:lang w:bidi="ar"/>
                    </w:rPr>
                  </w:pPr>
                  <w:r>
                    <w:rPr>
                      <w:rFonts w:hint="eastAsia" w:eastAsiaTheme="minorEastAsia"/>
                      <w:b/>
                      <w:bCs/>
                      <w:color w:val="000000"/>
                      <w:kern w:val="0"/>
                      <w:szCs w:val="21"/>
                      <w:lang w:bidi="ar"/>
                    </w:rPr>
                    <w:t>相符性</w:t>
                  </w:r>
                </w:p>
              </w:tc>
            </w:tr>
            <w:tr w14:paraId="1D4CD51E">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322" w:type="pct"/>
                  <w:tcBorders>
                    <w:tl2br w:val="nil"/>
                    <w:tr2bl w:val="nil"/>
                  </w:tcBorders>
                  <w:vAlign w:val="center"/>
                </w:tcPr>
                <w:p w14:paraId="06EA7437">
                  <w:pPr>
                    <w:widowControl/>
                    <w:jc w:val="center"/>
                    <w:rPr>
                      <w:rFonts w:eastAsiaTheme="minorEastAsia"/>
                      <w:color w:val="000000"/>
                      <w:kern w:val="0"/>
                      <w:szCs w:val="21"/>
                      <w:lang w:bidi="ar"/>
                    </w:rPr>
                  </w:pPr>
                  <w:r>
                    <w:rPr>
                      <w:rFonts w:hint="eastAsia" w:eastAsiaTheme="minorEastAsia"/>
                      <w:color w:val="000000"/>
                      <w:kern w:val="0"/>
                      <w:szCs w:val="21"/>
                      <w:lang w:bidi="ar"/>
                    </w:rPr>
                    <w:t>1</w:t>
                  </w:r>
                </w:p>
              </w:tc>
              <w:tc>
                <w:tcPr>
                  <w:tcW w:w="3015" w:type="pct"/>
                  <w:tcBorders>
                    <w:tl2br w:val="nil"/>
                    <w:tr2bl w:val="nil"/>
                  </w:tcBorders>
                  <w:vAlign w:val="center"/>
                </w:tcPr>
                <w:p w14:paraId="6B7917DA">
                  <w:pPr>
                    <w:widowControl/>
                    <w:jc w:val="center"/>
                    <w:rPr>
                      <w:rFonts w:eastAsiaTheme="minorEastAsia"/>
                      <w:color w:val="000000"/>
                      <w:kern w:val="0"/>
                      <w:szCs w:val="21"/>
                      <w:lang w:bidi="ar"/>
                    </w:rPr>
                  </w:pPr>
                  <w:r>
                    <w:rPr>
                      <w:spacing w:val="8"/>
                    </w:rPr>
                    <w:t>在沙化土地范围内从事开发建设活动的，必须依 法进行环境影响评价，提交环境影响报告。环境影响报告应当包括有关防沙治沙的内容。环境保 护行政主管部门在审批环境影响报告时，应当就 报告中有关防沙治沙的内容征求同级林业行政  主管部门的意见。开发建设项目中的防沙治沙工 程设施建设和生态保护措施的实施，必须与开发建设同步进行。</w:t>
                  </w:r>
                </w:p>
              </w:tc>
              <w:tc>
                <w:tcPr>
                  <w:tcW w:w="1200" w:type="pct"/>
                  <w:tcBorders>
                    <w:tl2br w:val="nil"/>
                    <w:tr2bl w:val="nil"/>
                  </w:tcBorders>
                  <w:vAlign w:val="center"/>
                </w:tcPr>
                <w:p w14:paraId="1F94F70A">
                  <w:pPr>
                    <w:widowControl/>
                    <w:jc w:val="center"/>
                    <w:rPr>
                      <w:rFonts w:eastAsiaTheme="minorEastAsia"/>
                      <w:color w:val="000000"/>
                      <w:kern w:val="0"/>
                      <w:szCs w:val="21"/>
                      <w:lang w:bidi="ar"/>
                    </w:rPr>
                  </w:pPr>
                  <w:r>
                    <w:rPr>
                      <w:rFonts w:eastAsiaTheme="minorEastAsia"/>
                      <w:color w:val="000000"/>
                      <w:kern w:val="0"/>
                      <w:szCs w:val="21"/>
                      <w:lang w:bidi="ar"/>
                    </w:rPr>
                    <w:t>本项目位于辽宁省朝阳市北票市宝锦线凉水河北侧3幢01023，为沙化土地分布地区。</w:t>
                  </w:r>
                </w:p>
              </w:tc>
              <w:tc>
                <w:tcPr>
                  <w:tcW w:w="461" w:type="pct"/>
                  <w:tcBorders>
                    <w:tl2br w:val="nil"/>
                    <w:tr2bl w:val="nil"/>
                  </w:tcBorders>
                  <w:vAlign w:val="center"/>
                </w:tcPr>
                <w:p w14:paraId="30D60364">
                  <w:pPr>
                    <w:widowControl/>
                    <w:jc w:val="center"/>
                    <w:rPr>
                      <w:rFonts w:eastAsiaTheme="minorEastAsia"/>
                      <w:color w:val="000000"/>
                      <w:kern w:val="0"/>
                      <w:szCs w:val="21"/>
                      <w:lang w:bidi="ar"/>
                    </w:rPr>
                  </w:pPr>
                  <w:r>
                    <w:rPr>
                      <w:rFonts w:eastAsiaTheme="minorEastAsia"/>
                      <w:color w:val="000000"/>
                      <w:kern w:val="0"/>
                      <w:szCs w:val="21"/>
                      <w:lang w:bidi="ar"/>
                    </w:rPr>
                    <w:t>符合</w:t>
                  </w:r>
                </w:p>
              </w:tc>
            </w:tr>
            <w:tr w14:paraId="51BF34D8">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322" w:type="pct"/>
                  <w:tcBorders>
                    <w:tl2br w:val="nil"/>
                    <w:tr2bl w:val="nil"/>
                  </w:tcBorders>
                  <w:vAlign w:val="center"/>
                </w:tcPr>
                <w:p w14:paraId="2798A5CF">
                  <w:pPr>
                    <w:widowControl/>
                    <w:jc w:val="center"/>
                    <w:rPr>
                      <w:rFonts w:eastAsiaTheme="minorEastAsia"/>
                      <w:color w:val="000000"/>
                      <w:kern w:val="0"/>
                      <w:szCs w:val="21"/>
                      <w:lang w:bidi="ar"/>
                    </w:rPr>
                  </w:pPr>
                  <w:r>
                    <w:rPr>
                      <w:rFonts w:hint="eastAsia" w:eastAsiaTheme="minorEastAsia"/>
                      <w:color w:val="000000"/>
                      <w:kern w:val="0"/>
                      <w:szCs w:val="21"/>
                      <w:lang w:bidi="ar"/>
                    </w:rPr>
                    <w:t>2</w:t>
                  </w:r>
                </w:p>
              </w:tc>
              <w:tc>
                <w:tcPr>
                  <w:tcW w:w="3015" w:type="pct"/>
                  <w:tcBorders>
                    <w:tl2br w:val="nil"/>
                    <w:tr2bl w:val="nil"/>
                  </w:tcBorders>
                </w:tcPr>
                <w:p w14:paraId="261DBBBC">
                  <w:pPr>
                    <w:widowControl/>
                    <w:jc w:val="center"/>
                    <w:rPr>
                      <w:spacing w:val="8"/>
                    </w:rPr>
                  </w:pPr>
                  <w:r>
                    <w:rPr>
                      <w:spacing w:val="8"/>
                    </w:rPr>
                    <w:t>在封禁保护区内禁止一切破坏植被的活动。在封禁保护区内确需进行修建铁路、公路等建设活动 的，应当依法报国务院或者国务院指定的部门同 意。在综合治理区内禁止放牧、开垦、挖沙，禁止采伐天然林和砍挖灌木、野生药材及其他固沙 植物，禁止对人工林进行除依法可以抚育更新性 质之外的采伐。在适度利用区内禁止砍挖灌木、野生药材及其他固沙植物。需要通过平茬等技术措施促进更新的，或者按照治理方案适度利用 的，应当遵守有关法律法规和技术规程。</w:t>
                  </w:r>
                </w:p>
              </w:tc>
              <w:tc>
                <w:tcPr>
                  <w:tcW w:w="1200" w:type="pct"/>
                  <w:tcBorders>
                    <w:tl2br w:val="nil"/>
                    <w:tr2bl w:val="nil"/>
                  </w:tcBorders>
                </w:tcPr>
                <w:p w14:paraId="5DB7E45A">
                  <w:pPr>
                    <w:widowControl/>
                    <w:jc w:val="center"/>
                    <w:rPr>
                      <w:spacing w:val="8"/>
                    </w:rPr>
                  </w:pPr>
                  <w:r>
                    <w:rPr>
                      <w:spacing w:val="8"/>
                    </w:rPr>
                    <w:t>本项目不在沙化土地封禁保护区范围内，且本项目为租赁厂房，其占地属于已开发利用的土地，不涉及新增占地，并不会对植被造成破坏。</w:t>
                  </w:r>
                </w:p>
              </w:tc>
              <w:tc>
                <w:tcPr>
                  <w:tcW w:w="461" w:type="pct"/>
                  <w:tcBorders>
                    <w:tl2br w:val="nil"/>
                    <w:tr2bl w:val="nil"/>
                  </w:tcBorders>
                  <w:vAlign w:val="center"/>
                </w:tcPr>
                <w:p w14:paraId="72C02E5A">
                  <w:pPr>
                    <w:widowControl/>
                    <w:jc w:val="center"/>
                    <w:rPr>
                      <w:rFonts w:eastAsiaTheme="minorEastAsia"/>
                      <w:color w:val="000000"/>
                      <w:kern w:val="0"/>
                      <w:szCs w:val="21"/>
                      <w:lang w:bidi="ar"/>
                    </w:rPr>
                  </w:pPr>
                  <w:r>
                    <w:rPr>
                      <w:rFonts w:eastAsiaTheme="minorEastAsia"/>
                      <w:color w:val="000000"/>
                      <w:kern w:val="0"/>
                      <w:szCs w:val="21"/>
                      <w:lang w:bidi="ar"/>
                    </w:rPr>
                    <w:t>符合</w:t>
                  </w:r>
                </w:p>
              </w:tc>
            </w:tr>
            <w:tr w14:paraId="54169EDF">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322" w:type="pct"/>
                  <w:tcBorders>
                    <w:tl2br w:val="nil"/>
                    <w:tr2bl w:val="nil"/>
                  </w:tcBorders>
                  <w:vAlign w:val="center"/>
                </w:tcPr>
                <w:p w14:paraId="2F5B2FF1">
                  <w:pPr>
                    <w:widowControl/>
                    <w:jc w:val="center"/>
                    <w:rPr>
                      <w:rFonts w:eastAsiaTheme="minorEastAsia"/>
                      <w:color w:val="000000"/>
                      <w:kern w:val="0"/>
                      <w:szCs w:val="21"/>
                      <w:lang w:bidi="ar"/>
                    </w:rPr>
                  </w:pPr>
                  <w:r>
                    <w:rPr>
                      <w:rFonts w:hint="eastAsia" w:eastAsiaTheme="minorEastAsia"/>
                      <w:color w:val="000000"/>
                      <w:kern w:val="0"/>
                      <w:szCs w:val="21"/>
                      <w:lang w:bidi="ar"/>
                    </w:rPr>
                    <w:t>3</w:t>
                  </w:r>
                </w:p>
              </w:tc>
              <w:tc>
                <w:tcPr>
                  <w:tcW w:w="3015" w:type="pct"/>
                  <w:tcBorders>
                    <w:tl2br w:val="nil"/>
                    <w:tr2bl w:val="nil"/>
                  </w:tcBorders>
                </w:tcPr>
                <w:p w14:paraId="584AF27D">
                  <w:pPr>
                    <w:widowControl/>
                    <w:jc w:val="center"/>
                    <w:rPr>
                      <w:spacing w:val="8"/>
                    </w:rPr>
                  </w:pPr>
                  <w:r>
                    <w:rPr>
                      <w:spacing w:val="8"/>
                    </w:rPr>
                    <w:t>林业、畜牧、国土资源等行政主管部门应当加强沙化土地所在地区林地、草地资源的保护，严格 限制征收、征用沙化土地所在地区的林地、草地。禁止非法改变林地、草地用途。</w:t>
                  </w:r>
                </w:p>
              </w:tc>
              <w:tc>
                <w:tcPr>
                  <w:tcW w:w="1200" w:type="pct"/>
                  <w:tcBorders>
                    <w:tl2br w:val="nil"/>
                    <w:tr2bl w:val="nil"/>
                  </w:tcBorders>
                </w:tcPr>
                <w:p w14:paraId="4E457941">
                  <w:pPr>
                    <w:widowControl/>
                    <w:jc w:val="center"/>
                    <w:rPr>
                      <w:spacing w:val="8"/>
                    </w:rPr>
                  </w:pPr>
                  <w:r>
                    <w:rPr>
                      <w:spacing w:val="8"/>
                    </w:rPr>
                    <w:t>本项目为租赁厂房，其占地属于已开发利用的土地，不涉及新增占地</w:t>
                  </w:r>
                </w:p>
              </w:tc>
              <w:tc>
                <w:tcPr>
                  <w:tcW w:w="461" w:type="pct"/>
                  <w:tcBorders>
                    <w:tl2br w:val="nil"/>
                    <w:tr2bl w:val="nil"/>
                  </w:tcBorders>
                  <w:vAlign w:val="center"/>
                </w:tcPr>
                <w:p w14:paraId="5A499644">
                  <w:pPr>
                    <w:widowControl/>
                    <w:jc w:val="center"/>
                    <w:rPr>
                      <w:rFonts w:eastAsiaTheme="minorEastAsia"/>
                      <w:color w:val="000000"/>
                      <w:kern w:val="0"/>
                      <w:szCs w:val="21"/>
                      <w:lang w:bidi="ar"/>
                    </w:rPr>
                  </w:pPr>
                  <w:r>
                    <w:rPr>
                      <w:rFonts w:eastAsiaTheme="minorEastAsia"/>
                      <w:color w:val="000000"/>
                      <w:kern w:val="0"/>
                      <w:szCs w:val="21"/>
                      <w:lang w:bidi="ar"/>
                    </w:rPr>
                    <w:t>符合</w:t>
                  </w:r>
                </w:p>
              </w:tc>
            </w:tr>
            <w:tr w14:paraId="5810421E">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322" w:type="pct"/>
                  <w:tcBorders>
                    <w:tl2br w:val="nil"/>
                    <w:tr2bl w:val="nil"/>
                  </w:tcBorders>
                  <w:vAlign w:val="center"/>
                </w:tcPr>
                <w:p w14:paraId="02D9A7A2">
                  <w:pPr>
                    <w:widowControl/>
                    <w:jc w:val="center"/>
                    <w:rPr>
                      <w:rFonts w:eastAsiaTheme="minorEastAsia"/>
                      <w:color w:val="000000"/>
                      <w:kern w:val="0"/>
                      <w:szCs w:val="21"/>
                      <w:lang w:bidi="ar"/>
                    </w:rPr>
                  </w:pPr>
                  <w:r>
                    <w:rPr>
                      <w:rFonts w:hint="eastAsia" w:eastAsiaTheme="minorEastAsia"/>
                      <w:color w:val="000000"/>
                      <w:kern w:val="0"/>
                      <w:szCs w:val="21"/>
                      <w:lang w:bidi="ar"/>
                    </w:rPr>
                    <w:t>4</w:t>
                  </w:r>
                </w:p>
              </w:tc>
              <w:tc>
                <w:tcPr>
                  <w:tcW w:w="3015" w:type="pct"/>
                  <w:tcBorders>
                    <w:tl2br w:val="nil"/>
                    <w:tr2bl w:val="nil"/>
                  </w:tcBorders>
                </w:tcPr>
                <w:p w14:paraId="7300A46D">
                  <w:pPr>
                    <w:widowControl/>
                    <w:jc w:val="center"/>
                    <w:rPr>
                      <w:spacing w:val="8"/>
                    </w:rPr>
                  </w:pPr>
                  <w:r>
                    <w:rPr>
                      <w:spacing w:val="8"/>
                    </w:rPr>
                    <w:t>省级沙化土地所在地区的县级以上人民政府应  当采取有效措施，鼓励发展替代燃料，开发利用 沼气、太阳能、风能等能源，推广节能技术，提 高能源利用率；在安排对农业和农村节能技术、 节能产品推广应用资金投入中，应当将沙化土地 所在地区的新能源开发及节能技术、节能产品推</w:t>
                  </w:r>
                </w:p>
                <w:p w14:paraId="7AB0DABD">
                  <w:pPr>
                    <w:widowControl/>
                    <w:jc w:val="center"/>
                    <w:rPr>
                      <w:spacing w:val="8"/>
                    </w:rPr>
                  </w:pPr>
                  <w:r>
                    <w:rPr>
                      <w:spacing w:val="8"/>
                    </w:rPr>
                    <w:t>广列为重要内容。</w:t>
                  </w:r>
                </w:p>
              </w:tc>
              <w:tc>
                <w:tcPr>
                  <w:tcW w:w="1200" w:type="pct"/>
                  <w:tcBorders>
                    <w:tl2br w:val="nil"/>
                    <w:tr2bl w:val="nil"/>
                  </w:tcBorders>
                </w:tcPr>
                <w:p w14:paraId="6DC48037">
                  <w:pPr>
                    <w:widowControl/>
                    <w:jc w:val="center"/>
                    <w:rPr>
                      <w:spacing w:val="8"/>
                    </w:rPr>
                  </w:pPr>
                  <w:r>
                    <w:rPr>
                      <w:spacing w:val="8"/>
                    </w:rPr>
                    <w:t>本项目不使用燃料，以电能作为能源。</w:t>
                  </w:r>
                </w:p>
              </w:tc>
              <w:tc>
                <w:tcPr>
                  <w:tcW w:w="461" w:type="pct"/>
                  <w:tcBorders>
                    <w:tl2br w:val="nil"/>
                    <w:tr2bl w:val="nil"/>
                  </w:tcBorders>
                  <w:vAlign w:val="center"/>
                </w:tcPr>
                <w:p w14:paraId="2677AC0D">
                  <w:pPr>
                    <w:widowControl/>
                    <w:jc w:val="center"/>
                    <w:rPr>
                      <w:rFonts w:eastAsiaTheme="minorEastAsia"/>
                      <w:color w:val="000000"/>
                      <w:kern w:val="0"/>
                      <w:szCs w:val="21"/>
                      <w:lang w:bidi="ar"/>
                    </w:rPr>
                  </w:pPr>
                  <w:r>
                    <w:rPr>
                      <w:rFonts w:eastAsiaTheme="minorEastAsia"/>
                      <w:color w:val="000000"/>
                      <w:kern w:val="0"/>
                      <w:szCs w:val="21"/>
                      <w:lang w:bidi="ar"/>
                    </w:rPr>
                    <w:t>符合</w:t>
                  </w:r>
                </w:p>
              </w:tc>
            </w:tr>
            <w:tr w14:paraId="6CB0E0A8">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322" w:type="pct"/>
                  <w:tcBorders>
                    <w:tl2br w:val="nil"/>
                    <w:tr2bl w:val="nil"/>
                  </w:tcBorders>
                  <w:vAlign w:val="center"/>
                </w:tcPr>
                <w:p w14:paraId="02C5591C">
                  <w:pPr>
                    <w:widowControl/>
                    <w:jc w:val="center"/>
                    <w:rPr>
                      <w:rFonts w:eastAsiaTheme="minorEastAsia"/>
                      <w:color w:val="000000"/>
                      <w:kern w:val="0"/>
                      <w:szCs w:val="21"/>
                      <w:lang w:bidi="ar"/>
                    </w:rPr>
                  </w:pPr>
                  <w:r>
                    <w:rPr>
                      <w:rFonts w:hint="eastAsia" w:eastAsiaTheme="minorEastAsia"/>
                      <w:color w:val="000000"/>
                      <w:kern w:val="0"/>
                      <w:szCs w:val="21"/>
                      <w:lang w:bidi="ar"/>
                    </w:rPr>
                    <w:t>5</w:t>
                  </w:r>
                </w:p>
              </w:tc>
              <w:tc>
                <w:tcPr>
                  <w:tcW w:w="3015" w:type="pct"/>
                  <w:tcBorders>
                    <w:tl2br w:val="nil"/>
                    <w:tr2bl w:val="nil"/>
                  </w:tcBorders>
                </w:tcPr>
                <w:p w14:paraId="67F84356">
                  <w:pPr>
                    <w:widowControl/>
                    <w:jc w:val="center"/>
                    <w:rPr>
                      <w:spacing w:val="8"/>
                    </w:rPr>
                  </w:pPr>
                  <w:r>
                    <w:rPr>
                      <w:spacing w:val="8"/>
                    </w:rPr>
                    <w:t>铁路、公路、河流、水渠两侧以及城镇、村庄、厂矿和水库周围的沙化土地，实行单位治理责任制。县以上林业行政主管部门应当对责任 单位治理任务的落实情况进行督促检查，并将检 查结果向同级人民政府和上一级林业行政主管部门报告。</w:t>
                  </w:r>
                </w:p>
              </w:tc>
              <w:tc>
                <w:tcPr>
                  <w:tcW w:w="1200" w:type="pct"/>
                  <w:tcBorders>
                    <w:tl2br w:val="nil"/>
                    <w:tr2bl w:val="nil"/>
                  </w:tcBorders>
                </w:tcPr>
                <w:p w14:paraId="3A3C34FA">
                  <w:pPr>
                    <w:widowControl/>
                    <w:jc w:val="center"/>
                    <w:rPr>
                      <w:spacing w:val="8"/>
                    </w:rPr>
                  </w:pPr>
                  <w:r>
                    <w:rPr>
                      <w:spacing w:val="8"/>
                    </w:rPr>
                    <w:t>本项目周边不涉及铁路、公路、河流和 渠等，周边城镇为</w:t>
                  </w:r>
                  <w:r>
                    <w:rPr>
                      <w:rFonts w:hint="eastAsia"/>
                      <w:spacing w:val="8"/>
                    </w:rPr>
                    <w:t>骆驼营</w:t>
                  </w:r>
                  <w:r>
                    <w:rPr>
                      <w:spacing w:val="8"/>
                    </w:rPr>
                    <w:t>村，如县级以上地方人民政府下达了治理责任书，本项目将配合采取治理措施。</w:t>
                  </w:r>
                </w:p>
              </w:tc>
              <w:tc>
                <w:tcPr>
                  <w:tcW w:w="461" w:type="pct"/>
                  <w:tcBorders>
                    <w:tl2br w:val="nil"/>
                    <w:tr2bl w:val="nil"/>
                  </w:tcBorders>
                  <w:vAlign w:val="center"/>
                </w:tcPr>
                <w:p w14:paraId="32C93988">
                  <w:pPr>
                    <w:widowControl/>
                    <w:jc w:val="center"/>
                    <w:rPr>
                      <w:rFonts w:eastAsiaTheme="minorEastAsia"/>
                      <w:color w:val="000000"/>
                      <w:kern w:val="0"/>
                      <w:szCs w:val="21"/>
                      <w:lang w:bidi="ar"/>
                    </w:rPr>
                  </w:pPr>
                  <w:r>
                    <w:rPr>
                      <w:rFonts w:eastAsiaTheme="minorEastAsia"/>
                      <w:color w:val="000000"/>
                      <w:kern w:val="0"/>
                      <w:szCs w:val="21"/>
                      <w:lang w:bidi="ar"/>
                    </w:rPr>
                    <w:t>符合</w:t>
                  </w:r>
                </w:p>
              </w:tc>
            </w:tr>
            <w:tr w14:paraId="6AECE744">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93" w:hRule="atLeast"/>
                <w:jc w:val="center"/>
              </w:trPr>
              <w:tc>
                <w:tcPr>
                  <w:tcW w:w="322" w:type="pct"/>
                  <w:tcBorders>
                    <w:tl2br w:val="nil"/>
                    <w:tr2bl w:val="nil"/>
                  </w:tcBorders>
                  <w:vAlign w:val="center"/>
                </w:tcPr>
                <w:p w14:paraId="58A78D75">
                  <w:pPr>
                    <w:widowControl/>
                    <w:jc w:val="center"/>
                    <w:rPr>
                      <w:rFonts w:eastAsiaTheme="minorEastAsia"/>
                      <w:b/>
                      <w:bCs/>
                      <w:color w:val="000000"/>
                      <w:kern w:val="0"/>
                      <w:szCs w:val="21"/>
                      <w:lang w:bidi="ar"/>
                    </w:rPr>
                  </w:pPr>
                  <w:r>
                    <w:rPr>
                      <w:rFonts w:hint="eastAsia" w:eastAsiaTheme="minorEastAsia"/>
                      <w:b/>
                      <w:bCs/>
                      <w:color w:val="000000"/>
                      <w:kern w:val="0"/>
                      <w:szCs w:val="21"/>
                      <w:lang w:bidi="ar"/>
                    </w:rPr>
                    <w:t>序号</w:t>
                  </w:r>
                </w:p>
              </w:tc>
              <w:tc>
                <w:tcPr>
                  <w:tcW w:w="3015" w:type="pct"/>
                  <w:tcBorders>
                    <w:tl2br w:val="nil"/>
                    <w:tr2bl w:val="nil"/>
                  </w:tcBorders>
                  <w:shd w:val="clear" w:color="auto" w:fill="auto"/>
                  <w:vAlign w:val="center"/>
                </w:tcPr>
                <w:p w14:paraId="2EEAA83B">
                  <w:pPr>
                    <w:widowControl/>
                    <w:jc w:val="center"/>
                    <w:rPr>
                      <w:rFonts w:eastAsiaTheme="minorEastAsia"/>
                      <w:b/>
                      <w:bCs/>
                      <w:color w:val="000000"/>
                      <w:kern w:val="0"/>
                      <w:szCs w:val="21"/>
                      <w:lang w:bidi="ar"/>
                    </w:rPr>
                  </w:pPr>
                  <w:r>
                    <w:rPr>
                      <w:rFonts w:eastAsiaTheme="minorEastAsia"/>
                      <w:b/>
                      <w:bCs/>
                      <w:color w:val="000000"/>
                      <w:kern w:val="0"/>
                      <w:szCs w:val="21"/>
                      <w:lang w:bidi="ar"/>
                    </w:rPr>
                    <w:t>《辽宁省科尔沁沙地歼灭战和荒漠化综合防治行动方案（2023-2030年）的通知》（辽政办发</w:t>
                  </w:r>
                  <w:r>
                    <w:rPr>
                      <w:rFonts w:hint="eastAsia" w:eastAsiaTheme="minorEastAsia"/>
                      <w:b/>
                      <w:bCs/>
                      <w:color w:val="000000"/>
                      <w:kern w:val="0"/>
                      <w:szCs w:val="21"/>
                      <w:lang w:eastAsia="zh-CN" w:bidi="ar"/>
                    </w:rPr>
                    <w:t>〔</w:t>
                  </w:r>
                  <w:r>
                    <w:rPr>
                      <w:rFonts w:eastAsiaTheme="minorEastAsia"/>
                      <w:b/>
                      <w:bCs/>
                      <w:color w:val="000000"/>
                      <w:kern w:val="0"/>
                      <w:szCs w:val="21"/>
                      <w:lang w:bidi="ar"/>
                    </w:rPr>
                    <w:t>2023</w:t>
                  </w:r>
                  <w:r>
                    <w:rPr>
                      <w:rFonts w:hint="eastAsia" w:eastAsiaTheme="minorEastAsia"/>
                      <w:b/>
                      <w:bCs/>
                      <w:color w:val="000000"/>
                      <w:kern w:val="0"/>
                      <w:szCs w:val="21"/>
                      <w:lang w:eastAsia="zh-CN" w:bidi="ar"/>
                    </w:rPr>
                    <w:t>〕</w:t>
                  </w:r>
                  <w:r>
                    <w:rPr>
                      <w:rFonts w:eastAsiaTheme="minorEastAsia"/>
                      <w:b/>
                      <w:bCs/>
                      <w:color w:val="000000"/>
                      <w:kern w:val="0"/>
                      <w:szCs w:val="21"/>
                      <w:lang w:bidi="ar"/>
                    </w:rPr>
                    <w:t>9号）</w:t>
                  </w:r>
                </w:p>
              </w:tc>
              <w:tc>
                <w:tcPr>
                  <w:tcW w:w="1200" w:type="pct"/>
                  <w:tcBorders>
                    <w:tl2br w:val="nil"/>
                    <w:tr2bl w:val="nil"/>
                  </w:tcBorders>
                  <w:shd w:val="clear" w:color="auto" w:fill="auto"/>
                  <w:vAlign w:val="center"/>
                </w:tcPr>
                <w:p w14:paraId="7B44BA65">
                  <w:pPr>
                    <w:widowControl/>
                    <w:jc w:val="center"/>
                    <w:rPr>
                      <w:rFonts w:eastAsiaTheme="minorEastAsia"/>
                      <w:b/>
                      <w:bCs/>
                      <w:color w:val="000000"/>
                      <w:kern w:val="0"/>
                      <w:szCs w:val="21"/>
                      <w:lang w:bidi="ar"/>
                    </w:rPr>
                  </w:pPr>
                  <w:r>
                    <w:rPr>
                      <w:rFonts w:hint="eastAsia" w:eastAsiaTheme="minorEastAsia"/>
                      <w:b/>
                      <w:bCs/>
                      <w:color w:val="000000"/>
                      <w:kern w:val="0"/>
                      <w:szCs w:val="21"/>
                      <w:lang w:bidi="ar"/>
                    </w:rPr>
                    <w:t>本项目情况</w:t>
                  </w:r>
                </w:p>
              </w:tc>
              <w:tc>
                <w:tcPr>
                  <w:tcW w:w="461" w:type="pct"/>
                  <w:tcBorders>
                    <w:tl2br w:val="nil"/>
                    <w:tr2bl w:val="nil"/>
                  </w:tcBorders>
                  <w:shd w:val="clear" w:color="auto" w:fill="auto"/>
                  <w:vAlign w:val="center"/>
                </w:tcPr>
                <w:p w14:paraId="16AFA22A">
                  <w:pPr>
                    <w:widowControl/>
                    <w:jc w:val="center"/>
                    <w:rPr>
                      <w:rFonts w:eastAsiaTheme="minorEastAsia"/>
                      <w:b/>
                      <w:bCs/>
                      <w:color w:val="000000"/>
                      <w:kern w:val="0"/>
                      <w:szCs w:val="21"/>
                      <w:lang w:bidi="ar"/>
                    </w:rPr>
                  </w:pPr>
                  <w:r>
                    <w:rPr>
                      <w:rFonts w:hint="eastAsia" w:eastAsiaTheme="minorEastAsia"/>
                      <w:b/>
                      <w:bCs/>
                      <w:color w:val="000000"/>
                      <w:kern w:val="0"/>
                      <w:szCs w:val="21"/>
                      <w:lang w:bidi="ar"/>
                    </w:rPr>
                    <w:t>相符性</w:t>
                  </w:r>
                </w:p>
              </w:tc>
            </w:tr>
            <w:tr w14:paraId="22B7F502">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322" w:type="pct"/>
                  <w:tcBorders>
                    <w:tl2br w:val="nil"/>
                    <w:tr2bl w:val="nil"/>
                  </w:tcBorders>
                  <w:vAlign w:val="center"/>
                </w:tcPr>
                <w:p w14:paraId="1D711CE2">
                  <w:pPr>
                    <w:widowControl/>
                    <w:jc w:val="center"/>
                    <w:rPr>
                      <w:rFonts w:eastAsiaTheme="minorEastAsia"/>
                      <w:color w:val="000000"/>
                      <w:kern w:val="0"/>
                      <w:szCs w:val="21"/>
                      <w:lang w:bidi="ar"/>
                    </w:rPr>
                  </w:pPr>
                  <w:r>
                    <w:rPr>
                      <w:rFonts w:hint="eastAsia" w:eastAsiaTheme="minorEastAsia"/>
                      <w:color w:val="000000"/>
                      <w:kern w:val="0"/>
                      <w:szCs w:val="21"/>
                      <w:lang w:bidi="ar"/>
                    </w:rPr>
                    <w:t>1</w:t>
                  </w:r>
                </w:p>
              </w:tc>
              <w:tc>
                <w:tcPr>
                  <w:tcW w:w="3015" w:type="pct"/>
                  <w:tcBorders>
                    <w:tl2br w:val="nil"/>
                    <w:tr2bl w:val="nil"/>
                  </w:tcBorders>
                  <w:vAlign w:val="center"/>
                </w:tcPr>
                <w:p w14:paraId="176DC346">
                  <w:pPr>
                    <w:adjustRightInd w:val="0"/>
                    <w:snapToGrid w:val="0"/>
                    <w:jc w:val="left"/>
                    <w:rPr>
                      <w:szCs w:val="21"/>
                    </w:rPr>
                  </w:pPr>
                  <w:r>
                    <w:rPr>
                      <w:szCs w:val="21"/>
                    </w:rPr>
                    <w:t>二、总体要求</w:t>
                  </w:r>
                </w:p>
                <w:p w14:paraId="68E91E9B">
                  <w:pPr>
                    <w:adjustRightInd w:val="0"/>
                    <w:snapToGrid w:val="0"/>
                    <w:jc w:val="left"/>
                    <w:rPr>
                      <w:szCs w:val="21"/>
                    </w:rPr>
                  </w:pPr>
                  <w:r>
                    <w:rPr>
                      <w:szCs w:val="21"/>
                    </w:rPr>
                    <w:t>　　明确了指导思想和基本原则。依据整体工作安排，科学量化目标任务，分阶段提出了近期目标(2025年)和远期目标(2030年)。到2030年，全面打赢科尔沁沙地歼灭战，荒漠化综合防治取得决定性进展，区域生态系统稳定性显著提高。</w:t>
                  </w:r>
                </w:p>
                <w:p w14:paraId="524819C4">
                  <w:pPr>
                    <w:adjustRightInd w:val="0"/>
                    <w:snapToGrid w:val="0"/>
                    <w:jc w:val="left"/>
                    <w:rPr>
                      <w:szCs w:val="21"/>
                    </w:rPr>
                  </w:pPr>
                  <w:r>
                    <w:rPr>
                      <w:szCs w:val="21"/>
                    </w:rPr>
                    <w:t>　　1、持续提升植被综合盖度。2030年现有沙化林草用地植被综合盖度达到80%以上。</w:t>
                  </w:r>
                </w:p>
                <w:p w14:paraId="33115EE7">
                  <w:pPr>
                    <w:adjustRightInd w:val="0"/>
                    <w:snapToGrid w:val="0"/>
                    <w:jc w:val="left"/>
                    <w:rPr>
                      <w:szCs w:val="21"/>
                    </w:rPr>
                  </w:pPr>
                  <w:r>
                    <w:rPr>
                      <w:szCs w:val="21"/>
                    </w:rPr>
                    <w:t>　　2、加大沙化耕地治理力度。对具备灌溉条件的沙化荒漠化耕地，农田防护林配置率2030年不低于70%;沙化耕地治理覆盖率2030年达到100%。</w:t>
                  </w:r>
                </w:p>
                <w:p w14:paraId="3C729092">
                  <w:pPr>
                    <w:adjustRightInd w:val="0"/>
                    <w:snapToGrid w:val="0"/>
                    <w:jc w:val="left"/>
                    <w:rPr>
                      <w:szCs w:val="21"/>
                    </w:rPr>
                  </w:pPr>
                  <w:r>
                    <w:rPr>
                      <w:szCs w:val="21"/>
                    </w:rPr>
                    <w:t>　　3、提高荒漠化林草用地植被综合盖度。2030年达到70%以上。</w:t>
                  </w:r>
                </w:p>
                <w:p w14:paraId="122103EA">
                  <w:pPr>
                    <w:adjustRightInd w:val="0"/>
                    <w:snapToGrid w:val="0"/>
                    <w:jc w:val="left"/>
                    <w:rPr>
                      <w:szCs w:val="21"/>
                    </w:rPr>
                  </w:pPr>
                  <w:r>
                    <w:rPr>
                      <w:szCs w:val="21"/>
                    </w:rPr>
                    <w:t>　　4、合理利用水资源。区域水土保持率目标值2030年为77.68%。10条重点河流15个控制断面的生态流量保证率不低于90%，生态水量保证率不低于75%。</w:t>
                  </w:r>
                </w:p>
                <w:p w14:paraId="179FD771">
                  <w:pPr>
                    <w:adjustRightInd w:val="0"/>
                    <w:snapToGrid w:val="0"/>
                    <w:jc w:val="left"/>
                    <w:rPr>
                      <w:szCs w:val="21"/>
                    </w:rPr>
                  </w:pPr>
                  <w:r>
                    <w:rPr>
                      <w:szCs w:val="21"/>
                    </w:rPr>
                    <w:t>　　5、扭转林草资源保护形势。2030年林草资源保护形势实现根本性扭转，建立完善的林草资源保护长效机制。</w:t>
                  </w:r>
                </w:p>
                <w:p w14:paraId="6A18BCB3">
                  <w:pPr>
                    <w:widowControl/>
                    <w:jc w:val="center"/>
                    <w:rPr>
                      <w:rFonts w:eastAsiaTheme="minorEastAsia"/>
                      <w:color w:val="000000"/>
                      <w:kern w:val="0"/>
                      <w:szCs w:val="21"/>
                      <w:lang w:bidi="ar"/>
                    </w:rPr>
                  </w:pPr>
                  <w:r>
                    <w:rPr>
                      <w:szCs w:val="21"/>
                    </w:rPr>
                    <w:t>　　6、推广应用绿色惠民模式。新能源开发、生态修复和产业发展相结合的绿色惠民模式2030年得到广泛应用。</w:t>
                  </w:r>
                </w:p>
              </w:tc>
              <w:tc>
                <w:tcPr>
                  <w:tcW w:w="1200" w:type="pct"/>
                  <w:tcBorders>
                    <w:tl2br w:val="nil"/>
                    <w:tr2bl w:val="nil"/>
                  </w:tcBorders>
                  <w:shd w:val="clear" w:color="auto" w:fill="auto"/>
                  <w:vAlign w:val="center"/>
                </w:tcPr>
                <w:p w14:paraId="520C1723">
                  <w:pPr>
                    <w:widowControl/>
                    <w:jc w:val="center"/>
                    <w:rPr>
                      <w:rFonts w:eastAsiaTheme="minorEastAsia"/>
                      <w:color w:val="000000"/>
                      <w:kern w:val="0"/>
                      <w:szCs w:val="21"/>
                      <w:lang w:bidi="ar"/>
                    </w:rPr>
                  </w:pPr>
                  <w:r>
                    <w:rPr>
                      <w:bCs/>
                      <w:szCs w:val="21"/>
                      <w:shd w:val="clear" w:color="auto" w:fill="FFFFFF"/>
                    </w:rPr>
                    <w:t>本项目用地性质为规划工业用地，不涉及</w:t>
                  </w:r>
                  <w:r>
                    <w:rPr>
                      <w:szCs w:val="21"/>
                    </w:rPr>
                    <w:t>沙化林草用地、沙化耕地、荒漠化林草用地；用水量较小，由</w:t>
                  </w:r>
                  <w:r>
                    <w:rPr>
                      <w:rFonts w:hint="eastAsia"/>
                      <w:szCs w:val="21"/>
                    </w:rPr>
                    <w:t>北票市</w:t>
                  </w:r>
                  <w:r>
                    <w:rPr>
                      <w:szCs w:val="21"/>
                    </w:rPr>
                    <w:t>集中供水管网提；不涉及林草资源。</w:t>
                  </w:r>
                </w:p>
              </w:tc>
              <w:tc>
                <w:tcPr>
                  <w:tcW w:w="461" w:type="pct"/>
                  <w:tcBorders>
                    <w:tl2br w:val="nil"/>
                    <w:tr2bl w:val="nil"/>
                  </w:tcBorders>
                  <w:vAlign w:val="center"/>
                </w:tcPr>
                <w:p w14:paraId="34E07A13">
                  <w:pPr>
                    <w:widowControl/>
                    <w:jc w:val="center"/>
                    <w:rPr>
                      <w:rFonts w:eastAsiaTheme="minorEastAsia"/>
                      <w:color w:val="000000"/>
                      <w:kern w:val="0"/>
                      <w:szCs w:val="21"/>
                      <w:lang w:bidi="ar"/>
                    </w:rPr>
                  </w:pPr>
                  <w:r>
                    <w:rPr>
                      <w:rFonts w:eastAsiaTheme="minorEastAsia"/>
                      <w:color w:val="000000"/>
                      <w:kern w:val="0"/>
                      <w:szCs w:val="21"/>
                      <w:lang w:bidi="ar"/>
                    </w:rPr>
                    <w:t>符合</w:t>
                  </w:r>
                </w:p>
              </w:tc>
            </w:tr>
            <w:tr w14:paraId="1DDB6743">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322" w:type="pct"/>
                  <w:tcBorders>
                    <w:tl2br w:val="nil"/>
                    <w:tr2bl w:val="nil"/>
                  </w:tcBorders>
                  <w:vAlign w:val="center"/>
                </w:tcPr>
                <w:p w14:paraId="063F19DC">
                  <w:pPr>
                    <w:widowControl/>
                    <w:jc w:val="center"/>
                    <w:rPr>
                      <w:rFonts w:eastAsiaTheme="minorEastAsia"/>
                      <w:color w:val="000000"/>
                      <w:kern w:val="0"/>
                      <w:szCs w:val="21"/>
                      <w:lang w:bidi="ar"/>
                    </w:rPr>
                  </w:pPr>
                  <w:r>
                    <w:rPr>
                      <w:rFonts w:hint="eastAsia" w:eastAsiaTheme="minorEastAsia"/>
                      <w:color w:val="000000"/>
                      <w:kern w:val="0"/>
                      <w:szCs w:val="21"/>
                      <w:lang w:bidi="ar"/>
                    </w:rPr>
                    <w:t>2</w:t>
                  </w:r>
                </w:p>
              </w:tc>
              <w:tc>
                <w:tcPr>
                  <w:tcW w:w="3015" w:type="pct"/>
                  <w:tcBorders>
                    <w:tl2br w:val="nil"/>
                    <w:tr2bl w:val="nil"/>
                  </w:tcBorders>
                  <w:vAlign w:val="center"/>
                </w:tcPr>
                <w:p w14:paraId="3DCFAF04">
                  <w:pPr>
                    <w:adjustRightInd w:val="0"/>
                    <w:snapToGrid w:val="0"/>
                    <w:jc w:val="left"/>
                    <w:rPr>
                      <w:szCs w:val="21"/>
                    </w:rPr>
                  </w:pPr>
                  <w:r>
                    <w:rPr>
                      <w:szCs w:val="21"/>
                    </w:rPr>
                    <w:t>三、分区布局</w:t>
                  </w:r>
                </w:p>
                <w:p w14:paraId="6379F8BA">
                  <w:pPr>
                    <w:adjustRightInd w:val="0"/>
                    <w:snapToGrid w:val="0"/>
                    <w:ind w:firstLine="420"/>
                    <w:jc w:val="left"/>
                    <w:rPr>
                      <w:szCs w:val="21"/>
                    </w:rPr>
                  </w:pPr>
                  <w:r>
                    <w:rPr>
                      <w:szCs w:val="21"/>
                    </w:rPr>
                    <w:t>行动范围为全省沙化荒漠化土地分布的9市24县(市、区)，区划为科尔沁沙地歼灭战攻坚区、科尔沁沙地南缘阻击区、沿海沿河沙地治理区和荒漠化综合防治区等4个治理区。</w:t>
                  </w:r>
                </w:p>
                <w:p w14:paraId="5947F453">
                  <w:pPr>
                    <w:adjustRightInd w:val="0"/>
                    <w:snapToGrid w:val="0"/>
                    <w:ind w:firstLine="420" w:firstLineChars="200"/>
                    <w:jc w:val="left"/>
                    <w:rPr>
                      <w:szCs w:val="21"/>
                    </w:rPr>
                  </w:pPr>
                  <w:r>
                    <w:rPr>
                      <w:szCs w:val="21"/>
                    </w:rPr>
                    <w:t>1、科尔沁沙地歼灭战攻坚区。包括沈阳市、阜新市和朝阳市的康平县、阜蒙县、彰武县、建平县、北票市5个县(市)。沙化土地面积427万亩，占全省沙化土地面积的63.4%。主要以沙化土地全面治理为重点，实施退化林草修复、沙化耕地治理和小流域综合治理等，实现治理全覆盖。</w:t>
                  </w:r>
                </w:p>
                <w:p w14:paraId="3874FE8D">
                  <w:pPr>
                    <w:adjustRightInd w:val="0"/>
                    <w:snapToGrid w:val="0"/>
                    <w:ind w:firstLine="420" w:firstLineChars="200"/>
                    <w:jc w:val="left"/>
                    <w:rPr>
                      <w:szCs w:val="21"/>
                    </w:rPr>
                  </w:pPr>
                  <w:r>
                    <w:rPr>
                      <w:szCs w:val="21"/>
                    </w:rPr>
                    <w:t>2、科尔沁沙地南缘阻击区。包括沈阳市、锦州市、铁岭市的法库县、新民市、黑山县、义县、昌图县5个县(市)。沙化土地面积160.50万亩，占全省沙化土地面积的23.9%。主要以沙化耕地治理为重点，开展农田防护林网建设，实施保护性耕作，大力营造科尔沁沙地南缘锁边林草带，阻击科尔沁沙地南侵。</w:t>
                  </w:r>
                </w:p>
                <w:p w14:paraId="7B563E5C">
                  <w:pPr>
                    <w:adjustRightInd w:val="0"/>
                    <w:snapToGrid w:val="0"/>
                    <w:jc w:val="left"/>
                    <w:rPr>
                      <w:szCs w:val="21"/>
                    </w:rPr>
                  </w:pPr>
                  <w:r>
                    <w:rPr>
                      <w:szCs w:val="21"/>
                    </w:rPr>
                    <w:t>　　3、沿海沿河沙地治理区。包括沈阳市、大连市、鞍山市、盘锦市和葫芦岛市的辽中区、瓦房店市、台安县、盘山县、连山区、龙港区、南票区、绥中县、兴城市9个县(市、区)。主要以海防林等防护林体系建设为重点，加强退化林草修复和湿地生态系统保护修复，提升沿海沿河生态系统质量。</w:t>
                  </w:r>
                </w:p>
                <w:p w14:paraId="36A35924">
                  <w:pPr>
                    <w:widowControl/>
                    <w:jc w:val="center"/>
                    <w:rPr>
                      <w:rFonts w:eastAsiaTheme="minorEastAsia"/>
                      <w:color w:val="000000"/>
                      <w:kern w:val="0"/>
                      <w:szCs w:val="21"/>
                      <w:lang w:bidi="ar"/>
                    </w:rPr>
                  </w:pPr>
                  <w:r>
                    <w:rPr>
                      <w:szCs w:val="21"/>
                    </w:rPr>
                    <w:t>　　4、荒漠化综合防治区。包括朝阳市的双塔区、龙城区、朝阳县、建平县、喀左县、北票市、凌源市7个县(市、区，建平县、北票市与科尔沁沙地歼灭战攻坚区重叠)。荒漠化土地总面积742.53万亩。加强以水土保持林草建设为主的综合治理，提升植被综合盖度，防止水土流失，改善生态环境，有效遏制土地荒漠化</w:t>
                  </w:r>
                  <w:r>
                    <w:rPr>
                      <w:rFonts w:eastAsiaTheme="minorEastAsia"/>
                      <w:color w:val="000000"/>
                      <w:kern w:val="0"/>
                      <w:szCs w:val="21"/>
                      <w:lang w:bidi="ar"/>
                    </w:rPr>
                    <w:t>。</w:t>
                  </w:r>
                </w:p>
              </w:tc>
              <w:tc>
                <w:tcPr>
                  <w:tcW w:w="1200" w:type="pct"/>
                  <w:tcBorders>
                    <w:tl2br w:val="nil"/>
                    <w:tr2bl w:val="nil"/>
                  </w:tcBorders>
                  <w:shd w:val="clear" w:color="auto" w:fill="auto"/>
                  <w:vAlign w:val="center"/>
                </w:tcPr>
                <w:p w14:paraId="339F8E86">
                  <w:pPr>
                    <w:widowControl/>
                    <w:jc w:val="center"/>
                    <w:rPr>
                      <w:rFonts w:eastAsiaTheme="minorEastAsia"/>
                      <w:color w:val="000000"/>
                      <w:kern w:val="0"/>
                      <w:szCs w:val="21"/>
                      <w:lang w:bidi="ar"/>
                    </w:rPr>
                  </w:pPr>
                  <w:r>
                    <w:rPr>
                      <w:bCs/>
                      <w:szCs w:val="21"/>
                      <w:shd w:val="clear" w:color="auto" w:fill="FFFFFF"/>
                    </w:rPr>
                    <w:t>本项目位于北票市，属于通知所列</w:t>
                  </w:r>
                  <w:r>
                    <w:rPr>
                      <w:szCs w:val="21"/>
                    </w:rPr>
                    <w:t>科尔沁沙地歼灭战攻坚区。</w:t>
                  </w:r>
                  <w:r>
                    <w:rPr>
                      <w:spacing w:val="8"/>
                    </w:rPr>
                    <w:t>本项目为租赁厂房</w:t>
                  </w:r>
                  <w:r>
                    <w:rPr>
                      <w:rFonts w:hint="eastAsia"/>
                      <w:spacing w:val="8"/>
                    </w:rPr>
                    <w:t>，用地为工业用地</w:t>
                  </w:r>
                  <w:r>
                    <w:rPr>
                      <w:spacing w:val="8"/>
                    </w:rPr>
                    <w:t>，其占地属于已开发利用的土地，不涉及新增占地</w:t>
                  </w:r>
                  <w:r>
                    <w:rPr>
                      <w:szCs w:val="21"/>
                    </w:rPr>
                    <w:t>，</w:t>
                  </w:r>
                  <w:r>
                    <w:rPr>
                      <w:rFonts w:hint="eastAsia"/>
                      <w:szCs w:val="21"/>
                    </w:rPr>
                    <w:t>本项目</w:t>
                  </w:r>
                  <w:r>
                    <w:rPr>
                      <w:szCs w:val="21"/>
                    </w:rPr>
                    <w:t>建设完成后对厂区内进行绿化。</w:t>
                  </w:r>
                </w:p>
              </w:tc>
              <w:tc>
                <w:tcPr>
                  <w:tcW w:w="461" w:type="pct"/>
                  <w:tcBorders>
                    <w:tl2br w:val="nil"/>
                    <w:tr2bl w:val="nil"/>
                  </w:tcBorders>
                  <w:vAlign w:val="center"/>
                </w:tcPr>
                <w:p w14:paraId="0B2B795C">
                  <w:pPr>
                    <w:widowControl/>
                    <w:jc w:val="center"/>
                    <w:rPr>
                      <w:rFonts w:eastAsiaTheme="minorEastAsia"/>
                      <w:color w:val="000000"/>
                      <w:kern w:val="0"/>
                      <w:szCs w:val="21"/>
                      <w:lang w:bidi="ar"/>
                    </w:rPr>
                  </w:pPr>
                  <w:r>
                    <w:rPr>
                      <w:rFonts w:eastAsiaTheme="minorEastAsia"/>
                      <w:color w:val="000000"/>
                      <w:kern w:val="0"/>
                      <w:szCs w:val="21"/>
                      <w:lang w:bidi="ar"/>
                    </w:rPr>
                    <w:t>符合</w:t>
                  </w:r>
                </w:p>
              </w:tc>
            </w:tr>
            <w:tr w14:paraId="11C771C7">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322" w:type="pct"/>
                  <w:tcBorders>
                    <w:tl2br w:val="nil"/>
                    <w:tr2bl w:val="nil"/>
                  </w:tcBorders>
                  <w:vAlign w:val="center"/>
                </w:tcPr>
                <w:p w14:paraId="05152898">
                  <w:pPr>
                    <w:widowControl/>
                    <w:jc w:val="center"/>
                    <w:rPr>
                      <w:rFonts w:eastAsiaTheme="minorEastAsia"/>
                      <w:color w:val="000000"/>
                      <w:kern w:val="0"/>
                      <w:szCs w:val="21"/>
                      <w:lang w:bidi="ar"/>
                    </w:rPr>
                  </w:pPr>
                  <w:r>
                    <w:rPr>
                      <w:rFonts w:hint="eastAsia" w:eastAsiaTheme="minorEastAsia"/>
                      <w:color w:val="000000"/>
                      <w:kern w:val="0"/>
                      <w:szCs w:val="21"/>
                      <w:lang w:bidi="ar"/>
                    </w:rPr>
                    <w:t>3</w:t>
                  </w:r>
                </w:p>
              </w:tc>
              <w:tc>
                <w:tcPr>
                  <w:tcW w:w="3015" w:type="pct"/>
                  <w:tcBorders>
                    <w:tl2br w:val="nil"/>
                    <w:tr2bl w:val="nil"/>
                  </w:tcBorders>
                  <w:vAlign w:val="center"/>
                </w:tcPr>
                <w:p w14:paraId="17C30BFD">
                  <w:pPr>
                    <w:adjustRightInd w:val="0"/>
                    <w:snapToGrid w:val="0"/>
                    <w:jc w:val="left"/>
                    <w:rPr>
                      <w:szCs w:val="21"/>
                    </w:rPr>
                  </w:pPr>
                  <w:r>
                    <w:rPr>
                      <w:szCs w:val="21"/>
                    </w:rPr>
                    <w:t>四、重点任务</w:t>
                  </w:r>
                </w:p>
                <w:p w14:paraId="30AFA84D">
                  <w:pPr>
                    <w:widowControl/>
                    <w:jc w:val="center"/>
                    <w:rPr>
                      <w:szCs w:val="21"/>
                    </w:rPr>
                  </w:pPr>
                  <w:r>
                    <w:rPr>
                      <w:szCs w:val="21"/>
                    </w:rPr>
                    <w:t>　　坚持全省统筹，上下联动，将科尔沁沙地歼灭战和荒漠化综合防治融入全省生态文明建设总体布局，以全面振兴新突破三年行动为契机，实施植被综合盖度精准提升、沙化耕地精准治理、水资源利用与保护、自然资源生态保护修复、湿地保护修复、重大科技攻关和技术推广、试点示范、监测评估8大重点任务，23个项目。计划投资98亿元，完成治理总任务2400万亩，其中林草任务1800万亩。</w:t>
                  </w:r>
                </w:p>
              </w:tc>
              <w:tc>
                <w:tcPr>
                  <w:tcW w:w="1200" w:type="pct"/>
                  <w:tcBorders>
                    <w:tl2br w:val="nil"/>
                    <w:tr2bl w:val="nil"/>
                  </w:tcBorders>
                  <w:shd w:val="clear" w:color="auto" w:fill="auto"/>
                  <w:vAlign w:val="center"/>
                </w:tcPr>
                <w:p w14:paraId="5DD85F13">
                  <w:pPr>
                    <w:widowControl/>
                    <w:jc w:val="center"/>
                    <w:rPr>
                      <w:bCs/>
                      <w:szCs w:val="21"/>
                      <w:shd w:val="clear" w:color="auto" w:fill="FFFFFF"/>
                    </w:rPr>
                  </w:pPr>
                  <w:r>
                    <w:rPr>
                      <w:rFonts w:eastAsiaTheme="minorEastAsia"/>
                      <w:color w:val="000000"/>
                      <w:kern w:val="0"/>
                      <w:szCs w:val="21"/>
                      <w:lang w:bidi="ar"/>
                    </w:rPr>
                    <w:t>本项目位于辽宁省朝阳市北票市宝锦线凉水河北侧3幢01023</w:t>
                  </w:r>
                  <w:r>
                    <w:rPr>
                      <w:szCs w:val="21"/>
                    </w:rPr>
                    <w:t>，</w:t>
                  </w:r>
                  <w:r>
                    <w:rPr>
                      <w:kern w:val="4"/>
                      <w:szCs w:val="21"/>
                    </w:rPr>
                    <w:t>选址区域及影响范围内不涉及</w:t>
                  </w:r>
                  <w:r>
                    <w:rPr>
                      <w:szCs w:val="21"/>
                    </w:rPr>
                    <w:t>植被综合盖度精准提升区域、沙化耕地精准治理区域、</w:t>
                  </w:r>
                  <w:r>
                    <w:rPr>
                      <w:kern w:val="4"/>
                      <w:szCs w:val="21"/>
                    </w:rPr>
                    <w:t>水资源保护区、自然保护区、</w:t>
                  </w:r>
                  <w:r>
                    <w:rPr>
                      <w:szCs w:val="21"/>
                    </w:rPr>
                    <w:t>湿地保护区</w:t>
                  </w:r>
                  <w:r>
                    <w:rPr>
                      <w:kern w:val="4"/>
                      <w:szCs w:val="21"/>
                    </w:rPr>
                    <w:t>等。</w:t>
                  </w:r>
                </w:p>
              </w:tc>
              <w:tc>
                <w:tcPr>
                  <w:tcW w:w="461" w:type="pct"/>
                  <w:tcBorders>
                    <w:tl2br w:val="nil"/>
                    <w:tr2bl w:val="nil"/>
                  </w:tcBorders>
                  <w:vAlign w:val="center"/>
                </w:tcPr>
                <w:p w14:paraId="50C43238">
                  <w:pPr>
                    <w:widowControl/>
                    <w:jc w:val="center"/>
                    <w:rPr>
                      <w:rFonts w:eastAsiaTheme="minorEastAsia"/>
                      <w:color w:val="000000"/>
                      <w:kern w:val="0"/>
                      <w:szCs w:val="21"/>
                      <w:lang w:bidi="ar"/>
                    </w:rPr>
                  </w:pPr>
                </w:p>
              </w:tc>
            </w:tr>
            <w:tr w14:paraId="358D608B">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322" w:type="pct"/>
                  <w:tcBorders>
                    <w:tl2br w:val="nil"/>
                    <w:tr2bl w:val="nil"/>
                  </w:tcBorders>
                  <w:shd w:val="clear" w:color="auto" w:fill="auto"/>
                  <w:vAlign w:val="center"/>
                </w:tcPr>
                <w:p w14:paraId="2B649432">
                  <w:pPr>
                    <w:widowControl/>
                    <w:jc w:val="center"/>
                    <w:rPr>
                      <w:rFonts w:eastAsiaTheme="minorEastAsia"/>
                      <w:b/>
                      <w:bCs/>
                      <w:color w:val="000000"/>
                      <w:kern w:val="0"/>
                      <w:szCs w:val="21"/>
                      <w:lang w:bidi="ar"/>
                    </w:rPr>
                  </w:pPr>
                  <w:r>
                    <w:rPr>
                      <w:rFonts w:hint="eastAsia" w:eastAsiaTheme="minorEastAsia"/>
                      <w:b/>
                      <w:bCs/>
                      <w:color w:val="000000"/>
                      <w:kern w:val="0"/>
                      <w:szCs w:val="21"/>
                      <w:lang w:bidi="ar"/>
                    </w:rPr>
                    <w:t>序号</w:t>
                  </w:r>
                </w:p>
              </w:tc>
              <w:tc>
                <w:tcPr>
                  <w:tcW w:w="3015" w:type="pct"/>
                  <w:tcBorders>
                    <w:tl2br w:val="nil"/>
                    <w:tr2bl w:val="nil"/>
                  </w:tcBorders>
                  <w:shd w:val="clear" w:color="auto" w:fill="auto"/>
                  <w:vAlign w:val="center"/>
                </w:tcPr>
                <w:p w14:paraId="4C95FEC8">
                  <w:pPr>
                    <w:widowControl/>
                    <w:jc w:val="center"/>
                    <w:rPr>
                      <w:rFonts w:eastAsiaTheme="minorEastAsia"/>
                      <w:b/>
                      <w:bCs/>
                      <w:color w:val="000000"/>
                      <w:kern w:val="0"/>
                      <w:szCs w:val="21"/>
                      <w:lang w:bidi="ar"/>
                    </w:rPr>
                  </w:pPr>
                  <w:r>
                    <w:rPr>
                      <w:rFonts w:eastAsiaTheme="minorEastAsia"/>
                      <w:b/>
                      <w:bCs/>
                      <w:color w:val="000000"/>
                      <w:kern w:val="0"/>
                      <w:szCs w:val="21"/>
                      <w:lang w:bidi="ar"/>
                    </w:rPr>
                    <w:t>《北票市科尔沁沙地歼灭战和荒漠化综合防治行动方案(2023—2030年)》（北政办发〔2023〕31号）</w:t>
                  </w:r>
                </w:p>
              </w:tc>
              <w:tc>
                <w:tcPr>
                  <w:tcW w:w="1200" w:type="pct"/>
                  <w:tcBorders>
                    <w:tl2br w:val="nil"/>
                    <w:tr2bl w:val="nil"/>
                  </w:tcBorders>
                  <w:shd w:val="clear" w:color="auto" w:fill="auto"/>
                  <w:vAlign w:val="center"/>
                </w:tcPr>
                <w:p w14:paraId="315C1679">
                  <w:pPr>
                    <w:widowControl/>
                    <w:jc w:val="center"/>
                    <w:rPr>
                      <w:rFonts w:eastAsiaTheme="minorEastAsia"/>
                      <w:b/>
                      <w:bCs/>
                      <w:color w:val="000000"/>
                      <w:kern w:val="0"/>
                      <w:szCs w:val="21"/>
                      <w:lang w:bidi="ar"/>
                    </w:rPr>
                  </w:pPr>
                  <w:r>
                    <w:rPr>
                      <w:rFonts w:hint="eastAsia" w:eastAsiaTheme="minorEastAsia"/>
                      <w:b/>
                      <w:bCs/>
                      <w:color w:val="000000"/>
                      <w:kern w:val="0"/>
                      <w:szCs w:val="21"/>
                      <w:lang w:bidi="ar"/>
                    </w:rPr>
                    <w:t>本项目情况</w:t>
                  </w:r>
                </w:p>
              </w:tc>
              <w:tc>
                <w:tcPr>
                  <w:tcW w:w="461" w:type="pct"/>
                  <w:tcBorders>
                    <w:tl2br w:val="nil"/>
                    <w:tr2bl w:val="nil"/>
                  </w:tcBorders>
                  <w:shd w:val="clear" w:color="auto" w:fill="auto"/>
                  <w:vAlign w:val="center"/>
                </w:tcPr>
                <w:p w14:paraId="34D6F54D">
                  <w:pPr>
                    <w:widowControl/>
                    <w:jc w:val="center"/>
                    <w:rPr>
                      <w:rFonts w:eastAsiaTheme="minorEastAsia"/>
                      <w:b/>
                      <w:bCs/>
                      <w:color w:val="000000"/>
                      <w:kern w:val="0"/>
                      <w:szCs w:val="21"/>
                      <w:lang w:bidi="ar"/>
                    </w:rPr>
                  </w:pPr>
                  <w:r>
                    <w:rPr>
                      <w:rFonts w:hint="eastAsia" w:eastAsiaTheme="minorEastAsia"/>
                      <w:b/>
                      <w:bCs/>
                      <w:color w:val="000000"/>
                      <w:kern w:val="0"/>
                      <w:szCs w:val="21"/>
                      <w:lang w:bidi="ar"/>
                    </w:rPr>
                    <w:t>相符性</w:t>
                  </w:r>
                </w:p>
              </w:tc>
            </w:tr>
            <w:tr w14:paraId="53BADC18">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322" w:type="pct"/>
                  <w:tcBorders>
                    <w:tl2br w:val="nil"/>
                    <w:tr2bl w:val="nil"/>
                  </w:tcBorders>
                  <w:shd w:val="clear" w:color="auto" w:fill="auto"/>
                  <w:vAlign w:val="center"/>
                </w:tcPr>
                <w:p w14:paraId="0BBD789C">
                  <w:pPr>
                    <w:widowControl/>
                    <w:jc w:val="center"/>
                    <w:rPr>
                      <w:rFonts w:eastAsiaTheme="minorEastAsia"/>
                      <w:color w:val="000000"/>
                      <w:kern w:val="0"/>
                      <w:szCs w:val="21"/>
                      <w:lang w:bidi="ar"/>
                    </w:rPr>
                  </w:pPr>
                  <w:r>
                    <w:rPr>
                      <w:rFonts w:hint="eastAsia" w:eastAsiaTheme="minorEastAsia"/>
                      <w:color w:val="000000"/>
                      <w:kern w:val="0"/>
                      <w:szCs w:val="21"/>
                      <w:lang w:bidi="ar"/>
                    </w:rPr>
                    <w:t>1</w:t>
                  </w:r>
                </w:p>
              </w:tc>
              <w:tc>
                <w:tcPr>
                  <w:tcW w:w="3015" w:type="pct"/>
                  <w:tcBorders>
                    <w:tl2br w:val="nil"/>
                    <w:tr2bl w:val="nil"/>
                  </w:tcBorders>
                  <w:shd w:val="clear" w:color="auto" w:fill="auto"/>
                  <w:vAlign w:val="center"/>
                </w:tcPr>
                <w:p w14:paraId="7EC8B06A">
                  <w:pPr>
                    <w:adjustRightInd w:val="0"/>
                    <w:snapToGrid w:val="0"/>
                    <w:jc w:val="left"/>
                    <w:rPr>
                      <w:szCs w:val="21"/>
                    </w:rPr>
                  </w:pPr>
                  <w:r>
                    <w:rPr>
                      <w:szCs w:val="21"/>
                    </w:rPr>
                    <w:t>　(一)两大治理区</w:t>
                  </w:r>
                </w:p>
                <w:p w14:paraId="7424D81A">
                  <w:pPr>
                    <w:adjustRightInd w:val="0"/>
                    <w:snapToGrid w:val="0"/>
                    <w:jc w:val="left"/>
                    <w:rPr>
                      <w:szCs w:val="21"/>
                    </w:rPr>
                  </w:pPr>
                  <w:r>
                    <w:rPr>
                      <w:szCs w:val="21"/>
                    </w:rPr>
                    <w:t>1.科尔沁沙地歼灭战攻坚区。包括北塔镇、黑城子镇、台吉营乡、兴顺德农场、马友营乡，衔接“三北”工程六期规划中科尔沁沙地南缘综合治理项目。沙化土地面积12.1万亩。攻坚区域自然条件差，沙化土地面积大、分布广，沙化耕地多，农林矛盾突出，植被综合盖度低，防护林老化退化，水土流失严重，防治任务艰巨。主要以沙化土地治理为重点，通过实施退化林修复、草原生态建设、沙化耕地治理和小流域综合治理等措施，实现治理全覆盖，生态安全屏障功能完备。</w:t>
                  </w:r>
                </w:p>
                <w:p w14:paraId="4483588D">
                  <w:pPr>
                    <w:adjustRightInd w:val="0"/>
                    <w:snapToGrid w:val="0"/>
                    <w:jc w:val="left"/>
                    <w:rPr>
                      <w:rFonts w:eastAsiaTheme="minorEastAsia"/>
                      <w:b/>
                      <w:bCs/>
                      <w:color w:val="000000"/>
                      <w:kern w:val="0"/>
                      <w:szCs w:val="21"/>
                      <w:lang w:bidi="ar"/>
                    </w:rPr>
                  </w:pPr>
                  <w:r>
                    <w:rPr>
                      <w:szCs w:val="21"/>
                    </w:rPr>
                    <w:t>2.荒漠化综合防治区。包括宝国老镇、黑城子镇、西官营镇、五间房镇、大板镇、台吉镇、东官营镇、北塔镇、龙潭镇、大三家镇、蒙古营镇、三宝乡、章吉营乡、泉巨永乡、台吉营乡、娄家店乡、北四家乡、凉水河乡、南八家子乡、长皋乡、哈尔脑乡、下府开发区、兴顺德农场23个乡镇(场、区),其中黑城子镇、台吉营乡、北塔镇、兴顺德农场项目区 与科尔沁沙地歼灭战攻坚区重叠，衔接“三北”工程六期规划中科尔沁沙地南缘综合治理项目。荒漠化土地总面积175.28万亩。该区域以低山丘陵 为主，水土流失严重，土地退化明显。加强以水土保持林草建设为主的综合治理，提升植被综合盖度，强化退化林修复和小流域治理，防止水土流失，改善生态环境，有效遏制土地荒漠化。</w:t>
                  </w:r>
                </w:p>
              </w:tc>
              <w:tc>
                <w:tcPr>
                  <w:tcW w:w="1200" w:type="pct"/>
                  <w:tcBorders>
                    <w:tl2br w:val="nil"/>
                    <w:tr2bl w:val="nil"/>
                  </w:tcBorders>
                  <w:shd w:val="clear" w:color="auto" w:fill="auto"/>
                  <w:vAlign w:val="center"/>
                </w:tcPr>
                <w:p w14:paraId="7DE903D8">
                  <w:pPr>
                    <w:adjustRightInd w:val="0"/>
                    <w:snapToGrid w:val="0"/>
                    <w:jc w:val="center"/>
                    <w:rPr>
                      <w:rFonts w:eastAsiaTheme="minorEastAsia"/>
                      <w:b/>
                      <w:bCs/>
                      <w:color w:val="000000"/>
                      <w:kern w:val="0"/>
                      <w:szCs w:val="21"/>
                      <w:lang w:bidi="ar"/>
                    </w:rPr>
                  </w:pPr>
                  <w:r>
                    <w:rPr>
                      <w:rFonts w:eastAsiaTheme="minorEastAsia"/>
                      <w:color w:val="000000"/>
                      <w:kern w:val="0"/>
                      <w:szCs w:val="21"/>
                      <w:lang w:bidi="ar"/>
                    </w:rPr>
                    <w:t>本项目位于辽宁省朝阳市北票市宝锦线凉水河北侧3幢01023</w:t>
                  </w:r>
                  <w:r>
                    <w:rPr>
                      <w:szCs w:val="21"/>
                    </w:rPr>
                    <w:t>，</w:t>
                  </w:r>
                  <w:r>
                    <w:rPr>
                      <w:bCs/>
                      <w:szCs w:val="21"/>
                      <w:shd w:val="clear" w:color="auto" w:fill="FFFFFF"/>
                    </w:rPr>
                    <w:t>用地性质为规划工业用地，不属于</w:t>
                  </w:r>
                  <w:r>
                    <w:rPr>
                      <w:szCs w:val="21"/>
                    </w:rPr>
                    <w:t>林草建设项目。</w:t>
                  </w:r>
                </w:p>
              </w:tc>
              <w:tc>
                <w:tcPr>
                  <w:tcW w:w="461" w:type="pct"/>
                  <w:tcBorders>
                    <w:tl2br w:val="nil"/>
                    <w:tr2bl w:val="nil"/>
                  </w:tcBorders>
                  <w:shd w:val="clear" w:color="auto" w:fill="auto"/>
                  <w:vAlign w:val="center"/>
                </w:tcPr>
                <w:p w14:paraId="6F456183">
                  <w:pPr>
                    <w:widowControl/>
                    <w:jc w:val="center"/>
                    <w:rPr>
                      <w:rFonts w:eastAsiaTheme="minorEastAsia"/>
                      <w:b/>
                      <w:bCs/>
                      <w:color w:val="000000"/>
                      <w:kern w:val="0"/>
                      <w:szCs w:val="21"/>
                      <w:lang w:bidi="ar"/>
                    </w:rPr>
                  </w:pPr>
                </w:p>
              </w:tc>
            </w:tr>
            <w:tr w14:paraId="228745C3">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322" w:type="pct"/>
                  <w:tcBorders>
                    <w:tl2br w:val="nil"/>
                    <w:tr2bl w:val="nil"/>
                  </w:tcBorders>
                  <w:shd w:val="clear" w:color="auto" w:fill="auto"/>
                  <w:vAlign w:val="center"/>
                </w:tcPr>
                <w:p w14:paraId="429A6826">
                  <w:pPr>
                    <w:widowControl/>
                    <w:jc w:val="center"/>
                    <w:rPr>
                      <w:rFonts w:eastAsiaTheme="minorEastAsia"/>
                      <w:color w:val="000000"/>
                      <w:kern w:val="0"/>
                      <w:szCs w:val="21"/>
                      <w:lang w:bidi="ar"/>
                    </w:rPr>
                  </w:pPr>
                  <w:r>
                    <w:rPr>
                      <w:rFonts w:hint="eastAsia" w:eastAsiaTheme="minorEastAsia"/>
                      <w:color w:val="000000"/>
                      <w:kern w:val="0"/>
                      <w:szCs w:val="21"/>
                      <w:lang w:bidi="ar"/>
                    </w:rPr>
                    <w:t>2</w:t>
                  </w:r>
                </w:p>
              </w:tc>
              <w:tc>
                <w:tcPr>
                  <w:tcW w:w="3015" w:type="pct"/>
                  <w:tcBorders>
                    <w:tl2br w:val="nil"/>
                    <w:tr2bl w:val="nil"/>
                  </w:tcBorders>
                  <w:shd w:val="clear" w:color="auto" w:fill="auto"/>
                  <w:vAlign w:val="center"/>
                </w:tcPr>
                <w:p w14:paraId="389A5511">
                  <w:pPr>
                    <w:adjustRightInd w:val="0"/>
                    <w:snapToGrid w:val="0"/>
                    <w:jc w:val="left"/>
                    <w:rPr>
                      <w:szCs w:val="21"/>
                    </w:rPr>
                  </w:pPr>
                  <w:r>
                    <w:rPr>
                      <w:szCs w:val="21"/>
                    </w:rPr>
                    <w:t>(二)七大工程</w:t>
                  </w:r>
                </w:p>
                <w:p w14:paraId="13BE5029">
                  <w:pPr>
                    <w:adjustRightInd w:val="0"/>
                    <w:snapToGrid w:val="0"/>
                    <w:jc w:val="left"/>
                    <w:rPr>
                      <w:szCs w:val="21"/>
                    </w:rPr>
                  </w:pPr>
                  <w:r>
                    <w:rPr>
                      <w:szCs w:val="21"/>
                    </w:rPr>
                    <w:t>1.植被综合盖度精准提升工程。以提升植被综合盖度为目标，统筹落 实“三北”工程六期、中央财政造林补助项目等重点工程，大力推进辽西北防风治沙固土三年攻坚行动等“绿满朝阳”工程，通过退化林修复、人工造林、封山育林、飞播造林、森林抚育、草原生态修复等措施，积极完 善科尔沁沙地防风固沙林带，全面提升林草生态系统质量和稳定性。  ( 责任单位：各乡镇(场、区);牵头单位：市林草局；配合单位：市发改局、自然资源局、水务局、财政局)</w:t>
                  </w:r>
                </w:p>
                <w:p w14:paraId="0715E65A">
                  <w:pPr>
                    <w:adjustRightInd w:val="0"/>
                    <w:snapToGrid w:val="0"/>
                    <w:jc w:val="left"/>
                    <w:rPr>
                      <w:szCs w:val="21"/>
                    </w:rPr>
                  </w:pPr>
                  <w:r>
                    <w:rPr>
                      <w:szCs w:val="21"/>
                    </w:rPr>
                    <w:t>(1)退化林修复项目。以提升退化林防护效能和植被综合盖度为目标，区别退化程度和成因，通过补植补造、栽树(灌)种草等措施，构建针阔混交和乔灌草相结合的立体化修复模式，增强森林碳汇能力，实现森林资源质量和生态系统稳步提升。2023—2025年完成退化林修复10.7万亩，2026—2030年完成退化林修复19.3万亩。</w:t>
                  </w:r>
                </w:p>
                <w:p w14:paraId="6E32B9AC">
                  <w:pPr>
                    <w:adjustRightInd w:val="0"/>
                    <w:snapToGrid w:val="0"/>
                    <w:jc w:val="left"/>
                    <w:rPr>
                      <w:szCs w:val="21"/>
                    </w:rPr>
                  </w:pPr>
                  <w:r>
                    <w:rPr>
                      <w:szCs w:val="21"/>
                    </w:rPr>
                    <w:t>(2)造林抚育项目。以提高综合植被盖度和改善森林质量为目标，坚持乔灌草相结合，采用人工造林、封山育林、飞播造林、森林抚育等措施，合理配置林草植被类型和初植密度，鼓励低密度造林和冠下种草，优先选用耐干旱、耐瘠薄、抗风沙的乡土树(草)种，积极营造混交林，大力发展节水林草，推广应用蘸泥浆造林法等沙地实用造林技术。2023—</w:t>
                  </w:r>
                </w:p>
                <w:p w14:paraId="2B09F76B">
                  <w:pPr>
                    <w:adjustRightInd w:val="0"/>
                    <w:snapToGrid w:val="0"/>
                    <w:jc w:val="left"/>
                    <w:rPr>
                      <w:szCs w:val="21"/>
                    </w:rPr>
                  </w:pPr>
                  <w:r>
                    <w:rPr>
                      <w:szCs w:val="21"/>
                    </w:rPr>
                    <w:t>2025年完成造林抚育17.63万亩，2026—2030年完成造林抚育26.6万亩。</w:t>
                  </w:r>
                </w:p>
                <w:p w14:paraId="38658822">
                  <w:pPr>
                    <w:adjustRightInd w:val="0"/>
                    <w:snapToGrid w:val="0"/>
                    <w:jc w:val="left"/>
                    <w:rPr>
                      <w:rFonts w:eastAsiaTheme="minorEastAsia"/>
                      <w:b/>
                      <w:bCs/>
                      <w:color w:val="000000"/>
                      <w:kern w:val="0"/>
                      <w:szCs w:val="21"/>
                      <w:lang w:bidi="ar"/>
                    </w:rPr>
                  </w:pPr>
                  <w:r>
                    <w:rPr>
                      <w:szCs w:val="21"/>
                    </w:rPr>
                    <w:t>(3)退化草原修复项目。以提高草原生产力和草原综合植被盖度为目标，按照草原地带分布、植被组成、气候特点、退化程度等，明确主攻方  向和任务目标。通过围栏封育、补播种草、绿色防控等措施，积极推进草原生态修复和有害生物防治，促进草原植被恢复，提升草原生态系统功能，保障草原生产生态安全。2023—2025年完成退化草原修复12万亩，2026—2030年完成退化草原修复7万亩。</w:t>
                  </w:r>
                </w:p>
              </w:tc>
              <w:tc>
                <w:tcPr>
                  <w:tcW w:w="1200" w:type="pct"/>
                  <w:tcBorders>
                    <w:tl2br w:val="nil"/>
                    <w:tr2bl w:val="nil"/>
                  </w:tcBorders>
                  <w:shd w:val="clear" w:color="auto" w:fill="auto"/>
                  <w:vAlign w:val="center"/>
                </w:tcPr>
                <w:p w14:paraId="2A244609">
                  <w:pPr>
                    <w:adjustRightInd w:val="0"/>
                    <w:snapToGrid w:val="0"/>
                    <w:jc w:val="center"/>
                    <w:rPr>
                      <w:rFonts w:eastAsiaTheme="minorEastAsia"/>
                      <w:b/>
                      <w:bCs/>
                      <w:color w:val="000000"/>
                      <w:kern w:val="0"/>
                      <w:szCs w:val="21"/>
                      <w:lang w:bidi="ar"/>
                    </w:rPr>
                  </w:pPr>
                  <w:r>
                    <w:rPr>
                      <w:rFonts w:eastAsiaTheme="minorEastAsia"/>
                      <w:color w:val="FF0000"/>
                      <w:kern w:val="0"/>
                      <w:szCs w:val="21"/>
                      <w:lang w:bidi="ar"/>
                    </w:rPr>
                    <w:t>本项目位于辽宁省朝阳市北票市宝锦线凉水河北侧3幢01023</w:t>
                  </w:r>
                  <w:r>
                    <w:rPr>
                      <w:color w:val="FF0000"/>
                      <w:szCs w:val="21"/>
                    </w:rPr>
                    <w:t>，</w:t>
                  </w:r>
                  <w:r>
                    <w:rPr>
                      <w:bCs/>
                      <w:color w:val="FF0000"/>
                      <w:szCs w:val="21"/>
                      <w:shd w:val="clear" w:color="auto" w:fill="FFFFFF"/>
                    </w:rPr>
                    <w:t>用地性质为规划工业用地，</w:t>
                  </w:r>
                  <w:r>
                    <w:rPr>
                      <w:rFonts w:hint="eastAsia"/>
                      <w:bCs/>
                      <w:color w:val="FF0000"/>
                      <w:szCs w:val="21"/>
                      <w:shd w:val="clear" w:color="auto" w:fill="FFFFFF"/>
                      <w:lang w:val="en-US" w:eastAsia="zh-CN"/>
                    </w:rPr>
                    <w:t>本项目租用现有厂区进行建设，为已建设工业用地，</w:t>
                  </w:r>
                  <w:r>
                    <w:rPr>
                      <w:bCs/>
                      <w:color w:val="FF0000"/>
                      <w:szCs w:val="21"/>
                      <w:shd w:val="clear" w:color="auto" w:fill="FFFFFF"/>
                    </w:rPr>
                    <w:t>不涉及退化林、人造林、草原等</w:t>
                  </w:r>
                  <w:r>
                    <w:rPr>
                      <w:color w:val="FF0000"/>
                      <w:szCs w:val="21"/>
                    </w:rPr>
                    <w:t>。</w:t>
                  </w:r>
                </w:p>
              </w:tc>
              <w:tc>
                <w:tcPr>
                  <w:tcW w:w="461" w:type="pct"/>
                  <w:tcBorders>
                    <w:tl2br w:val="nil"/>
                    <w:tr2bl w:val="nil"/>
                  </w:tcBorders>
                  <w:shd w:val="clear" w:color="auto" w:fill="auto"/>
                  <w:vAlign w:val="center"/>
                </w:tcPr>
                <w:p w14:paraId="4C9F9E43">
                  <w:pPr>
                    <w:widowControl/>
                    <w:jc w:val="center"/>
                    <w:rPr>
                      <w:rFonts w:eastAsiaTheme="minorEastAsia"/>
                      <w:b/>
                      <w:bCs/>
                      <w:color w:val="000000"/>
                      <w:kern w:val="0"/>
                      <w:szCs w:val="21"/>
                      <w:lang w:bidi="ar"/>
                    </w:rPr>
                  </w:pPr>
                </w:p>
              </w:tc>
            </w:tr>
            <w:tr w14:paraId="5604DE57">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322" w:type="pct"/>
                  <w:tcBorders>
                    <w:tl2br w:val="nil"/>
                    <w:tr2bl w:val="nil"/>
                  </w:tcBorders>
                  <w:shd w:val="clear" w:color="auto" w:fill="auto"/>
                  <w:vAlign w:val="center"/>
                </w:tcPr>
                <w:p w14:paraId="3A8C0003">
                  <w:pPr>
                    <w:widowControl/>
                    <w:jc w:val="center"/>
                    <w:rPr>
                      <w:rFonts w:eastAsiaTheme="minorEastAsia"/>
                      <w:color w:val="000000"/>
                      <w:kern w:val="0"/>
                      <w:szCs w:val="21"/>
                      <w:lang w:bidi="ar"/>
                    </w:rPr>
                  </w:pPr>
                  <w:r>
                    <w:rPr>
                      <w:rFonts w:hint="eastAsia" w:eastAsiaTheme="minorEastAsia"/>
                      <w:color w:val="000000"/>
                      <w:kern w:val="0"/>
                      <w:szCs w:val="21"/>
                      <w:lang w:bidi="ar"/>
                    </w:rPr>
                    <w:t>3</w:t>
                  </w:r>
                </w:p>
              </w:tc>
              <w:tc>
                <w:tcPr>
                  <w:tcW w:w="3015" w:type="pct"/>
                  <w:tcBorders>
                    <w:tl2br w:val="nil"/>
                    <w:tr2bl w:val="nil"/>
                  </w:tcBorders>
                  <w:shd w:val="clear" w:color="auto" w:fill="auto"/>
                  <w:vAlign w:val="center"/>
                </w:tcPr>
                <w:p w14:paraId="27E95972">
                  <w:pPr>
                    <w:adjustRightInd w:val="0"/>
                    <w:snapToGrid w:val="0"/>
                    <w:jc w:val="left"/>
                    <w:rPr>
                      <w:szCs w:val="21"/>
                    </w:rPr>
                  </w:pPr>
                  <w:r>
                    <w:rPr>
                      <w:szCs w:val="21"/>
                    </w:rPr>
                    <w:t>2.沙化耕地精准治理工程。以沙化耕地治理全覆盖为目标，开展农田防护林和水利系统建设，通过实施农田防护林网、高效节水灌溉等项目提升防护效能及灌溉条件。采用保护性耕作等农艺措施，促进沙化耕地治理。 (责任单位：相关乡镇(场、区);牵头单位：市农业农村局；配合单位：市发改局、自然资源局、水务局、林草局、财政局)</w:t>
                  </w:r>
                </w:p>
                <w:p w14:paraId="3E192289">
                  <w:pPr>
                    <w:adjustRightInd w:val="0"/>
                    <w:snapToGrid w:val="0"/>
                    <w:jc w:val="left"/>
                    <w:rPr>
                      <w:szCs w:val="21"/>
                    </w:rPr>
                  </w:pPr>
                  <w:r>
                    <w:rPr>
                      <w:szCs w:val="21"/>
                    </w:rPr>
                    <w:t>(4)农田防护林修复项目。在沙化荒漠化耕地上大力开展农田防护林体系建设、修复，确保沙化荒漠化耕地治理取得实效。坚持为农业生产服务，遵循因害设防、因地制宜、节约用地的原则，充分利用农村道路、沟 渠、田坎等现有空间新建和完善农田防护林网。在风沙等灾害严重的重点 区域，根据防灾减灾需要，当现有空间不足时，在符合国土空间规划等有关规划和用途管制的前提下，通过适当调整土地利用类型和优化用地布局，按照相关标准合理规划建设农田防护林，尽量少占耕地、避让永久基本农田，防止挤占耕地空间、影响农作物播种面积。对国有林场所属的耕 地率先营造，完善农田防护林网。对具备灌溉条件的沙化荒漠化耕地，统 筹规划农田防护林配置，积极推动农田防护林试点示范，制定农田防护林保护修复计划，逐步完善农田防护林体系，稳步提升农田防护林质量。</w:t>
                  </w:r>
                </w:p>
                <w:p w14:paraId="654EBD7B">
                  <w:pPr>
                    <w:adjustRightInd w:val="0"/>
                    <w:snapToGrid w:val="0"/>
                    <w:jc w:val="left"/>
                    <w:rPr>
                      <w:szCs w:val="21"/>
                    </w:rPr>
                  </w:pPr>
                  <w:r>
                    <w:rPr>
                      <w:szCs w:val="21"/>
                    </w:rPr>
                    <w:t>(5)高效节水灌溉建设项目。按照高标准农田建设要求，在高标准农田建设限制和禁止区域以外耕地，对具备灌溉水源的永久基本农田，支持建设高效节水灌溉设施。2023—2025年计划实施0.6万亩，2026—2030年计划实施1万亩。</w:t>
                  </w:r>
                </w:p>
                <w:p w14:paraId="18C7FE1D">
                  <w:pPr>
                    <w:adjustRightInd w:val="0"/>
                    <w:snapToGrid w:val="0"/>
                    <w:jc w:val="left"/>
                    <w:rPr>
                      <w:szCs w:val="21"/>
                    </w:rPr>
                  </w:pPr>
                  <w:r>
                    <w:rPr>
                      <w:szCs w:val="21"/>
                    </w:rPr>
                    <w:t>(6)保护性耕作项目。对沙化耕地种植玉米、杂粮、大豆等作物，通过秸秆大量、部分或者少量覆盖还田，进行免(少)耕播种作业。到2025年实施2.5万亩，到2030年实施4.5万亩。</w:t>
                  </w:r>
                </w:p>
                <w:p w14:paraId="4B6C5DA0">
                  <w:pPr>
                    <w:adjustRightInd w:val="0"/>
                    <w:snapToGrid w:val="0"/>
                    <w:jc w:val="left"/>
                    <w:rPr>
                      <w:szCs w:val="21"/>
                    </w:rPr>
                  </w:pPr>
                  <w:r>
                    <w:rPr>
                      <w:szCs w:val="21"/>
                    </w:rPr>
                    <w:t>(7)地膜科学使用回收项目。加大对沙化耕地地膜覆盖支持力度，推广应用加厚高强度地膜，在作物生长季减少风沙对土壤的侵蚀。2023—2025年实施1.2万亩次，2026—2030年实施0.8万亩次。</w:t>
                  </w:r>
                </w:p>
                <w:p w14:paraId="17509AB8">
                  <w:pPr>
                    <w:adjustRightInd w:val="0"/>
                    <w:snapToGrid w:val="0"/>
                    <w:jc w:val="left"/>
                    <w:rPr>
                      <w:rFonts w:eastAsiaTheme="minorEastAsia"/>
                      <w:b/>
                      <w:bCs/>
                      <w:color w:val="000000"/>
                      <w:kern w:val="0"/>
                      <w:szCs w:val="21"/>
                      <w:lang w:bidi="ar"/>
                    </w:rPr>
                  </w:pPr>
                  <w:r>
                    <w:rPr>
                      <w:szCs w:val="21"/>
                    </w:rPr>
                    <w:t>(8)耕地轮作项目。加大对沙化耕地轮作支持力度，推行薯类、杂 粮、大豆、玉米等作物轮作，统筹推进地力提升和粮食安全。2023—2025年实施1.2万亩次，2026—2030年实施1.5万亩次。</w:t>
                  </w:r>
                </w:p>
              </w:tc>
              <w:tc>
                <w:tcPr>
                  <w:tcW w:w="1200" w:type="pct"/>
                  <w:tcBorders>
                    <w:tl2br w:val="nil"/>
                    <w:tr2bl w:val="nil"/>
                  </w:tcBorders>
                  <w:shd w:val="clear" w:color="auto" w:fill="auto"/>
                  <w:vAlign w:val="center"/>
                </w:tcPr>
                <w:p w14:paraId="0A4C4549">
                  <w:pPr>
                    <w:adjustRightInd w:val="0"/>
                    <w:snapToGrid w:val="0"/>
                    <w:jc w:val="center"/>
                    <w:rPr>
                      <w:rFonts w:eastAsiaTheme="minorEastAsia"/>
                      <w:b/>
                      <w:bCs/>
                      <w:color w:val="000000"/>
                      <w:kern w:val="0"/>
                      <w:szCs w:val="21"/>
                      <w:lang w:bidi="ar"/>
                    </w:rPr>
                  </w:pPr>
                  <w:r>
                    <w:rPr>
                      <w:rFonts w:eastAsiaTheme="minorEastAsia"/>
                      <w:color w:val="000000"/>
                      <w:kern w:val="0"/>
                      <w:szCs w:val="21"/>
                      <w:lang w:bidi="ar"/>
                    </w:rPr>
                    <w:t>本项目位于辽宁省朝阳市北票市宝锦线凉水河北侧3幢01023</w:t>
                  </w:r>
                  <w:r>
                    <w:rPr>
                      <w:bCs/>
                      <w:szCs w:val="21"/>
                      <w:shd w:val="clear" w:color="auto" w:fill="FFFFFF"/>
                    </w:rPr>
                    <w:t>，</w:t>
                  </w:r>
                  <w:r>
                    <w:rPr>
                      <w:rFonts w:hint="eastAsia"/>
                      <w:bCs/>
                      <w:color w:val="FF0000"/>
                      <w:szCs w:val="21"/>
                      <w:shd w:val="clear" w:color="auto" w:fill="FFFFFF"/>
                      <w:lang w:val="en-US" w:eastAsia="zh-CN"/>
                    </w:rPr>
                    <w:t>本项目租用现有厂区进行建设，为已建设工业用地，</w:t>
                  </w:r>
                  <w:r>
                    <w:rPr>
                      <w:bCs/>
                      <w:szCs w:val="21"/>
                      <w:shd w:val="clear" w:color="auto" w:fill="FFFFFF"/>
                    </w:rPr>
                    <w:t>不涉及农田防护林、沙化耕地、永久基本农田等</w:t>
                  </w:r>
                  <w:r>
                    <w:rPr>
                      <w:szCs w:val="21"/>
                    </w:rPr>
                    <w:t>。</w:t>
                  </w:r>
                </w:p>
              </w:tc>
              <w:tc>
                <w:tcPr>
                  <w:tcW w:w="461" w:type="pct"/>
                  <w:tcBorders>
                    <w:tl2br w:val="nil"/>
                    <w:tr2bl w:val="nil"/>
                  </w:tcBorders>
                  <w:shd w:val="clear" w:color="auto" w:fill="auto"/>
                  <w:vAlign w:val="center"/>
                </w:tcPr>
                <w:p w14:paraId="2B0ABD17">
                  <w:pPr>
                    <w:widowControl/>
                    <w:jc w:val="center"/>
                    <w:rPr>
                      <w:rFonts w:eastAsiaTheme="minorEastAsia"/>
                      <w:b/>
                      <w:bCs/>
                      <w:color w:val="000000"/>
                      <w:kern w:val="0"/>
                      <w:szCs w:val="21"/>
                      <w:lang w:bidi="ar"/>
                    </w:rPr>
                  </w:pPr>
                </w:p>
              </w:tc>
            </w:tr>
          </w:tbl>
          <w:p w14:paraId="13D29849">
            <w:pPr>
              <w:autoSpaceDE w:val="0"/>
              <w:autoSpaceDN w:val="0"/>
              <w:adjustRightInd w:val="0"/>
              <w:snapToGrid w:val="0"/>
              <w:jc w:val="left"/>
              <w:rPr>
                <w:kern w:val="0"/>
                <w:szCs w:val="21"/>
              </w:rPr>
            </w:pPr>
          </w:p>
        </w:tc>
      </w:tr>
      <w:tr w14:paraId="27B9353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31" w:type="pct"/>
            <w:vAlign w:val="center"/>
          </w:tcPr>
          <w:p w14:paraId="71E672F4">
            <w:pPr>
              <w:autoSpaceDE w:val="0"/>
              <w:autoSpaceDN w:val="0"/>
              <w:adjustRightInd w:val="0"/>
              <w:snapToGrid w:val="0"/>
              <w:jc w:val="center"/>
              <w:rPr>
                <w:kern w:val="0"/>
                <w:szCs w:val="21"/>
              </w:rPr>
            </w:pPr>
          </w:p>
        </w:tc>
        <w:tc>
          <w:tcPr>
            <w:tcW w:w="4368" w:type="pct"/>
            <w:gridSpan w:val="3"/>
            <w:vAlign w:val="center"/>
          </w:tcPr>
          <w:p w14:paraId="14813FFA">
            <w:pPr>
              <w:autoSpaceDE w:val="0"/>
              <w:autoSpaceDN w:val="0"/>
              <w:adjustRightInd w:val="0"/>
              <w:snapToGrid w:val="0"/>
              <w:jc w:val="left"/>
              <w:rPr>
                <w:kern w:val="0"/>
                <w:szCs w:val="21"/>
              </w:rPr>
            </w:pPr>
          </w:p>
        </w:tc>
      </w:tr>
    </w:tbl>
    <w:p w14:paraId="66FA9652">
      <w:pPr>
        <w:spacing w:line="360" w:lineRule="auto"/>
        <w:outlineLvl w:val="0"/>
        <w:rPr>
          <w:rFonts w:eastAsia="黑体"/>
          <w:sz w:val="30"/>
        </w:rPr>
        <w:sectPr>
          <w:footerReference r:id="rId5" w:type="default"/>
          <w:pgSz w:w="11906" w:h="16838"/>
          <w:pgMar w:top="1701" w:right="1531" w:bottom="1701" w:left="1531" w:header="851" w:footer="1077" w:gutter="0"/>
          <w:pgBorders>
            <w:top w:val="none" w:sz="0" w:space="0"/>
            <w:left w:val="none" w:sz="0" w:space="0"/>
            <w:bottom w:val="none" w:sz="0" w:space="0"/>
            <w:right w:val="none" w:sz="0" w:space="0"/>
          </w:pgBorders>
          <w:pgNumType w:fmt="numberInDash" w:start="1"/>
          <w:cols w:space="720" w:num="1"/>
          <w:docGrid w:linePitch="312" w:charSpace="0"/>
        </w:sectPr>
      </w:pPr>
    </w:p>
    <w:p w14:paraId="62A702F9">
      <w:pPr>
        <w:pStyle w:val="30"/>
        <w:jc w:val="center"/>
        <w:outlineLvl w:val="0"/>
        <w:rPr>
          <w:rFonts w:hint="eastAsia" w:ascii="黑体" w:hAnsi="黑体" w:eastAsia="黑体"/>
          <w:snapToGrid w:val="0"/>
          <w:sz w:val="28"/>
          <w:szCs w:val="28"/>
        </w:rPr>
      </w:pPr>
      <w:bookmarkStart w:id="5" w:name="_Toc20174"/>
      <w:r>
        <w:rPr>
          <w:rFonts w:hint="eastAsia" w:ascii="黑体" w:hAnsi="黑体" w:eastAsia="黑体"/>
          <w:snapToGrid w:val="0"/>
          <w:sz w:val="28"/>
          <w:szCs w:val="28"/>
        </w:rPr>
        <w:t>二、建设项目工程分析</w:t>
      </w:r>
      <w:bookmarkEnd w:id="5"/>
    </w:p>
    <w:tbl>
      <w:tblPr>
        <w:tblStyle w:val="34"/>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392"/>
        <w:gridCol w:w="8668"/>
      </w:tblGrid>
      <w:tr w14:paraId="5F61453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PrEx>
        <w:trPr>
          <w:trHeight w:val="12450" w:hRule="atLeast"/>
          <w:jc w:val="center"/>
        </w:trPr>
        <w:tc>
          <w:tcPr>
            <w:tcW w:w="392" w:type="dxa"/>
            <w:vAlign w:val="center"/>
          </w:tcPr>
          <w:p w14:paraId="3C29F5D4">
            <w:pPr>
              <w:pStyle w:val="30"/>
              <w:adjustRightInd w:val="0"/>
              <w:snapToGrid w:val="0"/>
              <w:spacing w:before="0" w:beforeAutospacing="0" w:after="0" w:afterAutospacing="0"/>
              <w:jc w:val="center"/>
              <w:rPr>
                <w:rFonts w:hint="eastAsia" w:cs="宋体"/>
                <w:color w:val="000000" w:themeColor="text1"/>
                <w:sz w:val="21"/>
                <w:szCs w:val="21"/>
                <w14:textFill>
                  <w14:solidFill>
                    <w14:schemeClr w14:val="tx1"/>
                  </w14:solidFill>
                </w14:textFill>
              </w:rPr>
            </w:pPr>
            <w:r>
              <w:rPr>
                <w:rFonts w:hint="eastAsia" w:cs="宋体"/>
                <w:color w:val="000000" w:themeColor="text1"/>
                <w:sz w:val="21"/>
                <w:szCs w:val="21"/>
                <w14:textFill>
                  <w14:solidFill>
                    <w14:schemeClr w14:val="tx1"/>
                  </w14:solidFill>
                </w14:textFill>
              </w:rPr>
              <w:t>建设内容</w:t>
            </w:r>
          </w:p>
        </w:tc>
        <w:tc>
          <w:tcPr>
            <w:tcW w:w="8668" w:type="dxa"/>
            <w:vAlign w:val="top"/>
          </w:tcPr>
          <w:p w14:paraId="30C8AB05">
            <w:pPr>
              <w:tabs>
                <w:tab w:val="left" w:pos="1668"/>
              </w:tabs>
              <w:adjustRightInd w:val="0"/>
              <w:snapToGrid w:val="0"/>
              <w:spacing w:line="360" w:lineRule="auto"/>
              <w:jc w:val="left"/>
              <w:rPr>
                <w:b/>
                <w:color w:val="000000" w:themeColor="text1"/>
                <w:sz w:val="24"/>
                <w14:textFill>
                  <w14:solidFill>
                    <w14:schemeClr w14:val="tx1"/>
                  </w14:solidFill>
                </w14:textFill>
              </w:rPr>
            </w:pPr>
            <w:r>
              <w:rPr>
                <w:rFonts w:hint="eastAsia"/>
                <w:b/>
                <w:color w:val="000000" w:themeColor="text1"/>
                <w:sz w:val="24"/>
                <w14:textFill>
                  <w14:solidFill>
                    <w14:schemeClr w14:val="tx1"/>
                  </w14:solidFill>
                </w14:textFill>
              </w:rPr>
              <w:t>1.项目背景</w:t>
            </w:r>
          </w:p>
          <w:p w14:paraId="1D55B2F7">
            <w:pPr>
              <w:pStyle w:val="84"/>
              <w:spacing w:line="360" w:lineRule="auto"/>
              <w:ind w:firstLine="480"/>
              <w:rPr>
                <w:color w:val="000000" w:themeColor="text1"/>
                <w:lang w:bidi="zh-CN"/>
                <w14:textFill>
                  <w14:solidFill>
                    <w14:schemeClr w14:val="tx1"/>
                  </w14:solidFill>
                </w14:textFill>
              </w:rPr>
            </w:pPr>
            <w:r>
              <w:rPr>
                <w:color w:val="000000" w:themeColor="text1"/>
                <w:lang w:bidi="zh-CN"/>
                <w14:textFill>
                  <w14:solidFill>
                    <w14:schemeClr w14:val="tx1"/>
                  </w14:solidFill>
                </w14:textFill>
              </w:rPr>
              <w:t>北票市邦瑞机械加工有限责任公司</w:t>
            </w:r>
            <w:r>
              <w:rPr>
                <w:rFonts w:hint="eastAsia"/>
                <w:color w:val="000000" w:themeColor="text1"/>
                <w:lang w:bidi="zh-CN"/>
                <w14:textFill>
                  <w14:solidFill>
                    <w14:schemeClr w14:val="tx1"/>
                  </w14:solidFill>
                </w14:textFill>
              </w:rPr>
              <w:t>成立于2024年8月16日，地址位于辽宁省朝阳市北票市宝锦线凉水河北侧3幢01023，经营范围包括报废机动车拆解：报废机动车回收：道路货物运输(不含危险货物)一般项目等。</w:t>
            </w:r>
          </w:p>
          <w:p w14:paraId="7BBF6087">
            <w:pPr>
              <w:pStyle w:val="84"/>
              <w:spacing w:line="360" w:lineRule="auto"/>
              <w:ind w:firstLine="480"/>
              <w:rPr>
                <w:rFonts w:hint="default"/>
                <w:color w:val="000000" w:themeColor="text1"/>
                <w:lang w:val="en-US" w:bidi="zh-CN"/>
                <w14:textFill>
                  <w14:solidFill>
                    <w14:schemeClr w14:val="tx1"/>
                  </w14:solidFill>
                </w14:textFill>
              </w:rPr>
            </w:pPr>
            <w:r>
              <w:rPr>
                <w:color w:val="000000" w:themeColor="text1"/>
                <w:lang w:bidi="zh-CN"/>
                <w14:textFill>
                  <w14:solidFill>
                    <w14:schemeClr w14:val="tx1"/>
                  </w14:solidFill>
                </w14:textFill>
              </w:rPr>
              <w:t>北票市发展和改革局于202</w:t>
            </w:r>
            <w:r>
              <w:rPr>
                <w:rFonts w:hint="eastAsia"/>
                <w:color w:val="000000" w:themeColor="text1"/>
                <w:lang w:bidi="zh-CN"/>
                <w14:textFill>
                  <w14:solidFill>
                    <w14:schemeClr w14:val="tx1"/>
                  </w14:solidFill>
                </w14:textFill>
              </w:rPr>
              <w:t>5</w:t>
            </w:r>
            <w:r>
              <w:rPr>
                <w:color w:val="000000" w:themeColor="text1"/>
                <w:lang w:bidi="zh-CN"/>
                <w14:textFill>
                  <w14:solidFill>
                    <w14:schemeClr w14:val="tx1"/>
                  </w14:solidFill>
                </w14:textFill>
              </w:rPr>
              <w:t>年</w:t>
            </w:r>
            <w:r>
              <w:rPr>
                <w:rFonts w:hint="eastAsia"/>
                <w:color w:val="000000" w:themeColor="text1"/>
                <w:lang w:bidi="zh-CN"/>
                <w14:textFill>
                  <w14:solidFill>
                    <w14:schemeClr w14:val="tx1"/>
                  </w14:solidFill>
                </w14:textFill>
              </w:rPr>
              <w:t>3</w:t>
            </w:r>
            <w:r>
              <w:rPr>
                <w:color w:val="000000" w:themeColor="text1"/>
                <w:lang w:bidi="zh-CN"/>
                <w14:textFill>
                  <w14:solidFill>
                    <w14:schemeClr w14:val="tx1"/>
                  </w14:solidFill>
                </w14:textFill>
              </w:rPr>
              <w:t>月</w:t>
            </w:r>
            <w:r>
              <w:rPr>
                <w:rFonts w:hint="eastAsia"/>
                <w:color w:val="000000" w:themeColor="text1"/>
                <w:lang w:bidi="zh-CN"/>
                <w14:textFill>
                  <w14:solidFill>
                    <w14:schemeClr w14:val="tx1"/>
                  </w14:solidFill>
                </w14:textFill>
              </w:rPr>
              <w:t>11</w:t>
            </w:r>
            <w:r>
              <w:rPr>
                <w:color w:val="000000" w:themeColor="text1"/>
                <w:lang w:bidi="zh-CN"/>
                <w14:textFill>
                  <w14:solidFill>
                    <w14:schemeClr w14:val="tx1"/>
                  </w14:solidFill>
                </w14:textFill>
              </w:rPr>
              <w:t>以《北票市邦瑞机械加工及报废机动车拆解项目》</w:t>
            </w:r>
            <w:r>
              <w:rPr>
                <w:rFonts w:hint="eastAsia"/>
                <w:color w:val="000000" w:themeColor="text1"/>
                <w:lang w:bidi="zh-CN"/>
                <w14:textFill>
                  <w14:solidFill>
                    <w14:schemeClr w14:val="tx1"/>
                  </w14:solidFill>
                </w14:textFill>
              </w:rPr>
              <w:t>项目备案证明</w:t>
            </w:r>
            <w:r>
              <w:rPr>
                <w:color w:val="000000" w:themeColor="text1"/>
                <w:lang w:bidi="zh-CN"/>
                <w14:textFill>
                  <w14:solidFill>
                    <w14:schemeClr w14:val="tx1"/>
                  </w14:solidFill>
                </w14:textFill>
              </w:rPr>
              <w:t>（项目编号：</w:t>
            </w:r>
            <w:r>
              <w:t>2503-211381-04-05-245552</w:t>
            </w:r>
            <w:r>
              <w:rPr>
                <w:color w:val="000000" w:themeColor="text1"/>
                <w:lang w:bidi="zh-CN"/>
                <w14:textFill>
                  <w14:solidFill>
                    <w14:schemeClr w14:val="tx1"/>
                  </w14:solidFill>
                </w14:textFill>
              </w:rPr>
              <w:t>）文件对“北票市邦瑞机械加工及报废机动车拆解项”进行立项。</w:t>
            </w:r>
          </w:p>
          <w:p w14:paraId="77E72116">
            <w:pPr>
              <w:pStyle w:val="84"/>
              <w:spacing w:line="360" w:lineRule="auto"/>
              <w:ind w:firstLine="480"/>
              <w:rPr>
                <w:color w:val="FF0000"/>
                <w:highlight w:val="none"/>
                <w:lang w:bidi="zh-CN"/>
              </w:rPr>
            </w:pPr>
            <w:r>
              <w:rPr>
                <w:rFonts w:hint="eastAsia"/>
                <w:color w:val="FF0000"/>
                <w:highlight w:val="none"/>
                <w:lang w:bidi="zh-CN"/>
              </w:rPr>
              <w:t>本项目总投资800万元，</w:t>
            </w:r>
            <w:r>
              <w:rPr>
                <w:rFonts w:hint="eastAsia"/>
                <w:bCs/>
                <w:color w:val="FF0000"/>
                <w:sz w:val="24"/>
                <w:lang w:val="en-US" w:eastAsia="zh-CN"/>
              </w:rPr>
              <w:t>本企业租用面积为45647.75</w:t>
            </w:r>
            <w:r>
              <w:rPr>
                <w:bCs/>
                <w:color w:val="FF0000"/>
                <w:sz w:val="24"/>
              </w:rPr>
              <w:t>m</w:t>
            </w:r>
            <w:r>
              <w:rPr>
                <w:bCs/>
                <w:color w:val="FF0000"/>
                <w:sz w:val="24"/>
                <w:vertAlign w:val="superscript"/>
              </w:rPr>
              <w:t>2</w:t>
            </w:r>
            <w:r>
              <w:rPr>
                <w:bCs/>
                <w:color w:val="FF0000"/>
                <w:sz w:val="24"/>
              </w:rPr>
              <w:t>（</w:t>
            </w:r>
            <w:r>
              <w:rPr>
                <w:rFonts w:hint="eastAsia"/>
                <w:bCs/>
                <w:color w:val="FF0000"/>
                <w:sz w:val="24"/>
                <w:lang w:val="en-US" w:eastAsia="zh-CN"/>
              </w:rPr>
              <w:t>本项目占用16000</w:t>
            </w:r>
            <w:r>
              <w:rPr>
                <w:bCs/>
                <w:color w:val="FF0000"/>
                <w:sz w:val="24"/>
              </w:rPr>
              <w:t>m</w:t>
            </w:r>
            <w:r>
              <w:rPr>
                <w:bCs/>
                <w:color w:val="FF0000"/>
                <w:sz w:val="24"/>
                <w:vertAlign w:val="superscript"/>
              </w:rPr>
              <w:t>2</w:t>
            </w:r>
            <w:r>
              <w:rPr>
                <w:rFonts w:hint="eastAsia"/>
                <w:color w:val="FF0000"/>
                <w:highlight w:val="none"/>
                <w:lang w:val="en-US" w:bidi="zh-CN"/>
              </w:rPr>
              <w:t>建设厂区</w:t>
            </w:r>
            <w:r>
              <w:rPr>
                <w:bCs/>
                <w:color w:val="FF0000"/>
                <w:sz w:val="24"/>
              </w:rPr>
              <w:t>）</w:t>
            </w:r>
            <w:r>
              <w:rPr>
                <w:rFonts w:hint="eastAsia"/>
                <w:color w:val="FF0000"/>
                <w:highlight w:val="none"/>
                <w:lang w:bidi="zh-CN"/>
              </w:rPr>
              <w:t>，</w:t>
            </w:r>
            <w:r>
              <w:rPr>
                <w:rFonts w:hint="eastAsia"/>
                <w:color w:val="FF0000"/>
                <w:highlight w:val="none"/>
                <w:lang w:val="en-US" w:bidi="zh-CN"/>
              </w:rPr>
              <w:t>重新</w:t>
            </w:r>
            <w:r>
              <w:rPr>
                <w:rFonts w:hint="eastAsia"/>
                <w:color w:val="FF0000"/>
                <w:highlight w:val="none"/>
                <w:lang w:bidi="zh-CN"/>
              </w:rPr>
              <w:t>修缮</w:t>
            </w:r>
            <w:r>
              <w:rPr>
                <w:rFonts w:hint="eastAsia"/>
                <w:color w:val="FF0000"/>
                <w:highlight w:val="none"/>
                <w:lang w:val="en-US" w:bidi="zh-CN"/>
              </w:rPr>
              <w:t>建设</w:t>
            </w:r>
            <w:r>
              <w:rPr>
                <w:rFonts w:hint="eastAsia"/>
                <w:color w:val="FF0000"/>
                <w:highlight w:val="none"/>
                <w:lang w:bidi="zh-CN"/>
              </w:rPr>
              <w:t>厂房</w:t>
            </w:r>
            <w:r>
              <w:rPr>
                <w:rFonts w:hint="eastAsia"/>
                <w:color w:val="FF0000"/>
                <w:highlight w:val="none"/>
                <w:lang w:val="en-US" w:bidi="zh-CN"/>
              </w:rPr>
              <w:t>4</w:t>
            </w:r>
            <w:r>
              <w:rPr>
                <w:rFonts w:hint="eastAsia"/>
                <w:color w:val="FF0000"/>
                <w:highlight w:val="none"/>
                <w:lang w:bidi="zh-CN"/>
              </w:rPr>
              <w:t>000平方米，硬化地面1</w:t>
            </w:r>
            <w:r>
              <w:rPr>
                <w:rFonts w:hint="eastAsia"/>
                <w:color w:val="FF0000"/>
                <w:highlight w:val="none"/>
                <w:lang w:val="en-US" w:bidi="zh-CN"/>
              </w:rPr>
              <w:t>6</w:t>
            </w:r>
            <w:r>
              <w:rPr>
                <w:rFonts w:hint="eastAsia"/>
                <w:color w:val="FF0000"/>
                <w:highlight w:val="none"/>
                <w:lang w:bidi="zh-CN"/>
              </w:rPr>
              <w:t>000平方米，购置拆解设备3套，建设生产线一条，进行废旧机动车拆解业务。</w:t>
            </w:r>
          </w:p>
          <w:p w14:paraId="78ED478B">
            <w:pPr>
              <w:adjustRightInd w:val="0"/>
              <w:snapToGrid w:val="0"/>
              <w:spacing w:line="360" w:lineRule="auto"/>
              <w:ind w:firstLine="480" w:firstLineChars="200"/>
              <w:rPr>
                <w:kern w:val="0"/>
                <w:sz w:val="24"/>
              </w:rPr>
            </w:pPr>
            <w:r>
              <w:rPr>
                <w:sz w:val="24"/>
              </w:rPr>
              <w:t>依据《建设项目环境影响评价分类管理目录》（2021年版），项目类别为“三十九、废弃资源综合利用业</w:t>
            </w:r>
            <w:r>
              <w:rPr>
                <w:rFonts w:hint="eastAsia"/>
                <w:sz w:val="24"/>
              </w:rPr>
              <w:t xml:space="preserve"> </w:t>
            </w:r>
            <w:r>
              <w:rPr>
                <w:sz w:val="24"/>
              </w:rPr>
              <w:t>42”中的“85、金属废料和碎屑加工处理</w:t>
            </w:r>
            <w:r>
              <w:rPr>
                <w:rFonts w:hint="eastAsia"/>
                <w:sz w:val="24"/>
              </w:rPr>
              <w:t xml:space="preserve"> </w:t>
            </w:r>
            <w:r>
              <w:rPr>
                <w:sz w:val="24"/>
              </w:rPr>
              <w:t>421”</w:t>
            </w:r>
            <w:r>
              <w:rPr>
                <w:rFonts w:hint="eastAsia"/>
                <w:sz w:val="24"/>
              </w:rPr>
              <w:t>，本项目为报废机动车拆解项目</w:t>
            </w:r>
            <w:r>
              <w:rPr>
                <w:sz w:val="24"/>
              </w:rPr>
              <w:t>，故本项目应编制报告表</w:t>
            </w:r>
            <w:r>
              <w:rPr>
                <w:kern w:val="0"/>
                <w:sz w:val="24"/>
              </w:rPr>
              <w:t>。</w:t>
            </w:r>
          </w:p>
          <w:p w14:paraId="41DE97C2">
            <w:pPr>
              <w:tabs>
                <w:tab w:val="left" w:pos="1668"/>
              </w:tabs>
              <w:adjustRightInd w:val="0"/>
              <w:snapToGrid w:val="0"/>
              <w:spacing w:line="360" w:lineRule="auto"/>
              <w:jc w:val="left"/>
              <w:rPr>
                <w:b/>
                <w:color w:val="000000" w:themeColor="text1"/>
                <w:sz w:val="24"/>
                <w14:textFill>
                  <w14:solidFill>
                    <w14:schemeClr w14:val="tx1"/>
                  </w14:solidFill>
                </w14:textFill>
              </w:rPr>
            </w:pPr>
            <w:r>
              <w:rPr>
                <w:rFonts w:hint="eastAsia"/>
                <w:b/>
                <w:color w:val="000000" w:themeColor="text1"/>
                <w:sz w:val="24"/>
                <w14:textFill>
                  <w14:solidFill>
                    <w14:schemeClr w14:val="tx1"/>
                  </w14:solidFill>
                </w14:textFill>
              </w:rPr>
              <w:t>2.项目组成</w:t>
            </w:r>
          </w:p>
          <w:p w14:paraId="1370B57C">
            <w:pPr>
              <w:tabs>
                <w:tab w:val="left" w:pos="1668"/>
              </w:tabs>
              <w:adjustRightInd w:val="0"/>
              <w:snapToGrid w:val="0"/>
              <w:spacing w:line="360" w:lineRule="auto"/>
              <w:ind w:firstLine="480" w:firstLineChars="200"/>
              <w:jc w:val="left"/>
              <w:rPr>
                <w:b/>
                <w:color w:val="000000" w:themeColor="text1"/>
                <w:szCs w:val="21"/>
                <w14:textFill>
                  <w14:solidFill>
                    <w14:schemeClr w14:val="tx1"/>
                  </w14:solidFill>
                </w14:textFill>
              </w:rPr>
            </w:pPr>
            <w:r>
              <w:rPr>
                <w:rFonts w:hint="eastAsia"/>
                <w:bCs/>
                <w:color w:val="000000" w:themeColor="text1"/>
                <w:sz w:val="24"/>
                <w14:textFill>
                  <w14:solidFill>
                    <w14:schemeClr w14:val="tx1"/>
                  </w14:solidFill>
                </w14:textFill>
              </w:rPr>
              <w:t>项目工程类别主要包括主体工程、储运工程、辅助工程、公用工程和环保工程。本项目组成一览表详见下表，具体建设内容及规模见表2-1。</w:t>
            </w:r>
          </w:p>
          <w:p w14:paraId="65EF1EE0">
            <w:pPr>
              <w:tabs>
                <w:tab w:val="left" w:pos="1668"/>
              </w:tabs>
              <w:adjustRightInd w:val="0"/>
              <w:snapToGrid w:val="0"/>
              <w:jc w:val="center"/>
              <w:rPr>
                <w:b/>
                <w:color w:val="FF0000"/>
                <w:szCs w:val="21"/>
              </w:rPr>
            </w:pPr>
            <w:r>
              <w:rPr>
                <w:b/>
                <w:color w:val="FF0000"/>
                <w:szCs w:val="21"/>
              </w:rPr>
              <w:t>表2-1</w:t>
            </w:r>
            <w:r>
              <w:rPr>
                <w:rFonts w:hint="eastAsia"/>
                <w:b/>
                <w:color w:val="FF0000"/>
                <w:szCs w:val="21"/>
              </w:rPr>
              <w:t xml:space="preserve">    </w:t>
            </w:r>
            <w:r>
              <w:rPr>
                <w:b/>
                <w:color w:val="FF0000"/>
                <w:szCs w:val="21"/>
              </w:rPr>
              <w:t>建设内容及规模一览表</w:t>
            </w:r>
          </w:p>
          <w:tbl>
            <w:tblPr>
              <w:tblStyle w:val="34"/>
              <w:tblW w:w="4982" w:type="pct"/>
              <w:tblInd w:w="0" w:type="dxa"/>
              <w:tblBorders>
                <w:top w:val="double" w:color="auto" w:sz="4" w:space="0"/>
                <w:left w:val="none" w:color="auto" w:sz="0" w:space="0"/>
                <w:bottom w:val="double" w:color="auto" w:sz="4"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
            <w:tblGrid>
              <w:gridCol w:w="698"/>
              <w:gridCol w:w="605"/>
              <w:gridCol w:w="825"/>
              <w:gridCol w:w="5543"/>
              <w:gridCol w:w="751"/>
            </w:tblGrid>
            <w:tr w14:paraId="189FC25B">
              <w:tblPrEx>
                <w:tblBorders>
                  <w:top w:val="double" w:color="auto" w:sz="4" w:space="0"/>
                  <w:left w:val="none" w:color="auto" w:sz="0" w:space="0"/>
                  <w:bottom w:val="double" w:color="auto"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633" w:hRule="atLeast"/>
              </w:trPr>
              <w:tc>
                <w:tcPr>
                  <w:tcW w:w="414" w:type="pct"/>
                  <w:vAlign w:val="center"/>
                </w:tcPr>
                <w:p w14:paraId="2180667F">
                  <w:pPr>
                    <w:pStyle w:val="117"/>
                    <w:adjustRightInd w:val="0"/>
                    <w:snapToGrid w:val="0"/>
                    <w:spacing w:line="400" w:lineRule="exact"/>
                    <w:rPr>
                      <w:b/>
                      <w:bCs/>
                      <w:color w:val="FF0000"/>
                      <w:szCs w:val="21"/>
                    </w:rPr>
                  </w:pPr>
                  <w:r>
                    <w:rPr>
                      <w:b/>
                      <w:bCs/>
                      <w:color w:val="FF0000"/>
                      <w:szCs w:val="21"/>
                    </w:rPr>
                    <w:t>工程</w:t>
                  </w:r>
                </w:p>
                <w:p w14:paraId="55E8D7EC">
                  <w:pPr>
                    <w:pStyle w:val="117"/>
                    <w:adjustRightInd w:val="0"/>
                    <w:snapToGrid w:val="0"/>
                    <w:spacing w:line="400" w:lineRule="exact"/>
                    <w:rPr>
                      <w:b/>
                      <w:bCs/>
                      <w:color w:val="FF0000"/>
                      <w:szCs w:val="21"/>
                    </w:rPr>
                  </w:pPr>
                  <w:r>
                    <w:rPr>
                      <w:b/>
                      <w:bCs/>
                      <w:color w:val="FF0000"/>
                      <w:szCs w:val="21"/>
                    </w:rPr>
                    <w:t>类别</w:t>
                  </w:r>
                </w:p>
              </w:tc>
              <w:tc>
                <w:tcPr>
                  <w:tcW w:w="848" w:type="pct"/>
                  <w:gridSpan w:val="2"/>
                  <w:vAlign w:val="center"/>
                </w:tcPr>
                <w:p w14:paraId="60B06501">
                  <w:pPr>
                    <w:pStyle w:val="117"/>
                    <w:adjustRightInd w:val="0"/>
                    <w:snapToGrid w:val="0"/>
                    <w:spacing w:line="400" w:lineRule="exact"/>
                    <w:rPr>
                      <w:b/>
                      <w:bCs/>
                      <w:color w:val="FF0000"/>
                      <w:szCs w:val="21"/>
                    </w:rPr>
                  </w:pPr>
                  <w:r>
                    <w:rPr>
                      <w:b/>
                      <w:bCs/>
                      <w:color w:val="FF0000"/>
                      <w:szCs w:val="21"/>
                    </w:rPr>
                    <w:t>项目名称</w:t>
                  </w:r>
                </w:p>
              </w:tc>
              <w:tc>
                <w:tcPr>
                  <w:tcW w:w="3290" w:type="pct"/>
                  <w:vAlign w:val="center"/>
                </w:tcPr>
                <w:p w14:paraId="6A1FC342">
                  <w:pPr>
                    <w:pStyle w:val="117"/>
                    <w:adjustRightInd w:val="0"/>
                    <w:snapToGrid w:val="0"/>
                    <w:spacing w:line="400" w:lineRule="exact"/>
                    <w:rPr>
                      <w:b/>
                      <w:bCs/>
                      <w:color w:val="FF0000"/>
                      <w:szCs w:val="21"/>
                    </w:rPr>
                  </w:pPr>
                  <w:r>
                    <w:rPr>
                      <w:b/>
                      <w:bCs/>
                      <w:color w:val="FF0000"/>
                      <w:szCs w:val="21"/>
                    </w:rPr>
                    <w:t>建设内容及规模</w:t>
                  </w:r>
                </w:p>
              </w:tc>
              <w:tc>
                <w:tcPr>
                  <w:tcW w:w="445" w:type="pct"/>
                  <w:vAlign w:val="center"/>
                </w:tcPr>
                <w:p w14:paraId="5F92AA65">
                  <w:pPr>
                    <w:pStyle w:val="117"/>
                    <w:adjustRightInd w:val="0"/>
                    <w:snapToGrid w:val="0"/>
                    <w:spacing w:line="400" w:lineRule="exact"/>
                    <w:rPr>
                      <w:b/>
                      <w:bCs/>
                      <w:color w:val="FF0000"/>
                      <w:szCs w:val="21"/>
                    </w:rPr>
                  </w:pPr>
                  <w:r>
                    <w:rPr>
                      <w:b/>
                      <w:bCs/>
                      <w:color w:val="FF0000"/>
                      <w:szCs w:val="21"/>
                    </w:rPr>
                    <w:t>备注</w:t>
                  </w:r>
                </w:p>
              </w:tc>
            </w:tr>
            <w:tr w14:paraId="0FE0D955">
              <w:tblPrEx>
                <w:tblBorders>
                  <w:top w:val="double" w:color="auto" w:sz="4" w:space="0"/>
                  <w:left w:val="none" w:color="auto" w:sz="0" w:space="0"/>
                  <w:bottom w:val="double" w:color="auto"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287" w:hRule="atLeast"/>
              </w:trPr>
              <w:tc>
                <w:tcPr>
                  <w:tcW w:w="414" w:type="pct"/>
                  <w:vMerge w:val="restart"/>
                  <w:vAlign w:val="center"/>
                </w:tcPr>
                <w:p w14:paraId="43EFD27C">
                  <w:pPr>
                    <w:pStyle w:val="117"/>
                    <w:adjustRightInd w:val="0"/>
                    <w:snapToGrid w:val="0"/>
                    <w:spacing w:line="400" w:lineRule="exact"/>
                    <w:rPr>
                      <w:color w:val="FF0000"/>
                      <w:szCs w:val="21"/>
                    </w:rPr>
                  </w:pPr>
                  <w:r>
                    <w:rPr>
                      <w:color w:val="FF0000"/>
                      <w:szCs w:val="21"/>
                    </w:rPr>
                    <w:t>主体</w:t>
                  </w:r>
                </w:p>
                <w:p w14:paraId="626AA614">
                  <w:pPr>
                    <w:pStyle w:val="117"/>
                    <w:adjustRightInd w:val="0"/>
                    <w:snapToGrid w:val="0"/>
                    <w:spacing w:line="400" w:lineRule="exact"/>
                    <w:rPr>
                      <w:color w:val="FF0000"/>
                      <w:szCs w:val="21"/>
                    </w:rPr>
                  </w:pPr>
                  <w:r>
                    <w:rPr>
                      <w:color w:val="FF0000"/>
                      <w:szCs w:val="21"/>
                    </w:rPr>
                    <w:t>工程</w:t>
                  </w:r>
                </w:p>
              </w:tc>
              <w:tc>
                <w:tcPr>
                  <w:tcW w:w="848" w:type="pct"/>
                  <w:gridSpan w:val="2"/>
                  <w:vMerge w:val="restart"/>
                  <w:vAlign w:val="center"/>
                </w:tcPr>
                <w:p w14:paraId="30722E99">
                  <w:pPr>
                    <w:pStyle w:val="86"/>
                    <w:adjustRightInd w:val="0"/>
                    <w:snapToGrid w:val="0"/>
                    <w:spacing w:line="400" w:lineRule="exact"/>
                    <w:rPr>
                      <w:rFonts w:eastAsia="宋体"/>
                      <w:color w:val="FF0000"/>
                    </w:rPr>
                  </w:pPr>
                  <w:r>
                    <w:rPr>
                      <w:rFonts w:hint="eastAsia" w:eastAsia="宋体"/>
                      <w:color w:val="FF0000"/>
                    </w:rPr>
                    <w:t>拆解车间</w:t>
                  </w:r>
                </w:p>
              </w:tc>
              <w:tc>
                <w:tcPr>
                  <w:tcW w:w="3290" w:type="pct"/>
                  <w:vAlign w:val="center"/>
                </w:tcPr>
                <w:p w14:paraId="27727B8D">
                  <w:pPr>
                    <w:adjustRightInd w:val="0"/>
                    <w:snapToGrid w:val="0"/>
                    <w:spacing w:line="400" w:lineRule="exact"/>
                    <w:jc w:val="left"/>
                    <w:rPr>
                      <w:color w:val="FF0000"/>
                      <w:szCs w:val="21"/>
                    </w:rPr>
                  </w:pPr>
                  <w:r>
                    <w:rPr>
                      <w:rFonts w:hint="eastAsia"/>
                      <w:color w:val="FF0000"/>
                      <w:szCs w:val="21"/>
                    </w:rPr>
                    <w:t>1座，1层，面积</w:t>
                  </w:r>
                  <w:r>
                    <w:rPr>
                      <w:rFonts w:hint="eastAsia"/>
                      <w:color w:val="FF0000"/>
                      <w:szCs w:val="21"/>
                      <w:lang w:val="en-US" w:eastAsia="zh-CN"/>
                    </w:rPr>
                    <w:t>4000</w:t>
                  </w:r>
                  <w:r>
                    <w:rPr>
                      <w:rFonts w:hint="eastAsia"/>
                      <w:color w:val="FF0000"/>
                      <w:szCs w:val="21"/>
                    </w:rPr>
                    <w:t>平方米，位于厂区西侧，该车间内设：</w:t>
                  </w:r>
                </w:p>
                <w:p w14:paraId="6766D1F4">
                  <w:pPr>
                    <w:adjustRightInd w:val="0"/>
                    <w:snapToGrid w:val="0"/>
                    <w:spacing w:line="400" w:lineRule="exact"/>
                    <w:jc w:val="left"/>
                    <w:rPr>
                      <w:rFonts w:hint="default"/>
                      <w:color w:val="FF0000"/>
                      <w:szCs w:val="21"/>
                      <w:lang w:val="en-US" w:eastAsia="zh-CN"/>
                    </w:rPr>
                  </w:pPr>
                  <w:r>
                    <w:rPr>
                      <w:rFonts w:hint="eastAsia"/>
                      <w:color w:val="FF0000"/>
                      <w:szCs w:val="21"/>
                      <w:lang w:val="en-US" w:eastAsia="zh-CN"/>
                    </w:rPr>
                    <w:t>①</w:t>
                  </w:r>
                  <w:r>
                    <w:rPr>
                      <w:rFonts w:hint="eastAsia"/>
                      <w:color w:val="FF0000"/>
                      <w:szCs w:val="21"/>
                    </w:rPr>
                    <w:t>动力蓄电池拆卸区</w:t>
                  </w:r>
                  <w:r>
                    <w:rPr>
                      <w:rFonts w:hint="eastAsia"/>
                      <w:color w:val="FF0000"/>
                      <w:szCs w:val="21"/>
                      <w:lang w:eastAsia="zh-CN"/>
                    </w:rPr>
                    <w:t>：</w:t>
                  </w:r>
                  <w:r>
                    <w:rPr>
                      <w:rFonts w:hint="eastAsia"/>
                      <w:color w:val="FF0000"/>
                      <w:szCs w:val="21"/>
                      <w:lang w:val="en-US" w:eastAsia="zh-CN"/>
                    </w:rPr>
                    <w:t>面积120</w:t>
                  </w:r>
                  <w:r>
                    <w:rPr>
                      <w:rFonts w:hint="eastAsia"/>
                      <w:color w:val="FF0000"/>
                      <w:szCs w:val="21"/>
                    </w:rPr>
                    <w:t>平方米</w:t>
                  </w:r>
                  <w:r>
                    <w:rPr>
                      <w:rFonts w:hint="eastAsia"/>
                      <w:color w:val="FF0000"/>
                      <w:szCs w:val="21"/>
                      <w:lang w:eastAsia="zh-CN"/>
                    </w:rPr>
                    <w:t>，绝缘防静电处理：地面需采用环氧地坪并做绝缘处理（电阻≥10MΩ），墙面1.2m以下贴绝缘板。专用设备：配备绝缘吊具、机械手、防静电抽排设备及电解液紧急收集装置（防漏托盘+导流槽）。安全防护：设高压警示标识、烟雾报警器、防爆照明，通风次数≥6次/小时；</w:t>
                  </w:r>
                </w:p>
              </w:tc>
              <w:tc>
                <w:tcPr>
                  <w:tcW w:w="445" w:type="pct"/>
                  <w:vMerge w:val="restart"/>
                  <w:vAlign w:val="center"/>
                </w:tcPr>
                <w:p w14:paraId="430E1FA5">
                  <w:pPr>
                    <w:adjustRightInd w:val="0"/>
                    <w:snapToGrid w:val="0"/>
                    <w:spacing w:line="400" w:lineRule="exact"/>
                    <w:jc w:val="center"/>
                    <w:rPr>
                      <w:rFonts w:hint="default" w:eastAsia="宋体"/>
                      <w:color w:val="FF0000"/>
                      <w:szCs w:val="21"/>
                      <w:lang w:val="en-US" w:eastAsia="zh-CN"/>
                    </w:rPr>
                  </w:pPr>
                  <w:r>
                    <w:rPr>
                      <w:rFonts w:hint="eastAsia"/>
                      <w:color w:val="FF0000"/>
                      <w:szCs w:val="21"/>
                      <w:lang w:val="en-US" w:eastAsia="zh-CN"/>
                    </w:rPr>
                    <w:t>保留原有厂房框架，内部根据生产工艺全面翻新改造</w:t>
                  </w:r>
                </w:p>
              </w:tc>
            </w:tr>
            <w:tr w14:paraId="70D2BB20">
              <w:tblPrEx>
                <w:tblBorders>
                  <w:top w:val="double" w:color="auto" w:sz="4" w:space="0"/>
                  <w:left w:val="none" w:color="auto" w:sz="0" w:space="0"/>
                  <w:bottom w:val="double" w:color="auto"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287" w:hRule="atLeast"/>
              </w:trPr>
              <w:tc>
                <w:tcPr>
                  <w:tcW w:w="414" w:type="pct"/>
                  <w:vMerge w:val="continue"/>
                  <w:vAlign w:val="center"/>
                </w:tcPr>
                <w:p w14:paraId="536D5C6C">
                  <w:pPr>
                    <w:adjustRightInd w:val="0"/>
                    <w:snapToGrid w:val="0"/>
                    <w:spacing w:line="400" w:lineRule="exact"/>
                    <w:jc w:val="left"/>
                  </w:pPr>
                </w:p>
              </w:tc>
              <w:tc>
                <w:tcPr>
                  <w:tcW w:w="848" w:type="pct"/>
                  <w:gridSpan w:val="2"/>
                  <w:vMerge w:val="continue"/>
                  <w:vAlign w:val="center"/>
                </w:tcPr>
                <w:p w14:paraId="0B79DF4F">
                  <w:pPr>
                    <w:adjustRightInd w:val="0"/>
                    <w:snapToGrid w:val="0"/>
                    <w:spacing w:line="400" w:lineRule="exact"/>
                    <w:jc w:val="left"/>
                  </w:pPr>
                </w:p>
              </w:tc>
              <w:tc>
                <w:tcPr>
                  <w:tcW w:w="3290" w:type="pct"/>
                  <w:vAlign w:val="center"/>
                </w:tcPr>
                <w:p w14:paraId="00EE0D27">
                  <w:pPr>
                    <w:adjustRightInd w:val="0"/>
                    <w:snapToGrid w:val="0"/>
                    <w:spacing w:line="400" w:lineRule="exact"/>
                    <w:jc w:val="left"/>
                    <w:rPr>
                      <w:rFonts w:hint="eastAsia"/>
                      <w:color w:val="FF0000"/>
                      <w:szCs w:val="21"/>
                      <w:highlight w:val="none"/>
                      <w:lang w:eastAsia="zh-CN"/>
                    </w:rPr>
                  </w:pPr>
                  <w:r>
                    <w:rPr>
                      <w:rFonts w:hint="eastAsia"/>
                      <w:color w:val="FF0000"/>
                      <w:szCs w:val="21"/>
                      <w:highlight w:val="none"/>
                      <w:lang w:val="en-US" w:eastAsia="zh-CN"/>
                    </w:rPr>
                    <w:t>②</w:t>
                  </w:r>
                  <w:r>
                    <w:rPr>
                      <w:rFonts w:hint="eastAsia"/>
                      <w:color w:val="FF0000"/>
                      <w:szCs w:val="21"/>
                      <w:highlight w:val="none"/>
                    </w:rPr>
                    <w:t>铅蓄电池拆卸区</w:t>
                  </w:r>
                  <w:r>
                    <w:rPr>
                      <w:rFonts w:hint="eastAsia"/>
                      <w:color w:val="FF0000"/>
                      <w:szCs w:val="21"/>
                      <w:highlight w:val="none"/>
                      <w:lang w:eastAsia="zh-CN"/>
                    </w:rPr>
                    <w:t>：</w:t>
                  </w:r>
                  <w:r>
                    <w:rPr>
                      <w:rFonts w:hint="eastAsia"/>
                      <w:color w:val="FF0000"/>
                      <w:szCs w:val="21"/>
                      <w:highlight w:val="none"/>
                      <w:lang w:val="en-US" w:eastAsia="zh-CN"/>
                    </w:rPr>
                    <w:t>面积80</w:t>
                  </w:r>
                  <w:r>
                    <w:rPr>
                      <w:rFonts w:hint="eastAsia"/>
                      <w:color w:val="FF0000"/>
                      <w:szCs w:val="21"/>
                      <w:highlight w:val="none"/>
                    </w:rPr>
                    <w:t>平方米</w:t>
                  </w:r>
                  <w:r>
                    <w:rPr>
                      <w:rFonts w:hint="eastAsia"/>
                      <w:color w:val="FF0000"/>
                      <w:szCs w:val="21"/>
                      <w:highlight w:val="none"/>
                      <w:lang w:eastAsia="zh-CN"/>
                    </w:rPr>
                    <w:t>，防腐防渗：地面耐酸防腐（如PVC卷材），坡度≥2%引流至废液收集井。独立通风：配备酸雾净化装置，废气排放符合GB 1629739。</w:t>
                  </w:r>
                </w:p>
                <w:p w14:paraId="4C54E3C1">
                  <w:pPr>
                    <w:adjustRightInd w:val="0"/>
                    <w:snapToGrid w:val="0"/>
                    <w:spacing w:line="400" w:lineRule="exact"/>
                    <w:jc w:val="left"/>
                    <w:rPr>
                      <w:rFonts w:hint="eastAsia"/>
                      <w:color w:val="FF0000"/>
                      <w:szCs w:val="21"/>
                      <w:highlight w:val="none"/>
                      <w:lang w:val="en-US" w:eastAsia="zh-CN"/>
                    </w:rPr>
                  </w:pPr>
                  <w:r>
                    <w:rPr>
                      <w:rFonts w:hint="eastAsia"/>
                      <w:color w:val="FF0000"/>
                      <w:szCs w:val="21"/>
                      <w:highlight w:val="none"/>
                      <w:lang w:eastAsia="zh-CN"/>
                    </w:rPr>
                    <w:t>专用容器：设置防渗漏托盘和耐酸密闭容器贮存废电解液</w:t>
                  </w:r>
                </w:p>
              </w:tc>
              <w:tc>
                <w:tcPr>
                  <w:tcW w:w="445" w:type="pct"/>
                  <w:vMerge w:val="continue"/>
                  <w:vAlign w:val="center"/>
                </w:tcPr>
                <w:p w14:paraId="163C1091">
                  <w:pPr>
                    <w:adjustRightInd w:val="0"/>
                    <w:snapToGrid w:val="0"/>
                    <w:spacing w:line="400" w:lineRule="exact"/>
                    <w:jc w:val="left"/>
                    <w:rPr>
                      <w:rFonts w:hint="eastAsia"/>
                      <w:color w:val="FF0000"/>
                      <w:szCs w:val="21"/>
                      <w:lang w:val="en-US" w:eastAsia="zh-CN"/>
                    </w:rPr>
                  </w:pPr>
                </w:p>
              </w:tc>
            </w:tr>
            <w:tr w14:paraId="23F0E055">
              <w:tblPrEx>
                <w:tblBorders>
                  <w:top w:val="double" w:color="auto" w:sz="4" w:space="0"/>
                  <w:left w:val="none" w:color="auto" w:sz="0" w:space="0"/>
                  <w:bottom w:val="double" w:color="auto"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287" w:hRule="atLeast"/>
              </w:trPr>
              <w:tc>
                <w:tcPr>
                  <w:tcW w:w="414" w:type="pct"/>
                  <w:vMerge w:val="continue"/>
                  <w:vAlign w:val="center"/>
                </w:tcPr>
                <w:p w14:paraId="453FA7AB">
                  <w:pPr>
                    <w:adjustRightInd w:val="0"/>
                    <w:snapToGrid w:val="0"/>
                    <w:spacing w:line="400" w:lineRule="exact"/>
                    <w:jc w:val="left"/>
                    <w:rPr>
                      <w:rFonts w:hint="eastAsia"/>
                      <w:color w:val="FF0000"/>
                      <w:szCs w:val="21"/>
                      <w:lang w:val="en-US" w:eastAsia="zh-CN"/>
                    </w:rPr>
                  </w:pPr>
                </w:p>
              </w:tc>
              <w:tc>
                <w:tcPr>
                  <w:tcW w:w="848" w:type="pct"/>
                  <w:gridSpan w:val="2"/>
                  <w:vMerge w:val="continue"/>
                  <w:vAlign w:val="center"/>
                </w:tcPr>
                <w:p w14:paraId="4D71734E">
                  <w:pPr>
                    <w:adjustRightInd w:val="0"/>
                    <w:snapToGrid w:val="0"/>
                    <w:spacing w:line="400" w:lineRule="exact"/>
                    <w:jc w:val="left"/>
                    <w:rPr>
                      <w:rFonts w:hint="eastAsia"/>
                      <w:color w:val="FF0000"/>
                      <w:szCs w:val="21"/>
                      <w:lang w:val="en-US" w:eastAsia="zh-CN"/>
                    </w:rPr>
                  </w:pPr>
                </w:p>
              </w:tc>
              <w:tc>
                <w:tcPr>
                  <w:tcW w:w="3290" w:type="pct"/>
                  <w:vAlign w:val="center"/>
                </w:tcPr>
                <w:p w14:paraId="6442F015">
                  <w:pPr>
                    <w:adjustRightInd w:val="0"/>
                    <w:snapToGrid w:val="0"/>
                    <w:spacing w:line="400" w:lineRule="exact"/>
                    <w:jc w:val="left"/>
                    <w:rPr>
                      <w:rFonts w:hint="eastAsia"/>
                      <w:color w:val="FF0000"/>
                      <w:szCs w:val="21"/>
                      <w:highlight w:val="none"/>
                      <w:lang w:val="en-US" w:eastAsia="zh-CN"/>
                    </w:rPr>
                  </w:pPr>
                  <w:r>
                    <w:rPr>
                      <w:rFonts w:hint="eastAsia"/>
                      <w:color w:val="FF0000"/>
                      <w:szCs w:val="21"/>
                      <w:highlight w:val="none"/>
                      <w:lang w:val="en-US" w:eastAsia="zh-CN"/>
                    </w:rPr>
                    <w:t>③</w:t>
                  </w:r>
                  <w:r>
                    <w:rPr>
                      <w:rFonts w:hint="eastAsia"/>
                      <w:color w:val="FF0000"/>
                      <w:szCs w:val="21"/>
                      <w:highlight w:val="none"/>
                    </w:rPr>
                    <w:t>电池分类贮存区</w:t>
                  </w:r>
                  <w:r>
                    <w:rPr>
                      <w:rFonts w:hint="eastAsia"/>
                      <w:color w:val="FF0000"/>
                      <w:szCs w:val="21"/>
                      <w:highlight w:val="none"/>
                      <w:lang w:eastAsia="zh-CN"/>
                    </w:rPr>
                    <w:t>：</w:t>
                  </w:r>
                  <w:r>
                    <w:rPr>
                      <w:rFonts w:hint="eastAsia"/>
                      <w:color w:val="FF0000"/>
                      <w:szCs w:val="21"/>
                      <w:highlight w:val="none"/>
                      <w:lang w:val="en-US" w:eastAsia="zh-CN"/>
                    </w:rPr>
                    <w:t>合计面积300</w:t>
                  </w:r>
                  <w:r>
                    <w:rPr>
                      <w:rFonts w:hint="eastAsia"/>
                      <w:color w:val="FF0000"/>
                      <w:szCs w:val="21"/>
                      <w:highlight w:val="none"/>
                    </w:rPr>
                    <w:t>平方米</w:t>
                  </w:r>
                  <w:r>
                    <w:rPr>
                      <w:rFonts w:hint="eastAsia"/>
                      <w:color w:val="FF0000"/>
                      <w:szCs w:val="21"/>
                      <w:highlight w:val="none"/>
                      <w:lang w:eastAsia="zh-CN"/>
                    </w:rPr>
                    <w:t>，</w:t>
                  </w:r>
                  <w:r>
                    <w:rPr>
                      <w:rFonts w:hint="eastAsia"/>
                      <w:color w:val="FF0000"/>
                      <w:szCs w:val="21"/>
                      <w:highlight w:val="none"/>
                      <w:lang w:val="en-US" w:eastAsia="zh-CN"/>
                    </w:rPr>
                    <w:t>本项目动力电池拆解区附近设置动力电池贮存间，面积100</w:t>
                  </w:r>
                  <w:r>
                    <w:rPr>
                      <w:rFonts w:hint="eastAsia"/>
                      <w:color w:val="FF0000"/>
                      <w:szCs w:val="21"/>
                      <w:highlight w:val="none"/>
                      <w:lang w:eastAsia="zh-CN"/>
                    </w:rPr>
                    <w:t>m</w:t>
                  </w:r>
                  <w:r>
                    <w:rPr>
                      <w:rFonts w:hint="eastAsia"/>
                      <w:color w:val="FF0000"/>
                      <w:szCs w:val="21"/>
                      <w:highlight w:val="none"/>
                      <w:vertAlign w:val="superscript"/>
                      <w:lang w:eastAsia="zh-CN"/>
                    </w:rPr>
                    <w:t>2</w:t>
                  </w:r>
                  <w:r>
                    <w:rPr>
                      <w:rFonts w:hint="eastAsia"/>
                      <w:color w:val="FF0000"/>
                      <w:szCs w:val="21"/>
                      <w:highlight w:val="none"/>
                      <w:lang w:val="en-US" w:eastAsia="zh-CN"/>
                    </w:rPr>
                    <w:t>，</w:t>
                  </w:r>
                  <w:r>
                    <w:rPr>
                      <w:rFonts w:hint="eastAsia"/>
                      <w:color w:val="FF0000"/>
                      <w:szCs w:val="21"/>
                      <w:highlight w:val="none"/>
                      <w:lang w:eastAsia="zh-CN"/>
                    </w:rPr>
                    <w:t>设计贮存量为</w:t>
                  </w:r>
                  <w:r>
                    <w:rPr>
                      <w:rFonts w:hint="eastAsia"/>
                      <w:color w:val="FF0000"/>
                      <w:szCs w:val="21"/>
                      <w:highlight w:val="none"/>
                      <w:lang w:val="en-US" w:eastAsia="zh-CN"/>
                    </w:rPr>
                    <w:t>100</w:t>
                  </w:r>
                  <w:r>
                    <w:rPr>
                      <w:rFonts w:hint="eastAsia"/>
                      <w:color w:val="FF0000"/>
                      <w:szCs w:val="21"/>
                      <w:highlight w:val="none"/>
                      <w:lang w:eastAsia="zh-CN"/>
                    </w:rPr>
                    <w:t>吨，</w:t>
                  </w:r>
                  <w:r>
                    <w:rPr>
                      <w:rFonts w:hint="eastAsia"/>
                      <w:color w:val="FF0000"/>
                      <w:szCs w:val="21"/>
                      <w:highlight w:val="none"/>
                      <w:lang w:val="en-US" w:eastAsia="zh-CN"/>
                    </w:rPr>
                    <w:t>内设</w:t>
                  </w:r>
                  <w:r>
                    <w:rPr>
                      <w:rFonts w:hint="eastAsia"/>
                      <w:color w:val="FF0000"/>
                      <w:szCs w:val="21"/>
                      <w:highlight w:val="none"/>
                      <w:lang w:eastAsia="zh-CN"/>
                    </w:rPr>
                    <w:t>耐酸货架，间距≥5m。</w:t>
                  </w:r>
                  <w:r>
                    <w:rPr>
                      <w:rFonts w:hint="eastAsia"/>
                      <w:color w:val="FF0000"/>
                      <w:szCs w:val="21"/>
                      <w:highlight w:val="none"/>
                      <w:lang w:val="en-US" w:eastAsia="zh-CN"/>
                    </w:rPr>
                    <w:t>动力电池地面与绝缘绝缘处理：地面采用环氧地坪并做绝缘涂层（电阻值≥10⁹Ω），防漏电风险。防渗防腐：同铅酸电池要求（耐腐蚀材料+导流沟+收集池）。防火与防爆自动消防系统：安装七氟丙烷自动灭火装置或全氟己酮系统（禁止用水灭火）。配置温度/烟雾报警器（联动消防系统）。防爆电器：所有电气设备符合防爆标准（如Ex d IIB T4）。泄压设计：墙体或屋顶设泄压口。分区与贮存漏电/漏液电池隔离：设独立防爆柜或隔离区，贴“绝缘失效”警示标签。货架要求：多层存放时，使用绝缘承重货架（非金属材质）。层高≥电池高度20%，便于存取和散热。温湿度控制：温度15-25℃，湿度≤60%（空调+除湿机），安全防护防静电措施：入口设静电消除球，工作人员穿防静电服/鞋。绝缘工具：配备绝缘吊具、卡钳等专用设备。</w:t>
                  </w:r>
                </w:p>
                <w:p w14:paraId="65451B32">
                  <w:pPr>
                    <w:adjustRightInd w:val="0"/>
                    <w:snapToGrid w:val="0"/>
                    <w:spacing w:line="400" w:lineRule="exact"/>
                    <w:jc w:val="left"/>
                    <w:rPr>
                      <w:rFonts w:hint="eastAsia"/>
                      <w:color w:val="FF0000"/>
                      <w:szCs w:val="21"/>
                      <w:highlight w:val="none"/>
                      <w:lang w:val="en-US" w:eastAsia="zh-CN"/>
                    </w:rPr>
                  </w:pPr>
                  <w:r>
                    <w:rPr>
                      <w:rFonts w:hint="eastAsia"/>
                      <w:color w:val="FF0000"/>
                      <w:szCs w:val="21"/>
                      <w:highlight w:val="none"/>
                      <w:lang w:val="en-US" w:eastAsia="zh-CN"/>
                    </w:rPr>
                    <w:t>本项目铅酸蓄电池拆解区附近设置铅酸蓄电池贮存间，面积200</w:t>
                  </w:r>
                  <w:r>
                    <w:rPr>
                      <w:rFonts w:hint="eastAsia"/>
                      <w:color w:val="FF0000"/>
                      <w:szCs w:val="21"/>
                      <w:highlight w:val="none"/>
                      <w:lang w:eastAsia="zh-CN"/>
                    </w:rPr>
                    <w:t>m</w:t>
                  </w:r>
                  <w:r>
                    <w:rPr>
                      <w:rFonts w:hint="eastAsia"/>
                      <w:color w:val="FF0000"/>
                      <w:szCs w:val="21"/>
                      <w:highlight w:val="none"/>
                      <w:vertAlign w:val="superscript"/>
                      <w:lang w:eastAsia="zh-CN"/>
                    </w:rPr>
                    <w:t>2</w:t>
                  </w:r>
                  <w:r>
                    <w:rPr>
                      <w:rFonts w:hint="eastAsia"/>
                      <w:color w:val="FF0000"/>
                      <w:szCs w:val="21"/>
                      <w:highlight w:val="none"/>
                      <w:lang w:val="en-US" w:eastAsia="zh-CN"/>
                    </w:rPr>
                    <w:t>，</w:t>
                  </w:r>
                  <w:r>
                    <w:rPr>
                      <w:rFonts w:hint="eastAsia"/>
                      <w:color w:val="FF0000"/>
                      <w:szCs w:val="21"/>
                      <w:highlight w:val="none"/>
                      <w:lang w:eastAsia="zh-CN"/>
                    </w:rPr>
                    <w:t>设计贮存量为</w:t>
                  </w:r>
                  <w:r>
                    <w:rPr>
                      <w:rFonts w:hint="eastAsia"/>
                      <w:color w:val="FF0000"/>
                      <w:szCs w:val="21"/>
                      <w:highlight w:val="none"/>
                      <w:lang w:val="en-US" w:eastAsia="zh-CN"/>
                    </w:rPr>
                    <w:t>200</w:t>
                  </w:r>
                  <w:r>
                    <w:rPr>
                      <w:rFonts w:hint="eastAsia"/>
                      <w:color w:val="FF0000"/>
                      <w:szCs w:val="21"/>
                      <w:highlight w:val="none"/>
                      <w:lang w:eastAsia="zh-CN"/>
                    </w:rPr>
                    <w:t>吨，</w:t>
                  </w:r>
                  <w:r>
                    <w:rPr>
                      <w:rFonts w:hint="eastAsia"/>
                      <w:color w:val="FF0000"/>
                      <w:szCs w:val="21"/>
                      <w:highlight w:val="none"/>
                      <w:lang w:val="en-US" w:eastAsia="zh-CN"/>
                    </w:rPr>
                    <w:t>内设</w:t>
                  </w:r>
                  <w:r>
                    <w:rPr>
                      <w:rFonts w:hint="eastAsia"/>
                      <w:color w:val="FF0000"/>
                      <w:szCs w:val="21"/>
                      <w:highlight w:val="none"/>
                      <w:lang w:eastAsia="zh-CN"/>
                    </w:rPr>
                    <w:t>耐酸货架，间距≥5m。安全设施：设防爆电器。标识管理：电池编码溯源，张贴GB 18597危险废物标识；</w:t>
                  </w:r>
                  <w:r>
                    <w:rPr>
                      <w:rFonts w:hint="eastAsia"/>
                      <w:color w:val="FF0000"/>
                      <w:szCs w:val="21"/>
                      <w:highlight w:val="none"/>
                      <w:lang w:val="en-US" w:eastAsia="zh-CN"/>
                    </w:rPr>
                    <w:t>破损铅酸蓄电池使用密闭耐酸容器收集后与其他电池分区贮存，</w:t>
                  </w:r>
                  <w:r>
                    <w:rPr>
                      <w:rFonts w:hint="eastAsia"/>
                      <w:color w:val="FF0000"/>
                      <w:szCs w:val="21"/>
                      <w:highlight w:val="none"/>
                      <w:lang w:eastAsia="zh-CN"/>
                    </w:rPr>
                    <w:t>防渗防腐防酸：地面应采用耐酸、防腐材料（如环氧树脂+玻璃钢），并做硬化处理（混凝土强度≥C30，厚度≥200mm）。液体导流与收集：设置防渗漏的导流沟和收集池（耐酸材质），收集泄漏电解液。收集池容积需覆盖最大单只电池电解液容量。防液体积聚：地面坡度设计，确保液体流向收集沟。</w:t>
                  </w:r>
                </w:p>
              </w:tc>
              <w:tc>
                <w:tcPr>
                  <w:tcW w:w="445" w:type="pct"/>
                  <w:vMerge w:val="continue"/>
                  <w:vAlign w:val="center"/>
                </w:tcPr>
                <w:p w14:paraId="4A4E6B3F">
                  <w:pPr>
                    <w:adjustRightInd w:val="0"/>
                    <w:snapToGrid w:val="0"/>
                    <w:spacing w:line="400" w:lineRule="exact"/>
                    <w:jc w:val="left"/>
                    <w:rPr>
                      <w:rFonts w:hint="eastAsia"/>
                      <w:color w:val="FF0000"/>
                      <w:szCs w:val="21"/>
                      <w:lang w:val="en-US" w:eastAsia="zh-CN"/>
                    </w:rPr>
                  </w:pPr>
                </w:p>
              </w:tc>
            </w:tr>
            <w:tr w14:paraId="23298B5C">
              <w:tblPrEx>
                <w:tblBorders>
                  <w:top w:val="double" w:color="auto" w:sz="4" w:space="0"/>
                  <w:left w:val="none" w:color="auto" w:sz="0" w:space="0"/>
                  <w:bottom w:val="double" w:color="auto"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287" w:hRule="atLeast"/>
              </w:trPr>
              <w:tc>
                <w:tcPr>
                  <w:tcW w:w="414" w:type="pct"/>
                  <w:vMerge w:val="continue"/>
                  <w:vAlign w:val="center"/>
                </w:tcPr>
                <w:p w14:paraId="2960B432">
                  <w:pPr>
                    <w:adjustRightInd w:val="0"/>
                    <w:snapToGrid w:val="0"/>
                    <w:spacing w:line="400" w:lineRule="exact"/>
                    <w:jc w:val="left"/>
                    <w:rPr>
                      <w:rFonts w:hint="eastAsia"/>
                      <w:color w:val="FF0000"/>
                      <w:szCs w:val="21"/>
                      <w:lang w:val="en-US" w:eastAsia="zh-CN"/>
                    </w:rPr>
                  </w:pPr>
                </w:p>
              </w:tc>
              <w:tc>
                <w:tcPr>
                  <w:tcW w:w="848" w:type="pct"/>
                  <w:gridSpan w:val="2"/>
                  <w:vMerge w:val="continue"/>
                  <w:vAlign w:val="center"/>
                </w:tcPr>
                <w:p w14:paraId="159D9A07">
                  <w:pPr>
                    <w:adjustRightInd w:val="0"/>
                    <w:snapToGrid w:val="0"/>
                    <w:spacing w:line="400" w:lineRule="exact"/>
                    <w:jc w:val="left"/>
                    <w:rPr>
                      <w:rFonts w:hint="eastAsia"/>
                      <w:color w:val="FF0000"/>
                      <w:szCs w:val="21"/>
                      <w:lang w:val="en-US" w:eastAsia="zh-CN"/>
                    </w:rPr>
                  </w:pPr>
                </w:p>
              </w:tc>
              <w:tc>
                <w:tcPr>
                  <w:tcW w:w="3290" w:type="pct"/>
                  <w:vAlign w:val="center"/>
                </w:tcPr>
                <w:p w14:paraId="05A489F3">
                  <w:pPr>
                    <w:adjustRightInd w:val="0"/>
                    <w:snapToGrid w:val="0"/>
                    <w:spacing w:line="400" w:lineRule="exact"/>
                    <w:jc w:val="left"/>
                    <w:rPr>
                      <w:rFonts w:hint="eastAsia"/>
                      <w:color w:val="FF0000"/>
                      <w:szCs w:val="21"/>
                      <w:highlight w:val="none"/>
                      <w:lang w:val="en-US" w:eastAsia="zh-CN"/>
                    </w:rPr>
                  </w:pPr>
                  <w:r>
                    <w:rPr>
                      <w:rFonts w:hint="eastAsia"/>
                      <w:color w:val="FF0000"/>
                      <w:szCs w:val="21"/>
                      <w:highlight w:val="none"/>
                      <w:lang w:val="en-US" w:eastAsia="zh-CN"/>
                    </w:rPr>
                    <w:t>④拆解区：面积1000</w:t>
                  </w:r>
                  <w:r>
                    <w:rPr>
                      <w:rFonts w:hint="eastAsia"/>
                      <w:color w:val="FF0000"/>
                      <w:szCs w:val="21"/>
                      <w:highlight w:val="none"/>
                    </w:rPr>
                    <w:t>平方米</w:t>
                  </w:r>
                  <w:r>
                    <w:rPr>
                      <w:rFonts w:hint="eastAsia"/>
                      <w:color w:val="FF0000"/>
                      <w:szCs w:val="21"/>
                      <w:highlight w:val="none"/>
                      <w:lang w:eastAsia="zh-CN"/>
                    </w:rPr>
                    <w:t>，</w:t>
                  </w:r>
                  <w:r>
                    <w:rPr>
                      <w:rFonts w:hint="eastAsia"/>
                      <w:color w:val="FF0000"/>
                      <w:szCs w:val="21"/>
                      <w:highlight w:val="none"/>
                      <w:lang w:val="en-US" w:eastAsia="zh-CN"/>
                    </w:rPr>
                    <w:t>地面防油渗（C30混凝土+环氧涂层），坡度1%引流至污水处理站。分区作，：拆解预处理中心：设预处理台（抽废液）、总成拆解台、安全气囊引爆间（防爆墙隔离）。废气收集：点位设集气罩。大车拆解线400平方米，配备50吨桥吊+2000吨液压剪，地面C35混凝土+钢板衬底（抗冲击）；小车拆解线400平方米，配备10吨举升机×4台+机器人拆解臂，地面C30环氧防油渗地坪。</w:t>
                  </w:r>
                </w:p>
              </w:tc>
              <w:tc>
                <w:tcPr>
                  <w:tcW w:w="445" w:type="pct"/>
                  <w:vMerge w:val="continue"/>
                  <w:vAlign w:val="center"/>
                </w:tcPr>
                <w:p w14:paraId="4175D853">
                  <w:pPr>
                    <w:adjustRightInd w:val="0"/>
                    <w:snapToGrid w:val="0"/>
                    <w:spacing w:line="400" w:lineRule="exact"/>
                    <w:jc w:val="left"/>
                    <w:rPr>
                      <w:rFonts w:hint="eastAsia"/>
                      <w:color w:val="FF0000"/>
                      <w:szCs w:val="21"/>
                      <w:lang w:val="en-US" w:eastAsia="zh-CN"/>
                    </w:rPr>
                  </w:pPr>
                </w:p>
              </w:tc>
            </w:tr>
            <w:tr w14:paraId="2963354B">
              <w:tblPrEx>
                <w:tblBorders>
                  <w:top w:val="double" w:color="auto" w:sz="4" w:space="0"/>
                  <w:left w:val="none" w:color="auto" w:sz="0" w:space="0"/>
                  <w:bottom w:val="double" w:color="auto"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287" w:hRule="atLeast"/>
              </w:trPr>
              <w:tc>
                <w:tcPr>
                  <w:tcW w:w="414" w:type="pct"/>
                  <w:vMerge w:val="continue"/>
                  <w:vAlign w:val="center"/>
                </w:tcPr>
                <w:p w14:paraId="56888D31">
                  <w:pPr>
                    <w:adjustRightInd w:val="0"/>
                    <w:snapToGrid w:val="0"/>
                    <w:spacing w:line="400" w:lineRule="exact"/>
                    <w:jc w:val="left"/>
                    <w:rPr>
                      <w:rFonts w:hint="eastAsia"/>
                      <w:color w:val="FF0000"/>
                      <w:szCs w:val="21"/>
                      <w:lang w:val="en-US" w:eastAsia="zh-CN"/>
                    </w:rPr>
                  </w:pPr>
                </w:p>
              </w:tc>
              <w:tc>
                <w:tcPr>
                  <w:tcW w:w="848" w:type="pct"/>
                  <w:gridSpan w:val="2"/>
                  <w:vMerge w:val="continue"/>
                  <w:vAlign w:val="center"/>
                </w:tcPr>
                <w:p w14:paraId="6D03A208">
                  <w:pPr>
                    <w:adjustRightInd w:val="0"/>
                    <w:snapToGrid w:val="0"/>
                    <w:spacing w:line="400" w:lineRule="exact"/>
                    <w:jc w:val="left"/>
                    <w:rPr>
                      <w:rFonts w:hint="eastAsia"/>
                      <w:color w:val="FF0000"/>
                      <w:szCs w:val="21"/>
                      <w:lang w:val="en-US" w:eastAsia="zh-CN"/>
                    </w:rPr>
                  </w:pPr>
                </w:p>
              </w:tc>
              <w:tc>
                <w:tcPr>
                  <w:tcW w:w="3290" w:type="pct"/>
                  <w:vAlign w:val="center"/>
                </w:tcPr>
                <w:p w14:paraId="4F575737">
                  <w:pPr>
                    <w:adjustRightInd w:val="0"/>
                    <w:snapToGrid w:val="0"/>
                    <w:spacing w:line="400" w:lineRule="exact"/>
                    <w:jc w:val="left"/>
                    <w:rPr>
                      <w:rFonts w:hint="eastAsia"/>
                      <w:color w:val="FF0000"/>
                      <w:szCs w:val="21"/>
                      <w:highlight w:val="none"/>
                      <w:lang w:val="en-US" w:eastAsia="zh-CN"/>
                    </w:rPr>
                  </w:pPr>
                  <w:r>
                    <w:rPr>
                      <w:rFonts w:hint="eastAsia"/>
                      <w:color w:val="FF0000"/>
                      <w:szCs w:val="21"/>
                      <w:highlight w:val="none"/>
                      <w:lang w:val="en-US" w:eastAsia="zh-CN"/>
                    </w:rPr>
                    <w:t>⑤</w:t>
                  </w:r>
                  <w:r>
                    <w:rPr>
                      <w:rFonts w:hint="eastAsia"/>
                      <w:color w:val="FF0000"/>
                      <w:szCs w:val="21"/>
                      <w:highlight w:val="none"/>
                    </w:rPr>
                    <w:t>破碎分选</w:t>
                  </w:r>
                  <w:r>
                    <w:rPr>
                      <w:color w:val="FF0000"/>
                      <w:szCs w:val="21"/>
                      <w:highlight w:val="none"/>
                    </w:rPr>
                    <w:t>区</w:t>
                  </w:r>
                  <w:r>
                    <w:rPr>
                      <w:rFonts w:hint="eastAsia"/>
                      <w:color w:val="FF0000"/>
                      <w:szCs w:val="21"/>
                      <w:highlight w:val="none"/>
                      <w:lang w:eastAsia="zh-CN"/>
                    </w:rPr>
                    <w:t>：</w:t>
                  </w:r>
                  <w:r>
                    <w:rPr>
                      <w:rFonts w:hint="eastAsia"/>
                      <w:color w:val="FF0000"/>
                      <w:szCs w:val="21"/>
                      <w:highlight w:val="none"/>
                      <w:lang w:val="en-US" w:eastAsia="zh-CN"/>
                    </w:rPr>
                    <w:t>面积500</w:t>
                  </w:r>
                  <w:r>
                    <w:rPr>
                      <w:rFonts w:hint="eastAsia"/>
                      <w:color w:val="FF0000"/>
                      <w:szCs w:val="21"/>
                      <w:highlight w:val="none"/>
                    </w:rPr>
                    <w:t>平方米</w:t>
                  </w:r>
                  <w:r>
                    <w:rPr>
                      <w:rFonts w:hint="eastAsia"/>
                      <w:color w:val="FF0000"/>
                      <w:szCs w:val="21"/>
                      <w:highlight w:val="none"/>
                      <w:lang w:eastAsia="zh-CN"/>
                    </w:rPr>
                    <w:t>，全封闭降噪：墙体隔声≥25dB，设备基座减震（隔振效率≥80%）。粉尘控制：破碎机上方设集尘罩+布袋除尘器（颗粒物排放≤20mg/m³）。自动化分选：磁选机（回收金属）、涡电流分选机（分离非金属）</w:t>
                  </w:r>
                </w:p>
              </w:tc>
              <w:tc>
                <w:tcPr>
                  <w:tcW w:w="445" w:type="pct"/>
                  <w:vMerge w:val="continue"/>
                  <w:vAlign w:val="center"/>
                </w:tcPr>
                <w:p w14:paraId="4D09A1DB">
                  <w:pPr>
                    <w:adjustRightInd w:val="0"/>
                    <w:snapToGrid w:val="0"/>
                    <w:spacing w:line="400" w:lineRule="exact"/>
                    <w:jc w:val="left"/>
                    <w:rPr>
                      <w:rFonts w:hint="eastAsia"/>
                      <w:color w:val="FF0000"/>
                      <w:szCs w:val="21"/>
                      <w:lang w:val="en-US" w:eastAsia="zh-CN"/>
                    </w:rPr>
                  </w:pPr>
                </w:p>
              </w:tc>
            </w:tr>
            <w:tr w14:paraId="286B86AF">
              <w:tblPrEx>
                <w:tblBorders>
                  <w:top w:val="double" w:color="auto" w:sz="4" w:space="0"/>
                  <w:left w:val="none" w:color="auto" w:sz="0" w:space="0"/>
                  <w:bottom w:val="double" w:color="auto"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287" w:hRule="atLeast"/>
              </w:trPr>
              <w:tc>
                <w:tcPr>
                  <w:tcW w:w="414" w:type="pct"/>
                  <w:vMerge w:val="continue"/>
                  <w:vAlign w:val="center"/>
                </w:tcPr>
                <w:p w14:paraId="5495E20C">
                  <w:pPr>
                    <w:adjustRightInd w:val="0"/>
                    <w:snapToGrid w:val="0"/>
                    <w:spacing w:line="400" w:lineRule="exact"/>
                    <w:jc w:val="left"/>
                    <w:rPr>
                      <w:rFonts w:hint="eastAsia"/>
                      <w:color w:val="FF0000"/>
                      <w:szCs w:val="21"/>
                      <w:lang w:val="en-US" w:eastAsia="zh-CN"/>
                    </w:rPr>
                  </w:pPr>
                </w:p>
              </w:tc>
              <w:tc>
                <w:tcPr>
                  <w:tcW w:w="848" w:type="pct"/>
                  <w:gridSpan w:val="2"/>
                  <w:vMerge w:val="continue"/>
                  <w:vAlign w:val="center"/>
                </w:tcPr>
                <w:p w14:paraId="60BE70B3">
                  <w:pPr>
                    <w:adjustRightInd w:val="0"/>
                    <w:snapToGrid w:val="0"/>
                    <w:spacing w:line="400" w:lineRule="exact"/>
                    <w:jc w:val="left"/>
                    <w:rPr>
                      <w:rFonts w:hint="eastAsia"/>
                      <w:color w:val="FF0000"/>
                      <w:szCs w:val="21"/>
                      <w:lang w:val="en-US" w:eastAsia="zh-CN"/>
                    </w:rPr>
                  </w:pPr>
                </w:p>
              </w:tc>
              <w:tc>
                <w:tcPr>
                  <w:tcW w:w="3290" w:type="pct"/>
                  <w:vAlign w:val="center"/>
                </w:tcPr>
                <w:p w14:paraId="472D0AB1">
                  <w:pPr>
                    <w:adjustRightInd w:val="0"/>
                    <w:snapToGrid w:val="0"/>
                    <w:spacing w:line="400" w:lineRule="exact"/>
                    <w:jc w:val="left"/>
                    <w:rPr>
                      <w:rFonts w:hint="eastAsia"/>
                      <w:color w:val="FF0000"/>
                      <w:szCs w:val="21"/>
                      <w:highlight w:val="none"/>
                      <w:lang w:val="en-US" w:eastAsia="zh-CN"/>
                    </w:rPr>
                  </w:pPr>
                  <w:r>
                    <w:rPr>
                      <w:rFonts w:hint="eastAsia"/>
                      <w:color w:val="FF0000"/>
                      <w:szCs w:val="21"/>
                      <w:highlight w:val="none"/>
                      <w:lang w:val="en-US" w:eastAsia="zh-CN"/>
                    </w:rPr>
                    <w:t>⑥回用件</w:t>
                  </w:r>
                  <w:r>
                    <w:rPr>
                      <w:rFonts w:hint="eastAsia"/>
                      <w:color w:val="FF0000"/>
                      <w:szCs w:val="21"/>
                      <w:highlight w:val="none"/>
                    </w:rPr>
                    <w:t>贮存区</w:t>
                  </w:r>
                  <w:r>
                    <w:rPr>
                      <w:rFonts w:hint="eastAsia"/>
                      <w:color w:val="FF0000"/>
                      <w:szCs w:val="21"/>
                      <w:highlight w:val="none"/>
                      <w:lang w:eastAsia="zh-CN"/>
                    </w:rPr>
                    <w:t>：</w:t>
                  </w:r>
                  <w:r>
                    <w:rPr>
                      <w:rFonts w:hint="eastAsia"/>
                      <w:color w:val="FF0000"/>
                      <w:szCs w:val="21"/>
                      <w:highlight w:val="none"/>
                      <w:lang w:val="en-US" w:eastAsia="zh-CN"/>
                    </w:rPr>
                    <w:t>面积400</w:t>
                  </w:r>
                  <w:r>
                    <w:rPr>
                      <w:rFonts w:hint="eastAsia"/>
                      <w:color w:val="FF0000"/>
                      <w:szCs w:val="21"/>
                      <w:highlight w:val="none"/>
                    </w:rPr>
                    <w:t>平方米</w:t>
                  </w:r>
                  <w:r>
                    <w:rPr>
                      <w:rFonts w:hint="eastAsia"/>
                      <w:color w:val="FF0000"/>
                      <w:szCs w:val="21"/>
                      <w:highlight w:val="none"/>
                      <w:lang w:eastAsia="zh-CN"/>
                    </w:rPr>
                    <w:t>，</w:t>
                  </w:r>
                  <w:r>
                    <w:rPr>
                      <w:rFonts w:hint="eastAsia"/>
                      <w:color w:val="FF0000"/>
                      <w:szCs w:val="21"/>
                      <w:highlight w:val="none"/>
                      <w:lang w:val="en-US" w:eastAsia="zh-CN"/>
                    </w:rPr>
                    <w:t>内设回用件清洗间，</w:t>
                  </w:r>
                  <w:r>
                    <w:rPr>
                      <w:rFonts w:hint="eastAsia"/>
                      <w:color w:val="FF0000"/>
                      <w:szCs w:val="21"/>
                      <w:highlight w:val="none"/>
                      <w:lang w:eastAsia="zh-CN"/>
                    </w:rPr>
                    <w:t>防尘防锈：地面硬化（C25混凝土），回用件分类上架（货架承重≥1t/层）。物流通道：主通道宽≥4m，叉车作业区设防撞护栏。</w:t>
                  </w:r>
                </w:p>
              </w:tc>
              <w:tc>
                <w:tcPr>
                  <w:tcW w:w="445" w:type="pct"/>
                  <w:vMerge w:val="continue"/>
                  <w:vAlign w:val="center"/>
                </w:tcPr>
                <w:p w14:paraId="76636DFE">
                  <w:pPr>
                    <w:adjustRightInd w:val="0"/>
                    <w:snapToGrid w:val="0"/>
                    <w:spacing w:line="400" w:lineRule="exact"/>
                    <w:jc w:val="left"/>
                    <w:rPr>
                      <w:rFonts w:hint="eastAsia"/>
                      <w:color w:val="FF0000"/>
                      <w:szCs w:val="21"/>
                      <w:lang w:val="en-US" w:eastAsia="zh-CN"/>
                    </w:rPr>
                  </w:pPr>
                </w:p>
              </w:tc>
            </w:tr>
            <w:tr w14:paraId="0B594EC6">
              <w:tblPrEx>
                <w:tblBorders>
                  <w:top w:val="double" w:color="auto" w:sz="4" w:space="0"/>
                  <w:left w:val="none" w:color="auto" w:sz="0" w:space="0"/>
                  <w:bottom w:val="double" w:color="auto"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97" w:hRule="atLeast"/>
              </w:trPr>
              <w:tc>
                <w:tcPr>
                  <w:tcW w:w="414" w:type="pct"/>
                  <w:vMerge w:val="continue"/>
                  <w:vAlign w:val="center"/>
                </w:tcPr>
                <w:p w14:paraId="49A77D2D">
                  <w:pPr>
                    <w:adjustRightInd w:val="0"/>
                    <w:snapToGrid w:val="0"/>
                    <w:spacing w:line="400" w:lineRule="exact"/>
                    <w:jc w:val="left"/>
                    <w:rPr>
                      <w:rFonts w:hint="eastAsia"/>
                      <w:color w:val="FF0000"/>
                      <w:szCs w:val="21"/>
                      <w:lang w:val="en-US" w:eastAsia="zh-CN"/>
                    </w:rPr>
                  </w:pPr>
                </w:p>
              </w:tc>
              <w:tc>
                <w:tcPr>
                  <w:tcW w:w="848" w:type="pct"/>
                  <w:gridSpan w:val="2"/>
                  <w:vMerge w:val="continue"/>
                  <w:vAlign w:val="center"/>
                </w:tcPr>
                <w:p w14:paraId="16892801">
                  <w:pPr>
                    <w:adjustRightInd w:val="0"/>
                    <w:snapToGrid w:val="0"/>
                    <w:spacing w:line="400" w:lineRule="exact"/>
                    <w:jc w:val="left"/>
                    <w:rPr>
                      <w:rFonts w:hint="eastAsia"/>
                      <w:color w:val="FF0000"/>
                      <w:szCs w:val="21"/>
                      <w:lang w:val="en-US" w:eastAsia="zh-CN"/>
                    </w:rPr>
                  </w:pPr>
                </w:p>
              </w:tc>
              <w:tc>
                <w:tcPr>
                  <w:tcW w:w="3290" w:type="pct"/>
                  <w:vAlign w:val="center"/>
                </w:tcPr>
                <w:p w14:paraId="79810439">
                  <w:pPr>
                    <w:adjustRightInd w:val="0"/>
                    <w:snapToGrid w:val="0"/>
                    <w:spacing w:line="400" w:lineRule="exact"/>
                    <w:jc w:val="left"/>
                    <w:rPr>
                      <w:rFonts w:hint="eastAsia"/>
                      <w:color w:val="FF0000"/>
                      <w:szCs w:val="21"/>
                      <w:highlight w:val="none"/>
                      <w:lang w:val="en-US" w:eastAsia="zh-CN"/>
                    </w:rPr>
                  </w:pPr>
                  <w:r>
                    <w:rPr>
                      <w:rFonts w:hint="eastAsia"/>
                      <w:color w:val="FF0000"/>
                      <w:szCs w:val="21"/>
                      <w:highlight w:val="none"/>
                      <w:lang w:val="en-US" w:eastAsia="zh-CN"/>
                    </w:rPr>
                    <w:t>⑦</w:t>
                  </w:r>
                  <w:r>
                    <w:rPr>
                      <w:rFonts w:hint="eastAsia"/>
                      <w:color w:val="FF0000"/>
                      <w:szCs w:val="21"/>
                      <w:highlight w:val="none"/>
                    </w:rPr>
                    <w:t>一般工业固体废物贮存区</w:t>
                  </w:r>
                  <w:r>
                    <w:rPr>
                      <w:rFonts w:hint="eastAsia"/>
                      <w:color w:val="FF0000"/>
                      <w:szCs w:val="21"/>
                      <w:highlight w:val="none"/>
                      <w:lang w:eastAsia="zh-CN"/>
                    </w:rPr>
                    <w:t>：</w:t>
                  </w:r>
                  <w:r>
                    <w:rPr>
                      <w:rFonts w:hint="eastAsia"/>
                      <w:color w:val="FF0000"/>
                      <w:szCs w:val="21"/>
                      <w:highlight w:val="none"/>
                      <w:lang w:val="en-US" w:eastAsia="zh-CN"/>
                    </w:rPr>
                    <w:t>面积300</w:t>
                  </w:r>
                  <w:r>
                    <w:rPr>
                      <w:rFonts w:hint="eastAsia"/>
                      <w:color w:val="FF0000"/>
                      <w:szCs w:val="21"/>
                      <w:highlight w:val="none"/>
                    </w:rPr>
                    <w:t>平方米</w:t>
                  </w:r>
                  <w:r>
                    <w:rPr>
                      <w:rFonts w:hint="eastAsia"/>
                      <w:color w:val="FF0000"/>
                      <w:szCs w:val="21"/>
                      <w:highlight w:val="none"/>
                      <w:lang w:eastAsia="zh-CN"/>
                    </w:rPr>
                    <w:t>，分类堆放：金属/塑料/橡胶分区，地面硬化防渗（HDPE膜1.5mm）。</w:t>
                  </w:r>
                </w:p>
              </w:tc>
              <w:tc>
                <w:tcPr>
                  <w:tcW w:w="445" w:type="pct"/>
                  <w:vMerge w:val="continue"/>
                  <w:vAlign w:val="center"/>
                </w:tcPr>
                <w:p w14:paraId="6FC58A8D">
                  <w:pPr>
                    <w:adjustRightInd w:val="0"/>
                    <w:snapToGrid w:val="0"/>
                    <w:spacing w:line="400" w:lineRule="exact"/>
                    <w:jc w:val="left"/>
                    <w:rPr>
                      <w:rFonts w:hint="eastAsia"/>
                      <w:color w:val="FF0000"/>
                      <w:szCs w:val="21"/>
                      <w:lang w:val="en-US" w:eastAsia="zh-CN"/>
                    </w:rPr>
                  </w:pPr>
                </w:p>
              </w:tc>
            </w:tr>
            <w:tr w14:paraId="1B07AF8D">
              <w:tblPrEx>
                <w:tblBorders>
                  <w:top w:val="double" w:color="auto" w:sz="4" w:space="0"/>
                  <w:left w:val="none" w:color="auto" w:sz="0" w:space="0"/>
                  <w:bottom w:val="double" w:color="auto"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287" w:hRule="atLeast"/>
              </w:trPr>
              <w:tc>
                <w:tcPr>
                  <w:tcW w:w="414" w:type="pct"/>
                  <w:vMerge w:val="continue"/>
                  <w:vAlign w:val="center"/>
                </w:tcPr>
                <w:p w14:paraId="7C2F7D02">
                  <w:pPr>
                    <w:adjustRightInd w:val="0"/>
                    <w:snapToGrid w:val="0"/>
                    <w:spacing w:line="400" w:lineRule="exact"/>
                    <w:jc w:val="left"/>
                    <w:rPr>
                      <w:rFonts w:hint="eastAsia"/>
                      <w:color w:val="FF0000"/>
                      <w:szCs w:val="21"/>
                      <w:lang w:val="en-US" w:eastAsia="zh-CN"/>
                    </w:rPr>
                  </w:pPr>
                </w:p>
              </w:tc>
              <w:tc>
                <w:tcPr>
                  <w:tcW w:w="848" w:type="pct"/>
                  <w:gridSpan w:val="2"/>
                  <w:vMerge w:val="continue"/>
                  <w:vAlign w:val="center"/>
                </w:tcPr>
                <w:p w14:paraId="6CDA6306">
                  <w:pPr>
                    <w:adjustRightInd w:val="0"/>
                    <w:snapToGrid w:val="0"/>
                    <w:spacing w:line="400" w:lineRule="exact"/>
                    <w:jc w:val="left"/>
                    <w:rPr>
                      <w:rFonts w:hint="eastAsia"/>
                      <w:color w:val="FF0000"/>
                      <w:szCs w:val="21"/>
                      <w:lang w:val="en-US" w:eastAsia="zh-CN"/>
                    </w:rPr>
                  </w:pPr>
                </w:p>
              </w:tc>
              <w:tc>
                <w:tcPr>
                  <w:tcW w:w="3290" w:type="pct"/>
                  <w:vAlign w:val="center"/>
                </w:tcPr>
                <w:p w14:paraId="585032D3">
                  <w:pPr>
                    <w:adjustRightInd w:val="0"/>
                    <w:snapToGrid w:val="0"/>
                    <w:spacing w:line="400" w:lineRule="exact"/>
                    <w:jc w:val="left"/>
                    <w:rPr>
                      <w:rFonts w:hint="eastAsia"/>
                      <w:color w:val="FF0000"/>
                      <w:szCs w:val="21"/>
                      <w:highlight w:val="none"/>
                      <w:lang w:val="en-US" w:eastAsia="zh-CN"/>
                    </w:rPr>
                  </w:pPr>
                  <w:r>
                    <w:rPr>
                      <w:rFonts w:hint="eastAsia"/>
                      <w:color w:val="FF0000"/>
                      <w:szCs w:val="21"/>
                      <w:highlight w:val="none"/>
                      <w:lang w:val="en-US" w:eastAsia="zh-CN"/>
                    </w:rPr>
                    <w:t>⑧</w:t>
                  </w:r>
                  <w:r>
                    <w:rPr>
                      <w:rFonts w:hint="eastAsia"/>
                      <w:color w:val="FF0000"/>
                      <w:szCs w:val="21"/>
                      <w:highlight w:val="none"/>
                    </w:rPr>
                    <w:t>危险废物贮存区</w:t>
                  </w:r>
                  <w:r>
                    <w:rPr>
                      <w:rFonts w:hint="eastAsia"/>
                      <w:color w:val="FF0000"/>
                      <w:szCs w:val="21"/>
                      <w:highlight w:val="none"/>
                      <w:lang w:eastAsia="zh-CN"/>
                    </w:rPr>
                    <w:t>：</w:t>
                  </w:r>
                  <w:r>
                    <w:rPr>
                      <w:rFonts w:hint="eastAsia"/>
                      <w:color w:val="FF0000"/>
                      <w:szCs w:val="21"/>
                      <w:highlight w:val="none"/>
                      <w:lang w:val="en-US" w:eastAsia="zh-CN"/>
                    </w:rPr>
                    <w:t>设置4个危废贮存点，合计面积80</w:t>
                  </w:r>
                  <w:r>
                    <w:rPr>
                      <w:rFonts w:hint="eastAsia"/>
                      <w:color w:val="FF0000"/>
                      <w:szCs w:val="21"/>
                      <w:highlight w:val="none"/>
                    </w:rPr>
                    <w:t>平方米</w:t>
                  </w:r>
                  <w:r>
                    <w:rPr>
                      <w:rFonts w:hint="eastAsia"/>
                      <w:color w:val="FF0000"/>
                      <w:szCs w:val="21"/>
                      <w:highlight w:val="none"/>
                      <w:lang w:eastAsia="zh-CN"/>
                    </w:rPr>
                    <w:t>，</w:t>
                  </w:r>
                  <w:r>
                    <w:rPr>
                      <w:rFonts w:hint="eastAsia"/>
                      <w:color w:val="FF0000"/>
                      <w:szCs w:val="21"/>
                      <w:highlight w:val="none"/>
                      <w:lang w:val="en-US" w:eastAsia="zh-CN"/>
                    </w:rPr>
                    <w:t>防渗应急：混凝土+C30+2mm HDPE膜，导流沟连接应急池，分类存放，安全监控：标识危险特性，配防爆摄像头和气体报警器。</w:t>
                  </w:r>
                </w:p>
              </w:tc>
              <w:tc>
                <w:tcPr>
                  <w:tcW w:w="445" w:type="pct"/>
                  <w:vMerge w:val="continue"/>
                  <w:vAlign w:val="center"/>
                </w:tcPr>
                <w:p w14:paraId="5621EF6A">
                  <w:pPr>
                    <w:adjustRightInd w:val="0"/>
                    <w:snapToGrid w:val="0"/>
                    <w:spacing w:line="400" w:lineRule="exact"/>
                    <w:jc w:val="left"/>
                    <w:rPr>
                      <w:rFonts w:hint="eastAsia"/>
                      <w:color w:val="FF0000"/>
                      <w:szCs w:val="21"/>
                      <w:lang w:val="en-US" w:eastAsia="zh-CN"/>
                    </w:rPr>
                  </w:pPr>
                </w:p>
              </w:tc>
            </w:tr>
            <w:tr w14:paraId="12E2F9DB">
              <w:tblPrEx>
                <w:tblBorders>
                  <w:top w:val="double" w:color="auto" w:sz="4" w:space="0"/>
                  <w:left w:val="none" w:color="auto" w:sz="0" w:space="0"/>
                  <w:bottom w:val="double" w:color="auto"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287" w:hRule="atLeast"/>
              </w:trPr>
              <w:tc>
                <w:tcPr>
                  <w:tcW w:w="414" w:type="pct"/>
                  <w:vMerge w:val="continue"/>
                  <w:vAlign w:val="center"/>
                </w:tcPr>
                <w:p w14:paraId="00DA88BB">
                  <w:pPr>
                    <w:adjustRightInd w:val="0"/>
                    <w:snapToGrid w:val="0"/>
                    <w:spacing w:line="400" w:lineRule="exact"/>
                    <w:jc w:val="left"/>
                    <w:rPr>
                      <w:rFonts w:hint="eastAsia"/>
                      <w:color w:val="FF0000"/>
                      <w:szCs w:val="21"/>
                      <w:lang w:val="en-US" w:eastAsia="zh-CN"/>
                    </w:rPr>
                  </w:pPr>
                </w:p>
              </w:tc>
              <w:tc>
                <w:tcPr>
                  <w:tcW w:w="848" w:type="pct"/>
                  <w:gridSpan w:val="2"/>
                  <w:vMerge w:val="continue"/>
                  <w:vAlign w:val="center"/>
                </w:tcPr>
                <w:p w14:paraId="74B672A5">
                  <w:pPr>
                    <w:adjustRightInd w:val="0"/>
                    <w:snapToGrid w:val="0"/>
                    <w:spacing w:line="400" w:lineRule="exact"/>
                    <w:jc w:val="left"/>
                    <w:rPr>
                      <w:rFonts w:hint="eastAsia"/>
                      <w:color w:val="FF0000"/>
                      <w:szCs w:val="21"/>
                      <w:lang w:val="en-US" w:eastAsia="zh-CN"/>
                    </w:rPr>
                  </w:pPr>
                </w:p>
              </w:tc>
              <w:tc>
                <w:tcPr>
                  <w:tcW w:w="3290" w:type="pct"/>
                  <w:vAlign w:val="center"/>
                </w:tcPr>
                <w:p w14:paraId="42DBAB5B">
                  <w:pPr>
                    <w:adjustRightInd w:val="0"/>
                    <w:snapToGrid w:val="0"/>
                    <w:spacing w:line="400" w:lineRule="exact"/>
                    <w:jc w:val="left"/>
                    <w:rPr>
                      <w:rFonts w:hint="eastAsia" w:eastAsia="宋体"/>
                      <w:color w:val="FF0000"/>
                      <w:szCs w:val="21"/>
                      <w:highlight w:val="none"/>
                      <w:lang w:val="en-US" w:eastAsia="zh-CN"/>
                    </w:rPr>
                  </w:pPr>
                  <w:r>
                    <w:rPr>
                      <w:rFonts w:hint="eastAsia"/>
                      <w:color w:val="FF0000"/>
                      <w:szCs w:val="21"/>
                      <w:highlight w:val="none"/>
                      <w:lang w:val="en-US" w:eastAsia="zh-CN"/>
                    </w:rPr>
                    <w:t>⑨车辆登记预处理中心：面积160</w:t>
                  </w:r>
                  <w:r>
                    <w:rPr>
                      <w:rFonts w:hint="eastAsia"/>
                      <w:color w:val="FF0000"/>
                      <w:szCs w:val="21"/>
                      <w:highlight w:val="none"/>
                    </w:rPr>
                    <w:t>平方米</w:t>
                  </w:r>
                  <w:r>
                    <w:rPr>
                      <w:rFonts w:hint="eastAsia"/>
                      <w:color w:val="FF0000"/>
                      <w:szCs w:val="21"/>
                      <w:highlight w:val="none"/>
                      <w:lang w:eastAsia="zh-CN"/>
                    </w:rPr>
                    <w:t>，</w:t>
                  </w:r>
                  <w:r>
                    <w:rPr>
                      <w:rFonts w:hint="eastAsia"/>
                      <w:color w:val="FF0000"/>
                      <w:szCs w:val="21"/>
                      <w:highlight w:val="none"/>
                      <w:lang w:val="en-US" w:eastAsia="zh-CN"/>
                    </w:rPr>
                    <w:t>内设车辆清洗间面积80</w:t>
                  </w:r>
                  <w:r>
                    <w:rPr>
                      <w:rFonts w:hint="eastAsia"/>
                      <w:color w:val="FF0000"/>
                      <w:szCs w:val="21"/>
                      <w:highlight w:val="none"/>
                    </w:rPr>
                    <w:t>平方米</w:t>
                  </w:r>
                  <w:r>
                    <w:rPr>
                      <w:rFonts w:hint="eastAsia"/>
                      <w:color w:val="FF0000"/>
                      <w:szCs w:val="21"/>
                      <w:highlight w:val="none"/>
                      <w:lang w:eastAsia="zh-CN"/>
                    </w:rPr>
                    <w:t>，地面硬化：地面应采用防渗、防油、耐腐蚀材料，混凝土强度等级≥C30，厚度≥200mm。地面坡度设计应流向排水沟，确保无积水。防渗措施：地面和墙裙（高度≥0.5m）需做防渗处理。设置防渗漏的紧急收集池，排水系统：清洗间需设明沟或暗管收集废水，连接油水分离设施，排水沟需加装格栅，拦截固体杂物。废水处理：初期雨水、清洗废水必须纳入污水处理系统，达标后方可排放。配备专用废液收集装置（如防静电抽排设备），分类贮存废液。</w:t>
                  </w:r>
                </w:p>
              </w:tc>
              <w:tc>
                <w:tcPr>
                  <w:tcW w:w="445" w:type="pct"/>
                  <w:vAlign w:val="center"/>
                </w:tcPr>
                <w:p w14:paraId="502B46FF">
                  <w:pPr>
                    <w:adjustRightInd w:val="0"/>
                    <w:snapToGrid w:val="0"/>
                    <w:spacing w:line="400" w:lineRule="exact"/>
                    <w:jc w:val="left"/>
                    <w:rPr>
                      <w:rFonts w:hint="eastAsia"/>
                      <w:color w:val="FF0000"/>
                      <w:szCs w:val="21"/>
                      <w:lang w:val="en-US" w:eastAsia="zh-CN"/>
                    </w:rPr>
                  </w:pPr>
                </w:p>
              </w:tc>
            </w:tr>
            <w:tr w14:paraId="0FC28EFC">
              <w:tblPrEx>
                <w:tblBorders>
                  <w:top w:val="double" w:color="auto" w:sz="4" w:space="0"/>
                  <w:left w:val="none" w:color="auto" w:sz="0" w:space="0"/>
                  <w:bottom w:val="double" w:color="auto"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trHeight w:val="0" w:hRule="atLeast"/>
              </w:trPr>
              <w:tc>
                <w:tcPr>
                  <w:tcW w:w="414" w:type="pct"/>
                  <w:vAlign w:val="center"/>
                </w:tcPr>
                <w:p w14:paraId="3FFE43EE">
                  <w:pPr>
                    <w:adjustRightInd w:val="0"/>
                    <w:snapToGrid w:val="0"/>
                    <w:spacing w:line="400" w:lineRule="exact"/>
                    <w:jc w:val="center"/>
                    <w:rPr>
                      <w:szCs w:val="21"/>
                    </w:rPr>
                  </w:pPr>
                  <w:r>
                    <w:rPr>
                      <w:szCs w:val="21"/>
                    </w:rPr>
                    <w:t>辅助工程</w:t>
                  </w:r>
                </w:p>
              </w:tc>
              <w:tc>
                <w:tcPr>
                  <w:tcW w:w="848" w:type="pct"/>
                  <w:gridSpan w:val="2"/>
                  <w:vAlign w:val="center"/>
                </w:tcPr>
                <w:p w14:paraId="1880E831">
                  <w:pPr>
                    <w:adjustRightInd w:val="0"/>
                    <w:snapToGrid w:val="0"/>
                    <w:spacing w:line="400" w:lineRule="exact"/>
                    <w:jc w:val="center"/>
                    <w:rPr>
                      <w:szCs w:val="21"/>
                    </w:rPr>
                  </w:pPr>
                  <w:r>
                    <w:rPr>
                      <w:szCs w:val="21"/>
                    </w:rPr>
                    <w:t>办公室</w:t>
                  </w:r>
                </w:p>
              </w:tc>
              <w:tc>
                <w:tcPr>
                  <w:tcW w:w="3290" w:type="pct"/>
                  <w:vAlign w:val="center"/>
                </w:tcPr>
                <w:p w14:paraId="24585467">
                  <w:pPr>
                    <w:adjustRightInd w:val="0"/>
                    <w:snapToGrid w:val="0"/>
                    <w:spacing w:line="400" w:lineRule="exact"/>
                    <w:jc w:val="center"/>
                    <w:rPr>
                      <w:szCs w:val="21"/>
                    </w:rPr>
                  </w:pPr>
                  <w:r>
                    <w:rPr>
                      <w:rFonts w:hint="eastAsia"/>
                      <w:szCs w:val="21"/>
                    </w:rPr>
                    <w:t>1座，</w:t>
                  </w:r>
                  <w:r>
                    <w:rPr>
                      <w:rFonts w:hint="eastAsia"/>
                      <w:szCs w:val="21"/>
                      <w:lang w:val="en-US" w:eastAsia="zh-CN"/>
                    </w:rPr>
                    <w:t>2</w:t>
                  </w:r>
                  <w:r>
                    <w:rPr>
                      <w:rFonts w:hint="eastAsia"/>
                      <w:szCs w:val="21"/>
                    </w:rPr>
                    <w:t>层，面积300平方米</w:t>
                  </w:r>
                  <w:r>
                    <w:rPr>
                      <w:szCs w:val="21"/>
                    </w:rPr>
                    <w:t>，用于员工办公。</w:t>
                  </w:r>
                </w:p>
              </w:tc>
              <w:tc>
                <w:tcPr>
                  <w:tcW w:w="445" w:type="pct"/>
                  <w:vAlign w:val="center"/>
                </w:tcPr>
                <w:p w14:paraId="6BAABA86">
                  <w:pPr>
                    <w:adjustRightInd w:val="0"/>
                    <w:snapToGrid w:val="0"/>
                    <w:spacing w:line="400" w:lineRule="exact"/>
                    <w:jc w:val="center"/>
                    <w:rPr>
                      <w:rFonts w:hint="default" w:eastAsia="宋体"/>
                      <w:szCs w:val="21"/>
                      <w:lang w:val="en-US" w:eastAsia="zh-CN"/>
                    </w:rPr>
                  </w:pPr>
                  <w:r>
                    <w:rPr>
                      <w:rFonts w:hint="eastAsia"/>
                      <w:szCs w:val="21"/>
                      <w:lang w:val="en-US" w:eastAsia="zh-CN"/>
                    </w:rPr>
                    <w:t>翻新</w:t>
                  </w:r>
                </w:p>
              </w:tc>
            </w:tr>
            <w:tr w14:paraId="3841ECEF">
              <w:tblPrEx>
                <w:tblBorders>
                  <w:top w:val="double" w:color="auto" w:sz="4" w:space="0"/>
                  <w:left w:val="none" w:color="auto" w:sz="0" w:space="0"/>
                  <w:bottom w:val="double" w:color="auto"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03" w:hRule="atLeast"/>
              </w:trPr>
              <w:tc>
                <w:tcPr>
                  <w:tcW w:w="414" w:type="pct"/>
                  <w:vMerge w:val="restart"/>
                  <w:vAlign w:val="center"/>
                </w:tcPr>
                <w:p w14:paraId="35F40707">
                  <w:pPr>
                    <w:adjustRightInd w:val="0"/>
                    <w:snapToGrid w:val="0"/>
                    <w:spacing w:line="400" w:lineRule="exact"/>
                    <w:jc w:val="center"/>
                    <w:rPr>
                      <w:szCs w:val="21"/>
                    </w:rPr>
                  </w:pPr>
                  <w:r>
                    <w:rPr>
                      <w:szCs w:val="21"/>
                    </w:rPr>
                    <w:t>储运</w:t>
                  </w:r>
                </w:p>
                <w:p w14:paraId="6DBE7B32">
                  <w:pPr>
                    <w:adjustRightInd w:val="0"/>
                    <w:snapToGrid w:val="0"/>
                    <w:spacing w:line="400" w:lineRule="exact"/>
                    <w:jc w:val="center"/>
                    <w:rPr>
                      <w:szCs w:val="21"/>
                    </w:rPr>
                  </w:pPr>
                  <w:r>
                    <w:rPr>
                      <w:szCs w:val="21"/>
                    </w:rPr>
                    <w:t>工程</w:t>
                  </w:r>
                </w:p>
              </w:tc>
              <w:tc>
                <w:tcPr>
                  <w:tcW w:w="848" w:type="pct"/>
                  <w:gridSpan w:val="2"/>
                  <w:vAlign w:val="center"/>
                </w:tcPr>
                <w:p w14:paraId="3F891D55">
                  <w:pPr>
                    <w:adjustRightInd w:val="0"/>
                    <w:snapToGrid w:val="0"/>
                    <w:spacing w:line="400" w:lineRule="exact"/>
                    <w:jc w:val="center"/>
                    <w:rPr>
                      <w:color w:val="FF0000"/>
                      <w:szCs w:val="21"/>
                    </w:rPr>
                  </w:pPr>
                  <w:r>
                    <w:rPr>
                      <w:rFonts w:hint="eastAsia"/>
                      <w:color w:val="FF0000"/>
                      <w:szCs w:val="21"/>
                    </w:rPr>
                    <w:t>整车贮存区</w:t>
                  </w:r>
                </w:p>
              </w:tc>
              <w:tc>
                <w:tcPr>
                  <w:tcW w:w="3290" w:type="pct"/>
                  <w:vAlign w:val="center"/>
                </w:tcPr>
                <w:p w14:paraId="2C328A5F">
                  <w:pPr>
                    <w:adjustRightInd w:val="0"/>
                    <w:snapToGrid w:val="0"/>
                    <w:spacing w:line="400" w:lineRule="exact"/>
                    <w:ind w:firstLine="420" w:firstLineChars="200"/>
                    <w:jc w:val="left"/>
                    <w:rPr>
                      <w:rFonts w:hint="default" w:eastAsia="宋体"/>
                      <w:color w:val="FF0000"/>
                      <w:szCs w:val="21"/>
                      <w:lang w:val="en-US" w:eastAsia="zh-CN"/>
                    </w:rPr>
                  </w:pPr>
                  <w:r>
                    <w:rPr>
                      <w:rFonts w:hint="eastAsia"/>
                      <w:color w:val="FF0000"/>
                      <w:szCs w:val="21"/>
                      <w:lang w:val="en-US" w:eastAsia="zh-CN"/>
                    </w:rPr>
                    <w:t>位于厂区中南侧，总</w:t>
                  </w:r>
                  <w:r>
                    <w:rPr>
                      <w:rFonts w:hint="eastAsia"/>
                      <w:color w:val="FF0000"/>
                      <w:szCs w:val="21"/>
                    </w:rPr>
                    <w:t xml:space="preserve">占地面积约 </w:t>
                  </w:r>
                  <w:r>
                    <w:rPr>
                      <w:rFonts w:hint="eastAsia"/>
                      <w:color w:val="FF0000"/>
                      <w:szCs w:val="21"/>
                      <w:lang w:val="en-US" w:eastAsia="zh-CN"/>
                    </w:rPr>
                    <w:t>6</w:t>
                  </w:r>
                  <w:r>
                    <w:rPr>
                      <w:rFonts w:hint="eastAsia"/>
                      <w:color w:val="FF0000"/>
                      <w:szCs w:val="21"/>
                    </w:rPr>
                    <w:t>000m</w:t>
                  </w:r>
                  <w:r>
                    <w:rPr>
                      <w:rFonts w:hint="eastAsia"/>
                      <w:color w:val="FF0000"/>
                      <w:szCs w:val="21"/>
                      <w:vertAlign w:val="superscript"/>
                    </w:rPr>
                    <w:t>2</w:t>
                  </w:r>
                  <w:r>
                    <w:rPr>
                      <w:rFonts w:hint="eastAsia"/>
                      <w:color w:val="FF0000"/>
                      <w:szCs w:val="21"/>
                    </w:rPr>
                    <w:t xml:space="preserve"> </w:t>
                  </w:r>
                  <w:r>
                    <w:rPr>
                      <w:rFonts w:hint="eastAsia"/>
                      <w:color w:val="FF0000"/>
                      <w:szCs w:val="21"/>
                      <w:lang w:eastAsia="zh-CN"/>
                    </w:rPr>
                    <w:t>，</w:t>
                  </w:r>
                  <w:r>
                    <w:rPr>
                      <w:rFonts w:hint="eastAsia"/>
                      <w:color w:val="FF0000"/>
                      <w:szCs w:val="21"/>
                    </w:rPr>
                    <w:t>分为传统燃料机动车区</w:t>
                  </w:r>
                  <w:r>
                    <w:rPr>
                      <w:rFonts w:hint="eastAsia"/>
                      <w:color w:val="FF0000"/>
                      <w:szCs w:val="21"/>
                      <w:lang w:val="en-US" w:eastAsia="zh-CN"/>
                    </w:rPr>
                    <w:t>5000</w:t>
                  </w:r>
                  <w:r>
                    <w:rPr>
                      <w:rFonts w:hint="eastAsia"/>
                      <w:color w:val="FF0000"/>
                      <w:szCs w:val="21"/>
                    </w:rPr>
                    <w:t>m</w:t>
                  </w:r>
                  <w:r>
                    <w:rPr>
                      <w:rFonts w:hint="eastAsia"/>
                      <w:color w:val="FF0000"/>
                      <w:szCs w:val="21"/>
                      <w:vertAlign w:val="superscript"/>
                    </w:rPr>
                    <w:t>2</w:t>
                  </w:r>
                  <w:r>
                    <w:rPr>
                      <w:rFonts w:hint="eastAsia"/>
                      <w:color w:val="FF0000"/>
                      <w:szCs w:val="21"/>
                    </w:rPr>
                    <w:t>和电动汽车区</w:t>
                  </w:r>
                  <w:r>
                    <w:rPr>
                      <w:rFonts w:hint="eastAsia"/>
                      <w:color w:val="FF0000"/>
                      <w:szCs w:val="21"/>
                      <w:lang w:val="en-US" w:eastAsia="zh-CN"/>
                    </w:rPr>
                    <w:t>1000</w:t>
                  </w:r>
                  <w:r>
                    <w:rPr>
                      <w:rFonts w:hint="eastAsia"/>
                      <w:color w:val="FF0000"/>
                      <w:szCs w:val="21"/>
                    </w:rPr>
                    <w:t>m</w:t>
                  </w:r>
                  <w:r>
                    <w:rPr>
                      <w:rFonts w:hint="eastAsia"/>
                      <w:color w:val="FF0000"/>
                      <w:szCs w:val="21"/>
                      <w:vertAlign w:val="superscript"/>
                    </w:rPr>
                    <w:t>2</w:t>
                  </w:r>
                  <w:r>
                    <w:rPr>
                      <w:rFonts w:hint="eastAsia"/>
                      <w:color w:val="FF0000"/>
                      <w:szCs w:val="21"/>
                    </w:rPr>
                    <w:t>，传统燃料机动车区</w:t>
                  </w:r>
                  <w:r>
                    <w:rPr>
                      <w:rFonts w:hint="eastAsia"/>
                      <w:color w:val="FF0000"/>
                      <w:szCs w:val="21"/>
                      <w:lang w:val="en-US" w:eastAsia="zh-CN"/>
                    </w:rPr>
                    <w:t>内设事故车贮存区500</w:t>
                  </w:r>
                  <w:r>
                    <w:rPr>
                      <w:rFonts w:hint="eastAsia"/>
                      <w:color w:val="FF0000"/>
                      <w:szCs w:val="21"/>
                    </w:rPr>
                    <w:t>m</w:t>
                  </w:r>
                  <w:r>
                    <w:rPr>
                      <w:rFonts w:hint="eastAsia"/>
                      <w:color w:val="FF0000"/>
                      <w:szCs w:val="21"/>
                      <w:vertAlign w:val="superscript"/>
                    </w:rPr>
                    <w:t>2</w:t>
                  </w:r>
                  <w:r>
                    <w:rPr>
                      <w:rFonts w:hint="eastAsia"/>
                      <w:color w:val="FF0000"/>
                      <w:szCs w:val="21"/>
                    </w:rPr>
                    <w:t>，</w:t>
                  </w:r>
                  <w:r>
                    <w:rPr>
                      <w:rFonts w:hint="eastAsia"/>
                      <w:color w:val="FF0000"/>
                      <w:szCs w:val="21"/>
                      <w:lang w:val="en-US" w:eastAsia="zh-CN"/>
                    </w:rPr>
                    <w:t>用于贮存</w:t>
                  </w:r>
                  <w:r>
                    <w:rPr>
                      <w:rFonts w:hint="eastAsia"/>
                      <w:color w:val="FF0000"/>
                      <w:szCs w:val="21"/>
                      <w:lang w:eastAsia="zh-CN"/>
                    </w:rPr>
                    <w:t>事故车以及发生</w:t>
                  </w:r>
                  <w:r>
                    <w:rPr>
                      <w:rFonts w:hint="eastAsia"/>
                      <w:color w:val="FF0000"/>
                      <w:szCs w:val="21"/>
                      <w:lang w:val="en-US" w:eastAsia="zh-CN"/>
                    </w:rPr>
                    <w:t>油箱发动机</w:t>
                  </w:r>
                  <w:r>
                    <w:rPr>
                      <w:rFonts w:hint="eastAsia"/>
                      <w:color w:val="FF0000"/>
                      <w:szCs w:val="21"/>
                      <w:lang w:eastAsia="zh-CN"/>
                    </w:rPr>
                    <w:t>破损的车辆；</w:t>
                  </w:r>
                  <w:r>
                    <w:rPr>
                      <w:rFonts w:hint="eastAsia"/>
                      <w:color w:val="FF0000"/>
                      <w:szCs w:val="21"/>
                    </w:rPr>
                    <w:t>电动汽车区</w:t>
                  </w:r>
                  <w:r>
                    <w:rPr>
                      <w:rFonts w:hint="eastAsia"/>
                      <w:color w:val="FF0000"/>
                      <w:szCs w:val="21"/>
                      <w:lang w:val="en-US" w:eastAsia="zh-CN"/>
                    </w:rPr>
                    <w:t>内设事故车贮存区200</w:t>
                  </w:r>
                  <w:r>
                    <w:rPr>
                      <w:rFonts w:hint="eastAsia"/>
                      <w:color w:val="FF0000"/>
                      <w:szCs w:val="21"/>
                    </w:rPr>
                    <w:t>m</w:t>
                  </w:r>
                  <w:r>
                    <w:rPr>
                      <w:rFonts w:hint="eastAsia"/>
                      <w:color w:val="FF0000"/>
                      <w:szCs w:val="21"/>
                      <w:vertAlign w:val="superscript"/>
                    </w:rPr>
                    <w:t>2</w:t>
                  </w:r>
                  <w:r>
                    <w:rPr>
                      <w:rFonts w:hint="eastAsia"/>
                      <w:color w:val="FF0000"/>
                      <w:szCs w:val="21"/>
                    </w:rPr>
                    <w:t>，</w:t>
                  </w:r>
                  <w:r>
                    <w:rPr>
                      <w:rFonts w:hint="eastAsia"/>
                      <w:color w:val="FF0000"/>
                      <w:szCs w:val="21"/>
                      <w:lang w:val="en-US" w:eastAsia="zh-CN"/>
                    </w:rPr>
                    <w:t>用于贮存</w:t>
                  </w:r>
                  <w:r>
                    <w:rPr>
                      <w:rFonts w:hint="eastAsia"/>
                      <w:color w:val="FF0000"/>
                      <w:szCs w:val="21"/>
                      <w:lang w:eastAsia="zh-CN"/>
                    </w:rPr>
                    <w:t>故车以及发生动力蓄电池破损的车辆。</w:t>
                  </w:r>
                </w:p>
                <w:p w14:paraId="75B750FD">
                  <w:pPr>
                    <w:adjustRightInd w:val="0"/>
                    <w:snapToGrid w:val="0"/>
                    <w:spacing w:line="400" w:lineRule="exact"/>
                    <w:ind w:firstLine="420" w:firstLineChars="200"/>
                    <w:jc w:val="left"/>
                    <w:rPr>
                      <w:rFonts w:hint="default"/>
                      <w:color w:val="FF0000"/>
                      <w:szCs w:val="21"/>
                      <w:lang w:val="en-US"/>
                    </w:rPr>
                  </w:pPr>
                  <w:r>
                    <w:rPr>
                      <w:rFonts w:hint="eastAsia"/>
                      <w:color w:val="FF0000"/>
                      <w:szCs w:val="21"/>
                      <w:lang w:val="en-US" w:eastAsia="zh-CN"/>
                    </w:rPr>
                    <w:t>各</w:t>
                  </w:r>
                  <w:r>
                    <w:rPr>
                      <w:rFonts w:hint="eastAsia"/>
                      <w:color w:val="FF0000"/>
                      <w:szCs w:val="21"/>
                    </w:rPr>
                    <w:t>贮存区</w:t>
                  </w:r>
                  <w:r>
                    <w:rPr>
                      <w:rFonts w:hint="eastAsia"/>
                      <w:color w:val="FF0000"/>
                      <w:szCs w:val="21"/>
                      <w:lang w:val="en-US" w:eastAsia="zh-CN"/>
                    </w:rPr>
                    <w:t>均进行</w:t>
                  </w:r>
                  <w:r>
                    <w:rPr>
                      <w:rFonts w:hint="eastAsia"/>
                      <w:color w:val="FF0000"/>
                      <w:szCs w:val="21"/>
                    </w:rPr>
                    <w:t>地面硬化并做防渗处理</w:t>
                  </w:r>
                  <w:r>
                    <w:rPr>
                      <w:rFonts w:hint="eastAsia"/>
                      <w:color w:val="FF0000"/>
                      <w:szCs w:val="21"/>
                      <w:lang w:eastAsia="zh-CN"/>
                    </w:rPr>
                    <w:t>（满足GB50037的防油渗地面要求）</w:t>
                  </w:r>
                  <w:r>
                    <w:rPr>
                      <w:rFonts w:hint="eastAsia"/>
                      <w:color w:val="FF0000"/>
                      <w:szCs w:val="21"/>
                    </w:rPr>
                    <w:t>，用于贮存待拆解车辆，场地四周设截流沟</w:t>
                  </w:r>
                  <w:r>
                    <w:rPr>
                      <w:rFonts w:hint="eastAsia"/>
                      <w:color w:val="FF0000"/>
                      <w:szCs w:val="21"/>
                      <w:lang w:val="en-US" w:eastAsia="zh-CN"/>
                    </w:rPr>
                    <w:t>与厂区事故池直连</w:t>
                  </w:r>
                  <w:r>
                    <w:rPr>
                      <w:rFonts w:hint="eastAsia"/>
                      <w:color w:val="FF0000"/>
                      <w:szCs w:val="21"/>
                    </w:rPr>
                    <w:t>，以保证初期雨水</w:t>
                  </w:r>
                  <w:r>
                    <w:rPr>
                      <w:rFonts w:hint="eastAsia"/>
                      <w:color w:val="FF0000"/>
                      <w:szCs w:val="21"/>
                      <w:lang w:val="en-US" w:eastAsia="zh-CN"/>
                    </w:rPr>
                    <w:t>、电解液、废油液</w:t>
                  </w:r>
                  <w:r>
                    <w:rPr>
                      <w:rFonts w:hint="eastAsia"/>
                      <w:color w:val="FF0000"/>
                      <w:szCs w:val="21"/>
                    </w:rPr>
                    <w:t>不外流。电动汽车</w:t>
                  </w:r>
                  <w:r>
                    <w:rPr>
                      <w:rFonts w:hint="eastAsia"/>
                      <w:color w:val="FF0000"/>
                      <w:szCs w:val="21"/>
                      <w:lang w:val="en-US" w:eastAsia="zh-CN"/>
                    </w:rPr>
                    <w:t>事故车贮存区设置环氧地坪防止电池漏电引发事故。</w:t>
                  </w:r>
                </w:p>
                <w:p w14:paraId="0A371C93">
                  <w:pPr>
                    <w:adjustRightInd w:val="0"/>
                    <w:snapToGrid w:val="0"/>
                    <w:spacing w:line="400" w:lineRule="exact"/>
                    <w:ind w:firstLine="420" w:firstLineChars="200"/>
                    <w:jc w:val="left"/>
                    <w:rPr>
                      <w:rFonts w:hint="eastAsia" w:eastAsia="宋体"/>
                      <w:color w:val="FF0000"/>
                      <w:szCs w:val="21"/>
                      <w:lang w:eastAsia="zh-CN"/>
                    </w:rPr>
                  </w:pPr>
                  <w:r>
                    <w:rPr>
                      <w:rFonts w:hint="eastAsia"/>
                      <w:color w:val="FF0000"/>
                      <w:szCs w:val="21"/>
                    </w:rPr>
                    <w:t>电动汽车贮存场地</w:t>
                  </w:r>
                  <w:r>
                    <w:rPr>
                      <w:rFonts w:hint="eastAsia"/>
                      <w:color w:val="FF0000"/>
                      <w:szCs w:val="21"/>
                      <w:lang w:eastAsia="zh-CN"/>
                    </w:rPr>
                    <w:t>，</w:t>
                  </w:r>
                  <w:r>
                    <w:rPr>
                      <w:rFonts w:hint="eastAsia"/>
                      <w:color w:val="FF0000"/>
                      <w:szCs w:val="21"/>
                      <w:lang w:val="en-US" w:eastAsia="zh-CN"/>
                    </w:rPr>
                    <w:t>设置防雨棚防止雨水直接侵入电池箱体或车辆，入口处</w:t>
                  </w:r>
                  <w:r>
                    <w:rPr>
                      <w:rFonts w:hint="eastAsia"/>
                      <w:color w:val="FF0000"/>
                      <w:szCs w:val="21"/>
                    </w:rPr>
                    <w:t>设有高压警示、区域隔离及危险识别标志</w:t>
                  </w:r>
                  <w:r>
                    <w:rPr>
                      <w:rFonts w:hint="eastAsia"/>
                      <w:color w:val="FF0000"/>
                      <w:szCs w:val="21"/>
                      <w:lang w:eastAsia="zh-CN"/>
                    </w:rPr>
                    <w:t>，</w:t>
                  </w:r>
                  <w:r>
                    <w:rPr>
                      <w:rFonts w:hint="eastAsia"/>
                      <w:color w:val="FF0000"/>
                      <w:szCs w:val="21"/>
                      <w:lang w:val="en-US" w:eastAsia="zh-CN"/>
                    </w:rPr>
                    <w:t>并配备</w:t>
                  </w:r>
                  <w:r>
                    <w:rPr>
                      <w:rFonts w:hint="eastAsia"/>
                      <w:color w:val="FF0000"/>
                      <w:szCs w:val="21"/>
                      <w:lang w:eastAsia="zh-CN"/>
                    </w:rPr>
                    <w:t>有防腐防渗专用容器，用于收集动力蓄电池等破损时泄漏出的电解液、冷却液等有毒有害液体，</w:t>
                  </w:r>
                  <w:r>
                    <w:rPr>
                      <w:rFonts w:hint="eastAsia"/>
                      <w:color w:val="FF0000"/>
                      <w:szCs w:val="21"/>
                      <w:lang w:val="en-US" w:eastAsia="zh-CN"/>
                    </w:rPr>
                    <w:t>区域</w:t>
                  </w:r>
                  <w:r>
                    <w:rPr>
                      <w:rFonts w:hint="eastAsia"/>
                      <w:color w:val="FF0000"/>
                      <w:szCs w:val="21"/>
                      <w:lang w:eastAsia="zh-CN"/>
                    </w:rPr>
                    <w:t>单独管理，并保持通风，事故车以及发生动力蓄电池破损的车辆</w:t>
                  </w:r>
                  <w:r>
                    <w:rPr>
                      <w:rFonts w:hint="eastAsia"/>
                      <w:color w:val="FF0000"/>
                      <w:szCs w:val="21"/>
                      <w:lang w:val="en-US" w:eastAsia="zh-CN"/>
                    </w:rPr>
                    <w:t>单独</w:t>
                  </w:r>
                  <w:r>
                    <w:rPr>
                      <w:rFonts w:hint="eastAsia"/>
                      <w:color w:val="FF0000"/>
                      <w:szCs w:val="21"/>
                      <w:lang w:eastAsia="zh-CN"/>
                    </w:rPr>
                    <w:t>隔离贮存</w:t>
                  </w:r>
                  <w:r>
                    <w:rPr>
                      <w:rFonts w:hint="eastAsia"/>
                      <w:color w:val="FF0000"/>
                      <w:szCs w:val="21"/>
                      <w:lang w:val="en-US" w:eastAsia="zh-CN"/>
                    </w:rPr>
                    <w:t>于事故车贮存区</w:t>
                  </w:r>
                  <w:r>
                    <w:rPr>
                      <w:rFonts w:hint="eastAsia"/>
                      <w:color w:val="FF0000"/>
                      <w:szCs w:val="21"/>
                      <w:lang w:eastAsia="zh-CN"/>
                    </w:rPr>
                    <w:t>。</w:t>
                  </w:r>
                </w:p>
              </w:tc>
              <w:tc>
                <w:tcPr>
                  <w:tcW w:w="445" w:type="pct"/>
                  <w:vAlign w:val="center"/>
                </w:tcPr>
                <w:p w14:paraId="7F4FECF2">
                  <w:pPr>
                    <w:adjustRightInd w:val="0"/>
                    <w:snapToGrid w:val="0"/>
                    <w:spacing w:line="400" w:lineRule="exact"/>
                    <w:jc w:val="center"/>
                    <w:rPr>
                      <w:color w:val="FF0000"/>
                      <w:szCs w:val="21"/>
                    </w:rPr>
                  </w:pPr>
                  <w:r>
                    <w:rPr>
                      <w:rFonts w:hint="eastAsia"/>
                      <w:color w:val="FF0000"/>
                      <w:szCs w:val="21"/>
                    </w:rPr>
                    <w:t>/</w:t>
                  </w:r>
                </w:p>
              </w:tc>
            </w:tr>
            <w:tr w14:paraId="030063BA">
              <w:tblPrEx>
                <w:tblBorders>
                  <w:top w:val="double" w:color="auto" w:sz="4" w:space="0"/>
                  <w:left w:val="none" w:color="auto" w:sz="0" w:space="0"/>
                  <w:bottom w:val="double" w:color="auto"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03" w:hRule="atLeast"/>
              </w:trPr>
              <w:tc>
                <w:tcPr>
                  <w:tcW w:w="414" w:type="pct"/>
                  <w:vMerge w:val="continue"/>
                  <w:vAlign w:val="center"/>
                </w:tcPr>
                <w:p w14:paraId="761360A8">
                  <w:pPr>
                    <w:adjustRightInd w:val="0"/>
                    <w:snapToGrid w:val="0"/>
                    <w:spacing w:line="400" w:lineRule="exact"/>
                    <w:jc w:val="center"/>
                    <w:rPr>
                      <w:szCs w:val="21"/>
                    </w:rPr>
                  </w:pPr>
                </w:p>
              </w:tc>
              <w:tc>
                <w:tcPr>
                  <w:tcW w:w="848" w:type="pct"/>
                  <w:gridSpan w:val="2"/>
                  <w:vAlign w:val="center"/>
                </w:tcPr>
                <w:p w14:paraId="65ED863D">
                  <w:pPr>
                    <w:adjustRightInd w:val="0"/>
                    <w:snapToGrid w:val="0"/>
                    <w:spacing w:line="400" w:lineRule="exact"/>
                    <w:jc w:val="center"/>
                    <w:rPr>
                      <w:rFonts w:hint="default"/>
                      <w:spacing w:val="4"/>
                      <w:highlight w:val="none"/>
                      <w:lang w:val="en-US" w:eastAsia="zh-CN"/>
                    </w:rPr>
                  </w:pPr>
                  <w:r>
                    <w:rPr>
                      <w:rFonts w:hint="eastAsia"/>
                      <w:color w:val="FF0000"/>
                      <w:spacing w:val="4"/>
                      <w:highlight w:val="none"/>
                      <w:lang w:val="en-US" w:eastAsia="zh-CN"/>
                    </w:rPr>
                    <w:t>厂区道路</w:t>
                  </w:r>
                </w:p>
              </w:tc>
              <w:tc>
                <w:tcPr>
                  <w:tcW w:w="3290" w:type="pct"/>
                  <w:vAlign w:val="center"/>
                </w:tcPr>
                <w:p w14:paraId="6E36EAF7">
                  <w:pPr>
                    <w:adjustRightInd w:val="0"/>
                    <w:snapToGrid w:val="0"/>
                    <w:spacing w:line="400" w:lineRule="exact"/>
                    <w:jc w:val="left"/>
                    <w:rPr>
                      <w:rFonts w:hint="default"/>
                      <w:color w:val="FF0000"/>
                      <w:szCs w:val="21"/>
                      <w:lang w:val="en-US" w:eastAsia="zh-CN"/>
                    </w:rPr>
                  </w:pPr>
                  <w:r>
                    <w:rPr>
                      <w:rFonts w:hint="eastAsia"/>
                      <w:color w:val="FF0000"/>
                      <w:szCs w:val="21"/>
                      <w:lang w:val="en-US" w:eastAsia="zh-CN"/>
                    </w:rPr>
                    <w:t>本厂区道路设置：</w:t>
                  </w:r>
                </w:p>
                <w:p w14:paraId="4D4894FE">
                  <w:pPr>
                    <w:adjustRightInd w:val="0"/>
                    <w:snapToGrid w:val="0"/>
                    <w:spacing w:line="400" w:lineRule="exact"/>
                    <w:jc w:val="left"/>
                    <w:rPr>
                      <w:rFonts w:hint="eastAsia"/>
                      <w:color w:val="FF0000"/>
                      <w:szCs w:val="21"/>
                      <w:lang w:val="en-US" w:eastAsia="zh-CN"/>
                    </w:rPr>
                  </w:pPr>
                  <w:r>
                    <w:rPr>
                      <w:rFonts w:hint="eastAsia"/>
                      <w:color w:val="FF0000"/>
                      <w:szCs w:val="21"/>
                      <w:lang w:val="en-US" w:eastAsia="zh-CN"/>
                    </w:rPr>
                    <w:t>①主干道/物流通道长度150m，混凝土强度 ≥C30，厚度 ≥250mm，地基压实度 ≥95%；</w:t>
                  </w:r>
                </w:p>
                <w:p w14:paraId="3B2D1D53">
                  <w:pPr>
                    <w:adjustRightInd w:val="0"/>
                    <w:snapToGrid w:val="0"/>
                    <w:spacing w:line="400" w:lineRule="exact"/>
                    <w:jc w:val="left"/>
                    <w:rPr>
                      <w:rFonts w:hint="eastAsia"/>
                      <w:color w:val="FF0000"/>
                      <w:szCs w:val="21"/>
                      <w:lang w:val="en-US" w:eastAsia="zh-CN"/>
                    </w:rPr>
                  </w:pPr>
                  <w:r>
                    <w:rPr>
                      <w:rFonts w:hint="eastAsia"/>
                      <w:color w:val="FF0000"/>
                      <w:szCs w:val="21"/>
                      <w:lang w:val="en-US" w:eastAsia="zh-CN"/>
                    </w:rPr>
                    <w:t>②</w:t>
                  </w:r>
                  <w:r>
                    <w:rPr>
                      <w:rFonts w:hint="eastAsia"/>
                      <w:color w:val="FF0000"/>
                      <w:szCs w:val="21"/>
                    </w:rPr>
                    <w:t>次干道/一般通道</w:t>
                  </w:r>
                  <w:r>
                    <w:rPr>
                      <w:rFonts w:hint="eastAsia"/>
                      <w:color w:val="FF0000"/>
                      <w:szCs w:val="21"/>
                      <w:lang w:val="en-US" w:eastAsia="zh-CN"/>
                    </w:rPr>
                    <w:t>长度60m混凝土强度 ≥C25，厚度 ≥200mm；</w:t>
                  </w:r>
                </w:p>
                <w:p w14:paraId="108084E1">
                  <w:pPr>
                    <w:adjustRightInd w:val="0"/>
                    <w:snapToGrid w:val="0"/>
                    <w:spacing w:line="400" w:lineRule="exact"/>
                    <w:jc w:val="left"/>
                    <w:rPr>
                      <w:rFonts w:hint="eastAsia" w:eastAsia="宋体"/>
                      <w:szCs w:val="21"/>
                      <w:highlight w:val="none"/>
                      <w:lang w:val="en-US" w:eastAsia="zh-CN"/>
                    </w:rPr>
                  </w:pPr>
                  <w:r>
                    <w:rPr>
                      <w:rFonts w:hint="eastAsia"/>
                      <w:color w:val="FF0000"/>
                      <w:szCs w:val="21"/>
                      <w:lang w:val="en-US" w:eastAsia="zh-CN"/>
                    </w:rPr>
                    <w:t>③</w:t>
                  </w:r>
                  <w:r>
                    <w:rPr>
                      <w:rFonts w:hint="eastAsia"/>
                      <w:color w:val="FF0000"/>
                      <w:szCs w:val="21"/>
                    </w:rPr>
                    <w:t>转弯区域</w:t>
                  </w:r>
                  <w:r>
                    <w:rPr>
                      <w:rFonts w:hint="eastAsia"/>
                      <w:color w:val="FF0000"/>
                      <w:szCs w:val="21"/>
                      <w:lang w:val="en-US" w:eastAsia="zh-CN"/>
                    </w:rPr>
                    <w:t>2处，</w:t>
                  </w:r>
                  <w:r>
                    <w:rPr>
                      <w:rFonts w:hint="eastAsia"/>
                      <w:color w:val="FF0000"/>
                      <w:szCs w:val="21"/>
                    </w:rPr>
                    <w:t>转弯半径</w:t>
                  </w:r>
                  <w:r>
                    <w:rPr>
                      <w:rFonts w:hint="default"/>
                      <w:color w:val="FF0000"/>
                      <w:szCs w:val="21"/>
                    </w:rPr>
                    <w:t> ≥12m（满足30吨拖车通行）</w:t>
                  </w:r>
                  <w:r>
                    <w:rPr>
                      <w:rFonts w:hint="eastAsia"/>
                      <w:color w:val="FF0000"/>
                      <w:szCs w:val="21"/>
                      <w:lang w:eastAsia="zh-CN"/>
                    </w:rPr>
                    <w:t>，</w:t>
                  </w:r>
                  <w:r>
                    <w:rPr>
                      <w:rFonts w:hint="default"/>
                      <w:color w:val="FF0000"/>
                      <w:szCs w:val="21"/>
                    </w:rPr>
                    <w:t>加钢筋网防开裂</w:t>
                  </w:r>
                  <w:r>
                    <w:rPr>
                      <w:rFonts w:hint="eastAsia"/>
                      <w:color w:val="FF0000"/>
                      <w:szCs w:val="21"/>
                      <w:lang w:eastAsia="zh-CN"/>
                    </w:rPr>
                    <w:t>。</w:t>
                  </w:r>
                </w:p>
              </w:tc>
              <w:tc>
                <w:tcPr>
                  <w:tcW w:w="445" w:type="pct"/>
                  <w:vAlign w:val="center"/>
                </w:tcPr>
                <w:p w14:paraId="2382625B">
                  <w:pPr>
                    <w:adjustRightInd w:val="0"/>
                    <w:snapToGrid w:val="0"/>
                    <w:spacing w:line="400" w:lineRule="exact"/>
                    <w:jc w:val="center"/>
                    <w:rPr>
                      <w:rFonts w:hint="eastAsia"/>
                      <w:szCs w:val="21"/>
                    </w:rPr>
                  </w:pPr>
                  <w:r>
                    <w:rPr>
                      <w:rFonts w:hint="eastAsia"/>
                      <w:szCs w:val="21"/>
                    </w:rPr>
                    <w:t>/</w:t>
                  </w:r>
                </w:p>
              </w:tc>
            </w:tr>
            <w:tr w14:paraId="317AA3D8">
              <w:tblPrEx>
                <w:tblBorders>
                  <w:top w:val="double" w:color="auto" w:sz="4" w:space="0"/>
                  <w:left w:val="none" w:color="auto" w:sz="0" w:space="0"/>
                  <w:bottom w:val="double" w:color="auto"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40" w:hRule="atLeast"/>
              </w:trPr>
              <w:tc>
                <w:tcPr>
                  <w:tcW w:w="414" w:type="pct"/>
                  <w:vMerge w:val="restart"/>
                  <w:vAlign w:val="center"/>
                </w:tcPr>
                <w:p w14:paraId="3CCF89AD">
                  <w:pPr>
                    <w:pStyle w:val="117"/>
                    <w:adjustRightInd w:val="0"/>
                    <w:snapToGrid w:val="0"/>
                    <w:spacing w:line="400" w:lineRule="exact"/>
                    <w:rPr>
                      <w:szCs w:val="21"/>
                    </w:rPr>
                  </w:pPr>
                  <w:r>
                    <w:rPr>
                      <w:szCs w:val="21"/>
                    </w:rPr>
                    <w:t>公用</w:t>
                  </w:r>
                </w:p>
                <w:p w14:paraId="00E18266">
                  <w:pPr>
                    <w:pStyle w:val="117"/>
                    <w:adjustRightInd w:val="0"/>
                    <w:snapToGrid w:val="0"/>
                    <w:spacing w:line="400" w:lineRule="exact"/>
                    <w:rPr>
                      <w:szCs w:val="21"/>
                    </w:rPr>
                  </w:pPr>
                  <w:r>
                    <w:rPr>
                      <w:szCs w:val="21"/>
                    </w:rPr>
                    <w:t>工程</w:t>
                  </w:r>
                </w:p>
              </w:tc>
              <w:tc>
                <w:tcPr>
                  <w:tcW w:w="848" w:type="pct"/>
                  <w:gridSpan w:val="2"/>
                  <w:vAlign w:val="center"/>
                </w:tcPr>
                <w:p w14:paraId="665440A5">
                  <w:pPr>
                    <w:pStyle w:val="117"/>
                    <w:adjustRightInd w:val="0"/>
                    <w:snapToGrid w:val="0"/>
                    <w:spacing w:line="400" w:lineRule="exact"/>
                    <w:rPr>
                      <w:szCs w:val="21"/>
                    </w:rPr>
                  </w:pPr>
                  <w:r>
                    <w:rPr>
                      <w:szCs w:val="21"/>
                    </w:rPr>
                    <w:t>给水</w:t>
                  </w:r>
                </w:p>
              </w:tc>
              <w:tc>
                <w:tcPr>
                  <w:tcW w:w="3290" w:type="pct"/>
                  <w:vAlign w:val="center"/>
                </w:tcPr>
                <w:p w14:paraId="4940DF9F">
                  <w:pPr>
                    <w:pStyle w:val="117"/>
                    <w:adjustRightInd w:val="0"/>
                    <w:snapToGrid w:val="0"/>
                    <w:spacing w:line="400" w:lineRule="exact"/>
                    <w:rPr>
                      <w:szCs w:val="21"/>
                    </w:rPr>
                  </w:pPr>
                  <w:r>
                    <w:rPr>
                      <w:rFonts w:hint="eastAsia"/>
                      <w:szCs w:val="21"/>
                    </w:rPr>
                    <w:t>由市政自来水管网供给</w:t>
                  </w:r>
                </w:p>
              </w:tc>
              <w:tc>
                <w:tcPr>
                  <w:tcW w:w="445" w:type="pct"/>
                  <w:vAlign w:val="center"/>
                </w:tcPr>
                <w:p w14:paraId="58CFA85C">
                  <w:pPr>
                    <w:pStyle w:val="117"/>
                    <w:adjustRightInd w:val="0"/>
                    <w:snapToGrid w:val="0"/>
                    <w:spacing w:line="400" w:lineRule="exact"/>
                    <w:rPr>
                      <w:szCs w:val="21"/>
                    </w:rPr>
                  </w:pPr>
                  <w:r>
                    <w:rPr>
                      <w:rFonts w:hint="eastAsia"/>
                      <w:szCs w:val="21"/>
                    </w:rPr>
                    <w:t>/</w:t>
                  </w:r>
                </w:p>
              </w:tc>
            </w:tr>
            <w:tr w14:paraId="2CAFD64C">
              <w:tblPrEx>
                <w:tblBorders>
                  <w:top w:val="double" w:color="auto" w:sz="4" w:space="0"/>
                  <w:left w:val="none" w:color="auto" w:sz="0" w:space="0"/>
                  <w:bottom w:val="double" w:color="auto"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00" w:hRule="atLeast"/>
              </w:trPr>
              <w:tc>
                <w:tcPr>
                  <w:tcW w:w="414" w:type="pct"/>
                  <w:vMerge w:val="continue"/>
                  <w:vAlign w:val="center"/>
                </w:tcPr>
                <w:p w14:paraId="48EC67D1">
                  <w:pPr>
                    <w:pStyle w:val="117"/>
                    <w:adjustRightInd w:val="0"/>
                    <w:snapToGrid w:val="0"/>
                    <w:spacing w:line="400" w:lineRule="exact"/>
                    <w:rPr>
                      <w:szCs w:val="21"/>
                    </w:rPr>
                  </w:pPr>
                </w:p>
              </w:tc>
              <w:tc>
                <w:tcPr>
                  <w:tcW w:w="848" w:type="pct"/>
                  <w:gridSpan w:val="2"/>
                  <w:vAlign w:val="center"/>
                </w:tcPr>
                <w:p w14:paraId="3057884E">
                  <w:pPr>
                    <w:pStyle w:val="117"/>
                    <w:adjustRightInd w:val="0"/>
                    <w:snapToGrid w:val="0"/>
                    <w:spacing w:line="400" w:lineRule="exact"/>
                    <w:rPr>
                      <w:szCs w:val="21"/>
                    </w:rPr>
                  </w:pPr>
                  <w:r>
                    <w:rPr>
                      <w:szCs w:val="21"/>
                    </w:rPr>
                    <w:t>排水</w:t>
                  </w:r>
                </w:p>
              </w:tc>
              <w:tc>
                <w:tcPr>
                  <w:tcW w:w="3290" w:type="pct"/>
                  <w:vAlign w:val="center"/>
                </w:tcPr>
                <w:p w14:paraId="2914E7D6">
                  <w:pPr>
                    <w:pStyle w:val="49"/>
                    <w:tabs>
                      <w:tab w:val="left" w:pos="4665"/>
                      <w:tab w:val="left" w:pos="8970"/>
                    </w:tabs>
                    <w:adjustRightInd w:val="0"/>
                    <w:snapToGrid w:val="0"/>
                    <w:spacing w:line="400" w:lineRule="exact"/>
                    <w:jc w:val="center"/>
                    <w:rPr>
                      <w:rFonts w:ascii="Times New Roman" w:hAnsi="Times New Roman" w:eastAsia="宋体"/>
                      <w:sz w:val="21"/>
                      <w:szCs w:val="21"/>
                    </w:rPr>
                  </w:pPr>
                  <w:r>
                    <w:rPr>
                      <w:rFonts w:ascii="Times New Roman" w:hAnsi="Times New Roman" w:eastAsia="宋体"/>
                      <w:sz w:val="21"/>
                      <w:szCs w:val="21"/>
                    </w:rPr>
                    <w:t>厂区内采取雨污分流，初期雨水和</w:t>
                  </w:r>
                  <w:r>
                    <w:rPr>
                      <w:rFonts w:ascii="Times New Roman" w:hAnsi="Times New Roman" w:eastAsia="宋体"/>
                      <w:color w:val="000000"/>
                      <w:kern w:val="0"/>
                      <w:sz w:val="21"/>
                      <w:szCs w:val="21"/>
                      <w:lang w:bidi="ar"/>
                    </w:rPr>
                    <w:t>报废汽车发动机清洗</w:t>
                  </w:r>
                  <w:r>
                    <w:rPr>
                      <w:rFonts w:hint="eastAsia" w:ascii="Times New Roman" w:hAnsi="Times New Roman" w:eastAsia="宋体"/>
                      <w:color w:val="000000"/>
                      <w:kern w:val="0"/>
                      <w:sz w:val="21"/>
                      <w:szCs w:val="21"/>
                      <w:lang w:bidi="ar"/>
                    </w:rPr>
                    <w:t>废水、</w:t>
                  </w:r>
                  <w:r>
                    <w:rPr>
                      <w:rFonts w:ascii="Times New Roman" w:hAnsi="Times New Roman" w:eastAsia="宋体"/>
                      <w:color w:val="000000"/>
                      <w:kern w:val="0"/>
                      <w:sz w:val="21"/>
                      <w:szCs w:val="21"/>
                      <w:lang w:bidi="ar"/>
                    </w:rPr>
                    <w:t>车间冲洗</w:t>
                  </w:r>
                  <w:r>
                    <w:rPr>
                      <w:rFonts w:hint="eastAsia" w:ascii="Times New Roman" w:hAnsi="Times New Roman" w:eastAsia="宋体"/>
                      <w:color w:val="000000"/>
                      <w:kern w:val="0"/>
                      <w:sz w:val="21"/>
                      <w:szCs w:val="21"/>
                      <w:lang w:bidi="ar"/>
                    </w:rPr>
                    <w:t>废水</w:t>
                  </w:r>
                  <w:r>
                    <w:rPr>
                      <w:rFonts w:ascii="Times New Roman" w:hAnsi="Times New Roman" w:eastAsia="宋体"/>
                      <w:sz w:val="21"/>
                      <w:szCs w:val="21"/>
                    </w:rPr>
                    <w:t>一同</w:t>
                  </w:r>
                  <w:r>
                    <w:rPr>
                      <w:rFonts w:hint="eastAsia" w:ascii="Times New Roman" w:hAnsi="Times New Roman" w:eastAsia="宋体"/>
                      <w:sz w:val="21"/>
                      <w:szCs w:val="21"/>
                      <w:lang w:val="en-US" w:eastAsia="zh-CN"/>
                    </w:rPr>
                    <w:t>排入</w:t>
                  </w:r>
                  <w:r>
                    <w:rPr>
                      <w:rFonts w:ascii="Times New Roman" w:hAnsi="Times New Roman" w:eastAsia="宋体"/>
                      <w:sz w:val="21"/>
                      <w:szCs w:val="21"/>
                    </w:rPr>
                    <w:t>厂内</w:t>
                  </w:r>
                  <w:r>
                    <w:rPr>
                      <w:rFonts w:hint="eastAsia" w:ascii="Times New Roman" w:hAnsi="Times New Roman" w:eastAsia="宋体"/>
                      <w:sz w:val="21"/>
                      <w:szCs w:val="21"/>
                    </w:rPr>
                    <w:t>污水处理站</w:t>
                  </w:r>
                  <w:r>
                    <w:rPr>
                      <w:rFonts w:hint="eastAsia" w:ascii="Times New Roman" w:hAnsi="Times New Roman" w:eastAsia="宋体"/>
                      <w:sz w:val="21"/>
                      <w:szCs w:val="21"/>
                      <w:lang w:val="en-US" w:eastAsia="zh-CN"/>
                    </w:rPr>
                    <w:t>处理达标后</w:t>
                  </w:r>
                  <w:r>
                    <w:rPr>
                      <w:rFonts w:ascii="Times New Roman" w:hAnsi="Times New Roman" w:eastAsia="宋体"/>
                      <w:sz w:val="21"/>
                      <w:szCs w:val="21"/>
                    </w:rPr>
                    <w:t>通过管网</w:t>
                  </w:r>
                  <w:r>
                    <w:rPr>
                      <w:rFonts w:hint="eastAsia" w:ascii="Times New Roman" w:hAnsi="Times New Roman" w:eastAsia="宋体"/>
                      <w:sz w:val="21"/>
                      <w:szCs w:val="21"/>
                      <w:lang w:val="en-US" w:eastAsia="zh-CN"/>
                    </w:rPr>
                    <w:t>排入</w:t>
                  </w:r>
                  <w:r>
                    <w:rPr>
                      <w:rFonts w:hint="eastAsia" w:ascii="Times New Roman" w:hAnsi="Times New Roman" w:eastAsia="宋体"/>
                      <w:sz w:val="21"/>
                      <w:szCs w:val="21"/>
                    </w:rPr>
                    <w:t>北票市污水处理厂</w:t>
                  </w:r>
                  <w:r>
                    <w:rPr>
                      <w:rFonts w:ascii="Times New Roman" w:hAnsi="Times New Roman" w:eastAsia="宋体"/>
                      <w:sz w:val="21"/>
                      <w:szCs w:val="21"/>
                    </w:rPr>
                    <w:t>，生活污水采用</w:t>
                  </w:r>
                  <w:r>
                    <w:rPr>
                      <w:rFonts w:hint="eastAsia" w:ascii="Times New Roman" w:hAnsi="Times New Roman" w:eastAsia="宋体"/>
                      <w:sz w:val="21"/>
                      <w:szCs w:val="21"/>
                    </w:rPr>
                    <w:t>防渗化粪池</w:t>
                  </w:r>
                  <w:r>
                    <w:rPr>
                      <w:rFonts w:ascii="Times New Roman" w:hAnsi="Times New Roman" w:eastAsia="宋体"/>
                      <w:sz w:val="21"/>
                      <w:szCs w:val="21"/>
                    </w:rPr>
                    <w:t>预处理，预处理达标后，通过管网排入</w:t>
                  </w:r>
                  <w:r>
                    <w:rPr>
                      <w:rFonts w:hint="eastAsia" w:ascii="Times New Roman" w:hAnsi="Times New Roman" w:eastAsia="宋体"/>
                      <w:sz w:val="21"/>
                      <w:szCs w:val="21"/>
                    </w:rPr>
                    <w:t>北票市污水处理厂</w:t>
                  </w:r>
                  <w:r>
                    <w:rPr>
                      <w:rFonts w:ascii="Times New Roman" w:hAnsi="Times New Roman" w:eastAsia="宋体"/>
                      <w:sz w:val="21"/>
                      <w:szCs w:val="21"/>
                    </w:rPr>
                    <w:t>。</w:t>
                  </w:r>
                </w:p>
              </w:tc>
              <w:tc>
                <w:tcPr>
                  <w:tcW w:w="445" w:type="pct"/>
                  <w:vAlign w:val="center"/>
                </w:tcPr>
                <w:p w14:paraId="220ECBDE">
                  <w:pPr>
                    <w:adjustRightInd w:val="0"/>
                    <w:snapToGrid w:val="0"/>
                    <w:spacing w:line="400" w:lineRule="exact"/>
                    <w:jc w:val="center"/>
                    <w:rPr>
                      <w:szCs w:val="21"/>
                    </w:rPr>
                  </w:pPr>
                  <w:r>
                    <w:rPr>
                      <w:rFonts w:hint="eastAsia"/>
                      <w:szCs w:val="21"/>
                    </w:rPr>
                    <w:t>/</w:t>
                  </w:r>
                </w:p>
              </w:tc>
            </w:tr>
            <w:tr w14:paraId="72B72099">
              <w:tblPrEx>
                <w:tblBorders>
                  <w:top w:val="double" w:color="auto" w:sz="4" w:space="0"/>
                  <w:left w:val="none" w:color="auto" w:sz="0" w:space="0"/>
                  <w:bottom w:val="double" w:color="auto"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34" w:hRule="exact"/>
              </w:trPr>
              <w:tc>
                <w:tcPr>
                  <w:tcW w:w="414" w:type="pct"/>
                  <w:vMerge w:val="continue"/>
                  <w:vAlign w:val="center"/>
                </w:tcPr>
                <w:p w14:paraId="70BCE27F">
                  <w:pPr>
                    <w:pStyle w:val="117"/>
                    <w:adjustRightInd w:val="0"/>
                    <w:snapToGrid w:val="0"/>
                    <w:spacing w:line="400" w:lineRule="exact"/>
                    <w:rPr>
                      <w:szCs w:val="21"/>
                    </w:rPr>
                  </w:pPr>
                </w:p>
              </w:tc>
              <w:tc>
                <w:tcPr>
                  <w:tcW w:w="848" w:type="pct"/>
                  <w:gridSpan w:val="2"/>
                  <w:vAlign w:val="center"/>
                </w:tcPr>
                <w:p w14:paraId="194A0784">
                  <w:pPr>
                    <w:pStyle w:val="117"/>
                    <w:adjustRightInd w:val="0"/>
                    <w:snapToGrid w:val="0"/>
                    <w:spacing w:line="400" w:lineRule="exact"/>
                    <w:rPr>
                      <w:szCs w:val="21"/>
                    </w:rPr>
                  </w:pPr>
                  <w:r>
                    <w:rPr>
                      <w:szCs w:val="21"/>
                    </w:rPr>
                    <w:t>供电</w:t>
                  </w:r>
                </w:p>
              </w:tc>
              <w:tc>
                <w:tcPr>
                  <w:tcW w:w="3290" w:type="pct"/>
                  <w:vAlign w:val="center"/>
                </w:tcPr>
                <w:p w14:paraId="480F23A7">
                  <w:pPr>
                    <w:pStyle w:val="117"/>
                    <w:adjustRightInd w:val="0"/>
                    <w:snapToGrid w:val="0"/>
                    <w:spacing w:line="400" w:lineRule="exact"/>
                    <w:rPr>
                      <w:szCs w:val="21"/>
                    </w:rPr>
                  </w:pPr>
                  <w:r>
                    <w:rPr>
                      <w:rFonts w:hint="eastAsia"/>
                      <w:szCs w:val="21"/>
                      <w:lang w:bidi="ar"/>
                    </w:rPr>
                    <w:t>国家电网</w:t>
                  </w:r>
                </w:p>
              </w:tc>
              <w:tc>
                <w:tcPr>
                  <w:tcW w:w="445" w:type="pct"/>
                  <w:vAlign w:val="center"/>
                </w:tcPr>
                <w:p w14:paraId="07D78933">
                  <w:pPr>
                    <w:pStyle w:val="117"/>
                    <w:adjustRightInd w:val="0"/>
                    <w:snapToGrid w:val="0"/>
                    <w:spacing w:line="400" w:lineRule="exact"/>
                    <w:rPr>
                      <w:szCs w:val="21"/>
                    </w:rPr>
                  </w:pPr>
                  <w:r>
                    <w:rPr>
                      <w:rFonts w:hint="eastAsia"/>
                      <w:szCs w:val="21"/>
                    </w:rPr>
                    <w:t>/</w:t>
                  </w:r>
                </w:p>
              </w:tc>
            </w:tr>
            <w:tr w14:paraId="09EB009C">
              <w:tblPrEx>
                <w:tblBorders>
                  <w:top w:val="double" w:color="auto" w:sz="4" w:space="0"/>
                  <w:left w:val="none" w:color="auto" w:sz="0" w:space="0"/>
                  <w:bottom w:val="double" w:color="auto"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75" w:hRule="exact"/>
              </w:trPr>
              <w:tc>
                <w:tcPr>
                  <w:tcW w:w="414" w:type="pct"/>
                  <w:vMerge w:val="continue"/>
                  <w:vAlign w:val="center"/>
                </w:tcPr>
                <w:p w14:paraId="766A7AD3">
                  <w:pPr>
                    <w:pStyle w:val="117"/>
                    <w:adjustRightInd w:val="0"/>
                    <w:snapToGrid w:val="0"/>
                    <w:spacing w:line="400" w:lineRule="exact"/>
                    <w:rPr>
                      <w:szCs w:val="21"/>
                    </w:rPr>
                  </w:pPr>
                </w:p>
              </w:tc>
              <w:tc>
                <w:tcPr>
                  <w:tcW w:w="848" w:type="pct"/>
                  <w:gridSpan w:val="2"/>
                  <w:vAlign w:val="center"/>
                </w:tcPr>
                <w:p w14:paraId="6DF6EA8F">
                  <w:pPr>
                    <w:pStyle w:val="117"/>
                    <w:adjustRightInd w:val="0"/>
                    <w:snapToGrid w:val="0"/>
                    <w:spacing w:line="400" w:lineRule="exact"/>
                    <w:rPr>
                      <w:szCs w:val="21"/>
                    </w:rPr>
                  </w:pPr>
                  <w:r>
                    <w:rPr>
                      <w:szCs w:val="21"/>
                    </w:rPr>
                    <w:t>供暖</w:t>
                  </w:r>
                </w:p>
              </w:tc>
              <w:tc>
                <w:tcPr>
                  <w:tcW w:w="3290" w:type="pct"/>
                  <w:vAlign w:val="center"/>
                </w:tcPr>
                <w:p w14:paraId="34915E2B">
                  <w:pPr>
                    <w:pStyle w:val="117"/>
                    <w:adjustRightInd w:val="0"/>
                    <w:snapToGrid w:val="0"/>
                    <w:spacing w:line="400" w:lineRule="exact"/>
                    <w:rPr>
                      <w:szCs w:val="21"/>
                    </w:rPr>
                  </w:pPr>
                  <w:r>
                    <w:rPr>
                      <w:rFonts w:hint="eastAsia"/>
                      <w:szCs w:val="21"/>
                    </w:rPr>
                    <w:t>车间</w:t>
                  </w:r>
                  <w:r>
                    <w:rPr>
                      <w:szCs w:val="21"/>
                    </w:rPr>
                    <w:t>冬季</w:t>
                  </w:r>
                  <w:r>
                    <w:rPr>
                      <w:rFonts w:hint="eastAsia"/>
                      <w:szCs w:val="21"/>
                    </w:rPr>
                    <w:t>不</w:t>
                  </w:r>
                  <w:r>
                    <w:rPr>
                      <w:szCs w:val="21"/>
                    </w:rPr>
                    <w:t>供暖</w:t>
                  </w:r>
                  <w:r>
                    <w:rPr>
                      <w:rFonts w:hint="eastAsia"/>
                      <w:szCs w:val="21"/>
                    </w:rPr>
                    <w:t>，办公室采用电取暖</w:t>
                  </w:r>
                  <w:r>
                    <w:rPr>
                      <w:szCs w:val="21"/>
                    </w:rPr>
                    <w:t>。</w:t>
                  </w:r>
                </w:p>
              </w:tc>
              <w:tc>
                <w:tcPr>
                  <w:tcW w:w="445" w:type="pct"/>
                  <w:vAlign w:val="center"/>
                </w:tcPr>
                <w:p w14:paraId="47D678F4">
                  <w:pPr>
                    <w:pStyle w:val="117"/>
                    <w:adjustRightInd w:val="0"/>
                    <w:snapToGrid w:val="0"/>
                    <w:spacing w:line="400" w:lineRule="exact"/>
                    <w:rPr>
                      <w:szCs w:val="21"/>
                    </w:rPr>
                  </w:pPr>
                  <w:r>
                    <w:rPr>
                      <w:rFonts w:hint="eastAsia"/>
                      <w:szCs w:val="21"/>
                    </w:rPr>
                    <w:t>/</w:t>
                  </w:r>
                </w:p>
              </w:tc>
            </w:tr>
            <w:tr w14:paraId="5EAA7265">
              <w:tblPrEx>
                <w:tblBorders>
                  <w:top w:val="double" w:color="auto" w:sz="4" w:space="0"/>
                  <w:left w:val="none" w:color="auto" w:sz="0" w:space="0"/>
                  <w:bottom w:val="double" w:color="auto"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530" w:hRule="atLeast"/>
              </w:trPr>
              <w:tc>
                <w:tcPr>
                  <w:tcW w:w="414" w:type="pct"/>
                  <w:vMerge w:val="restart"/>
                  <w:vAlign w:val="center"/>
                </w:tcPr>
                <w:p w14:paraId="17831D97">
                  <w:pPr>
                    <w:pStyle w:val="117"/>
                    <w:adjustRightInd w:val="0"/>
                    <w:snapToGrid w:val="0"/>
                    <w:spacing w:line="400" w:lineRule="exact"/>
                    <w:rPr>
                      <w:szCs w:val="21"/>
                    </w:rPr>
                  </w:pPr>
                  <w:r>
                    <w:rPr>
                      <w:szCs w:val="21"/>
                    </w:rPr>
                    <w:t>环保工程</w:t>
                  </w:r>
                </w:p>
              </w:tc>
              <w:tc>
                <w:tcPr>
                  <w:tcW w:w="359" w:type="pct"/>
                  <w:vMerge w:val="restart"/>
                  <w:vAlign w:val="center"/>
                </w:tcPr>
                <w:p w14:paraId="1C12F72F">
                  <w:pPr>
                    <w:pStyle w:val="117"/>
                    <w:adjustRightInd w:val="0"/>
                    <w:snapToGrid w:val="0"/>
                    <w:spacing w:line="400" w:lineRule="exact"/>
                    <w:rPr>
                      <w:szCs w:val="21"/>
                    </w:rPr>
                  </w:pPr>
                  <w:r>
                    <w:rPr>
                      <w:szCs w:val="21"/>
                    </w:rPr>
                    <w:t>废水治理</w:t>
                  </w:r>
                </w:p>
              </w:tc>
              <w:tc>
                <w:tcPr>
                  <w:tcW w:w="489" w:type="pct"/>
                  <w:vAlign w:val="center"/>
                </w:tcPr>
                <w:p w14:paraId="1EA18AF0">
                  <w:pPr>
                    <w:pStyle w:val="117"/>
                    <w:adjustRightInd w:val="0"/>
                    <w:snapToGrid w:val="0"/>
                    <w:spacing w:line="400" w:lineRule="exact"/>
                    <w:rPr>
                      <w:szCs w:val="21"/>
                    </w:rPr>
                  </w:pPr>
                  <w:r>
                    <w:rPr>
                      <w:rFonts w:hint="eastAsia"/>
                      <w:szCs w:val="21"/>
                    </w:rPr>
                    <w:t>生活污水</w:t>
                  </w:r>
                </w:p>
              </w:tc>
              <w:tc>
                <w:tcPr>
                  <w:tcW w:w="3290" w:type="pct"/>
                  <w:vAlign w:val="center"/>
                </w:tcPr>
                <w:p w14:paraId="365BC9E4">
                  <w:pPr>
                    <w:adjustRightInd w:val="0"/>
                    <w:snapToGrid w:val="0"/>
                    <w:spacing w:line="400" w:lineRule="exact"/>
                    <w:jc w:val="center"/>
                    <w:rPr>
                      <w:szCs w:val="21"/>
                    </w:rPr>
                  </w:pPr>
                  <w:r>
                    <w:rPr>
                      <w:szCs w:val="21"/>
                    </w:rPr>
                    <w:t>活污水采用</w:t>
                  </w:r>
                  <w:r>
                    <w:rPr>
                      <w:rFonts w:hint="eastAsia"/>
                      <w:szCs w:val="21"/>
                    </w:rPr>
                    <w:t>防渗化粪池</w:t>
                  </w:r>
                  <w:r>
                    <w:rPr>
                      <w:szCs w:val="21"/>
                    </w:rPr>
                    <w:t>预处理，预处理达标后，通过管网排入</w:t>
                  </w:r>
                  <w:r>
                    <w:rPr>
                      <w:rFonts w:hint="eastAsia"/>
                      <w:szCs w:val="21"/>
                    </w:rPr>
                    <w:t>北票市污水处理厂</w:t>
                  </w:r>
                  <w:r>
                    <w:rPr>
                      <w:szCs w:val="21"/>
                    </w:rPr>
                    <w:t>。</w:t>
                  </w:r>
                </w:p>
              </w:tc>
              <w:tc>
                <w:tcPr>
                  <w:tcW w:w="445" w:type="pct"/>
                  <w:vAlign w:val="center"/>
                </w:tcPr>
                <w:p w14:paraId="7A5D0C36">
                  <w:pPr>
                    <w:adjustRightInd w:val="0"/>
                    <w:snapToGrid w:val="0"/>
                    <w:spacing w:line="400" w:lineRule="exact"/>
                    <w:jc w:val="center"/>
                    <w:rPr>
                      <w:szCs w:val="21"/>
                    </w:rPr>
                  </w:pPr>
                  <w:r>
                    <w:rPr>
                      <w:rFonts w:hint="eastAsia"/>
                      <w:szCs w:val="21"/>
                    </w:rPr>
                    <w:t>/</w:t>
                  </w:r>
                </w:p>
              </w:tc>
            </w:tr>
            <w:tr w14:paraId="4A22B4D2">
              <w:tblPrEx>
                <w:tblBorders>
                  <w:top w:val="double" w:color="auto" w:sz="4" w:space="0"/>
                  <w:left w:val="none" w:color="auto" w:sz="0" w:space="0"/>
                  <w:bottom w:val="double" w:color="auto"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530" w:hRule="atLeast"/>
              </w:trPr>
              <w:tc>
                <w:tcPr>
                  <w:tcW w:w="414" w:type="pct"/>
                  <w:vMerge w:val="continue"/>
                  <w:vAlign w:val="center"/>
                </w:tcPr>
                <w:p w14:paraId="4BF3736B">
                  <w:pPr>
                    <w:adjustRightInd w:val="0"/>
                    <w:snapToGrid w:val="0"/>
                    <w:spacing w:line="400" w:lineRule="exact"/>
                    <w:jc w:val="center"/>
                  </w:pPr>
                </w:p>
              </w:tc>
              <w:tc>
                <w:tcPr>
                  <w:tcW w:w="359" w:type="pct"/>
                  <w:vMerge w:val="continue"/>
                  <w:vAlign w:val="center"/>
                </w:tcPr>
                <w:p w14:paraId="559FAAD5">
                  <w:pPr>
                    <w:adjustRightInd w:val="0"/>
                    <w:snapToGrid w:val="0"/>
                    <w:spacing w:line="400" w:lineRule="exact"/>
                    <w:jc w:val="center"/>
                  </w:pPr>
                </w:p>
              </w:tc>
              <w:tc>
                <w:tcPr>
                  <w:tcW w:w="489" w:type="pct"/>
                  <w:vAlign w:val="center"/>
                </w:tcPr>
                <w:p w14:paraId="69699AD9">
                  <w:pPr>
                    <w:adjustRightInd w:val="0"/>
                    <w:snapToGrid w:val="0"/>
                    <w:spacing w:line="400" w:lineRule="exact"/>
                    <w:jc w:val="center"/>
                    <w:rPr>
                      <w:szCs w:val="21"/>
                    </w:rPr>
                  </w:pPr>
                  <w:r>
                    <w:rPr>
                      <w:color w:val="000000"/>
                      <w:kern w:val="0"/>
                      <w:szCs w:val="21"/>
                      <w:lang w:bidi="ar"/>
                    </w:rPr>
                    <w:t>报废汽车发动机清洗</w:t>
                  </w:r>
                  <w:r>
                    <w:rPr>
                      <w:rFonts w:hint="eastAsia"/>
                      <w:color w:val="000000"/>
                      <w:kern w:val="0"/>
                      <w:szCs w:val="21"/>
                      <w:lang w:bidi="ar"/>
                    </w:rPr>
                    <w:t>废水</w:t>
                  </w:r>
                </w:p>
              </w:tc>
              <w:tc>
                <w:tcPr>
                  <w:tcW w:w="3290" w:type="pct"/>
                  <w:vMerge w:val="restart"/>
                  <w:vAlign w:val="center"/>
                </w:tcPr>
                <w:p w14:paraId="13665F23">
                  <w:pPr>
                    <w:adjustRightInd w:val="0"/>
                    <w:snapToGrid w:val="0"/>
                    <w:spacing w:line="400" w:lineRule="exact"/>
                    <w:jc w:val="center"/>
                    <w:rPr>
                      <w:szCs w:val="21"/>
                    </w:rPr>
                  </w:pPr>
                  <w:r>
                    <w:rPr>
                      <w:szCs w:val="21"/>
                    </w:rPr>
                    <w:t>进入厂内预</w:t>
                  </w:r>
                  <w:r>
                    <w:rPr>
                      <w:rFonts w:hint="eastAsia"/>
                      <w:szCs w:val="21"/>
                    </w:rPr>
                    <w:t>污水处理站，</w:t>
                  </w:r>
                  <w:r>
                    <w:rPr>
                      <w:szCs w:val="21"/>
                    </w:rPr>
                    <w:t>预处理达标后，通过管网排入</w:t>
                  </w:r>
                  <w:r>
                    <w:rPr>
                      <w:rFonts w:hint="eastAsia"/>
                      <w:szCs w:val="21"/>
                    </w:rPr>
                    <w:t>北票市污水处理厂</w:t>
                  </w:r>
                  <w:r>
                    <w:rPr>
                      <w:szCs w:val="21"/>
                    </w:rPr>
                    <w:t>。</w:t>
                  </w:r>
                </w:p>
              </w:tc>
              <w:tc>
                <w:tcPr>
                  <w:tcW w:w="445" w:type="pct"/>
                  <w:vAlign w:val="center"/>
                </w:tcPr>
                <w:p w14:paraId="595C6F32">
                  <w:pPr>
                    <w:adjustRightInd w:val="0"/>
                    <w:snapToGrid w:val="0"/>
                    <w:spacing w:line="400" w:lineRule="exact"/>
                    <w:jc w:val="center"/>
                    <w:rPr>
                      <w:szCs w:val="21"/>
                    </w:rPr>
                  </w:pPr>
                  <w:r>
                    <w:rPr>
                      <w:rFonts w:hint="eastAsia"/>
                      <w:szCs w:val="21"/>
                    </w:rPr>
                    <w:t>/</w:t>
                  </w:r>
                </w:p>
              </w:tc>
            </w:tr>
            <w:tr w14:paraId="3349DFA7">
              <w:tblPrEx>
                <w:tblBorders>
                  <w:top w:val="double" w:color="auto" w:sz="4" w:space="0"/>
                  <w:left w:val="none" w:color="auto" w:sz="0" w:space="0"/>
                  <w:bottom w:val="double" w:color="auto"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530" w:hRule="atLeast"/>
              </w:trPr>
              <w:tc>
                <w:tcPr>
                  <w:tcW w:w="414" w:type="pct"/>
                  <w:vMerge w:val="continue"/>
                  <w:vAlign w:val="center"/>
                </w:tcPr>
                <w:p w14:paraId="307FA618">
                  <w:pPr>
                    <w:adjustRightInd w:val="0"/>
                    <w:snapToGrid w:val="0"/>
                    <w:spacing w:line="400" w:lineRule="exact"/>
                    <w:jc w:val="center"/>
                  </w:pPr>
                </w:p>
              </w:tc>
              <w:tc>
                <w:tcPr>
                  <w:tcW w:w="359" w:type="pct"/>
                  <w:vMerge w:val="continue"/>
                  <w:vAlign w:val="center"/>
                </w:tcPr>
                <w:p w14:paraId="2C13BD56">
                  <w:pPr>
                    <w:adjustRightInd w:val="0"/>
                    <w:snapToGrid w:val="0"/>
                    <w:spacing w:line="400" w:lineRule="exact"/>
                    <w:jc w:val="center"/>
                  </w:pPr>
                </w:p>
              </w:tc>
              <w:tc>
                <w:tcPr>
                  <w:tcW w:w="489" w:type="pct"/>
                  <w:vAlign w:val="center"/>
                </w:tcPr>
                <w:p w14:paraId="0C536530">
                  <w:pPr>
                    <w:adjustRightInd w:val="0"/>
                    <w:snapToGrid w:val="0"/>
                    <w:spacing w:line="400" w:lineRule="exact"/>
                    <w:jc w:val="center"/>
                    <w:rPr>
                      <w:color w:val="000000"/>
                      <w:kern w:val="0"/>
                      <w:szCs w:val="21"/>
                      <w:lang w:bidi="ar"/>
                    </w:rPr>
                  </w:pPr>
                  <w:r>
                    <w:rPr>
                      <w:color w:val="000000"/>
                      <w:kern w:val="0"/>
                      <w:szCs w:val="21"/>
                      <w:lang w:bidi="ar"/>
                    </w:rPr>
                    <w:t>车间冲洗</w:t>
                  </w:r>
                  <w:r>
                    <w:rPr>
                      <w:rFonts w:hint="eastAsia"/>
                      <w:color w:val="000000"/>
                      <w:kern w:val="0"/>
                      <w:szCs w:val="21"/>
                      <w:lang w:bidi="ar"/>
                    </w:rPr>
                    <w:t>废水</w:t>
                  </w:r>
                </w:p>
              </w:tc>
              <w:tc>
                <w:tcPr>
                  <w:tcW w:w="3290" w:type="pct"/>
                  <w:vMerge w:val="continue"/>
                  <w:vAlign w:val="center"/>
                </w:tcPr>
                <w:p w14:paraId="765D86DA">
                  <w:pPr>
                    <w:adjustRightInd w:val="0"/>
                    <w:snapToGrid w:val="0"/>
                    <w:spacing w:line="400" w:lineRule="exact"/>
                    <w:jc w:val="center"/>
                    <w:rPr>
                      <w:szCs w:val="21"/>
                    </w:rPr>
                  </w:pPr>
                </w:p>
              </w:tc>
              <w:tc>
                <w:tcPr>
                  <w:tcW w:w="445" w:type="pct"/>
                  <w:vAlign w:val="center"/>
                </w:tcPr>
                <w:p w14:paraId="7D0B3DAC">
                  <w:pPr>
                    <w:adjustRightInd w:val="0"/>
                    <w:snapToGrid w:val="0"/>
                    <w:spacing w:line="400" w:lineRule="exact"/>
                    <w:jc w:val="center"/>
                    <w:rPr>
                      <w:szCs w:val="21"/>
                    </w:rPr>
                  </w:pPr>
                </w:p>
              </w:tc>
            </w:tr>
            <w:tr w14:paraId="6C481249">
              <w:tblPrEx>
                <w:tblBorders>
                  <w:top w:val="double" w:color="auto" w:sz="4" w:space="0"/>
                  <w:left w:val="none" w:color="auto" w:sz="0" w:space="0"/>
                  <w:bottom w:val="double" w:color="auto"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530" w:hRule="atLeast"/>
              </w:trPr>
              <w:tc>
                <w:tcPr>
                  <w:tcW w:w="414" w:type="pct"/>
                  <w:vMerge w:val="continue"/>
                  <w:vAlign w:val="center"/>
                </w:tcPr>
                <w:p w14:paraId="3415E05C">
                  <w:pPr>
                    <w:adjustRightInd w:val="0"/>
                    <w:snapToGrid w:val="0"/>
                    <w:spacing w:line="400" w:lineRule="exact"/>
                    <w:jc w:val="center"/>
                    <w:rPr>
                      <w:szCs w:val="21"/>
                    </w:rPr>
                  </w:pPr>
                </w:p>
              </w:tc>
              <w:tc>
                <w:tcPr>
                  <w:tcW w:w="359" w:type="pct"/>
                  <w:vMerge w:val="continue"/>
                  <w:vAlign w:val="center"/>
                </w:tcPr>
                <w:p w14:paraId="464D0954">
                  <w:pPr>
                    <w:adjustRightInd w:val="0"/>
                    <w:snapToGrid w:val="0"/>
                    <w:spacing w:line="400" w:lineRule="exact"/>
                    <w:jc w:val="center"/>
                    <w:rPr>
                      <w:szCs w:val="21"/>
                    </w:rPr>
                  </w:pPr>
                </w:p>
              </w:tc>
              <w:tc>
                <w:tcPr>
                  <w:tcW w:w="489" w:type="pct"/>
                  <w:vAlign w:val="center"/>
                </w:tcPr>
                <w:p w14:paraId="146BC88A">
                  <w:pPr>
                    <w:adjustRightInd w:val="0"/>
                    <w:snapToGrid w:val="0"/>
                    <w:spacing w:line="400" w:lineRule="exact"/>
                    <w:jc w:val="center"/>
                    <w:rPr>
                      <w:szCs w:val="21"/>
                    </w:rPr>
                  </w:pPr>
                  <w:r>
                    <w:rPr>
                      <w:rFonts w:hint="eastAsia"/>
                      <w:szCs w:val="21"/>
                    </w:rPr>
                    <w:t>初期雨水</w:t>
                  </w:r>
                </w:p>
              </w:tc>
              <w:tc>
                <w:tcPr>
                  <w:tcW w:w="3290" w:type="pct"/>
                  <w:vMerge w:val="continue"/>
                  <w:vAlign w:val="center"/>
                </w:tcPr>
                <w:p w14:paraId="05F914A0">
                  <w:pPr>
                    <w:adjustRightInd w:val="0"/>
                    <w:snapToGrid w:val="0"/>
                    <w:spacing w:line="400" w:lineRule="exact"/>
                    <w:jc w:val="center"/>
                    <w:rPr>
                      <w:szCs w:val="21"/>
                    </w:rPr>
                  </w:pPr>
                </w:p>
              </w:tc>
              <w:tc>
                <w:tcPr>
                  <w:tcW w:w="445" w:type="pct"/>
                  <w:vAlign w:val="center"/>
                </w:tcPr>
                <w:p w14:paraId="3F990455">
                  <w:pPr>
                    <w:adjustRightInd w:val="0"/>
                    <w:snapToGrid w:val="0"/>
                    <w:spacing w:line="400" w:lineRule="exact"/>
                    <w:jc w:val="center"/>
                    <w:rPr>
                      <w:szCs w:val="21"/>
                    </w:rPr>
                  </w:pPr>
                  <w:r>
                    <w:rPr>
                      <w:rFonts w:hint="eastAsia"/>
                      <w:szCs w:val="21"/>
                    </w:rPr>
                    <w:t>/</w:t>
                  </w:r>
                </w:p>
              </w:tc>
            </w:tr>
            <w:tr w14:paraId="0EFD1B0F">
              <w:tblPrEx>
                <w:tblBorders>
                  <w:top w:val="double" w:color="auto" w:sz="4" w:space="0"/>
                  <w:left w:val="none" w:color="auto" w:sz="0" w:space="0"/>
                  <w:bottom w:val="double" w:color="auto"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97" w:hRule="atLeast"/>
              </w:trPr>
              <w:tc>
                <w:tcPr>
                  <w:tcW w:w="414" w:type="pct"/>
                  <w:vMerge w:val="continue"/>
                  <w:vAlign w:val="center"/>
                </w:tcPr>
                <w:p w14:paraId="23F25975">
                  <w:pPr>
                    <w:adjustRightInd w:val="0"/>
                    <w:snapToGrid w:val="0"/>
                    <w:spacing w:line="400" w:lineRule="exact"/>
                    <w:jc w:val="center"/>
                    <w:rPr>
                      <w:szCs w:val="21"/>
                    </w:rPr>
                  </w:pPr>
                </w:p>
              </w:tc>
              <w:tc>
                <w:tcPr>
                  <w:tcW w:w="359" w:type="pct"/>
                  <w:vMerge w:val="restart"/>
                  <w:vAlign w:val="center"/>
                </w:tcPr>
                <w:p w14:paraId="235E9660">
                  <w:pPr>
                    <w:pStyle w:val="117"/>
                    <w:adjustRightInd w:val="0"/>
                    <w:snapToGrid w:val="0"/>
                    <w:spacing w:line="400" w:lineRule="exact"/>
                    <w:rPr>
                      <w:szCs w:val="21"/>
                    </w:rPr>
                  </w:pPr>
                  <w:r>
                    <w:rPr>
                      <w:szCs w:val="21"/>
                    </w:rPr>
                    <w:t>废气治理</w:t>
                  </w:r>
                </w:p>
              </w:tc>
              <w:tc>
                <w:tcPr>
                  <w:tcW w:w="489" w:type="pct"/>
                  <w:vAlign w:val="center"/>
                </w:tcPr>
                <w:p w14:paraId="7EBBB58A">
                  <w:pPr>
                    <w:pStyle w:val="117"/>
                    <w:adjustRightInd w:val="0"/>
                    <w:snapToGrid w:val="0"/>
                    <w:spacing w:line="400" w:lineRule="exact"/>
                    <w:rPr>
                      <w:szCs w:val="21"/>
                    </w:rPr>
                  </w:pPr>
                  <w:r>
                    <w:rPr>
                      <w:szCs w:val="21"/>
                      <w:lang w:bidi="ar"/>
                    </w:rPr>
                    <w:t>废油液收集废气</w:t>
                  </w:r>
                  <w:r>
                    <w:rPr>
                      <w:rFonts w:hint="eastAsia"/>
                      <w:szCs w:val="21"/>
                      <w:lang w:bidi="ar"/>
                    </w:rPr>
                    <w:t>、</w:t>
                  </w:r>
                  <w:r>
                    <w:rPr>
                      <w:szCs w:val="21"/>
                      <w:lang w:bidi="ar"/>
                    </w:rPr>
                    <w:t>制冷剂收集废气</w:t>
                  </w:r>
                </w:p>
              </w:tc>
              <w:tc>
                <w:tcPr>
                  <w:tcW w:w="3290" w:type="pct"/>
                  <w:vAlign w:val="center"/>
                </w:tcPr>
                <w:p w14:paraId="02307914">
                  <w:pPr>
                    <w:adjustRightInd w:val="0"/>
                    <w:snapToGrid w:val="0"/>
                    <w:spacing w:line="400" w:lineRule="exact"/>
                    <w:jc w:val="center"/>
                    <w:rPr>
                      <w:szCs w:val="21"/>
                    </w:rPr>
                  </w:pPr>
                  <w:r>
                    <w:rPr>
                      <w:rFonts w:hint="eastAsia"/>
                      <w:kern w:val="0"/>
                      <w:szCs w:val="21"/>
                      <w:lang w:bidi="ar"/>
                    </w:rPr>
                    <w:t>集气罩+二级活性炭吸附（TA001）+</w:t>
                  </w:r>
                  <w:r>
                    <w:rPr>
                      <w:rFonts w:hint="eastAsia"/>
                      <w:kern w:val="0"/>
                      <w:szCs w:val="21"/>
                      <w:lang w:eastAsia="zh-CN" w:bidi="ar"/>
                    </w:rPr>
                    <w:t>26m排气筒（</w:t>
                  </w:r>
                  <w:r>
                    <w:rPr>
                      <w:rFonts w:hint="eastAsia"/>
                      <w:kern w:val="0"/>
                      <w:szCs w:val="21"/>
                      <w:lang w:bidi="ar"/>
                    </w:rPr>
                    <w:t>DA001</w:t>
                  </w:r>
                  <w:r>
                    <w:rPr>
                      <w:rFonts w:hint="eastAsia"/>
                      <w:kern w:val="0"/>
                      <w:szCs w:val="21"/>
                      <w:lang w:eastAsia="zh-CN" w:bidi="ar"/>
                    </w:rPr>
                    <w:t>）</w:t>
                  </w:r>
                </w:p>
              </w:tc>
              <w:tc>
                <w:tcPr>
                  <w:tcW w:w="445" w:type="pct"/>
                  <w:vAlign w:val="center"/>
                </w:tcPr>
                <w:p w14:paraId="18A1B72E">
                  <w:pPr>
                    <w:adjustRightInd w:val="0"/>
                    <w:snapToGrid w:val="0"/>
                    <w:spacing w:line="400" w:lineRule="exact"/>
                    <w:jc w:val="center"/>
                    <w:rPr>
                      <w:szCs w:val="21"/>
                    </w:rPr>
                  </w:pPr>
                  <w:r>
                    <w:rPr>
                      <w:rFonts w:hint="eastAsia"/>
                      <w:szCs w:val="21"/>
                    </w:rPr>
                    <w:t>/</w:t>
                  </w:r>
                </w:p>
              </w:tc>
            </w:tr>
            <w:tr w14:paraId="4835FFE4">
              <w:tblPrEx>
                <w:tblBorders>
                  <w:top w:val="double" w:color="auto" w:sz="4" w:space="0"/>
                  <w:left w:val="none" w:color="auto" w:sz="0" w:space="0"/>
                  <w:bottom w:val="double" w:color="auto"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97" w:hRule="atLeast"/>
              </w:trPr>
              <w:tc>
                <w:tcPr>
                  <w:tcW w:w="414" w:type="pct"/>
                  <w:vMerge w:val="continue"/>
                  <w:vAlign w:val="center"/>
                </w:tcPr>
                <w:p w14:paraId="1F03D389">
                  <w:pPr>
                    <w:adjustRightInd w:val="0"/>
                    <w:snapToGrid w:val="0"/>
                    <w:spacing w:line="400" w:lineRule="exact"/>
                    <w:jc w:val="center"/>
                    <w:rPr>
                      <w:szCs w:val="21"/>
                    </w:rPr>
                  </w:pPr>
                </w:p>
              </w:tc>
              <w:tc>
                <w:tcPr>
                  <w:tcW w:w="359" w:type="pct"/>
                  <w:vMerge w:val="continue"/>
                  <w:vAlign w:val="center"/>
                </w:tcPr>
                <w:p w14:paraId="70D6F460">
                  <w:pPr>
                    <w:pStyle w:val="117"/>
                    <w:adjustRightInd w:val="0"/>
                    <w:snapToGrid w:val="0"/>
                    <w:spacing w:line="400" w:lineRule="exact"/>
                    <w:rPr>
                      <w:szCs w:val="21"/>
                    </w:rPr>
                  </w:pPr>
                </w:p>
              </w:tc>
              <w:tc>
                <w:tcPr>
                  <w:tcW w:w="489" w:type="pct"/>
                  <w:vAlign w:val="center"/>
                </w:tcPr>
                <w:p w14:paraId="0169FD44">
                  <w:pPr>
                    <w:pStyle w:val="117"/>
                    <w:adjustRightInd w:val="0"/>
                    <w:snapToGrid w:val="0"/>
                    <w:spacing w:line="400" w:lineRule="exact"/>
                    <w:rPr>
                      <w:szCs w:val="21"/>
                    </w:rPr>
                  </w:pPr>
                  <w:r>
                    <w:rPr>
                      <w:rFonts w:hint="eastAsia"/>
                      <w:szCs w:val="21"/>
                      <w:lang w:bidi="ar"/>
                    </w:rPr>
                    <w:t>废钢破碎粉尘、废钢打包粉尘、废橡胶破碎粉尘</w:t>
                  </w:r>
                </w:p>
              </w:tc>
              <w:tc>
                <w:tcPr>
                  <w:tcW w:w="3290" w:type="pct"/>
                  <w:vAlign w:val="center"/>
                </w:tcPr>
                <w:p w14:paraId="5A25CCE1">
                  <w:pPr>
                    <w:adjustRightInd w:val="0"/>
                    <w:snapToGrid w:val="0"/>
                    <w:spacing w:line="400" w:lineRule="exact"/>
                    <w:jc w:val="center"/>
                    <w:rPr>
                      <w:szCs w:val="21"/>
                    </w:rPr>
                  </w:pPr>
                  <w:r>
                    <w:rPr>
                      <w:rFonts w:hint="eastAsia"/>
                      <w:kern w:val="0"/>
                      <w:szCs w:val="21"/>
                      <w:lang w:eastAsia="zh-CN" w:bidi="ar"/>
                    </w:rPr>
                    <w:t>集气罩</w:t>
                  </w:r>
                  <w:r>
                    <w:rPr>
                      <w:rFonts w:hint="eastAsia"/>
                      <w:kern w:val="0"/>
                      <w:szCs w:val="21"/>
                      <w:lang w:bidi="ar"/>
                    </w:rPr>
                    <w:t>+袋式除尘器（TA002）+</w:t>
                  </w:r>
                  <w:r>
                    <w:rPr>
                      <w:rFonts w:hint="eastAsia"/>
                      <w:kern w:val="0"/>
                      <w:szCs w:val="21"/>
                      <w:lang w:eastAsia="zh-CN" w:bidi="ar"/>
                    </w:rPr>
                    <w:t>26m排气筒</w:t>
                  </w:r>
                  <w:r>
                    <w:rPr>
                      <w:rFonts w:hint="eastAsia"/>
                      <w:kern w:val="0"/>
                      <w:szCs w:val="21"/>
                      <w:lang w:bidi="ar"/>
                    </w:rPr>
                    <w:t>（DA002）</w:t>
                  </w:r>
                </w:p>
              </w:tc>
              <w:tc>
                <w:tcPr>
                  <w:tcW w:w="445" w:type="pct"/>
                  <w:vAlign w:val="center"/>
                </w:tcPr>
                <w:p w14:paraId="7731AFE6">
                  <w:pPr>
                    <w:adjustRightInd w:val="0"/>
                    <w:snapToGrid w:val="0"/>
                    <w:spacing w:line="400" w:lineRule="exact"/>
                    <w:jc w:val="center"/>
                    <w:rPr>
                      <w:szCs w:val="21"/>
                    </w:rPr>
                  </w:pPr>
                  <w:r>
                    <w:rPr>
                      <w:rFonts w:hint="eastAsia"/>
                      <w:szCs w:val="21"/>
                    </w:rPr>
                    <w:t>/</w:t>
                  </w:r>
                </w:p>
              </w:tc>
            </w:tr>
            <w:tr w14:paraId="66815BD6">
              <w:tblPrEx>
                <w:tblBorders>
                  <w:top w:val="double" w:color="auto" w:sz="4" w:space="0"/>
                  <w:left w:val="none" w:color="auto" w:sz="0" w:space="0"/>
                  <w:bottom w:val="double" w:color="auto"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414" w:type="pct"/>
                  <w:vMerge w:val="continue"/>
                  <w:vAlign w:val="center"/>
                </w:tcPr>
                <w:p w14:paraId="58F98746">
                  <w:pPr>
                    <w:pStyle w:val="117"/>
                    <w:adjustRightInd w:val="0"/>
                    <w:snapToGrid w:val="0"/>
                    <w:spacing w:line="400" w:lineRule="exact"/>
                    <w:rPr>
                      <w:szCs w:val="21"/>
                    </w:rPr>
                  </w:pPr>
                </w:p>
              </w:tc>
              <w:tc>
                <w:tcPr>
                  <w:tcW w:w="848" w:type="pct"/>
                  <w:gridSpan w:val="2"/>
                  <w:vAlign w:val="center"/>
                </w:tcPr>
                <w:p w14:paraId="77C777BC">
                  <w:pPr>
                    <w:pStyle w:val="117"/>
                    <w:adjustRightInd w:val="0"/>
                    <w:snapToGrid w:val="0"/>
                    <w:spacing w:line="400" w:lineRule="exact"/>
                    <w:rPr>
                      <w:color w:val="FF0000"/>
                      <w:szCs w:val="21"/>
                    </w:rPr>
                  </w:pPr>
                  <w:r>
                    <w:rPr>
                      <w:color w:val="FF0000"/>
                      <w:szCs w:val="21"/>
                    </w:rPr>
                    <w:t>噪声治理</w:t>
                  </w:r>
                </w:p>
              </w:tc>
              <w:tc>
                <w:tcPr>
                  <w:tcW w:w="3290" w:type="pct"/>
                  <w:vAlign w:val="center"/>
                </w:tcPr>
                <w:p w14:paraId="3A494DA6">
                  <w:pPr>
                    <w:adjustRightInd w:val="0"/>
                    <w:snapToGrid w:val="0"/>
                    <w:spacing w:line="400" w:lineRule="exact"/>
                    <w:jc w:val="both"/>
                    <w:rPr>
                      <w:rFonts w:hint="eastAsia" w:eastAsia="宋体"/>
                      <w:color w:val="FF0000"/>
                      <w:szCs w:val="21"/>
                      <w:lang w:eastAsia="zh-CN"/>
                    </w:rPr>
                  </w:pPr>
                  <w:r>
                    <w:rPr>
                      <w:rFonts w:hint="eastAsia"/>
                      <w:color w:val="FF0000"/>
                      <w:szCs w:val="21"/>
                      <w:lang w:eastAsia="zh-CN"/>
                    </w:rPr>
                    <w:t>选用低噪声设备、安装隔振元件/隔振垫/柔性、实施屏蔽隔声、涂刷防护吸声地坪、使用软性传输装</w:t>
                  </w:r>
                </w:p>
              </w:tc>
              <w:tc>
                <w:tcPr>
                  <w:tcW w:w="445" w:type="pct"/>
                  <w:vAlign w:val="center"/>
                </w:tcPr>
                <w:p w14:paraId="2934B7F1">
                  <w:pPr>
                    <w:adjustRightInd w:val="0"/>
                    <w:snapToGrid w:val="0"/>
                    <w:spacing w:line="400" w:lineRule="exact"/>
                    <w:jc w:val="center"/>
                    <w:rPr>
                      <w:szCs w:val="21"/>
                    </w:rPr>
                  </w:pPr>
                  <w:r>
                    <w:rPr>
                      <w:rFonts w:hint="eastAsia"/>
                      <w:szCs w:val="21"/>
                    </w:rPr>
                    <w:t>/</w:t>
                  </w:r>
                </w:p>
              </w:tc>
            </w:tr>
            <w:tr w14:paraId="296FF9A1">
              <w:tblPrEx>
                <w:tblBorders>
                  <w:top w:val="double" w:color="auto" w:sz="4" w:space="0"/>
                  <w:left w:val="none" w:color="auto" w:sz="0" w:space="0"/>
                  <w:bottom w:val="double" w:color="auto"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530" w:hRule="atLeast"/>
              </w:trPr>
              <w:tc>
                <w:tcPr>
                  <w:tcW w:w="414" w:type="pct"/>
                  <w:vMerge w:val="continue"/>
                  <w:vAlign w:val="center"/>
                </w:tcPr>
                <w:p w14:paraId="0BACFEEE">
                  <w:pPr>
                    <w:pStyle w:val="117"/>
                    <w:adjustRightInd w:val="0"/>
                    <w:snapToGrid w:val="0"/>
                    <w:spacing w:line="400" w:lineRule="exact"/>
                    <w:rPr>
                      <w:szCs w:val="21"/>
                    </w:rPr>
                  </w:pPr>
                </w:p>
              </w:tc>
              <w:tc>
                <w:tcPr>
                  <w:tcW w:w="359" w:type="pct"/>
                  <w:vMerge w:val="restart"/>
                  <w:vAlign w:val="center"/>
                </w:tcPr>
                <w:p w14:paraId="06BCB04E">
                  <w:pPr>
                    <w:pStyle w:val="117"/>
                    <w:adjustRightInd w:val="0"/>
                    <w:snapToGrid w:val="0"/>
                    <w:spacing w:line="400" w:lineRule="exact"/>
                    <w:rPr>
                      <w:color w:val="FF0000"/>
                      <w:szCs w:val="21"/>
                    </w:rPr>
                  </w:pPr>
                  <w:r>
                    <w:rPr>
                      <w:color w:val="FF0000"/>
                      <w:szCs w:val="21"/>
                    </w:rPr>
                    <w:t>固废</w:t>
                  </w:r>
                </w:p>
                <w:p w14:paraId="0FC44A86">
                  <w:pPr>
                    <w:pStyle w:val="117"/>
                    <w:adjustRightInd w:val="0"/>
                    <w:snapToGrid w:val="0"/>
                    <w:spacing w:line="400" w:lineRule="exact"/>
                    <w:rPr>
                      <w:color w:val="FF0000"/>
                      <w:szCs w:val="21"/>
                    </w:rPr>
                  </w:pPr>
                  <w:r>
                    <w:rPr>
                      <w:color w:val="FF0000"/>
                      <w:szCs w:val="21"/>
                    </w:rPr>
                    <w:t>治理</w:t>
                  </w:r>
                </w:p>
              </w:tc>
              <w:tc>
                <w:tcPr>
                  <w:tcW w:w="489" w:type="pct"/>
                  <w:vMerge w:val="restart"/>
                  <w:vAlign w:val="center"/>
                </w:tcPr>
                <w:p w14:paraId="786BB445">
                  <w:pPr>
                    <w:pStyle w:val="117"/>
                    <w:adjustRightInd w:val="0"/>
                    <w:snapToGrid w:val="0"/>
                    <w:spacing w:line="400" w:lineRule="exact"/>
                    <w:rPr>
                      <w:color w:val="FF0000"/>
                      <w:szCs w:val="21"/>
                    </w:rPr>
                  </w:pPr>
                  <w:r>
                    <w:rPr>
                      <w:rFonts w:hint="eastAsia"/>
                      <w:color w:val="FF0000"/>
                      <w:szCs w:val="21"/>
                    </w:rPr>
                    <w:t>一般固废</w:t>
                  </w:r>
                </w:p>
              </w:tc>
              <w:tc>
                <w:tcPr>
                  <w:tcW w:w="3290" w:type="pct"/>
                  <w:vAlign w:val="center"/>
                </w:tcPr>
                <w:p w14:paraId="56EFA0BE">
                  <w:pPr>
                    <w:pStyle w:val="117"/>
                    <w:adjustRightInd w:val="0"/>
                    <w:snapToGrid w:val="0"/>
                    <w:spacing w:line="400" w:lineRule="exact"/>
                    <w:rPr>
                      <w:color w:val="FF0000"/>
                      <w:szCs w:val="21"/>
                    </w:rPr>
                  </w:pPr>
                  <w:r>
                    <w:rPr>
                      <w:rFonts w:hint="eastAsia"/>
                      <w:color w:val="FF0000"/>
                      <w:szCs w:val="21"/>
                      <w:lang w:val="en-US" w:eastAsia="zh-CN"/>
                    </w:rPr>
                    <w:t>生活垃圾暂存厂区</w:t>
                  </w:r>
                  <w:r>
                    <w:rPr>
                      <w:color w:val="FF0000"/>
                      <w:szCs w:val="21"/>
                    </w:rPr>
                    <w:t>垃圾桶</w:t>
                  </w:r>
                  <w:r>
                    <w:rPr>
                      <w:rFonts w:hint="eastAsia"/>
                      <w:color w:val="FF0000"/>
                      <w:szCs w:val="21"/>
                      <w:lang w:eastAsia="zh-CN"/>
                    </w:rPr>
                    <w:t>，</w:t>
                  </w:r>
                  <w:r>
                    <w:rPr>
                      <w:color w:val="FF0000"/>
                      <w:szCs w:val="21"/>
                    </w:rPr>
                    <w:t>定期由环卫部门统一收集</w:t>
                  </w:r>
                  <w:r>
                    <w:rPr>
                      <w:rFonts w:hint="eastAsia"/>
                      <w:color w:val="FF0000"/>
                      <w:szCs w:val="21"/>
                      <w:lang w:val="en-US" w:eastAsia="zh-CN"/>
                    </w:rPr>
                    <w:t>并</w:t>
                  </w:r>
                  <w:r>
                    <w:rPr>
                      <w:color w:val="FF0000"/>
                      <w:szCs w:val="21"/>
                    </w:rPr>
                    <w:t>清运处理</w:t>
                  </w:r>
                  <w:r>
                    <w:rPr>
                      <w:rFonts w:hint="eastAsia"/>
                      <w:color w:val="FF0000"/>
                      <w:szCs w:val="21"/>
                    </w:rPr>
                    <w:t>。</w:t>
                  </w:r>
                </w:p>
              </w:tc>
              <w:tc>
                <w:tcPr>
                  <w:tcW w:w="445" w:type="pct"/>
                  <w:vMerge w:val="restart"/>
                  <w:vAlign w:val="center"/>
                </w:tcPr>
                <w:p w14:paraId="41F68598">
                  <w:pPr>
                    <w:adjustRightInd w:val="0"/>
                    <w:snapToGrid w:val="0"/>
                    <w:spacing w:line="400" w:lineRule="exact"/>
                    <w:jc w:val="center"/>
                    <w:rPr>
                      <w:szCs w:val="21"/>
                    </w:rPr>
                  </w:pPr>
                  <w:r>
                    <w:rPr>
                      <w:rFonts w:hint="eastAsia"/>
                      <w:szCs w:val="21"/>
                    </w:rPr>
                    <w:t>/</w:t>
                  </w:r>
                </w:p>
              </w:tc>
            </w:tr>
            <w:tr w14:paraId="7168AB4F">
              <w:tblPrEx>
                <w:tblBorders>
                  <w:top w:val="double" w:color="auto" w:sz="4" w:space="0"/>
                  <w:left w:val="none" w:color="auto" w:sz="0" w:space="0"/>
                  <w:bottom w:val="double" w:color="auto"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530" w:hRule="atLeast"/>
              </w:trPr>
              <w:tc>
                <w:tcPr>
                  <w:tcW w:w="414" w:type="pct"/>
                  <w:vMerge w:val="continue"/>
                  <w:vAlign w:val="center"/>
                </w:tcPr>
                <w:p w14:paraId="47C84E0F">
                  <w:pPr>
                    <w:pStyle w:val="117"/>
                    <w:adjustRightInd w:val="0"/>
                    <w:snapToGrid w:val="0"/>
                    <w:spacing w:line="400" w:lineRule="exact"/>
                  </w:pPr>
                </w:p>
              </w:tc>
              <w:tc>
                <w:tcPr>
                  <w:tcW w:w="359" w:type="pct"/>
                  <w:vMerge w:val="continue"/>
                  <w:vAlign w:val="center"/>
                </w:tcPr>
                <w:p w14:paraId="6A67749B">
                  <w:pPr>
                    <w:pStyle w:val="117"/>
                    <w:adjustRightInd w:val="0"/>
                    <w:snapToGrid w:val="0"/>
                    <w:spacing w:line="400" w:lineRule="exact"/>
                    <w:rPr>
                      <w:color w:val="FF0000"/>
                    </w:rPr>
                  </w:pPr>
                </w:p>
              </w:tc>
              <w:tc>
                <w:tcPr>
                  <w:tcW w:w="489" w:type="pct"/>
                  <w:vMerge w:val="continue"/>
                  <w:vAlign w:val="center"/>
                </w:tcPr>
                <w:p w14:paraId="1DF15260">
                  <w:pPr>
                    <w:pStyle w:val="117"/>
                    <w:adjustRightInd w:val="0"/>
                    <w:snapToGrid w:val="0"/>
                    <w:spacing w:line="400" w:lineRule="exact"/>
                    <w:rPr>
                      <w:color w:val="FF0000"/>
                    </w:rPr>
                  </w:pPr>
                </w:p>
              </w:tc>
              <w:tc>
                <w:tcPr>
                  <w:tcW w:w="3290" w:type="pct"/>
                  <w:vAlign w:val="center"/>
                </w:tcPr>
                <w:p w14:paraId="3273C6F7">
                  <w:pPr>
                    <w:pStyle w:val="117"/>
                    <w:adjustRightInd w:val="0"/>
                    <w:snapToGrid w:val="0"/>
                    <w:spacing w:line="400" w:lineRule="exact"/>
                    <w:rPr>
                      <w:rFonts w:hint="eastAsia"/>
                      <w:color w:val="FF0000"/>
                      <w:highlight w:val="none"/>
                    </w:rPr>
                  </w:pPr>
                  <w:r>
                    <w:rPr>
                      <w:rFonts w:hint="eastAsia"/>
                      <w:color w:val="FF0000"/>
                      <w:highlight w:val="none"/>
                    </w:rPr>
                    <w:t>可回收利用的资源包括拆解产生的</w:t>
                  </w:r>
                  <w:r>
                    <w:rPr>
                      <w:rFonts w:hint="eastAsia"/>
                      <w:color w:val="FF0000"/>
                      <w:highlight w:val="none"/>
                      <w:lang w:val="en-US" w:eastAsia="zh-CN"/>
                    </w:rPr>
                    <w:t>可回用</w:t>
                  </w:r>
                  <w:r>
                    <w:rPr>
                      <w:rFonts w:hint="eastAsia"/>
                      <w:color w:val="FF0000"/>
                      <w:highlight w:val="none"/>
                    </w:rPr>
                    <w:t>钢铁、</w:t>
                  </w:r>
                  <w:r>
                    <w:rPr>
                      <w:rFonts w:hint="eastAsia"/>
                      <w:color w:val="FF0000"/>
                      <w:highlight w:val="none"/>
                      <w:lang w:val="en-US" w:eastAsia="zh-CN"/>
                    </w:rPr>
                    <w:t>可回用</w:t>
                  </w:r>
                  <w:r>
                    <w:rPr>
                      <w:rFonts w:hint="eastAsia"/>
                      <w:color w:val="FF0000"/>
                      <w:highlight w:val="none"/>
                    </w:rPr>
                    <w:t>有色金属、</w:t>
                  </w:r>
                  <w:r>
                    <w:rPr>
                      <w:rFonts w:hint="eastAsia"/>
                      <w:color w:val="FF0000"/>
                      <w:highlight w:val="none"/>
                      <w:lang w:val="en-US" w:eastAsia="zh-CN"/>
                    </w:rPr>
                    <w:t>可回用</w:t>
                  </w:r>
                  <w:r>
                    <w:rPr>
                      <w:rFonts w:hint="eastAsia"/>
                      <w:color w:val="FF0000"/>
                      <w:highlight w:val="none"/>
                    </w:rPr>
                    <w:t>玻璃、</w:t>
                  </w:r>
                  <w:r>
                    <w:rPr>
                      <w:rFonts w:hint="eastAsia"/>
                      <w:color w:val="FF0000"/>
                      <w:highlight w:val="none"/>
                      <w:lang w:val="en-US" w:eastAsia="zh-CN"/>
                    </w:rPr>
                    <w:t>可回用</w:t>
                  </w:r>
                  <w:r>
                    <w:rPr>
                      <w:rFonts w:hint="eastAsia"/>
                      <w:color w:val="FF0000"/>
                      <w:highlight w:val="none"/>
                    </w:rPr>
                    <w:t>塑料、</w:t>
                  </w:r>
                  <w:r>
                    <w:rPr>
                      <w:rFonts w:hint="eastAsia"/>
                      <w:color w:val="FF0000"/>
                      <w:highlight w:val="none"/>
                      <w:lang w:val="en-US" w:eastAsia="zh-CN"/>
                    </w:rPr>
                    <w:t>可回用</w:t>
                  </w:r>
                  <w:r>
                    <w:rPr>
                      <w:rFonts w:hint="eastAsia"/>
                      <w:color w:val="FF0000"/>
                      <w:highlight w:val="none"/>
                    </w:rPr>
                    <w:t>橡胶</w:t>
                  </w:r>
                  <w:r>
                    <w:rPr>
                      <w:rFonts w:hint="eastAsia"/>
                      <w:color w:val="FF0000"/>
                      <w:highlight w:val="none"/>
                      <w:lang w:eastAsia="zh-CN"/>
                    </w:rPr>
                    <w:t>、</w:t>
                  </w:r>
                  <w:r>
                    <w:rPr>
                      <w:rFonts w:hint="eastAsia"/>
                      <w:color w:val="FF0000"/>
                      <w:highlight w:val="none"/>
                      <w:lang w:val="en-US" w:eastAsia="zh-CN"/>
                    </w:rPr>
                    <w:t>动力电池</w:t>
                  </w:r>
                  <w:r>
                    <w:rPr>
                      <w:rFonts w:hint="eastAsia"/>
                      <w:color w:val="FF0000"/>
                      <w:highlight w:val="none"/>
                    </w:rPr>
                    <w:t>等作为产品暂存于回用件暂存区，</w:t>
                  </w:r>
                  <w:r>
                    <w:rPr>
                      <w:rFonts w:hint="eastAsia"/>
                      <w:color w:val="FF0000"/>
                      <w:highlight w:val="none"/>
                      <w:lang w:eastAsia="zh-CN"/>
                    </w:rPr>
                    <w:t>定期交由具有相应处理能力或经营范围的单位利用和处置</w:t>
                  </w:r>
                  <w:r>
                    <w:rPr>
                      <w:rFonts w:hint="eastAsia"/>
                      <w:color w:val="FF0000"/>
                      <w:highlight w:val="none"/>
                    </w:rPr>
                    <w:t>。</w:t>
                  </w:r>
                </w:p>
                <w:p w14:paraId="332BD9A9">
                  <w:pPr>
                    <w:pStyle w:val="117"/>
                    <w:adjustRightInd w:val="0"/>
                    <w:snapToGrid w:val="0"/>
                    <w:spacing w:line="400" w:lineRule="exact"/>
                    <w:rPr>
                      <w:color w:val="FF0000"/>
                      <w:highlight w:val="none"/>
                    </w:rPr>
                  </w:pPr>
                  <w:r>
                    <w:rPr>
                      <w:rFonts w:hint="eastAsia"/>
                      <w:color w:val="FF0000"/>
                      <w:highlight w:val="none"/>
                    </w:rPr>
                    <w:t>不可利用废物如废皮布制品、其他不可利用废料</w:t>
                  </w:r>
                  <w:r>
                    <w:rPr>
                      <w:rFonts w:hint="eastAsia"/>
                      <w:color w:val="FF0000"/>
                      <w:highlight w:val="none"/>
                      <w:lang w:eastAsia="zh-CN"/>
                    </w:rPr>
                    <w:t>、</w:t>
                  </w:r>
                  <w:r>
                    <w:rPr>
                      <w:rFonts w:hint="eastAsia"/>
                      <w:color w:val="FF0000"/>
                      <w:highlight w:val="none"/>
                      <w:lang w:val="en-US" w:eastAsia="zh-CN"/>
                    </w:rPr>
                    <w:t>除尘灰、落地粉尘</w:t>
                  </w:r>
                  <w:r>
                    <w:rPr>
                      <w:rFonts w:hint="eastAsia"/>
                      <w:color w:val="FF0000"/>
                      <w:highlight w:val="none"/>
                    </w:rPr>
                    <w:t>等暂存于一般固废暂存区，</w:t>
                  </w:r>
                  <w:r>
                    <w:rPr>
                      <w:rFonts w:hint="eastAsia"/>
                      <w:color w:val="FF0000"/>
                      <w:highlight w:val="none"/>
                      <w:lang w:eastAsia="zh-CN"/>
                    </w:rPr>
                    <w:t>定期交由具有相应处理能力或经营范围的单位利用和处置</w:t>
                  </w:r>
                  <w:r>
                    <w:rPr>
                      <w:rFonts w:hint="eastAsia"/>
                      <w:color w:val="FF0000"/>
                      <w:highlight w:val="none"/>
                    </w:rPr>
                    <w:t>。</w:t>
                  </w:r>
                </w:p>
              </w:tc>
              <w:tc>
                <w:tcPr>
                  <w:tcW w:w="445" w:type="pct"/>
                  <w:vMerge w:val="continue"/>
                  <w:vAlign w:val="center"/>
                </w:tcPr>
                <w:p w14:paraId="554C7671">
                  <w:pPr>
                    <w:pStyle w:val="117"/>
                    <w:adjustRightInd w:val="0"/>
                    <w:snapToGrid w:val="0"/>
                    <w:spacing w:line="400" w:lineRule="exact"/>
                  </w:pPr>
                </w:p>
              </w:tc>
            </w:tr>
            <w:tr w14:paraId="0F81B525">
              <w:tblPrEx>
                <w:tblBorders>
                  <w:top w:val="double" w:color="auto" w:sz="4" w:space="0"/>
                  <w:left w:val="none" w:color="auto" w:sz="0" w:space="0"/>
                  <w:bottom w:val="double" w:color="auto"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602" w:hRule="atLeast"/>
              </w:trPr>
              <w:tc>
                <w:tcPr>
                  <w:tcW w:w="414" w:type="pct"/>
                  <w:vMerge w:val="continue"/>
                  <w:vAlign w:val="center"/>
                </w:tcPr>
                <w:p w14:paraId="5780E2DE">
                  <w:pPr>
                    <w:adjustRightInd w:val="0"/>
                    <w:snapToGrid w:val="0"/>
                    <w:spacing w:line="400" w:lineRule="exact"/>
                    <w:jc w:val="center"/>
                  </w:pPr>
                </w:p>
              </w:tc>
              <w:tc>
                <w:tcPr>
                  <w:tcW w:w="359" w:type="pct"/>
                  <w:vMerge w:val="continue"/>
                  <w:vAlign w:val="center"/>
                </w:tcPr>
                <w:p w14:paraId="068C5184">
                  <w:pPr>
                    <w:adjustRightInd w:val="0"/>
                    <w:snapToGrid w:val="0"/>
                    <w:spacing w:line="400" w:lineRule="exact"/>
                    <w:jc w:val="center"/>
                    <w:rPr>
                      <w:color w:val="FF0000"/>
                    </w:rPr>
                  </w:pPr>
                </w:p>
              </w:tc>
              <w:tc>
                <w:tcPr>
                  <w:tcW w:w="489" w:type="pct"/>
                  <w:vAlign w:val="center"/>
                </w:tcPr>
                <w:p w14:paraId="501FF9E3">
                  <w:pPr>
                    <w:adjustRightInd w:val="0"/>
                    <w:snapToGrid w:val="0"/>
                    <w:spacing w:line="400" w:lineRule="exact"/>
                    <w:jc w:val="center"/>
                    <w:rPr>
                      <w:color w:val="FF0000"/>
                    </w:rPr>
                  </w:pPr>
                  <w:r>
                    <w:rPr>
                      <w:rFonts w:hint="eastAsia"/>
                      <w:color w:val="FF0000"/>
                    </w:rPr>
                    <w:t>危险废物</w:t>
                  </w:r>
                </w:p>
              </w:tc>
              <w:tc>
                <w:tcPr>
                  <w:tcW w:w="3290" w:type="pct"/>
                  <w:vAlign w:val="center"/>
                </w:tcPr>
                <w:p w14:paraId="75C2577F">
                  <w:pPr>
                    <w:adjustRightInd w:val="0"/>
                    <w:snapToGrid w:val="0"/>
                    <w:spacing w:line="400" w:lineRule="exact"/>
                    <w:jc w:val="center"/>
                    <w:rPr>
                      <w:color w:val="FF0000"/>
                      <w:szCs w:val="21"/>
                      <w:highlight w:val="none"/>
                    </w:rPr>
                  </w:pPr>
                  <w:r>
                    <w:rPr>
                      <w:rFonts w:hint="eastAsia"/>
                      <w:color w:val="FF0000"/>
                      <w:szCs w:val="21"/>
                      <w:highlight w:val="none"/>
                    </w:rPr>
                    <w:t>废液化气罐、废制冷剂、铅酸蓄电池、废矿物油、废燃料油、废尾气净化装置及催化剂、废滤清器和废油箱、废电路板及电子元件、含铅部件、含汞部件、废活性炭、</w:t>
                  </w:r>
                  <w:r>
                    <w:rPr>
                      <w:rFonts w:hint="eastAsia"/>
                      <w:color w:val="FF0000"/>
                      <w:szCs w:val="21"/>
                      <w:highlight w:val="none"/>
                      <w:lang w:eastAsia="zh-CN"/>
                    </w:rPr>
                    <w:t>油泥及沉渣</w:t>
                  </w:r>
                  <w:r>
                    <w:rPr>
                      <w:rFonts w:hint="eastAsia"/>
                      <w:color w:val="FF0000"/>
                      <w:szCs w:val="21"/>
                      <w:highlight w:val="none"/>
                    </w:rPr>
                    <w:t>、含多氯联苯废电容器</w:t>
                  </w:r>
                  <w:r>
                    <w:rPr>
                      <w:rFonts w:hint="eastAsia"/>
                      <w:color w:val="FF0000"/>
                      <w:szCs w:val="21"/>
                      <w:highlight w:val="none"/>
                      <w:lang w:eastAsia="zh-CN"/>
                    </w:rPr>
                    <w:t>、</w:t>
                  </w:r>
                  <w:r>
                    <w:rPr>
                      <w:rFonts w:hint="eastAsia"/>
                      <w:color w:val="FF0000"/>
                      <w:szCs w:val="21"/>
                      <w:highlight w:val="none"/>
                      <w:lang w:val="en-US" w:eastAsia="zh-CN"/>
                    </w:rPr>
                    <w:t>废有机溶剂、石棉废物</w:t>
                  </w:r>
                  <w:r>
                    <w:rPr>
                      <w:rFonts w:hint="eastAsia"/>
                      <w:color w:val="FF0000"/>
                      <w:szCs w:val="21"/>
                      <w:highlight w:val="none"/>
                    </w:rPr>
                    <w:t>等由建设单位</w:t>
                  </w:r>
                  <w:r>
                    <w:rPr>
                      <w:rFonts w:hint="eastAsia" w:ascii="宋体" w:hAnsi="宋体" w:cs="宋体"/>
                      <w:color w:val="FF0000"/>
                      <w:kern w:val="0"/>
                      <w:szCs w:val="21"/>
                      <w:highlight w:val="none"/>
                      <w:lang w:bidi="ar"/>
                    </w:rPr>
                    <w:t>厂内集中收集，分类、分区暂存在</w:t>
                  </w:r>
                  <w:r>
                    <w:rPr>
                      <w:rFonts w:hint="eastAsia" w:ascii="宋体" w:hAnsi="宋体" w:cs="宋体"/>
                      <w:color w:val="FF0000"/>
                      <w:kern w:val="0"/>
                      <w:szCs w:val="21"/>
                      <w:highlight w:val="none"/>
                      <w:lang w:eastAsia="zh-CN" w:bidi="ar"/>
                    </w:rPr>
                    <w:t>危废贮存点</w:t>
                  </w:r>
                  <w:r>
                    <w:rPr>
                      <w:rFonts w:hint="eastAsia" w:ascii="宋体" w:hAnsi="宋体" w:cs="宋体"/>
                      <w:color w:val="FF0000"/>
                      <w:kern w:val="0"/>
                      <w:szCs w:val="21"/>
                      <w:highlight w:val="none"/>
                      <w:lang w:bidi="ar"/>
                    </w:rPr>
                    <w:t>内，定期</w:t>
                  </w:r>
                  <w:r>
                    <w:rPr>
                      <w:rFonts w:hint="eastAsia" w:ascii="宋体" w:hAnsi="宋体" w:cs="宋体"/>
                      <w:color w:val="FF0000"/>
                      <w:kern w:val="0"/>
                      <w:szCs w:val="21"/>
                      <w:highlight w:val="none"/>
                      <w:lang w:eastAsia="zh-CN" w:bidi="ar"/>
                    </w:rPr>
                    <w:t>交由具有相应资质的单位利用和处置</w:t>
                  </w:r>
                  <w:r>
                    <w:rPr>
                      <w:rFonts w:hint="eastAsia" w:ascii="宋体" w:hAnsi="宋体" w:cs="宋体"/>
                      <w:color w:val="FF0000"/>
                      <w:kern w:val="0"/>
                      <w:szCs w:val="21"/>
                      <w:highlight w:val="none"/>
                      <w:lang w:bidi="ar"/>
                    </w:rPr>
                    <w:t>。</w:t>
                  </w:r>
                </w:p>
              </w:tc>
              <w:tc>
                <w:tcPr>
                  <w:tcW w:w="445" w:type="pct"/>
                  <w:vAlign w:val="center"/>
                </w:tcPr>
                <w:p w14:paraId="3BA3A1C4">
                  <w:pPr>
                    <w:adjustRightInd w:val="0"/>
                    <w:snapToGrid w:val="0"/>
                    <w:spacing w:line="400" w:lineRule="exact"/>
                    <w:jc w:val="center"/>
                    <w:rPr>
                      <w:szCs w:val="21"/>
                    </w:rPr>
                  </w:pPr>
                  <w:r>
                    <w:rPr>
                      <w:rFonts w:hint="eastAsia"/>
                      <w:szCs w:val="21"/>
                    </w:rPr>
                    <w:t>/</w:t>
                  </w:r>
                </w:p>
              </w:tc>
            </w:tr>
            <w:tr w14:paraId="0A16D835">
              <w:tblPrEx>
                <w:tblBorders>
                  <w:top w:val="double" w:color="auto" w:sz="4" w:space="0"/>
                  <w:left w:val="none" w:color="auto" w:sz="0" w:space="0"/>
                  <w:bottom w:val="double" w:color="auto"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90" w:hRule="atLeast"/>
              </w:trPr>
              <w:tc>
                <w:tcPr>
                  <w:tcW w:w="773" w:type="pct"/>
                  <w:gridSpan w:val="2"/>
                  <w:vMerge w:val="restart"/>
                  <w:vAlign w:val="center"/>
                </w:tcPr>
                <w:p w14:paraId="7E0F1737">
                  <w:pPr>
                    <w:adjustRightInd w:val="0"/>
                    <w:snapToGrid w:val="0"/>
                    <w:spacing w:line="400" w:lineRule="exact"/>
                    <w:jc w:val="center"/>
                  </w:pPr>
                  <w:r>
                    <w:rPr>
                      <w:rFonts w:hint="eastAsia"/>
                      <w:color w:val="FF0000"/>
                    </w:rPr>
                    <w:t>风险防范</w:t>
                  </w:r>
                </w:p>
              </w:tc>
              <w:tc>
                <w:tcPr>
                  <w:tcW w:w="489" w:type="pct"/>
                  <w:vAlign w:val="center"/>
                </w:tcPr>
                <w:p w14:paraId="23FAA3D3">
                  <w:pPr>
                    <w:adjustRightInd w:val="0"/>
                    <w:snapToGrid w:val="0"/>
                    <w:spacing w:line="400" w:lineRule="exact"/>
                    <w:jc w:val="center"/>
                    <w:rPr>
                      <w:color w:val="FF0000"/>
                      <w:szCs w:val="21"/>
                    </w:rPr>
                  </w:pPr>
                  <w:r>
                    <w:rPr>
                      <w:rFonts w:hint="eastAsia"/>
                      <w:color w:val="FF0000"/>
                      <w:szCs w:val="21"/>
                    </w:rPr>
                    <w:t>初期雨水池</w:t>
                  </w:r>
                </w:p>
              </w:tc>
              <w:tc>
                <w:tcPr>
                  <w:tcW w:w="3290" w:type="pct"/>
                  <w:vAlign w:val="center"/>
                </w:tcPr>
                <w:p w14:paraId="616B9F74">
                  <w:pPr>
                    <w:adjustRightInd w:val="0"/>
                    <w:snapToGrid w:val="0"/>
                    <w:spacing w:line="400" w:lineRule="exact"/>
                    <w:jc w:val="center"/>
                    <w:rPr>
                      <w:rFonts w:hint="eastAsia" w:eastAsia="宋体"/>
                      <w:color w:val="FF0000"/>
                      <w:szCs w:val="21"/>
                      <w:lang w:eastAsia="zh-CN"/>
                    </w:rPr>
                  </w:pPr>
                  <w:r>
                    <w:rPr>
                      <w:rFonts w:hint="eastAsia"/>
                      <w:color w:val="FF0000"/>
                      <w:szCs w:val="21"/>
                    </w:rPr>
                    <w:t>1座，容积200</w:t>
                  </w:r>
                  <w:r>
                    <w:rPr>
                      <w:color w:val="FF0000"/>
                      <w:szCs w:val="21"/>
                    </w:rPr>
                    <w:t>m</w:t>
                  </w:r>
                  <w:r>
                    <w:rPr>
                      <w:color w:val="FF0000"/>
                      <w:szCs w:val="21"/>
                      <w:vertAlign w:val="superscript"/>
                    </w:rPr>
                    <w:t>3</w:t>
                  </w:r>
                  <w:r>
                    <w:rPr>
                      <w:rFonts w:hint="eastAsia"/>
                      <w:color w:val="FF0000"/>
                      <w:szCs w:val="21"/>
                    </w:rPr>
                    <w:t>，地下式钢筋混凝土结构，防渗等级≥1.5 mm（参照GB/T 50934），内壁防腐处理（如环氧树脂涂层）；切换装置：在污染区雨水管网出口设 自动切换阀，初期雨水入收集池，后期清净雨水直排清净管网；导排设施：明沟或管道系统，坡度≥0.5%确保雨水自流进入收集池</w:t>
                  </w:r>
                  <w:r>
                    <w:rPr>
                      <w:rFonts w:hint="eastAsia"/>
                      <w:color w:val="FF0000"/>
                      <w:szCs w:val="21"/>
                      <w:lang w:eastAsia="zh-CN"/>
                    </w:rPr>
                    <w:t>。</w:t>
                  </w:r>
                </w:p>
              </w:tc>
              <w:tc>
                <w:tcPr>
                  <w:tcW w:w="445" w:type="pct"/>
                  <w:vAlign w:val="center"/>
                </w:tcPr>
                <w:p w14:paraId="78D1221E">
                  <w:pPr>
                    <w:adjustRightInd w:val="0"/>
                    <w:snapToGrid w:val="0"/>
                    <w:spacing w:line="400" w:lineRule="exact"/>
                    <w:jc w:val="center"/>
                    <w:rPr>
                      <w:szCs w:val="21"/>
                    </w:rPr>
                  </w:pPr>
                  <w:r>
                    <w:rPr>
                      <w:rFonts w:hint="eastAsia"/>
                      <w:szCs w:val="21"/>
                    </w:rPr>
                    <w:t>/</w:t>
                  </w:r>
                </w:p>
              </w:tc>
            </w:tr>
            <w:tr w14:paraId="47769E70">
              <w:tblPrEx>
                <w:tblBorders>
                  <w:top w:val="double" w:color="auto" w:sz="4" w:space="0"/>
                  <w:left w:val="none" w:color="auto" w:sz="0" w:space="0"/>
                  <w:bottom w:val="double" w:color="auto"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90" w:hRule="atLeast"/>
              </w:trPr>
              <w:tc>
                <w:tcPr>
                  <w:tcW w:w="773" w:type="pct"/>
                  <w:gridSpan w:val="2"/>
                  <w:vMerge w:val="continue"/>
                  <w:vAlign w:val="center"/>
                </w:tcPr>
                <w:p w14:paraId="29710DBF">
                  <w:pPr>
                    <w:adjustRightInd w:val="0"/>
                    <w:snapToGrid w:val="0"/>
                    <w:spacing w:line="400" w:lineRule="exact"/>
                    <w:jc w:val="center"/>
                  </w:pPr>
                </w:p>
              </w:tc>
              <w:tc>
                <w:tcPr>
                  <w:tcW w:w="489" w:type="pct"/>
                  <w:vAlign w:val="center"/>
                </w:tcPr>
                <w:p w14:paraId="71291D78">
                  <w:pPr>
                    <w:adjustRightInd w:val="0"/>
                    <w:snapToGrid w:val="0"/>
                    <w:spacing w:line="400" w:lineRule="exact"/>
                    <w:jc w:val="center"/>
                    <w:rPr>
                      <w:color w:val="FF0000"/>
                    </w:rPr>
                  </w:pPr>
                  <w:r>
                    <w:rPr>
                      <w:color w:val="FF0000"/>
                      <w:szCs w:val="21"/>
                    </w:rPr>
                    <w:t>事故池</w:t>
                  </w:r>
                </w:p>
              </w:tc>
              <w:tc>
                <w:tcPr>
                  <w:tcW w:w="3290" w:type="pct"/>
                  <w:vAlign w:val="center"/>
                </w:tcPr>
                <w:p w14:paraId="515C7091">
                  <w:pPr>
                    <w:adjustRightInd w:val="0"/>
                    <w:snapToGrid w:val="0"/>
                    <w:spacing w:line="400" w:lineRule="exact"/>
                    <w:jc w:val="center"/>
                    <w:rPr>
                      <w:rFonts w:hint="default"/>
                      <w:color w:val="FF0000"/>
                      <w:szCs w:val="21"/>
                      <w:lang w:val="en-US"/>
                    </w:rPr>
                  </w:pPr>
                  <w:r>
                    <w:rPr>
                      <w:rFonts w:hint="eastAsia"/>
                      <w:color w:val="FF0000"/>
                      <w:szCs w:val="21"/>
                    </w:rPr>
                    <w:t>1座，容积240</w:t>
                  </w:r>
                  <w:r>
                    <w:rPr>
                      <w:color w:val="FF0000"/>
                      <w:szCs w:val="21"/>
                    </w:rPr>
                    <w:t>m</w:t>
                  </w:r>
                  <w:r>
                    <w:rPr>
                      <w:color w:val="FF0000"/>
                      <w:szCs w:val="21"/>
                      <w:vertAlign w:val="superscript"/>
                    </w:rPr>
                    <w:t>3</w:t>
                  </w:r>
                  <w:r>
                    <w:rPr>
                      <w:rFonts w:hint="eastAsia"/>
                      <w:color w:val="FF0000"/>
                      <w:szCs w:val="21"/>
                    </w:rPr>
                    <w:t>，地下式钢筋混凝土结构（抗渗等级≥P6），顶板预留检修口及通气孔</w:t>
                  </w:r>
                  <w:r>
                    <w:rPr>
                      <w:rFonts w:hint="eastAsia"/>
                      <w:color w:val="FF0000"/>
                      <w:szCs w:val="21"/>
                      <w:lang w:eastAsia="zh-CN"/>
                    </w:rPr>
                    <w:t>，池壁/底板内衬 2mm厚HDPE膜（渗透系数≤10</w:t>
                  </w:r>
                  <w:r>
                    <w:rPr>
                      <w:rFonts w:hint="eastAsia"/>
                      <w:color w:val="FF0000"/>
                      <w:szCs w:val="21"/>
                      <w:vertAlign w:val="superscript"/>
                      <w:lang w:val="en-US" w:eastAsia="zh-CN"/>
                    </w:rPr>
                    <w:t>-12</w:t>
                  </w:r>
                  <w:r>
                    <w:rPr>
                      <w:rFonts w:hint="eastAsia"/>
                      <w:color w:val="FF0000"/>
                      <w:szCs w:val="21"/>
                      <w:vertAlign w:val="superscript"/>
                      <w:lang w:eastAsia="zh-CN"/>
                    </w:rPr>
                    <w:t xml:space="preserve"> </w:t>
                  </w:r>
                  <w:r>
                    <w:rPr>
                      <w:rFonts w:hint="eastAsia"/>
                      <w:color w:val="FF0000"/>
                      <w:szCs w:val="21"/>
                      <w:lang w:eastAsia="zh-CN"/>
                    </w:rPr>
                    <w:t>cm/s）②，表层涂刷 环氧煤沥青防腐层（厚度≥500μm），</w:t>
                  </w:r>
                  <w:r>
                    <w:rPr>
                      <w:rFonts w:hint="eastAsia"/>
                      <w:color w:val="FF0000"/>
                      <w:szCs w:val="21"/>
                      <w:lang w:val="en-US" w:eastAsia="zh-CN"/>
                    </w:rPr>
                    <w:t>有效水深≤4.5m，重力流管道：连接拆解区、整车贮存区区等风险点，坡度≥1%，在清净雨水管网与事故池接口处设自动切断阀，风险区域周边设置宽300mm×深400mm沟体，内衬耐油橡胶，池内安装2台（1用1备）耐腐蚀潜水泵（Q=50m³/h，H=15m）</w:t>
                  </w:r>
                </w:p>
              </w:tc>
              <w:tc>
                <w:tcPr>
                  <w:tcW w:w="445" w:type="pct"/>
                  <w:vAlign w:val="center"/>
                </w:tcPr>
                <w:p w14:paraId="62573AC6">
                  <w:pPr>
                    <w:adjustRightInd w:val="0"/>
                    <w:snapToGrid w:val="0"/>
                    <w:spacing w:line="400" w:lineRule="exact"/>
                    <w:jc w:val="center"/>
                    <w:rPr>
                      <w:szCs w:val="21"/>
                    </w:rPr>
                  </w:pPr>
                  <w:r>
                    <w:rPr>
                      <w:rFonts w:hint="eastAsia"/>
                      <w:szCs w:val="21"/>
                    </w:rPr>
                    <w:t>/</w:t>
                  </w:r>
                </w:p>
              </w:tc>
            </w:tr>
            <w:tr w14:paraId="0F8E2220">
              <w:tblPrEx>
                <w:tblBorders>
                  <w:top w:val="double" w:color="auto" w:sz="4" w:space="0"/>
                  <w:left w:val="none" w:color="auto" w:sz="0" w:space="0"/>
                  <w:bottom w:val="double" w:color="auto"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72" w:hRule="atLeast"/>
              </w:trPr>
              <w:tc>
                <w:tcPr>
                  <w:tcW w:w="1263" w:type="pct"/>
                  <w:gridSpan w:val="3"/>
                  <w:vAlign w:val="center"/>
                </w:tcPr>
                <w:p w14:paraId="2CA906BB">
                  <w:pPr>
                    <w:adjustRightInd w:val="0"/>
                    <w:snapToGrid w:val="0"/>
                    <w:spacing w:line="400" w:lineRule="exact"/>
                    <w:jc w:val="center"/>
                    <w:rPr>
                      <w:color w:val="FF0000"/>
                      <w:szCs w:val="21"/>
                    </w:rPr>
                  </w:pPr>
                  <w:r>
                    <w:rPr>
                      <w:rFonts w:hint="eastAsia"/>
                      <w:color w:val="FF0000"/>
                      <w:szCs w:val="21"/>
                    </w:rPr>
                    <w:t>分区防渗</w:t>
                  </w:r>
                </w:p>
              </w:tc>
              <w:tc>
                <w:tcPr>
                  <w:tcW w:w="3290" w:type="pct"/>
                  <w:vAlign w:val="center"/>
                </w:tcPr>
                <w:p w14:paraId="6B73F7D1">
                  <w:pPr>
                    <w:pStyle w:val="19"/>
                    <w:spacing w:after="0"/>
                    <w:ind w:left="0" w:leftChars="0" w:firstLine="0" w:firstLineChars="0"/>
                    <w:jc w:val="left"/>
                    <w:rPr>
                      <w:color w:val="FF0000"/>
                      <w:szCs w:val="21"/>
                    </w:rPr>
                  </w:pPr>
                  <w:r>
                    <w:rPr>
                      <w:color w:val="FF0000"/>
                      <w:szCs w:val="21"/>
                    </w:rPr>
                    <w:t>①重点防渗区域：拆解车间、事故池、初期雨水池、报废机动车贮存区等。按《危险废物贮存污染控制准》（GB18597-200</w:t>
                  </w:r>
                  <w:r>
                    <w:rPr>
                      <w:rFonts w:hint="eastAsia"/>
                      <w:color w:val="FF0000"/>
                      <w:szCs w:val="21"/>
                      <w:lang w:val="en-US" w:eastAsia="zh-CN"/>
                    </w:rPr>
                    <w:t>3</w:t>
                  </w:r>
                  <w:r>
                    <w:rPr>
                      <w:color w:val="FF0000"/>
                      <w:szCs w:val="21"/>
                    </w:rPr>
                    <w:t>）要求建设，其他重点防渗区域防渗性能不应低于6.0m厚渗透系数为1.0×10</w:t>
                  </w:r>
                  <w:r>
                    <w:rPr>
                      <w:color w:val="FF0000"/>
                      <w:szCs w:val="21"/>
                      <w:vertAlign w:val="superscript"/>
                    </w:rPr>
                    <w:t>-7</w:t>
                  </w:r>
                  <w:r>
                    <w:rPr>
                      <w:color w:val="FF0000"/>
                      <w:szCs w:val="21"/>
                    </w:rPr>
                    <w:t>cm/s的粘土层的防渗性能。</w:t>
                  </w:r>
                </w:p>
                <w:p w14:paraId="50415972">
                  <w:pPr>
                    <w:pStyle w:val="19"/>
                    <w:spacing w:after="0"/>
                    <w:ind w:left="0" w:leftChars="0" w:firstLine="0" w:firstLineChars="0"/>
                    <w:jc w:val="left"/>
                    <w:rPr>
                      <w:color w:val="FF0000"/>
                      <w:szCs w:val="21"/>
                    </w:rPr>
                  </w:pPr>
                  <w:r>
                    <w:rPr>
                      <w:rFonts w:hint="eastAsia"/>
                      <w:color w:val="FF0000"/>
                      <w:szCs w:val="21"/>
                      <w:lang w:val="en-US" w:eastAsia="zh-CN"/>
                    </w:rPr>
                    <w:t>②</w:t>
                  </w:r>
                  <w:r>
                    <w:rPr>
                      <w:color w:val="FF0000"/>
                      <w:szCs w:val="21"/>
                    </w:rPr>
                    <w:t>简单防渗区域：厂区道路、办公楼等，一般不会产生地下水污染的区域为简单防渗区。简单防渗区一般采取地面硬化。</w:t>
                  </w:r>
                </w:p>
              </w:tc>
              <w:tc>
                <w:tcPr>
                  <w:tcW w:w="445" w:type="pct"/>
                  <w:vAlign w:val="center"/>
                </w:tcPr>
                <w:p w14:paraId="761144ED">
                  <w:pPr>
                    <w:adjustRightInd w:val="0"/>
                    <w:snapToGrid w:val="0"/>
                    <w:spacing w:line="400" w:lineRule="exact"/>
                    <w:jc w:val="center"/>
                    <w:rPr>
                      <w:szCs w:val="21"/>
                    </w:rPr>
                  </w:pPr>
                  <w:r>
                    <w:rPr>
                      <w:rFonts w:hint="eastAsia"/>
                      <w:szCs w:val="21"/>
                    </w:rPr>
                    <w:t>/</w:t>
                  </w:r>
                </w:p>
              </w:tc>
            </w:tr>
          </w:tbl>
          <w:p w14:paraId="677580AB">
            <w:pPr>
              <w:tabs>
                <w:tab w:val="left" w:pos="1668"/>
              </w:tabs>
              <w:adjustRightInd w:val="0"/>
              <w:snapToGrid w:val="0"/>
              <w:spacing w:line="360" w:lineRule="auto"/>
              <w:jc w:val="left"/>
              <w:rPr>
                <w:rFonts w:hint="eastAsia"/>
                <w:b/>
                <w:color w:val="000000" w:themeColor="text1"/>
                <w:sz w:val="24"/>
                <w14:textFill>
                  <w14:solidFill>
                    <w14:schemeClr w14:val="tx1"/>
                  </w14:solidFill>
                </w14:textFill>
              </w:rPr>
            </w:pPr>
          </w:p>
          <w:p w14:paraId="0D1B0A92">
            <w:pPr>
              <w:tabs>
                <w:tab w:val="left" w:pos="1668"/>
              </w:tabs>
              <w:adjustRightInd w:val="0"/>
              <w:snapToGrid w:val="0"/>
              <w:spacing w:line="360" w:lineRule="auto"/>
              <w:jc w:val="left"/>
              <w:rPr>
                <w:b/>
                <w:color w:val="FF0000"/>
                <w:sz w:val="24"/>
              </w:rPr>
            </w:pPr>
            <w:r>
              <w:rPr>
                <w:rFonts w:hint="eastAsia"/>
                <w:b/>
                <w:color w:val="FF0000"/>
                <w:sz w:val="24"/>
              </w:rPr>
              <w:t>3.厂区平面布置</w:t>
            </w:r>
          </w:p>
          <w:p w14:paraId="61712AF9">
            <w:pPr>
              <w:pStyle w:val="84"/>
              <w:spacing w:line="360" w:lineRule="auto"/>
              <w:ind w:firstLine="480"/>
              <w:rPr>
                <w:color w:val="FF0000"/>
                <w:lang w:bidi="zh-CN"/>
              </w:rPr>
            </w:pPr>
            <w:r>
              <w:rPr>
                <w:color w:val="FF0000"/>
                <w:lang w:bidi="zh-CN"/>
              </w:rPr>
              <w:t>根据《报废机动车拆解企业污染控制技术规范》（HJ348-2022），报废汽车拆解企业的厂区应划分为不同的功能区，包括办公区和作业区。作业区应包括：整车贮存区（分为传统燃料机动车区和电动汽车区）</w:t>
            </w:r>
            <w:r>
              <w:rPr>
                <w:rFonts w:hint="eastAsia"/>
                <w:color w:val="FF0000"/>
                <w:lang w:bidi="zh-CN"/>
              </w:rPr>
              <w:t>、</w:t>
            </w:r>
            <w:r>
              <w:rPr>
                <w:color w:val="FF0000"/>
                <w:lang w:bidi="zh-CN"/>
              </w:rPr>
              <w:t>动力蓄电池拆卸区</w:t>
            </w:r>
            <w:r>
              <w:rPr>
                <w:rFonts w:hint="eastAsia"/>
                <w:color w:val="FF0000"/>
                <w:lang w:bidi="zh-CN"/>
              </w:rPr>
              <w:t>、</w:t>
            </w:r>
            <w:r>
              <w:rPr>
                <w:color w:val="FF0000"/>
                <w:lang w:bidi="zh-CN"/>
              </w:rPr>
              <w:t>铅蓄电池拆卸区</w:t>
            </w:r>
            <w:r>
              <w:rPr>
                <w:rFonts w:hint="eastAsia"/>
                <w:color w:val="FF0000"/>
                <w:lang w:bidi="zh-CN"/>
              </w:rPr>
              <w:t>、</w:t>
            </w:r>
            <w:r>
              <w:rPr>
                <w:color w:val="FF0000"/>
                <w:lang w:bidi="zh-CN"/>
              </w:rPr>
              <w:t>电池分类贮存区</w:t>
            </w:r>
            <w:r>
              <w:rPr>
                <w:rFonts w:hint="eastAsia"/>
                <w:color w:val="FF0000"/>
                <w:lang w:bidi="zh-CN"/>
              </w:rPr>
              <w:t>、</w:t>
            </w:r>
            <w:r>
              <w:rPr>
                <w:color w:val="FF0000"/>
                <w:lang w:bidi="zh-CN"/>
              </w:rPr>
              <w:t>拆解区</w:t>
            </w:r>
            <w:r>
              <w:rPr>
                <w:rFonts w:hint="eastAsia"/>
                <w:color w:val="FF0000"/>
                <w:lang w:bidi="zh-CN"/>
              </w:rPr>
              <w:t>、</w:t>
            </w:r>
            <w:r>
              <w:rPr>
                <w:color w:val="FF0000"/>
                <w:lang w:bidi="zh-CN"/>
              </w:rPr>
              <w:t>产品（半成品；不包括电池）贮存区</w:t>
            </w:r>
            <w:r>
              <w:rPr>
                <w:rFonts w:hint="eastAsia"/>
                <w:color w:val="FF0000"/>
                <w:lang w:bidi="zh-CN"/>
              </w:rPr>
              <w:t>、</w:t>
            </w:r>
            <w:r>
              <w:rPr>
                <w:color w:val="FF0000"/>
                <w:lang w:bidi="zh-CN"/>
              </w:rPr>
              <w:t>破碎分选区</w:t>
            </w:r>
            <w:r>
              <w:rPr>
                <w:rFonts w:hint="eastAsia"/>
                <w:color w:val="FF0000"/>
                <w:lang w:bidi="zh-CN"/>
              </w:rPr>
              <w:t>、</w:t>
            </w:r>
            <w:r>
              <w:rPr>
                <w:color w:val="FF0000"/>
                <w:lang w:bidi="zh-CN"/>
              </w:rPr>
              <w:t>一般工业固体废物贮存区</w:t>
            </w:r>
            <w:r>
              <w:rPr>
                <w:rFonts w:hint="eastAsia"/>
                <w:color w:val="FF0000"/>
                <w:lang w:bidi="zh-CN"/>
              </w:rPr>
              <w:t>、</w:t>
            </w:r>
            <w:r>
              <w:rPr>
                <w:color w:val="FF0000"/>
                <w:lang w:bidi="zh-CN"/>
              </w:rPr>
              <w:t>危险废物贮存区。</w:t>
            </w:r>
          </w:p>
          <w:p w14:paraId="4D8A8B8A">
            <w:pPr>
              <w:pStyle w:val="84"/>
              <w:spacing w:line="360" w:lineRule="auto"/>
              <w:ind w:firstLine="480"/>
              <w:rPr>
                <w:color w:val="FF0000"/>
                <w:lang w:bidi="zh-CN"/>
              </w:rPr>
            </w:pPr>
            <w:r>
              <w:rPr>
                <w:color w:val="FF0000"/>
                <w:lang w:bidi="zh-CN"/>
              </w:rPr>
              <w:t>项目从厂区西</w:t>
            </w:r>
            <w:r>
              <w:rPr>
                <w:rFonts w:hint="eastAsia"/>
                <w:color w:val="FF0000"/>
                <w:lang w:bidi="zh-CN"/>
              </w:rPr>
              <w:t>南</w:t>
            </w:r>
            <w:r>
              <w:rPr>
                <w:color w:val="FF0000"/>
                <w:lang w:bidi="zh-CN"/>
              </w:rPr>
              <w:t>侧大门进入后，进入地磅区，进入</w:t>
            </w:r>
            <w:r>
              <w:rPr>
                <w:rFonts w:hint="eastAsia"/>
                <w:color w:val="FF0000"/>
                <w:lang w:bidi="zh-CN"/>
              </w:rPr>
              <w:t>厂区车辆</w:t>
            </w:r>
            <w:r>
              <w:rPr>
                <w:color w:val="FF0000"/>
                <w:lang w:bidi="zh-CN"/>
              </w:rPr>
              <w:t>在</w:t>
            </w:r>
            <w:r>
              <w:rPr>
                <w:rFonts w:hint="eastAsia"/>
                <w:color w:val="FF0000"/>
                <w:lang w:bidi="zh-CN"/>
              </w:rPr>
              <w:t>南侧</w:t>
            </w:r>
            <w:r>
              <w:rPr>
                <w:color w:val="FF0000"/>
                <w:lang w:bidi="zh-CN"/>
              </w:rPr>
              <w:t>整车贮存区</w:t>
            </w:r>
            <w:r>
              <w:rPr>
                <w:rFonts w:hint="eastAsia"/>
                <w:color w:val="FF0000"/>
                <w:lang w:bidi="zh-CN"/>
              </w:rPr>
              <w:t>暂存</w:t>
            </w:r>
            <w:r>
              <w:rPr>
                <w:color w:val="FF0000"/>
                <w:lang w:bidi="zh-CN"/>
              </w:rPr>
              <w:t>，整车贮存区</w:t>
            </w:r>
            <w:r>
              <w:rPr>
                <w:rFonts w:hint="eastAsia"/>
                <w:color w:val="FF0000"/>
                <w:lang w:bidi="zh-CN"/>
              </w:rPr>
              <w:t>西侧为拆解车间，</w:t>
            </w:r>
            <w:r>
              <w:rPr>
                <w:color w:val="FF0000"/>
                <w:lang w:bidi="zh-CN"/>
              </w:rPr>
              <w:t>厂房从北至南依次布置为预处理区、废电动汽车电池拆卸专用区、拆解区和破碎区</w:t>
            </w:r>
            <w:r>
              <w:rPr>
                <w:rFonts w:hint="eastAsia"/>
                <w:color w:val="FF0000"/>
                <w:lang w:val="en-US" w:bidi="zh-CN"/>
              </w:rPr>
              <w:t>及</w:t>
            </w:r>
            <w:r>
              <w:rPr>
                <w:rFonts w:hint="eastAsia"/>
                <w:color w:val="FF0000"/>
                <w:lang w:bidi="zh-CN"/>
              </w:rPr>
              <w:t>回用件贮存区，一般固废暂存区，</w:t>
            </w:r>
            <w:r>
              <w:rPr>
                <w:rFonts w:hint="eastAsia"/>
                <w:color w:val="FF0000"/>
                <w:lang w:val="en-US" w:bidi="zh-CN"/>
              </w:rPr>
              <w:t>拆车先附近设置</w:t>
            </w:r>
            <w:r>
              <w:rPr>
                <w:rFonts w:hint="eastAsia"/>
                <w:color w:val="FF0000"/>
                <w:lang w:bidi="zh-CN"/>
              </w:rPr>
              <w:t>危废贮存点</w:t>
            </w:r>
            <w:r>
              <w:rPr>
                <w:rFonts w:hint="eastAsia"/>
                <w:color w:val="FF0000"/>
                <w:lang w:val="en-US" w:bidi="zh-CN"/>
              </w:rPr>
              <w:t>就近存放</w:t>
            </w:r>
            <w:r>
              <w:rPr>
                <w:rFonts w:hint="eastAsia"/>
                <w:color w:val="FF0000"/>
                <w:lang w:bidi="zh-CN"/>
              </w:rPr>
              <w:t>，</w:t>
            </w:r>
            <w:r>
              <w:rPr>
                <w:color w:val="FF0000"/>
                <w:lang w:bidi="zh-CN"/>
              </w:rPr>
              <w:t>办公管理区位于厂区西</w:t>
            </w:r>
            <w:r>
              <w:rPr>
                <w:rFonts w:hint="eastAsia"/>
                <w:color w:val="FF0000"/>
                <w:lang w:bidi="zh-CN"/>
              </w:rPr>
              <w:t>北</w:t>
            </w:r>
            <w:r>
              <w:rPr>
                <w:color w:val="FF0000"/>
                <w:lang w:bidi="zh-CN"/>
              </w:rPr>
              <w:t>侧，项目功能分区明确；建筑布置做到物流通畅，满足生产工艺及安全和消防的要求，布局符合《报废机动车拆解企业污染控制技术规范》（HJ348-2022）和《报废机动车回收拆解企业技术规范》（GB22128-2019）的要求，总体布局较为合理。</w:t>
            </w:r>
          </w:p>
          <w:p w14:paraId="57181B5A">
            <w:pPr>
              <w:pStyle w:val="84"/>
              <w:spacing w:line="360" w:lineRule="auto"/>
              <w:ind w:firstLine="480"/>
              <w:rPr>
                <w:color w:val="FF0000"/>
                <w:lang w:bidi="zh-CN"/>
              </w:rPr>
            </w:pPr>
            <w:r>
              <w:rPr>
                <w:color w:val="FF0000"/>
                <w:lang w:bidi="zh-CN"/>
              </w:rPr>
              <w:t>建设项目设置1个厂区总出入口，位于厂区的西</w:t>
            </w:r>
            <w:r>
              <w:rPr>
                <w:rFonts w:hint="eastAsia"/>
                <w:color w:val="FF0000"/>
                <w:lang w:bidi="zh-CN"/>
              </w:rPr>
              <w:t>南</w:t>
            </w:r>
            <w:r>
              <w:rPr>
                <w:color w:val="FF0000"/>
                <w:lang w:bidi="zh-CN"/>
              </w:rPr>
              <w:t>侧，</w:t>
            </w:r>
            <w:r>
              <w:rPr>
                <w:rFonts w:hint="eastAsia"/>
                <w:color w:val="FF0000"/>
                <w:lang w:bidi="zh-CN"/>
              </w:rPr>
              <w:t>紧邻宝锦线</w:t>
            </w:r>
            <w:r>
              <w:rPr>
                <w:color w:val="FF0000"/>
                <w:lang w:bidi="zh-CN"/>
              </w:rPr>
              <w:t>，具体布置见附图建设项目</w:t>
            </w:r>
            <w:r>
              <w:rPr>
                <w:rFonts w:hint="eastAsia"/>
                <w:color w:val="FF0000"/>
                <w:lang w:val="en-US" w:bidi="zh-CN"/>
              </w:rPr>
              <w:t>附图</w:t>
            </w:r>
            <w:r>
              <w:rPr>
                <w:color w:val="FF0000"/>
                <w:lang w:bidi="zh-CN"/>
              </w:rPr>
              <w:t>总平面布置图。</w:t>
            </w:r>
          </w:p>
          <w:p w14:paraId="52DE2CF4">
            <w:pPr>
              <w:tabs>
                <w:tab w:val="left" w:pos="1668"/>
              </w:tabs>
              <w:adjustRightInd w:val="0"/>
              <w:snapToGrid w:val="0"/>
              <w:spacing w:line="360" w:lineRule="auto"/>
              <w:jc w:val="left"/>
              <w:rPr>
                <w:b/>
                <w:color w:val="000000" w:themeColor="text1"/>
                <w:sz w:val="24"/>
                <w14:textFill>
                  <w14:solidFill>
                    <w14:schemeClr w14:val="tx1"/>
                  </w14:solidFill>
                </w14:textFill>
              </w:rPr>
            </w:pPr>
            <w:r>
              <w:rPr>
                <w:rFonts w:hint="eastAsia"/>
                <w:b/>
                <w:color w:val="000000" w:themeColor="text1"/>
                <w:sz w:val="24"/>
                <w14:textFill>
                  <w14:solidFill>
                    <w14:schemeClr w14:val="tx1"/>
                  </w14:solidFill>
                </w14:textFill>
              </w:rPr>
              <w:t>4.拆解回收规模和产品方案</w:t>
            </w:r>
          </w:p>
          <w:p w14:paraId="306F5DA4">
            <w:pPr>
              <w:spacing w:line="360" w:lineRule="auto"/>
              <w:ind w:firstLine="476" w:firstLineChars="200"/>
              <w:rPr>
                <w:bCs/>
                <w:color w:val="000000"/>
                <w:sz w:val="24"/>
              </w:rPr>
            </w:pPr>
            <w:r>
              <w:rPr>
                <w:bCs/>
                <w:color w:val="000000"/>
                <w:spacing w:val="-1"/>
                <w:kern w:val="0"/>
                <w:sz w:val="24"/>
              </w:rPr>
              <w:t>本</w:t>
            </w:r>
            <w:r>
              <w:rPr>
                <w:color w:val="000000"/>
                <w:spacing w:val="-1"/>
                <w:kern w:val="0"/>
                <w:sz w:val="24"/>
              </w:rPr>
              <w:t>项目</w:t>
            </w:r>
            <w:r>
              <w:rPr>
                <w:color w:val="000000"/>
                <w:sz w:val="24"/>
              </w:rPr>
              <w:t>主要从事汽车拆解的生产活动，</w:t>
            </w:r>
            <w:r>
              <w:rPr>
                <w:bCs/>
                <w:color w:val="000000"/>
                <w:sz w:val="24"/>
              </w:rPr>
              <w:t>拆解的报废机动车</w:t>
            </w:r>
            <w:r>
              <w:rPr>
                <w:rFonts w:hint="eastAsia"/>
                <w:bCs/>
                <w:color w:val="000000"/>
                <w:sz w:val="24"/>
              </w:rPr>
              <w:t>主要</w:t>
            </w:r>
            <w:r>
              <w:rPr>
                <w:bCs/>
                <w:color w:val="000000"/>
                <w:sz w:val="24"/>
              </w:rPr>
              <w:t>来源于</w:t>
            </w:r>
            <w:r>
              <w:rPr>
                <w:rFonts w:hint="eastAsia"/>
                <w:bCs/>
                <w:color w:val="000000"/>
                <w:sz w:val="24"/>
              </w:rPr>
              <w:t>北票市</w:t>
            </w:r>
            <w:r>
              <w:rPr>
                <w:bCs/>
                <w:color w:val="000000"/>
                <w:sz w:val="24"/>
              </w:rPr>
              <w:t>及</w:t>
            </w:r>
            <w:r>
              <w:rPr>
                <w:rFonts w:hint="eastAsia"/>
                <w:bCs/>
                <w:color w:val="000000"/>
                <w:sz w:val="24"/>
              </w:rPr>
              <w:t>其临近区市</w:t>
            </w:r>
            <w:r>
              <w:rPr>
                <w:bCs/>
                <w:color w:val="000000"/>
                <w:sz w:val="24"/>
              </w:rPr>
              <w:t>。</w:t>
            </w:r>
          </w:p>
          <w:p w14:paraId="3B681D9E">
            <w:pPr>
              <w:spacing w:line="360" w:lineRule="auto"/>
              <w:ind w:firstLine="480" w:firstLineChars="200"/>
              <w:rPr>
                <w:bCs/>
                <w:color w:val="000000"/>
                <w:sz w:val="24"/>
              </w:rPr>
            </w:pPr>
            <w:r>
              <w:rPr>
                <w:bCs/>
                <w:color w:val="000000"/>
                <w:sz w:val="24"/>
              </w:rPr>
              <w:t>根据《机动车强制报废标准规定》（商务部、发改委、公安部、环境保护部令2012年第12号）要求：根据机动车使用和安全技术、排放检验状况，国家对达到报废标准的机动车实施强制报废。其中强制报废的情形包括：①达到规定使用年限的；②经修理和调整仍不符合机动车安全技术国家标准对在用车有关要求的；③经修理和调整或者采用控制技术后，向大气排放污染物或者噪声仍不符合国家标准对在用车有关要求的；④在检验有效期届满后连续3个机动车检验周期内未取得机动车检验合格标志的。另外，国家对达到一定行驶里程的机动车引导报废。</w:t>
            </w:r>
          </w:p>
          <w:p w14:paraId="2445035A">
            <w:pPr>
              <w:tabs>
                <w:tab w:val="left" w:pos="2475"/>
                <w:tab w:val="center" w:pos="4156"/>
              </w:tabs>
              <w:spacing w:line="360" w:lineRule="auto"/>
              <w:ind w:firstLine="480" w:firstLineChars="200"/>
              <w:rPr>
                <w:b/>
                <w:color w:val="000000"/>
                <w:szCs w:val="21"/>
              </w:rPr>
            </w:pPr>
            <w:r>
              <w:rPr>
                <w:bCs/>
                <w:color w:val="000000"/>
                <w:sz w:val="24"/>
              </w:rPr>
              <w:t>项目生产规模为年拆解报废汽车15000辆，拆解报废汽车类型为：报废乘用车、报废载客汽车、报废载货汽车、报废新能源汽车等。项目仅接收一般性质使用车辆的拆解，不接收槽罐车、危险化学品运输车等特殊装备车辆，项目拆解规模见表2-2。</w:t>
            </w:r>
          </w:p>
          <w:p w14:paraId="069E5C14">
            <w:pPr>
              <w:ind w:firstLine="422" w:firstLineChars="200"/>
              <w:jc w:val="center"/>
              <w:rPr>
                <w:b/>
                <w:bCs/>
                <w:color w:val="000000"/>
                <w:szCs w:val="21"/>
              </w:rPr>
            </w:pPr>
            <w:r>
              <w:rPr>
                <w:b/>
                <w:bCs/>
                <w:color w:val="000000"/>
                <w:szCs w:val="21"/>
              </w:rPr>
              <w:t>表2-2  项目报废汽车拆解规模一览表</w:t>
            </w:r>
          </w:p>
          <w:tbl>
            <w:tblPr>
              <w:tblStyle w:val="34"/>
              <w:tblW w:w="4996" w:type="pct"/>
              <w:jc w:val="center"/>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559"/>
              <w:gridCol w:w="654"/>
              <w:gridCol w:w="1248"/>
              <w:gridCol w:w="2365"/>
              <w:gridCol w:w="1206"/>
              <w:gridCol w:w="1206"/>
              <w:gridCol w:w="1207"/>
            </w:tblGrid>
            <w:tr w14:paraId="49C5B918">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31" w:type="pct"/>
                  <w:tcBorders>
                    <w:tl2br w:val="nil"/>
                    <w:tr2bl w:val="nil"/>
                  </w:tcBorders>
                  <w:vAlign w:val="center"/>
                </w:tcPr>
                <w:p w14:paraId="043F3094">
                  <w:pPr>
                    <w:spacing w:line="240" w:lineRule="auto"/>
                    <w:jc w:val="center"/>
                    <w:rPr>
                      <w:b/>
                      <w:color w:val="000000"/>
                      <w:szCs w:val="21"/>
                    </w:rPr>
                  </w:pPr>
                  <w:r>
                    <w:rPr>
                      <w:b/>
                      <w:color w:val="000000"/>
                      <w:szCs w:val="21"/>
                    </w:rPr>
                    <w:t>序号</w:t>
                  </w:r>
                </w:p>
              </w:tc>
              <w:tc>
                <w:tcPr>
                  <w:tcW w:w="387" w:type="pct"/>
                  <w:tcBorders>
                    <w:tl2br w:val="nil"/>
                    <w:tr2bl w:val="nil"/>
                  </w:tcBorders>
                  <w:vAlign w:val="center"/>
                </w:tcPr>
                <w:p w14:paraId="073751EB">
                  <w:pPr>
                    <w:spacing w:line="240" w:lineRule="auto"/>
                    <w:jc w:val="center"/>
                    <w:rPr>
                      <w:b/>
                      <w:color w:val="000000"/>
                      <w:szCs w:val="21"/>
                    </w:rPr>
                  </w:pPr>
                  <w:r>
                    <w:rPr>
                      <w:b/>
                      <w:color w:val="000000"/>
                      <w:szCs w:val="21"/>
                    </w:rPr>
                    <w:t>项目</w:t>
                  </w:r>
                </w:p>
              </w:tc>
              <w:tc>
                <w:tcPr>
                  <w:tcW w:w="2139" w:type="pct"/>
                  <w:gridSpan w:val="2"/>
                  <w:tcBorders>
                    <w:tl2br w:val="nil"/>
                    <w:tr2bl w:val="nil"/>
                  </w:tcBorders>
                  <w:vAlign w:val="center"/>
                </w:tcPr>
                <w:p w14:paraId="704E6807">
                  <w:pPr>
                    <w:spacing w:line="240" w:lineRule="auto"/>
                    <w:jc w:val="center"/>
                    <w:rPr>
                      <w:b/>
                      <w:color w:val="000000"/>
                      <w:szCs w:val="21"/>
                    </w:rPr>
                  </w:pPr>
                  <w:r>
                    <w:rPr>
                      <w:b/>
                      <w:color w:val="000000"/>
                      <w:szCs w:val="21"/>
                    </w:rPr>
                    <w:t>类型</w:t>
                  </w:r>
                </w:p>
              </w:tc>
              <w:tc>
                <w:tcPr>
                  <w:tcW w:w="714" w:type="pct"/>
                  <w:tcBorders>
                    <w:tl2br w:val="nil"/>
                    <w:tr2bl w:val="nil"/>
                  </w:tcBorders>
                  <w:vAlign w:val="center"/>
                </w:tcPr>
                <w:p w14:paraId="0AF9D593">
                  <w:pPr>
                    <w:spacing w:line="240" w:lineRule="auto"/>
                    <w:jc w:val="center"/>
                    <w:rPr>
                      <w:b/>
                      <w:color w:val="000000"/>
                      <w:spacing w:val="5"/>
                      <w:szCs w:val="21"/>
                    </w:rPr>
                  </w:pPr>
                  <w:r>
                    <w:rPr>
                      <w:b/>
                      <w:color w:val="000000"/>
                      <w:spacing w:val="6"/>
                      <w:szCs w:val="21"/>
                    </w:rPr>
                    <w:t>数</w:t>
                  </w:r>
                  <w:r>
                    <w:rPr>
                      <w:b/>
                      <w:color w:val="000000"/>
                      <w:spacing w:val="5"/>
                      <w:szCs w:val="21"/>
                    </w:rPr>
                    <w:t>量</w:t>
                  </w:r>
                </w:p>
                <w:p w14:paraId="2D8313CA">
                  <w:pPr>
                    <w:spacing w:line="240" w:lineRule="auto"/>
                    <w:jc w:val="center"/>
                    <w:rPr>
                      <w:b/>
                      <w:color w:val="000000"/>
                      <w:szCs w:val="21"/>
                    </w:rPr>
                  </w:pPr>
                  <w:r>
                    <w:rPr>
                      <w:b/>
                      <w:color w:val="000000"/>
                      <w:spacing w:val="1"/>
                      <w:szCs w:val="21"/>
                    </w:rPr>
                    <w:t>(辆/</w:t>
                  </w:r>
                  <w:r>
                    <w:rPr>
                      <w:b/>
                      <w:color w:val="000000"/>
                      <w:szCs w:val="21"/>
                    </w:rPr>
                    <w:t>a)</w:t>
                  </w:r>
                </w:p>
              </w:tc>
              <w:tc>
                <w:tcPr>
                  <w:tcW w:w="714" w:type="pct"/>
                  <w:tcBorders>
                    <w:tl2br w:val="nil"/>
                    <w:tr2bl w:val="nil"/>
                  </w:tcBorders>
                  <w:vAlign w:val="center"/>
                </w:tcPr>
                <w:p w14:paraId="189AE661">
                  <w:pPr>
                    <w:tabs>
                      <w:tab w:val="left" w:pos="342"/>
                    </w:tabs>
                    <w:spacing w:line="240" w:lineRule="auto"/>
                    <w:jc w:val="center"/>
                    <w:rPr>
                      <w:b/>
                      <w:color w:val="000000"/>
                      <w:szCs w:val="21"/>
                    </w:rPr>
                  </w:pPr>
                  <w:r>
                    <w:rPr>
                      <w:b/>
                      <w:color w:val="000000"/>
                      <w:spacing w:val="9"/>
                      <w:szCs w:val="21"/>
                    </w:rPr>
                    <w:t>平均重量</w:t>
                  </w:r>
                  <w:r>
                    <w:rPr>
                      <w:b/>
                      <w:color w:val="000000"/>
                      <w:spacing w:val="1"/>
                      <w:szCs w:val="21"/>
                    </w:rPr>
                    <w:t>(</w:t>
                  </w:r>
                  <w:r>
                    <w:rPr>
                      <w:b/>
                      <w:color w:val="000000"/>
                      <w:szCs w:val="21"/>
                    </w:rPr>
                    <w:t>t/辆)</w:t>
                  </w:r>
                </w:p>
              </w:tc>
              <w:tc>
                <w:tcPr>
                  <w:tcW w:w="714" w:type="pct"/>
                  <w:tcBorders>
                    <w:tl2br w:val="nil"/>
                    <w:tr2bl w:val="nil"/>
                  </w:tcBorders>
                  <w:vAlign w:val="center"/>
                </w:tcPr>
                <w:p w14:paraId="0984E159">
                  <w:pPr>
                    <w:tabs>
                      <w:tab w:val="left" w:pos="427"/>
                    </w:tabs>
                    <w:spacing w:line="240" w:lineRule="auto"/>
                    <w:jc w:val="center"/>
                    <w:rPr>
                      <w:b/>
                      <w:color w:val="000000"/>
                      <w:szCs w:val="21"/>
                    </w:rPr>
                  </w:pPr>
                  <w:r>
                    <w:rPr>
                      <w:b/>
                      <w:color w:val="000000"/>
                      <w:spacing w:val="7"/>
                      <w:szCs w:val="21"/>
                    </w:rPr>
                    <w:t>总重量</w:t>
                  </w:r>
                  <w:r>
                    <w:rPr>
                      <w:b/>
                      <w:color w:val="000000"/>
                      <w:spacing w:val="1"/>
                      <w:position w:val="1"/>
                      <w:szCs w:val="21"/>
                    </w:rPr>
                    <w:t>(</w:t>
                  </w:r>
                  <w:r>
                    <w:rPr>
                      <w:b/>
                      <w:color w:val="000000"/>
                      <w:position w:val="1"/>
                      <w:szCs w:val="21"/>
                    </w:rPr>
                    <w:t>t</w:t>
                  </w:r>
                  <w:r>
                    <w:rPr>
                      <w:b/>
                      <w:color w:val="000000"/>
                      <w:spacing w:val="1"/>
                      <w:position w:val="1"/>
                      <w:szCs w:val="21"/>
                    </w:rPr>
                    <w:t>/</w:t>
                  </w:r>
                  <w:r>
                    <w:rPr>
                      <w:b/>
                      <w:color w:val="000000"/>
                      <w:position w:val="1"/>
                      <w:szCs w:val="21"/>
                    </w:rPr>
                    <w:t>a</w:t>
                  </w:r>
                  <w:r>
                    <w:rPr>
                      <w:b/>
                      <w:color w:val="000000"/>
                      <w:spacing w:val="1"/>
                      <w:position w:val="1"/>
                      <w:szCs w:val="21"/>
                    </w:rPr>
                    <w:t>)</w:t>
                  </w:r>
                </w:p>
              </w:tc>
            </w:tr>
            <w:tr w14:paraId="77BA2F9A">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31" w:type="pct"/>
                  <w:vMerge w:val="restart"/>
                  <w:tcBorders>
                    <w:tl2br w:val="nil"/>
                    <w:tr2bl w:val="nil"/>
                  </w:tcBorders>
                  <w:vAlign w:val="center"/>
                </w:tcPr>
                <w:p w14:paraId="415ABC8A">
                  <w:pPr>
                    <w:spacing w:line="240" w:lineRule="auto"/>
                    <w:jc w:val="center"/>
                    <w:rPr>
                      <w:color w:val="000000"/>
                      <w:szCs w:val="21"/>
                    </w:rPr>
                  </w:pPr>
                  <w:r>
                    <w:rPr>
                      <w:color w:val="000000"/>
                      <w:szCs w:val="21"/>
                    </w:rPr>
                    <w:t>1</w:t>
                  </w:r>
                </w:p>
              </w:tc>
              <w:tc>
                <w:tcPr>
                  <w:tcW w:w="387" w:type="pct"/>
                  <w:vMerge w:val="restart"/>
                  <w:tcBorders>
                    <w:tl2br w:val="nil"/>
                    <w:tr2bl w:val="nil"/>
                  </w:tcBorders>
                  <w:vAlign w:val="center"/>
                </w:tcPr>
                <w:p w14:paraId="50FFC669">
                  <w:pPr>
                    <w:spacing w:line="240" w:lineRule="auto"/>
                    <w:jc w:val="center"/>
                    <w:rPr>
                      <w:color w:val="000000"/>
                      <w:szCs w:val="21"/>
                    </w:rPr>
                  </w:pPr>
                  <w:r>
                    <w:rPr>
                      <w:color w:val="000000"/>
                      <w:szCs w:val="21"/>
                    </w:rPr>
                    <w:t>报废汽车</w:t>
                  </w:r>
                </w:p>
              </w:tc>
              <w:tc>
                <w:tcPr>
                  <w:tcW w:w="739" w:type="pct"/>
                  <w:vMerge w:val="restart"/>
                  <w:tcBorders>
                    <w:tl2br w:val="nil"/>
                    <w:tr2bl w:val="nil"/>
                  </w:tcBorders>
                  <w:vAlign w:val="center"/>
                </w:tcPr>
                <w:p w14:paraId="7F6B8089">
                  <w:pPr>
                    <w:spacing w:line="240" w:lineRule="auto"/>
                    <w:jc w:val="center"/>
                    <w:rPr>
                      <w:color w:val="000000"/>
                      <w:szCs w:val="21"/>
                    </w:rPr>
                  </w:pPr>
                  <w:r>
                    <w:rPr>
                      <w:color w:val="000000"/>
                      <w:spacing w:val="5"/>
                      <w:szCs w:val="21"/>
                    </w:rPr>
                    <w:t>报废乘用</w:t>
                  </w:r>
                  <w:r>
                    <w:rPr>
                      <w:color w:val="000000"/>
                      <w:szCs w:val="21"/>
                    </w:rPr>
                    <w:t>车</w:t>
                  </w:r>
                </w:p>
              </w:tc>
              <w:tc>
                <w:tcPr>
                  <w:tcW w:w="1399" w:type="pct"/>
                  <w:tcBorders>
                    <w:tl2br w:val="nil"/>
                    <w:tr2bl w:val="nil"/>
                  </w:tcBorders>
                  <w:vAlign w:val="center"/>
                </w:tcPr>
                <w:p w14:paraId="5A2EF22B">
                  <w:pPr>
                    <w:spacing w:line="240" w:lineRule="auto"/>
                    <w:jc w:val="center"/>
                    <w:rPr>
                      <w:color w:val="000000"/>
                      <w:szCs w:val="21"/>
                    </w:rPr>
                  </w:pPr>
                  <w:r>
                    <w:rPr>
                      <w:color w:val="000000"/>
                      <w:spacing w:val="10"/>
                      <w:szCs w:val="21"/>
                    </w:rPr>
                    <w:t>基</w:t>
                  </w:r>
                  <w:r>
                    <w:rPr>
                      <w:color w:val="000000"/>
                      <w:spacing w:val="8"/>
                      <w:szCs w:val="21"/>
                    </w:rPr>
                    <w:t>本型乘用车(轿车)</w:t>
                  </w:r>
                </w:p>
              </w:tc>
              <w:tc>
                <w:tcPr>
                  <w:tcW w:w="714" w:type="pct"/>
                  <w:tcBorders>
                    <w:tl2br w:val="nil"/>
                    <w:tr2bl w:val="nil"/>
                  </w:tcBorders>
                  <w:vAlign w:val="center"/>
                </w:tcPr>
                <w:p w14:paraId="560D32C3">
                  <w:pPr>
                    <w:spacing w:line="240" w:lineRule="auto"/>
                    <w:jc w:val="center"/>
                    <w:rPr>
                      <w:color w:val="000000"/>
                      <w:szCs w:val="21"/>
                    </w:rPr>
                  </w:pPr>
                  <w:r>
                    <w:rPr>
                      <w:color w:val="000000"/>
                      <w:spacing w:val="-6"/>
                      <w:szCs w:val="21"/>
                    </w:rPr>
                    <w:t>1500</w:t>
                  </w:r>
                </w:p>
              </w:tc>
              <w:tc>
                <w:tcPr>
                  <w:tcW w:w="714" w:type="pct"/>
                  <w:tcBorders>
                    <w:tl2br w:val="nil"/>
                    <w:tr2bl w:val="nil"/>
                  </w:tcBorders>
                  <w:vAlign w:val="center"/>
                </w:tcPr>
                <w:p w14:paraId="53614632">
                  <w:pPr>
                    <w:spacing w:line="240" w:lineRule="auto"/>
                    <w:jc w:val="center"/>
                    <w:rPr>
                      <w:color w:val="000000"/>
                      <w:szCs w:val="21"/>
                    </w:rPr>
                  </w:pPr>
                  <w:r>
                    <w:rPr>
                      <w:color w:val="000000"/>
                      <w:spacing w:val="-7"/>
                      <w:szCs w:val="21"/>
                    </w:rPr>
                    <w:t>1</w:t>
                  </w:r>
                  <w:r>
                    <w:rPr>
                      <w:color w:val="000000"/>
                      <w:spacing w:val="-4"/>
                      <w:szCs w:val="21"/>
                    </w:rPr>
                    <w:t>.2</w:t>
                  </w:r>
                </w:p>
              </w:tc>
              <w:tc>
                <w:tcPr>
                  <w:tcW w:w="1207" w:type="dxa"/>
                  <w:tcBorders>
                    <w:tl2br w:val="nil"/>
                    <w:tr2bl w:val="nil"/>
                  </w:tcBorders>
                  <w:vAlign w:val="center"/>
                </w:tcPr>
                <w:p w14:paraId="55CEC075">
                  <w:pPr>
                    <w:keepNext w:val="0"/>
                    <w:keepLines w:val="0"/>
                    <w:widowControl/>
                    <w:suppressLineNumbers w:val="0"/>
                    <w:spacing w:line="240" w:lineRule="auto"/>
                    <w:jc w:val="center"/>
                    <w:textAlignment w:val="center"/>
                    <w:rPr>
                      <w:color w:val="000000"/>
                      <w:szCs w:val="21"/>
                    </w:rPr>
                  </w:pPr>
                  <w:r>
                    <w:rPr>
                      <w:rFonts w:hint="default" w:ascii="Times New Roman" w:hAnsi="Times New Roman" w:eastAsia="宋体" w:cs="Times New Roman"/>
                      <w:i w:val="0"/>
                      <w:iCs w:val="0"/>
                      <w:color w:val="000000"/>
                      <w:kern w:val="0"/>
                      <w:sz w:val="21"/>
                      <w:szCs w:val="21"/>
                      <w:u w:val="none"/>
                      <w:lang w:val="en-US" w:eastAsia="zh-CN" w:bidi="ar"/>
                    </w:rPr>
                    <w:t>1800</w:t>
                  </w:r>
                </w:p>
              </w:tc>
            </w:tr>
            <w:tr w14:paraId="32FC4024">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31" w:type="pct"/>
                  <w:vMerge w:val="continue"/>
                  <w:tcBorders>
                    <w:tl2br w:val="nil"/>
                    <w:tr2bl w:val="nil"/>
                  </w:tcBorders>
                  <w:vAlign w:val="center"/>
                </w:tcPr>
                <w:p w14:paraId="3CC124C0">
                  <w:pPr>
                    <w:spacing w:line="240" w:lineRule="auto"/>
                    <w:jc w:val="center"/>
                    <w:rPr>
                      <w:color w:val="000000"/>
                      <w:szCs w:val="21"/>
                    </w:rPr>
                  </w:pPr>
                </w:p>
              </w:tc>
              <w:tc>
                <w:tcPr>
                  <w:tcW w:w="387" w:type="pct"/>
                  <w:vMerge w:val="continue"/>
                  <w:tcBorders>
                    <w:tl2br w:val="nil"/>
                    <w:tr2bl w:val="nil"/>
                  </w:tcBorders>
                  <w:vAlign w:val="center"/>
                </w:tcPr>
                <w:p w14:paraId="58ABB2B0">
                  <w:pPr>
                    <w:spacing w:line="240" w:lineRule="auto"/>
                    <w:jc w:val="center"/>
                    <w:rPr>
                      <w:color w:val="000000"/>
                      <w:szCs w:val="21"/>
                    </w:rPr>
                  </w:pPr>
                </w:p>
              </w:tc>
              <w:tc>
                <w:tcPr>
                  <w:tcW w:w="739" w:type="pct"/>
                  <w:vMerge w:val="continue"/>
                  <w:tcBorders>
                    <w:tl2br w:val="nil"/>
                    <w:tr2bl w:val="nil"/>
                  </w:tcBorders>
                  <w:vAlign w:val="center"/>
                </w:tcPr>
                <w:p w14:paraId="4DF2FB14">
                  <w:pPr>
                    <w:spacing w:line="240" w:lineRule="auto"/>
                    <w:jc w:val="center"/>
                    <w:rPr>
                      <w:color w:val="000000"/>
                      <w:szCs w:val="21"/>
                    </w:rPr>
                  </w:pPr>
                </w:p>
              </w:tc>
              <w:tc>
                <w:tcPr>
                  <w:tcW w:w="1399" w:type="pct"/>
                  <w:tcBorders>
                    <w:tl2br w:val="nil"/>
                    <w:tr2bl w:val="nil"/>
                  </w:tcBorders>
                  <w:vAlign w:val="center"/>
                </w:tcPr>
                <w:p w14:paraId="7D9712BE">
                  <w:pPr>
                    <w:spacing w:line="240" w:lineRule="auto"/>
                    <w:jc w:val="center"/>
                    <w:rPr>
                      <w:color w:val="000000"/>
                      <w:szCs w:val="21"/>
                    </w:rPr>
                  </w:pPr>
                  <w:r>
                    <w:rPr>
                      <w:color w:val="000000"/>
                      <w:spacing w:val="15"/>
                      <w:szCs w:val="21"/>
                    </w:rPr>
                    <w:t>运</w:t>
                  </w:r>
                  <w:r>
                    <w:rPr>
                      <w:color w:val="000000"/>
                      <w:spacing w:val="10"/>
                      <w:szCs w:val="21"/>
                    </w:rPr>
                    <w:t>动型多用途车(</w:t>
                  </w:r>
                  <w:r>
                    <w:rPr>
                      <w:color w:val="000000"/>
                      <w:szCs w:val="21"/>
                    </w:rPr>
                    <w:t>SUV</w:t>
                  </w:r>
                  <w:r>
                    <w:rPr>
                      <w:color w:val="000000"/>
                      <w:spacing w:val="10"/>
                      <w:szCs w:val="21"/>
                    </w:rPr>
                    <w:t>)</w:t>
                  </w:r>
                </w:p>
              </w:tc>
              <w:tc>
                <w:tcPr>
                  <w:tcW w:w="714" w:type="pct"/>
                  <w:tcBorders>
                    <w:tl2br w:val="nil"/>
                    <w:tr2bl w:val="nil"/>
                  </w:tcBorders>
                  <w:vAlign w:val="center"/>
                </w:tcPr>
                <w:p w14:paraId="27B6F31E">
                  <w:pPr>
                    <w:spacing w:line="240" w:lineRule="auto"/>
                    <w:jc w:val="center"/>
                    <w:rPr>
                      <w:color w:val="000000"/>
                      <w:szCs w:val="21"/>
                    </w:rPr>
                  </w:pPr>
                  <w:r>
                    <w:rPr>
                      <w:color w:val="000000"/>
                      <w:spacing w:val="-2"/>
                      <w:szCs w:val="21"/>
                    </w:rPr>
                    <w:t>90</w:t>
                  </w:r>
                  <w:r>
                    <w:rPr>
                      <w:color w:val="000000"/>
                      <w:spacing w:val="-1"/>
                      <w:szCs w:val="21"/>
                    </w:rPr>
                    <w:t>0</w:t>
                  </w:r>
                </w:p>
              </w:tc>
              <w:tc>
                <w:tcPr>
                  <w:tcW w:w="714" w:type="pct"/>
                  <w:tcBorders>
                    <w:tl2br w:val="nil"/>
                    <w:tr2bl w:val="nil"/>
                  </w:tcBorders>
                  <w:vAlign w:val="center"/>
                </w:tcPr>
                <w:p w14:paraId="3099958C">
                  <w:pPr>
                    <w:spacing w:line="240" w:lineRule="auto"/>
                    <w:jc w:val="center"/>
                    <w:rPr>
                      <w:color w:val="000000"/>
                      <w:szCs w:val="21"/>
                    </w:rPr>
                  </w:pPr>
                  <w:r>
                    <w:rPr>
                      <w:color w:val="000000"/>
                      <w:spacing w:val="-8"/>
                      <w:szCs w:val="21"/>
                    </w:rPr>
                    <w:t>1.3</w:t>
                  </w:r>
                </w:p>
              </w:tc>
              <w:tc>
                <w:tcPr>
                  <w:tcW w:w="1207" w:type="dxa"/>
                  <w:tcBorders>
                    <w:tl2br w:val="nil"/>
                    <w:tr2bl w:val="nil"/>
                  </w:tcBorders>
                  <w:vAlign w:val="center"/>
                </w:tcPr>
                <w:p w14:paraId="0F0AF8EC">
                  <w:pPr>
                    <w:keepNext w:val="0"/>
                    <w:keepLines w:val="0"/>
                    <w:widowControl/>
                    <w:suppressLineNumbers w:val="0"/>
                    <w:spacing w:line="240" w:lineRule="auto"/>
                    <w:jc w:val="center"/>
                    <w:textAlignment w:val="center"/>
                    <w:rPr>
                      <w:color w:val="000000"/>
                      <w:szCs w:val="21"/>
                    </w:rPr>
                  </w:pPr>
                  <w:r>
                    <w:rPr>
                      <w:rFonts w:hint="default" w:ascii="Times New Roman" w:hAnsi="Times New Roman" w:eastAsia="宋体" w:cs="Times New Roman"/>
                      <w:i w:val="0"/>
                      <w:iCs w:val="0"/>
                      <w:color w:val="000000"/>
                      <w:kern w:val="0"/>
                      <w:sz w:val="21"/>
                      <w:szCs w:val="21"/>
                      <w:u w:val="none"/>
                      <w:lang w:val="en-US" w:eastAsia="zh-CN" w:bidi="ar"/>
                    </w:rPr>
                    <w:t>1170</w:t>
                  </w:r>
                </w:p>
              </w:tc>
            </w:tr>
            <w:tr w14:paraId="3E370486">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31" w:type="pct"/>
                  <w:vMerge w:val="continue"/>
                  <w:tcBorders>
                    <w:tl2br w:val="nil"/>
                    <w:tr2bl w:val="nil"/>
                  </w:tcBorders>
                  <w:vAlign w:val="center"/>
                </w:tcPr>
                <w:p w14:paraId="123566B8">
                  <w:pPr>
                    <w:spacing w:line="240" w:lineRule="auto"/>
                    <w:jc w:val="center"/>
                    <w:rPr>
                      <w:color w:val="000000"/>
                      <w:szCs w:val="21"/>
                    </w:rPr>
                  </w:pPr>
                </w:p>
              </w:tc>
              <w:tc>
                <w:tcPr>
                  <w:tcW w:w="387" w:type="pct"/>
                  <w:vMerge w:val="continue"/>
                  <w:tcBorders>
                    <w:tl2br w:val="nil"/>
                    <w:tr2bl w:val="nil"/>
                  </w:tcBorders>
                  <w:vAlign w:val="center"/>
                </w:tcPr>
                <w:p w14:paraId="25B258D1">
                  <w:pPr>
                    <w:spacing w:line="240" w:lineRule="auto"/>
                    <w:jc w:val="center"/>
                    <w:rPr>
                      <w:color w:val="000000"/>
                      <w:szCs w:val="21"/>
                    </w:rPr>
                  </w:pPr>
                </w:p>
              </w:tc>
              <w:tc>
                <w:tcPr>
                  <w:tcW w:w="739" w:type="pct"/>
                  <w:vMerge w:val="continue"/>
                  <w:tcBorders>
                    <w:tl2br w:val="nil"/>
                    <w:tr2bl w:val="nil"/>
                  </w:tcBorders>
                  <w:vAlign w:val="center"/>
                </w:tcPr>
                <w:p w14:paraId="460617B4">
                  <w:pPr>
                    <w:spacing w:line="240" w:lineRule="auto"/>
                    <w:jc w:val="center"/>
                    <w:rPr>
                      <w:color w:val="000000"/>
                      <w:szCs w:val="21"/>
                    </w:rPr>
                  </w:pPr>
                </w:p>
              </w:tc>
              <w:tc>
                <w:tcPr>
                  <w:tcW w:w="1399" w:type="pct"/>
                  <w:tcBorders>
                    <w:tl2br w:val="nil"/>
                    <w:tr2bl w:val="nil"/>
                  </w:tcBorders>
                  <w:vAlign w:val="center"/>
                </w:tcPr>
                <w:p w14:paraId="72C81CB2">
                  <w:pPr>
                    <w:spacing w:line="240" w:lineRule="auto"/>
                    <w:jc w:val="center"/>
                    <w:rPr>
                      <w:color w:val="000000"/>
                      <w:szCs w:val="21"/>
                    </w:rPr>
                  </w:pPr>
                  <w:r>
                    <w:rPr>
                      <w:color w:val="000000"/>
                      <w:spacing w:val="16"/>
                      <w:szCs w:val="21"/>
                    </w:rPr>
                    <w:t>多</w:t>
                  </w:r>
                  <w:r>
                    <w:rPr>
                      <w:color w:val="000000"/>
                      <w:spacing w:val="14"/>
                      <w:szCs w:val="21"/>
                    </w:rPr>
                    <w:t>用途车(</w:t>
                  </w:r>
                  <w:r>
                    <w:rPr>
                      <w:color w:val="000000"/>
                      <w:szCs w:val="21"/>
                    </w:rPr>
                    <w:t>MPV</w:t>
                  </w:r>
                  <w:r>
                    <w:rPr>
                      <w:color w:val="000000"/>
                      <w:spacing w:val="14"/>
                      <w:szCs w:val="21"/>
                    </w:rPr>
                    <w:t>)</w:t>
                  </w:r>
                </w:p>
              </w:tc>
              <w:tc>
                <w:tcPr>
                  <w:tcW w:w="714" w:type="pct"/>
                  <w:tcBorders>
                    <w:tl2br w:val="nil"/>
                    <w:tr2bl w:val="nil"/>
                  </w:tcBorders>
                  <w:vAlign w:val="center"/>
                </w:tcPr>
                <w:p w14:paraId="0201BD5F">
                  <w:pPr>
                    <w:spacing w:line="240" w:lineRule="auto"/>
                    <w:jc w:val="center"/>
                    <w:rPr>
                      <w:color w:val="000000"/>
                      <w:szCs w:val="21"/>
                    </w:rPr>
                  </w:pPr>
                  <w:r>
                    <w:rPr>
                      <w:color w:val="000000"/>
                      <w:spacing w:val="-3"/>
                      <w:szCs w:val="21"/>
                    </w:rPr>
                    <w:t>600</w:t>
                  </w:r>
                </w:p>
              </w:tc>
              <w:tc>
                <w:tcPr>
                  <w:tcW w:w="714" w:type="pct"/>
                  <w:tcBorders>
                    <w:tl2br w:val="nil"/>
                    <w:tr2bl w:val="nil"/>
                  </w:tcBorders>
                  <w:vAlign w:val="center"/>
                </w:tcPr>
                <w:p w14:paraId="17CA9DC9">
                  <w:pPr>
                    <w:spacing w:line="240" w:lineRule="auto"/>
                    <w:jc w:val="center"/>
                    <w:rPr>
                      <w:color w:val="000000"/>
                      <w:szCs w:val="21"/>
                    </w:rPr>
                  </w:pPr>
                  <w:r>
                    <w:rPr>
                      <w:color w:val="000000"/>
                      <w:spacing w:val="-8"/>
                      <w:szCs w:val="21"/>
                    </w:rPr>
                    <w:t>1.4</w:t>
                  </w:r>
                </w:p>
              </w:tc>
              <w:tc>
                <w:tcPr>
                  <w:tcW w:w="1207" w:type="dxa"/>
                  <w:tcBorders>
                    <w:tl2br w:val="nil"/>
                    <w:tr2bl w:val="nil"/>
                  </w:tcBorders>
                  <w:vAlign w:val="center"/>
                </w:tcPr>
                <w:p w14:paraId="5313EB4F">
                  <w:pPr>
                    <w:keepNext w:val="0"/>
                    <w:keepLines w:val="0"/>
                    <w:widowControl/>
                    <w:suppressLineNumbers w:val="0"/>
                    <w:spacing w:line="240" w:lineRule="auto"/>
                    <w:jc w:val="center"/>
                    <w:textAlignment w:val="center"/>
                    <w:rPr>
                      <w:color w:val="000000"/>
                      <w:szCs w:val="21"/>
                    </w:rPr>
                  </w:pPr>
                  <w:r>
                    <w:rPr>
                      <w:rFonts w:hint="default" w:ascii="Times New Roman" w:hAnsi="Times New Roman" w:eastAsia="宋体" w:cs="Times New Roman"/>
                      <w:i w:val="0"/>
                      <w:iCs w:val="0"/>
                      <w:color w:val="000000"/>
                      <w:kern w:val="0"/>
                      <w:sz w:val="21"/>
                      <w:szCs w:val="21"/>
                      <w:u w:val="none"/>
                      <w:lang w:val="en-US" w:eastAsia="zh-CN" w:bidi="ar"/>
                    </w:rPr>
                    <w:t>840</w:t>
                  </w:r>
                </w:p>
              </w:tc>
            </w:tr>
            <w:tr w14:paraId="236FC5AD">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31" w:type="pct"/>
                  <w:vMerge w:val="restart"/>
                  <w:tcBorders>
                    <w:tl2br w:val="nil"/>
                    <w:tr2bl w:val="nil"/>
                  </w:tcBorders>
                  <w:vAlign w:val="center"/>
                </w:tcPr>
                <w:p w14:paraId="5FB565D0">
                  <w:pPr>
                    <w:spacing w:line="240" w:lineRule="auto"/>
                    <w:jc w:val="center"/>
                    <w:rPr>
                      <w:color w:val="000000"/>
                      <w:szCs w:val="21"/>
                    </w:rPr>
                  </w:pPr>
                  <w:r>
                    <w:rPr>
                      <w:color w:val="000000"/>
                      <w:szCs w:val="21"/>
                    </w:rPr>
                    <w:t>2</w:t>
                  </w:r>
                </w:p>
              </w:tc>
              <w:tc>
                <w:tcPr>
                  <w:tcW w:w="387" w:type="pct"/>
                  <w:vMerge w:val="continue"/>
                  <w:tcBorders>
                    <w:tl2br w:val="nil"/>
                    <w:tr2bl w:val="nil"/>
                  </w:tcBorders>
                  <w:vAlign w:val="center"/>
                </w:tcPr>
                <w:p w14:paraId="4D0FD44C">
                  <w:pPr>
                    <w:spacing w:line="240" w:lineRule="auto"/>
                    <w:jc w:val="center"/>
                    <w:rPr>
                      <w:color w:val="000000"/>
                      <w:szCs w:val="21"/>
                    </w:rPr>
                  </w:pPr>
                </w:p>
              </w:tc>
              <w:tc>
                <w:tcPr>
                  <w:tcW w:w="739" w:type="pct"/>
                  <w:vMerge w:val="restart"/>
                  <w:tcBorders>
                    <w:tl2br w:val="nil"/>
                    <w:tr2bl w:val="nil"/>
                  </w:tcBorders>
                  <w:vAlign w:val="center"/>
                </w:tcPr>
                <w:p w14:paraId="73504B7C">
                  <w:pPr>
                    <w:spacing w:line="240" w:lineRule="auto"/>
                    <w:jc w:val="center"/>
                    <w:rPr>
                      <w:color w:val="000000"/>
                      <w:szCs w:val="21"/>
                    </w:rPr>
                  </w:pPr>
                  <w:r>
                    <w:rPr>
                      <w:color w:val="000000"/>
                      <w:spacing w:val="5"/>
                      <w:szCs w:val="21"/>
                    </w:rPr>
                    <w:t>报废载客</w:t>
                  </w:r>
                  <w:r>
                    <w:rPr>
                      <w:color w:val="000000"/>
                      <w:spacing w:val="3"/>
                      <w:szCs w:val="21"/>
                    </w:rPr>
                    <w:t>汽</w:t>
                  </w:r>
                  <w:r>
                    <w:rPr>
                      <w:color w:val="000000"/>
                      <w:spacing w:val="2"/>
                      <w:szCs w:val="21"/>
                    </w:rPr>
                    <w:t>车</w:t>
                  </w:r>
                </w:p>
              </w:tc>
              <w:tc>
                <w:tcPr>
                  <w:tcW w:w="1399" w:type="pct"/>
                  <w:tcBorders>
                    <w:tl2br w:val="nil"/>
                    <w:tr2bl w:val="nil"/>
                  </w:tcBorders>
                  <w:vAlign w:val="center"/>
                </w:tcPr>
                <w:p w14:paraId="6A6CD91E">
                  <w:pPr>
                    <w:spacing w:line="240" w:lineRule="auto"/>
                    <w:jc w:val="center"/>
                    <w:rPr>
                      <w:color w:val="000000"/>
                      <w:szCs w:val="21"/>
                    </w:rPr>
                  </w:pPr>
                  <w:r>
                    <w:rPr>
                      <w:color w:val="000000"/>
                      <w:spacing w:val="9"/>
                      <w:position w:val="1"/>
                      <w:szCs w:val="21"/>
                    </w:rPr>
                    <w:t>小</w:t>
                  </w:r>
                  <w:r>
                    <w:rPr>
                      <w:color w:val="000000"/>
                      <w:spacing w:val="6"/>
                      <w:position w:val="1"/>
                      <w:szCs w:val="21"/>
                    </w:rPr>
                    <w:t>型(</w:t>
                  </w:r>
                  <w:r>
                    <w:rPr>
                      <w:color w:val="000000"/>
                      <w:position w:val="1"/>
                      <w:szCs w:val="21"/>
                    </w:rPr>
                    <w:t>L</w:t>
                  </w:r>
                  <w:r>
                    <w:rPr>
                      <w:color w:val="000000"/>
                      <w:spacing w:val="6"/>
                      <w:position w:val="1"/>
                      <w:szCs w:val="21"/>
                    </w:rPr>
                    <w:t>＜6米且乘坐≤9人)</w:t>
                  </w:r>
                </w:p>
              </w:tc>
              <w:tc>
                <w:tcPr>
                  <w:tcW w:w="714" w:type="pct"/>
                  <w:tcBorders>
                    <w:tl2br w:val="nil"/>
                    <w:tr2bl w:val="nil"/>
                  </w:tcBorders>
                  <w:vAlign w:val="center"/>
                </w:tcPr>
                <w:p w14:paraId="6CD24483">
                  <w:pPr>
                    <w:spacing w:line="240" w:lineRule="auto"/>
                    <w:jc w:val="center"/>
                    <w:rPr>
                      <w:color w:val="000000"/>
                      <w:szCs w:val="21"/>
                    </w:rPr>
                  </w:pPr>
                  <w:r>
                    <w:rPr>
                      <w:color w:val="000000"/>
                      <w:spacing w:val="-3"/>
                      <w:szCs w:val="21"/>
                    </w:rPr>
                    <w:t>600</w:t>
                  </w:r>
                </w:p>
              </w:tc>
              <w:tc>
                <w:tcPr>
                  <w:tcW w:w="714" w:type="pct"/>
                  <w:tcBorders>
                    <w:tl2br w:val="nil"/>
                    <w:tr2bl w:val="nil"/>
                  </w:tcBorders>
                  <w:vAlign w:val="center"/>
                </w:tcPr>
                <w:p w14:paraId="599B5604">
                  <w:pPr>
                    <w:spacing w:line="240" w:lineRule="auto"/>
                    <w:jc w:val="center"/>
                    <w:rPr>
                      <w:color w:val="000000"/>
                      <w:szCs w:val="21"/>
                    </w:rPr>
                  </w:pPr>
                  <w:r>
                    <w:rPr>
                      <w:color w:val="000000"/>
                      <w:spacing w:val="-1"/>
                      <w:szCs w:val="21"/>
                    </w:rPr>
                    <w:t>2.</w:t>
                  </w:r>
                  <w:r>
                    <w:rPr>
                      <w:color w:val="000000"/>
                      <w:szCs w:val="21"/>
                    </w:rPr>
                    <w:t>3</w:t>
                  </w:r>
                </w:p>
              </w:tc>
              <w:tc>
                <w:tcPr>
                  <w:tcW w:w="1207" w:type="dxa"/>
                  <w:tcBorders>
                    <w:tl2br w:val="nil"/>
                    <w:tr2bl w:val="nil"/>
                  </w:tcBorders>
                  <w:vAlign w:val="center"/>
                </w:tcPr>
                <w:p w14:paraId="373FBE2E">
                  <w:pPr>
                    <w:keepNext w:val="0"/>
                    <w:keepLines w:val="0"/>
                    <w:widowControl/>
                    <w:suppressLineNumbers w:val="0"/>
                    <w:spacing w:line="240" w:lineRule="auto"/>
                    <w:jc w:val="center"/>
                    <w:textAlignment w:val="center"/>
                    <w:rPr>
                      <w:color w:val="000000"/>
                      <w:szCs w:val="21"/>
                    </w:rPr>
                  </w:pPr>
                  <w:r>
                    <w:rPr>
                      <w:rFonts w:hint="default" w:ascii="Times New Roman" w:hAnsi="Times New Roman" w:eastAsia="宋体" w:cs="Times New Roman"/>
                      <w:i w:val="0"/>
                      <w:iCs w:val="0"/>
                      <w:color w:val="000000"/>
                      <w:kern w:val="0"/>
                      <w:sz w:val="21"/>
                      <w:szCs w:val="21"/>
                      <w:u w:val="none"/>
                      <w:lang w:val="en-US" w:eastAsia="zh-CN" w:bidi="ar"/>
                    </w:rPr>
                    <w:t>1380</w:t>
                  </w:r>
                </w:p>
              </w:tc>
            </w:tr>
            <w:tr w14:paraId="48E939F5">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31" w:type="pct"/>
                  <w:vMerge w:val="continue"/>
                  <w:tcBorders>
                    <w:tl2br w:val="nil"/>
                    <w:tr2bl w:val="nil"/>
                  </w:tcBorders>
                  <w:vAlign w:val="center"/>
                </w:tcPr>
                <w:p w14:paraId="11FF44F5">
                  <w:pPr>
                    <w:spacing w:line="240" w:lineRule="auto"/>
                    <w:jc w:val="center"/>
                    <w:rPr>
                      <w:color w:val="000000"/>
                      <w:szCs w:val="21"/>
                    </w:rPr>
                  </w:pPr>
                </w:p>
              </w:tc>
              <w:tc>
                <w:tcPr>
                  <w:tcW w:w="387" w:type="pct"/>
                  <w:vMerge w:val="continue"/>
                  <w:tcBorders>
                    <w:tl2br w:val="nil"/>
                    <w:tr2bl w:val="nil"/>
                  </w:tcBorders>
                  <w:vAlign w:val="center"/>
                </w:tcPr>
                <w:p w14:paraId="09052CF2">
                  <w:pPr>
                    <w:spacing w:line="240" w:lineRule="auto"/>
                    <w:jc w:val="center"/>
                    <w:rPr>
                      <w:color w:val="000000"/>
                      <w:szCs w:val="21"/>
                    </w:rPr>
                  </w:pPr>
                </w:p>
              </w:tc>
              <w:tc>
                <w:tcPr>
                  <w:tcW w:w="739" w:type="pct"/>
                  <w:vMerge w:val="continue"/>
                  <w:tcBorders>
                    <w:tl2br w:val="nil"/>
                    <w:tr2bl w:val="nil"/>
                  </w:tcBorders>
                  <w:vAlign w:val="center"/>
                </w:tcPr>
                <w:p w14:paraId="2699ED66">
                  <w:pPr>
                    <w:spacing w:line="240" w:lineRule="auto"/>
                    <w:jc w:val="center"/>
                    <w:rPr>
                      <w:color w:val="000000"/>
                      <w:szCs w:val="21"/>
                    </w:rPr>
                  </w:pPr>
                </w:p>
              </w:tc>
              <w:tc>
                <w:tcPr>
                  <w:tcW w:w="1399" w:type="pct"/>
                  <w:tcBorders>
                    <w:tl2br w:val="nil"/>
                    <w:tr2bl w:val="nil"/>
                  </w:tcBorders>
                  <w:vAlign w:val="center"/>
                </w:tcPr>
                <w:p w14:paraId="7A351F58">
                  <w:pPr>
                    <w:spacing w:line="240" w:lineRule="auto"/>
                    <w:jc w:val="center"/>
                    <w:rPr>
                      <w:color w:val="000000"/>
                      <w:szCs w:val="21"/>
                    </w:rPr>
                  </w:pPr>
                  <w:r>
                    <w:rPr>
                      <w:color w:val="000000"/>
                      <w:spacing w:val="11"/>
                      <w:szCs w:val="21"/>
                    </w:rPr>
                    <w:t>中型(</w:t>
                  </w:r>
                  <w:r>
                    <w:rPr>
                      <w:color w:val="000000"/>
                      <w:szCs w:val="21"/>
                    </w:rPr>
                    <w:t>L</w:t>
                  </w:r>
                  <w:r>
                    <w:rPr>
                      <w:color w:val="000000"/>
                      <w:spacing w:val="11"/>
                      <w:szCs w:val="21"/>
                    </w:rPr>
                    <w:t>＜6米且乘坐10~19人</w:t>
                  </w:r>
                  <w:r>
                    <w:rPr>
                      <w:color w:val="000000"/>
                      <w:spacing w:val="8"/>
                      <w:szCs w:val="21"/>
                    </w:rPr>
                    <w:t>)</w:t>
                  </w:r>
                </w:p>
              </w:tc>
              <w:tc>
                <w:tcPr>
                  <w:tcW w:w="714" w:type="pct"/>
                  <w:tcBorders>
                    <w:tl2br w:val="nil"/>
                    <w:tr2bl w:val="nil"/>
                  </w:tcBorders>
                  <w:vAlign w:val="center"/>
                </w:tcPr>
                <w:p w14:paraId="63006322">
                  <w:pPr>
                    <w:spacing w:line="240" w:lineRule="auto"/>
                    <w:jc w:val="center"/>
                    <w:rPr>
                      <w:color w:val="000000"/>
                      <w:szCs w:val="21"/>
                    </w:rPr>
                  </w:pPr>
                  <w:r>
                    <w:rPr>
                      <w:color w:val="000000"/>
                      <w:spacing w:val="-4"/>
                      <w:szCs w:val="21"/>
                    </w:rPr>
                    <w:t>8</w:t>
                  </w:r>
                  <w:r>
                    <w:rPr>
                      <w:color w:val="000000"/>
                      <w:spacing w:val="-3"/>
                      <w:szCs w:val="21"/>
                    </w:rPr>
                    <w:t>00</w:t>
                  </w:r>
                </w:p>
              </w:tc>
              <w:tc>
                <w:tcPr>
                  <w:tcW w:w="714" w:type="pct"/>
                  <w:tcBorders>
                    <w:tl2br w:val="nil"/>
                    <w:tr2bl w:val="nil"/>
                  </w:tcBorders>
                  <w:vAlign w:val="center"/>
                </w:tcPr>
                <w:p w14:paraId="20E80C69">
                  <w:pPr>
                    <w:spacing w:line="240" w:lineRule="auto"/>
                    <w:jc w:val="center"/>
                    <w:rPr>
                      <w:color w:val="000000"/>
                      <w:szCs w:val="21"/>
                    </w:rPr>
                  </w:pPr>
                  <w:r>
                    <w:rPr>
                      <w:color w:val="000000"/>
                      <w:spacing w:val="-2"/>
                      <w:szCs w:val="21"/>
                    </w:rPr>
                    <w:t>3.</w:t>
                  </w:r>
                  <w:r>
                    <w:rPr>
                      <w:color w:val="000000"/>
                      <w:spacing w:val="-1"/>
                      <w:szCs w:val="21"/>
                    </w:rPr>
                    <w:t>4</w:t>
                  </w:r>
                </w:p>
              </w:tc>
              <w:tc>
                <w:tcPr>
                  <w:tcW w:w="1207" w:type="dxa"/>
                  <w:tcBorders>
                    <w:tl2br w:val="nil"/>
                    <w:tr2bl w:val="nil"/>
                  </w:tcBorders>
                  <w:vAlign w:val="center"/>
                </w:tcPr>
                <w:p w14:paraId="0130D1B2">
                  <w:pPr>
                    <w:keepNext w:val="0"/>
                    <w:keepLines w:val="0"/>
                    <w:widowControl/>
                    <w:suppressLineNumbers w:val="0"/>
                    <w:spacing w:line="240" w:lineRule="auto"/>
                    <w:jc w:val="center"/>
                    <w:textAlignment w:val="center"/>
                    <w:rPr>
                      <w:color w:val="000000"/>
                      <w:szCs w:val="21"/>
                    </w:rPr>
                  </w:pPr>
                  <w:r>
                    <w:rPr>
                      <w:rFonts w:hint="default" w:ascii="Times New Roman" w:hAnsi="Times New Roman" w:eastAsia="宋体" w:cs="Times New Roman"/>
                      <w:i w:val="0"/>
                      <w:iCs w:val="0"/>
                      <w:color w:val="000000"/>
                      <w:kern w:val="0"/>
                      <w:sz w:val="21"/>
                      <w:szCs w:val="21"/>
                      <w:u w:val="none"/>
                      <w:lang w:val="en-US" w:eastAsia="zh-CN" w:bidi="ar"/>
                    </w:rPr>
                    <w:t>2720</w:t>
                  </w:r>
                </w:p>
              </w:tc>
            </w:tr>
            <w:tr w14:paraId="69F4FCDF">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31" w:type="pct"/>
                  <w:vMerge w:val="continue"/>
                  <w:tcBorders>
                    <w:tl2br w:val="nil"/>
                    <w:tr2bl w:val="nil"/>
                  </w:tcBorders>
                  <w:vAlign w:val="center"/>
                </w:tcPr>
                <w:p w14:paraId="366150DC">
                  <w:pPr>
                    <w:spacing w:line="240" w:lineRule="auto"/>
                    <w:jc w:val="center"/>
                    <w:rPr>
                      <w:color w:val="000000"/>
                      <w:szCs w:val="21"/>
                    </w:rPr>
                  </w:pPr>
                </w:p>
              </w:tc>
              <w:tc>
                <w:tcPr>
                  <w:tcW w:w="387" w:type="pct"/>
                  <w:vMerge w:val="continue"/>
                  <w:tcBorders>
                    <w:tl2br w:val="nil"/>
                    <w:tr2bl w:val="nil"/>
                  </w:tcBorders>
                  <w:vAlign w:val="center"/>
                </w:tcPr>
                <w:p w14:paraId="4E67D998">
                  <w:pPr>
                    <w:spacing w:line="240" w:lineRule="auto"/>
                    <w:jc w:val="center"/>
                    <w:rPr>
                      <w:color w:val="000000"/>
                      <w:szCs w:val="21"/>
                    </w:rPr>
                  </w:pPr>
                </w:p>
              </w:tc>
              <w:tc>
                <w:tcPr>
                  <w:tcW w:w="739" w:type="pct"/>
                  <w:vMerge w:val="continue"/>
                  <w:tcBorders>
                    <w:tl2br w:val="nil"/>
                    <w:tr2bl w:val="nil"/>
                  </w:tcBorders>
                  <w:vAlign w:val="center"/>
                </w:tcPr>
                <w:p w14:paraId="0113759D">
                  <w:pPr>
                    <w:spacing w:line="240" w:lineRule="auto"/>
                    <w:jc w:val="center"/>
                    <w:rPr>
                      <w:color w:val="000000"/>
                      <w:szCs w:val="21"/>
                    </w:rPr>
                  </w:pPr>
                </w:p>
              </w:tc>
              <w:tc>
                <w:tcPr>
                  <w:tcW w:w="1399" w:type="pct"/>
                  <w:tcBorders>
                    <w:tl2br w:val="nil"/>
                    <w:tr2bl w:val="nil"/>
                  </w:tcBorders>
                  <w:vAlign w:val="center"/>
                </w:tcPr>
                <w:p w14:paraId="6293AFE5">
                  <w:pPr>
                    <w:spacing w:line="240" w:lineRule="auto"/>
                    <w:jc w:val="center"/>
                    <w:rPr>
                      <w:color w:val="000000"/>
                      <w:szCs w:val="21"/>
                    </w:rPr>
                  </w:pPr>
                  <w:r>
                    <w:rPr>
                      <w:color w:val="000000"/>
                      <w:spacing w:val="6"/>
                      <w:position w:val="1"/>
                      <w:szCs w:val="21"/>
                    </w:rPr>
                    <w:t>大型(</w:t>
                  </w:r>
                  <w:r>
                    <w:rPr>
                      <w:color w:val="000000"/>
                      <w:position w:val="1"/>
                      <w:szCs w:val="21"/>
                    </w:rPr>
                    <w:t>L</w:t>
                  </w:r>
                  <w:r>
                    <w:rPr>
                      <w:color w:val="000000"/>
                      <w:spacing w:val="6"/>
                      <w:position w:val="1"/>
                      <w:szCs w:val="21"/>
                    </w:rPr>
                    <w:t>≥6米或乘坐≥20人)</w:t>
                  </w:r>
                </w:p>
              </w:tc>
              <w:tc>
                <w:tcPr>
                  <w:tcW w:w="714" w:type="pct"/>
                  <w:tcBorders>
                    <w:tl2br w:val="nil"/>
                    <w:tr2bl w:val="nil"/>
                  </w:tcBorders>
                  <w:vAlign w:val="center"/>
                </w:tcPr>
                <w:p w14:paraId="56CFD64F">
                  <w:pPr>
                    <w:spacing w:line="240" w:lineRule="auto"/>
                    <w:jc w:val="center"/>
                    <w:rPr>
                      <w:color w:val="000000"/>
                      <w:szCs w:val="21"/>
                    </w:rPr>
                  </w:pPr>
                  <w:r>
                    <w:rPr>
                      <w:color w:val="000000"/>
                      <w:spacing w:val="-1"/>
                      <w:szCs w:val="21"/>
                    </w:rPr>
                    <w:t>1600</w:t>
                  </w:r>
                </w:p>
              </w:tc>
              <w:tc>
                <w:tcPr>
                  <w:tcW w:w="714" w:type="pct"/>
                  <w:tcBorders>
                    <w:tl2br w:val="nil"/>
                    <w:tr2bl w:val="nil"/>
                  </w:tcBorders>
                  <w:vAlign w:val="center"/>
                </w:tcPr>
                <w:p w14:paraId="7E5D6C23">
                  <w:pPr>
                    <w:spacing w:line="240" w:lineRule="auto"/>
                    <w:jc w:val="center"/>
                    <w:rPr>
                      <w:color w:val="000000"/>
                      <w:szCs w:val="21"/>
                    </w:rPr>
                  </w:pPr>
                  <w:r>
                    <w:rPr>
                      <w:color w:val="000000"/>
                      <w:spacing w:val="-6"/>
                      <w:szCs w:val="21"/>
                    </w:rPr>
                    <w:t>10.0</w:t>
                  </w:r>
                </w:p>
              </w:tc>
              <w:tc>
                <w:tcPr>
                  <w:tcW w:w="1207" w:type="dxa"/>
                  <w:tcBorders>
                    <w:tl2br w:val="nil"/>
                    <w:tr2bl w:val="nil"/>
                  </w:tcBorders>
                  <w:vAlign w:val="center"/>
                </w:tcPr>
                <w:p w14:paraId="610A79F1">
                  <w:pPr>
                    <w:keepNext w:val="0"/>
                    <w:keepLines w:val="0"/>
                    <w:widowControl/>
                    <w:suppressLineNumbers w:val="0"/>
                    <w:spacing w:line="240" w:lineRule="auto"/>
                    <w:jc w:val="center"/>
                    <w:textAlignment w:val="center"/>
                    <w:rPr>
                      <w:color w:val="000000"/>
                      <w:szCs w:val="21"/>
                    </w:rPr>
                  </w:pPr>
                  <w:r>
                    <w:rPr>
                      <w:rFonts w:hint="default" w:ascii="Times New Roman" w:hAnsi="Times New Roman" w:eastAsia="宋体" w:cs="Times New Roman"/>
                      <w:i w:val="0"/>
                      <w:iCs w:val="0"/>
                      <w:color w:val="000000"/>
                      <w:kern w:val="0"/>
                      <w:sz w:val="21"/>
                      <w:szCs w:val="21"/>
                      <w:u w:val="none"/>
                      <w:lang w:val="en-US" w:eastAsia="zh-CN" w:bidi="ar"/>
                    </w:rPr>
                    <w:t>16000</w:t>
                  </w:r>
                </w:p>
              </w:tc>
            </w:tr>
            <w:tr w14:paraId="4228651D">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31" w:type="pct"/>
                  <w:vMerge w:val="restart"/>
                  <w:tcBorders>
                    <w:tl2br w:val="nil"/>
                    <w:tr2bl w:val="nil"/>
                  </w:tcBorders>
                  <w:vAlign w:val="center"/>
                </w:tcPr>
                <w:p w14:paraId="7695ED8C">
                  <w:pPr>
                    <w:spacing w:line="240" w:lineRule="auto"/>
                    <w:jc w:val="center"/>
                    <w:rPr>
                      <w:color w:val="000000"/>
                      <w:szCs w:val="21"/>
                    </w:rPr>
                  </w:pPr>
                  <w:r>
                    <w:rPr>
                      <w:color w:val="000000"/>
                      <w:szCs w:val="21"/>
                    </w:rPr>
                    <w:t>3</w:t>
                  </w:r>
                </w:p>
              </w:tc>
              <w:tc>
                <w:tcPr>
                  <w:tcW w:w="387" w:type="pct"/>
                  <w:vMerge w:val="continue"/>
                  <w:tcBorders>
                    <w:tl2br w:val="nil"/>
                    <w:tr2bl w:val="nil"/>
                  </w:tcBorders>
                  <w:vAlign w:val="center"/>
                </w:tcPr>
                <w:p w14:paraId="70C6FB55">
                  <w:pPr>
                    <w:spacing w:line="240" w:lineRule="auto"/>
                    <w:jc w:val="center"/>
                    <w:rPr>
                      <w:color w:val="000000"/>
                      <w:szCs w:val="21"/>
                    </w:rPr>
                  </w:pPr>
                </w:p>
              </w:tc>
              <w:tc>
                <w:tcPr>
                  <w:tcW w:w="739" w:type="pct"/>
                  <w:vMerge w:val="restart"/>
                  <w:tcBorders>
                    <w:tl2br w:val="nil"/>
                    <w:tr2bl w:val="nil"/>
                  </w:tcBorders>
                  <w:vAlign w:val="center"/>
                </w:tcPr>
                <w:p w14:paraId="1CA4E63D">
                  <w:pPr>
                    <w:spacing w:line="240" w:lineRule="auto"/>
                    <w:jc w:val="center"/>
                    <w:rPr>
                      <w:color w:val="000000"/>
                      <w:szCs w:val="21"/>
                    </w:rPr>
                  </w:pPr>
                  <w:r>
                    <w:rPr>
                      <w:color w:val="000000"/>
                      <w:spacing w:val="5"/>
                      <w:szCs w:val="21"/>
                    </w:rPr>
                    <w:t>报废载货</w:t>
                  </w:r>
                  <w:r>
                    <w:rPr>
                      <w:color w:val="000000"/>
                      <w:spacing w:val="3"/>
                      <w:szCs w:val="21"/>
                    </w:rPr>
                    <w:t>汽</w:t>
                  </w:r>
                  <w:r>
                    <w:rPr>
                      <w:color w:val="000000"/>
                      <w:spacing w:val="2"/>
                      <w:szCs w:val="21"/>
                    </w:rPr>
                    <w:t>车</w:t>
                  </w:r>
                </w:p>
              </w:tc>
              <w:tc>
                <w:tcPr>
                  <w:tcW w:w="1399" w:type="pct"/>
                  <w:tcBorders>
                    <w:tl2br w:val="nil"/>
                    <w:tr2bl w:val="nil"/>
                  </w:tcBorders>
                  <w:vAlign w:val="center"/>
                </w:tcPr>
                <w:p w14:paraId="7D217D76">
                  <w:pPr>
                    <w:spacing w:line="240" w:lineRule="auto"/>
                    <w:jc w:val="center"/>
                    <w:rPr>
                      <w:color w:val="000000"/>
                      <w:szCs w:val="21"/>
                    </w:rPr>
                  </w:pPr>
                  <w:r>
                    <w:rPr>
                      <w:color w:val="000000"/>
                      <w:spacing w:val="7"/>
                      <w:szCs w:val="21"/>
                    </w:rPr>
                    <w:t>轻型(</w:t>
                  </w:r>
                  <w:r>
                    <w:rPr>
                      <w:color w:val="000000"/>
                      <w:szCs w:val="21"/>
                    </w:rPr>
                    <w:t>L</w:t>
                  </w:r>
                  <w:r>
                    <w:rPr>
                      <w:color w:val="000000"/>
                      <w:spacing w:val="7"/>
                      <w:szCs w:val="21"/>
                    </w:rPr>
                    <w:t>＜6米且总重＜4.5</w:t>
                  </w:r>
                  <w:r>
                    <w:rPr>
                      <w:color w:val="000000"/>
                      <w:szCs w:val="21"/>
                    </w:rPr>
                    <w:t>T</w:t>
                  </w:r>
                  <w:r>
                    <w:rPr>
                      <w:color w:val="000000"/>
                      <w:spacing w:val="4"/>
                      <w:szCs w:val="21"/>
                    </w:rPr>
                    <w:t>)</w:t>
                  </w:r>
                </w:p>
              </w:tc>
              <w:tc>
                <w:tcPr>
                  <w:tcW w:w="714" w:type="pct"/>
                  <w:tcBorders>
                    <w:tl2br w:val="nil"/>
                    <w:tr2bl w:val="nil"/>
                  </w:tcBorders>
                  <w:vAlign w:val="center"/>
                </w:tcPr>
                <w:p w14:paraId="08D706C4">
                  <w:pPr>
                    <w:spacing w:line="240" w:lineRule="auto"/>
                    <w:jc w:val="center"/>
                    <w:rPr>
                      <w:color w:val="000000"/>
                      <w:szCs w:val="21"/>
                    </w:rPr>
                  </w:pPr>
                  <w:r>
                    <w:rPr>
                      <w:color w:val="000000"/>
                      <w:spacing w:val="-4"/>
                      <w:szCs w:val="21"/>
                    </w:rPr>
                    <w:t>150</w:t>
                  </w:r>
                  <w:r>
                    <w:rPr>
                      <w:color w:val="000000"/>
                      <w:spacing w:val="-3"/>
                      <w:szCs w:val="21"/>
                    </w:rPr>
                    <w:t>0</w:t>
                  </w:r>
                </w:p>
              </w:tc>
              <w:tc>
                <w:tcPr>
                  <w:tcW w:w="714" w:type="pct"/>
                  <w:tcBorders>
                    <w:tl2br w:val="nil"/>
                    <w:tr2bl w:val="nil"/>
                  </w:tcBorders>
                  <w:vAlign w:val="center"/>
                </w:tcPr>
                <w:p w14:paraId="3C2B3A16">
                  <w:pPr>
                    <w:spacing w:line="240" w:lineRule="auto"/>
                    <w:jc w:val="center"/>
                    <w:rPr>
                      <w:color w:val="000000"/>
                      <w:szCs w:val="21"/>
                    </w:rPr>
                  </w:pPr>
                  <w:r>
                    <w:rPr>
                      <w:color w:val="000000"/>
                      <w:spacing w:val="-1"/>
                      <w:szCs w:val="21"/>
                    </w:rPr>
                    <w:t>2.</w:t>
                  </w:r>
                  <w:r>
                    <w:rPr>
                      <w:color w:val="000000"/>
                      <w:szCs w:val="21"/>
                    </w:rPr>
                    <w:t>2</w:t>
                  </w:r>
                </w:p>
              </w:tc>
              <w:tc>
                <w:tcPr>
                  <w:tcW w:w="1207" w:type="dxa"/>
                  <w:tcBorders>
                    <w:tl2br w:val="nil"/>
                    <w:tr2bl w:val="nil"/>
                  </w:tcBorders>
                  <w:vAlign w:val="center"/>
                </w:tcPr>
                <w:p w14:paraId="61603043">
                  <w:pPr>
                    <w:keepNext w:val="0"/>
                    <w:keepLines w:val="0"/>
                    <w:widowControl/>
                    <w:suppressLineNumbers w:val="0"/>
                    <w:spacing w:line="240" w:lineRule="auto"/>
                    <w:jc w:val="center"/>
                    <w:textAlignment w:val="center"/>
                    <w:rPr>
                      <w:color w:val="000000"/>
                      <w:szCs w:val="21"/>
                    </w:rPr>
                  </w:pPr>
                  <w:r>
                    <w:rPr>
                      <w:rFonts w:hint="default" w:ascii="Times New Roman" w:hAnsi="Times New Roman" w:eastAsia="宋体" w:cs="Times New Roman"/>
                      <w:i w:val="0"/>
                      <w:iCs w:val="0"/>
                      <w:color w:val="000000"/>
                      <w:kern w:val="0"/>
                      <w:sz w:val="21"/>
                      <w:szCs w:val="21"/>
                      <w:u w:val="none"/>
                      <w:lang w:val="en-US" w:eastAsia="zh-CN" w:bidi="ar"/>
                    </w:rPr>
                    <w:t>3300</w:t>
                  </w:r>
                </w:p>
              </w:tc>
            </w:tr>
            <w:tr w14:paraId="686F63D0">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31" w:type="pct"/>
                  <w:vMerge w:val="continue"/>
                  <w:tcBorders>
                    <w:tl2br w:val="nil"/>
                    <w:tr2bl w:val="nil"/>
                  </w:tcBorders>
                  <w:vAlign w:val="center"/>
                </w:tcPr>
                <w:p w14:paraId="22BBDD28">
                  <w:pPr>
                    <w:spacing w:line="240" w:lineRule="auto"/>
                    <w:jc w:val="center"/>
                    <w:rPr>
                      <w:color w:val="000000"/>
                      <w:szCs w:val="21"/>
                    </w:rPr>
                  </w:pPr>
                </w:p>
              </w:tc>
              <w:tc>
                <w:tcPr>
                  <w:tcW w:w="387" w:type="pct"/>
                  <w:vMerge w:val="continue"/>
                  <w:tcBorders>
                    <w:tl2br w:val="nil"/>
                    <w:tr2bl w:val="nil"/>
                  </w:tcBorders>
                  <w:vAlign w:val="center"/>
                </w:tcPr>
                <w:p w14:paraId="1C201649">
                  <w:pPr>
                    <w:spacing w:line="240" w:lineRule="auto"/>
                    <w:jc w:val="center"/>
                    <w:rPr>
                      <w:color w:val="000000"/>
                      <w:szCs w:val="21"/>
                    </w:rPr>
                  </w:pPr>
                </w:p>
              </w:tc>
              <w:tc>
                <w:tcPr>
                  <w:tcW w:w="739" w:type="pct"/>
                  <w:vMerge w:val="continue"/>
                  <w:tcBorders>
                    <w:tl2br w:val="nil"/>
                    <w:tr2bl w:val="nil"/>
                  </w:tcBorders>
                  <w:vAlign w:val="center"/>
                </w:tcPr>
                <w:p w14:paraId="16039E54">
                  <w:pPr>
                    <w:spacing w:line="240" w:lineRule="auto"/>
                    <w:jc w:val="center"/>
                    <w:rPr>
                      <w:color w:val="000000"/>
                      <w:szCs w:val="21"/>
                    </w:rPr>
                  </w:pPr>
                </w:p>
              </w:tc>
              <w:tc>
                <w:tcPr>
                  <w:tcW w:w="1399" w:type="pct"/>
                  <w:tcBorders>
                    <w:tl2br w:val="nil"/>
                    <w:tr2bl w:val="nil"/>
                  </w:tcBorders>
                  <w:vAlign w:val="center"/>
                </w:tcPr>
                <w:p w14:paraId="23DDABA6">
                  <w:pPr>
                    <w:spacing w:line="240" w:lineRule="auto"/>
                    <w:jc w:val="center"/>
                    <w:rPr>
                      <w:color w:val="000000"/>
                      <w:szCs w:val="21"/>
                    </w:rPr>
                  </w:pPr>
                  <w:r>
                    <w:rPr>
                      <w:color w:val="000000"/>
                      <w:spacing w:val="10"/>
                      <w:position w:val="1"/>
                      <w:szCs w:val="21"/>
                    </w:rPr>
                    <w:t>中</w:t>
                  </w:r>
                  <w:r>
                    <w:rPr>
                      <w:color w:val="000000"/>
                      <w:spacing w:val="6"/>
                      <w:position w:val="1"/>
                      <w:szCs w:val="21"/>
                    </w:rPr>
                    <w:t>型(</w:t>
                  </w:r>
                  <w:r>
                    <w:rPr>
                      <w:color w:val="000000"/>
                      <w:position w:val="1"/>
                      <w:szCs w:val="21"/>
                    </w:rPr>
                    <w:t>L</w:t>
                  </w:r>
                  <w:r>
                    <w:rPr>
                      <w:color w:val="000000"/>
                      <w:spacing w:val="6"/>
                      <w:position w:val="1"/>
                      <w:szCs w:val="21"/>
                    </w:rPr>
                    <w:t>＜6米且4.5</w:t>
                  </w:r>
                  <w:r>
                    <w:rPr>
                      <w:color w:val="000000"/>
                      <w:position w:val="1"/>
                      <w:szCs w:val="21"/>
                    </w:rPr>
                    <w:t>T</w:t>
                  </w:r>
                  <w:r>
                    <w:rPr>
                      <w:color w:val="000000"/>
                      <w:spacing w:val="6"/>
                      <w:position w:val="1"/>
                      <w:szCs w:val="21"/>
                    </w:rPr>
                    <w:t>≤总重＜12</w:t>
                  </w:r>
                  <w:r>
                    <w:rPr>
                      <w:color w:val="000000"/>
                      <w:position w:val="1"/>
                      <w:szCs w:val="21"/>
                    </w:rPr>
                    <w:t>T</w:t>
                  </w:r>
                  <w:r>
                    <w:rPr>
                      <w:color w:val="000000"/>
                      <w:spacing w:val="6"/>
                      <w:position w:val="1"/>
                      <w:szCs w:val="21"/>
                    </w:rPr>
                    <w:t>)</w:t>
                  </w:r>
                </w:p>
              </w:tc>
              <w:tc>
                <w:tcPr>
                  <w:tcW w:w="714" w:type="pct"/>
                  <w:tcBorders>
                    <w:tl2br w:val="nil"/>
                    <w:tr2bl w:val="nil"/>
                  </w:tcBorders>
                  <w:vAlign w:val="center"/>
                </w:tcPr>
                <w:p w14:paraId="0A0EBC73">
                  <w:pPr>
                    <w:spacing w:line="240" w:lineRule="auto"/>
                    <w:jc w:val="center"/>
                    <w:rPr>
                      <w:color w:val="000000"/>
                      <w:szCs w:val="21"/>
                    </w:rPr>
                  </w:pPr>
                  <w:r>
                    <w:rPr>
                      <w:color w:val="000000"/>
                      <w:spacing w:val="-3"/>
                      <w:szCs w:val="21"/>
                    </w:rPr>
                    <w:t>2000</w:t>
                  </w:r>
                </w:p>
              </w:tc>
              <w:tc>
                <w:tcPr>
                  <w:tcW w:w="714" w:type="pct"/>
                  <w:tcBorders>
                    <w:tl2br w:val="nil"/>
                    <w:tr2bl w:val="nil"/>
                  </w:tcBorders>
                  <w:vAlign w:val="center"/>
                </w:tcPr>
                <w:p w14:paraId="726043A4">
                  <w:pPr>
                    <w:spacing w:line="240" w:lineRule="auto"/>
                    <w:jc w:val="center"/>
                    <w:rPr>
                      <w:color w:val="000000"/>
                      <w:szCs w:val="21"/>
                    </w:rPr>
                  </w:pPr>
                  <w:r>
                    <w:rPr>
                      <w:color w:val="000000"/>
                      <w:spacing w:val="-4"/>
                      <w:szCs w:val="21"/>
                    </w:rPr>
                    <w:t>3</w:t>
                  </w:r>
                  <w:r>
                    <w:rPr>
                      <w:color w:val="000000"/>
                      <w:spacing w:val="-2"/>
                      <w:szCs w:val="21"/>
                    </w:rPr>
                    <w:t>.2</w:t>
                  </w:r>
                </w:p>
              </w:tc>
              <w:tc>
                <w:tcPr>
                  <w:tcW w:w="1207" w:type="dxa"/>
                  <w:tcBorders>
                    <w:tl2br w:val="nil"/>
                    <w:tr2bl w:val="nil"/>
                  </w:tcBorders>
                  <w:vAlign w:val="center"/>
                </w:tcPr>
                <w:p w14:paraId="720FEFCC">
                  <w:pPr>
                    <w:keepNext w:val="0"/>
                    <w:keepLines w:val="0"/>
                    <w:widowControl/>
                    <w:suppressLineNumbers w:val="0"/>
                    <w:spacing w:line="240" w:lineRule="auto"/>
                    <w:jc w:val="center"/>
                    <w:textAlignment w:val="center"/>
                    <w:rPr>
                      <w:color w:val="000000"/>
                      <w:szCs w:val="21"/>
                    </w:rPr>
                  </w:pPr>
                  <w:r>
                    <w:rPr>
                      <w:rFonts w:hint="default" w:ascii="Times New Roman" w:hAnsi="Times New Roman" w:eastAsia="宋体" w:cs="Times New Roman"/>
                      <w:i w:val="0"/>
                      <w:iCs w:val="0"/>
                      <w:color w:val="000000"/>
                      <w:kern w:val="0"/>
                      <w:sz w:val="21"/>
                      <w:szCs w:val="21"/>
                      <w:u w:val="none"/>
                      <w:lang w:val="en-US" w:eastAsia="zh-CN" w:bidi="ar"/>
                    </w:rPr>
                    <w:t>6400</w:t>
                  </w:r>
                </w:p>
              </w:tc>
            </w:tr>
            <w:tr w14:paraId="6632B4C7">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31" w:type="pct"/>
                  <w:vMerge w:val="continue"/>
                  <w:tcBorders>
                    <w:tl2br w:val="nil"/>
                    <w:tr2bl w:val="nil"/>
                  </w:tcBorders>
                  <w:vAlign w:val="center"/>
                </w:tcPr>
                <w:p w14:paraId="14550266">
                  <w:pPr>
                    <w:spacing w:line="240" w:lineRule="auto"/>
                    <w:jc w:val="center"/>
                    <w:rPr>
                      <w:color w:val="000000"/>
                      <w:szCs w:val="21"/>
                    </w:rPr>
                  </w:pPr>
                </w:p>
              </w:tc>
              <w:tc>
                <w:tcPr>
                  <w:tcW w:w="387" w:type="pct"/>
                  <w:vMerge w:val="continue"/>
                  <w:tcBorders>
                    <w:tl2br w:val="nil"/>
                    <w:tr2bl w:val="nil"/>
                  </w:tcBorders>
                  <w:vAlign w:val="center"/>
                </w:tcPr>
                <w:p w14:paraId="1C49C2BF">
                  <w:pPr>
                    <w:spacing w:line="240" w:lineRule="auto"/>
                    <w:jc w:val="center"/>
                    <w:rPr>
                      <w:color w:val="000000"/>
                      <w:szCs w:val="21"/>
                    </w:rPr>
                  </w:pPr>
                </w:p>
              </w:tc>
              <w:tc>
                <w:tcPr>
                  <w:tcW w:w="739" w:type="pct"/>
                  <w:vMerge w:val="continue"/>
                  <w:tcBorders>
                    <w:tl2br w:val="nil"/>
                    <w:tr2bl w:val="nil"/>
                  </w:tcBorders>
                  <w:vAlign w:val="center"/>
                </w:tcPr>
                <w:p w14:paraId="54C0DBFF">
                  <w:pPr>
                    <w:spacing w:line="240" w:lineRule="auto"/>
                    <w:jc w:val="center"/>
                    <w:rPr>
                      <w:color w:val="000000"/>
                      <w:szCs w:val="21"/>
                    </w:rPr>
                  </w:pPr>
                </w:p>
              </w:tc>
              <w:tc>
                <w:tcPr>
                  <w:tcW w:w="1399" w:type="pct"/>
                  <w:tcBorders>
                    <w:tl2br w:val="nil"/>
                    <w:tr2bl w:val="nil"/>
                  </w:tcBorders>
                  <w:vAlign w:val="center"/>
                </w:tcPr>
                <w:p w14:paraId="05C4B1D6">
                  <w:pPr>
                    <w:spacing w:line="240" w:lineRule="auto"/>
                    <w:jc w:val="center"/>
                    <w:rPr>
                      <w:color w:val="000000"/>
                      <w:szCs w:val="21"/>
                    </w:rPr>
                  </w:pPr>
                  <w:r>
                    <w:rPr>
                      <w:color w:val="000000"/>
                      <w:spacing w:val="12"/>
                      <w:position w:val="1"/>
                      <w:szCs w:val="21"/>
                    </w:rPr>
                    <w:t>重</w:t>
                  </w:r>
                  <w:r>
                    <w:rPr>
                      <w:color w:val="000000"/>
                      <w:spacing w:val="7"/>
                      <w:position w:val="1"/>
                      <w:szCs w:val="21"/>
                    </w:rPr>
                    <w:t>型(</w:t>
                  </w:r>
                  <w:r>
                    <w:rPr>
                      <w:color w:val="000000"/>
                      <w:position w:val="1"/>
                      <w:szCs w:val="21"/>
                    </w:rPr>
                    <w:t>L</w:t>
                  </w:r>
                  <w:r>
                    <w:rPr>
                      <w:color w:val="000000"/>
                      <w:spacing w:val="7"/>
                      <w:position w:val="1"/>
                      <w:szCs w:val="21"/>
                    </w:rPr>
                    <w:t>≥6米或总重≥12</w:t>
                  </w:r>
                  <w:r>
                    <w:rPr>
                      <w:color w:val="000000"/>
                      <w:position w:val="1"/>
                      <w:szCs w:val="21"/>
                    </w:rPr>
                    <w:t>T</w:t>
                  </w:r>
                  <w:r>
                    <w:rPr>
                      <w:color w:val="000000"/>
                      <w:spacing w:val="7"/>
                      <w:position w:val="1"/>
                      <w:szCs w:val="21"/>
                    </w:rPr>
                    <w:t>)</w:t>
                  </w:r>
                </w:p>
              </w:tc>
              <w:tc>
                <w:tcPr>
                  <w:tcW w:w="714" w:type="pct"/>
                  <w:tcBorders>
                    <w:tl2br w:val="nil"/>
                    <w:tr2bl w:val="nil"/>
                  </w:tcBorders>
                  <w:vAlign w:val="center"/>
                </w:tcPr>
                <w:p w14:paraId="65E71D4E">
                  <w:pPr>
                    <w:spacing w:line="240" w:lineRule="auto"/>
                    <w:jc w:val="center"/>
                    <w:rPr>
                      <w:rFonts w:hint="default" w:eastAsia="宋体"/>
                      <w:color w:val="000000"/>
                      <w:szCs w:val="21"/>
                      <w:lang w:val="en-US" w:eastAsia="zh-CN"/>
                    </w:rPr>
                  </w:pPr>
                  <w:r>
                    <w:rPr>
                      <w:rFonts w:hint="eastAsia"/>
                      <w:color w:val="000000"/>
                      <w:spacing w:val="-9"/>
                      <w:szCs w:val="21"/>
                      <w:lang w:val="en-US" w:eastAsia="zh-CN"/>
                    </w:rPr>
                    <w:t>3500</w:t>
                  </w:r>
                </w:p>
              </w:tc>
              <w:tc>
                <w:tcPr>
                  <w:tcW w:w="714" w:type="pct"/>
                  <w:tcBorders>
                    <w:tl2br w:val="nil"/>
                    <w:tr2bl w:val="nil"/>
                  </w:tcBorders>
                  <w:vAlign w:val="center"/>
                </w:tcPr>
                <w:p w14:paraId="6E5C2CDF">
                  <w:pPr>
                    <w:spacing w:line="240" w:lineRule="auto"/>
                    <w:jc w:val="center"/>
                    <w:rPr>
                      <w:color w:val="000000"/>
                      <w:szCs w:val="21"/>
                    </w:rPr>
                  </w:pPr>
                  <w:r>
                    <w:rPr>
                      <w:color w:val="000000"/>
                      <w:spacing w:val="-2"/>
                      <w:szCs w:val="21"/>
                    </w:rPr>
                    <w:t>9.</w:t>
                  </w:r>
                  <w:r>
                    <w:rPr>
                      <w:color w:val="000000"/>
                      <w:spacing w:val="-1"/>
                      <w:szCs w:val="21"/>
                    </w:rPr>
                    <w:t>5</w:t>
                  </w:r>
                </w:p>
              </w:tc>
              <w:tc>
                <w:tcPr>
                  <w:tcW w:w="1207" w:type="dxa"/>
                  <w:tcBorders>
                    <w:tl2br w:val="nil"/>
                    <w:tr2bl w:val="nil"/>
                  </w:tcBorders>
                  <w:vAlign w:val="center"/>
                </w:tcPr>
                <w:p w14:paraId="61326AA9">
                  <w:pPr>
                    <w:keepNext w:val="0"/>
                    <w:keepLines w:val="0"/>
                    <w:widowControl/>
                    <w:suppressLineNumbers w:val="0"/>
                    <w:spacing w:line="240" w:lineRule="auto"/>
                    <w:jc w:val="center"/>
                    <w:textAlignment w:val="center"/>
                    <w:rPr>
                      <w:color w:val="000000"/>
                      <w:szCs w:val="21"/>
                    </w:rPr>
                  </w:pPr>
                  <w:r>
                    <w:rPr>
                      <w:rFonts w:hint="default" w:ascii="Times New Roman" w:hAnsi="Times New Roman" w:eastAsia="宋体" w:cs="Times New Roman"/>
                      <w:i w:val="0"/>
                      <w:iCs w:val="0"/>
                      <w:color w:val="000000"/>
                      <w:kern w:val="0"/>
                      <w:sz w:val="21"/>
                      <w:szCs w:val="21"/>
                      <w:u w:val="none"/>
                      <w:lang w:val="en-US" w:eastAsia="zh-CN" w:bidi="ar"/>
                    </w:rPr>
                    <w:t>33250</w:t>
                  </w:r>
                </w:p>
              </w:tc>
            </w:tr>
            <w:tr w14:paraId="327EE612">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31" w:type="pct"/>
                  <w:vMerge w:val="restart"/>
                  <w:tcBorders>
                    <w:tl2br w:val="nil"/>
                    <w:tr2bl w:val="nil"/>
                  </w:tcBorders>
                  <w:vAlign w:val="center"/>
                </w:tcPr>
                <w:p w14:paraId="424E18E6">
                  <w:pPr>
                    <w:spacing w:line="240" w:lineRule="auto"/>
                    <w:jc w:val="center"/>
                    <w:rPr>
                      <w:color w:val="FF0000"/>
                      <w:szCs w:val="21"/>
                    </w:rPr>
                  </w:pPr>
                  <w:r>
                    <w:rPr>
                      <w:color w:val="FF0000"/>
                      <w:szCs w:val="21"/>
                    </w:rPr>
                    <w:t>4</w:t>
                  </w:r>
                </w:p>
              </w:tc>
              <w:tc>
                <w:tcPr>
                  <w:tcW w:w="387" w:type="pct"/>
                  <w:vMerge w:val="continue"/>
                  <w:tcBorders>
                    <w:tl2br w:val="nil"/>
                    <w:tr2bl w:val="nil"/>
                  </w:tcBorders>
                  <w:vAlign w:val="center"/>
                </w:tcPr>
                <w:p w14:paraId="491E0AE4">
                  <w:pPr>
                    <w:spacing w:line="240" w:lineRule="auto"/>
                    <w:jc w:val="center"/>
                    <w:rPr>
                      <w:color w:val="FF0000"/>
                      <w:szCs w:val="21"/>
                    </w:rPr>
                  </w:pPr>
                </w:p>
              </w:tc>
              <w:tc>
                <w:tcPr>
                  <w:tcW w:w="739" w:type="pct"/>
                  <w:vMerge w:val="restart"/>
                  <w:tcBorders>
                    <w:tl2br w:val="nil"/>
                    <w:tr2bl w:val="nil"/>
                  </w:tcBorders>
                  <w:vAlign w:val="center"/>
                </w:tcPr>
                <w:p w14:paraId="2094B6C7">
                  <w:pPr>
                    <w:spacing w:line="240" w:lineRule="auto"/>
                    <w:jc w:val="center"/>
                    <w:rPr>
                      <w:color w:val="FF0000"/>
                      <w:szCs w:val="21"/>
                    </w:rPr>
                  </w:pPr>
                  <w:r>
                    <w:rPr>
                      <w:color w:val="FF0000"/>
                      <w:spacing w:val="5"/>
                      <w:szCs w:val="21"/>
                    </w:rPr>
                    <w:t>报废新能</w:t>
                  </w:r>
                  <w:r>
                    <w:rPr>
                      <w:color w:val="FF0000"/>
                      <w:spacing w:val="4"/>
                      <w:szCs w:val="21"/>
                    </w:rPr>
                    <w:t>源汽车</w:t>
                  </w:r>
                </w:p>
              </w:tc>
              <w:tc>
                <w:tcPr>
                  <w:tcW w:w="1399" w:type="pct"/>
                  <w:tcBorders>
                    <w:tl2br w:val="nil"/>
                    <w:tr2bl w:val="nil"/>
                  </w:tcBorders>
                  <w:vAlign w:val="center"/>
                </w:tcPr>
                <w:p w14:paraId="0434C3FE">
                  <w:pPr>
                    <w:spacing w:line="240" w:lineRule="auto"/>
                    <w:jc w:val="center"/>
                    <w:rPr>
                      <w:rFonts w:hint="eastAsia" w:eastAsia="宋体"/>
                      <w:color w:val="FF0000"/>
                      <w:szCs w:val="21"/>
                      <w:lang w:eastAsia="zh-CN"/>
                    </w:rPr>
                  </w:pPr>
                  <w:r>
                    <w:rPr>
                      <w:color w:val="FF0000"/>
                      <w:spacing w:val="-7"/>
                      <w:szCs w:val="21"/>
                    </w:rPr>
                    <w:t>电</w:t>
                  </w:r>
                  <w:r>
                    <w:rPr>
                      <w:color w:val="FF0000"/>
                      <w:spacing w:val="-5"/>
                      <w:szCs w:val="21"/>
                    </w:rPr>
                    <w:t>动乘用车</w:t>
                  </w:r>
                  <w:r>
                    <w:rPr>
                      <w:rFonts w:hint="eastAsia"/>
                      <w:color w:val="FF0000"/>
                      <w:spacing w:val="-5"/>
                      <w:szCs w:val="21"/>
                      <w:lang w:eastAsia="zh-CN"/>
                    </w:rPr>
                    <w:t>（</w:t>
                  </w:r>
                  <w:r>
                    <w:rPr>
                      <w:rFonts w:hint="eastAsia"/>
                      <w:color w:val="FF0000"/>
                      <w:spacing w:val="-5"/>
                      <w:szCs w:val="21"/>
                      <w:lang w:val="en-US" w:eastAsia="zh-CN"/>
                    </w:rPr>
                    <w:t>纯电</w:t>
                  </w:r>
                  <w:r>
                    <w:rPr>
                      <w:rFonts w:hint="eastAsia"/>
                      <w:color w:val="FF0000"/>
                      <w:spacing w:val="-5"/>
                      <w:szCs w:val="21"/>
                      <w:lang w:eastAsia="zh-CN"/>
                    </w:rPr>
                    <w:t>）</w:t>
                  </w:r>
                </w:p>
              </w:tc>
              <w:tc>
                <w:tcPr>
                  <w:tcW w:w="714" w:type="pct"/>
                  <w:tcBorders>
                    <w:tl2br w:val="nil"/>
                    <w:tr2bl w:val="nil"/>
                  </w:tcBorders>
                  <w:vAlign w:val="center"/>
                </w:tcPr>
                <w:p w14:paraId="774F96A0">
                  <w:pPr>
                    <w:spacing w:line="240" w:lineRule="auto"/>
                    <w:jc w:val="center"/>
                    <w:rPr>
                      <w:rFonts w:hint="default" w:eastAsia="宋体"/>
                      <w:color w:val="FF0000"/>
                      <w:szCs w:val="21"/>
                      <w:lang w:val="en-US" w:eastAsia="zh-CN"/>
                    </w:rPr>
                  </w:pPr>
                  <w:r>
                    <w:rPr>
                      <w:rFonts w:hint="eastAsia"/>
                      <w:color w:val="FF0000"/>
                      <w:spacing w:val="-3"/>
                      <w:szCs w:val="21"/>
                      <w:lang w:val="en-US" w:eastAsia="zh-CN"/>
                    </w:rPr>
                    <w:t>700</w:t>
                  </w:r>
                </w:p>
              </w:tc>
              <w:tc>
                <w:tcPr>
                  <w:tcW w:w="714" w:type="pct"/>
                  <w:tcBorders>
                    <w:tl2br w:val="nil"/>
                    <w:tr2bl w:val="nil"/>
                  </w:tcBorders>
                  <w:vAlign w:val="center"/>
                </w:tcPr>
                <w:p w14:paraId="43527089">
                  <w:pPr>
                    <w:spacing w:line="240" w:lineRule="auto"/>
                    <w:jc w:val="center"/>
                    <w:rPr>
                      <w:color w:val="FF0000"/>
                      <w:szCs w:val="21"/>
                    </w:rPr>
                  </w:pPr>
                  <w:r>
                    <w:rPr>
                      <w:color w:val="FF0000"/>
                      <w:spacing w:val="-8"/>
                      <w:szCs w:val="21"/>
                    </w:rPr>
                    <w:t>1.7</w:t>
                  </w:r>
                </w:p>
              </w:tc>
              <w:tc>
                <w:tcPr>
                  <w:tcW w:w="1207" w:type="dxa"/>
                  <w:tcBorders>
                    <w:tl2br w:val="nil"/>
                    <w:tr2bl w:val="nil"/>
                  </w:tcBorders>
                  <w:vAlign w:val="center"/>
                </w:tcPr>
                <w:p w14:paraId="4CB40DB6">
                  <w:pPr>
                    <w:keepNext w:val="0"/>
                    <w:keepLines w:val="0"/>
                    <w:widowControl/>
                    <w:suppressLineNumbers w:val="0"/>
                    <w:spacing w:line="240" w:lineRule="auto"/>
                    <w:jc w:val="center"/>
                    <w:textAlignment w:val="center"/>
                    <w:rPr>
                      <w:color w:val="FF0000"/>
                      <w:szCs w:val="21"/>
                    </w:rPr>
                  </w:pPr>
                  <w:r>
                    <w:rPr>
                      <w:rFonts w:hint="default" w:ascii="Times New Roman" w:hAnsi="Times New Roman" w:eastAsia="宋体" w:cs="Times New Roman"/>
                      <w:i w:val="0"/>
                      <w:iCs w:val="0"/>
                      <w:color w:val="FF0000"/>
                      <w:kern w:val="0"/>
                      <w:sz w:val="21"/>
                      <w:szCs w:val="21"/>
                      <w:u w:val="none"/>
                      <w:lang w:val="en-US" w:eastAsia="zh-CN" w:bidi="ar"/>
                    </w:rPr>
                    <w:t>1190</w:t>
                  </w:r>
                </w:p>
              </w:tc>
            </w:tr>
            <w:tr w14:paraId="6888646A">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31" w:type="pct"/>
                  <w:vMerge w:val="continue"/>
                  <w:tcBorders>
                    <w:tl2br w:val="nil"/>
                    <w:tr2bl w:val="nil"/>
                  </w:tcBorders>
                  <w:vAlign w:val="center"/>
                </w:tcPr>
                <w:p w14:paraId="03D5C926">
                  <w:pPr>
                    <w:spacing w:line="240" w:lineRule="auto"/>
                    <w:jc w:val="center"/>
                    <w:rPr>
                      <w:color w:val="FF0000"/>
                      <w:szCs w:val="21"/>
                    </w:rPr>
                  </w:pPr>
                </w:p>
              </w:tc>
              <w:tc>
                <w:tcPr>
                  <w:tcW w:w="387" w:type="pct"/>
                  <w:vMerge w:val="continue"/>
                  <w:tcBorders>
                    <w:tl2br w:val="nil"/>
                    <w:tr2bl w:val="nil"/>
                  </w:tcBorders>
                  <w:vAlign w:val="center"/>
                </w:tcPr>
                <w:p w14:paraId="26134B19">
                  <w:pPr>
                    <w:spacing w:line="240" w:lineRule="auto"/>
                    <w:jc w:val="center"/>
                    <w:rPr>
                      <w:color w:val="FF0000"/>
                      <w:szCs w:val="21"/>
                    </w:rPr>
                  </w:pPr>
                </w:p>
              </w:tc>
              <w:tc>
                <w:tcPr>
                  <w:tcW w:w="739" w:type="pct"/>
                  <w:vMerge w:val="continue"/>
                  <w:tcBorders>
                    <w:tl2br w:val="nil"/>
                    <w:tr2bl w:val="nil"/>
                  </w:tcBorders>
                  <w:vAlign w:val="center"/>
                </w:tcPr>
                <w:p w14:paraId="73B0D396">
                  <w:pPr>
                    <w:spacing w:line="240" w:lineRule="auto"/>
                    <w:jc w:val="center"/>
                    <w:rPr>
                      <w:color w:val="FF0000"/>
                      <w:spacing w:val="5"/>
                      <w:szCs w:val="21"/>
                    </w:rPr>
                  </w:pPr>
                </w:p>
              </w:tc>
              <w:tc>
                <w:tcPr>
                  <w:tcW w:w="1399" w:type="pct"/>
                  <w:tcBorders>
                    <w:tl2br w:val="nil"/>
                    <w:tr2bl w:val="nil"/>
                  </w:tcBorders>
                  <w:vAlign w:val="center"/>
                </w:tcPr>
                <w:p w14:paraId="764C1920">
                  <w:pPr>
                    <w:spacing w:line="240" w:lineRule="auto"/>
                    <w:jc w:val="center"/>
                    <w:rPr>
                      <w:color w:val="FF0000"/>
                      <w:spacing w:val="-7"/>
                      <w:szCs w:val="21"/>
                    </w:rPr>
                  </w:pPr>
                  <w:r>
                    <w:rPr>
                      <w:color w:val="FF0000"/>
                      <w:spacing w:val="-7"/>
                      <w:szCs w:val="21"/>
                    </w:rPr>
                    <w:t>电</w:t>
                  </w:r>
                  <w:r>
                    <w:rPr>
                      <w:color w:val="FF0000"/>
                      <w:spacing w:val="-5"/>
                      <w:szCs w:val="21"/>
                    </w:rPr>
                    <w:t>动乘用车</w:t>
                  </w:r>
                  <w:r>
                    <w:rPr>
                      <w:rFonts w:hint="eastAsia"/>
                      <w:color w:val="FF0000"/>
                      <w:spacing w:val="-5"/>
                      <w:szCs w:val="21"/>
                      <w:lang w:eastAsia="zh-CN"/>
                    </w:rPr>
                    <w:t>（</w:t>
                  </w:r>
                  <w:r>
                    <w:rPr>
                      <w:rFonts w:hint="eastAsia"/>
                      <w:color w:val="FF0000"/>
                      <w:spacing w:val="-5"/>
                      <w:szCs w:val="21"/>
                      <w:lang w:val="en-US" w:eastAsia="zh-CN"/>
                    </w:rPr>
                    <w:t>混动</w:t>
                  </w:r>
                  <w:r>
                    <w:rPr>
                      <w:rFonts w:hint="eastAsia"/>
                      <w:color w:val="FF0000"/>
                      <w:spacing w:val="-5"/>
                      <w:szCs w:val="21"/>
                      <w:lang w:eastAsia="zh-CN"/>
                    </w:rPr>
                    <w:t>）</w:t>
                  </w:r>
                </w:p>
              </w:tc>
              <w:tc>
                <w:tcPr>
                  <w:tcW w:w="714" w:type="pct"/>
                  <w:tcBorders>
                    <w:tl2br w:val="nil"/>
                    <w:tr2bl w:val="nil"/>
                  </w:tcBorders>
                  <w:vAlign w:val="center"/>
                </w:tcPr>
                <w:p w14:paraId="6B84E099">
                  <w:pPr>
                    <w:spacing w:line="240" w:lineRule="auto"/>
                    <w:jc w:val="center"/>
                    <w:rPr>
                      <w:rFonts w:hint="default" w:eastAsia="宋体"/>
                      <w:color w:val="FF0000"/>
                      <w:spacing w:val="-3"/>
                      <w:szCs w:val="21"/>
                      <w:lang w:val="en-US" w:eastAsia="zh-CN"/>
                    </w:rPr>
                  </w:pPr>
                  <w:r>
                    <w:rPr>
                      <w:rFonts w:hint="eastAsia"/>
                      <w:color w:val="FF0000"/>
                      <w:spacing w:val="-3"/>
                      <w:szCs w:val="21"/>
                      <w:lang w:val="en-US" w:eastAsia="zh-CN"/>
                    </w:rPr>
                    <w:t>700</w:t>
                  </w:r>
                </w:p>
              </w:tc>
              <w:tc>
                <w:tcPr>
                  <w:tcW w:w="714" w:type="pct"/>
                  <w:tcBorders>
                    <w:tl2br w:val="nil"/>
                    <w:tr2bl w:val="nil"/>
                  </w:tcBorders>
                  <w:vAlign w:val="center"/>
                </w:tcPr>
                <w:p w14:paraId="1AF4923B">
                  <w:pPr>
                    <w:spacing w:line="240" w:lineRule="auto"/>
                    <w:jc w:val="center"/>
                    <w:rPr>
                      <w:rFonts w:hint="default" w:eastAsia="宋体"/>
                      <w:color w:val="FF0000"/>
                      <w:spacing w:val="-8"/>
                      <w:szCs w:val="21"/>
                      <w:lang w:val="en-US" w:eastAsia="zh-CN"/>
                    </w:rPr>
                  </w:pPr>
                  <w:r>
                    <w:rPr>
                      <w:rFonts w:hint="eastAsia"/>
                      <w:color w:val="FF0000"/>
                      <w:spacing w:val="-8"/>
                      <w:szCs w:val="21"/>
                      <w:lang w:val="en-US" w:eastAsia="zh-CN"/>
                    </w:rPr>
                    <w:t>1.8</w:t>
                  </w:r>
                </w:p>
              </w:tc>
              <w:tc>
                <w:tcPr>
                  <w:tcW w:w="1207" w:type="dxa"/>
                  <w:tcBorders>
                    <w:tl2br w:val="nil"/>
                    <w:tr2bl w:val="nil"/>
                  </w:tcBorders>
                  <w:vAlign w:val="center"/>
                </w:tcPr>
                <w:p w14:paraId="54E0AFAF">
                  <w:pPr>
                    <w:keepNext w:val="0"/>
                    <w:keepLines w:val="0"/>
                    <w:widowControl/>
                    <w:suppressLineNumbers w:val="0"/>
                    <w:spacing w:line="240" w:lineRule="auto"/>
                    <w:jc w:val="center"/>
                    <w:textAlignment w:val="center"/>
                    <w:rPr>
                      <w:color w:val="FF0000"/>
                      <w:szCs w:val="21"/>
                    </w:rPr>
                  </w:pPr>
                  <w:r>
                    <w:rPr>
                      <w:rFonts w:hint="default" w:ascii="Times New Roman" w:hAnsi="Times New Roman" w:eastAsia="宋体" w:cs="Times New Roman"/>
                      <w:i w:val="0"/>
                      <w:iCs w:val="0"/>
                      <w:color w:val="FF0000"/>
                      <w:kern w:val="0"/>
                      <w:sz w:val="21"/>
                      <w:szCs w:val="21"/>
                      <w:u w:val="none"/>
                      <w:lang w:val="en-US" w:eastAsia="zh-CN" w:bidi="ar"/>
                    </w:rPr>
                    <w:t>1260</w:t>
                  </w:r>
                </w:p>
              </w:tc>
            </w:tr>
            <w:tr w14:paraId="6B6FEF4A">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31" w:type="pct"/>
                  <w:vMerge w:val="continue"/>
                  <w:tcBorders>
                    <w:tl2br w:val="nil"/>
                    <w:tr2bl w:val="nil"/>
                  </w:tcBorders>
                  <w:vAlign w:val="center"/>
                </w:tcPr>
                <w:p w14:paraId="2F71B262">
                  <w:pPr>
                    <w:spacing w:line="240" w:lineRule="auto"/>
                    <w:jc w:val="center"/>
                    <w:rPr>
                      <w:color w:val="FF0000"/>
                      <w:szCs w:val="21"/>
                    </w:rPr>
                  </w:pPr>
                </w:p>
              </w:tc>
              <w:tc>
                <w:tcPr>
                  <w:tcW w:w="387" w:type="pct"/>
                  <w:vMerge w:val="continue"/>
                  <w:tcBorders>
                    <w:tl2br w:val="nil"/>
                    <w:tr2bl w:val="nil"/>
                  </w:tcBorders>
                  <w:vAlign w:val="center"/>
                </w:tcPr>
                <w:p w14:paraId="2B87291B">
                  <w:pPr>
                    <w:spacing w:line="240" w:lineRule="auto"/>
                    <w:jc w:val="center"/>
                    <w:rPr>
                      <w:color w:val="FF0000"/>
                      <w:szCs w:val="21"/>
                    </w:rPr>
                  </w:pPr>
                </w:p>
              </w:tc>
              <w:tc>
                <w:tcPr>
                  <w:tcW w:w="739" w:type="pct"/>
                  <w:vMerge w:val="continue"/>
                  <w:tcBorders>
                    <w:tl2br w:val="nil"/>
                    <w:tr2bl w:val="nil"/>
                  </w:tcBorders>
                  <w:vAlign w:val="center"/>
                </w:tcPr>
                <w:p w14:paraId="7B40B3DE">
                  <w:pPr>
                    <w:spacing w:line="240" w:lineRule="auto"/>
                    <w:jc w:val="center"/>
                    <w:rPr>
                      <w:color w:val="FF0000"/>
                      <w:szCs w:val="21"/>
                    </w:rPr>
                  </w:pPr>
                </w:p>
              </w:tc>
              <w:tc>
                <w:tcPr>
                  <w:tcW w:w="1399" w:type="pct"/>
                  <w:tcBorders>
                    <w:tl2br w:val="nil"/>
                    <w:tr2bl w:val="nil"/>
                  </w:tcBorders>
                  <w:vAlign w:val="center"/>
                </w:tcPr>
                <w:p w14:paraId="7C413B4A">
                  <w:pPr>
                    <w:spacing w:line="240" w:lineRule="auto"/>
                    <w:jc w:val="center"/>
                    <w:rPr>
                      <w:color w:val="FF0000"/>
                      <w:szCs w:val="21"/>
                    </w:rPr>
                  </w:pPr>
                  <w:r>
                    <w:rPr>
                      <w:color w:val="FF0000"/>
                      <w:spacing w:val="-2"/>
                      <w:szCs w:val="21"/>
                    </w:rPr>
                    <w:t>小型电动载</w:t>
                  </w:r>
                  <w:r>
                    <w:rPr>
                      <w:color w:val="FF0000"/>
                      <w:spacing w:val="-1"/>
                      <w:szCs w:val="21"/>
                    </w:rPr>
                    <w:t>客汽车</w:t>
                  </w:r>
                </w:p>
              </w:tc>
              <w:tc>
                <w:tcPr>
                  <w:tcW w:w="714" w:type="pct"/>
                  <w:tcBorders>
                    <w:tl2br w:val="nil"/>
                    <w:tr2bl w:val="nil"/>
                  </w:tcBorders>
                  <w:vAlign w:val="center"/>
                </w:tcPr>
                <w:p w14:paraId="6D8C7898">
                  <w:pPr>
                    <w:spacing w:line="240" w:lineRule="auto"/>
                    <w:jc w:val="center"/>
                    <w:rPr>
                      <w:color w:val="FF0000"/>
                      <w:szCs w:val="21"/>
                    </w:rPr>
                  </w:pPr>
                  <w:r>
                    <w:rPr>
                      <w:color w:val="FF0000"/>
                      <w:spacing w:val="-3"/>
                      <w:szCs w:val="21"/>
                    </w:rPr>
                    <w:t>30</w:t>
                  </w:r>
                  <w:r>
                    <w:rPr>
                      <w:color w:val="FF0000"/>
                      <w:spacing w:val="-2"/>
                      <w:szCs w:val="21"/>
                    </w:rPr>
                    <w:t>0</w:t>
                  </w:r>
                </w:p>
              </w:tc>
              <w:tc>
                <w:tcPr>
                  <w:tcW w:w="714" w:type="pct"/>
                  <w:tcBorders>
                    <w:tl2br w:val="nil"/>
                    <w:tr2bl w:val="nil"/>
                  </w:tcBorders>
                  <w:vAlign w:val="center"/>
                </w:tcPr>
                <w:p w14:paraId="40FB6305">
                  <w:pPr>
                    <w:spacing w:line="240" w:lineRule="auto"/>
                    <w:jc w:val="center"/>
                    <w:rPr>
                      <w:color w:val="FF0000"/>
                      <w:szCs w:val="21"/>
                    </w:rPr>
                  </w:pPr>
                  <w:r>
                    <w:rPr>
                      <w:color w:val="FF0000"/>
                      <w:spacing w:val="-1"/>
                      <w:szCs w:val="21"/>
                    </w:rPr>
                    <w:t>2.</w:t>
                  </w:r>
                  <w:r>
                    <w:rPr>
                      <w:color w:val="FF0000"/>
                      <w:szCs w:val="21"/>
                    </w:rPr>
                    <w:t>2</w:t>
                  </w:r>
                </w:p>
              </w:tc>
              <w:tc>
                <w:tcPr>
                  <w:tcW w:w="1207" w:type="dxa"/>
                  <w:tcBorders>
                    <w:tl2br w:val="nil"/>
                    <w:tr2bl w:val="nil"/>
                  </w:tcBorders>
                  <w:vAlign w:val="center"/>
                </w:tcPr>
                <w:p w14:paraId="07127DC7">
                  <w:pPr>
                    <w:keepNext w:val="0"/>
                    <w:keepLines w:val="0"/>
                    <w:widowControl/>
                    <w:suppressLineNumbers w:val="0"/>
                    <w:spacing w:line="240" w:lineRule="auto"/>
                    <w:jc w:val="center"/>
                    <w:textAlignment w:val="center"/>
                    <w:rPr>
                      <w:color w:val="FF0000"/>
                      <w:szCs w:val="21"/>
                    </w:rPr>
                  </w:pPr>
                  <w:r>
                    <w:rPr>
                      <w:rFonts w:hint="default" w:ascii="Times New Roman" w:hAnsi="Times New Roman" w:eastAsia="宋体" w:cs="Times New Roman"/>
                      <w:i w:val="0"/>
                      <w:iCs w:val="0"/>
                      <w:color w:val="FF0000"/>
                      <w:kern w:val="0"/>
                      <w:sz w:val="21"/>
                      <w:szCs w:val="21"/>
                      <w:u w:val="none"/>
                      <w:lang w:val="en-US" w:eastAsia="zh-CN" w:bidi="ar"/>
                    </w:rPr>
                    <w:t>660</w:t>
                  </w:r>
                </w:p>
              </w:tc>
            </w:tr>
            <w:tr w14:paraId="133C1D37">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31" w:type="pct"/>
                  <w:vMerge w:val="continue"/>
                  <w:tcBorders>
                    <w:tl2br w:val="nil"/>
                    <w:tr2bl w:val="nil"/>
                  </w:tcBorders>
                  <w:vAlign w:val="center"/>
                </w:tcPr>
                <w:p w14:paraId="403BEC55">
                  <w:pPr>
                    <w:spacing w:line="240" w:lineRule="auto"/>
                    <w:jc w:val="center"/>
                    <w:rPr>
                      <w:color w:val="FF0000"/>
                      <w:szCs w:val="21"/>
                    </w:rPr>
                  </w:pPr>
                </w:p>
              </w:tc>
              <w:tc>
                <w:tcPr>
                  <w:tcW w:w="387" w:type="pct"/>
                  <w:vMerge w:val="continue"/>
                  <w:tcBorders>
                    <w:tl2br w:val="nil"/>
                    <w:tr2bl w:val="nil"/>
                  </w:tcBorders>
                  <w:vAlign w:val="center"/>
                </w:tcPr>
                <w:p w14:paraId="55E65BDC">
                  <w:pPr>
                    <w:spacing w:line="240" w:lineRule="auto"/>
                    <w:jc w:val="center"/>
                    <w:rPr>
                      <w:color w:val="FF0000"/>
                      <w:szCs w:val="21"/>
                    </w:rPr>
                  </w:pPr>
                </w:p>
              </w:tc>
              <w:tc>
                <w:tcPr>
                  <w:tcW w:w="739" w:type="pct"/>
                  <w:vMerge w:val="continue"/>
                  <w:tcBorders>
                    <w:tl2br w:val="nil"/>
                    <w:tr2bl w:val="nil"/>
                  </w:tcBorders>
                  <w:vAlign w:val="center"/>
                </w:tcPr>
                <w:p w14:paraId="015EDEBE">
                  <w:pPr>
                    <w:spacing w:line="240" w:lineRule="auto"/>
                    <w:jc w:val="center"/>
                    <w:rPr>
                      <w:color w:val="FF0000"/>
                      <w:szCs w:val="21"/>
                    </w:rPr>
                  </w:pPr>
                </w:p>
              </w:tc>
              <w:tc>
                <w:tcPr>
                  <w:tcW w:w="1399" w:type="pct"/>
                  <w:tcBorders>
                    <w:tl2br w:val="nil"/>
                    <w:tr2bl w:val="nil"/>
                  </w:tcBorders>
                  <w:vAlign w:val="center"/>
                </w:tcPr>
                <w:p w14:paraId="2F93CE01">
                  <w:pPr>
                    <w:spacing w:line="240" w:lineRule="auto"/>
                    <w:jc w:val="center"/>
                    <w:rPr>
                      <w:color w:val="FF0000"/>
                      <w:szCs w:val="21"/>
                    </w:rPr>
                  </w:pPr>
                  <w:r>
                    <w:rPr>
                      <w:color w:val="FF0000"/>
                      <w:spacing w:val="-4"/>
                      <w:szCs w:val="21"/>
                    </w:rPr>
                    <w:t>中</w:t>
                  </w:r>
                  <w:r>
                    <w:rPr>
                      <w:color w:val="FF0000"/>
                      <w:spacing w:val="-3"/>
                      <w:szCs w:val="21"/>
                    </w:rPr>
                    <w:t>型电动载客汽车</w:t>
                  </w:r>
                </w:p>
              </w:tc>
              <w:tc>
                <w:tcPr>
                  <w:tcW w:w="714" w:type="pct"/>
                  <w:tcBorders>
                    <w:tl2br w:val="nil"/>
                    <w:tr2bl w:val="nil"/>
                  </w:tcBorders>
                  <w:vAlign w:val="center"/>
                </w:tcPr>
                <w:p w14:paraId="5452D1EF">
                  <w:pPr>
                    <w:spacing w:line="240" w:lineRule="auto"/>
                    <w:jc w:val="center"/>
                    <w:rPr>
                      <w:color w:val="FF0000"/>
                      <w:szCs w:val="21"/>
                    </w:rPr>
                  </w:pPr>
                  <w:r>
                    <w:rPr>
                      <w:rFonts w:hint="eastAsia"/>
                      <w:color w:val="FF0000"/>
                      <w:spacing w:val="-3"/>
                      <w:szCs w:val="21"/>
                      <w:lang w:val="en-US" w:eastAsia="zh-CN"/>
                    </w:rPr>
                    <w:t>1</w:t>
                  </w:r>
                  <w:r>
                    <w:rPr>
                      <w:color w:val="FF0000"/>
                      <w:spacing w:val="-3"/>
                      <w:szCs w:val="21"/>
                    </w:rPr>
                    <w:t>0</w:t>
                  </w:r>
                  <w:r>
                    <w:rPr>
                      <w:color w:val="FF0000"/>
                      <w:spacing w:val="-2"/>
                      <w:szCs w:val="21"/>
                    </w:rPr>
                    <w:t>0</w:t>
                  </w:r>
                </w:p>
              </w:tc>
              <w:tc>
                <w:tcPr>
                  <w:tcW w:w="714" w:type="pct"/>
                  <w:tcBorders>
                    <w:tl2br w:val="nil"/>
                    <w:tr2bl w:val="nil"/>
                  </w:tcBorders>
                  <w:vAlign w:val="center"/>
                </w:tcPr>
                <w:p w14:paraId="084C8D70">
                  <w:pPr>
                    <w:spacing w:line="240" w:lineRule="auto"/>
                    <w:jc w:val="center"/>
                    <w:rPr>
                      <w:color w:val="FF0000"/>
                      <w:szCs w:val="21"/>
                    </w:rPr>
                  </w:pPr>
                  <w:r>
                    <w:rPr>
                      <w:color w:val="FF0000"/>
                      <w:spacing w:val="-2"/>
                      <w:szCs w:val="21"/>
                    </w:rPr>
                    <w:t>6.</w:t>
                  </w:r>
                  <w:r>
                    <w:rPr>
                      <w:color w:val="FF0000"/>
                      <w:spacing w:val="-1"/>
                      <w:szCs w:val="21"/>
                    </w:rPr>
                    <w:t>5</w:t>
                  </w:r>
                </w:p>
              </w:tc>
              <w:tc>
                <w:tcPr>
                  <w:tcW w:w="1207" w:type="dxa"/>
                  <w:tcBorders>
                    <w:tl2br w:val="nil"/>
                    <w:tr2bl w:val="nil"/>
                  </w:tcBorders>
                  <w:vAlign w:val="center"/>
                </w:tcPr>
                <w:p w14:paraId="7BDAC81E">
                  <w:pPr>
                    <w:keepNext w:val="0"/>
                    <w:keepLines w:val="0"/>
                    <w:widowControl/>
                    <w:suppressLineNumbers w:val="0"/>
                    <w:spacing w:line="240" w:lineRule="auto"/>
                    <w:jc w:val="center"/>
                    <w:textAlignment w:val="center"/>
                    <w:rPr>
                      <w:color w:val="FF0000"/>
                      <w:szCs w:val="21"/>
                    </w:rPr>
                  </w:pPr>
                  <w:r>
                    <w:rPr>
                      <w:rFonts w:hint="default" w:ascii="Times New Roman" w:hAnsi="Times New Roman" w:eastAsia="宋体" w:cs="Times New Roman"/>
                      <w:i w:val="0"/>
                      <w:iCs w:val="0"/>
                      <w:color w:val="FF0000"/>
                      <w:kern w:val="0"/>
                      <w:sz w:val="21"/>
                      <w:szCs w:val="21"/>
                      <w:u w:val="none"/>
                      <w:lang w:val="en-US" w:eastAsia="zh-CN" w:bidi="ar"/>
                    </w:rPr>
                    <w:t>650</w:t>
                  </w:r>
                </w:p>
              </w:tc>
            </w:tr>
            <w:tr w14:paraId="42C84799">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31" w:type="pct"/>
                  <w:vMerge w:val="continue"/>
                  <w:tcBorders>
                    <w:tl2br w:val="nil"/>
                    <w:tr2bl w:val="nil"/>
                  </w:tcBorders>
                  <w:vAlign w:val="center"/>
                </w:tcPr>
                <w:p w14:paraId="04397344">
                  <w:pPr>
                    <w:spacing w:line="240" w:lineRule="auto"/>
                    <w:jc w:val="center"/>
                    <w:rPr>
                      <w:color w:val="FF0000"/>
                      <w:szCs w:val="21"/>
                    </w:rPr>
                  </w:pPr>
                </w:p>
              </w:tc>
              <w:tc>
                <w:tcPr>
                  <w:tcW w:w="387" w:type="pct"/>
                  <w:vMerge w:val="continue"/>
                  <w:tcBorders>
                    <w:tl2br w:val="nil"/>
                    <w:tr2bl w:val="nil"/>
                  </w:tcBorders>
                  <w:vAlign w:val="center"/>
                </w:tcPr>
                <w:p w14:paraId="2B07B898">
                  <w:pPr>
                    <w:spacing w:line="240" w:lineRule="auto"/>
                    <w:jc w:val="center"/>
                    <w:rPr>
                      <w:color w:val="FF0000"/>
                      <w:szCs w:val="21"/>
                    </w:rPr>
                  </w:pPr>
                </w:p>
              </w:tc>
              <w:tc>
                <w:tcPr>
                  <w:tcW w:w="739" w:type="pct"/>
                  <w:vMerge w:val="continue"/>
                  <w:tcBorders>
                    <w:tl2br w:val="nil"/>
                    <w:tr2bl w:val="nil"/>
                  </w:tcBorders>
                  <w:vAlign w:val="center"/>
                </w:tcPr>
                <w:p w14:paraId="62415E3B">
                  <w:pPr>
                    <w:spacing w:line="240" w:lineRule="auto"/>
                    <w:jc w:val="center"/>
                    <w:rPr>
                      <w:color w:val="FF0000"/>
                      <w:szCs w:val="21"/>
                    </w:rPr>
                  </w:pPr>
                </w:p>
              </w:tc>
              <w:tc>
                <w:tcPr>
                  <w:tcW w:w="1399" w:type="pct"/>
                  <w:tcBorders>
                    <w:tl2br w:val="nil"/>
                    <w:tr2bl w:val="nil"/>
                  </w:tcBorders>
                  <w:vAlign w:val="center"/>
                </w:tcPr>
                <w:p w14:paraId="00C8F46D">
                  <w:pPr>
                    <w:spacing w:line="240" w:lineRule="auto"/>
                    <w:jc w:val="center"/>
                    <w:rPr>
                      <w:color w:val="FF0000"/>
                      <w:szCs w:val="21"/>
                    </w:rPr>
                  </w:pPr>
                  <w:r>
                    <w:rPr>
                      <w:color w:val="FF0000"/>
                      <w:spacing w:val="-2"/>
                      <w:szCs w:val="21"/>
                    </w:rPr>
                    <w:t>大型</w:t>
                  </w:r>
                  <w:r>
                    <w:rPr>
                      <w:color w:val="FF0000"/>
                      <w:spacing w:val="-1"/>
                      <w:szCs w:val="21"/>
                    </w:rPr>
                    <w:t>电动载客汽车</w:t>
                  </w:r>
                </w:p>
              </w:tc>
              <w:tc>
                <w:tcPr>
                  <w:tcW w:w="714" w:type="pct"/>
                  <w:tcBorders>
                    <w:tl2br w:val="nil"/>
                    <w:tr2bl w:val="nil"/>
                  </w:tcBorders>
                  <w:vAlign w:val="center"/>
                </w:tcPr>
                <w:p w14:paraId="385597CB">
                  <w:pPr>
                    <w:spacing w:line="240" w:lineRule="auto"/>
                    <w:jc w:val="center"/>
                    <w:rPr>
                      <w:color w:val="FF0000"/>
                      <w:szCs w:val="21"/>
                    </w:rPr>
                  </w:pPr>
                  <w:r>
                    <w:rPr>
                      <w:rFonts w:hint="eastAsia"/>
                      <w:color w:val="FF0000"/>
                      <w:spacing w:val="-3"/>
                      <w:szCs w:val="21"/>
                      <w:lang w:val="en-US" w:eastAsia="zh-CN"/>
                    </w:rPr>
                    <w:t>1</w:t>
                  </w:r>
                  <w:r>
                    <w:rPr>
                      <w:color w:val="FF0000"/>
                      <w:spacing w:val="-3"/>
                      <w:szCs w:val="21"/>
                    </w:rPr>
                    <w:t>0</w:t>
                  </w:r>
                  <w:r>
                    <w:rPr>
                      <w:color w:val="FF0000"/>
                      <w:spacing w:val="-2"/>
                      <w:szCs w:val="21"/>
                    </w:rPr>
                    <w:t>0</w:t>
                  </w:r>
                </w:p>
              </w:tc>
              <w:tc>
                <w:tcPr>
                  <w:tcW w:w="714" w:type="pct"/>
                  <w:tcBorders>
                    <w:tl2br w:val="nil"/>
                    <w:tr2bl w:val="nil"/>
                  </w:tcBorders>
                  <w:vAlign w:val="center"/>
                </w:tcPr>
                <w:p w14:paraId="46AD284E">
                  <w:pPr>
                    <w:spacing w:line="240" w:lineRule="auto"/>
                    <w:jc w:val="center"/>
                    <w:rPr>
                      <w:color w:val="FF0000"/>
                      <w:szCs w:val="21"/>
                    </w:rPr>
                  </w:pPr>
                  <w:r>
                    <w:rPr>
                      <w:color w:val="FF0000"/>
                      <w:spacing w:val="-6"/>
                      <w:szCs w:val="21"/>
                    </w:rPr>
                    <w:t>11.0</w:t>
                  </w:r>
                </w:p>
              </w:tc>
              <w:tc>
                <w:tcPr>
                  <w:tcW w:w="1207" w:type="dxa"/>
                  <w:tcBorders>
                    <w:tl2br w:val="nil"/>
                    <w:tr2bl w:val="nil"/>
                  </w:tcBorders>
                  <w:vAlign w:val="center"/>
                </w:tcPr>
                <w:p w14:paraId="7BF00A4E">
                  <w:pPr>
                    <w:keepNext w:val="0"/>
                    <w:keepLines w:val="0"/>
                    <w:widowControl/>
                    <w:suppressLineNumbers w:val="0"/>
                    <w:spacing w:line="240" w:lineRule="auto"/>
                    <w:jc w:val="center"/>
                    <w:textAlignment w:val="center"/>
                    <w:rPr>
                      <w:color w:val="FF0000"/>
                      <w:szCs w:val="21"/>
                    </w:rPr>
                  </w:pPr>
                  <w:r>
                    <w:rPr>
                      <w:rFonts w:hint="default" w:ascii="Times New Roman" w:hAnsi="Times New Roman" w:eastAsia="宋体" w:cs="Times New Roman"/>
                      <w:i w:val="0"/>
                      <w:iCs w:val="0"/>
                      <w:color w:val="FF0000"/>
                      <w:kern w:val="0"/>
                      <w:sz w:val="21"/>
                      <w:szCs w:val="21"/>
                      <w:u w:val="none"/>
                      <w:lang w:val="en-US" w:eastAsia="zh-CN" w:bidi="ar"/>
                    </w:rPr>
                    <w:t>1100</w:t>
                  </w:r>
                </w:p>
              </w:tc>
            </w:tr>
            <w:tr w14:paraId="4372F7D7">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31" w:type="pct"/>
                  <w:vMerge w:val="continue"/>
                  <w:tcBorders>
                    <w:tl2br w:val="nil"/>
                    <w:tr2bl w:val="nil"/>
                  </w:tcBorders>
                  <w:vAlign w:val="center"/>
                </w:tcPr>
                <w:p w14:paraId="186F9CC4">
                  <w:pPr>
                    <w:spacing w:line="240" w:lineRule="auto"/>
                    <w:jc w:val="center"/>
                    <w:rPr>
                      <w:color w:val="000000"/>
                      <w:szCs w:val="21"/>
                    </w:rPr>
                  </w:pPr>
                </w:p>
              </w:tc>
              <w:tc>
                <w:tcPr>
                  <w:tcW w:w="387" w:type="pct"/>
                  <w:vMerge w:val="continue"/>
                  <w:tcBorders>
                    <w:tl2br w:val="nil"/>
                    <w:tr2bl w:val="nil"/>
                  </w:tcBorders>
                  <w:vAlign w:val="center"/>
                </w:tcPr>
                <w:p w14:paraId="0CDDB910">
                  <w:pPr>
                    <w:spacing w:line="240" w:lineRule="auto"/>
                    <w:jc w:val="center"/>
                    <w:rPr>
                      <w:color w:val="000000"/>
                      <w:szCs w:val="21"/>
                    </w:rPr>
                  </w:pPr>
                </w:p>
              </w:tc>
              <w:tc>
                <w:tcPr>
                  <w:tcW w:w="739" w:type="pct"/>
                  <w:vMerge w:val="continue"/>
                  <w:tcBorders>
                    <w:tl2br w:val="nil"/>
                    <w:tr2bl w:val="nil"/>
                  </w:tcBorders>
                  <w:vAlign w:val="center"/>
                </w:tcPr>
                <w:p w14:paraId="31115495">
                  <w:pPr>
                    <w:spacing w:line="240" w:lineRule="auto"/>
                    <w:jc w:val="center"/>
                    <w:rPr>
                      <w:color w:val="FF0000"/>
                      <w:szCs w:val="21"/>
                    </w:rPr>
                  </w:pPr>
                </w:p>
              </w:tc>
              <w:tc>
                <w:tcPr>
                  <w:tcW w:w="1399" w:type="pct"/>
                  <w:tcBorders>
                    <w:tl2br w:val="nil"/>
                    <w:tr2bl w:val="nil"/>
                  </w:tcBorders>
                  <w:vAlign w:val="center"/>
                </w:tcPr>
                <w:p w14:paraId="00E6B3B2">
                  <w:pPr>
                    <w:spacing w:line="240" w:lineRule="auto"/>
                    <w:jc w:val="center"/>
                    <w:rPr>
                      <w:color w:val="FF0000"/>
                      <w:szCs w:val="21"/>
                    </w:rPr>
                  </w:pPr>
                  <w:r>
                    <w:rPr>
                      <w:color w:val="FF0000"/>
                      <w:spacing w:val="-8"/>
                      <w:szCs w:val="21"/>
                    </w:rPr>
                    <w:t>电</w:t>
                  </w:r>
                  <w:r>
                    <w:rPr>
                      <w:color w:val="FF0000"/>
                      <w:spacing w:val="-4"/>
                      <w:szCs w:val="21"/>
                    </w:rPr>
                    <w:t>动载货汽车</w:t>
                  </w:r>
                </w:p>
              </w:tc>
              <w:tc>
                <w:tcPr>
                  <w:tcW w:w="714" w:type="pct"/>
                  <w:tcBorders>
                    <w:tl2br w:val="nil"/>
                    <w:tr2bl w:val="nil"/>
                  </w:tcBorders>
                  <w:vAlign w:val="center"/>
                </w:tcPr>
                <w:p w14:paraId="2D8865CB">
                  <w:pPr>
                    <w:spacing w:line="240" w:lineRule="auto"/>
                    <w:jc w:val="center"/>
                    <w:rPr>
                      <w:color w:val="FF0000"/>
                      <w:szCs w:val="21"/>
                    </w:rPr>
                  </w:pPr>
                  <w:r>
                    <w:rPr>
                      <w:rFonts w:hint="eastAsia"/>
                      <w:color w:val="FF0000"/>
                      <w:spacing w:val="-3"/>
                      <w:szCs w:val="21"/>
                      <w:lang w:val="en-US" w:eastAsia="zh-CN"/>
                    </w:rPr>
                    <w:t>1</w:t>
                  </w:r>
                  <w:r>
                    <w:rPr>
                      <w:color w:val="FF0000"/>
                      <w:spacing w:val="-3"/>
                      <w:szCs w:val="21"/>
                    </w:rPr>
                    <w:t>0</w:t>
                  </w:r>
                  <w:r>
                    <w:rPr>
                      <w:color w:val="FF0000"/>
                      <w:spacing w:val="-2"/>
                      <w:szCs w:val="21"/>
                    </w:rPr>
                    <w:t>0</w:t>
                  </w:r>
                </w:p>
              </w:tc>
              <w:tc>
                <w:tcPr>
                  <w:tcW w:w="714" w:type="pct"/>
                  <w:tcBorders>
                    <w:tl2br w:val="nil"/>
                    <w:tr2bl w:val="nil"/>
                  </w:tcBorders>
                  <w:vAlign w:val="center"/>
                </w:tcPr>
                <w:p w14:paraId="64B5E414">
                  <w:pPr>
                    <w:spacing w:line="240" w:lineRule="auto"/>
                    <w:jc w:val="center"/>
                    <w:rPr>
                      <w:color w:val="FF0000"/>
                      <w:szCs w:val="21"/>
                    </w:rPr>
                  </w:pPr>
                  <w:r>
                    <w:rPr>
                      <w:color w:val="FF0000"/>
                      <w:spacing w:val="-1"/>
                      <w:szCs w:val="21"/>
                    </w:rPr>
                    <w:t>2.</w:t>
                  </w:r>
                  <w:r>
                    <w:rPr>
                      <w:color w:val="FF0000"/>
                      <w:szCs w:val="21"/>
                    </w:rPr>
                    <w:t>8</w:t>
                  </w:r>
                </w:p>
              </w:tc>
              <w:tc>
                <w:tcPr>
                  <w:tcW w:w="1207" w:type="dxa"/>
                  <w:tcBorders>
                    <w:tl2br w:val="nil"/>
                    <w:tr2bl w:val="nil"/>
                  </w:tcBorders>
                  <w:vAlign w:val="center"/>
                </w:tcPr>
                <w:p w14:paraId="30FBB59C">
                  <w:pPr>
                    <w:keepNext w:val="0"/>
                    <w:keepLines w:val="0"/>
                    <w:widowControl/>
                    <w:suppressLineNumbers w:val="0"/>
                    <w:spacing w:line="240" w:lineRule="auto"/>
                    <w:jc w:val="center"/>
                    <w:textAlignment w:val="center"/>
                    <w:rPr>
                      <w:color w:val="FF0000"/>
                      <w:szCs w:val="21"/>
                    </w:rPr>
                  </w:pPr>
                  <w:r>
                    <w:rPr>
                      <w:rFonts w:hint="default" w:ascii="Times New Roman" w:hAnsi="Times New Roman" w:eastAsia="宋体" w:cs="Times New Roman"/>
                      <w:i w:val="0"/>
                      <w:iCs w:val="0"/>
                      <w:color w:val="FF0000"/>
                      <w:kern w:val="0"/>
                      <w:sz w:val="21"/>
                      <w:szCs w:val="21"/>
                      <w:u w:val="none"/>
                      <w:lang w:val="en-US" w:eastAsia="zh-CN" w:bidi="ar"/>
                    </w:rPr>
                    <w:t>280</w:t>
                  </w:r>
                </w:p>
              </w:tc>
            </w:tr>
            <w:tr w14:paraId="2E7E4079">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31" w:type="pct"/>
                  <w:tcBorders>
                    <w:tl2br w:val="nil"/>
                    <w:tr2bl w:val="nil"/>
                  </w:tcBorders>
                  <w:vAlign w:val="center"/>
                </w:tcPr>
                <w:p w14:paraId="2C9AC89A">
                  <w:pPr>
                    <w:spacing w:line="240" w:lineRule="auto"/>
                    <w:jc w:val="center"/>
                    <w:rPr>
                      <w:color w:val="000000"/>
                      <w:szCs w:val="21"/>
                    </w:rPr>
                  </w:pPr>
                  <w:r>
                    <w:rPr>
                      <w:color w:val="000000"/>
                      <w:szCs w:val="21"/>
                    </w:rPr>
                    <w:t>5</w:t>
                  </w:r>
                </w:p>
              </w:tc>
              <w:tc>
                <w:tcPr>
                  <w:tcW w:w="2526" w:type="pct"/>
                  <w:gridSpan w:val="3"/>
                  <w:tcBorders>
                    <w:tl2br w:val="nil"/>
                    <w:tr2bl w:val="nil"/>
                  </w:tcBorders>
                  <w:vAlign w:val="center"/>
                </w:tcPr>
                <w:p w14:paraId="490E7916">
                  <w:pPr>
                    <w:spacing w:line="240" w:lineRule="auto"/>
                    <w:jc w:val="center"/>
                    <w:rPr>
                      <w:color w:val="000000"/>
                      <w:szCs w:val="21"/>
                    </w:rPr>
                  </w:pPr>
                  <w:r>
                    <w:rPr>
                      <w:color w:val="000000"/>
                      <w:spacing w:val="-3"/>
                      <w:szCs w:val="21"/>
                    </w:rPr>
                    <w:t>合</w:t>
                  </w:r>
                  <w:r>
                    <w:rPr>
                      <w:color w:val="000000"/>
                      <w:spacing w:val="-2"/>
                      <w:szCs w:val="21"/>
                    </w:rPr>
                    <w:t>计</w:t>
                  </w:r>
                </w:p>
              </w:tc>
              <w:tc>
                <w:tcPr>
                  <w:tcW w:w="714" w:type="pct"/>
                  <w:tcBorders>
                    <w:tl2br w:val="nil"/>
                    <w:tr2bl w:val="nil"/>
                  </w:tcBorders>
                  <w:vAlign w:val="center"/>
                </w:tcPr>
                <w:p w14:paraId="4B482339">
                  <w:pPr>
                    <w:spacing w:line="240" w:lineRule="auto"/>
                    <w:jc w:val="center"/>
                    <w:rPr>
                      <w:color w:val="000000"/>
                      <w:szCs w:val="21"/>
                    </w:rPr>
                  </w:pPr>
                  <w:r>
                    <w:rPr>
                      <w:color w:val="000000"/>
                      <w:spacing w:val="-4"/>
                      <w:szCs w:val="21"/>
                    </w:rPr>
                    <w:t>15</w:t>
                  </w:r>
                  <w:r>
                    <w:rPr>
                      <w:color w:val="000000"/>
                      <w:spacing w:val="-2"/>
                      <w:szCs w:val="21"/>
                    </w:rPr>
                    <w:t>000</w:t>
                  </w:r>
                </w:p>
              </w:tc>
              <w:tc>
                <w:tcPr>
                  <w:tcW w:w="714" w:type="pct"/>
                  <w:tcBorders>
                    <w:tl2br w:val="nil"/>
                    <w:tr2bl w:val="nil"/>
                  </w:tcBorders>
                  <w:vAlign w:val="center"/>
                </w:tcPr>
                <w:p w14:paraId="297C2091">
                  <w:pPr>
                    <w:spacing w:line="240" w:lineRule="auto"/>
                    <w:jc w:val="center"/>
                    <w:rPr>
                      <w:color w:val="000000"/>
                      <w:szCs w:val="21"/>
                    </w:rPr>
                  </w:pPr>
                  <w:r>
                    <w:rPr>
                      <w:color w:val="000000"/>
                      <w:spacing w:val="3"/>
                      <w:position w:val="1"/>
                      <w:szCs w:val="21"/>
                    </w:rPr>
                    <w:t>/</w:t>
                  </w:r>
                </w:p>
              </w:tc>
              <w:tc>
                <w:tcPr>
                  <w:tcW w:w="714" w:type="pct"/>
                  <w:tcBorders>
                    <w:tl2br w:val="nil"/>
                    <w:tr2bl w:val="nil"/>
                  </w:tcBorders>
                  <w:vAlign w:val="center"/>
                </w:tcPr>
                <w:p w14:paraId="19FA32DE">
                  <w:pPr>
                    <w:spacing w:line="240" w:lineRule="auto"/>
                    <w:jc w:val="center"/>
                    <w:rPr>
                      <w:rFonts w:hint="default" w:eastAsia="宋体"/>
                      <w:color w:val="000000"/>
                      <w:szCs w:val="21"/>
                      <w:lang w:val="en-US" w:eastAsia="zh-CN"/>
                    </w:rPr>
                  </w:pPr>
                  <w:r>
                    <w:rPr>
                      <w:rFonts w:hint="eastAsia"/>
                      <w:color w:val="000000"/>
                      <w:szCs w:val="21"/>
                      <w:lang w:val="en-US" w:eastAsia="zh-CN"/>
                    </w:rPr>
                    <w:t>72000</w:t>
                  </w:r>
                </w:p>
              </w:tc>
            </w:tr>
          </w:tbl>
          <w:p w14:paraId="3C7C22EC">
            <w:pPr>
              <w:pStyle w:val="127"/>
              <w:spacing w:line="360" w:lineRule="auto"/>
              <w:ind w:firstLine="480" w:firstLineChars="200"/>
              <w:rPr>
                <w:rFonts w:ascii="Times New Roman" w:hAnsi="Times New Roman" w:cs="Times New Roman"/>
                <w:color w:val="000000"/>
                <w:sz w:val="24"/>
                <w:szCs w:val="24"/>
              </w:rPr>
            </w:pPr>
            <w:r>
              <w:rPr>
                <w:rFonts w:ascii="Times New Roman" w:hAnsi="Times New Roman" w:cs="Times New Roman"/>
                <w:color w:val="000000"/>
                <w:sz w:val="24"/>
                <w:szCs w:val="24"/>
              </w:rPr>
              <w:t>本项目产品方案为报废汽车拆解下来的各种可回收的物资。包括</w:t>
            </w:r>
            <w:r>
              <w:rPr>
                <w:rFonts w:hint="eastAsia" w:ascii="Times New Roman" w:hAnsi="Times New Roman" w:cs="Times New Roman"/>
                <w:color w:val="000000"/>
                <w:sz w:val="24"/>
                <w:szCs w:val="24"/>
                <w:lang w:val="en-US" w:eastAsia="zh-CN"/>
              </w:rPr>
              <w:t>可回收</w:t>
            </w:r>
            <w:r>
              <w:rPr>
                <w:rFonts w:ascii="Times New Roman" w:hAnsi="Times New Roman" w:cs="Times New Roman"/>
                <w:color w:val="000000"/>
                <w:sz w:val="24"/>
                <w:szCs w:val="24"/>
              </w:rPr>
              <w:t>钢铁、</w:t>
            </w:r>
            <w:r>
              <w:rPr>
                <w:rFonts w:hint="eastAsia" w:ascii="Times New Roman" w:hAnsi="Times New Roman" w:cs="Times New Roman"/>
                <w:color w:val="000000"/>
                <w:sz w:val="24"/>
                <w:szCs w:val="24"/>
                <w:lang w:val="en-US" w:eastAsia="zh-CN"/>
              </w:rPr>
              <w:t>可回收</w:t>
            </w:r>
            <w:r>
              <w:rPr>
                <w:rFonts w:hint="eastAsia" w:ascii="Times New Roman" w:hAnsi="Times New Roman" w:cs="Times New Roman"/>
                <w:color w:val="000000"/>
                <w:sz w:val="24"/>
                <w:szCs w:val="24"/>
                <w:lang w:eastAsia="zh-CN"/>
              </w:rPr>
              <w:t>有色金属</w:t>
            </w:r>
            <w:r>
              <w:rPr>
                <w:rFonts w:ascii="Times New Roman" w:hAnsi="Times New Roman" w:cs="Times New Roman"/>
                <w:color w:val="000000"/>
                <w:sz w:val="24"/>
                <w:szCs w:val="24"/>
              </w:rPr>
              <w:t>、</w:t>
            </w:r>
            <w:r>
              <w:rPr>
                <w:rFonts w:hint="eastAsia" w:ascii="Times New Roman" w:hAnsi="Times New Roman" w:cs="Times New Roman"/>
                <w:color w:val="000000"/>
                <w:sz w:val="24"/>
                <w:szCs w:val="24"/>
                <w:lang w:val="en-US" w:eastAsia="zh-CN"/>
              </w:rPr>
              <w:t>可回收</w:t>
            </w:r>
            <w:r>
              <w:rPr>
                <w:rFonts w:ascii="Times New Roman" w:hAnsi="Times New Roman" w:cs="Times New Roman"/>
                <w:color w:val="000000"/>
                <w:sz w:val="24"/>
                <w:szCs w:val="24"/>
              </w:rPr>
              <w:t>塑料件、</w:t>
            </w:r>
            <w:r>
              <w:rPr>
                <w:rFonts w:hint="eastAsia" w:ascii="Times New Roman" w:hAnsi="Times New Roman" w:cs="Times New Roman"/>
                <w:color w:val="000000"/>
                <w:sz w:val="24"/>
                <w:szCs w:val="24"/>
                <w:lang w:val="en-US" w:eastAsia="zh-CN"/>
              </w:rPr>
              <w:t>可回收</w:t>
            </w:r>
            <w:r>
              <w:rPr>
                <w:rFonts w:ascii="Times New Roman" w:hAnsi="Times New Roman" w:cs="Times New Roman"/>
                <w:color w:val="000000"/>
                <w:sz w:val="24"/>
                <w:szCs w:val="24"/>
              </w:rPr>
              <w:t>橡胶件、</w:t>
            </w:r>
            <w:r>
              <w:rPr>
                <w:rFonts w:hint="eastAsia" w:ascii="Times New Roman" w:hAnsi="Times New Roman" w:cs="Times New Roman"/>
                <w:color w:val="000000"/>
                <w:sz w:val="24"/>
                <w:szCs w:val="24"/>
                <w:lang w:val="en-US" w:eastAsia="zh-CN"/>
              </w:rPr>
              <w:t>可回收</w:t>
            </w:r>
            <w:r>
              <w:rPr>
                <w:rFonts w:ascii="Times New Roman" w:hAnsi="Times New Roman" w:cs="Times New Roman"/>
                <w:color w:val="000000"/>
                <w:sz w:val="24"/>
                <w:szCs w:val="24"/>
              </w:rPr>
              <w:t>玻璃等，切割、破碎打包后在厂内暂存，</w:t>
            </w:r>
            <w:r>
              <w:rPr>
                <w:rFonts w:hint="eastAsia" w:ascii="Times New Roman" w:hAnsi="Times New Roman" w:cs="Times New Roman"/>
                <w:color w:val="000000"/>
                <w:sz w:val="24"/>
                <w:szCs w:val="24"/>
                <w:lang w:val="en-US" w:eastAsia="zh-CN"/>
              </w:rPr>
              <w:t>定期</w:t>
            </w:r>
            <w:r>
              <w:rPr>
                <w:rFonts w:ascii="Times New Roman" w:hAnsi="Times New Roman" w:cs="Times New Roman"/>
                <w:color w:val="000000"/>
                <w:sz w:val="24"/>
                <w:szCs w:val="24"/>
              </w:rPr>
              <w:t>外售给钢铁厂或者物资回收部门。</w:t>
            </w:r>
          </w:p>
          <w:p w14:paraId="36330C07">
            <w:pPr>
              <w:pStyle w:val="127"/>
              <w:spacing w:line="360" w:lineRule="auto"/>
              <w:ind w:firstLine="480" w:firstLineChars="200"/>
              <w:rPr>
                <w:bCs/>
                <w:color w:val="000000" w:themeColor="text1"/>
                <w14:textFill>
                  <w14:solidFill>
                    <w14:schemeClr w14:val="tx1"/>
                  </w14:solidFill>
                </w14:textFill>
              </w:rPr>
            </w:pPr>
            <w:r>
              <w:rPr>
                <w:rFonts w:ascii="Times New Roman" w:hAnsi="Times New Roman" w:cs="Times New Roman"/>
                <w:color w:val="FF0000"/>
                <w:sz w:val="24"/>
                <w:szCs w:val="24"/>
              </w:rPr>
              <w:t>根据《汽车报废拆解和材料回收利用》</w:t>
            </w:r>
            <w:r>
              <w:rPr>
                <w:rFonts w:hint="eastAsia" w:ascii="Times New Roman" w:hAnsi="Times New Roman" w:cs="Times New Roman"/>
                <w:color w:val="FF0000"/>
                <w:sz w:val="24"/>
                <w:szCs w:val="24"/>
                <w:lang w:eastAsia="zh-CN"/>
              </w:rPr>
              <w:t>（化学工业出版社2009年出版）</w:t>
            </w:r>
            <w:r>
              <w:rPr>
                <w:rFonts w:ascii="Times New Roman" w:hAnsi="Times New Roman" w:cs="Times New Roman"/>
                <w:color w:val="FF0000"/>
                <w:sz w:val="24"/>
                <w:szCs w:val="24"/>
              </w:rPr>
              <w:t>中相关资料以及通过</w:t>
            </w:r>
            <w:r>
              <w:rPr>
                <w:rFonts w:hint="eastAsia" w:ascii="Times New Roman" w:hAnsi="Times New Roman" w:cs="Times New Roman"/>
                <w:color w:val="FF0000"/>
                <w:sz w:val="24"/>
                <w:szCs w:val="24"/>
                <w:lang w:eastAsia="zh-CN"/>
              </w:rPr>
              <w:t>《安徽省茂鑫金属制品有限公司年拆解15000辆报废汽车项目环境影响报告表》</w:t>
            </w:r>
            <w:r>
              <w:rPr>
                <w:rFonts w:ascii="Times New Roman" w:hAnsi="Times New Roman" w:cs="Times New Roman"/>
                <w:color w:val="FF0000"/>
                <w:sz w:val="24"/>
                <w:szCs w:val="24"/>
              </w:rPr>
              <w:t>中的数据类比分析，统计了轿车和客货车单辆汽车拆解后得到的各个产品名称及其重量</w:t>
            </w:r>
            <w:r>
              <w:rPr>
                <w:rFonts w:ascii="Times New Roman" w:hAnsi="Times New Roman" w:cs="Times New Roman"/>
                <w:color w:val="FF0000"/>
                <w:sz w:val="24"/>
                <w:szCs w:val="24"/>
                <w:lang w:eastAsia="zh-CN"/>
              </w:rPr>
              <w:t>，</w:t>
            </w:r>
            <w:r>
              <w:rPr>
                <w:rFonts w:ascii="Times New Roman" w:hAnsi="Times New Roman" w:cs="Times New Roman"/>
                <w:color w:val="FF0000"/>
                <w:sz w:val="24"/>
                <w:szCs w:val="24"/>
              </w:rPr>
              <w:t>详见表</w:t>
            </w:r>
            <w:r>
              <w:rPr>
                <w:rFonts w:ascii="Times New Roman" w:hAnsi="Times New Roman" w:cs="Times New Roman"/>
                <w:color w:val="FF0000"/>
                <w:sz w:val="24"/>
                <w:szCs w:val="24"/>
                <w:lang w:val="en-US" w:eastAsia="zh-CN"/>
              </w:rPr>
              <w:t>2-</w:t>
            </w:r>
            <w:r>
              <w:rPr>
                <w:rFonts w:hint="eastAsia" w:ascii="Times New Roman" w:hAnsi="Times New Roman" w:cs="Times New Roman"/>
                <w:color w:val="FF0000"/>
                <w:sz w:val="24"/>
                <w:szCs w:val="24"/>
                <w:lang w:val="en-US" w:eastAsia="zh-CN"/>
              </w:rPr>
              <w:t>3</w:t>
            </w:r>
            <w:r>
              <w:rPr>
                <w:rFonts w:ascii="Times New Roman" w:hAnsi="Times New Roman" w:cs="Times New Roman"/>
                <w:color w:val="FF0000"/>
                <w:sz w:val="24"/>
                <w:szCs w:val="24"/>
              </w:rPr>
              <w:t>。</w:t>
            </w:r>
          </w:p>
        </w:tc>
      </w:tr>
    </w:tbl>
    <w:p w14:paraId="1F25F87A">
      <w:pPr>
        <w:pStyle w:val="30"/>
        <w:jc w:val="center"/>
        <w:rPr>
          <w:rFonts w:hint="eastAsia" w:ascii="黑体" w:hAnsi="黑体" w:eastAsia="黑体"/>
          <w:snapToGrid w:val="0"/>
          <w:sz w:val="36"/>
          <w:szCs w:val="36"/>
        </w:rPr>
        <w:sectPr>
          <w:pgSz w:w="11906" w:h="16838"/>
          <w:pgMar w:top="1701" w:right="1531" w:bottom="1701" w:left="1531" w:header="851" w:footer="851" w:gutter="0"/>
          <w:pgBorders>
            <w:top w:val="none" w:sz="0" w:space="0"/>
            <w:left w:val="none" w:sz="0" w:space="0"/>
            <w:bottom w:val="none" w:sz="0" w:space="0"/>
            <w:right w:val="none" w:sz="0" w:space="0"/>
          </w:pgBorders>
          <w:pgNumType w:fmt="numberInDash"/>
          <w:cols w:space="720" w:num="1"/>
          <w:docGrid w:linePitch="312" w:charSpace="0"/>
        </w:sectPr>
      </w:pPr>
    </w:p>
    <w:p w14:paraId="743594C3">
      <w:pPr>
        <w:pStyle w:val="127"/>
        <w:spacing w:line="240" w:lineRule="auto"/>
        <w:jc w:val="center"/>
        <w:rPr>
          <w:rFonts w:ascii="Times New Roman" w:hAnsi="Times New Roman" w:cs="Times New Roman"/>
          <w:color w:val="FF0000"/>
          <w:sz w:val="21"/>
          <w:szCs w:val="21"/>
        </w:rPr>
      </w:pPr>
      <w:r>
        <w:rPr>
          <w:rFonts w:ascii="Times New Roman" w:hAnsi="Times New Roman" w:cs="Times New Roman"/>
          <w:b/>
          <w:bCs/>
          <w:color w:val="FF0000"/>
          <w:sz w:val="21"/>
          <w:szCs w:val="21"/>
        </w:rPr>
        <w:t>表</w:t>
      </w:r>
      <w:r>
        <w:rPr>
          <w:rFonts w:ascii="Times New Roman" w:hAnsi="Times New Roman" w:cs="Times New Roman"/>
          <w:b/>
          <w:bCs/>
          <w:color w:val="FF0000"/>
          <w:sz w:val="21"/>
          <w:szCs w:val="21"/>
          <w:lang w:val="en-US" w:eastAsia="zh-CN" w:bidi="en-US"/>
        </w:rPr>
        <w:t>2-</w:t>
      </w:r>
      <w:r>
        <w:rPr>
          <w:rFonts w:hint="eastAsia" w:ascii="Times New Roman" w:hAnsi="Times New Roman" w:cs="Times New Roman"/>
          <w:b/>
          <w:bCs/>
          <w:color w:val="FF0000"/>
          <w:sz w:val="21"/>
          <w:szCs w:val="21"/>
          <w:lang w:val="en-US" w:eastAsia="zh-CN" w:bidi="en-US"/>
        </w:rPr>
        <w:t>3</w:t>
      </w:r>
      <w:r>
        <w:rPr>
          <w:rFonts w:ascii="Times New Roman" w:hAnsi="Times New Roman" w:cs="Times New Roman"/>
          <w:b/>
          <w:bCs/>
          <w:color w:val="FF0000"/>
          <w:sz w:val="21"/>
          <w:szCs w:val="21"/>
          <w:lang w:val="en-US" w:eastAsia="zh-CN" w:bidi="en-US"/>
        </w:rPr>
        <w:t xml:space="preserve">  </w:t>
      </w:r>
      <w:r>
        <w:rPr>
          <w:rFonts w:ascii="Times New Roman" w:hAnsi="Times New Roman" w:cs="Times New Roman"/>
          <w:b/>
          <w:bCs/>
          <w:color w:val="FF0000"/>
          <w:sz w:val="21"/>
          <w:szCs w:val="21"/>
        </w:rPr>
        <w:t>报废乘用车、客车、货车拆解产品明细表（单辆）</w:t>
      </w:r>
    </w:p>
    <w:p w14:paraId="1C76AA0D">
      <w:pPr>
        <w:spacing w:line="1" w:lineRule="exact"/>
        <w:rPr>
          <w:color w:val="FF0000"/>
          <w:sz w:val="24"/>
        </w:rPr>
      </w:pPr>
      <w:r>
        <w:rPr>
          <w:color w:val="FF0000"/>
          <w:sz w:val="24"/>
        </w:rPr>
        <w:t>具体拆解方案及产出情况见表3.1-2。</w:t>
      </w:r>
    </w:p>
    <w:tbl>
      <w:tblPr>
        <w:tblStyle w:val="34"/>
        <w:tblW w:w="4999" w:type="pct"/>
        <w:jc w:val="center"/>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autofit"/>
        <w:tblCellMar>
          <w:top w:w="0" w:type="dxa"/>
          <w:left w:w="10" w:type="dxa"/>
          <w:bottom w:w="0" w:type="dxa"/>
          <w:right w:w="10" w:type="dxa"/>
        </w:tblCellMar>
      </w:tblPr>
      <w:tblGrid>
        <w:gridCol w:w="699"/>
        <w:gridCol w:w="1827"/>
        <w:gridCol w:w="1994"/>
        <w:gridCol w:w="2293"/>
        <w:gridCol w:w="2043"/>
        <w:gridCol w:w="2145"/>
        <w:gridCol w:w="2342"/>
        <w:gridCol w:w="7082"/>
      </w:tblGrid>
      <w:tr w14:paraId="1FF5AF1D">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 w:type="dxa"/>
            <w:bottom w:w="0" w:type="dxa"/>
            <w:right w:w="10" w:type="dxa"/>
          </w:tblCellMar>
        </w:tblPrEx>
        <w:trPr>
          <w:trHeight w:val="23" w:hRule="atLeast"/>
          <w:jc w:val="center"/>
        </w:trPr>
        <w:tc>
          <w:tcPr>
            <w:tcW w:w="171" w:type="pct"/>
            <w:vMerge w:val="restart"/>
            <w:tcBorders>
              <w:tl2br w:val="nil"/>
              <w:tr2bl w:val="nil"/>
            </w:tcBorders>
            <w:shd w:val="clear" w:color="auto" w:fill="auto"/>
            <w:vAlign w:val="center"/>
          </w:tcPr>
          <w:p w14:paraId="78A0D94D">
            <w:pPr>
              <w:pStyle w:val="128"/>
              <w:spacing w:line="240" w:lineRule="auto"/>
              <w:jc w:val="center"/>
              <w:rPr>
                <w:rFonts w:hint="default" w:ascii="Times New Roman" w:hAnsi="Times New Roman" w:eastAsia="宋体" w:cs="Times New Roman"/>
                <w:color w:val="FF0000"/>
                <w:sz w:val="21"/>
                <w:szCs w:val="21"/>
                <w:lang w:eastAsia="zh-CN"/>
              </w:rPr>
            </w:pPr>
            <w:r>
              <w:rPr>
                <w:rFonts w:hint="default" w:ascii="Times New Roman" w:hAnsi="Times New Roman" w:cs="Times New Roman"/>
                <w:b/>
                <w:bCs/>
                <w:color w:val="FF0000"/>
                <w:sz w:val="21"/>
                <w:szCs w:val="21"/>
                <w:lang w:val="en-US" w:eastAsia="zh-CN"/>
              </w:rPr>
              <w:t>序号</w:t>
            </w:r>
          </w:p>
        </w:tc>
        <w:tc>
          <w:tcPr>
            <w:tcW w:w="447" w:type="pct"/>
            <w:vMerge w:val="restart"/>
            <w:tcBorders>
              <w:tl2br w:val="nil"/>
              <w:tr2bl w:val="nil"/>
            </w:tcBorders>
            <w:shd w:val="clear" w:color="auto" w:fill="auto"/>
            <w:vAlign w:val="center"/>
          </w:tcPr>
          <w:p w14:paraId="48E9A9F1">
            <w:pPr>
              <w:pStyle w:val="128"/>
              <w:spacing w:line="240" w:lineRule="auto"/>
              <w:jc w:val="center"/>
              <w:rPr>
                <w:rFonts w:hint="default" w:ascii="Times New Roman" w:hAnsi="Times New Roman" w:eastAsia="宋体" w:cs="Times New Roman"/>
                <w:color w:val="FF0000"/>
                <w:kern w:val="2"/>
                <w:sz w:val="21"/>
                <w:szCs w:val="21"/>
                <w:lang w:val="zh-TW" w:eastAsia="zh-TW" w:bidi="zh-TW"/>
              </w:rPr>
            </w:pPr>
            <w:r>
              <w:rPr>
                <w:rFonts w:hint="default" w:ascii="Times New Roman" w:hAnsi="Times New Roman" w:cs="Times New Roman"/>
                <w:b/>
                <w:bCs/>
                <w:color w:val="FF0000"/>
                <w:sz w:val="21"/>
                <w:szCs w:val="21"/>
              </w:rPr>
              <w:t>产品名称</w:t>
            </w:r>
          </w:p>
        </w:tc>
        <w:tc>
          <w:tcPr>
            <w:tcW w:w="2074" w:type="pct"/>
            <w:gridSpan w:val="4"/>
            <w:tcBorders>
              <w:tl2br w:val="nil"/>
              <w:tr2bl w:val="nil"/>
            </w:tcBorders>
            <w:shd w:val="clear" w:color="auto" w:fill="auto"/>
            <w:vAlign w:val="center"/>
          </w:tcPr>
          <w:p w14:paraId="799DF828">
            <w:pPr>
              <w:pStyle w:val="128"/>
              <w:spacing w:line="240" w:lineRule="auto"/>
              <w:jc w:val="center"/>
              <w:rPr>
                <w:rFonts w:hint="default" w:ascii="Times New Roman" w:hAnsi="Times New Roman" w:cs="Times New Roman"/>
                <w:b/>
                <w:bCs/>
                <w:color w:val="FF0000"/>
                <w:sz w:val="21"/>
                <w:szCs w:val="21"/>
              </w:rPr>
            </w:pPr>
            <w:r>
              <w:rPr>
                <w:rFonts w:hint="default" w:ascii="Times New Roman" w:hAnsi="Times New Roman" w:cs="Times New Roman"/>
                <w:b/>
                <w:bCs/>
                <w:color w:val="FF0000"/>
                <w:sz w:val="21"/>
                <w:szCs w:val="21"/>
              </w:rPr>
              <w:t>重量</w:t>
            </w:r>
            <w:r>
              <w:rPr>
                <w:rFonts w:hint="default" w:ascii="Times New Roman" w:hAnsi="Times New Roman" w:cs="Times New Roman"/>
                <w:b/>
                <w:bCs/>
                <w:color w:val="FF0000"/>
                <w:sz w:val="21"/>
                <w:szCs w:val="21"/>
                <w:lang w:val="en-US" w:eastAsia="en-US" w:bidi="en-US"/>
              </w:rPr>
              <w:t>（kg/</w:t>
            </w:r>
            <w:r>
              <w:rPr>
                <w:rFonts w:hint="default" w:ascii="Times New Roman" w:hAnsi="Times New Roman" w:cs="Times New Roman"/>
                <w:b/>
                <w:bCs/>
                <w:color w:val="FF0000"/>
                <w:sz w:val="21"/>
                <w:szCs w:val="21"/>
              </w:rPr>
              <w:t>辆车）</w:t>
            </w:r>
          </w:p>
        </w:tc>
        <w:tc>
          <w:tcPr>
            <w:tcW w:w="573" w:type="pct"/>
            <w:vMerge w:val="restart"/>
            <w:tcBorders>
              <w:tl2br w:val="nil"/>
              <w:tr2bl w:val="nil"/>
            </w:tcBorders>
            <w:shd w:val="clear" w:color="auto" w:fill="auto"/>
            <w:vAlign w:val="center"/>
          </w:tcPr>
          <w:p w14:paraId="61DCF722">
            <w:pPr>
              <w:pStyle w:val="128"/>
              <w:spacing w:line="240" w:lineRule="auto"/>
              <w:jc w:val="center"/>
              <w:rPr>
                <w:rFonts w:hint="default" w:ascii="Times New Roman" w:hAnsi="Times New Roman" w:cs="Times New Roman"/>
                <w:color w:val="FF0000"/>
                <w:sz w:val="21"/>
                <w:szCs w:val="21"/>
              </w:rPr>
            </w:pPr>
            <w:r>
              <w:rPr>
                <w:rFonts w:hint="default" w:ascii="Times New Roman" w:hAnsi="Times New Roman" w:cs="Times New Roman"/>
                <w:b/>
                <w:bCs/>
                <w:color w:val="FF0000"/>
                <w:sz w:val="21"/>
                <w:szCs w:val="21"/>
              </w:rPr>
              <w:t>材料</w:t>
            </w:r>
          </w:p>
        </w:tc>
        <w:tc>
          <w:tcPr>
            <w:tcW w:w="1733" w:type="pct"/>
            <w:vMerge w:val="restart"/>
            <w:tcBorders>
              <w:tl2br w:val="nil"/>
              <w:tr2bl w:val="nil"/>
            </w:tcBorders>
            <w:shd w:val="clear" w:color="auto" w:fill="auto"/>
            <w:vAlign w:val="center"/>
          </w:tcPr>
          <w:p w14:paraId="363A2EC1">
            <w:pPr>
              <w:pStyle w:val="128"/>
              <w:spacing w:line="240" w:lineRule="auto"/>
              <w:jc w:val="center"/>
              <w:rPr>
                <w:rFonts w:hint="default" w:ascii="Times New Roman" w:hAnsi="Times New Roman" w:eastAsia="宋体" w:cs="Times New Roman"/>
                <w:b/>
                <w:bCs/>
                <w:color w:val="FF0000"/>
                <w:sz w:val="21"/>
                <w:szCs w:val="21"/>
                <w:lang w:val="en-US" w:eastAsia="zh-CN"/>
              </w:rPr>
            </w:pPr>
            <w:r>
              <w:rPr>
                <w:rFonts w:hint="default" w:ascii="Times New Roman" w:hAnsi="Times New Roman" w:cs="Times New Roman"/>
                <w:b/>
                <w:bCs/>
                <w:color w:val="FF0000"/>
                <w:sz w:val="21"/>
                <w:szCs w:val="21"/>
                <w:lang w:val="en-US" w:eastAsia="zh-CN"/>
              </w:rPr>
              <w:t>处理方式</w:t>
            </w:r>
          </w:p>
        </w:tc>
      </w:tr>
      <w:tr w14:paraId="6C8E8677">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 w:type="dxa"/>
            <w:bottom w:w="0" w:type="dxa"/>
            <w:right w:w="10" w:type="dxa"/>
          </w:tblCellMar>
        </w:tblPrEx>
        <w:trPr>
          <w:trHeight w:val="23" w:hRule="atLeast"/>
          <w:jc w:val="center"/>
        </w:trPr>
        <w:tc>
          <w:tcPr>
            <w:tcW w:w="171" w:type="pct"/>
            <w:vMerge w:val="continue"/>
            <w:tcBorders>
              <w:tl2br w:val="nil"/>
              <w:tr2bl w:val="nil"/>
            </w:tcBorders>
            <w:shd w:val="clear" w:color="auto" w:fill="auto"/>
            <w:vAlign w:val="center"/>
          </w:tcPr>
          <w:p w14:paraId="5894D013">
            <w:pPr>
              <w:spacing w:line="240" w:lineRule="auto"/>
              <w:jc w:val="center"/>
              <w:rPr>
                <w:rFonts w:hint="default" w:ascii="Times New Roman" w:hAnsi="Times New Roman" w:cs="Times New Roman"/>
                <w:color w:val="FF0000"/>
                <w:sz w:val="21"/>
                <w:szCs w:val="21"/>
              </w:rPr>
            </w:pPr>
          </w:p>
        </w:tc>
        <w:tc>
          <w:tcPr>
            <w:tcW w:w="447" w:type="pct"/>
            <w:vMerge w:val="continue"/>
            <w:tcBorders>
              <w:tl2br w:val="nil"/>
              <w:tr2bl w:val="nil"/>
            </w:tcBorders>
            <w:shd w:val="clear" w:color="auto" w:fill="auto"/>
            <w:vAlign w:val="center"/>
          </w:tcPr>
          <w:p w14:paraId="32AA08F4">
            <w:pPr>
              <w:spacing w:line="240" w:lineRule="auto"/>
              <w:jc w:val="center"/>
              <w:rPr>
                <w:rFonts w:hint="default" w:ascii="Times New Roman" w:hAnsi="Times New Roman" w:eastAsia="宋体" w:cs="Times New Roman"/>
                <w:color w:val="FF0000"/>
                <w:kern w:val="2"/>
                <w:sz w:val="21"/>
                <w:szCs w:val="21"/>
                <w:lang w:val="en-US" w:eastAsia="zh-CN" w:bidi="ar-SA"/>
              </w:rPr>
            </w:pPr>
          </w:p>
        </w:tc>
        <w:tc>
          <w:tcPr>
            <w:tcW w:w="1549" w:type="pct"/>
            <w:gridSpan w:val="3"/>
            <w:tcBorders>
              <w:tl2br w:val="nil"/>
              <w:tr2bl w:val="nil"/>
            </w:tcBorders>
            <w:shd w:val="clear" w:color="auto" w:fill="auto"/>
            <w:vAlign w:val="center"/>
          </w:tcPr>
          <w:p w14:paraId="2F600B9A">
            <w:pPr>
              <w:pStyle w:val="128"/>
              <w:spacing w:line="240" w:lineRule="auto"/>
              <w:jc w:val="center"/>
              <w:rPr>
                <w:rFonts w:hint="default" w:ascii="Times New Roman" w:hAnsi="Times New Roman" w:cs="Times New Roman"/>
                <w:color w:val="FF0000"/>
                <w:sz w:val="21"/>
                <w:szCs w:val="21"/>
              </w:rPr>
            </w:pPr>
            <w:r>
              <w:rPr>
                <w:rFonts w:hint="default" w:ascii="Times New Roman" w:hAnsi="Times New Roman" w:cs="Times New Roman"/>
                <w:b/>
                <w:bCs/>
                <w:color w:val="FF0000"/>
                <w:sz w:val="21"/>
                <w:szCs w:val="21"/>
              </w:rPr>
              <w:t>传统燃料汽车</w:t>
            </w:r>
          </w:p>
        </w:tc>
        <w:tc>
          <w:tcPr>
            <w:tcW w:w="524" w:type="pct"/>
            <w:vMerge w:val="restart"/>
            <w:tcBorders>
              <w:tl2br w:val="nil"/>
              <w:tr2bl w:val="nil"/>
            </w:tcBorders>
            <w:shd w:val="clear" w:color="auto" w:fill="auto"/>
            <w:vAlign w:val="center"/>
          </w:tcPr>
          <w:p w14:paraId="31458519">
            <w:pPr>
              <w:pStyle w:val="128"/>
              <w:spacing w:line="240" w:lineRule="auto"/>
              <w:jc w:val="center"/>
              <w:rPr>
                <w:rFonts w:hint="default" w:ascii="Times New Roman" w:hAnsi="Times New Roman" w:cs="Times New Roman"/>
                <w:b/>
                <w:bCs/>
                <w:color w:val="FF0000"/>
                <w:sz w:val="21"/>
                <w:szCs w:val="21"/>
              </w:rPr>
            </w:pPr>
            <w:r>
              <w:rPr>
                <w:rFonts w:hint="default" w:ascii="Times New Roman" w:hAnsi="Times New Roman" w:cs="Times New Roman"/>
                <w:b/>
                <w:bCs/>
                <w:color w:val="FF0000"/>
                <w:sz w:val="21"/>
                <w:szCs w:val="21"/>
              </w:rPr>
              <w:t>新能源汽车</w:t>
            </w:r>
          </w:p>
        </w:tc>
        <w:tc>
          <w:tcPr>
            <w:tcW w:w="573" w:type="pct"/>
            <w:vMerge w:val="continue"/>
            <w:tcBorders>
              <w:tl2br w:val="nil"/>
              <w:tr2bl w:val="nil"/>
            </w:tcBorders>
            <w:shd w:val="clear" w:color="auto" w:fill="auto"/>
            <w:vAlign w:val="center"/>
          </w:tcPr>
          <w:p w14:paraId="71AAAECC">
            <w:pPr>
              <w:spacing w:line="240" w:lineRule="auto"/>
              <w:jc w:val="center"/>
              <w:rPr>
                <w:rFonts w:hint="default" w:ascii="Times New Roman" w:hAnsi="Times New Roman" w:cs="Times New Roman"/>
                <w:color w:val="FF0000"/>
                <w:sz w:val="21"/>
                <w:szCs w:val="21"/>
              </w:rPr>
            </w:pPr>
          </w:p>
        </w:tc>
        <w:tc>
          <w:tcPr>
            <w:tcW w:w="1733" w:type="pct"/>
            <w:vMerge w:val="continue"/>
            <w:tcBorders>
              <w:tl2br w:val="nil"/>
              <w:tr2bl w:val="nil"/>
            </w:tcBorders>
            <w:shd w:val="clear" w:color="auto" w:fill="auto"/>
            <w:vAlign w:val="center"/>
          </w:tcPr>
          <w:p w14:paraId="4764DAC5">
            <w:pPr>
              <w:spacing w:line="240" w:lineRule="auto"/>
              <w:jc w:val="center"/>
              <w:rPr>
                <w:rFonts w:hint="default" w:ascii="Times New Roman" w:hAnsi="Times New Roman" w:cs="Times New Roman"/>
                <w:color w:val="FF0000"/>
                <w:sz w:val="21"/>
                <w:szCs w:val="21"/>
              </w:rPr>
            </w:pPr>
          </w:p>
        </w:tc>
      </w:tr>
      <w:tr w14:paraId="5B838DD7">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 w:type="dxa"/>
            <w:bottom w:w="0" w:type="dxa"/>
            <w:right w:w="10" w:type="dxa"/>
          </w:tblCellMar>
        </w:tblPrEx>
        <w:trPr>
          <w:trHeight w:val="23" w:hRule="atLeast"/>
          <w:jc w:val="center"/>
        </w:trPr>
        <w:tc>
          <w:tcPr>
            <w:tcW w:w="171" w:type="pct"/>
            <w:vMerge w:val="continue"/>
            <w:tcBorders>
              <w:tl2br w:val="nil"/>
              <w:tr2bl w:val="nil"/>
            </w:tcBorders>
            <w:shd w:val="clear" w:color="auto" w:fill="auto"/>
            <w:vAlign w:val="center"/>
          </w:tcPr>
          <w:p w14:paraId="5B985D08">
            <w:pPr>
              <w:spacing w:line="240" w:lineRule="auto"/>
              <w:jc w:val="center"/>
              <w:rPr>
                <w:rFonts w:hint="default" w:ascii="Times New Roman" w:hAnsi="Times New Roman" w:cs="Times New Roman"/>
                <w:color w:val="FF0000"/>
                <w:sz w:val="21"/>
                <w:szCs w:val="21"/>
              </w:rPr>
            </w:pPr>
          </w:p>
        </w:tc>
        <w:tc>
          <w:tcPr>
            <w:tcW w:w="447" w:type="pct"/>
            <w:vMerge w:val="continue"/>
            <w:tcBorders>
              <w:tl2br w:val="nil"/>
              <w:tr2bl w:val="nil"/>
            </w:tcBorders>
            <w:shd w:val="clear" w:color="auto" w:fill="auto"/>
            <w:vAlign w:val="center"/>
          </w:tcPr>
          <w:p w14:paraId="5E24088D">
            <w:pPr>
              <w:spacing w:line="240" w:lineRule="auto"/>
              <w:jc w:val="center"/>
              <w:rPr>
                <w:rFonts w:hint="default" w:ascii="Times New Roman" w:hAnsi="Times New Roman" w:eastAsia="宋体" w:cs="Times New Roman"/>
                <w:color w:val="FF0000"/>
                <w:kern w:val="2"/>
                <w:sz w:val="21"/>
                <w:szCs w:val="21"/>
                <w:lang w:val="en-US" w:eastAsia="zh-CN" w:bidi="ar-SA"/>
              </w:rPr>
            </w:pPr>
          </w:p>
        </w:tc>
        <w:tc>
          <w:tcPr>
            <w:tcW w:w="488" w:type="pct"/>
            <w:tcBorders>
              <w:tl2br w:val="nil"/>
              <w:tr2bl w:val="nil"/>
            </w:tcBorders>
            <w:shd w:val="clear" w:color="auto" w:fill="auto"/>
            <w:vAlign w:val="center"/>
          </w:tcPr>
          <w:p w14:paraId="6B9BD9CA">
            <w:pPr>
              <w:pStyle w:val="128"/>
              <w:spacing w:line="240" w:lineRule="auto"/>
              <w:jc w:val="center"/>
              <w:rPr>
                <w:rFonts w:hint="default" w:ascii="Times New Roman" w:hAnsi="Times New Roman" w:cs="Times New Roman"/>
                <w:color w:val="FF0000"/>
                <w:sz w:val="21"/>
                <w:szCs w:val="21"/>
              </w:rPr>
            </w:pPr>
            <w:r>
              <w:rPr>
                <w:rFonts w:hint="default" w:ascii="Times New Roman" w:hAnsi="Times New Roman" w:cs="Times New Roman"/>
                <w:b/>
                <w:bCs/>
                <w:color w:val="FF0000"/>
                <w:sz w:val="21"/>
                <w:szCs w:val="21"/>
              </w:rPr>
              <w:t>乘用车</w:t>
            </w:r>
          </w:p>
        </w:tc>
        <w:tc>
          <w:tcPr>
            <w:tcW w:w="561" w:type="pct"/>
            <w:tcBorders>
              <w:tl2br w:val="nil"/>
              <w:tr2bl w:val="nil"/>
            </w:tcBorders>
            <w:shd w:val="clear" w:color="auto" w:fill="auto"/>
            <w:vAlign w:val="center"/>
          </w:tcPr>
          <w:p w14:paraId="79BB0F96">
            <w:pPr>
              <w:pStyle w:val="128"/>
              <w:spacing w:line="240" w:lineRule="auto"/>
              <w:jc w:val="center"/>
              <w:rPr>
                <w:rFonts w:hint="default" w:ascii="Times New Roman" w:hAnsi="Times New Roman" w:cs="Times New Roman"/>
                <w:color w:val="FF0000"/>
                <w:sz w:val="21"/>
                <w:szCs w:val="21"/>
              </w:rPr>
            </w:pPr>
            <w:r>
              <w:rPr>
                <w:rFonts w:hint="default" w:ascii="Times New Roman" w:hAnsi="Times New Roman" w:cs="Times New Roman"/>
                <w:b/>
                <w:bCs/>
                <w:color w:val="FF0000"/>
                <w:sz w:val="21"/>
                <w:szCs w:val="21"/>
              </w:rPr>
              <w:t>载客汽车</w:t>
            </w:r>
          </w:p>
        </w:tc>
        <w:tc>
          <w:tcPr>
            <w:tcW w:w="500" w:type="pct"/>
            <w:tcBorders>
              <w:tl2br w:val="nil"/>
              <w:tr2bl w:val="nil"/>
            </w:tcBorders>
            <w:shd w:val="clear" w:color="auto" w:fill="auto"/>
            <w:vAlign w:val="center"/>
          </w:tcPr>
          <w:p w14:paraId="153D4757">
            <w:pPr>
              <w:pStyle w:val="128"/>
              <w:spacing w:line="240" w:lineRule="auto"/>
              <w:jc w:val="center"/>
              <w:rPr>
                <w:rFonts w:hint="default" w:ascii="Times New Roman" w:hAnsi="Times New Roman" w:cs="Times New Roman"/>
                <w:color w:val="FF0000"/>
                <w:sz w:val="21"/>
                <w:szCs w:val="21"/>
              </w:rPr>
            </w:pPr>
            <w:r>
              <w:rPr>
                <w:rFonts w:hint="default" w:ascii="Times New Roman" w:hAnsi="Times New Roman" w:cs="Times New Roman"/>
                <w:b/>
                <w:bCs/>
                <w:color w:val="FF0000"/>
                <w:sz w:val="21"/>
                <w:szCs w:val="21"/>
              </w:rPr>
              <w:t>载货汽车</w:t>
            </w:r>
          </w:p>
        </w:tc>
        <w:tc>
          <w:tcPr>
            <w:tcW w:w="524" w:type="pct"/>
            <w:vMerge w:val="continue"/>
            <w:tcBorders>
              <w:tl2br w:val="nil"/>
              <w:tr2bl w:val="nil"/>
            </w:tcBorders>
            <w:shd w:val="clear" w:color="auto" w:fill="auto"/>
            <w:vAlign w:val="center"/>
          </w:tcPr>
          <w:p w14:paraId="13ACC4FF">
            <w:pPr>
              <w:spacing w:line="240" w:lineRule="auto"/>
              <w:jc w:val="center"/>
              <w:rPr>
                <w:rFonts w:hint="default" w:ascii="Times New Roman" w:hAnsi="Times New Roman" w:eastAsia="宋体" w:cs="Times New Roman"/>
                <w:b/>
                <w:bCs/>
                <w:color w:val="FF0000"/>
                <w:sz w:val="21"/>
                <w:szCs w:val="21"/>
                <w:lang w:val="en-US" w:eastAsia="zh-CN"/>
              </w:rPr>
            </w:pPr>
          </w:p>
        </w:tc>
        <w:tc>
          <w:tcPr>
            <w:tcW w:w="573" w:type="pct"/>
            <w:vMerge w:val="continue"/>
            <w:tcBorders>
              <w:tl2br w:val="nil"/>
              <w:tr2bl w:val="nil"/>
            </w:tcBorders>
            <w:shd w:val="clear" w:color="auto" w:fill="auto"/>
            <w:vAlign w:val="center"/>
          </w:tcPr>
          <w:p w14:paraId="5262FDCF">
            <w:pPr>
              <w:spacing w:line="240" w:lineRule="auto"/>
              <w:jc w:val="center"/>
              <w:rPr>
                <w:rFonts w:hint="default" w:ascii="Times New Roman" w:hAnsi="Times New Roman" w:cs="Times New Roman"/>
                <w:color w:val="FF0000"/>
                <w:sz w:val="21"/>
                <w:szCs w:val="21"/>
              </w:rPr>
            </w:pPr>
          </w:p>
        </w:tc>
        <w:tc>
          <w:tcPr>
            <w:tcW w:w="1733" w:type="pct"/>
            <w:vMerge w:val="continue"/>
            <w:tcBorders>
              <w:tl2br w:val="nil"/>
              <w:tr2bl w:val="nil"/>
            </w:tcBorders>
            <w:shd w:val="clear" w:color="auto" w:fill="auto"/>
            <w:vAlign w:val="center"/>
          </w:tcPr>
          <w:p w14:paraId="6DEF7673">
            <w:pPr>
              <w:spacing w:line="240" w:lineRule="auto"/>
              <w:jc w:val="center"/>
              <w:rPr>
                <w:rFonts w:hint="default" w:ascii="Times New Roman" w:hAnsi="Times New Roman" w:cs="Times New Roman"/>
                <w:color w:val="FF0000"/>
                <w:sz w:val="21"/>
                <w:szCs w:val="21"/>
              </w:rPr>
            </w:pPr>
          </w:p>
        </w:tc>
      </w:tr>
      <w:tr w14:paraId="30B8D49E">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 w:type="dxa"/>
            <w:bottom w:w="0" w:type="dxa"/>
            <w:right w:w="10" w:type="dxa"/>
          </w:tblCellMar>
        </w:tblPrEx>
        <w:trPr>
          <w:trHeight w:val="23" w:hRule="atLeast"/>
          <w:jc w:val="center"/>
        </w:trPr>
        <w:tc>
          <w:tcPr>
            <w:tcW w:w="171" w:type="pct"/>
            <w:tcBorders>
              <w:tl2br w:val="nil"/>
              <w:tr2bl w:val="nil"/>
            </w:tcBorders>
            <w:shd w:val="clear" w:color="auto" w:fill="auto"/>
            <w:vAlign w:val="center"/>
          </w:tcPr>
          <w:p w14:paraId="654FAFA1">
            <w:pPr>
              <w:keepNext w:val="0"/>
              <w:keepLines w:val="0"/>
              <w:widowControl/>
              <w:suppressLineNumbers w:val="0"/>
              <w:spacing w:line="240" w:lineRule="auto"/>
              <w:jc w:val="center"/>
              <w:textAlignment w:val="center"/>
              <w:rPr>
                <w:rFonts w:hint="default" w:ascii="Times New Roman" w:hAnsi="Times New Roman" w:cs="Times New Roman"/>
                <w:color w:val="FF0000"/>
                <w:sz w:val="21"/>
                <w:szCs w:val="21"/>
              </w:rPr>
            </w:pPr>
            <w:r>
              <w:rPr>
                <w:rFonts w:hint="default" w:ascii="Times New Roman" w:hAnsi="Times New Roman" w:eastAsia="宋体" w:cs="Times New Roman"/>
                <w:i w:val="0"/>
                <w:iCs w:val="0"/>
                <w:color w:val="FF0000"/>
                <w:kern w:val="0"/>
                <w:sz w:val="21"/>
                <w:szCs w:val="21"/>
                <w:u w:val="none"/>
                <w:lang w:val="en-US" w:eastAsia="zh-CN" w:bidi="ar"/>
              </w:rPr>
              <w:t>1</w:t>
            </w:r>
          </w:p>
        </w:tc>
        <w:tc>
          <w:tcPr>
            <w:tcW w:w="447" w:type="pct"/>
            <w:tcBorders>
              <w:tl2br w:val="nil"/>
              <w:tr2bl w:val="nil"/>
            </w:tcBorders>
            <w:shd w:val="clear" w:color="auto" w:fill="auto"/>
            <w:vAlign w:val="center"/>
          </w:tcPr>
          <w:p w14:paraId="1985AC83">
            <w:pPr>
              <w:pStyle w:val="128"/>
              <w:spacing w:line="240" w:lineRule="auto"/>
              <w:jc w:val="center"/>
              <w:rPr>
                <w:rFonts w:hint="default" w:ascii="Times New Roman" w:hAnsi="Times New Roman" w:eastAsia="宋体" w:cs="Times New Roman"/>
                <w:color w:val="FF0000"/>
                <w:kern w:val="2"/>
                <w:sz w:val="21"/>
                <w:szCs w:val="21"/>
                <w:lang w:val="zh-TW" w:eastAsia="zh-TW" w:bidi="zh-TW"/>
              </w:rPr>
            </w:pPr>
            <w:r>
              <w:rPr>
                <w:rFonts w:hint="default" w:ascii="Times New Roman" w:hAnsi="Times New Roman" w:cs="Times New Roman"/>
                <w:color w:val="FF0000"/>
                <w:sz w:val="21"/>
                <w:szCs w:val="21"/>
              </w:rPr>
              <w:t>发动机</w:t>
            </w:r>
          </w:p>
        </w:tc>
        <w:tc>
          <w:tcPr>
            <w:tcW w:w="488" w:type="pct"/>
            <w:tcBorders>
              <w:tl2br w:val="nil"/>
              <w:tr2bl w:val="nil"/>
            </w:tcBorders>
            <w:shd w:val="clear" w:color="auto" w:fill="auto"/>
            <w:vAlign w:val="center"/>
          </w:tcPr>
          <w:p w14:paraId="2CB9B12A">
            <w:pPr>
              <w:pStyle w:val="128"/>
              <w:spacing w:line="240" w:lineRule="auto"/>
              <w:jc w:val="center"/>
              <w:rPr>
                <w:rFonts w:hint="default" w:ascii="Times New Roman" w:hAnsi="Times New Roman" w:cs="Times New Roman"/>
                <w:color w:val="FF0000"/>
                <w:sz w:val="21"/>
                <w:szCs w:val="21"/>
              </w:rPr>
            </w:pPr>
            <w:r>
              <w:rPr>
                <w:rFonts w:hint="default" w:ascii="Times New Roman" w:hAnsi="Times New Roman" w:cs="Times New Roman"/>
                <w:color w:val="FF0000"/>
                <w:sz w:val="21"/>
                <w:szCs w:val="21"/>
              </w:rPr>
              <w:t>100</w:t>
            </w:r>
            <w:r>
              <w:rPr>
                <w:rFonts w:hint="default" w:ascii="Times New Roman" w:hAnsi="Times New Roman" w:cs="Times New Roman"/>
                <w:color w:val="FF0000"/>
                <w:sz w:val="21"/>
                <w:szCs w:val="21"/>
                <w:lang w:eastAsia="zh-CN"/>
              </w:rPr>
              <w:t>~</w:t>
            </w:r>
            <w:r>
              <w:rPr>
                <w:rFonts w:hint="default" w:ascii="Times New Roman" w:hAnsi="Times New Roman" w:cs="Times New Roman"/>
                <w:color w:val="FF0000"/>
                <w:sz w:val="21"/>
                <w:szCs w:val="21"/>
              </w:rPr>
              <w:t>200</w:t>
            </w:r>
          </w:p>
        </w:tc>
        <w:tc>
          <w:tcPr>
            <w:tcW w:w="561" w:type="pct"/>
            <w:tcBorders>
              <w:tl2br w:val="nil"/>
              <w:tr2bl w:val="nil"/>
            </w:tcBorders>
            <w:shd w:val="clear" w:color="auto" w:fill="auto"/>
            <w:vAlign w:val="center"/>
          </w:tcPr>
          <w:p w14:paraId="3715C672">
            <w:pPr>
              <w:pStyle w:val="128"/>
              <w:spacing w:line="240" w:lineRule="auto"/>
              <w:jc w:val="center"/>
              <w:rPr>
                <w:rFonts w:hint="default" w:ascii="Times New Roman" w:hAnsi="Times New Roman" w:cs="Times New Roman"/>
                <w:color w:val="FF0000"/>
                <w:sz w:val="21"/>
                <w:szCs w:val="21"/>
              </w:rPr>
            </w:pPr>
            <w:r>
              <w:rPr>
                <w:rFonts w:hint="default" w:ascii="Times New Roman" w:hAnsi="Times New Roman" w:cs="Times New Roman"/>
                <w:color w:val="FF0000"/>
                <w:sz w:val="21"/>
                <w:szCs w:val="21"/>
              </w:rPr>
              <w:t>300</w:t>
            </w:r>
            <w:r>
              <w:rPr>
                <w:rFonts w:hint="default" w:ascii="Times New Roman" w:hAnsi="Times New Roman" w:cs="Times New Roman"/>
                <w:color w:val="FF0000"/>
                <w:sz w:val="21"/>
                <w:szCs w:val="21"/>
                <w:lang w:eastAsia="zh-CN"/>
              </w:rPr>
              <w:t>~</w:t>
            </w:r>
            <w:r>
              <w:rPr>
                <w:rFonts w:hint="default" w:ascii="Times New Roman" w:hAnsi="Times New Roman" w:cs="Times New Roman"/>
                <w:color w:val="FF0000"/>
                <w:sz w:val="21"/>
                <w:szCs w:val="21"/>
              </w:rPr>
              <w:t>750</w:t>
            </w:r>
          </w:p>
        </w:tc>
        <w:tc>
          <w:tcPr>
            <w:tcW w:w="500" w:type="pct"/>
            <w:tcBorders>
              <w:tl2br w:val="nil"/>
              <w:tr2bl w:val="nil"/>
            </w:tcBorders>
            <w:shd w:val="clear" w:color="auto" w:fill="auto"/>
            <w:vAlign w:val="center"/>
          </w:tcPr>
          <w:p w14:paraId="36A709FE">
            <w:pPr>
              <w:pStyle w:val="128"/>
              <w:spacing w:line="240" w:lineRule="auto"/>
              <w:jc w:val="center"/>
              <w:rPr>
                <w:rFonts w:hint="default" w:ascii="Times New Roman" w:hAnsi="Times New Roman" w:cs="Times New Roman"/>
                <w:color w:val="FF0000"/>
                <w:sz w:val="21"/>
                <w:szCs w:val="21"/>
              </w:rPr>
            </w:pPr>
            <w:r>
              <w:rPr>
                <w:rFonts w:hint="default" w:ascii="Times New Roman" w:hAnsi="Times New Roman" w:cs="Times New Roman"/>
                <w:color w:val="FF0000"/>
                <w:sz w:val="21"/>
                <w:szCs w:val="21"/>
              </w:rPr>
              <w:t>300</w:t>
            </w:r>
            <w:r>
              <w:rPr>
                <w:rFonts w:hint="default" w:ascii="Times New Roman" w:hAnsi="Times New Roman" w:cs="Times New Roman"/>
                <w:color w:val="FF0000"/>
                <w:sz w:val="21"/>
                <w:szCs w:val="21"/>
                <w:lang w:eastAsia="zh-CN"/>
              </w:rPr>
              <w:t>~</w:t>
            </w:r>
            <w:r>
              <w:rPr>
                <w:rFonts w:hint="default" w:ascii="Times New Roman" w:hAnsi="Times New Roman" w:cs="Times New Roman"/>
                <w:color w:val="FF0000"/>
                <w:sz w:val="21"/>
                <w:szCs w:val="21"/>
              </w:rPr>
              <w:t>1000</w:t>
            </w:r>
          </w:p>
        </w:tc>
        <w:tc>
          <w:tcPr>
            <w:tcW w:w="524" w:type="pct"/>
            <w:tcBorders>
              <w:tl2br w:val="nil"/>
              <w:tr2bl w:val="nil"/>
            </w:tcBorders>
            <w:shd w:val="clear" w:color="auto" w:fill="auto"/>
            <w:vAlign w:val="center"/>
          </w:tcPr>
          <w:p w14:paraId="64137EFD">
            <w:pPr>
              <w:pStyle w:val="128"/>
              <w:spacing w:line="240" w:lineRule="auto"/>
              <w:jc w:val="center"/>
              <w:rPr>
                <w:rFonts w:hint="default" w:ascii="Times New Roman" w:hAnsi="Times New Roman" w:cs="Times New Roman"/>
                <w:color w:val="FF0000"/>
                <w:sz w:val="21"/>
                <w:szCs w:val="21"/>
              </w:rPr>
            </w:pPr>
            <w:r>
              <w:rPr>
                <w:rFonts w:hint="default" w:ascii="Times New Roman" w:hAnsi="Times New Roman" w:cs="Times New Roman"/>
                <w:color w:val="FF0000"/>
                <w:sz w:val="21"/>
                <w:szCs w:val="21"/>
              </w:rPr>
              <w:t>/</w:t>
            </w:r>
          </w:p>
        </w:tc>
        <w:tc>
          <w:tcPr>
            <w:tcW w:w="573" w:type="pct"/>
            <w:tcBorders>
              <w:tl2br w:val="nil"/>
              <w:tr2bl w:val="nil"/>
            </w:tcBorders>
            <w:shd w:val="clear" w:color="auto" w:fill="auto"/>
            <w:vAlign w:val="center"/>
          </w:tcPr>
          <w:p w14:paraId="6B3F2D15">
            <w:pPr>
              <w:pStyle w:val="128"/>
              <w:spacing w:line="240" w:lineRule="auto"/>
              <w:jc w:val="center"/>
              <w:rPr>
                <w:rFonts w:hint="default" w:ascii="Times New Roman" w:hAnsi="Times New Roman" w:cs="Times New Roman"/>
                <w:color w:val="FF0000"/>
                <w:sz w:val="21"/>
                <w:szCs w:val="21"/>
              </w:rPr>
            </w:pPr>
            <w:r>
              <w:rPr>
                <w:rFonts w:hint="default" w:ascii="Times New Roman" w:hAnsi="Times New Roman" w:cs="Times New Roman"/>
                <w:color w:val="FF0000"/>
                <w:sz w:val="21"/>
                <w:szCs w:val="21"/>
              </w:rPr>
              <w:t>铸铁、铝合金等</w:t>
            </w:r>
          </w:p>
        </w:tc>
        <w:tc>
          <w:tcPr>
            <w:tcW w:w="1733" w:type="pct"/>
            <w:tcBorders>
              <w:tl2br w:val="nil"/>
              <w:tr2bl w:val="nil"/>
            </w:tcBorders>
            <w:shd w:val="clear" w:color="auto" w:fill="auto"/>
            <w:vAlign w:val="center"/>
          </w:tcPr>
          <w:p w14:paraId="6C43D7B8">
            <w:pPr>
              <w:spacing w:line="240" w:lineRule="auto"/>
              <w:jc w:val="center"/>
              <w:rPr>
                <w:rFonts w:hint="default" w:ascii="Times New Roman" w:hAnsi="Times New Roman" w:cs="Times New Roman"/>
                <w:color w:val="FF0000"/>
                <w:sz w:val="21"/>
                <w:szCs w:val="21"/>
              </w:rPr>
            </w:pPr>
            <w:r>
              <w:rPr>
                <w:rFonts w:hint="default" w:ascii="Times New Roman" w:hAnsi="Times New Roman" w:eastAsia="宋体" w:cs="Times New Roman"/>
                <w:color w:val="FF0000"/>
                <w:spacing w:val="-1"/>
                <w:sz w:val="21"/>
                <w:szCs w:val="21"/>
              </w:rPr>
              <w:t>交由具有相应处理能力或经营范围的单位利</w:t>
            </w:r>
            <w:r>
              <w:rPr>
                <w:rFonts w:hint="default" w:ascii="Times New Roman" w:hAnsi="Times New Roman" w:eastAsia="宋体" w:cs="Times New Roman"/>
                <w:color w:val="FF0000"/>
                <w:spacing w:val="-2"/>
                <w:sz w:val="21"/>
                <w:szCs w:val="21"/>
              </w:rPr>
              <w:t>用和处置</w:t>
            </w:r>
          </w:p>
        </w:tc>
      </w:tr>
      <w:tr w14:paraId="75AC0CC0">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 w:type="dxa"/>
            <w:bottom w:w="0" w:type="dxa"/>
            <w:right w:w="10" w:type="dxa"/>
          </w:tblCellMar>
        </w:tblPrEx>
        <w:trPr>
          <w:trHeight w:val="23" w:hRule="atLeast"/>
          <w:jc w:val="center"/>
        </w:trPr>
        <w:tc>
          <w:tcPr>
            <w:tcW w:w="171" w:type="pct"/>
            <w:tcBorders>
              <w:tl2br w:val="nil"/>
              <w:tr2bl w:val="nil"/>
            </w:tcBorders>
            <w:shd w:val="clear" w:color="auto" w:fill="auto"/>
            <w:vAlign w:val="center"/>
          </w:tcPr>
          <w:p w14:paraId="707E9AD1">
            <w:pPr>
              <w:keepNext w:val="0"/>
              <w:keepLines w:val="0"/>
              <w:widowControl/>
              <w:suppressLineNumbers w:val="0"/>
              <w:spacing w:line="240" w:lineRule="auto"/>
              <w:jc w:val="center"/>
              <w:textAlignment w:val="center"/>
              <w:rPr>
                <w:rFonts w:hint="default" w:ascii="Times New Roman" w:hAnsi="Times New Roman" w:cs="Times New Roman"/>
                <w:color w:val="FF0000"/>
                <w:sz w:val="21"/>
                <w:szCs w:val="21"/>
              </w:rPr>
            </w:pPr>
            <w:r>
              <w:rPr>
                <w:rFonts w:hint="default" w:ascii="Times New Roman" w:hAnsi="Times New Roman" w:eastAsia="宋体" w:cs="Times New Roman"/>
                <w:i w:val="0"/>
                <w:iCs w:val="0"/>
                <w:color w:val="FF0000"/>
                <w:kern w:val="0"/>
                <w:sz w:val="21"/>
                <w:szCs w:val="21"/>
                <w:u w:val="none"/>
                <w:lang w:val="en-US" w:eastAsia="zh-CN" w:bidi="ar"/>
              </w:rPr>
              <w:t>2</w:t>
            </w:r>
          </w:p>
        </w:tc>
        <w:tc>
          <w:tcPr>
            <w:tcW w:w="447" w:type="pct"/>
            <w:tcBorders>
              <w:tl2br w:val="nil"/>
              <w:tr2bl w:val="nil"/>
            </w:tcBorders>
            <w:shd w:val="clear" w:color="auto" w:fill="auto"/>
            <w:vAlign w:val="center"/>
          </w:tcPr>
          <w:p w14:paraId="4CE8E6DD">
            <w:pPr>
              <w:pStyle w:val="128"/>
              <w:spacing w:line="240" w:lineRule="auto"/>
              <w:jc w:val="center"/>
              <w:rPr>
                <w:rFonts w:hint="default" w:ascii="Times New Roman" w:hAnsi="Times New Roman" w:eastAsia="宋体" w:cs="Times New Roman"/>
                <w:color w:val="FF0000"/>
                <w:kern w:val="2"/>
                <w:sz w:val="21"/>
                <w:szCs w:val="21"/>
                <w:lang w:val="zh-TW" w:eastAsia="zh-TW" w:bidi="zh-TW"/>
              </w:rPr>
            </w:pPr>
            <w:r>
              <w:rPr>
                <w:rFonts w:hint="default" w:ascii="Times New Roman" w:hAnsi="Times New Roman" w:cs="Times New Roman"/>
                <w:color w:val="FF0000"/>
                <w:sz w:val="21"/>
                <w:szCs w:val="21"/>
              </w:rPr>
              <w:t>电动机</w:t>
            </w:r>
          </w:p>
        </w:tc>
        <w:tc>
          <w:tcPr>
            <w:tcW w:w="488" w:type="pct"/>
            <w:tcBorders>
              <w:tl2br w:val="nil"/>
              <w:tr2bl w:val="nil"/>
            </w:tcBorders>
            <w:shd w:val="clear" w:color="auto" w:fill="auto"/>
            <w:vAlign w:val="center"/>
          </w:tcPr>
          <w:p w14:paraId="1A530362">
            <w:pPr>
              <w:pStyle w:val="128"/>
              <w:spacing w:line="240" w:lineRule="auto"/>
              <w:jc w:val="center"/>
              <w:rPr>
                <w:rFonts w:hint="default" w:ascii="Times New Roman" w:hAnsi="Times New Roman" w:cs="Times New Roman"/>
                <w:color w:val="FF0000"/>
                <w:sz w:val="21"/>
                <w:szCs w:val="21"/>
              </w:rPr>
            </w:pPr>
            <w:r>
              <w:rPr>
                <w:rFonts w:hint="default" w:ascii="Times New Roman" w:hAnsi="Times New Roman" w:cs="Times New Roman"/>
                <w:color w:val="FF0000"/>
                <w:sz w:val="21"/>
                <w:szCs w:val="21"/>
              </w:rPr>
              <w:t>/</w:t>
            </w:r>
          </w:p>
        </w:tc>
        <w:tc>
          <w:tcPr>
            <w:tcW w:w="561" w:type="pct"/>
            <w:tcBorders>
              <w:tl2br w:val="nil"/>
              <w:tr2bl w:val="nil"/>
            </w:tcBorders>
            <w:shd w:val="clear" w:color="auto" w:fill="auto"/>
            <w:vAlign w:val="center"/>
          </w:tcPr>
          <w:p w14:paraId="24D24BC5">
            <w:pPr>
              <w:pStyle w:val="128"/>
              <w:spacing w:line="240" w:lineRule="auto"/>
              <w:jc w:val="center"/>
              <w:rPr>
                <w:rFonts w:hint="default" w:ascii="Times New Roman" w:hAnsi="Times New Roman" w:cs="Times New Roman"/>
                <w:color w:val="FF0000"/>
                <w:sz w:val="21"/>
                <w:szCs w:val="21"/>
              </w:rPr>
            </w:pPr>
            <w:r>
              <w:rPr>
                <w:rFonts w:hint="default" w:ascii="Times New Roman" w:hAnsi="Times New Roman" w:cs="Times New Roman"/>
                <w:color w:val="FF0000"/>
                <w:sz w:val="21"/>
                <w:szCs w:val="21"/>
              </w:rPr>
              <w:t>/</w:t>
            </w:r>
          </w:p>
        </w:tc>
        <w:tc>
          <w:tcPr>
            <w:tcW w:w="500" w:type="pct"/>
            <w:tcBorders>
              <w:tl2br w:val="nil"/>
              <w:tr2bl w:val="nil"/>
            </w:tcBorders>
            <w:shd w:val="clear" w:color="auto" w:fill="auto"/>
            <w:vAlign w:val="center"/>
          </w:tcPr>
          <w:p w14:paraId="31467A47">
            <w:pPr>
              <w:pStyle w:val="128"/>
              <w:spacing w:line="240" w:lineRule="auto"/>
              <w:jc w:val="center"/>
              <w:rPr>
                <w:rFonts w:hint="default" w:ascii="Times New Roman" w:hAnsi="Times New Roman" w:cs="Times New Roman"/>
                <w:color w:val="FF0000"/>
                <w:sz w:val="21"/>
                <w:szCs w:val="21"/>
              </w:rPr>
            </w:pPr>
            <w:r>
              <w:rPr>
                <w:rFonts w:hint="default" w:ascii="Times New Roman" w:hAnsi="Times New Roman" w:cs="Times New Roman"/>
                <w:color w:val="FF0000"/>
                <w:sz w:val="21"/>
                <w:szCs w:val="21"/>
              </w:rPr>
              <w:t>/</w:t>
            </w:r>
          </w:p>
        </w:tc>
        <w:tc>
          <w:tcPr>
            <w:tcW w:w="524" w:type="pct"/>
            <w:tcBorders>
              <w:tl2br w:val="nil"/>
              <w:tr2bl w:val="nil"/>
            </w:tcBorders>
            <w:shd w:val="clear" w:color="auto" w:fill="auto"/>
            <w:vAlign w:val="center"/>
          </w:tcPr>
          <w:p w14:paraId="682814A7">
            <w:pPr>
              <w:pStyle w:val="128"/>
              <w:spacing w:line="240" w:lineRule="auto"/>
              <w:jc w:val="center"/>
              <w:rPr>
                <w:rFonts w:hint="default" w:ascii="Times New Roman" w:hAnsi="Times New Roman" w:cs="Times New Roman"/>
                <w:color w:val="FF0000"/>
                <w:sz w:val="21"/>
                <w:szCs w:val="21"/>
              </w:rPr>
            </w:pPr>
            <w:r>
              <w:rPr>
                <w:rFonts w:hint="default" w:ascii="Times New Roman" w:hAnsi="Times New Roman" w:cs="Times New Roman"/>
                <w:color w:val="FF0000"/>
                <w:sz w:val="21"/>
                <w:szCs w:val="21"/>
              </w:rPr>
              <w:t>100</w:t>
            </w:r>
            <w:r>
              <w:rPr>
                <w:rFonts w:hint="default" w:ascii="Times New Roman" w:hAnsi="Times New Roman" w:cs="Times New Roman"/>
                <w:color w:val="FF0000"/>
                <w:sz w:val="21"/>
                <w:szCs w:val="21"/>
                <w:lang w:eastAsia="zh-CN"/>
              </w:rPr>
              <w:t>~</w:t>
            </w:r>
            <w:r>
              <w:rPr>
                <w:rFonts w:hint="default" w:ascii="Times New Roman" w:hAnsi="Times New Roman" w:cs="Times New Roman"/>
                <w:color w:val="FF0000"/>
                <w:sz w:val="21"/>
                <w:szCs w:val="21"/>
              </w:rPr>
              <w:t>1000</w:t>
            </w:r>
          </w:p>
        </w:tc>
        <w:tc>
          <w:tcPr>
            <w:tcW w:w="573" w:type="pct"/>
            <w:tcBorders>
              <w:tl2br w:val="nil"/>
              <w:tr2bl w:val="nil"/>
            </w:tcBorders>
            <w:shd w:val="clear" w:color="auto" w:fill="auto"/>
            <w:vAlign w:val="center"/>
          </w:tcPr>
          <w:p w14:paraId="7B294EA4">
            <w:pPr>
              <w:pStyle w:val="128"/>
              <w:spacing w:line="240" w:lineRule="auto"/>
              <w:jc w:val="center"/>
              <w:rPr>
                <w:rFonts w:hint="default" w:ascii="Times New Roman" w:hAnsi="Times New Roman" w:cs="Times New Roman"/>
                <w:color w:val="FF0000"/>
                <w:sz w:val="21"/>
                <w:szCs w:val="21"/>
              </w:rPr>
            </w:pPr>
            <w:r>
              <w:rPr>
                <w:rFonts w:hint="default" w:ascii="Times New Roman" w:hAnsi="Times New Roman" w:cs="Times New Roman"/>
                <w:color w:val="FF0000"/>
                <w:sz w:val="21"/>
                <w:szCs w:val="21"/>
              </w:rPr>
              <w:t>铸铁、铝合金等</w:t>
            </w:r>
          </w:p>
        </w:tc>
        <w:tc>
          <w:tcPr>
            <w:tcW w:w="1733" w:type="pct"/>
            <w:tcBorders>
              <w:tl2br w:val="nil"/>
              <w:tr2bl w:val="nil"/>
            </w:tcBorders>
            <w:shd w:val="clear" w:color="auto" w:fill="auto"/>
            <w:vAlign w:val="center"/>
          </w:tcPr>
          <w:p w14:paraId="5823EBFA">
            <w:pPr>
              <w:spacing w:line="240" w:lineRule="auto"/>
              <w:jc w:val="center"/>
              <w:rPr>
                <w:rFonts w:hint="default" w:ascii="Times New Roman" w:hAnsi="Times New Roman" w:cs="Times New Roman"/>
                <w:color w:val="FF0000"/>
                <w:sz w:val="21"/>
                <w:szCs w:val="21"/>
              </w:rPr>
            </w:pPr>
            <w:r>
              <w:rPr>
                <w:rFonts w:hint="default" w:ascii="Times New Roman" w:hAnsi="Times New Roman" w:eastAsia="宋体" w:cs="Times New Roman"/>
                <w:color w:val="FF0000"/>
                <w:spacing w:val="-1"/>
                <w:sz w:val="21"/>
                <w:szCs w:val="21"/>
              </w:rPr>
              <w:t>交由具有相应处理能力或经营范围的单位利</w:t>
            </w:r>
            <w:r>
              <w:rPr>
                <w:rFonts w:hint="default" w:ascii="Times New Roman" w:hAnsi="Times New Roman" w:eastAsia="宋体" w:cs="Times New Roman"/>
                <w:color w:val="FF0000"/>
                <w:spacing w:val="-2"/>
                <w:sz w:val="21"/>
                <w:szCs w:val="21"/>
              </w:rPr>
              <w:t>用和处置</w:t>
            </w:r>
          </w:p>
        </w:tc>
      </w:tr>
      <w:tr w14:paraId="766E886B">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 w:type="dxa"/>
            <w:bottom w:w="0" w:type="dxa"/>
            <w:right w:w="10" w:type="dxa"/>
          </w:tblCellMar>
        </w:tblPrEx>
        <w:trPr>
          <w:trHeight w:val="23" w:hRule="atLeast"/>
          <w:jc w:val="center"/>
        </w:trPr>
        <w:tc>
          <w:tcPr>
            <w:tcW w:w="171" w:type="pct"/>
            <w:tcBorders>
              <w:tl2br w:val="nil"/>
              <w:tr2bl w:val="nil"/>
            </w:tcBorders>
            <w:shd w:val="clear" w:color="auto" w:fill="auto"/>
            <w:vAlign w:val="center"/>
          </w:tcPr>
          <w:p w14:paraId="5F90D70F">
            <w:pPr>
              <w:keepNext w:val="0"/>
              <w:keepLines w:val="0"/>
              <w:widowControl/>
              <w:suppressLineNumbers w:val="0"/>
              <w:spacing w:line="240" w:lineRule="auto"/>
              <w:jc w:val="center"/>
              <w:textAlignment w:val="center"/>
              <w:rPr>
                <w:rFonts w:hint="default" w:ascii="Times New Roman" w:hAnsi="Times New Roman" w:cs="Times New Roman"/>
                <w:color w:val="FF0000"/>
                <w:sz w:val="21"/>
                <w:szCs w:val="21"/>
              </w:rPr>
            </w:pPr>
            <w:r>
              <w:rPr>
                <w:rFonts w:hint="default" w:ascii="Times New Roman" w:hAnsi="Times New Roman" w:eastAsia="宋体" w:cs="Times New Roman"/>
                <w:i w:val="0"/>
                <w:iCs w:val="0"/>
                <w:color w:val="FF0000"/>
                <w:kern w:val="0"/>
                <w:sz w:val="21"/>
                <w:szCs w:val="21"/>
                <w:u w:val="none"/>
                <w:lang w:val="en-US" w:eastAsia="zh-CN" w:bidi="ar"/>
              </w:rPr>
              <w:t>3</w:t>
            </w:r>
          </w:p>
        </w:tc>
        <w:tc>
          <w:tcPr>
            <w:tcW w:w="447" w:type="pct"/>
            <w:tcBorders>
              <w:tl2br w:val="nil"/>
              <w:tr2bl w:val="nil"/>
            </w:tcBorders>
            <w:shd w:val="clear" w:color="auto" w:fill="auto"/>
            <w:vAlign w:val="center"/>
          </w:tcPr>
          <w:p w14:paraId="6C0C61B1">
            <w:pPr>
              <w:pStyle w:val="128"/>
              <w:spacing w:line="240" w:lineRule="auto"/>
              <w:jc w:val="center"/>
              <w:rPr>
                <w:rFonts w:hint="default" w:ascii="Times New Roman" w:hAnsi="Times New Roman" w:eastAsia="宋体" w:cs="Times New Roman"/>
                <w:color w:val="FF0000"/>
                <w:kern w:val="2"/>
                <w:sz w:val="21"/>
                <w:szCs w:val="21"/>
                <w:lang w:val="zh-TW" w:eastAsia="zh-TW" w:bidi="zh-TW"/>
              </w:rPr>
            </w:pPr>
            <w:r>
              <w:rPr>
                <w:rFonts w:hint="default" w:ascii="Times New Roman" w:hAnsi="Times New Roman" w:cs="Times New Roman"/>
                <w:color w:val="FF0000"/>
                <w:sz w:val="21"/>
                <w:szCs w:val="21"/>
              </w:rPr>
              <w:t>变速器</w:t>
            </w:r>
          </w:p>
        </w:tc>
        <w:tc>
          <w:tcPr>
            <w:tcW w:w="488" w:type="pct"/>
            <w:tcBorders>
              <w:tl2br w:val="nil"/>
              <w:tr2bl w:val="nil"/>
            </w:tcBorders>
            <w:shd w:val="clear" w:color="auto" w:fill="auto"/>
            <w:vAlign w:val="center"/>
          </w:tcPr>
          <w:p w14:paraId="535D8062">
            <w:pPr>
              <w:pStyle w:val="128"/>
              <w:spacing w:line="240" w:lineRule="auto"/>
              <w:jc w:val="center"/>
              <w:rPr>
                <w:rFonts w:hint="default" w:ascii="Times New Roman" w:hAnsi="Times New Roman" w:cs="Times New Roman"/>
                <w:color w:val="FF0000"/>
                <w:sz w:val="21"/>
                <w:szCs w:val="21"/>
              </w:rPr>
            </w:pPr>
            <w:r>
              <w:rPr>
                <w:rFonts w:hint="default" w:ascii="Times New Roman" w:hAnsi="Times New Roman" w:cs="Times New Roman"/>
                <w:color w:val="FF0000"/>
                <w:sz w:val="21"/>
                <w:szCs w:val="21"/>
              </w:rPr>
              <w:t>25</w:t>
            </w:r>
            <w:r>
              <w:rPr>
                <w:rFonts w:hint="default" w:ascii="Times New Roman" w:hAnsi="Times New Roman" w:cs="Times New Roman"/>
                <w:color w:val="FF0000"/>
                <w:sz w:val="21"/>
                <w:szCs w:val="21"/>
                <w:lang w:eastAsia="zh-CN"/>
              </w:rPr>
              <w:t>~</w:t>
            </w:r>
            <w:r>
              <w:rPr>
                <w:rFonts w:hint="default" w:ascii="Times New Roman" w:hAnsi="Times New Roman" w:cs="Times New Roman"/>
                <w:color w:val="FF0000"/>
                <w:sz w:val="21"/>
                <w:szCs w:val="21"/>
              </w:rPr>
              <w:t>65</w:t>
            </w:r>
          </w:p>
        </w:tc>
        <w:tc>
          <w:tcPr>
            <w:tcW w:w="561" w:type="pct"/>
            <w:tcBorders>
              <w:tl2br w:val="nil"/>
              <w:tr2bl w:val="nil"/>
            </w:tcBorders>
            <w:shd w:val="clear" w:color="auto" w:fill="auto"/>
            <w:vAlign w:val="center"/>
          </w:tcPr>
          <w:p w14:paraId="1ED7A92A">
            <w:pPr>
              <w:pStyle w:val="128"/>
              <w:spacing w:line="240" w:lineRule="auto"/>
              <w:jc w:val="center"/>
              <w:rPr>
                <w:rFonts w:hint="default" w:ascii="Times New Roman" w:hAnsi="Times New Roman" w:cs="Times New Roman"/>
                <w:color w:val="FF0000"/>
                <w:sz w:val="21"/>
                <w:szCs w:val="21"/>
              </w:rPr>
            </w:pPr>
            <w:r>
              <w:rPr>
                <w:rFonts w:hint="default" w:ascii="Times New Roman" w:hAnsi="Times New Roman" w:cs="Times New Roman"/>
                <w:color w:val="FF0000"/>
                <w:sz w:val="21"/>
                <w:szCs w:val="21"/>
              </w:rPr>
              <w:t>40</w:t>
            </w:r>
            <w:r>
              <w:rPr>
                <w:rFonts w:hint="default" w:ascii="Times New Roman" w:hAnsi="Times New Roman" w:cs="Times New Roman"/>
                <w:color w:val="FF0000"/>
                <w:sz w:val="21"/>
                <w:szCs w:val="21"/>
                <w:lang w:eastAsia="zh-CN"/>
              </w:rPr>
              <w:t>~</w:t>
            </w:r>
            <w:r>
              <w:rPr>
                <w:rFonts w:hint="default" w:ascii="Times New Roman" w:hAnsi="Times New Roman" w:cs="Times New Roman"/>
                <w:color w:val="FF0000"/>
                <w:sz w:val="21"/>
                <w:szCs w:val="21"/>
              </w:rPr>
              <w:t>200</w:t>
            </w:r>
          </w:p>
        </w:tc>
        <w:tc>
          <w:tcPr>
            <w:tcW w:w="500" w:type="pct"/>
            <w:tcBorders>
              <w:tl2br w:val="nil"/>
              <w:tr2bl w:val="nil"/>
            </w:tcBorders>
            <w:shd w:val="clear" w:color="auto" w:fill="auto"/>
            <w:vAlign w:val="center"/>
          </w:tcPr>
          <w:p w14:paraId="4B806307">
            <w:pPr>
              <w:pStyle w:val="128"/>
              <w:spacing w:line="240" w:lineRule="auto"/>
              <w:jc w:val="center"/>
              <w:rPr>
                <w:rFonts w:hint="default" w:ascii="Times New Roman" w:hAnsi="Times New Roman" w:cs="Times New Roman"/>
                <w:color w:val="FF0000"/>
                <w:sz w:val="21"/>
                <w:szCs w:val="21"/>
              </w:rPr>
            </w:pPr>
            <w:r>
              <w:rPr>
                <w:rFonts w:hint="default" w:ascii="Times New Roman" w:hAnsi="Times New Roman" w:cs="Times New Roman"/>
                <w:color w:val="FF0000"/>
                <w:sz w:val="21"/>
                <w:szCs w:val="21"/>
              </w:rPr>
              <w:t>40</w:t>
            </w:r>
            <w:r>
              <w:rPr>
                <w:rFonts w:hint="default" w:ascii="Times New Roman" w:hAnsi="Times New Roman" w:cs="Times New Roman"/>
                <w:color w:val="FF0000"/>
                <w:sz w:val="21"/>
                <w:szCs w:val="21"/>
                <w:lang w:eastAsia="zh-CN"/>
              </w:rPr>
              <w:t>~</w:t>
            </w:r>
            <w:r>
              <w:rPr>
                <w:rFonts w:hint="default" w:ascii="Times New Roman" w:hAnsi="Times New Roman" w:cs="Times New Roman"/>
                <w:color w:val="FF0000"/>
                <w:sz w:val="21"/>
                <w:szCs w:val="21"/>
              </w:rPr>
              <w:t>300</w:t>
            </w:r>
          </w:p>
        </w:tc>
        <w:tc>
          <w:tcPr>
            <w:tcW w:w="524" w:type="pct"/>
            <w:tcBorders>
              <w:tl2br w:val="nil"/>
              <w:tr2bl w:val="nil"/>
            </w:tcBorders>
            <w:shd w:val="clear" w:color="auto" w:fill="auto"/>
            <w:vAlign w:val="center"/>
          </w:tcPr>
          <w:p w14:paraId="5822019F">
            <w:pPr>
              <w:pStyle w:val="128"/>
              <w:spacing w:line="240" w:lineRule="auto"/>
              <w:jc w:val="center"/>
              <w:rPr>
                <w:rFonts w:hint="default" w:ascii="Times New Roman" w:hAnsi="Times New Roman" w:cs="Times New Roman"/>
                <w:color w:val="FF0000"/>
                <w:sz w:val="21"/>
                <w:szCs w:val="21"/>
              </w:rPr>
            </w:pPr>
            <w:r>
              <w:rPr>
                <w:rFonts w:hint="default" w:ascii="Times New Roman" w:hAnsi="Times New Roman" w:cs="Times New Roman"/>
                <w:color w:val="FF0000"/>
                <w:sz w:val="21"/>
                <w:szCs w:val="21"/>
              </w:rPr>
              <w:t>25</w:t>
            </w:r>
            <w:r>
              <w:rPr>
                <w:rFonts w:hint="default" w:ascii="Times New Roman" w:hAnsi="Times New Roman" w:cs="Times New Roman"/>
                <w:color w:val="FF0000"/>
                <w:sz w:val="21"/>
                <w:szCs w:val="21"/>
                <w:lang w:eastAsia="zh-CN"/>
              </w:rPr>
              <w:t>~</w:t>
            </w:r>
            <w:r>
              <w:rPr>
                <w:rFonts w:hint="default" w:ascii="Times New Roman" w:hAnsi="Times New Roman" w:cs="Times New Roman"/>
                <w:color w:val="FF0000"/>
                <w:sz w:val="21"/>
                <w:szCs w:val="21"/>
              </w:rPr>
              <w:t>300</w:t>
            </w:r>
          </w:p>
        </w:tc>
        <w:tc>
          <w:tcPr>
            <w:tcW w:w="573" w:type="pct"/>
            <w:tcBorders>
              <w:tl2br w:val="nil"/>
              <w:tr2bl w:val="nil"/>
            </w:tcBorders>
            <w:shd w:val="clear" w:color="auto" w:fill="auto"/>
            <w:vAlign w:val="center"/>
          </w:tcPr>
          <w:p w14:paraId="5A72F531">
            <w:pPr>
              <w:pStyle w:val="128"/>
              <w:spacing w:line="240" w:lineRule="auto"/>
              <w:jc w:val="center"/>
              <w:rPr>
                <w:rFonts w:hint="default" w:ascii="Times New Roman" w:hAnsi="Times New Roman" w:cs="Times New Roman"/>
                <w:color w:val="FF0000"/>
                <w:sz w:val="21"/>
                <w:szCs w:val="21"/>
              </w:rPr>
            </w:pPr>
            <w:r>
              <w:rPr>
                <w:rFonts w:hint="default" w:ascii="Times New Roman" w:hAnsi="Times New Roman" w:cs="Times New Roman"/>
                <w:color w:val="FF0000"/>
                <w:sz w:val="21"/>
                <w:szCs w:val="21"/>
              </w:rPr>
              <w:t>金属</w:t>
            </w:r>
          </w:p>
        </w:tc>
        <w:tc>
          <w:tcPr>
            <w:tcW w:w="1733" w:type="pct"/>
            <w:tcBorders>
              <w:tl2br w:val="nil"/>
              <w:tr2bl w:val="nil"/>
            </w:tcBorders>
            <w:shd w:val="clear" w:color="auto" w:fill="auto"/>
            <w:vAlign w:val="center"/>
          </w:tcPr>
          <w:p w14:paraId="01EE0FAC">
            <w:pPr>
              <w:spacing w:line="240" w:lineRule="auto"/>
              <w:jc w:val="center"/>
              <w:rPr>
                <w:rFonts w:hint="default" w:ascii="Times New Roman" w:hAnsi="Times New Roman" w:cs="Times New Roman"/>
                <w:color w:val="FF0000"/>
                <w:sz w:val="21"/>
                <w:szCs w:val="21"/>
              </w:rPr>
            </w:pPr>
            <w:r>
              <w:rPr>
                <w:rFonts w:hint="default" w:ascii="Times New Roman" w:hAnsi="Times New Roman" w:eastAsia="宋体" w:cs="Times New Roman"/>
                <w:color w:val="FF0000"/>
                <w:spacing w:val="-1"/>
                <w:sz w:val="21"/>
                <w:szCs w:val="21"/>
              </w:rPr>
              <w:t>交由具有相应处理能力或经营范围的单位利</w:t>
            </w:r>
            <w:r>
              <w:rPr>
                <w:rFonts w:hint="default" w:ascii="Times New Roman" w:hAnsi="Times New Roman" w:eastAsia="宋体" w:cs="Times New Roman"/>
                <w:color w:val="FF0000"/>
                <w:spacing w:val="-2"/>
                <w:sz w:val="21"/>
                <w:szCs w:val="21"/>
              </w:rPr>
              <w:t>用和处置</w:t>
            </w:r>
          </w:p>
        </w:tc>
      </w:tr>
      <w:tr w14:paraId="0CBDDE64">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 w:type="dxa"/>
            <w:bottom w:w="0" w:type="dxa"/>
            <w:right w:w="10" w:type="dxa"/>
          </w:tblCellMar>
        </w:tblPrEx>
        <w:trPr>
          <w:trHeight w:val="23" w:hRule="atLeast"/>
          <w:jc w:val="center"/>
        </w:trPr>
        <w:tc>
          <w:tcPr>
            <w:tcW w:w="171" w:type="pct"/>
            <w:tcBorders>
              <w:tl2br w:val="nil"/>
              <w:tr2bl w:val="nil"/>
            </w:tcBorders>
            <w:shd w:val="clear" w:color="auto" w:fill="auto"/>
            <w:vAlign w:val="center"/>
          </w:tcPr>
          <w:p w14:paraId="15ADCD83">
            <w:pPr>
              <w:keepNext w:val="0"/>
              <w:keepLines w:val="0"/>
              <w:widowControl/>
              <w:suppressLineNumbers w:val="0"/>
              <w:spacing w:line="240" w:lineRule="auto"/>
              <w:jc w:val="center"/>
              <w:textAlignment w:val="center"/>
              <w:rPr>
                <w:rFonts w:hint="default" w:ascii="Times New Roman" w:hAnsi="Times New Roman" w:cs="Times New Roman"/>
                <w:color w:val="FF0000"/>
                <w:sz w:val="21"/>
                <w:szCs w:val="21"/>
              </w:rPr>
            </w:pPr>
            <w:r>
              <w:rPr>
                <w:rFonts w:hint="default" w:ascii="Times New Roman" w:hAnsi="Times New Roman" w:eastAsia="宋体" w:cs="Times New Roman"/>
                <w:i w:val="0"/>
                <w:iCs w:val="0"/>
                <w:color w:val="FF0000"/>
                <w:kern w:val="0"/>
                <w:sz w:val="21"/>
                <w:szCs w:val="21"/>
                <w:u w:val="none"/>
                <w:lang w:val="en-US" w:eastAsia="zh-CN" w:bidi="ar"/>
              </w:rPr>
              <w:t>4</w:t>
            </w:r>
          </w:p>
        </w:tc>
        <w:tc>
          <w:tcPr>
            <w:tcW w:w="447" w:type="pct"/>
            <w:tcBorders>
              <w:tl2br w:val="nil"/>
              <w:tr2bl w:val="nil"/>
            </w:tcBorders>
            <w:shd w:val="clear" w:color="auto" w:fill="auto"/>
            <w:vAlign w:val="center"/>
          </w:tcPr>
          <w:p w14:paraId="510B20C4">
            <w:pPr>
              <w:pStyle w:val="128"/>
              <w:spacing w:line="240" w:lineRule="auto"/>
              <w:jc w:val="center"/>
              <w:rPr>
                <w:rFonts w:hint="default" w:ascii="Times New Roman" w:hAnsi="Times New Roman" w:eastAsia="宋体" w:cs="Times New Roman"/>
                <w:color w:val="FF0000"/>
                <w:kern w:val="2"/>
                <w:sz w:val="21"/>
                <w:szCs w:val="21"/>
                <w:lang w:val="zh-TW" w:eastAsia="zh-TW" w:bidi="zh-TW"/>
              </w:rPr>
            </w:pPr>
            <w:r>
              <w:rPr>
                <w:rFonts w:hint="default" w:ascii="Times New Roman" w:hAnsi="Times New Roman" w:cs="Times New Roman"/>
                <w:color w:val="FF0000"/>
                <w:sz w:val="21"/>
                <w:szCs w:val="21"/>
              </w:rPr>
              <w:t>转向器</w:t>
            </w:r>
          </w:p>
        </w:tc>
        <w:tc>
          <w:tcPr>
            <w:tcW w:w="488" w:type="pct"/>
            <w:tcBorders>
              <w:tl2br w:val="nil"/>
              <w:tr2bl w:val="nil"/>
            </w:tcBorders>
            <w:shd w:val="clear" w:color="auto" w:fill="auto"/>
            <w:vAlign w:val="center"/>
          </w:tcPr>
          <w:p w14:paraId="7A42ADCF">
            <w:pPr>
              <w:pStyle w:val="128"/>
              <w:spacing w:line="240" w:lineRule="auto"/>
              <w:jc w:val="center"/>
              <w:rPr>
                <w:rFonts w:hint="default" w:ascii="Times New Roman" w:hAnsi="Times New Roman" w:cs="Times New Roman"/>
                <w:color w:val="FF0000"/>
                <w:sz w:val="21"/>
                <w:szCs w:val="21"/>
              </w:rPr>
            </w:pPr>
            <w:r>
              <w:rPr>
                <w:rFonts w:hint="default" w:ascii="Times New Roman" w:hAnsi="Times New Roman" w:cs="Times New Roman"/>
                <w:color w:val="FF0000"/>
                <w:sz w:val="21"/>
                <w:szCs w:val="21"/>
              </w:rPr>
              <w:t>20</w:t>
            </w:r>
            <w:r>
              <w:rPr>
                <w:rFonts w:hint="default" w:ascii="Times New Roman" w:hAnsi="Times New Roman" w:cs="Times New Roman"/>
                <w:color w:val="FF0000"/>
                <w:sz w:val="21"/>
                <w:szCs w:val="21"/>
                <w:lang w:eastAsia="zh-CN"/>
              </w:rPr>
              <w:t>~</w:t>
            </w:r>
            <w:r>
              <w:rPr>
                <w:rFonts w:hint="default" w:ascii="Times New Roman" w:hAnsi="Times New Roman" w:cs="Times New Roman"/>
                <w:color w:val="FF0000"/>
                <w:sz w:val="21"/>
                <w:szCs w:val="21"/>
              </w:rPr>
              <w:t>40</w:t>
            </w:r>
          </w:p>
        </w:tc>
        <w:tc>
          <w:tcPr>
            <w:tcW w:w="561" w:type="pct"/>
            <w:tcBorders>
              <w:tl2br w:val="nil"/>
              <w:tr2bl w:val="nil"/>
            </w:tcBorders>
            <w:shd w:val="clear" w:color="auto" w:fill="auto"/>
            <w:vAlign w:val="center"/>
          </w:tcPr>
          <w:p w14:paraId="5CCFEE8D">
            <w:pPr>
              <w:pStyle w:val="128"/>
              <w:spacing w:line="240" w:lineRule="auto"/>
              <w:jc w:val="center"/>
              <w:rPr>
                <w:rFonts w:hint="default" w:ascii="Times New Roman" w:hAnsi="Times New Roman" w:cs="Times New Roman"/>
                <w:color w:val="FF0000"/>
                <w:sz w:val="21"/>
                <w:szCs w:val="21"/>
              </w:rPr>
            </w:pPr>
            <w:r>
              <w:rPr>
                <w:rFonts w:hint="default" w:ascii="Times New Roman" w:hAnsi="Times New Roman" w:cs="Times New Roman"/>
                <w:color w:val="FF0000"/>
                <w:sz w:val="21"/>
                <w:szCs w:val="21"/>
              </w:rPr>
              <w:t>30</w:t>
            </w:r>
            <w:r>
              <w:rPr>
                <w:rFonts w:hint="default" w:ascii="Times New Roman" w:hAnsi="Times New Roman" w:cs="Times New Roman"/>
                <w:color w:val="FF0000"/>
                <w:sz w:val="21"/>
                <w:szCs w:val="21"/>
                <w:lang w:eastAsia="zh-CN"/>
              </w:rPr>
              <w:t>~</w:t>
            </w:r>
            <w:r>
              <w:rPr>
                <w:rFonts w:hint="default" w:ascii="Times New Roman" w:hAnsi="Times New Roman" w:cs="Times New Roman"/>
                <w:color w:val="FF0000"/>
                <w:sz w:val="21"/>
                <w:szCs w:val="21"/>
              </w:rPr>
              <w:t>150</w:t>
            </w:r>
          </w:p>
        </w:tc>
        <w:tc>
          <w:tcPr>
            <w:tcW w:w="500" w:type="pct"/>
            <w:tcBorders>
              <w:tl2br w:val="nil"/>
              <w:tr2bl w:val="nil"/>
            </w:tcBorders>
            <w:shd w:val="clear" w:color="auto" w:fill="auto"/>
            <w:vAlign w:val="center"/>
          </w:tcPr>
          <w:p w14:paraId="41904CAF">
            <w:pPr>
              <w:pStyle w:val="128"/>
              <w:spacing w:line="240" w:lineRule="auto"/>
              <w:jc w:val="center"/>
              <w:rPr>
                <w:rFonts w:hint="default" w:ascii="Times New Roman" w:hAnsi="Times New Roman" w:cs="Times New Roman"/>
                <w:color w:val="FF0000"/>
                <w:sz w:val="21"/>
                <w:szCs w:val="21"/>
              </w:rPr>
            </w:pPr>
            <w:r>
              <w:rPr>
                <w:rFonts w:hint="default" w:ascii="Times New Roman" w:hAnsi="Times New Roman" w:cs="Times New Roman"/>
                <w:color w:val="FF0000"/>
                <w:sz w:val="21"/>
                <w:szCs w:val="21"/>
              </w:rPr>
              <w:t xml:space="preserve">50 </w:t>
            </w:r>
            <w:r>
              <w:rPr>
                <w:rFonts w:hint="default" w:ascii="Times New Roman" w:hAnsi="Times New Roman" w:cs="Times New Roman"/>
                <w:color w:val="FF0000"/>
                <w:sz w:val="21"/>
                <w:szCs w:val="21"/>
                <w:lang w:eastAsia="zh-CN"/>
              </w:rPr>
              <w:t>~</w:t>
            </w:r>
            <w:r>
              <w:rPr>
                <w:rFonts w:hint="default" w:ascii="Times New Roman" w:hAnsi="Times New Roman" w:cs="Times New Roman"/>
                <w:color w:val="FF0000"/>
                <w:sz w:val="21"/>
                <w:szCs w:val="21"/>
              </w:rPr>
              <w:t>160</w:t>
            </w:r>
          </w:p>
        </w:tc>
        <w:tc>
          <w:tcPr>
            <w:tcW w:w="524" w:type="pct"/>
            <w:tcBorders>
              <w:tl2br w:val="nil"/>
              <w:tr2bl w:val="nil"/>
            </w:tcBorders>
            <w:shd w:val="clear" w:color="auto" w:fill="auto"/>
            <w:vAlign w:val="center"/>
          </w:tcPr>
          <w:p w14:paraId="1DA5564A">
            <w:pPr>
              <w:pStyle w:val="128"/>
              <w:spacing w:line="240" w:lineRule="auto"/>
              <w:jc w:val="center"/>
              <w:rPr>
                <w:rFonts w:hint="default" w:ascii="Times New Roman" w:hAnsi="Times New Roman" w:cs="Times New Roman"/>
                <w:color w:val="FF0000"/>
                <w:sz w:val="21"/>
                <w:szCs w:val="21"/>
              </w:rPr>
            </w:pPr>
            <w:r>
              <w:rPr>
                <w:rFonts w:hint="default" w:ascii="Times New Roman" w:hAnsi="Times New Roman" w:cs="Times New Roman"/>
                <w:color w:val="FF0000"/>
                <w:sz w:val="21"/>
                <w:szCs w:val="21"/>
              </w:rPr>
              <w:t xml:space="preserve">20 </w:t>
            </w:r>
            <w:r>
              <w:rPr>
                <w:rFonts w:hint="default" w:ascii="Times New Roman" w:hAnsi="Times New Roman" w:cs="Times New Roman"/>
                <w:color w:val="FF0000"/>
                <w:sz w:val="21"/>
                <w:szCs w:val="21"/>
                <w:lang w:eastAsia="zh-CN"/>
              </w:rPr>
              <w:t>~</w:t>
            </w:r>
            <w:r>
              <w:rPr>
                <w:rFonts w:hint="default" w:ascii="Times New Roman" w:hAnsi="Times New Roman" w:cs="Times New Roman"/>
                <w:color w:val="FF0000"/>
                <w:sz w:val="21"/>
                <w:szCs w:val="21"/>
              </w:rPr>
              <w:t>160</w:t>
            </w:r>
          </w:p>
        </w:tc>
        <w:tc>
          <w:tcPr>
            <w:tcW w:w="573" w:type="pct"/>
            <w:tcBorders>
              <w:tl2br w:val="nil"/>
              <w:tr2bl w:val="nil"/>
            </w:tcBorders>
            <w:shd w:val="clear" w:color="auto" w:fill="auto"/>
            <w:vAlign w:val="center"/>
          </w:tcPr>
          <w:p w14:paraId="13E2B507">
            <w:pPr>
              <w:pStyle w:val="128"/>
              <w:spacing w:line="240" w:lineRule="auto"/>
              <w:jc w:val="center"/>
              <w:rPr>
                <w:rFonts w:hint="default" w:ascii="Times New Roman" w:hAnsi="Times New Roman" w:cs="Times New Roman"/>
                <w:color w:val="FF0000"/>
                <w:sz w:val="21"/>
                <w:szCs w:val="21"/>
              </w:rPr>
            </w:pPr>
            <w:r>
              <w:rPr>
                <w:rFonts w:hint="default" w:ascii="Times New Roman" w:hAnsi="Times New Roman" w:cs="Times New Roman"/>
                <w:color w:val="FF0000"/>
                <w:sz w:val="21"/>
                <w:szCs w:val="21"/>
              </w:rPr>
              <w:t>钢铁、铝合金</w:t>
            </w:r>
          </w:p>
        </w:tc>
        <w:tc>
          <w:tcPr>
            <w:tcW w:w="1733" w:type="pct"/>
            <w:tcBorders>
              <w:tl2br w:val="nil"/>
              <w:tr2bl w:val="nil"/>
            </w:tcBorders>
            <w:shd w:val="clear" w:color="auto" w:fill="auto"/>
            <w:vAlign w:val="center"/>
          </w:tcPr>
          <w:p w14:paraId="774DC7D0">
            <w:pPr>
              <w:spacing w:line="240" w:lineRule="auto"/>
              <w:jc w:val="center"/>
              <w:rPr>
                <w:rFonts w:hint="default" w:ascii="Times New Roman" w:hAnsi="Times New Roman" w:cs="Times New Roman"/>
                <w:color w:val="FF0000"/>
                <w:sz w:val="21"/>
                <w:szCs w:val="21"/>
              </w:rPr>
            </w:pPr>
            <w:r>
              <w:rPr>
                <w:rFonts w:hint="default" w:ascii="Times New Roman" w:hAnsi="Times New Roman" w:eastAsia="宋体" w:cs="Times New Roman"/>
                <w:color w:val="FF0000"/>
                <w:spacing w:val="-1"/>
                <w:sz w:val="21"/>
                <w:szCs w:val="21"/>
              </w:rPr>
              <w:t>交由具有相应处理能力或经营范围的单位利</w:t>
            </w:r>
            <w:r>
              <w:rPr>
                <w:rFonts w:hint="default" w:ascii="Times New Roman" w:hAnsi="Times New Roman" w:eastAsia="宋体" w:cs="Times New Roman"/>
                <w:color w:val="FF0000"/>
                <w:spacing w:val="-2"/>
                <w:sz w:val="21"/>
                <w:szCs w:val="21"/>
              </w:rPr>
              <w:t>用和处置</w:t>
            </w:r>
          </w:p>
        </w:tc>
      </w:tr>
      <w:tr w14:paraId="0FB39399">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 w:type="dxa"/>
            <w:bottom w:w="0" w:type="dxa"/>
            <w:right w:w="10" w:type="dxa"/>
          </w:tblCellMar>
        </w:tblPrEx>
        <w:trPr>
          <w:trHeight w:val="23" w:hRule="atLeast"/>
          <w:jc w:val="center"/>
        </w:trPr>
        <w:tc>
          <w:tcPr>
            <w:tcW w:w="171" w:type="pct"/>
            <w:tcBorders>
              <w:tl2br w:val="nil"/>
              <w:tr2bl w:val="nil"/>
            </w:tcBorders>
            <w:shd w:val="clear" w:color="auto" w:fill="auto"/>
            <w:vAlign w:val="center"/>
          </w:tcPr>
          <w:p w14:paraId="2BEF8C7A">
            <w:pPr>
              <w:keepNext w:val="0"/>
              <w:keepLines w:val="0"/>
              <w:widowControl/>
              <w:suppressLineNumbers w:val="0"/>
              <w:spacing w:line="240" w:lineRule="auto"/>
              <w:jc w:val="center"/>
              <w:textAlignment w:val="center"/>
              <w:rPr>
                <w:rFonts w:hint="default" w:ascii="Times New Roman" w:hAnsi="Times New Roman" w:cs="Times New Roman"/>
                <w:color w:val="FF0000"/>
                <w:sz w:val="21"/>
                <w:szCs w:val="21"/>
              </w:rPr>
            </w:pPr>
            <w:r>
              <w:rPr>
                <w:rFonts w:hint="default" w:ascii="Times New Roman" w:hAnsi="Times New Roman" w:eastAsia="宋体" w:cs="Times New Roman"/>
                <w:i w:val="0"/>
                <w:iCs w:val="0"/>
                <w:color w:val="FF0000"/>
                <w:kern w:val="0"/>
                <w:sz w:val="21"/>
                <w:szCs w:val="21"/>
                <w:u w:val="none"/>
                <w:lang w:val="en-US" w:eastAsia="zh-CN" w:bidi="ar"/>
              </w:rPr>
              <w:t>5</w:t>
            </w:r>
          </w:p>
        </w:tc>
        <w:tc>
          <w:tcPr>
            <w:tcW w:w="447" w:type="pct"/>
            <w:tcBorders>
              <w:tl2br w:val="nil"/>
              <w:tr2bl w:val="nil"/>
            </w:tcBorders>
            <w:shd w:val="clear" w:color="auto" w:fill="auto"/>
            <w:vAlign w:val="center"/>
          </w:tcPr>
          <w:p w14:paraId="45B5CAEE">
            <w:pPr>
              <w:pStyle w:val="128"/>
              <w:spacing w:line="240" w:lineRule="auto"/>
              <w:jc w:val="center"/>
              <w:rPr>
                <w:rFonts w:hint="default" w:ascii="Times New Roman" w:hAnsi="Times New Roman" w:eastAsia="宋体" w:cs="Times New Roman"/>
                <w:color w:val="FF0000"/>
                <w:kern w:val="2"/>
                <w:sz w:val="21"/>
                <w:szCs w:val="21"/>
                <w:lang w:val="zh-TW" w:eastAsia="zh-TW" w:bidi="zh-TW"/>
              </w:rPr>
            </w:pPr>
            <w:r>
              <w:rPr>
                <w:rFonts w:hint="default" w:ascii="Times New Roman" w:hAnsi="Times New Roman" w:cs="Times New Roman"/>
                <w:color w:val="FF0000"/>
                <w:sz w:val="21"/>
                <w:szCs w:val="21"/>
              </w:rPr>
              <w:t>空调压缩机</w:t>
            </w:r>
          </w:p>
        </w:tc>
        <w:tc>
          <w:tcPr>
            <w:tcW w:w="488" w:type="pct"/>
            <w:tcBorders>
              <w:tl2br w:val="nil"/>
              <w:tr2bl w:val="nil"/>
            </w:tcBorders>
            <w:shd w:val="clear" w:color="auto" w:fill="auto"/>
            <w:vAlign w:val="center"/>
          </w:tcPr>
          <w:p w14:paraId="108830B0">
            <w:pPr>
              <w:pStyle w:val="128"/>
              <w:spacing w:line="240" w:lineRule="auto"/>
              <w:jc w:val="center"/>
              <w:rPr>
                <w:rFonts w:hint="default" w:ascii="Times New Roman" w:hAnsi="Times New Roman" w:cs="Times New Roman"/>
                <w:color w:val="FF0000"/>
                <w:sz w:val="21"/>
                <w:szCs w:val="21"/>
              </w:rPr>
            </w:pPr>
            <w:r>
              <w:rPr>
                <w:rFonts w:hint="default" w:ascii="Times New Roman" w:hAnsi="Times New Roman" w:cs="Times New Roman"/>
                <w:color w:val="FF0000"/>
                <w:sz w:val="21"/>
                <w:szCs w:val="21"/>
              </w:rPr>
              <w:t>5</w:t>
            </w:r>
            <w:r>
              <w:rPr>
                <w:rFonts w:hint="default" w:ascii="Times New Roman" w:hAnsi="Times New Roman" w:cs="Times New Roman"/>
                <w:color w:val="FF0000"/>
                <w:sz w:val="21"/>
                <w:szCs w:val="21"/>
                <w:lang w:eastAsia="zh-CN"/>
              </w:rPr>
              <w:t>~</w:t>
            </w:r>
            <w:r>
              <w:rPr>
                <w:rFonts w:hint="default" w:ascii="Times New Roman" w:hAnsi="Times New Roman" w:cs="Times New Roman"/>
                <w:color w:val="FF0000"/>
                <w:sz w:val="21"/>
                <w:szCs w:val="21"/>
              </w:rPr>
              <w:t>10</w:t>
            </w:r>
          </w:p>
        </w:tc>
        <w:tc>
          <w:tcPr>
            <w:tcW w:w="561" w:type="pct"/>
            <w:tcBorders>
              <w:tl2br w:val="nil"/>
              <w:tr2bl w:val="nil"/>
            </w:tcBorders>
            <w:shd w:val="clear" w:color="auto" w:fill="auto"/>
            <w:vAlign w:val="center"/>
          </w:tcPr>
          <w:p w14:paraId="2EA4EDDF">
            <w:pPr>
              <w:pStyle w:val="128"/>
              <w:spacing w:line="240" w:lineRule="auto"/>
              <w:jc w:val="center"/>
              <w:rPr>
                <w:rFonts w:hint="default" w:ascii="Times New Roman" w:hAnsi="Times New Roman" w:cs="Times New Roman"/>
                <w:color w:val="FF0000"/>
                <w:sz w:val="21"/>
                <w:szCs w:val="21"/>
              </w:rPr>
            </w:pPr>
            <w:r>
              <w:rPr>
                <w:rFonts w:hint="default" w:ascii="Times New Roman" w:hAnsi="Times New Roman" w:cs="Times New Roman"/>
                <w:color w:val="FF0000"/>
                <w:sz w:val="21"/>
                <w:szCs w:val="21"/>
              </w:rPr>
              <w:t>5</w:t>
            </w:r>
            <w:r>
              <w:rPr>
                <w:rFonts w:hint="default" w:ascii="Times New Roman" w:hAnsi="Times New Roman" w:cs="Times New Roman"/>
                <w:color w:val="FF0000"/>
                <w:sz w:val="21"/>
                <w:szCs w:val="21"/>
                <w:lang w:eastAsia="zh-CN"/>
              </w:rPr>
              <w:t>~</w:t>
            </w:r>
            <w:r>
              <w:rPr>
                <w:rFonts w:hint="default" w:ascii="Times New Roman" w:hAnsi="Times New Roman" w:cs="Times New Roman"/>
                <w:color w:val="FF0000"/>
                <w:sz w:val="21"/>
                <w:szCs w:val="21"/>
              </w:rPr>
              <w:t>25</w:t>
            </w:r>
          </w:p>
        </w:tc>
        <w:tc>
          <w:tcPr>
            <w:tcW w:w="500" w:type="pct"/>
            <w:tcBorders>
              <w:tl2br w:val="nil"/>
              <w:tr2bl w:val="nil"/>
            </w:tcBorders>
            <w:shd w:val="clear" w:color="auto" w:fill="auto"/>
            <w:vAlign w:val="center"/>
          </w:tcPr>
          <w:p w14:paraId="7BDE93C3">
            <w:pPr>
              <w:pStyle w:val="128"/>
              <w:spacing w:line="240" w:lineRule="auto"/>
              <w:jc w:val="center"/>
              <w:rPr>
                <w:rFonts w:hint="default" w:ascii="Times New Roman" w:hAnsi="Times New Roman" w:cs="Times New Roman"/>
                <w:color w:val="FF0000"/>
                <w:sz w:val="21"/>
                <w:szCs w:val="21"/>
              </w:rPr>
            </w:pPr>
            <w:r>
              <w:rPr>
                <w:rFonts w:hint="default" w:ascii="Times New Roman" w:hAnsi="Times New Roman" w:cs="Times New Roman"/>
                <w:color w:val="FF0000"/>
                <w:sz w:val="21"/>
                <w:szCs w:val="21"/>
              </w:rPr>
              <w:t>3</w:t>
            </w:r>
            <w:r>
              <w:rPr>
                <w:rFonts w:hint="default" w:ascii="Times New Roman" w:hAnsi="Times New Roman" w:cs="Times New Roman"/>
                <w:color w:val="FF0000"/>
                <w:sz w:val="21"/>
                <w:szCs w:val="21"/>
                <w:lang w:eastAsia="zh-CN"/>
              </w:rPr>
              <w:t>~</w:t>
            </w:r>
            <w:r>
              <w:rPr>
                <w:rFonts w:hint="default" w:ascii="Times New Roman" w:hAnsi="Times New Roman" w:cs="Times New Roman"/>
                <w:color w:val="FF0000"/>
                <w:sz w:val="21"/>
                <w:szCs w:val="21"/>
              </w:rPr>
              <w:t>8</w:t>
            </w:r>
          </w:p>
        </w:tc>
        <w:tc>
          <w:tcPr>
            <w:tcW w:w="524" w:type="pct"/>
            <w:tcBorders>
              <w:tl2br w:val="nil"/>
              <w:tr2bl w:val="nil"/>
            </w:tcBorders>
            <w:shd w:val="clear" w:color="auto" w:fill="auto"/>
            <w:vAlign w:val="center"/>
          </w:tcPr>
          <w:p w14:paraId="32FCC107">
            <w:pPr>
              <w:pStyle w:val="128"/>
              <w:spacing w:line="240" w:lineRule="auto"/>
              <w:jc w:val="center"/>
              <w:rPr>
                <w:rFonts w:hint="default" w:ascii="Times New Roman" w:hAnsi="Times New Roman" w:cs="Times New Roman"/>
                <w:color w:val="FF0000"/>
                <w:sz w:val="21"/>
                <w:szCs w:val="21"/>
              </w:rPr>
            </w:pPr>
            <w:r>
              <w:rPr>
                <w:rFonts w:hint="default" w:ascii="Times New Roman" w:hAnsi="Times New Roman" w:cs="Times New Roman"/>
                <w:color w:val="FF0000"/>
                <w:sz w:val="21"/>
                <w:szCs w:val="21"/>
              </w:rPr>
              <w:t>3</w:t>
            </w:r>
            <w:r>
              <w:rPr>
                <w:rFonts w:hint="default" w:ascii="Times New Roman" w:hAnsi="Times New Roman" w:cs="Times New Roman"/>
                <w:color w:val="FF0000"/>
                <w:sz w:val="21"/>
                <w:szCs w:val="21"/>
                <w:lang w:eastAsia="zh-CN"/>
              </w:rPr>
              <w:t>~</w:t>
            </w:r>
            <w:r>
              <w:rPr>
                <w:rFonts w:hint="default" w:ascii="Times New Roman" w:hAnsi="Times New Roman" w:cs="Times New Roman"/>
                <w:color w:val="FF0000"/>
                <w:sz w:val="21"/>
                <w:szCs w:val="21"/>
              </w:rPr>
              <w:t>25</w:t>
            </w:r>
          </w:p>
        </w:tc>
        <w:tc>
          <w:tcPr>
            <w:tcW w:w="573" w:type="pct"/>
            <w:tcBorders>
              <w:tl2br w:val="nil"/>
              <w:tr2bl w:val="nil"/>
            </w:tcBorders>
            <w:shd w:val="clear" w:color="auto" w:fill="auto"/>
            <w:vAlign w:val="center"/>
          </w:tcPr>
          <w:p w14:paraId="3DF20A24">
            <w:pPr>
              <w:pStyle w:val="128"/>
              <w:spacing w:line="240" w:lineRule="auto"/>
              <w:jc w:val="center"/>
              <w:rPr>
                <w:rFonts w:hint="default" w:ascii="Times New Roman" w:hAnsi="Times New Roman" w:cs="Times New Roman"/>
                <w:color w:val="FF0000"/>
                <w:sz w:val="21"/>
                <w:szCs w:val="21"/>
              </w:rPr>
            </w:pPr>
            <w:r>
              <w:rPr>
                <w:rFonts w:hint="default" w:ascii="Times New Roman" w:hAnsi="Times New Roman" w:cs="Times New Roman"/>
                <w:color w:val="FF0000"/>
                <w:sz w:val="21"/>
                <w:szCs w:val="21"/>
              </w:rPr>
              <w:t>金属</w:t>
            </w:r>
          </w:p>
        </w:tc>
        <w:tc>
          <w:tcPr>
            <w:tcW w:w="1733" w:type="pct"/>
            <w:tcBorders>
              <w:tl2br w:val="nil"/>
              <w:tr2bl w:val="nil"/>
            </w:tcBorders>
            <w:shd w:val="clear" w:color="auto" w:fill="auto"/>
            <w:vAlign w:val="center"/>
          </w:tcPr>
          <w:p w14:paraId="43484442">
            <w:pPr>
              <w:spacing w:line="240" w:lineRule="auto"/>
              <w:jc w:val="center"/>
              <w:rPr>
                <w:rFonts w:hint="default" w:ascii="Times New Roman" w:hAnsi="Times New Roman" w:cs="Times New Roman"/>
                <w:color w:val="FF0000"/>
                <w:sz w:val="21"/>
                <w:szCs w:val="21"/>
              </w:rPr>
            </w:pPr>
            <w:r>
              <w:rPr>
                <w:rFonts w:hint="default" w:ascii="Times New Roman" w:hAnsi="Times New Roman" w:eastAsia="宋体" w:cs="Times New Roman"/>
                <w:color w:val="FF0000"/>
                <w:spacing w:val="-1"/>
                <w:sz w:val="21"/>
                <w:szCs w:val="21"/>
              </w:rPr>
              <w:t>交由具有相应处理能力或经营范围的单位利</w:t>
            </w:r>
            <w:r>
              <w:rPr>
                <w:rFonts w:hint="default" w:ascii="Times New Roman" w:hAnsi="Times New Roman" w:eastAsia="宋体" w:cs="Times New Roman"/>
                <w:color w:val="FF0000"/>
                <w:spacing w:val="-2"/>
                <w:sz w:val="21"/>
                <w:szCs w:val="21"/>
              </w:rPr>
              <w:t>用和处置</w:t>
            </w:r>
          </w:p>
        </w:tc>
      </w:tr>
      <w:tr w14:paraId="601BCD76">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 w:type="dxa"/>
            <w:bottom w:w="0" w:type="dxa"/>
            <w:right w:w="10" w:type="dxa"/>
          </w:tblCellMar>
        </w:tblPrEx>
        <w:trPr>
          <w:trHeight w:val="23" w:hRule="atLeast"/>
          <w:jc w:val="center"/>
        </w:trPr>
        <w:tc>
          <w:tcPr>
            <w:tcW w:w="171" w:type="pct"/>
            <w:tcBorders>
              <w:tl2br w:val="nil"/>
              <w:tr2bl w:val="nil"/>
            </w:tcBorders>
            <w:shd w:val="clear" w:color="auto" w:fill="auto"/>
            <w:vAlign w:val="center"/>
          </w:tcPr>
          <w:p w14:paraId="5F82610E">
            <w:pPr>
              <w:keepNext w:val="0"/>
              <w:keepLines w:val="0"/>
              <w:widowControl/>
              <w:suppressLineNumbers w:val="0"/>
              <w:spacing w:line="240" w:lineRule="auto"/>
              <w:jc w:val="center"/>
              <w:textAlignment w:val="center"/>
              <w:rPr>
                <w:rFonts w:hint="default" w:ascii="Times New Roman" w:hAnsi="Times New Roman" w:cs="Times New Roman"/>
                <w:color w:val="00B0F0"/>
                <w:sz w:val="21"/>
                <w:szCs w:val="21"/>
              </w:rPr>
            </w:pPr>
            <w:r>
              <w:rPr>
                <w:rFonts w:hint="default" w:ascii="Times New Roman" w:hAnsi="Times New Roman" w:eastAsia="宋体" w:cs="Times New Roman"/>
                <w:i w:val="0"/>
                <w:iCs w:val="0"/>
                <w:color w:val="00B0F0"/>
                <w:kern w:val="0"/>
                <w:sz w:val="21"/>
                <w:szCs w:val="21"/>
                <w:u w:val="none"/>
                <w:lang w:val="en-US" w:eastAsia="zh-CN" w:bidi="ar"/>
              </w:rPr>
              <w:t>6</w:t>
            </w:r>
          </w:p>
        </w:tc>
        <w:tc>
          <w:tcPr>
            <w:tcW w:w="447" w:type="pct"/>
            <w:tcBorders>
              <w:tl2br w:val="nil"/>
              <w:tr2bl w:val="nil"/>
            </w:tcBorders>
            <w:shd w:val="clear" w:color="auto" w:fill="auto"/>
            <w:vAlign w:val="center"/>
          </w:tcPr>
          <w:p w14:paraId="23176A13">
            <w:pPr>
              <w:pStyle w:val="128"/>
              <w:spacing w:line="240" w:lineRule="auto"/>
              <w:jc w:val="center"/>
              <w:rPr>
                <w:rFonts w:hint="default" w:ascii="Times New Roman" w:hAnsi="Times New Roman" w:eastAsia="宋体" w:cs="Times New Roman"/>
                <w:color w:val="00B0F0"/>
                <w:kern w:val="2"/>
                <w:sz w:val="21"/>
                <w:szCs w:val="21"/>
                <w:lang w:val="zh-TW" w:eastAsia="zh-TW" w:bidi="zh-TW"/>
              </w:rPr>
            </w:pPr>
            <w:r>
              <w:rPr>
                <w:rFonts w:hint="default" w:ascii="Times New Roman" w:hAnsi="Times New Roman" w:cs="Times New Roman"/>
                <w:color w:val="00B0F0"/>
                <w:sz w:val="21"/>
                <w:szCs w:val="21"/>
              </w:rPr>
              <w:t>油箱与油管</w:t>
            </w:r>
          </w:p>
        </w:tc>
        <w:tc>
          <w:tcPr>
            <w:tcW w:w="488" w:type="pct"/>
            <w:tcBorders>
              <w:tl2br w:val="nil"/>
              <w:tr2bl w:val="nil"/>
            </w:tcBorders>
            <w:shd w:val="clear" w:color="auto" w:fill="auto"/>
            <w:vAlign w:val="center"/>
          </w:tcPr>
          <w:p w14:paraId="1001A973">
            <w:pPr>
              <w:pStyle w:val="128"/>
              <w:spacing w:line="240" w:lineRule="auto"/>
              <w:jc w:val="center"/>
              <w:rPr>
                <w:rFonts w:hint="default" w:ascii="Times New Roman" w:hAnsi="Times New Roman" w:cs="Times New Roman"/>
                <w:color w:val="00B0F0"/>
                <w:sz w:val="21"/>
                <w:szCs w:val="21"/>
              </w:rPr>
            </w:pPr>
            <w:r>
              <w:rPr>
                <w:rFonts w:hint="default" w:ascii="Times New Roman" w:hAnsi="Times New Roman" w:cs="Times New Roman"/>
                <w:color w:val="00B0F0"/>
                <w:sz w:val="21"/>
                <w:szCs w:val="21"/>
              </w:rPr>
              <w:t>1</w:t>
            </w:r>
            <w:r>
              <w:rPr>
                <w:rFonts w:hint="default" w:ascii="Times New Roman" w:hAnsi="Times New Roman" w:cs="Times New Roman"/>
                <w:color w:val="00B0F0"/>
                <w:sz w:val="21"/>
                <w:szCs w:val="21"/>
                <w:lang w:eastAsia="zh-CN"/>
              </w:rPr>
              <w:t>~</w:t>
            </w:r>
            <w:r>
              <w:rPr>
                <w:rFonts w:hint="default" w:ascii="Times New Roman" w:hAnsi="Times New Roman" w:cs="Times New Roman"/>
                <w:color w:val="00B0F0"/>
                <w:sz w:val="21"/>
                <w:szCs w:val="21"/>
              </w:rPr>
              <w:t>3</w:t>
            </w:r>
          </w:p>
        </w:tc>
        <w:tc>
          <w:tcPr>
            <w:tcW w:w="561" w:type="pct"/>
            <w:tcBorders>
              <w:tl2br w:val="nil"/>
              <w:tr2bl w:val="nil"/>
            </w:tcBorders>
            <w:shd w:val="clear" w:color="auto" w:fill="auto"/>
            <w:vAlign w:val="center"/>
          </w:tcPr>
          <w:p w14:paraId="62A0656F">
            <w:pPr>
              <w:pStyle w:val="128"/>
              <w:spacing w:line="240" w:lineRule="auto"/>
              <w:jc w:val="center"/>
              <w:rPr>
                <w:rFonts w:hint="default" w:ascii="Times New Roman" w:hAnsi="Times New Roman" w:cs="Times New Roman"/>
                <w:color w:val="00B0F0"/>
                <w:sz w:val="21"/>
                <w:szCs w:val="21"/>
              </w:rPr>
            </w:pPr>
            <w:r>
              <w:rPr>
                <w:rFonts w:hint="default" w:ascii="Times New Roman" w:hAnsi="Times New Roman" w:cs="Times New Roman"/>
                <w:color w:val="00B0F0"/>
                <w:sz w:val="21"/>
                <w:szCs w:val="21"/>
              </w:rPr>
              <w:t>4</w:t>
            </w:r>
            <w:r>
              <w:rPr>
                <w:rFonts w:hint="default" w:ascii="Times New Roman" w:hAnsi="Times New Roman" w:cs="Times New Roman"/>
                <w:color w:val="00B0F0"/>
                <w:sz w:val="21"/>
                <w:szCs w:val="21"/>
                <w:lang w:eastAsia="zh-CN"/>
              </w:rPr>
              <w:t>~</w:t>
            </w:r>
            <w:r>
              <w:rPr>
                <w:rFonts w:hint="default" w:ascii="Times New Roman" w:hAnsi="Times New Roman" w:cs="Times New Roman"/>
                <w:color w:val="00B0F0"/>
                <w:sz w:val="21"/>
                <w:szCs w:val="21"/>
              </w:rPr>
              <w:t>8</w:t>
            </w:r>
          </w:p>
        </w:tc>
        <w:tc>
          <w:tcPr>
            <w:tcW w:w="500" w:type="pct"/>
            <w:tcBorders>
              <w:tl2br w:val="nil"/>
              <w:tr2bl w:val="nil"/>
            </w:tcBorders>
            <w:shd w:val="clear" w:color="auto" w:fill="auto"/>
            <w:vAlign w:val="center"/>
          </w:tcPr>
          <w:p w14:paraId="74D2F6F0">
            <w:pPr>
              <w:pStyle w:val="128"/>
              <w:spacing w:line="240" w:lineRule="auto"/>
              <w:jc w:val="center"/>
              <w:rPr>
                <w:rFonts w:hint="default" w:ascii="Times New Roman" w:hAnsi="Times New Roman" w:cs="Times New Roman"/>
                <w:color w:val="00B0F0"/>
                <w:sz w:val="21"/>
                <w:szCs w:val="21"/>
              </w:rPr>
            </w:pPr>
            <w:r>
              <w:rPr>
                <w:rFonts w:hint="default" w:ascii="Times New Roman" w:hAnsi="Times New Roman" w:cs="Times New Roman"/>
                <w:color w:val="00B0F0"/>
                <w:sz w:val="21"/>
                <w:szCs w:val="21"/>
              </w:rPr>
              <w:t xml:space="preserve">10 </w:t>
            </w:r>
            <w:r>
              <w:rPr>
                <w:rFonts w:hint="default" w:ascii="Times New Roman" w:hAnsi="Times New Roman" w:cs="Times New Roman"/>
                <w:color w:val="00B0F0"/>
                <w:sz w:val="21"/>
                <w:szCs w:val="21"/>
                <w:lang w:eastAsia="zh-CN"/>
              </w:rPr>
              <w:t>~</w:t>
            </w:r>
            <w:r>
              <w:rPr>
                <w:rFonts w:hint="default" w:ascii="Times New Roman" w:hAnsi="Times New Roman" w:cs="Times New Roman"/>
                <w:color w:val="00B0F0"/>
                <w:sz w:val="21"/>
                <w:szCs w:val="21"/>
              </w:rPr>
              <w:t>20</w:t>
            </w:r>
          </w:p>
        </w:tc>
        <w:tc>
          <w:tcPr>
            <w:tcW w:w="524" w:type="pct"/>
            <w:tcBorders>
              <w:tl2br w:val="nil"/>
              <w:tr2bl w:val="nil"/>
            </w:tcBorders>
            <w:shd w:val="clear" w:color="auto" w:fill="auto"/>
            <w:vAlign w:val="center"/>
          </w:tcPr>
          <w:p w14:paraId="11CF1A4B">
            <w:pPr>
              <w:pStyle w:val="128"/>
              <w:spacing w:line="240" w:lineRule="auto"/>
              <w:jc w:val="center"/>
              <w:rPr>
                <w:rFonts w:hint="default" w:ascii="Times New Roman" w:hAnsi="Times New Roman" w:cs="Times New Roman"/>
                <w:color w:val="00B0F0"/>
                <w:sz w:val="21"/>
                <w:szCs w:val="21"/>
              </w:rPr>
            </w:pPr>
            <w:r>
              <w:rPr>
                <w:rFonts w:hint="default" w:ascii="Times New Roman" w:hAnsi="Times New Roman" w:cs="Times New Roman"/>
                <w:color w:val="00B0F0"/>
                <w:sz w:val="21"/>
                <w:szCs w:val="21"/>
              </w:rPr>
              <w:t>3</w:t>
            </w:r>
            <w:r>
              <w:rPr>
                <w:rFonts w:hint="default" w:ascii="Times New Roman" w:hAnsi="Times New Roman" w:cs="Times New Roman"/>
                <w:color w:val="00B0F0"/>
                <w:sz w:val="21"/>
                <w:szCs w:val="21"/>
                <w:lang w:eastAsia="zh-CN"/>
              </w:rPr>
              <w:t>~</w:t>
            </w:r>
            <w:r>
              <w:rPr>
                <w:rFonts w:hint="default" w:ascii="Times New Roman" w:hAnsi="Times New Roman" w:cs="Times New Roman"/>
                <w:color w:val="00B0F0"/>
                <w:sz w:val="21"/>
                <w:szCs w:val="21"/>
              </w:rPr>
              <w:t>20</w:t>
            </w:r>
          </w:p>
        </w:tc>
        <w:tc>
          <w:tcPr>
            <w:tcW w:w="573" w:type="pct"/>
            <w:tcBorders>
              <w:tl2br w:val="nil"/>
              <w:tr2bl w:val="nil"/>
            </w:tcBorders>
            <w:shd w:val="clear" w:color="auto" w:fill="auto"/>
            <w:vAlign w:val="center"/>
          </w:tcPr>
          <w:p w14:paraId="13395673">
            <w:pPr>
              <w:pStyle w:val="128"/>
              <w:spacing w:line="240" w:lineRule="auto"/>
              <w:jc w:val="center"/>
              <w:rPr>
                <w:rFonts w:hint="default" w:ascii="Times New Roman" w:hAnsi="Times New Roman" w:cs="Times New Roman"/>
                <w:color w:val="00B0F0"/>
                <w:sz w:val="21"/>
                <w:szCs w:val="21"/>
              </w:rPr>
            </w:pPr>
            <w:r>
              <w:rPr>
                <w:rFonts w:hint="default" w:ascii="Times New Roman" w:hAnsi="Times New Roman" w:cs="Times New Roman"/>
                <w:color w:val="00B0F0"/>
                <w:sz w:val="21"/>
                <w:szCs w:val="21"/>
              </w:rPr>
              <w:t>铝合金、工程塑料</w:t>
            </w:r>
          </w:p>
        </w:tc>
        <w:tc>
          <w:tcPr>
            <w:tcW w:w="1733" w:type="pct"/>
            <w:tcBorders>
              <w:tl2br w:val="nil"/>
              <w:tr2bl w:val="nil"/>
            </w:tcBorders>
            <w:shd w:val="clear" w:color="auto" w:fill="auto"/>
            <w:vAlign w:val="center"/>
          </w:tcPr>
          <w:p w14:paraId="48464A9B">
            <w:pPr>
              <w:spacing w:line="240" w:lineRule="auto"/>
              <w:jc w:val="center"/>
              <w:rPr>
                <w:rFonts w:hint="default" w:ascii="Times New Roman" w:hAnsi="Times New Roman" w:cs="Times New Roman"/>
                <w:color w:val="00B0F0"/>
                <w:sz w:val="21"/>
                <w:szCs w:val="21"/>
              </w:rPr>
            </w:pPr>
            <w:r>
              <w:rPr>
                <w:rFonts w:hint="default" w:ascii="Times New Roman" w:hAnsi="Times New Roman" w:eastAsia="宋体" w:cs="Times New Roman"/>
                <w:color w:val="00B0F0"/>
                <w:spacing w:val="-1"/>
                <w:sz w:val="21"/>
                <w:szCs w:val="21"/>
              </w:rPr>
              <w:t>交由具有相应处理能力或经营范围的单位利</w:t>
            </w:r>
            <w:r>
              <w:rPr>
                <w:rFonts w:hint="default" w:ascii="Times New Roman" w:hAnsi="Times New Roman" w:eastAsia="宋体" w:cs="Times New Roman"/>
                <w:color w:val="00B0F0"/>
                <w:spacing w:val="-2"/>
                <w:sz w:val="21"/>
                <w:szCs w:val="21"/>
              </w:rPr>
              <w:t>用和处置</w:t>
            </w:r>
          </w:p>
        </w:tc>
      </w:tr>
      <w:tr w14:paraId="7D492D1B">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 w:type="dxa"/>
            <w:bottom w:w="0" w:type="dxa"/>
            <w:right w:w="10" w:type="dxa"/>
          </w:tblCellMar>
        </w:tblPrEx>
        <w:trPr>
          <w:trHeight w:val="23" w:hRule="atLeast"/>
          <w:jc w:val="center"/>
        </w:trPr>
        <w:tc>
          <w:tcPr>
            <w:tcW w:w="171" w:type="pct"/>
            <w:tcBorders>
              <w:tl2br w:val="nil"/>
              <w:tr2bl w:val="nil"/>
            </w:tcBorders>
            <w:shd w:val="clear" w:color="auto" w:fill="auto"/>
            <w:vAlign w:val="center"/>
          </w:tcPr>
          <w:p w14:paraId="7A85D178">
            <w:pPr>
              <w:keepNext w:val="0"/>
              <w:keepLines w:val="0"/>
              <w:widowControl/>
              <w:suppressLineNumbers w:val="0"/>
              <w:spacing w:line="240" w:lineRule="auto"/>
              <w:jc w:val="center"/>
              <w:textAlignment w:val="center"/>
              <w:rPr>
                <w:rFonts w:hint="default" w:ascii="Times New Roman" w:hAnsi="Times New Roman" w:cs="Times New Roman"/>
                <w:color w:val="FF0000"/>
                <w:sz w:val="21"/>
                <w:szCs w:val="21"/>
              </w:rPr>
            </w:pPr>
            <w:r>
              <w:rPr>
                <w:rFonts w:hint="default" w:ascii="Times New Roman" w:hAnsi="Times New Roman" w:eastAsia="宋体" w:cs="Times New Roman"/>
                <w:i w:val="0"/>
                <w:iCs w:val="0"/>
                <w:color w:val="FF0000"/>
                <w:kern w:val="0"/>
                <w:sz w:val="21"/>
                <w:szCs w:val="21"/>
                <w:u w:val="none"/>
                <w:lang w:val="en-US" w:eastAsia="zh-CN" w:bidi="ar"/>
              </w:rPr>
              <w:t>7</w:t>
            </w:r>
          </w:p>
        </w:tc>
        <w:tc>
          <w:tcPr>
            <w:tcW w:w="447" w:type="pct"/>
            <w:tcBorders>
              <w:tl2br w:val="nil"/>
              <w:tr2bl w:val="nil"/>
            </w:tcBorders>
            <w:shd w:val="clear" w:color="auto" w:fill="auto"/>
            <w:vAlign w:val="center"/>
          </w:tcPr>
          <w:p w14:paraId="534F359E">
            <w:pPr>
              <w:pStyle w:val="128"/>
              <w:spacing w:line="240" w:lineRule="auto"/>
              <w:jc w:val="center"/>
              <w:rPr>
                <w:rFonts w:hint="default" w:ascii="Times New Roman" w:hAnsi="Times New Roman" w:eastAsia="宋体" w:cs="Times New Roman"/>
                <w:color w:val="FF0000"/>
                <w:kern w:val="2"/>
                <w:sz w:val="21"/>
                <w:szCs w:val="21"/>
                <w:lang w:val="zh-TW" w:eastAsia="zh-TW" w:bidi="zh-TW"/>
              </w:rPr>
            </w:pPr>
            <w:r>
              <w:rPr>
                <w:rFonts w:hint="default" w:ascii="Times New Roman" w:hAnsi="Times New Roman" w:cs="Times New Roman"/>
                <w:color w:val="FF0000"/>
                <w:sz w:val="21"/>
                <w:szCs w:val="21"/>
              </w:rPr>
              <w:t>前后保险杠</w:t>
            </w:r>
          </w:p>
        </w:tc>
        <w:tc>
          <w:tcPr>
            <w:tcW w:w="488" w:type="pct"/>
            <w:tcBorders>
              <w:tl2br w:val="nil"/>
              <w:tr2bl w:val="nil"/>
            </w:tcBorders>
            <w:shd w:val="clear" w:color="auto" w:fill="auto"/>
            <w:vAlign w:val="center"/>
          </w:tcPr>
          <w:p w14:paraId="634943EC">
            <w:pPr>
              <w:pStyle w:val="128"/>
              <w:spacing w:line="240" w:lineRule="auto"/>
              <w:jc w:val="center"/>
              <w:rPr>
                <w:rFonts w:hint="default" w:ascii="Times New Roman" w:hAnsi="Times New Roman" w:cs="Times New Roman"/>
                <w:color w:val="FF0000"/>
                <w:sz w:val="21"/>
                <w:szCs w:val="21"/>
              </w:rPr>
            </w:pPr>
            <w:r>
              <w:rPr>
                <w:rFonts w:hint="default" w:ascii="Times New Roman" w:hAnsi="Times New Roman" w:cs="Times New Roman"/>
                <w:color w:val="FF0000"/>
                <w:sz w:val="21"/>
                <w:szCs w:val="21"/>
              </w:rPr>
              <w:t>8</w:t>
            </w:r>
            <w:r>
              <w:rPr>
                <w:rFonts w:hint="default" w:ascii="Times New Roman" w:hAnsi="Times New Roman" w:cs="Times New Roman"/>
                <w:color w:val="FF0000"/>
                <w:sz w:val="21"/>
                <w:szCs w:val="21"/>
                <w:lang w:eastAsia="zh-CN"/>
              </w:rPr>
              <w:t>~</w:t>
            </w:r>
            <w:r>
              <w:rPr>
                <w:rFonts w:hint="default" w:ascii="Times New Roman" w:hAnsi="Times New Roman" w:cs="Times New Roman"/>
                <w:color w:val="FF0000"/>
                <w:sz w:val="21"/>
                <w:szCs w:val="21"/>
              </w:rPr>
              <w:t>20</w:t>
            </w:r>
          </w:p>
        </w:tc>
        <w:tc>
          <w:tcPr>
            <w:tcW w:w="561" w:type="pct"/>
            <w:tcBorders>
              <w:tl2br w:val="nil"/>
              <w:tr2bl w:val="nil"/>
            </w:tcBorders>
            <w:shd w:val="clear" w:color="auto" w:fill="auto"/>
            <w:vAlign w:val="center"/>
          </w:tcPr>
          <w:p w14:paraId="77812526">
            <w:pPr>
              <w:pStyle w:val="128"/>
              <w:spacing w:line="240" w:lineRule="auto"/>
              <w:jc w:val="center"/>
              <w:rPr>
                <w:rFonts w:hint="default" w:ascii="Times New Roman" w:hAnsi="Times New Roman" w:cs="Times New Roman"/>
                <w:color w:val="FF0000"/>
                <w:sz w:val="21"/>
                <w:szCs w:val="21"/>
              </w:rPr>
            </w:pPr>
            <w:r>
              <w:rPr>
                <w:rFonts w:hint="default" w:ascii="Times New Roman" w:hAnsi="Times New Roman" w:cs="Times New Roman"/>
                <w:color w:val="FF0000"/>
                <w:sz w:val="21"/>
                <w:szCs w:val="21"/>
              </w:rPr>
              <w:t>10</w:t>
            </w:r>
            <w:r>
              <w:rPr>
                <w:rFonts w:hint="default" w:ascii="Times New Roman" w:hAnsi="Times New Roman" w:cs="Times New Roman"/>
                <w:color w:val="FF0000"/>
                <w:sz w:val="21"/>
                <w:szCs w:val="21"/>
                <w:lang w:eastAsia="zh-CN"/>
              </w:rPr>
              <w:t>~</w:t>
            </w:r>
            <w:r>
              <w:rPr>
                <w:rFonts w:hint="default" w:ascii="Times New Roman" w:hAnsi="Times New Roman" w:cs="Times New Roman"/>
                <w:color w:val="FF0000"/>
                <w:sz w:val="21"/>
                <w:szCs w:val="21"/>
              </w:rPr>
              <w:t>25</w:t>
            </w:r>
          </w:p>
        </w:tc>
        <w:tc>
          <w:tcPr>
            <w:tcW w:w="500" w:type="pct"/>
            <w:tcBorders>
              <w:tl2br w:val="nil"/>
              <w:tr2bl w:val="nil"/>
            </w:tcBorders>
            <w:shd w:val="clear" w:color="auto" w:fill="auto"/>
            <w:vAlign w:val="center"/>
          </w:tcPr>
          <w:p w14:paraId="66A4F5C0">
            <w:pPr>
              <w:pStyle w:val="128"/>
              <w:spacing w:line="240" w:lineRule="auto"/>
              <w:jc w:val="center"/>
              <w:rPr>
                <w:rFonts w:hint="default" w:ascii="Times New Roman" w:hAnsi="Times New Roman" w:cs="Times New Roman"/>
                <w:color w:val="FF0000"/>
                <w:sz w:val="21"/>
                <w:szCs w:val="21"/>
              </w:rPr>
            </w:pPr>
            <w:r>
              <w:rPr>
                <w:rFonts w:hint="default" w:ascii="Times New Roman" w:hAnsi="Times New Roman" w:cs="Times New Roman"/>
                <w:color w:val="FF0000"/>
                <w:sz w:val="21"/>
                <w:szCs w:val="21"/>
              </w:rPr>
              <w:t>5</w:t>
            </w:r>
            <w:r>
              <w:rPr>
                <w:rFonts w:hint="default" w:ascii="Times New Roman" w:hAnsi="Times New Roman" w:cs="Times New Roman"/>
                <w:color w:val="FF0000"/>
                <w:sz w:val="21"/>
                <w:szCs w:val="21"/>
                <w:lang w:eastAsia="zh-CN"/>
              </w:rPr>
              <w:t>~</w:t>
            </w:r>
            <w:r>
              <w:rPr>
                <w:rFonts w:hint="default" w:ascii="Times New Roman" w:hAnsi="Times New Roman" w:cs="Times New Roman"/>
                <w:color w:val="FF0000"/>
                <w:sz w:val="21"/>
                <w:szCs w:val="21"/>
              </w:rPr>
              <w:t>15</w:t>
            </w:r>
          </w:p>
        </w:tc>
        <w:tc>
          <w:tcPr>
            <w:tcW w:w="524" w:type="pct"/>
            <w:tcBorders>
              <w:tl2br w:val="nil"/>
              <w:tr2bl w:val="nil"/>
            </w:tcBorders>
            <w:shd w:val="clear" w:color="auto" w:fill="auto"/>
            <w:vAlign w:val="center"/>
          </w:tcPr>
          <w:p w14:paraId="0A25E45D">
            <w:pPr>
              <w:pStyle w:val="128"/>
              <w:spacing w:line="240" w:lineRule="auto"/>
              <w:jc w:val="center"/>
              <w:rPr>
                <w:rFonts w:hint="default" w:ascii="Times New Roman" w:hAnsi="Times New Roman" w:cs="Times New Roman"/>
                <w:color w:val="FF0000"/>
                <w:sz w:val="21"/>
                <w:szCs w:val="21"/>
              </w:rPr>
            </w:pPr>
            <w:r>
              <w:rPr>
                <w:rFonts w:hint="default" w:ascii="Times New Roman" w:hAnsi="Times New Roman" w:cs="Times New Roman"/>
                <w:color w:val="FF0000"/>
                <w:sz w:val="21"/>
                <w:szCs w:val="21"/>
              </w:rPr>
              <w:t>5</w:t>
            </w:r>
            <w:r>
              <w:rPr>
                <w:rFonts w:hint="default" w:ascii="Times New Roman" w:hAnsi="Times New Roman" w:cs="Times New Roman"/>
                <w:color w:val="FF0000"/>
                <w:sz w:val="21"/>
                <w:szCs w:val="21"/>
                <w:lang w:eastAsia="zh-CN"/>
              </w:rPr>
              <w:t>~</w:t>
            </w:r>
            <w:r>
              <w:rPr>
                <w:rFonts w:hint="default" w:ascii="Times New Roman" w:hAnsi="Times New Roman" w:cs="Times New Roman"/>
                <w:color w:val="FF0000"/>
                <w:sz w:val="21"/>
                <w:szCs w:val="21"/>
              </w:rPr>
              <w:t>25</w:t>
            </w:r>
          </w:p>
        </w:tc>
        <w:tc>
          <w:tcPr>
            <w:tcW w:w="573" w:type="pct"/>
            <w:tcBorders>
              <w:tl2br w:val="nil"/>
              <w:tr2bl w:val="nil"/>
            </w:tcBorders>
            <w:shd w:val="clear" w:color="auto" w:fill="auto"/>
            <w:vAlign w:val="center"/>
          </w:tcPr>
          <w:p w14:paraId="4BA4D464">
            <w:pPr>
              <w:pStyle w:val="128"/>
              <w:spacing w:line="240" w:lineRule="auto"/>
              <w:jc w:val="center"/>
              <w:rPr>
                <w:rFonts w:hint="default" w:ascii="Times New Roman" w:hAnsi="Times New Roman" w:cs="Times New Roman"/>
                <w:color w:val="FF0000"/>
                <w:sz w:val="21"/>
                <w:szCs w:val="21"/>
              </w:rPr>
            </w:pPr>
            <w:r>
              <w:rPr>
                <w:rFonts w:hint="default" w:ascii="Times New Roman" w:hAnsi="Times New Roman" w:cs="Times New Roman"/>
                <w:color w:val="FF0000"/>
                <w:sz w:val="21"/>
                <w:szCs w:val="21"/>
              </w:rPr>
              <w:t>塑料、金属</w:t>
            </w:r>
          </w:p>
        </w:tc>
        <w:tc>
          <w:tcPr>
            <w:tcW w:w="1733" w:type="pct"/>
            <w:tcBorders>
              <w:tl2br w:val="nil"/>
              <w:tr2bl w:val="nil"/>
            </w:tcBorders>
            <w:shd w:val="clear" w:color="auto" w:fill="auto"/>
            <w:vAlign w:val="center"/>
          </w:tcPr>
          <w:p w14:paraId="4370C51E">
            <w:pPr>
              <w:spacing w:line="240" w:lineRule="auto"/>
              <w:jc w:val="center"/>
              <w:rPr>
                <w:rFonts w:hint="default" w:ascii="Times New Roman" w:hAnsi="Times New Roman" w:cs="Times New Roman"/>
                <w:color w:val="FF0000"/>
                <w:sz w:val="21"/>
                <w:szCs w:val="21"/>
              </w:rPr>
            </w:pPr>
            <w:r>
              <w:rPr>
                <w:rFonts w:hint="default" w:ascii="Times New Roman" w:hAnsi="Times New Roman" w:eastAsia="宋体" w:cs="Times New Roman"/>
                <w:color w:val="FF0000"/>
                <w:spacing w:val="-1"/>
                <w:sz w:val="21"/>
                <w:szCs w:val="21"/>
              </w:rPr>
              <w:t>交由具有相应处理能力或经营范围的单位利</w:t>
            </w:r>
            <w:r>
              <w:rPr>
                <w:rFonts w:hint="default" w:ascii="Times New Roman" w:hAnsi="Times New Roman" w:eastAsia="宋体" w:cs="Times New Roman"/>
                <w:color w:val="FF0000"/>
                <w:spacing w:val="-2"/>
                <w:sz w:val="21"/>
                <w:szCs w:val="21"/>
              </w:rPr>
              <w:t>用和处置</w:t>
            </w:r>
          </w:p>
        </w:tc>
      </w:tr>
      <w:tr w14:paraId="7A85FA70">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 w:type="dxa"/>
            <w:bottom w:w="0" w:type="dxa"/>
            <w:right w:w="10" w:type="dxa"/>
          </w:tblCellMar>
        </w:tblPrEx>
        <w:trPr>
          <w:trHeight w:val="23" w:hRule="atLeast"/>
          <w:jc w:val="center"/>
        </w:trPr>
        <w:tc>
          <w:tcPr>
            <w:tcW w:w="171" w:type="pct"/>
            <w:tcBorders>
              <w:tl2br w:val="nil"/>
              <w:tr2bl w:val="nil"/>
            </w:tcBorders>
            <w:shd w:val="clear" w:color="auto" w:fill="auto"/>
            <w:vAlign w:val="center"/>
          </w:tcPr>
          <w:p w14:paraId="023FB51E">
            <w:pPr>
              <w:keepNext w:val="0"/>
              <w:keepLines w:val="0"/>
              <w:widowControl/>
              <w:suppressLineNumbers w:val="0"/>
              <w:spacing w:line="240" w:lineRule="auto"/>
              <w:jc w:val="center"/>
              <w:textAlignment w:val="center"/>
              <w:rPr>
                <w:rFonts w:hint="default" w:ascii="Times New Roman" w:hAnsi="Times New Roman" w:cs="Times New Roman"/>
                <w:color w:val="FF0000"/>
                <w:sz w:val="21"/>
                <w:szCs w:val="21"/>
              </w:rPr>
            </w:pPr>
            <w:r>
              <w:rPr>
                <w:rFonts w:hint="default" w:ascii="Times New Roman" w:hAnsi="Times New Roman" w:eastAsia="宋体" w:cs="Times New Roman"/>
                <w:i w:val="0"/>
                <w:iCs w:val="0"/>
                <w:color w:val="FF0000"/>
                <w:kern w:val="0"/>
                <w:sz w:val="21"/>
                <w:szCs w:val="21"/>
                <w:u w:val="none"/>
                <w:lang w:val="en-US" w:eastAsia="zh-CN" w:bidi="ar"/>
              </w:rPr>
              <w:t>8</w:t>
            </w:r>
          </w:p>
        </w:tc>
        <w:tc>
          <w:tcPr>
            <w:tcW w:w="447" w:type="pct"/>
            <w:tcBorders>
              <w:tl2br w:val="nil"/>
              <w:tr2bl w:val="nil"/>
            </w:tcBorders>
            <w:shd w:val="clear" w:color="auto" w:fill="auto"/>
            <w:vAlign w:val="center"/>
          </w:tcPr>
          <w:p w14:paraId="6D234A00">
            <w:pPr>
              <w:pStyle w:val="128"/>
              <w:spacing w:line="240" w:lineRule="auto"/>
              <w:jc w:val="center"/>
              <w:rPr>
                <w:rFonts w:hint="default" w:ascii="Times New Roman" w:hAnsi="Times New Roman" w:eastAsia="宋体" w:cs="Times New Roman"/>
                <w:color w:val="FF0000"/>
                <w:kern w:val="2"/>
                <w:sz w:val="21"/>
                <w:szCs w:val="21"/>
                <w:lang w:val="zh-TW" w:eastAsia="zh-TW" w:bidi="zh-TW"/>
              </w:rPr>
            </w:pPr>
            <w:r>
              <w:rPr>
                <w:rFonts w:hint="default" w:ascii="Times New Roman" w:hAnsi="Times New Roman" w:cs="Times New Roman"/>
                <w:color w:val="FF0000"/>
                <w:sz w:val="21"/>
                <w:szCs w:val="21"/>
              </w:rPr>
              <w:t>车门</w:t>
            </w:r>
          </w:p>
        </w:tc>
        <w:tc>
          <w:tcPr>
            <w:tcW w:w="488" w:type="pct"/>
            <w:tcBorders>
              <w:tl2br w:val="nil"/>
              <w:tr2bl w:val="nil"/>
            </w:tcBorders>
            <w:shd w:val="clear" w:color="auto" w:fill="auto"/>
            <w:vAlign w:val="center"/>
          </w:tcPr>
          <w:p w14:paraId="1CE3F577">
            <w:pPr>
              <w:pStyle w:val="128"/>
              <w:spacing w:line="240" w:lineRule="auto"/>
              <w:jc w:val="center"/>
              <w:rPr>
                <w:rFonts w:hint="default" w:ascii="Times New Roman" w:hAnsi="Times New Roman" w:cs="Times New Roman"/>
                <w:color w:val="FF0000"/>
                <w:sz w:val="21"/>
                <w:szCs w:val="21"/>
              </w:rPr>
            </w:pPr>
            <w:r>
              <w:rPr>
                <w:rFonts w:hint="default" w:ascii="Times New Roman" w:hAnsi="Times New Roman" w:cs="Times New Roman"/>
                <w:color w:val="FF0000"/>
                <w:sz w:val="21"/>
                <w:szCs w:val="21"/>
              </w:rPr>
              <w:t>60</w:t>
            </w:r>
            <w:r>
              <w:rPr>
                <w:rFonts w:hint="default" w:ascii="Times New Roman" w:hAnsi="Times New Roman" w:cs="Times New Roman"/>
                <w:color w:val="FF0000"/>
                <w:sz w:val="21"/>
                <w:szCs w:val="21"/>
                <w:lang w:eastAsia="zh-CN"/>
              </w:rPr>
              <w:t>~</w:t>
            </w:r>
            <w:r>
              <w:rPr>
                <w:rFonts w:hint="default" w:ascii="Times New Roman" w:hAnsi="Times New Roman" w:cs="Times New Roman"/>
                <w:color w:val="FF0000"/>
                <w:sz w:val="21"/>
                <w:szCs w:val="21"/>
              </w:rPr>
              <w:t>120</w:t>
            </w:r>
          </w:p>
        </w:tc>
        <w:tc>
          <w:tcPr>
            <w:tcW w:w="561" w:type="pct"/>
            <w:tcBorders>
              <w:tl2br w:val="nil"/>
              <w:tr2bl w:val="nil"/>
            </w:tcBorders>
            <w:shd w:val="clear" w:color="auto" w:fill="auto"/>
            <w:vAlign w:val="center"/>
          </w:tcPr>
          <w:p w14:paraId="10B53656">
            <w:pPr>
              <w:pStyle w:val="128"/>
              <w:spacing w:line="240" w:lineRule="auto"/>
              <w:jc w:val="center"/>
              <w:rPr>
                <w:rFonts w:hint="default" w:ascii="Times New Roman" w:hAnsi="Times New Roman" w:cs="Times New Roman"/>
                <w:color w:val="FF0000"/>
                <w:sz w:val="21"/>
                <w:szCs w:val="21"/>
              </w:rPr>
            </w:pPr>
            <w:r>
              <w:rPr>
                <w:rFonts w:hint="default" w:ascii="Times New Roman" w:hAnsi="Times New Roman" w:cs="Times New Roman"/>
                <w:color w:val="FF0000"/>
                <w:sz w:val="21"/>
                <w:szCs w:val="21"/>
              </w:rPr>
              <w:t>100</w:t>
            </w:r>
            <w:r>
              <w:rPr>
                <w:rFonts w:hint="default" w:ascii="Times New Roman" w:hAnsi="Times New Roman" w:cs="Times New Roman"/>
                <w:color w:val="FF0000"/>
                <w:sz w:val="21"/>
                <w:szCs w:val="21"/>
                <w:lang w:eastAsia="zh-CN"/>
              </w:rPr>
              <w:t>~</w:t>
            </w:r>
            <w:r>
              <w:rPr>
                <w:rFonts w:hint="default" w:ascii="Times New Roman" w:hAnsi="Times New Roman" w:cs="Times New Roman"/>
                <w:color w:val="FF0000"/>
                <w:sz w:val="21"/>
                <w:szCs w:val="21"/>
              </w:rPr>
              <w:t>300</w:t>
            </w:r>
          </w:p>
        </w:tc>
        <w:tc>
          <w:tcPr>
            <w:tcW w:w="500" w:type="pct"/>
            <w:tcBorders>
              <w:tl2br w:val="nil"/>
              <w:tr2bl w:val="nil"/>
            </w:tcBorders>
            <w:shd w:val="clear" w:color="auto" w:fill="auto"/>
            <w:vAlign w:val="center"/>
          </w:tcPr>
          <w:p w14:paraId="3A1C9C15">
            <w:pPr>
              <w:pStyle w:val="128"/>
              <w:spacing w:line="240" w:lineRule="auto"/>
              <w:jc w:val="center"/>
              <w:rPr>
                <w:rFonts w:hint="default" w:ascii="Times New Roman" w:hAnsi="Times New Roman" w:cs="Times New Roman"/>
                <w:color w:val="FF0000"/>
                <w:sz w:val="21"/>
                <w:szCs w:val="21"/>
              </w:rPr>
            </w:pPr>
            <w:r>
              <w:rPr>
                <w:rFonts w:hint="default" w:ascii="Times New Roman" w:hAnsi="Times New Roman" w:cs="Times New Roman"/>
                <w:color w:val="FF0000"/>
                <w:sz w:val="21"/>
                <w:szCs w:val="21"/>
              </w:rPr>
              <w:t>30</w:t>
            </w:r>
            <w:r>
              <w:rPr>
                <w:rFonts w:hint="default" w:ascii="Times New Roman" w:hAnsi="Times New Roman" w:cs="Times New Roman"/>
                <w:color w:val="FF0000"/>
                <w:sz w:val="21"/>
                <w:szCs w:val="21"/>
                <w:lang w:eastAsia="zh-CN"/>
              </w:rPr>
              <w:t>~</w:t>
            </w:r>
            <w:r>
              <w:rPr>
                <w:rFonts w:hint="default" w:ascii="Times New Roman" w:hAnsi="Times New Roman" w:cs="Times New Roman"/>
                <w:color w:val="FF0000"/>
                <w:sz w:val="21"/>
                <w:szCs w:val="21"/>
              </w:rPr>
              <w:t>60</w:t>
            </w:r>
          </w:p>
        </w:tc>
        <w:tc>
          <w:tcPr>
            <w:tcW w:w="524" w:type="pct"/>
            <w:tcBorders>
              <w:tl2br w:val="nil"/>
              <w:tr2bl w:val="nil"/>
            </w:tcBorders>
            <w:shd w:val="clear" w:color="auto" w:fill="auto"/>
            <w:vAlign w:val="center"/>
          </w:tcPr>
          <w:p w14:paraId="2B231303">
            <w:pPr>
              <w:pStyle w:val="128"/>
              <w:spacing w:line="240" w:lineRule="auto"/>
              <w:jc w:val="center"/>
              <w:rPr>
                <w:rFonts w:hint="default" w:ascii="Times New Roman" w:hAnsi="Times New Roman" w:cs="Times New Roman"/>
                <w:color w:val="FF0000"/>
                <w:sz w:val="21"/>
                <w:szCs w:val="21"/>
              </w:rPr>
            </w:pPr>
            <w:r>
              <w:rPr>
                <w:rFonts w:hint="default" w:ascii="Times New Roman" w:hAnsi="Times New Roman" w:cs="Times New Roman"/>
                <w:color w:val="FF0000"/>
                <w:sz w:val="21"/>
                <w:szCs w:val="21"/>
              </w:rPr>
              <w:t>30</w:t>
            </w:r>
            <w:r>
              <w:rPr>
                <w:rFonts w:hint="default" w:ascii="Times New Roman" w:hAnsi="Times New Roman" w:cs="Times New Roman"/>
                <w:color w:val="FF0000"/>
                <w:sz w:val="21"/>
                <w:szCs w:val="21"/>
                <w:lang w:eastAsia="zh-CN"/>
              </w:rPr>
              <w:t>~</w:t>
            </w:r>
            <w:r>
              <w:rPr>
                <w:rFonts w:hint="default" w:ascii="Times New Roman" w:hAnsi="Times New Roman" w:cs="Times New Roman"/>
                <w:color w:val="FF0000"/>
                <w:sz w:val="21"/>
                <w:szCs w:val="21"/>
              </w:rPr>
              <w:t>300</w:t>
            </w:r>
          </w:p>
        </w:tc>
        <w:tc>
          <w:tcPr>
            <w:tcW w:w="573" w:type="pct"/>
            <w:tcBorders>
              <w:tl2br w:val="nil"/>
              <w:tr2bl w:val="nil"/>
            </w:tcBorders>
            <w:shd w:val="clear" w:color="auto" w:fill="auto"/>
            <w:vAlign w:val="center"/>
          </w:tcPr>
          <w:p w14:paraId="175BBDDE">
            <w:pPr>
              <w:pStyle w:val="128"/>
              <w:spacing w:line="240" w:lineRule="auto"/>
              <w:jc w:val="center"/>
              <w:rPr>
                <w:rFonts w:hint="default" w:ascii="Times New Roman" w:hAnsi="Times New Roman" w:cs="Times New Roman"/>
                <w:color w:val="FF0000"/>
                <w:sz w:val="21"/>
                <w:szCs w:val="21"/>
              </w:rPr>
            </w:pPr>
            <w:r>
              <w:rPr>
                <w:rFonts w:hint="default" w:ascii="Times New Roman" w:hAnsi="Times New Roman" w:cs="Times New Roman"/>
                <w:color w:val="FF0000"/>
                <w:sz w:val="21"/>
                <w:szCs w:val="21"/>
              </w:rPr>
              <w:t>钢铁</w:t>
            </w:r>
          </w:p>
        </w:tc>
        <w:tc>
          <w:tcPr>
            <w:tcW w:w="1733" w:type="pct"/>
            <w:tcBorders>
              <w:tl2br w:val="nil"/>
              <w:tr2bl w:val="nil"/>
            </w:tcBorders>
            <w:shd w:val="clear" w:color="auto" w:fill="auto"/>
            <w:vAlign w:val="center"/>
          </w:tcPr>
          <w:p w14:paraId="0F6403BF">
            <w:pPr>
              <w:spacing w:line="240" w:lineRule="auto"/>
              <w:jc w:val="center"/>
              <w:rPr>
                <w:rFonts w:hint="default" w:ascii="Times New Roman" w:hAnsi="Times New Roman" w:cs="Times New Roman"/>
                <w:color w:val="FF0000"/>
                <w:sz w:val="21"/>
                <w:szCs w:val="21"/>
              </w:rPr>
            </w:pPr>
            <w:r>
              <w:rPr>
                <w:rFonts w:hint="default" w:ascii="Times New Roman" w:hAnsi="Times New Roman" w:eastAsia="宋体" w:cs="Times New Roman"/>
                <w:color w:val="FF0000"/>
                <w:spacing w:val="-1"/>
                <w:sz w:val="21"/>
                <w:szCs w:val="21"/>
              </w:rPr>
              <w:t>交由具有相应处理能力或经营范围的单位利</w:t>
            </w:r>
            <w:r>
              <w:rPr>
                <w:rFonts w:hint="default" w:ascii="Times New Roman" w:hAnsi="Times New Roman" w:eastAsia="宋体" w:cs="Times New Roman"/>
                <w:color w:val="FF0000"/>
                <w:spacing w:val="-2"/>
                <w:sz w:val="21"/>
                <w:szCs w:val="21"/>
              </w:rPr>
              <w:t>用和处置</w:t>
            </w:r>
          </w:p>
        </w:tc>
      </w:tr>
      <w:tr w14:paraId="651C6293">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 w:type="dxa"/>
            <w:bottom w:w="0" w:type="dxa"/>
            <w:right w:w="10" w:type="dxa"/>
          </w:tblCellMar>
        </w:tblPrEx>
        <w:trPr>
          <w:trHeight w:val="23" w:hRule="atLeast"/>
          <w:jc w:val="center"/>
        </w:trPr>
        <w:tc>
          <w:tcPr>
            <w:tcW w:w="171" w:type="pct"/>
            <w:tcBorders>
              <w:tl2br w:val="nil"/>
              <w:tr2bl w:val="nil"/>
            </w:tcBorders>
            <w:shd w:val="clear" w:color="auto" w:fill="auto"/>
            <w:vAlign w:val="center"/>
          </w:tcPr>
          <w:p w14:paraId="42499AE5">
            <w:pPr>
              <w:keepNext w:val="0"/>
              <w:keepLines w:val="0"/>
              <w:widowControl/>
              <w:suppressLineNumbers w:val="0"/>
              <w:spacing w:line="240" w:lineRule="auto"/>
              <w:jc w:val="center"/>
              <w:textAlignment w:val="center"/>
              <w:rPr>
                <w:rFonts w:hint="default" w:ascii="Times New Roman" w:hAnsi="Times New Roman" w:cs="Times New Roman"/>
                <w:color w:val="FF0000"/>
                <w:sz w:val="21"/>
                <w:szCs w:val="21"/>
              </w:rPr>
            </w:pPr>
            <w:r>
              <w:rPr>
                <w:rFonts w:hint="default" w:ascii="Times New Roman" w:hAnsi="Times New Roman" w:eastAsia="宋体" w:cs="Times New Roman"/>
                <w:i w:val="0"/>
                <w:iCs w:val="0"/>
                <w:color w:val="FF0000"/>
                <w:kern w:val="0"/>
                <w:sz w:val="21"/>
                <w:szCs w:val="21"/>
                <w:u w:val="none"/>
                <w:lang w:val="en-US" w:eastAsia="zh-CN" w:bidi="ar"/>
              </w:rPr>
              <w:t>9</w:t>
            </w:r>
          </w:p>
        </w:tc>
        <w:tc>
          <w:tcPr>
            <w:tcW w:w="447" w:type="pct"/>
            <w:tcBorders>
              <w:tl2br w:val="nil"/>
              <w:tr2bl w:val="nil"/>
            </w:tcBorders>
            <w:shd w:val="clear" w:color="auto" w:fill="auto"/>
            <w:vAlign w:val="center"/>
          </w:tcPr>
          <w:p w14:paraId="6D693CAF">
            <w:pPr>
              <w:pStyle w:val="128"/>
              <w:spacing w:line="240" w:lineRule="auto"/>
              <w:jc w:val="center"/>
              <w:rPr>
                <w:rFonts w:hint="default" w:ascii="Times New Roman" w:hAnsi="Times New Roman" w:eastAsia="宋体" w:cs="Times New Roman"/>
                <w:color w:val="FF0000"/>
                <w:kern w:val="2"/>
                <w:sz w:val="21"/>
                <w:szCs w:val="21"/>
                <w:lang w:val="zh-TW" w:eastAsia="zh-TW" w:bidi="zh-TW"/>
              </w:rPr>
            </w:pPr>
            <w:r>
              <w:rPr>
                <w:rFonts w:hint="default" w:ascii="Times New Roman" w:hAnsi="Times New Roman" w:cs="Times New Roman"/>
                <w:color w:val="FF0000"/>
                <w:sz w:val="21"/>
                <w:szCs w:val="21"/>
              </w:rPr>
              <w:t>轮胎及轮毂</w:t>
            </w:r>
          </w:p>
        </w:tc>
        <w:tc>
          <w:tcPr>
            <w:tcW w:w="488" w:type="pct"/>
            <w:tcBorders>
              <w:tl2br w:val="nil"/>
              <w:tr2bl w:val="nil"/>
            </w:tcBorders>
            <w:shd w:val="clear" w:color="auto" w:fill="auto"/>
            <w:vAlign w:val="center"/>
          </w:tcPr>
          <w:p w14:paraId="3C5B5FA8">
            <w:pPr>
              <w:pStyle w:val="128"/>
              <w:spacing w:line="240" w:lineRule="auto"/>
              <w:jc w:val="center"/>
              <w:rPr>
                <w:rFonts w:hint="default" w:ascii="Times New Roman" w:hAnsi="Times New Roman" w:cs="Times New Roman"/>
                <w:color w:val="FF0000"/>
                <w:sz w:val="21"/>
                <w:szCs w:val="21"/>
              </w:rPr>
            </w:pPr>
            <w:r>
              <w:rPr>
                <w:rFonts w:hint="default" w:ascii="Times New Roman" w:hAnsi="Times New Roman" w:cs="Times New Roman"/>
                <w:color w:val="FF0000"/>
                <w:sz w:val="21"/>
                <w:szCs w:val="21"/>
              </w:rPr>
              <w:t>70</w:t>
            </w:r>
            <w:r>
              <w:rPr>
                <w:rFonts w:hint="default" w:ascii="Times New Roman" w:hAnsi="Times New Roman" w:cs="Times New Roman"/>
                <w:color w:val="FF0000"/>
                <w:sz w:val="21"/>
                <w:szCs w:val="21"/>
                <w:lang w:eastAsia="zh-CN"/>
              </w:rPr>
              <w:t>~</w:t>
            </w:r>
            <w:r>
              <w:rPr>
                <w:rFonts w:hint="default" w:ascii="Times New Roman" w:hAnsi="Times New Roman" w:cs="Times New Roman"/>
                <w:color w:val="FF0000"/>
                <w:sz w:val="21"/>
                <w:szCs w:val="21"/>
              </w:rPr>
              <w:t>100</w:t>
            </w:r>
          </w:p>
        </w:tc>
        <w:tc>
          <w:tcPr>
            <w:tcW w:w="561" w:type="pct"/>
            <w:tcBorders>
              <w:tl2br w:val="nil"/>
              <w:tr2bl w:val="nil"/>
            </w:tcBorders>
            <w:shd w:val="clear" w:color="auto" w:fill="auto"/>
            <w:vAlign w:val="center"/>
          </w:tcPr>
          <w:p w14:paraId="043416AF">
            <w:pPr>
              <w:pStyle w:val="128"/>
              <w:spacing w:line="240" w:lineRule="auto"/>
              <w:jc w:val="center"/>
              <w:rPr>
                <w:rFonts w:hint="default" w:ascii="Times New Roman" w:hAnsi="Times New Roman" w:cs="Times New Roman"/>
                <w:color w:val="FF0000"/>
                <w:sz w:val="21"/>
                <w:szCs w:val="21"/>
              </w:rPr>
            </w:pPr>
            <w:r>
              <w:rPr>
                <w:rFonts w:hint="default" w:ascii="Times New Roman" w:hAnsi="Times New Roman" w:cs="Times New Roman"/>
                <w:color w:val="FF0000"/>
                <w:sz w:val="21"/>
                <w:szCs w:val="21"/>
              </w:rPr>
              <w:t>180</w:t>
            </w:r>
            <w:r>
              <w:rPr>
                <w:rFonts w:hint="default" w:ascii="Times New Roman" w:hAnsi="Times New Roman" w:cs="Times New Roman"/>
                <w:color w:val="FF0000"/>
                <w:sz w:val="21"/>
                <w:szCs w:val="21"/>
                <w:lang w:eastAsia="zh-CN"/>
              </w:rPr>
              <w:t>~</w:t>
            </w:r>
            <w:r>
              <w:rPr>
                <w:rFonts w:hint="default" w:ascii="Times New Roman" w:hAnsi="Times New Roman" w:cs="Times New Roman"/>
                <w:color w:val="FF0000"/>
                <w:sz w:val="21"/>
                <w:szCs w:val="21"/>
              </w:rPr>
              <w:t>300</w:t>
            </w:r>
          </w:p>
        </w:tc>
        <w:tc>
          <w:tcPr>
            <w:tcW w:w="500" w:type="pct"/>
            <w:tcBorders>
              <w:tl2br w:val="nil"/>
              <w:tr2bl w:val="nil"/>
            </w:tcBorders>
            <w:shd w:val="clear" w:color="auto" w:fill="auto"/>
            <w:vAlign w:val="center"/>
          </w:tcPr>
          <w:p w14:paraId="77FC196E">
            <w:pPr>
              <w:pStyle w:val="128"/>
              <w:spacing w:line="240" w:lineRule="auto"/>
              <w:jc w:val="center"/>
              <w:rPr>
                <w:rFonts w:hint="default" w:ascii="Times New Roman" w:hAnsi="Times New Roman" w:cs="Times New Roman"/>
                <w:color w:val="FF0000"/>
                <w:sz w:val="21"/>
                <w:szCs w:val="21"/>
              </w:rPr>
            </w:pPr>
            <w:r>
              <w:rPr>
                <w:rFonts w:hint="default" w:ascii="Times New Roman" w:hAnsi="Times New Roman" w:cs="Times New Roman"/>
                <w:color w:val="FF0000"/>
                <w:sz w:val="21"/>
                <w:szCs w:val="21"/>
              </w:rPr>
              <w:t>150</w:t>
            </w:r>
            <w:r>
              <w:rPr>
                <w:rFonts w:hint="default" w:ascii="Times New Roman" w:hAnsi="Times New Roman" w:cs="Times New Roman"/>
                <w:color w:val="FF0000"/>
                <w:sz w:val="21"/>
                <w:szCs w:val="21"/>
                <w:lang w:eastAsia="zh-CN"/>
              </w:rPr>
              <w:t>~</w:t>
            </w:r>
            <w:r>
              <w:rPr>
                <w:rFonts w:hint="default" w:ascii="Times New Roman" w:hAnsi="Times New Roman" w:cs="Times New Roman"/>
                <w:color w:val="FF0000"/>
                <w:sz w:val="21"/>
                <w:szCs w:val="21"/>
              </w:rPr>
              <w:t>600</w:t>
            </w:r>
          </w:p>
        </w:tc>
        <w:tc>
          <w:tcPr>
            <w:tcW w:w="524" w:type="pct"/>
            <w:tcBorders>
              <w:tl2br w:val="nil"/>
              <w:tr2bl w:val="nil"/>
            </w:tcBorders>
            <w:shd w:val="clear" w:color="auto" w:fill="auto"/>
            <w:vAlign w:val="center"/>
          </w:tcPr>
          <w:p w14:paraId="1E60529C">
            <w:pPr>
              <w:pStyle w:val="128"/>
              <w:spacing w:line="240" w:lineRule="auto"/>
              <w:jc w:val="center"/>
              <w:rPr>
                <w:rFonts w:hint="default" w:ascii="Times New Roman" w:hAnsi="Times New Roman" w:cs="Times New Roman"/>
                <w:color w:val="FF0000"/>
                <w:sz w:val="21"/>
                <w:szCs w:val="21"/>
              </w:rPr>
            </w:pPr>
            <w:r>
              <w:rPr>
                <w:rFonts w:hint="default" w:ascii="Times New Roman" w:hAnsi="Times New Roman" w:cs="Times New Roman"/>
                <w:color w:val="FF0000"/>
                <w:sz w:val="21"/>
                <w:szCs w:val="21"/>
              </w:rPr>
              <w:t>100</w:t>
            </w:r>
            <w:r>
              <w:rPr>
                <w:rFonts w:hint="default" w:ascii="Times New Roman" w:hAnsi="Times New Roman" w:cs="Times New Roman"/>
                <w:color w:val="FF0000"/>
                <w:sz w:val="21"/>
                <w:szCs w:val="21"/>
                <w:lang w:eastAsia="zh-CN"/>
              </w:rPr>
              <w:t>~</w:t>
            </w:r>
            <w:r>
              <w:rPr>
                <w:rFonts w:hint="default" w:ascii="Times New Roman" w:hAnsi="Times New Roman" w:cs="Times New Roman"/>
                <w:color w:val="FF0000"/>
                <w:sz w:val="21"/>
                <w:szCs w:val="21"/>
              </w:rPr>
              <w:t>600</w:t>
            </w:r>
          </w:p>
        </w:tc>
        <w:tc>
          <w:tcPr>
            <w:tcW w:w="573" w:type="pct"/>
            <w:tcBorders>
              <w:tl2br w:val="nil"/>
              <w:tr2bl w:val="nil"/>
            </w:tcBorders>
            <w:shd w:val="clear" w:color="auto" w:fill="auto"/>
            <w:vAlign w:val="center"/>
          </w:tcPr>
          <w:p w14:paraId="4F6F8736">
            <w:pPr>
              <w:pStyle w:val="128"/>
              <w:spacing w:line="240" w:lineRule="auto"/>
              <w:jc w:val="center"/>
              <w:rPr>
                <w:rFonts w:hint="default" w:ascii="Times New Roman" w:hAnsi="Times New Roman" w:cs="Times New Roman"/>
                <w:color w:val="FF0000"/>
                <w:sz w:val="21"/>
                <w:szCs w:val="21"/>
              </w:rPr>
            </w:pPr>
            <w:r>
              <w:rPr>
                <w:rFonts w:hint="default" w:ascii="Times New Roman" w:hAnsi="Times New Roman" w:cs="Times New Roman"/>
                <w:color w:val="FF0000"/>
                <w:sz w:val="21"/>
                <w:szCs w:val="21"/>
              </w:rPr>
              <w:t>金属、橡胶</w:t>
            </w:r>
          </w:p>
        </w:tc>
        <w:tc>
          <w:tcPr>
            <w:tcW w:w="1733" w:type="pct"/>
            <w:tcBorders>
              <w:tl2br w:val="nil"/>
              <w:tr2bl w:val="nil"/>
            </w:tcBorders>
            <w:shd w:val="clear" w:color="auto" w:fill="auto"/>
            <w:vAlign w:val="center"/>
          </w:tcPr>
          <w:p w14:paraId="3FD5F51A">
            <w:pPr>
              <w:pStyle w:val="128"/>
              <w:spacing w:line="240" w:lineRule="auto"/>
              <w:jc w:val="center"/>
              <w:rPr>
                <w:rFonts w:hint="default" w:ascii="Times New Roman" w:hAnsi="Times New Roman" w:cs="Times New Roman"/>
                <w:color w:val="FF0000"/>
                <w:sz w:val="21"/>
                <w:szCs w:val="21"/>
              </w:rPr>
            </w:pPr>
            <w:r>
              <w:rPr>
                <w:rFonts w:hint="default" w:ascii="Times New Roman" w:hAnsi="Times New Roman" w:eastAsia="宋体" w:cs="Times New Roman"/>
                <w:color w:val="FF0000"/>
                <w:spacing w:val="-1"/>
                <w:sz w:val="21"/>
                <w:szCs w:val="21"/>
              </w:rPr>
              <w:t>交由具有相应处理能力或经营范围的单位利</w:t>
            </w:r>
            <w:r>
              <w:rPr>
                <w:rFonts w:hint="default" w:ascii="Times New Roman" w:hAnsi="Times New Roman" w:eastAsia="宋体" w:cs="Times New Roman"/>
                <w:color w:val="FF0000"/>
                <w:spacing w:val="-2"/>
                <w:sz w:val="21"/>
                <w:szCs w:val="21"/>
              </w:rPr>
              <w:t>用和处置</w:t>
            </w:r>
          </w:p>
        </w:tc>
      </w:tr>
      <w:tr w14:paraId="6F9B80E6">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 w:type="dxa"/>
            <w:bottom w:w="0" w:type="dxa"/>
            <w:right w:w="10" w:type="dxa"/>
          </w:tblCellMar>
        </w:tblPrEx>
        <w:trPr>
          <w:trHeight w:val="23" w:hRule="atLeast"/>
          <w:jc w:val="center"/>
        </w:trPr>
        <w:tc>
          <w:tcPr>
            <w:tcW w:w="171" w:type="pct"/>
            <w:tcBorders>
              <w:tl2br w:val="nil"/>
              <w:tr2bl w:val="nil"/>
            </w:tcBorders>
            <w:shd w:val="clear" w:color="auto" w:fill="auto"/>
            <w:vAlign w:val="center"/>
          </w:tcPr>
          <w:p w14:paraId="06B9AC2F">
            <w:pPr>
              <w:keepNext w:val="0"/>
              <w:keepLines w:val="0"/>
              <w:widowControl/>
              <w:suppressLineNumbers w:val="0"/>
              <w:spacing w:line="240" w:lineRule="auto"/>
              <w:jc w:val="center"/>
              <w:textAlignment w:val="center"/>
              <w:rPr>
                <w:rFonts w:hint="default" w:ascii="Times New Roman" w:hAnsi="Times New Roman" w:cs="Times New Roman"/>
                <w:color w:val="FF0000"/>
                <w:sz w:val="21"/>
                <w:szCs w:val="21"/>
              </w:rPr>
            </w:pPr>
            <w:r>
              <w:rPr>
                <w:rFonts w:hint="default" w:ascii="Times New Roman" w:hAnsi="Times New Roman" w:eastAsia="宋体" w:cs="Times New Roman"/>
                <w:i w:val="0"/>
                <w:iCs w:val="0"/>
                <w:color w:val="FF0000"/>
                <w:kern w:val="0"/>
                <w:sz w:val="21"/>
                <w:szCs w:val="21"/>
                <w:u w:val="none"/>
                <w:lang w:val="en-US" w:eastAsia="zh-CN" w:bidi="ar"/>
              </w:rPr>
              <w:t>10</w:t>
            </w:r>
          </w:p>
        </w:tc>
        <w:tc>
          <w:tcPr>
            <w:tcW w:w="447" w:type="pct"/>
            <w:tcBorders>
              <w:tl2br w:val="nil"/>
              <w:tr2bl w:val="nil"/>
            </w:tcBorders>
            <w:shd w:val="clear" w:color="auto" w:fill="auto"/>
            <w:vAlign w:val="center"/>
          </w:tcPr>
          <w:p w14:paraId="30E529D0">
            <w:pPr>
              <w:pStyle w:val="128"/>
              <w:spacing w:line="240" w:lineRule="auto"/>
              <w:jc w:val="center"/>
              <w:rPr>
                <w:rFonts w:hint="default" w:ascii="Times New Roman" w:hAnsi="Times New Roman" w:eastAsia="宋体" w:cs="Times New Roman"/>
                <w:color w:val="FF0000"/>
                <w:kern w:val="2"/>
                <w:sz w:val="21"/>
                <w:szCs w:val="21"/>
                <w:lang w:val="zh-TW" w:eastAsia="zh-TW" w:bidi="zh-TW"/>
              </w:rPr>
            </w:pPr>
            <w:r>
              <w:rPr>
                <w:rFonts w:hint="default" w:ascii="Times New Roman" w:hAnsi="Times New Roman" w:cs="Times New Roman"/>
                <w:color w:val="FF0000"/>
                <w:sz w:val="21"/>
                <w:szCs w:val="21"/>
              </w:rPr>
              <w:t>车灯</w:t>
            </w:r>
          </w:p>
        </w:tc>
        <w:tc>
          <w:tcPr>
            <w:tcW w:w="488" w:type="pct"/>
            <w:tcBorders>
              <w:tl2br w:val="nil"/>
              <w:tr2bl w:val="nil"/>
            </w:tcBorders>
            <w:shd w:val="clear" w:color="auto" w:fill="auto"/>
            <w:vAlign w:val="center"/>
          </w:tcPr>
          <w:p w14:paraId="0EA1EC13">
            <w:pPr>
              <w:pStyle w:val="128"/>
              <w:spacing w:line="240" w:lineRule="auto"/>
              <w:jc w:val="center"/>
              <w:rPr>
                <w:rFonts w:hint="default" w:ascii="Times New Roman" w:hAnsi="Times New Roman" w:cs="Times New Roman"/>
                <w:color w:val="FF0000"/>
                <w:sz w:val="21"/>
                <w:szCs w:val="21"/>
              </w:rPr>
            </w:pPr>
            <w:r>
              <w:rPr>
                <w:rFonts w:hint="default" w:ascii="Times New Roman" w:hAnsi="Times New Roman" w:cs="Times New Roman"/>
                <w:color w:val="FF0000"/>
                <w:sz w:val="21"/>
                <w:szCs w:val="21"/>
              </w:rPr>
              <w:t>5</w:t>
            </w:r>
            <w:r>
              <w:rPr>
                <w:rFonts w:hint="default" w:ascii="Times New Roman" w:hAnsi="Times New Roman" w:cs="Times New Roman"/>
                <w:color w:val="FF0000"/>
                <w:sz w:val="21"/>
                <w:szCs w:val="21"/>
                <w:lang w:eastAsia="zh-CN"/>
              </w:rPr>
              <w:t>~</w:t>
            </w:r>
            <w:r>
              <w:rPr>
                <w:rFonts w:hint="default" w:ascii="Times New Roman" w:hAnsi="Times New Roman" w:cs="Times New Roman"/>
                <w:color w:val="FF0000"/>
                <w:sz w:val="21"/>
                <w:szCs w:val="21"/>
              </w:rPr>
              <w:t>20</w:t>
            </w:r>
          </w:p>
        </w:tc>
        <w:tc>
          <w:tcPr>
            <w:tcW w:w="561" w:type="pct"/>
            <w:tcBorders>
              <w:tl2br w:val="nil"/>
              <w:tr2bl w:val="nil"/>
            </w:tcBorders>
            <w:shd w:val="clear" w:color="auto" w:fill="auto"/>
            <w:vAlign w:val="center"/>
          </w:tcPr>
          <w:p w14:paraId="302ACA90">
            <w:pPr>
              <w:pStyle w:val="128"/>
              <w:spacing w:line="240" w:lineRule="auto"/>
              <w:jc w:val="center"/>
              <w:rPr>
                <w:rFonts w:hint="default" w:ascii="Times New Roman" w:hAnsi="Times New Roman" w:cs="Times New Roman"/>
                <w:color w:val="FF0000"/>
                <w:sz w:val="21"/>
                <w:szCs w:val="21"/>
              </w:rPr>
            </w:pPr>
            <w:r>
              <w:rPr>
                <w:rFonts w:hint="default" w:ascii="Times New Roman" w:hAnsi="Times New Roman" w:cs="Times New Roman"/>
                <w:color w:val="FF0000"/>
                <w:sz w:val="21"/>
                <w:szCs w:val="21"/>
              </w:rPr>
              <w:t>10</w:t>
            </w:r>
            <w:r>
              <w:rPr>
                <w:rFonts w:hint="default" w:ascii="Times New Roman" w:hAnsi="Times New Roman" w:cs="Times New Roman"/>
                <w:color w:val="FF0000"/>
                <w:sz w:val="21"/>
                <w:szCs w:val="21"/>
                <w:lang w:eastAsia="zh-CN"/>
              </w:rPr>
              <w:t>~</w:t>
            </w:r>
            <w:r>
              <w:rPr>
                <w:rFonts w:hint="default" w:ascii="Times New Roman" w:hAnsi="Times New Roman" w:cs="Times New Roman"/>
                <w:color w:val="FF0000"/>
                <w:sz w:val="21"/>
                <w:szCs w:val="21"/>
              </w:rPr>
              <w:t>40</w:t>
            </w:r>
          </w:p>
        </w:tc>
        <w:tc>
          <w:tcPr>
            <w:tcW w:w="500" w:type="pct"/>
            <w:tcBorders>
              <w:tl2br w:val="nil"/>
              <w:tr2bl w:val="nil"/>
            </w:tcBorders>
            <w:shd w:val="clear" w:color="auto" w:fill="auto"/>
            <w:vAlign w:val="center"/>
          </w:tcPr>
          <w:p w14:paraId="0FA34815">
            <w:pPr>
              <w:pStyle w:val="128"/>
              <w:spacing w:line="240" w:lineRule="auto"/>
              <w:jc w:val="center"/>
              <w:rPr>
                <w:rFonts w:hint="default" w:ascii="Times New Roman" w:hAnsi="Times New Roman" w:cs="Times New Roman"/>
                <w:color w:val="FF0000"/>
                <w:sz w:val="21"/>
                <w:szCs w:val="21"/>
              </w:rPr>
            </w:pPr>
            <w:r>
              <w:rPr>
                <w:rFonts w:hint="default" w:ascii="Times New Roman" w:hAnsi="Times New Roman" w:cs="Times New Roman"/>
                <w:color w:val="FF0000"/>
                <w:sz w:val="21"/>
                <w:szCs w:val="21"/>
              </w:rPr>
              <w:t>10</w:t>
            </w:r>
            <w:r>
              <w:rPr>
                <w:rFonts w:hint="default" w:ascii="Times New Roman" w:hAnsi="Times New Roman" w:cs="Times New Roman"/>
                <w:color w:val="FF0000"/>
                <w:sz w:val="21"/>
                <w:szCs w:val="21"/>
                <w:lang w:eastAsia="zh-CN"/>
              </w:rPr>
              <w:t>~</w:t>
            </w:r>
            <w:r>
              <w:rPr>
                <w:rFonts w:hint="default" w:ascii="Times New Roman" w:hAnsi="Times New Roman" w:cs="Times New Roman"/>
                <w:color w:val="FF0000"/>
                <w:sz w:val="21"/>
                <w:szCs w:val="21"/>
              </w:rPr>
              <w:t>60</w:t>
            </w:r>
          </w:p>
        </w:tc>
        <w:tc>
          <w:tcPr>
            <w:tcW w:w="524" w:type="pct"/>
            <w:tcBorders>
              <w:tl2br w:val="nil"/>
              <w:tr2bl w:val="nil"/>
            </w:tcBorders>
            <w:shd w:val="clear" w:color="auto" w:fill="auto"/>
            <w:vAlign w:val="center"/>
          </w:tcPr>
          <w:p w14:paraId="7575118D">
            <w:pPr>
              <w:pStyle w:val="128"/>
              <w:spacing w:line="240" w:lineRule="auto"/>
              <w:jc w:val="center"/>
              <w:rPr>
                <w:rFonts w:hint="default" w:ascii="Times New Roman" w:hAnsi="Times New Roman" w:cs="Times New Roman"/>
                <w:color w:val="FF0000"/>
                <w:sz w:val="21"/>
                <w:szCs w:val="21"/>
              </w:rPr>
            </w:pPr>
            <w:r>
              <w:rPr>
                <w:rFonts w:hint="default" w:ascii="Times New Roman" w:hAnsi="Times New Roman" w:cs="Times New Roman"/>
                <w:color w:val="FF0000"/>
                <w:sz w:val="21"/>
                <w:szCs w:val="21"/>
              </w:rPr>
              <w:t>5</w:t>
            </w:r>
            <w:r>
              <w:rPr>
                <w:rFonts w:hint="default" w:ascii="Times New Roman" w:hAnsi="Times New Roman" w:cs="Times New Roman"/>
                <w:color w:val="FF0000"/>
                <w:sz w:val="21"/>
                <w:szCs w:val="21"/>
                <w:lang w:eastAsia="zh-CN"/>
              </w:rPr>
              <w:t>~</w:t>
            </w:r>
            <w:r>
              <w:rPr>
                <w:rFonts w:hint="default" w:ascii="Times New Roman" w:hAnsi="Times New Roman" w:cs="Times New Roman"/>
                <w:color w:val="FF0000"/>
                <w:sz w:val="21"/>
                <w:szCs w:val="21"/>
              </w:rPr>
              <w:t>60</w:t>
            </w:r>
          </w:p>
        </w:tc>
        <w:tc>
          <w:tcPr>
            <w:tcW w:w="573" w:type="pct"/>
            <w:tcBorders>
              <w:tl2br w:val="nil"/>
              <w:tr2bl w:val="nil"/>
            </w:tcBorders>
            <w:shd w:val="clear" w:color="auto" w:fill="auto"/>
            <w:vAlign w:val="center"/>
          </w:tcPr>
          <w:p w14:paraId="27541BC7">
            <w:pPr>
              <w:pStyle w:val="128"/>
              <w:spacing w:line="240" w:lineRule="auto"/>
              <w:jc w:val="center"/>
              <w:rPr>
                <w:rFonts w:hint="default" w:ascii="Times New Roman" w:hAnsi="Times New Roman" w:cs="Times New Roman"/>
                <w:color w:val="FF0000"/>
                <w:sz w:val="21"/>
                <w:szCs w:val="21"/>
              </w:rPr>
            </w:pPr>
            <w:r>
              <w:rPr>
                <w:rFonts w:hint="default" w:ascii="Times New Roman" w:hAnsi="Times New Roman" w:cs="Times New Roman"/>
                <w:color w:val="FF0000"/>
                <w:sz w:val="21"/>
                <w:szCs w:val="21"/>
              </w:rPr>
              <w:t>塑料</w:t>
            </w:r>
          </w:p>
        </w:tc>
        <w:tc>
          <w:tcPr>
            <w:tcW w:w="1733" w:type="pct"/>
            <w:tcBorders>
              <w:tl2br w:val="nil"/>
              <w:tr2bl w:val="nil"/>
            </w:tcBorders>
            <w:shd w:val="clear" w:color="auto" w:fill="auto"/>
            <w:vAlign w:val="center"/>
          </w:tcPr>
          <w:p w14:paraId="2145710E">
            <w:pPr>
              <w:pStyle w:val="128"/>
              <w:spacing w:line="240" w:lineRule="auto"/>
              <w:jc w:val="center"/>
              <w:rPr>
                <w:rFonts w:hint="default" w:ascii="Times New Roman" w:hAnsi="Times New Roman" w:cs="Times New Roman"/>
                <w:color w:val="FF0000"/>
                <w:sz w:val="21"/>
                <w:szCs w:val="21"/>
              </w:rPr>
            </w:pPr>
            <w:r>
              <w:rPr>
                <w:rFonts w:hint="default" w:ascii="Times New Roman" w:hAnsi="Times New Roman" w:eastAsia="宋体" w:cs="Times New Roman"/>
                <w:color w:val="FF0000"/>
                <w:spacing w:val="-1"/>
                <w:sz w:val="21"/>
                <w:szCs w:val="21"/>
              </w:rPr>
              <w:t>交由具有相应处理能力或经营范围的单位利</w:t>
            </w:r>
            <w:r>
              <w:rPr>
                <w:rFonts w:hint="default" w:ascii="Times New Roman" w:hAnsi="Times New Roman" w:eastAsia="宋体" w:cs="Times New Roman"/>
                <w:color w:val="FF0000"/>
                <w:spacing w:val="-2"/>
                <w:sz w:val="21"/>
                <w:szCs w:val="21"/>
              </w:rPr>
              <w:t>用和处置</w:t>
            </w:r>
          </w:p>
        </w:tc>
      </w:tr>
      <w:tr w14:paraId="50A49F29">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 w:type="dxa"/>
            <w:bottom w:w="0" w:type="dxa"/>
            <w:right w:w="10" w:type="dxa"/>
          </w:tblCellMar>
        </w:tblPrEx>
        <w:trPr>
          <w:trHeight w:val="23" w:hRule="atLeast"/>
          <w:jc w:val="center"/>
        </w:trPr>
        <w:tc>
          <w:tcPr>
            <w:tcW w:w="171" w:type="pct"/>
            <w:tcBorders>
              <w:tl2br w:val="nil"/>
              <w:tr2bl w:val="nil"/>
            </w:tcBorders>
            <w:shd w:val="clear" w:color="auto" w:fill="auto"/>
            <w:vAlign w:val="center"/>
          </w:tcPr>
          <w:p w14:paraId="5741DDB4">
            <w:pPr>
              <w:keepNext w:val="0"/>
              <w:keepLines w:val="0"/>
              <w:widowControl/>
              <w:suppressLineNumbers w:val="0"/>
              <w:spacing w:line="240" w:lineRule="auto"/>
              <w:jc w:val="center"/>
              <w:textAlignment w:val="center"/>
              <w:rPr>
                <w:rFonts w:hint="default" w:ascii="Times New Roman" w:hAnsi="Times New Roman" w:cs="Times New Roman"/>
                <w:color w:val="FF0000"/>
                <w:sz w:val="21"/>
                <w:szCs w:val="21"/>
              </w:rPr>
            </w:pPr>
            <w:r>
              <w:rPr>
                <w:rFonts w:hint="default" w:ascii="Times New Roman" w:hAnsi="Times New Roman" w:eastAsia="宋体" w:cs="Times New Roman"/>
                <w:i w:val="0"/>
                <w:iCs w:val="0"/>
                <w:color w:val="FF0000"/>
                <w:kern w:val="0"/>
                <w:sz w:val="21"/>
                <w:szCs w:val="21"/>
                <w:u w:val="none"/>
                <w:lang w:val="en-US" w:eastAsia="zh-CN" w:bidi="ar"/>
              </w:rPr>
              <w:t>11</w:t>
            </w:r>
          </w:p>
        </w:tc>
        <w:tc>
          <w:tcPr>
            <w:tcW w:w="447" w:type="pct"/>
            <w:tcBorders>
              <w:tl2br w:val="nil"/>
              <w:tr2bl w:val="nil"/>
            </w:tcBorders>
            <w:shd w:val="clear" w:color="auto" w:fill="auto"/>
            <w:vAlign w:val="center"/>
          </w:tcPr>
          <w:p w14:paraId="377B66CE">
            <w:pPr>
              <w:pStyle w:val="128"/>
              <w:spacing w:line="240" w:lineRule="auto"/>
              <w:jc w:val="center"/>
              <w:rPr>
                <w:rFonts w:hint="default" w:ascii="Times New Roman" w:hAnsi="Times New Roman" w:eastAsia="宋体" w:cs="Times New Roman"/>
                <w:color w:val="FF0000"/>
                <w:kern w:val="2"/>
                <w:sz w:val="21"/>
                <w:szCs w:val="21"/>
                <w:lang w:val="zh-TW" w:eastAsia="zh-TW" w:bidi="zh-TW"/>
              </w:rPr>
            </w:pPr>
            <w:r>
              <w:rPr>
                <w:rFonts w:hint="default" w:ascii="Times New Roman" w:hAnsi="Times New Roman" w:cs="Times New Roman"/>
                <w:color w:val="FF0000"/>
                <w:sz w:val="21"/>
                <w:szCs w:val="21"/>
              </w:rPr>
              <w:t>中控台</w:t>
            </w:r>
          </w:p>
        </w:tc>
        <w:tc>
          <w:tcPr>
            <w:tcW w:w="488" w:type="pct"/>
            <w:tcBorders>
              <w:tl2br w:val="nil"/>
              <w:tr2bl w:val="nil"/>
            </w:tcBorders>
            <w:shd w:val="clear" w:color="auto" w:fill="auto"/>
            <w:vAlign w:val="center"/>
          </w:tcPr>
          <w:p w14:paraId="144AF04C">
            <w:pPr>
              <w:pStyle w:val="128"/>
              <w:spacing w:line="240" w:lineRule="auto"/>
              <w:jc w:val="center"/>
              <w:rPr>
                <w:rFonts w:hint="default" w:ascii="Times New Roman" w:hAnsi="Times New Roman" w:cs="Times New Roman"/>
                <w:color w:val="FF0000"/>
                <w:sz w:val="21"/>
                <w:szCs w:val="21"/>
              </w:rPr>
            </w:pPr>
            <w:r>
              <w:rPr>
                <w:rFonts w:hint="default" w:ascii="Times New Roman" w:hAnsi="Times New Roman" w:cs="Times New Roman"/>
                <w:color w:val="FF0000"/>
                <w:sz w:val="21"/>
                <w:szCs w:val="21"/>
                <w:lang w:val="en-US" w:eastAsia="en-US" w:bidi="en-US"/>
              </w:rPr>
              <w:t>2.5</w:t>
            </w:r>
            <w:r>
              <w:rPr>
                <w:rFonts w:hint="default" w:ascii="Times New Roman" w:hAnsi="Times New Roman" w:cs="Times New Roman"/>
                <w:color w:val="FF0000"/>
                <w:sz w:val="21"/>
                <w:szCs w:val="21"/>
                <w:lang w:val="en-US" w:eastAsia="zh-CN" w:bidi="en-US"/>
              </w:rPr>
              <w:t>~</w:t>
            </w:r>
            <w:r>
              <w:rPr>
                <w:rFonts w:hint="default" w:ascii="Times New Roman" w:hAnsi="Times New Roman" w:cs="Times New Roman"/>
                <w:color w:val="FF0000"/>
                <w:sz w:val="21"/>
                <w:szCs w:val="21"/>
                <w:lang w:val="en-US" w:eastAsia="en-US" w:bidi="en-US"/>
              </w:rPr>
              <w:t>5</w:t>
            </w:r>
          </w:p>
        </w:tc>
        <w:tc>
          <w:tcPr>
            <w:tcW w:w="561" w:type="pct"/>
            <w:tcBorders>
              <w:tl2br w:val="nil"/>
              <w:tr2bl w:val="nil"/>
            </w:tcBorders>
            <w:shd w:val="clear" w:color="auto" w:fill="auto"/>
            <w:vAlign w:val="center"/>
          </w:tcPr>
          <w:p w14:paraId="4177B1EE">
            <w:pPr>
              <w:pStyle w:val="128"/>
              <w:spacing w:line="240" w:lineRule="auto"/>
              <w:jc w:val="center"/>
              <w:rPr>
                <w:rFonts w:hint="default" w:ascii="Times New Roman" w:hAnsi="Times New Roman" w:cs="Times New Roman"/>
                <w:color w:val="FF0000"/>
                <w:sz w:val="21"/>
                <w:szCs w:val="21"/>
              </w:rPr>
            </w:pPr>
            <w:r>
              <w:rPr>
                <w:rFonts w:hint="default" w:ascii="Times New Roman" w:hAnsi="Times New Roman" w:cs="Times New Roman"/>
                <w:color w:val="FF0000"/>
                <w:sz w:val="21"/>
                <w:szCs w:val="21"/>
              </w:rPr>
              <w:t>3</w:t>
            </w:r>
            <w:r>
              <w:rPr>
                <w:rFonts w:hint="default" w:ascii="Times New Roman" w:hAnsi="Times New Roman" w:cs="Times New Roman"/>
                <w:color w:val="FF0000"/>
                <w:sz w:val="21"/>
                <w:szCs w:val="21"/>
                <w:lang w:eastAsia="zh-CN"/>
              </w:rPr>
              <w:t>~</w:t>
            </w:r>
            <w:r>
              <w:rPr>
                <w:rFonts w:hint="default" w:ascii="Times New Roman" w:hAnsi="Times New Roman" w:cs="Times New Roman"/>
                <w:color w:val="FF0000"/>
                <w:sz w:val="21"/>
                <w:szCs w:val="21"/>
              </w:rPr>
              <w:t>20</w:t>
            </w:r>
          </w:p>
        </w:tc>
        <w:tc>
          <w:tcPr>
            <w:tcW w:w="500" w:type="pct"/>
            <w:tcBorders>
              <w:tl2br w:val="nil"/>
              <w:tr2bl w:val="nil"/>
            </w:tcBorders>
            <w:shd w:val="clear" w:color="auto" w:fill="auto"/>
            <w:vAlign w:val="center"/>
          </w:tcPr>
          <w:p w14:paraId="4073B19D">
            <w:pPr>
              <w:pStyle w:val="128"/>
              <w:spacing w:line="240" w:lineRule="auto"/>
              <w:jc w:val="center"/>
              <w:rPr>
                <w:rFonts w:hint="default" w:ascii="Times New Roman" w:hAnsi="Times New Roman" w:cs="Times New Roman"/>
                <w:color w:val="FF0000"/>
                <w:sz w:val="21"/>
                <w:szCs w:val="21"/>
              </w:rPr>
            </w:pPr>
            <w:r>
              <w:rPr>
                <w:rFonts w:hint="default" w:ascii="Times New Roman" w:hAnsi="Times New Roman" w:cs="Times New Roman"/>
                <w:color w:val="FF0000"/>
                <w:sz w:val="21"/>
                <w:szCs w:val="21"/>
              </w:rPr>
              <w:t>2</w:t>
            </w:r>
            <w:r>
              <w:rPr>
                <w:rFonts w:hint="default" w:ascii="Times New Roman" w:hAnsi="Times New Roman" w:cs="Times New Roman"/>
                <w:color w:val="FF0000"/>
                <w:sz w:val="21"/>
                <w:szCs w:val="21"/>
                <w:lang w:eastAsia="zh-CN"/>
              </w:rPr>
              <w:t>~</w:t>
            </w:r>
            <w:r>
              <w:rPr>
                <w:rFonts w:hint="default" w:ascii="Times New Roman" w:hAnsi="Times New Roman" w:cs="Times New Roman"/>
                <w:color w:val="FF0000"/>
                <w:sz w:val="21"/>
                <w:szCs w:val="21"/>
              </w:rPr>
              <w:t>6</w:t>
            </w:r>
          </w:p>
        </w:tc>
        <w:tc>
          <w:tcPr>
            <w:tcW w:w="524" w:type="pct"/>
            <w:tcBorders>
              <w:tl2br w:val="nil"/>
              <w:tr2bl w:val="nil"/>
            </w:tcBorders>
            <w:shd w:val="clear" w:color="auto" w:fill="auto"/>
            <w:vAlign w:val="center"/>
          </w:tcPr>
          <w:p w14:paraId="1A02FD3F">
            <w:pPr>
              <w:pStyle w:val="128"/>
              <w:spacing w:line="240" w:lineRule="auto"/>
              <w:jc w:val="center"/>
              <w:rPr>
                <w:rFonts w:hint="default" w:ascii="Times New Roman" w:hAnsi="Times New Roman" w:cs="Times New Roman"/>
                <w:color w:val="FF0000"/>
                <w:sz w:val="21"/>
                <w:szCs w:val="21"/>
              </w:rPr>
            </w:pPr>
            <w:r>
              <w:rPr>
                <w:rFonts w:hint="default" w:ascii="Times New Roman" w:hAnsi="Times New Roman" w:cs="Times New Roman"/>
                <w:color w:val="FF0000"/>
                <w:sz w:val="21"/>
                <w:szCs w:val="21"/>
              </w:rPr>
              <w:t>2</w:t>
            </w:r>
            <w:r>
              <w:rPr>
                <w:rFonts w:hint="default" w:ascii="Times New Roman" w:hAnsi="Times New Roman" w:cs="Times New Roman"/>
                <w:color w:val="FF0000"/>
                <w:sz w:val="21"/>
                <w:szCs w:val="21"/>
                <w:lang w:eastAsia="zh-CN"/>
              </w:rPr>
              <w:t>~</w:t>
            </w:r>
            <w:r>
              <w:rPr>
                <w:rFonts w:hint="default" w:ascii="Times New Roman" w:hAnsi="Times New Roman" w:cs="Times New Roman"/>
                <w:color w:val="FF0000"/>
                <w:sz w:val="21"/>
                <w:szCs w:val="21"/>
              </w:rPr>
              <w:t>20</w:t>
            </w:r>
          </w:p>
        </w:tc>
        <w:tc>
          <w:tcPr>
            <w:tcW w:w="573" w:type="pct"/>
            <w:tcBorders>
              <w:tl2br w:val="nil"/>
              <w:tr2bl w:val="nil"/>
            </w:tcBorders>
            <w:shd w:val="clear" w:color="auto" w:fill="auto"/>
            <w:vAlign w:val="center"/>
          </w:tcPr>
          <w:p w14:paraId="27DB8DE9">
            <w:pPr>
              <w:pStyle w:val="128"/>
              <w:spacing w:line="240" w:lineRule="auto"/>
              <w:jc w:val="center"/>
              <w:rPr>
                <w:rFonts w:hint="default" w:ascii="Times New Roman" w:hAnsi="Times New Roman" w:cs="Times New Roman"/>
                <w:color w:val="FF0000"/>
                <w:sz w:val="21"/>
                <w:szCs w:val="21"/>
              </w:rPr>
            </w:pPr>
            <w:r>
              <w:rPr>
                <w:rFonts w:hint="default" w:ascii="Times New Roman" w:hAnsi="Times New Roman" w:cs="Times New Roman"/>
                <w:color w:val="FF0000"/>
                <w:sz w:val="21"/>
                <w:szCs w:val="21"/>
              </w:rPr>
              <w:t>塑料</w:t>
            </w:r>
          </w:p>
        </w:tc>
        <w:tc>
          <w:tcPr>
            <w:tcW w:w="1733" w:type="pct"/>
            <w:tcBorders>
              <w:tl2br w:val="nil"/>
              <w:tr2bl w:val="nil"/>
            </w:tcBorders>
            <w:shd w:val="clear" w:color="auto" w:fill="auto"/>
            <w:vAlign w:val="center"/>
          </w:tcPr>
          <w:p w14:paraId="1613C62E">
            <w:pPr>
              <w:pStyle w:val="128"/>
              <w:spacing w:line="240" w:lineRule="auto"/>
              <w:jc w:val="center"/>
              <w:rPr>
                <w:rFonts w:hint="default" w:ascii="Times New Roman" w:hAnsi="Times New Roman" w:cs="Times New Roman"/>
                <w:color w:val="FF0000"/>
                <w:sz w:val="21"/>
                <w:szCs w:val="21"/>
              </w:rPr>
            </w:pPr>
            <w:r>
              <w:rPr>
                <w:rFonts w:hint="default" w:ascii="Times New Roman" w:hAnsi="Times New Roman" w:eastAsia="宋体" w:cs="Times New Roman"/>
                <w:color w:val="FF0000"/>
                <w:spacing w:val="-1"/>
                <w:sz w:val="21"/>
                <w:szCs w:val="21"/>
              </w:rPr>
              <w:t>交由具有相应处理能力或经营范围的单位利</w:t>
            </w:r>
            <w:r>
              <w:rPr>
                <w:rFonts w:hint="default" w:ascii="Times New Roman" w:hAnsi="Times New Roman" w:eastAsia="宋体" w:cs="Times New Roman"/>
                <w:color w:val="FF0000"/>
                <w:spacing w:val="-2"/>
                <w:sz w:val="21"/>
                <w:szCs w:val="21"/>
              </w:rPr>
              <w:t>用和处置</w:t>
            </w:r>
          </w:p>
        </w:tc>
      </w:tr>
      <w:tr w14:paraId="6D209418">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 w:type="dxa"/>
            <w:bottom w:w="0" w:type="dxa"/>
            <w:right w:w="10" w:type="dxa"/>
          </w:tblCellMar>
        </w:tblPrEx>
        <w:trPr>
          <w:trHeight w:val="23" w:hRule="atLeast"/>
          <w:jc w:val="center"/>
        </w:trPr>
        <w:tc>
          <w:tcPr>
            <w:tcW w:w="171" w:type="pct"/>
            <w:tcBorders>
              <w:tl2br w:val="nil"/>
              <w:tr2bl w:val="nil"/>
            </w:tcBorders>
            <w:shd w:val="clear" w:color="auto" w:fill="auto"/>
            <w:vAlign w:val="center"/>
          </w:tcPr>
          <w:p w14:paraId="20B17979">
            <w:pPr>
              <w:keepNext w:val="0"/>
              <w:keepLines w:val="0"/>
              <w:widowControl/>
              <w:suppressLineNumbers w:val="0"/>
              <w:spacing w:line="240" w:lineRule="auto"/>
              <w:jc w:val="center"/>
              <w:textAlignment w:val="center"/>
              <w:rPr>
                <w:rFonts w:hint="default" w:ascii="Times New Roman" w:hAnsi="Times New Roman" w:cs="Times New Roman"/>
                <w:color w:val="FF0000"/>
                <w:sz w:val="21"/>
                <w:szCs w:val="21"/>
              </w:rPr>
            </w:pPr>
            <w:r>
              <w:rPr>
                <w:rFonts w:hint="default" w:ascii="Times New Roman" w:hAnsi="Times New Roman" w:eastAsia="宋体" w:cs="Times New Roman"/>
                <w:i w:val="0"/>
                <w:iCs w:val="0"/>
                <w:color w:val="FF0000"/>
                <w:kern w:val="0"/>
                <w:sz w:val="21"/>
                <w:szCs w:val="21"/>
                <w:u w:val="none"/>
                <w:lang w:val="en-US" w:eastAsia="zh-CN" w:bidi="ar"/>
              </w:rPr>
              <w:t>12</w:t>
            </w:r>
          </w:p>
        </w:tc>
        <w:tc>
          <w:tcPr>
            <w:tcW w:w="447" w:type="pct"/>
            <w:tcBorders>
              <w:tl2br w:val="nil"/>
              <w:tr2bl w:val="nil"/>
            </w:tcBorders>
            <w:shd w:val="clear" w:color="auto" w:fill="auto"/>
            <w:vAlign w:val="center"/>
          </w:tcPr>
          <w:p w14:paraId="7B52ADF4">
            <w:pPr>
              <w:pStyle w:val="128"/>
              <w:spacing w:line="240" w:lineRule="auto"/>
              <w:jc w:val="center"/>
              <w:rPr>
                <w:rFonts w:hint="default" w:ascii="Times New Roman" w:hAnsi="Times New Roman" w:eastAsia="宋体" w:cs="Times New Roman"/>
                <w:color w:val="FF0000"/>
                <w:kern w:val="2"/>
                <w:sz w:val="21"/>
                <w:szCs w:val="21"/>
                <w:lang w:val="zh-TW" w:eastAsia="zh-TW" w:bidi="zh-TW"/>
              </w:rPr>
            </w:pPr>
            <w:r>
              <w:rPr>
                <w:rFonts w:hint="default" w:ascii="Times New Roman" w:hAnsi="Times New Roman" w:cs="Times New Roman"/>
                <w:color w:val="FF0000"/>
                <w:sz w:val="21"/>
                <w:szCs w:val="21"/>
              </w:rPr>
              <w:t>散热器</w:t>
            </w:r>
          </w:p>
        </w:tc>
        <w:tc>
          <w:tcPr>
            <w:tcW w:w="488" w:type="pct"/>
            <w:tcBorders>
              <w:tl2br w:val="nil"/>
              <w:tr2bl w:val="nil"/>
            </w:tcBorders>
            <w:shd w:val="clear" w:color="auto" w:fill="auto"/>
            <w:vAlign w:val="center"/>
          </w:tcPr>
          <w:p w14:paraId="020A2B28">
            <w:pPr>
              <w:pStyle w:val="128"/>
              <w:spacing w:line="240" w:lineRule="auto"/>
              <w:jc w:val="center"/>
              <w:rPr>
                <w:rFonts w:hint="default" w:ascii="Times New Roman" w:hAnsi="Times New Roman" w:cs="Times New Roman"/>
                <w:color w:val="FF0000"/>
                <w:sz w:val="21"/>
                <w:szCs w:val="21"/>
                <w:lang w:val="en-US" w:eastAsia="en-US"/>
              </w:rPr>
            </w:pPr>
            <w:r>
              <w:rPr>
                <w:rFonts w:hint="default" w:ascii="Times New Roman" w:hAnsi="Times New Roman" w:cs="Times New Roman"/>
                <w:color w:val="FF0000"/>
                <w:sz w:val="21"/>
                <w:szCs w:val="21"/>
              </w:rPr>
              <w:t>8</w:t>
            </w:r>
            <w:r>
              <w:rPr>
                <w:rFonts w:hint="default" w:ascii="Times New Roman" w:hAnsi="Times New Roman" w:cs="Times New Roman"/>
                <w:color w:val="FF0000"/>
                <w:sz w:val="21"/>
                <w:szCs w:val="21"/>
                <w:lang w:eastAsia="zh-CN"/>
              </w:rPr>
              <w:t>~</w:t>
            </w:r>
            <w:r>
              <w:rPr>
                <w:rFonts w:hint="default" w:ascii="Times New Roman" w:hAnsi="Times New Roman" w:cs="Times New Roman"/>
                <w:color w:val="FF0000"/>
                <w:sz w:val="21"/>
                <w:szCs w:val="21"/>
              </w:rPr>
              <w:t>10</w:t>
            </w:r>
          </w:p>
        </w:tc>
        <w:tc>
          <w:tcPr>
            <w:tcW w:w="561" w:type="pct"/>
            <w:tcBorders>
              <w:tl2br w:val="nil"/>
              <w:tr2bl w:val="nil"/>
            </w:tcBorders>
            <w:shd w:val="clear" w:color="auto" w:fill="auto"/>
            <w:vAlign w:val="center"/>
          </w:tcPr>
          <w:p w14:paraId="2A681B47">
            <w:pPr>
              <w:pStyle w:val="128"/>
              <w:spacing w:line="240" w:lineRule="auto"/>
              <w:jc w:val="center"/>
              <w:rPr>
                <w:rFonts w:hint="default" w:ascii="Times New Roman" w:hAnsi="Times New Roman" w:cs="Times New Roman"/>
                <w:color w:val="FF0000"/>
                <w:sz w:val="21"/>
                <w:szCs w:val="21"/>
              </w:rPr>
            </w:pPr>
            <w:r>
              <w:rPr>
                <w:rFonts w:hint="default" w:ascii="Times New Roman" w:hAnsi="Times New Roman" w:cs="Times New Roman"/>
                <w:color w:val="FF0000"/>
                <w:sz w:val="21"/>
                <w:szCs w:val="21"/>
              </w:rPr>
              <w:t>10~30</w:t>
            </w:r>
          </w:p>
        </w:tc>
        <w:tc>
          <w:tcPr>
            <w:tcW w:w="500" w:type="pct"/>
            <w:tcBorders>
              <w:tl2br w:val="nil"/>
              <w:tr2bl w:val="nil"/>
            </w:tcBorders>
            <w:shd w:val="clear" w:color="auto" w:fill="auto"/>
            <w:vAlign w:val="center"/>
          </w:tcPr>
          <w:p w14:paraId="5A7ED95D">
            <w:pPr>
              <w:pStyle w:val="128"/>
              <w:spacing w:line="240" w:lineRule="auto"/>
              <w:jc w:val="center"/>
              <w:rPr>
                <w:rFonts w:hint="default" w:ascii="Times New Roman" w:hAnsi="Times New Roman" w:cs="Times New Roman"/>
                <w:color w:val="FF0000"/>
                <w:sz w:val="21"/>
                <w:szCs w:val="21"/>
              </w:rPr>
            </w:pPr>
            <w:r>
              <w:rPr>
                <w:rFonts w:hint="default" w:ascii="Times New Roman" w:hAnsi="Times New Roman" w:cs="Times New Roman"/>
                <w:color w:val="FF0000"/>
                <w:sz w:val="21"/>
                <w:szCs w:val="21"/>
              </w:rPr>
              <w:t>10~20</w:t>
            </w:r>
          </w:p>
        </w:tc>
        <w:tc>
          <w:tcPr>
            <w:tcW w:w="524" w:type="pct"/>
            <w:tcBorders>
              <w:tl2br w:val="nil"/>
              <w:tr2bl w:val="nil"/>
            </w:tcBorders>
            <w:shd w:val="clear" w:color="auto" w:fill="auto"/>
            <w:vAlign w:val="center"/>
          </w:tcPr>
          <w:p w14:paraId="4CD337E6">
            <w:pPr>
              <w:pStyle w:val="128"/>
              <w:spacing w:line="240" w:lineRule="auto"/>
              <w:jc w:val="center"/>
              <w:rPr>
                <w:rFonts w:hint="default" w:ascii="Times New Roman" w:hAnsi="Times New Roman" w:cs="Times New Roman"/>
                <w:color w:val="FF0000"/>
                <w:sz w:val="21"/>
                <w:szCs w:val="21"/>
              </w:rPr>
            </w:pPr>
            <w:r>
              <w:rPr>
                <w:rFonts w:hint="default" w:ascii="Times New Roman" w:hAnsi="Times New Roman" w:cs="Times New Roman"/>
                <w:color w:val="FF0000"/>
                <w:sz w:val="21"/>
                <w:szCs w:val="21"/>
              </w:rPr>
              <w:t>10~30</w:t>
            </w:r>
          </w:p>
        </w:tc>
        <w:tc>
          <w:tcPr>
            <w:tcW w:w="573" w:type="pct"/>
            <w:tcBorders>
              <w:tl2br w:val="nil"/>
              <w:tr2bl w:val="nil"/>
            </w:tcBorders>
            <w:shd w:val="clear" w:color="auto" w:fill="auto"/>
            <w:vAlign w:val="center"/>
          </w:tcPr>
          <w:p w14:paraId="3AFC01C8">
            <w:pPr>
              <w:pStyle w:val="128"/>
              <w:spacing w:line="240" w:lineRule="auto"/>
              <w:jc w:val="center"/>
              <w:rPr>
                <w:rFonts w:hint="default" w:ascii="Times New Roman" w:hAnsi="Times New Roman" w:cs="Times New Roman"/>
                <w:color w:val="FF0000"/>
                <w:sz w:val="21"/>
                <w:szCs w:val="21"/>
              </w:rPr>
            </w:pPr>
            <w:r>
              <w:rPr>
                <w:rFonts w:hint="default" w:ascii="Times New Roman" w:hAnsi="Times New Roman" w:cs="Times New Roman"/>
                <w:color w:val="FF0000"/>
                <w:sz w:val="21"/>
                <w:szCs w:val="21"/>
              </w:rPr>
              <w:t>有色金属</w:t>
            </w:r>
          </w:p>
        </w:tc>
        <w:tc>
          <w:tcPr>
            <w:tcW w:w="1733" w:type="pct"/>
            <w:tcBorders>
              <w:tl2br w:val="nil"/>
              <w:tr2bl w:val="nil"/>
            </w:tcBorders>
            <w:shd w:val="clear" w:color="auto" w:fill="auto"/>
            <w:vAlign w:val="center"/>
          </w:tcPr>
          <w:p w14:paraId="51F79092">
            <w:pPr>
              <w:spacing w:line="240" w:lineRule="auto"/>
              <w:jc w:val="center"/>
              <w:rPr>
                <w:rFonts w:hint="default" w:ascii="Times New Roman" w:hAnsi="Times New Roman" w:cs="Times New Roman"/>
                <w:color w:val="FF0000"/>
                <w:sz w:val="21"/>
                <w:szCs w:val="21"/>
              </w:rPr>
            </w:pPr>
            <w:r>
              <w:rPr>
                <w:rFonts w:hint="default" w:ascii="Times New Roman" w:hAnsi="Times New Roman" w:eastAsia="宋体" w:cs="Times New Roman"/>
                <w:color w:val="FF0000"/>
                <w:spacing w:val="-1"/>
                <w:sz w:val="21"/>
                <w:szCs w:val="21"/>
              </w:rPr>
              <w:t>交由具有相应处理能力或经营范围的单位利</w:t>
            </w:r>
            <w:r>
              <w:rPr>
                <w:rFonts w:hint="default" w:ascii="Times New Roman" w:hAnsi="Times New Roman" w:eastAsia="宋体" w:cs="Times New Roman"/>
                <w:color w:val="FF0000"/>
                <w:spacing w:val="-2"/>
                <w:sz w:val="21"/>
                <w:szCs w:val="21"/>
              </w:rPr>
              <w:t>用和处置</w:t>
            </w:r>
          </w:p>
        </w:tc>
      </w:tr>
      <w:tr w14:paraId="1C821C02">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 w:type="dxa"/>
            <w:bottom w:w="0" w:type="dxa"/>
            <w:right w:w="10" w:type="dxa"/>
          </w:tblCellMar>
        </w:tblPrEx>
        <w:trPr>
          <w:trHeight w:val="23" w:hRule="atLeast"/>
          <w:jc w:val="center"/>
        </w:trPr>
        <w:tc>
          <w:tcPr>
            <w:tcW w:w="171" w:type="pct"/>
            <w:tcBorders>
              <w:tl2br w:val="nil"/>
              <w:tr2bl w:val="nil"/>
            </w:tcBorders>
            <w:shd w:val="clear" w:color="auto" w:fill="auto"/>
            <w:vAlign w:val="center"/>
          </w:tcPr>
          <w:p w14:paraId="7E2ADDB9">
            <w:pPr>
              <w:keepNext w:val="0"/>
              <w:keepLines w:val="0"/>
              <w:widowControl/>
              <w:suppressLineNumbers w:val="0"/>
              <w:spacing w:line="240" w:lineRule="auto"/>
              <w:jc w:val="center"/>
              <w:textAlignment w:val="center"/>
              <w:rPr>
                <w:rFonts w:hint="default" w:ascii="Times New Roman" w:hAnsi="Times New Roman" w:cs="Times New Roman"/>
                <w:color w:val="FF0000"/>
                <w:sz w:val="21"/>
                <w:szCs w:val="21"/>
              </w:rPr>
            </w:pPr>
            <w:r>
              <w:rPr>
                <w:rFonts w:hint="default" w:ascii="Times New Roman" w:hAnsi="Times New Roman" w:eastAsia="宋体" w:cs="Times New Roman"/>
                <w:i w:val="0"/>
                <w:iCs w:val="0"/>
                <w:color w:val="FF0000"/>
                <w:kern w:val="0"/>
                <w:sz w:val="21"/>
                <w:szCs w:val="21"/>
                <w:u w:val="none"/>
                <w:lang w:val="en-US" w:eastAsia="zh-CN" w:bidi="ar"/>
              </w:rPr>
              <w:t>13</w:t>
            </w:r>
          </w:p>
        </w:tc>
        <w:tc>
          <w:tcPr>
            <w:tcW w:w="447" w:type="pct"/>
            <w:tcBorders>
              <w:tl2br w:val="nil"/>
              <w:tr2bl w:val="nil"/>
            </w:tcBorders>
            <w:shd w:val="clear" w:color="auto" w:fill="auto"/>
            <w:vAlign w:val="center"/>
          </w:tcPr>
          <w:p w14:paraId="731EAC72">
            <w:pPr>
              <w:pStyle w:val="128"/>
              <w:spacing w:line="240" w:lineRule="auto"/>
              <w:jc w:val="center"/>
              <w:rPr>
                <w:rFonts w:hint="default" w:ascii="Times New Roman" w:hAnsi="Times New Roman" w:eastAsia="宋体" w:cs="Times New Roman"/>
                <w:color w:val="FF0000"/>
                <w:kern w:val="2"/>
                <w:sz w:val="21"/>
                <w:szCs w:val="21"/>
                <w:lang w:val="zh-TW" w:eastAsia="zh-TW" w:bidi="zh-TW"/>
              </w:rPr>
            </w:pPr>
            <w:r>
              <w:rPr>
                <w:rFonts w:hint="default" w:ascii="Times New Roman" w:hAnsi="Times New Roman" w:cs="Times New Roman"/>
                <w:color w:val="FF0000"/>
                <w:sz w:val="21"/>
                <w:szCs w:val="21"/>
              </w:rPr>
              <w:t>踏板（油门、制动、离合器）</w:t>
            </w:r>
          </w:p>
        </w:tc>
        <w:tc>
          <w:tcPr>
            <w:tcW w:w="488" w:type="pct"/>
            <w:tcBorders>
              <w:tl2br w:val="nil"/>
              <w:tr2bl w:val="nil"/>
            </w:tcBorders>
            <w:shd w:val="clear" w:color="auto" w:fill="auto"/>
            <w:vAlign w:val="center"/>
          </w:tcPr>
          <w:p w14:paraId="6A83EE12">
            <w:pPr>
              <w:pStyle w:val="128"/>
              <w:spacing w:line="240" w:lineRule="auto"/>
              <w:jc w:val="center"/>
              <w:rPr>
                <w:rFonts w:hint="default" w:ascii="Times New Roman" w:hAnsi="Times New Roman" w:cs="Times New Roman"/>
                <w:color w:val="FF0000"/>
                <w:sz w:val="21"/>
                <w:szCs w:val="21"/>
                <w:lang w:val="en-US" w:eastAsia="en-US"/>
              </w:rPr>
            </w:pPr>
            <w:r>
              <w:rPr>
                <w:rFonts w:hint="default" w:ascii="Times New Roman" w:hAnsi="Times New Roman" w:cs="Times New Roman"/>
                <w:color w:val="FF0000"/>
                <w:sz w:val="21"/>
                <w:szCs w:val="21"/>
              </w:rPr>
              <w:t>3~6</w:t>
            </w:r>
          </w:p>
        </w:tc>
        <w:tc>
          <w:tcPr>
            <w:tcW w:w="561" w:type="pct"/>
            <w:tcBorders>
              <w:tl2br w:val="nil"/>
              <w:tr2bl w:val="nil"/>
            </w:tcBorders>
            <w:shd w:val="clear" w:color="auto" w:fill="auto"/>
            <w:vAlign w:val="center"/>
          </w:tcPr>
          <w:p w14:paraId="0D7132BC">
            <w:pPr>
              <w:pStyle w:val="128"/>
              <w:spacing w:line="240" w:lineRule="auto"/>
              <w:jc w:val="center"/>
              <w:rPr>
                <w:rFonts w:hint="default" w:ascii="Times New Roman" w:hAnsi="Times New Roman" w:cs="Times New Roman"/>
                <w:color w:val="FF0000"/>
                <w:sz w:val="21"/>
                <w:szCs w:val="21"/>
              </w:rPr>
            </w:pPr>
            <w:r>
              <w:rPr>
                <w:rFonts w:hint="default" w:ascii="Times New Roman" w:hAnsi="Times New Roman" w:cs="Times New Roman"/>
                <w:color w:val="FF0000"/>
                <w:sz w:val="21"/>
                <w:szCs w:val="21"/>
              </w:rPr>
              <w:t>5~10</w:t>
            </w:r>
          </w:p>
        </w:tc>
        <w:tc>
          <w:tcPr>
            <w:tcW w:w="500" w:type="pct"/>
            <w:tcBorders>
              <w:tl2br w:val="nil"/>
              <w:tr2bl w:val="nil"/>
            </w:tcBorders>
            <w:shd w:val="clear" w:color="auto" w:fill="auto"/>
            <w:vAlign w:val="center"/>
          </w:tcPr>
          <w:p w14:paraId="6271C7C1">
            <w:pPr>
              <w:pStyle w:val="128"/>
              <w:spacing w:line="240" w:lineRule="auto"/>
              <w:jc w:val="center"/>
              <w:rPr>
                <w:rFonts w:hint="default" w:ascii="Times New Roman" w:hAnsi="Times New Roman" w:cs="Times New Roman"/>
                <w:color w:val="FF0000"/>
                <w:sz w:val="21"/>
                <w:szCs w:val="21"/>
              </w:rPr>
            </w:pPr>
            <w:r>
              <w:rPr>
                <w:rFonts w:hint="default" w:ascii="Times New Roman" w:hAnsi="Times New Roman" w:cs="Times New Roman"/>
                <w:color w:val="FF0000"/>
                <w:sz w:val="21"/>
                <w:szCs w:val="21"/>
              </w:rPr>
              <w:t>3~5</w:t>
            </w:r>
          </w:p>
        </w:tc>
        <w:tc>
          <w:tcPr>
            <w:tcW w:w="524" w:type="pct"/>
            <w:tcBorders>
              <w:tl2br w:val="nil"/>
              <w:tr2bl w:val="nil"/>
            </w:tcBorders>
            <w:shd w:val="clear" w:color="auto" w:fill="auto"/>
            <w:vAlign w:val="center"/>
          </w:tcPr>
          <w:p w14:paraId="01BF1CDF">
            <w:pPr>
              <w:pStyle w:val="128"/>
              <w:spacing w:line="240" w:lineRule="auto"/>
              <w:jc w:val="center"/>
              <w:rPr>
                <w:rFonts w:hint="default" w:ascii="Times New Roman" w:hAnsi="Times New Roman" w:cs="Times New Roman"/>
                <w:color w:val="FF0000"/>
                <w:sz w:val="21"/>
                <w:szCs w:val="21"/>
              </w:rPr>
            </w:pPr>
            <w:r>
              <w:rPr>
                <w:rFonts w:hint="default" w:ascii="Times New Roman" w:hAnsi="Times New Roman" w:cs="Times New Roman"/>
                <w:color w:val="FF0000"/>
                <w:sz w:val="21"/>
                <w:szCs w:val="21"/>
              </w:rPr>
              <w:t>3~10</w:t>
            </w:r>
          </w:p>
        </w:tc>
        <w:tc>
          <w:tcPr>
            <w:tcW w:w="573" w:type="pct"/>
            <w:tcBorders>
              <w:tl2br w:val="nil"/>
              <w:tr2bl w:val="nil"/>
            </w:tcBorders>
            <w:shd w:val="clear" w:color="auto" w:fill="auto"/>
            <w:vAlign w:val="center"/>
          </w:tcPr>
          <w:p w14:paraId="27C6A5C7">
            <w:pPr>
              <w:pStyle w:val="128"/>
              <w:spacing w:line="240" w:lineRule="auto"/>
              <w:jc w:val="center"/>
              <w:rPr>
                <w:rFonts w:hint="default" w:ascii="Times New Roman" w:hAnsi="Times New Roman" w:cs="Times New Roman"/>
                <w:color w:val="FF0000"/>
                <w:sz w:val="21"/>
                <w:szCs w:val="21"/>
              </w:rPr>
            </w:pPr>
            <w:r>
              <w:rPr>
                <w:rFonts w:hint="default" w:ascii="Times New Roman" w:hAnsi="Times New Roman" w:cs="Times New Roman"/>
                <w:color w:val="FF0000"/>
                <w:sz w:val="21"/>
                <w:szCs w:val="21"/>
              </w:rPr>
              <w:t>金属</w:t>
            </w:r>
          </w:p>
        </w:tc>
        <w:tc>
          <w:tcPr>
            <w:tcW w:w="1733" w:type="pct"/>
            <w:tcBorders>
              <w:tl2br w:val="nil"/>
              <w:tr2bl w:val="nil"/>
            </w:tcBorders>
            <w:shd w:val="clear" w:color="auto" w:fill="auto"/>
            <w:vAlign w:val="center"/>
          </w:tcPr>
          <w:p w14:paraId="030BB346">
            <w:pPr>
              <w:spacing w:line="240" w:lineRule="auto"/>
              <w:jc w:val="center"/>
              <w:rPr>
                <w:rFonts w:hint="default" w:ascii="Times New Roman" w:hAnsi="Times New Roman" w:cs="Times New Roman"/>
                <w:color w:val="FF0000"/>
                <w:sz w:val="21"/>
                <w:szCs w:val="21"/>
              </w:rPr>
            </w:pPr>
            <w:r>
              <w:rPr>
                <w:rFonts w:hint="default" w:ascii="Times New Roman" w:hAnsi="Times New Roman" w:eastAsia="宋体" w:cs="Times New Roman"/>
                <w:color w:val="FF0000"/>
                <w:spacing w:val="-1"/>
                <w:sz w:val="21"/>
                <w:szCs w:val="21"/>
              </w:rPr>
              <w:t>交由具有相应处理能力或经营范围的单位利</w:t>
            </w:r>
            <w:r>
              <w:rPr>
                <w:rFonts w:hint="default" w:ascii="Times New Roman" w:hAnsi="Times New Roman" w:eastAsia="宋体" w:cs="Times New Roman"/>
                <w:color w:val="FF0000"/>
                <w:spacing w:val="-2"/>
                <w:sz w:val="21"/>
                <w:szCs w:val="21"/>
              </w:rPr>
              <w:t>用和处置</w:t>
            </w:r>
          </w:p>
        </w:tc>
      </w:tr>
      <w:tr w14:paraId="125A85A2">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 w:type="dxa"/>
            <w:bottom w:w="0" w:type="dxa"/>
            <w:right w:w="10" w:type="dxa"/>
          </w:tblCellMar>
        </w:tblPrEx>
        <w:trPr>
          <w:trHeight w:val="23" w:hRule="atLeast"/>
          <w:jc w:val="center"/>
        </w:trPr>
        <w:tc>
          <w:tcPr>
            <w:tcW w:w="171" w:type="pct"/>
            <w:tcBorders>
              <w:tl2br w:val="nil"/>
              <w:tr2bl w:val="nil"/>
            </w:tcBorders>
            <w:shd w:val="clear" w:color="auto" w:fill="auto"/>
            <w:vAlign w:val="center"/>
          </w:tcPr>
          <w:p w14:paraId="7806AA36">
            <w:pPr>
              <w:keepNext w:val="0"/>
              <w:keepLines w:val="0"/>
              <w:widowControl/>
              <w:suppressLineNumbers w:val="0"/>
              <w:spacing w:line="240" w:lineRule="auto"/>
              <w:jc w:val="center"/>
              <w:textAlignment w:val="center"/>
              <w:rPr>
                <w:rFonts w:hint="default" w:ascii="Times New Roman" w:hAnsi="Times New Roman" w:cs="Times New Roman"/>
                <w:color w:val="FF0000"/>
                <w:sz w:val="21"/>
                <w:szCs w:val="21"/>
              </w:rPr>
            </w:pPr>
            <w:r>
              <w:rPr>
                <w:rFonts w:hint="default" w:ascii="Times New Roman" w:hAnsi="Times New Roman" w:eastAsia="宋体" w:cs="Times New Roman"/>
                <w:i w:val="0"/>
                <w:iCs w:val="0"/>
                <w:color w:val="FF0000"/>
                <w:kern w:val="0"/>
                <w:sz w:val="21"/>
                <w:szCs w:val="21"/>
                <w:u w:val="none"/>
                <w:lang w:val="en-US" w:eastAsia="zh-CN" w:bidi="ar"/>
              </w:rPr>
              <w:t>14</w:t>
            </w:r>
          </w:p>
        </w:tc>
        <w:tc>
          <w:tcPr>
            <w:tcW w:w="447" w:type="pct"/>
            <w:tcBorders>
              <w:tl2br w:val="nil"/>
              <w:tr2bl w:val="nil"/>
            </w:tcBorders>
            <w:shd w:val="clear" w:color="auto" w:fill="auto"/>
            <w:vAlign w:val="center"/>
          </w:tcPr>
          <w:p w14:paraId="09AFF5CE">
            <w:pPr>
              <w:pStyle w:val="128"/>
              <w:spacing w:line="240" w:lineRule="auto"/>
              <w:jc w:val="center"/>
              <w:rPr>
                <w:rFonts w:hint="default" w:ascii="Times New Roman" w:hAnsi="Times New Roman" w:eastAsia="宋体" w:cs="Times New Roman"/>
                <w:color w:val="FF0000"/>
                <w:kern w:val="2"/>
                <w:sz w:val="21"/>
                <w:szCs w:val="21"/>
                <w:lang w:val="zh-TW" w:eastAsia="zh-TW" w:bidi="zh-TW"/>
              </w:rPr>
            </w:pPr>
            <w:r>
              <w:rPr>
                <w:rFonts w:hint="default" w:ascii="Times New Roman" w:hAnsi="Times New Roman" w:cs="Times New Roman"/>
                <w:color w:val="FF0000"/>
                <w:sz w:val="21"/>
                <w:szCs w:val="21"/>
              </w:rPr>
              <w:t>桌椅</w:t>
            </w:r>
          </w:p>
        </w:tc>
        <w:tc>
          <w:tcPr>
            <w:tcW w:w="488" w:type="pct"/>
            <w:tcBorders>
              <w:tl2br w:val="nil"/>
              <w:tr2bl w:val="nil"/>
            </w:tcBorders>
            <w:shd w:val="clear" w:color="auto" w:fill="auto"/>
            <w:vAlign w:val="center"/>
          </w:tcPr>
          <w:p w14:paraId="25C0AE63">
            <w:pPr>
              <w:pStyle w:val="128"/>
              <w:spacing w:line="240" w:lineRule="auto"/>
              <w:jc w:val="center"/>
              <w:rPr>
                <w:rFonts w:hint="default" w:ascii="Times New Roman" w:hAnsi="Times New Roman" w:cs="Times New Roman"/>
                <w:color w:val="FF0000"/>
                <w:sz w:val="21"/>
                <w:szCs w:val="21"/>
                <w:lang w:val="en-US" w:eastAsia="en-US"/>
              </w:rPr>
            </w:pPr>
            <w:r>
              <w:rPr>
                <w:rFonts w:hint="default" w:ascii="Times New Roman" w:hAnsi="Times New Roman" w:cs="Times New Roman"/>
                <w:color w:val="FF0000"/>
                <w:sz w:val="21"/>
                <w:szCs w:val="21"/>
              </w:rPr>
              <w:t>80</w:t>
            </w:r>
            <w:r>
              <w:rPr>
                <w:rFonts w:hint="default" w:ascii="Times New Roman" w:hAnsi="Times New Roman" w:cs="Times New Roman"/>
                <w:color w:val="FF0000"/>
                <w:sz w:val="21"/>
                <w:szCs w:val="21"/>
                <w:lang w:eastAsia="zh-CN"/>
              </w:rPr>
              <w:t>~</w:t>
            </w:r>
            <w:r>
              <w:rPr>
                <w:rFonts w:hint="default" w:ascii="Times New Roman" w:hAnsi="Times New Roman" w:cs="Times New Roman"/>
                <w:color w:val="FF0000"/>
                <w:sz w:val="21"/>
                <w:szCs w:val="21"/>
              </w:rPr>
              <w:t>160</w:t>
            </w:r>
          </w:p>
        </w:tc>
        <w:tc>
          <w:tcPr>
            <w:tcW w:w="561" w:type="pct"/>
            <w:tcBorders>
              <w:tl2br w:val="nil"/>
              <w:tr2bl w:val="nil"/>
            </w:tcBorders>
            <w:shd w:val="clear" w:color="auto" w:fill="auto"/>
            <w:vAlign w:val="center"/>
          </w:tcPr>
          <w:p w14:paraId="60C11FDD">
            <w:pPr>
              <w:pStyle w:val="128"/>
              <w:spacing w:line="240" w:lineRule="auto"/>
              <w:jc w:val="center"/>
              <w:rPr>
                <w:rFonts w:hint="default" w:ascii="Times New Roman" w:hAnsi="Times New Roman" w:cs="Times New Roman"/>
                <w:color w:val="FF0000"/>
                <w:sz w:val="21"/>
                <w:szCs w:val="21"/>
              </w:rPr>
            </w:pPr>
            <w:r>
              <w:rPr>
                <w:rFonts w:hint="default" w:ascii="Times New Roman" w:hAnsi="Times New Roman" w:cs="Times New Roman"/>
                <w:color w:val="FF0000"/>
                <w:sz w:val="21"/>
                <w:szCs w:val="21"/>
              </w:rPr>
              <w:t>200~1200</w:t>
            </w:r>
          </w:p>
        </w:tc>
        <w:tc>
          <w:tcPr>
            <w:tcW w:w="500" w:type="pct"/>
            <w:tcBorders>
              <w:tl2br w:val="nil"/>
              <w:tr2bl w:val="nil"/>
            </w:tcBorders>
            <w:shd w:val="clear" w:color="auto" w:fill="auto"/>
            <w:vAlign w:val="center"/>
          </w:tcPr>
          <w:p w14:paraId="4FA6C999">
            <w:pPr>
              <w:pStyle w:val="128"/>
              <w:spacing w:line="240" w:lineRule="auto"/>
              <w:jc w:val="center"/>
              <w:rPr>
                <w:rFonts w:hint="default" w:ascii="Times New Roman" w:hAnsi="Times New Roman" w:cs="Times New Roman"/>
                <w:color w:val="FF0000"/>
                <w:sz w:val="21"/>
                <w:szCs w:val="21"/>
              </w:rPr>
            </w:pPr>
            <w:r>
              <w:rPr>
                <w:rFonts w:hint="default" w:ascii="Times New Roman" w:hAnsi="Times New Roman" w:cs="Times New Roman"/>
                <w:color w:val="FF0000"/>
                <w:sz w:val="21"/>
                <w:szCs w:val="21"/>
              </w:rPr>
              <w:t>50~100</w:t>
            </w:r>
          </w:p>
        </w:tc>
        <w:tc>
          <w:tcPr>
            <w:tcW w:w="524" w:type="pct"/>
            <w:tcBorders>
              <w:tl2br w:val="nil"/>
              <w:tr2bl w:val="nil"/>
            </w:tcBorders>
            <w:shd w:val="clear" w:color="auto" w:fill="auto"/>
            <w:vAlign w:val="center"/>
          </w:tcPr>
          <w:p w14:paraId="2630F4DA">
            <w:pPr>
              <w:pStyle w:val="128"/>
              <w:spacing w:line="240" w:lineRule="auto"/>
              <w:jc w:val="center"/>
              <w:rPr>
                <w:rFonts w:hint="default" w:ascii="Times New Roman" w:hAnsi="Times New Roman" w:cs="Times New Roman"/>
                <w:color w:val="FF0000"/>
                <w:sz w:val="21"/>
                <w:szCs w:val="21"/>
              </w:rPr>
            </w:pPr>
            <w:r>
              <w:rPr>
                <w:rFonts w:hint="default" w:ascii="Times New Roman" w:hAnsi="Times New Roman" w:cs="Times New Roman"/>
                <w:color w:val="FF0000"/>
                <w:sz w:val="21"/>
                <w:szCs w:val="21"/>
              </w:rPr>
              <w:t>100~1200</w:t>
            </w:r>
          </w:p>
        </w:tc>
        <w:tc>
          <w:tcPr>
            <w:tcW w:w="573" w:type="pct"/>
            <w:tcBorders>
              <w:tl2br w:val="nil"/>
              <w:tr2bl w:val="nil"/>
            </w:tcBorders>
            <w:shd w:val="clear" w:color="auto" w:fill="auto"/>
            <w:vAlign w:val="center"/>
          </w:tcPr>
          <w:p w14:paraId="449E7756">
            <w:pPr>
              <w:pStyle w:val="128"/>
              <w:spacing w:line="240" w:lineRule="auto"/>
              <w:jc w:val="center"/>
              <w:rPr>
                <w:rFonts w:hint="default" w:ascii="Times New Roman" w:hAnsi="Times New Roman" w:cs="Times New Roman"/>
                <w:color w:val="FF0000"/>
                <w:sz w:val="21"/>
                <w:szCs w:val="21"/>
              </w:rPr>
            </w:pPr>
            <w:r>
              <w:rPr>
                <w:rFonts w:hint="default" w:ascii="Times New Roman" w:hAnsi="Times New Roman" w:cs="Times New Roman"/>
                <w:color w:val="FF0000"/>
                <w:sz w:val="21"/>
                <w:szCs w:val="21"/>
              </w:rPr>
              <w:t>金属、塑料、布皮制品</w:t>
            </w:r>
          </w:p>
        </w:tc>
        <w:tc>
          <w:tcPr>
            <w:tcW w:w="1733" w:type="pct"/>
            <w:tcBorders>
              <w:tl2br w:val="nil"/>
              <w:tr2bl w:val="nil"/>
            </w:tcBorders>
            <w:shd w:val="clear" w:color="auto" w:fill="auto"/>
            <w:vAlign w:val="center"/>
          </w:tcPr>
          <w:p w14:paraId="1DD2CE33">
            <w:pPr>
              <w:pStyle w:val="128"/>
              <w:spacing w:line="240" w:lineRule="auto"/>
              <w:jc w:val="center"/>
              <w:rPr>
                <w:rFonts w:hint="default" w:ascii="Times New Roman" w:hAnsi="Times New Roman" w:cs="Times New Roman"/>
                <w:color w:val="FF0000"/>
                <w:sz w:val="21"/>
                <w:szCs w:val="21"/>
              </w:rPr>
            </w:pPr>
            <w:r>
              <w:rPr>
                <w:rFonts w:hint="default" w:ascii="Times New Roman" w:hAnsi="Times New Roman" w:eastAsia="宋体" w:cs="Times New Roman"/>
                <w:color w:val="FF0000"/>
                <w:spacing w:val="-1"/>
                <w:sz w:val="21"/>
                <w:szCs w:val="21"/>
              </w:rPr>
              <w:t>交由具有相应处理能力或经营范围的单位利</w:t>
            </w:r>
            <w:r>
              <w:rPr>
                <w:rFonts w:hint="default" w:ascii="Times New Roman" w:hAnsi="Times New Roman" w:eastAsia="宋体" w:cs="Times New Roman"/>
                <w:color w:val="FF0000"/>
                <w:spacing w:val="-2"/>
                <w:sz w:val="21"/>
                <w:szCs w:val="21"/>
              </w:rPr>
              <w:t>用和处置</w:t>
            </w:r>
          </w:p>
        </w:tc>
      </w:tr>
      <w:tr w14:paraId="3423A3FE">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 w:type="dxa"/>
            <w:bottom w:w="0" w:type="dxa"/>
            <w:right w:w="10" w:type="dxa"/>
          </w:tblCellMar>
        </w:tblPrEx>
        <w:trPr>
          <w:trHeight w:val="23" w:hRule="atLeast"/>
          <w:jc w:val="center"/>
        </w:trPr>
        <w:tc>
          <w:tcPr>
            <w:tcW w:w="171" w:type="pct"/>
            <w:tcBorders>
              <w:tl2br w:val="nil"/>
              <w:tr2bl w:val="nil"/>
            </w:tcBorders>
            <w:shd w:val="clear" w:color="auto" w:fill="auto"/>
            <w:vAlign w:val="center"/>
          </w:tcPr>
          <w:p w14:paraId="2358E200">
            <w:pPr>
              <w:keepNext w:val="0"/>
              <w:keepLines w:val="0"/>
              <w:widowControl/>
              <w:suppressLineNumbers w:val="0"/>
              <w:spacing w:line="240" w:lineRule="auto"/>
              <w:jc w:val="center"/>
              <w:textAlignment w:val="center"/>
              <w:rPr>
                <w:rFonts w:hint="default" w:ascii="Times New Roman" w:hAnsi="Times New Roman" w:cs="Times New Roman"/>
                <w:color w:val="FF0000"/>
                <w:sz w:val="21"/>
                <w:szCs w:val="21"/>
              </w:rPr>
            </w:pPr>
            <w:r>
              <w:rPr>
                <w:rFonts w:hint="default" w:ascii="Times New Roman" w:hAnsi="Times New Roman" w:eastAsia="宋体" w:cs="Times New Roman"/>
                <w:i w:val="0"/>
                <w:iCs w:val="0"/>
                <w:color w:val="FF0000"/>
                <w:kern w:val="0"/>
                <w:sz w:val="21"/>
                <w:szCs w:val="21"/>
                <w:u w:val="none"/>
                <w:lang w:val="en-US" w:eastAsia="zh-CN" w:bidi="ar"/>
              </w:rPr>
              <w:t>15</w:t>
            </w:r>
          </w:p>
        </w:tc>
        <w:tc>
          <w:tcPr>
            <w:tcW w:w="447" w:type="pct"/>
            <w:tcBorders>
              <w:tl2br w:val="nil"/>
              <w:tr2bl w:val="nil"/>
            </w:tcBorders>
            <w:shd w:val="clear" w:color="auto" w:fill="auto"/>
            <w:vAlign w:val="center"/>
          </w:tcPr>
          <w:p w14:paraId="0ECF27D1">
            <w:pPr>
              <w:pStyle w:val="128"/>
              <w:spacing w:line="240" w:lineRule="auto"/>
              <w:jc w:val="center"/>
              <w:rPr>
                <w:rFonts w:hint="default" w:ascii="Times New Roman" w:hAnsi="Times New Roman" w:eastAsia="宋体" w:cs="Times New Roman"/>
                <w:color w:val="FF0000"/>
                <w:kern w:val="2"/>
                <w:sz w:val="21"/>
                <w:szCs w:val="21"/>
                <w:lang w:val="zh-TW" w:eastAsia="zh-TW" w:bidi="zh-TW"/>
              </w:rPr>
            </w:pPr>
            <w:r>
              <w:rPr>
                <w:rFonts w:hint="default" w:ascii="Times New Roman" w:hAnsi="Times New Roman" w:cs="Times New Roman"/>
                <w:color w:val="FF0000"/>
                <w:sz w:val="21"/>
                <w:szCs w:val="21"/>
              </w:rPr>
              <w:t>车架及车身</w:t>
            </w:r>
          </w:p>
        </w:tc>
        <w:tc>
          <w:tcPr>
            <w:tcW w:w="488" w:type="pct"/>
            <w:tcBorders>
              <w:tl2br w:val="nil"/>
              <w:tr2bl w:val="nil"/>
            </w:tcBorders>
            <w:shd w:val="clear" w:color="auto" w:fill="auto"/>
            <w:vAlign w:val="center"/>
          </w:tcPr>
          <w:p w14:paraId="0A33A5A6">
            <w:pPr>
              <w:pStyle w:val="128"/>
              <w:spacing w:line="240" w:lineRule="auto"/>
              <w:jc w:val="center"/>
              <w:rPr>
                <w:rFonts w:hint="default" w:ascii="Times New Roman" w:hAnsi="Times New Roman" w:cs="Times New Roman"/>
                <w:color w:val="FF0000"/>
                <w:sz w:val="21"/>
                <w:szCs w:val="21"/>
                <w:lang w:val="en-US" w:eastAsia="en-US"/>
              </w:rPr>
            </w:pPr>
            <w:r>
              <w:rPr>
                <w:rFonts w:hint="default" w:ascii="Times New Roman" w:hAnsi="Times New Roman" w:cs="Times New Roman"/>
                <w:color w:val="FF0000"/>
                <w:sz w:val="21"/>
                <w:szCs w:val="21"/>
              </w:rPr>
              <w:t>500~1100</w:t>
            </w:r>
          </w:p>
        </w:tc>
        <w:tc>
          <w:tcPr>
            <w:tcW w:w="561" w:type="pct"/>
            <w:tcBorders>
              <w:tl2br w:val="nil"/>
              <w:tr2bl w:val="nil"/>
            </w:tcBorders>
            <w:shd w:val="clear" w:color="auto" w:fill="auto"/>
            <w:vAlign w:val="center"/>
          </w:tcPr>
          <w:p w14:paraId="6A7C0656">
            <w:pPr>
              <w:pStyle w:val="128"/>
              <w:spacing w:line="240" w:lineRule="auto"/>
              <w:jc w:val="center"/>
              <w:rPr>
                <w:rFonts w:hint="default" w:ascii="Times New Roman" w:hAnsi="Times New Roman" w:cs="Times New Roman"/>
                <w:color w:val="FF0000"/>
                <w:sz w:val="21"/>
                <w:szCs w:val="21"/>
              </w:rPr>
            </w:pPr>
            <w:r>
              <w:rPr>
                <w:rFonts w:hint="default" w:ascii="Times New Roman" w:hAnsi="Times New Roman" w:cs="Times New Roman"/>
                <w:color w:val="FF0000"/>
                <w:sz w:val="21"/>
                <w:szCs w:val="21"/>
              </w:rPr>
              <w:t>1200~10000</w:t>
            </w:r>
          </w:p>
        </w:tc>
        <w:tc>
          <w:tcPr>
            <w:tcW w:w="500" w:type="pct"/>
            <w:tcBorders>
              <w:tl2br w:val="nil"/>
              <w:tr2bl w:val="nil"/>
            </w:tcBorders>
            <w:shd w:val="clear" w:color="auto" w:fill="auto"/>
            <w:vAlign w:val="center"/>
          </w:tcPr>
          <w:p w14:paraId="482F3662">
            <w:pPr>
              <w:pStyle w:val="128"/>
              <w:spacing w:line="240" w:lineRule="auto"/>
              <w:jc w:val="center"/>
              <w:rPr>
                <w:rFonts w:hint="default" w:ascii="Times New Roman" w:hAnsi="Times New Roman" w:cs="Times New Roman"/>
                <w:color w:val="FF0000"/>
                <w:sz w:val="21"/>
                <w:szCs w:val="21"/>
              </w:rPr>
            </w:pPr>
            <w:r>
              <w:rPr>
                <w:rFonts w:hint="default" w:ascii="Times New Roman" w:hAnsi="Times New Roman" w:cs="Times New Roman"/>
                <w:color w:val="FF0000"/>
                <w:sz w:val="21"/>
                <w:szCs w:val="21"/>
              </w:rPr>
              <w:t>1000~8000</w:t>
            </w:r>
          </w:p>
        </w:tc>
        <w:tc>
          <w:tcPr>
            <w:tcW w:w="524" w:type="pct"/>
            <w:tcBorders>
              <w:tl2br w:val="nil"/>
              <w:tr2bl w:val="nil"/>
            </w:tcBorders>
            <w:shd w:val="clear" w:color="auto" w:fill="auto"/>
            <w:vAlign w:val="center"/>
          </w:tcPr>
          <w:p w14:paraId="38D13BF5">
            <w:pPr>
              <w:pStyle w:val="128"/>
              <w:spacing w:line="240" w:lineRule="auto"/>
              <w:jc w:val="center"/>
              <w:rPr>
                <w:rFonts w:hint="default" w:ascii="Times New Roman" w:hAnsi="Times New Roman" w:cs="Times New Roman"/>
                <w:color w:val="FF0000"/>
                <w:sz w:val="21"/>
                <w:szCs w:val="21"/>
              </w:rPr>
            </w:pPr>
            <w:r>
              <w:rPr>
                <w:rFonts w:hint="default" w:ascii="Times New Roman" w:hAnsi="Times New Roman" w:cs="Times New Roman"/>
                <w:color w:val="FF0000"/>
                <w:sz w:val="21"/>
                <w:szCs w:val="21"/>
              </w:rPr>
              <w:t>500~10000</w:t>
            </w:r>
          </w:p>
        </w:tc>
        <w:tc>
          <w:tcPr>
            <w:tcW w:w="573" w:type="pct"/>
            <w:tcBorders>
              <w:tl2br w:val="nil"/>
              <w:tr2bl w:val="nil"/>
            </w:tcBorders>
            <w:shd w:val="clear" w:color="auto" w:fill="auto"/>
            <w:vAlign w:val="center"/>
          </w:tcPr>
          <w:p w14:paraId="7F26FA80">
            <w:pPr>
              <w:pStyle w:val="128"/>
              <w:spacing w:line="240" w:lineRule="auto"/>
              <w:jc w:val="center"/>
              <w:rPr>
                <w:rFonts w:hint="default" w:ascii="Times New Roman" w:hAnsi="Times New Roman" w:cs="Times New Roman"/>
                <w:color w:val="FF0000"/>
                <w:sz w:val="21"/>
                <w:szCs w:val="21"/>
              </w:rPr>
            </w:pPr>
            <w:r>
              <w:rPr>
                <w:rFonts w:hint="default" w:ascii="Times New Roman" w:hAnsi="Times New Roman" w:cs="Times New Roman"/>
                <w:color w:val="FF0000"/>
                <w:sz w:val="21"/>
                <w:szCs w:val="21"/>
              </w:rPr>
              <w:t>钢铁</w:t>
            </w:r>
          </w:p>
        </w:tc>
        <w:tc>
          <w:tcPr>
            <w:tcW w:w="1733" w:type="pct"/>
            <w:tcBorders>
              <w:tl2br w:val="nil"/>
              <w:tr2bl w:val="nil"/>
            </w:tcBorders>
            <w:shd w:val="clear" w:color="auto" w:fill="auto"/>
            <w:vAlign w:val="center"/>
          </w:tcPr>
          <w:p w14:paraId="4AA97561">
            <w:pPr>
              <w:spacing w:line="240" w:lineRule="auto"/>
              <w:jc w:val="center"/>
              <w:rPr>
                <w:rFonts w:hint="default" w:ascii="Times New Roman" w:hAnsi="Times New Roman" w:cs="Times New Roman"/>
                <w:color w:val="FF0000"/>
                <w:sz w:val="21"/>
                <w:szCs w:val="21"/>
              </w:rPr>
            </w:pPr>
            <w:r>
              <w:rPr>
                <w:rFonts w:hint="default" w:ascii="Times New Roman" w:hAnsi="Times New Roman" w:eastAsia="宋体" w:cs="Times New Roman"/>
                <w:color w:val="FF0000"/>
                <w:spacing w:val="-1"/>
                <w:sz w:val="21"/>
                <w:szCs w:val="21"/>
              </w:rPr>
              <w:t>交由具有相应处理能力或经营范围的单位利</w:t>
            </w:r>
            <w:r>
              <w:rPr>
                <w:rFonts w:hint="default" w:ascii="Times New Roman" w:hAnsi="Times New Roman" w:eastAsia="宋体" w:cs="Times New Roman"/>
                <w:color w:val="FF0000"/>
                <w:spacing w:val="-2"/>
                <w:sz w:val="21"/>
                <w:szCs w:val="21"/>
              </w:rPr>
              <w:t>用和处置</w:t>
            </w:r>
          </w:p>
        </w:tc>
      </w:tr>
      <w:tr w14:paraId="0ECA9DE0">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 w:type="dxa"/>
            <w:bottom w:w="0" w:type="dxa"/>
            <w:right w:w="10" w:type="dxa"/>
          </w:tblCellMar>
        </w:tblPrEx>
        <w:trPr>
          <w:trHeight w:val="23" w:hRule="atLeast"/>
          <w:jc w:val="center"/>
        </w:trPr>
        <w:tc>
          <w:tcPr>
            <w:tcW w:w="171" w:type="pct"/>
            <w:tcBorders>
              <w:tl2br w:val="nil"/>
              <w:tr2bl w:val="nil"/>
            </w:tcBorders>
            <w:shd w:val="clear" w:color="auto" w:fill="auto"/>
            <w:vAlign w:val="center"/>
          </w:tcPr>
          <w:p w14:paraId="1D009C60">
            <w:pPr>
              <w:keepNext w:val="0"/>
              <w:keepLines w:val="0"/>
              <w:widowControl/>
              <w:suppressLineNumbers w:val="0"/>
              <w:spacing w:line="240" w:lineRule="auto"/>
              <w:jc w:val="center"/>
              <w:textAlignment w:val="center"/>
              <w:rPr>
                <w:rFonts w:hint="default" w:ascii="Times New Roman" w:hAnsi="Times New Roman" w:cs="Times New Roman"/>
                <w:color w:val="FF0000"/>
                <w:sz w:val="21"/>
                <w:szCs w:val="21"/>
              </w:rPr>
            </w:pPr>
            <w:r>
              <w:rPr>
                <w:rFonts w:hint="default" w:ascii="Times New Roman" w:hAnsi="Times New Roman" w:eastAsia="宋体" w:cs="Times New Roman"/>
                <w:i w:val="0"/>
                <w:iCs w:val="0"/>
                <w:color w:val="FF0000"/>
                <w:kern w:val="0"/>
                <w:sz w:val="21"/>
                <w:szCs w:val="21"/>
                <w:u w:val="none"/>
                <w:lang w:val="en-US" w:eastAsia="zh-CN" w:bidi="ar"/>
              </w:rPr>
              <w:t>16</w:t>
            </w:r>
          </w:p>
        </w:tc>
        <w:tc>
          <w:tcPr>
            <w:tcW w:w="447" w:type="pct"/>
            <w:tcBorders>
              <w:tl2br w:val="nil"/>
              <w:tr2bl w:val="nil"/>
            </w:tcBorders>
            <w:shd w:val="clear" w:color="auto" w:fill="auto"/>
            <w:vAlign w:val="center"/>
          </w:tcPr>
          <w:p w14:paraId="78D25F68">
            <w:pPr>
              <w:pStyle w:val="128"/>
              <w:spacing w:line="240" w:lineRule="auto"/>
              <w:jc w:val="center"/>
              <w:rPr>
                <w:rFonts w:hint="default" w:ascii="Times New Roman" w:hAnsi="Times New Roman" w:eastAsia="宋体" w:cs="Times New Roman"/>
                <w:color w:val="FF0000"/>
                <w:kern w:val="2"/>
                <w:sz w:val="21"/>
                <w:szCs w:val="21"/>
                <w:lang w:val="zh-TW" w:eastAsia="zh-TW" w:bidi="zh-TW"/>
              </w:rPr>
            </w:pPr>
            <w:r>
              <w:rPr>
                <w:rFonts w:hint="default" w:ascii="Times New Roman" w:hAnsi="Times New Roman" w:cs="Times New Roman"/>
                <w:color w:val="FF0000"/>
                <w:sz w:val="21"/>
                <w:szCs w:val="21"/>
              </w:rPr>
              <w:t>线束</w:t>
            </w:r>
          </w:p>
        </w:tc>
        <w:tc>
          <w:tcPr>
            <w:tcW w:w="488" w:type="pct"/>
            <w:tcBorders>
              <w:tl2br w:val="nil"/>
              <w:tr2bl w:val="nil"/>
            </w:tcBorders>
            <w:shd w:val="clear" w:color="auto" w:fill="auto"/>
            <w:vAlign w:val="center"/>
          </w:tcPr>
          <w:p w14:paraId="0E34C7A7">
            <w:pPr>
              <w:pStyle w:val="128"/>
              <w:spacing w:line="240" w:lineRule="auto"/>
              <w:jc w:val="center"/>
              <w:rPr>
                <w:rFonts w:hint="default" w:ascii="Times New Roman" w:hAnsi="Times New Roman" w:cs="Times New Roman"/>
                <w:color w:val="FF0000"/>
                <w:sz w:val="21"/>
                <w:szCs w:val="21"/>
                <w:lang w:val="en-US" w:eastAsia="en-US"/>
              </w:rPr>
            </w:pPr>
            <w:r>
              <w:rPr>
                <w:rFonts w:hint="default" w:ascii="Times New Roman" w:hAnsi="Times New Roman" w:cs="Times New Roman"/>
                <w:color w:val="FF0000"/>
                <w:sz w:val="21"/>
                <w:szCs w:val="21"/>
              </w:rPr>
              <w:t>3~5</w:t>
            </w:r>
          </w:p>
        </w:tc>
        <w:tc>
          <w:tcPr>
            <w:tcW w:w="561" w:type="pct"/>
            <w:tcBorders>
              <w:tl2br w:val="nil"/>
              <w:tr2bl w:val="nil"/>
            </w:tcBorders>
            <w:shd w:val="clear" w:color="auto" w:fill="auto"/>
            <w:vAlign w:val="center"/>
          </w:tcPr>
          <w:p w14:paraId="03647119">
            <w:pPr>
              <w:pStyle w:val="128"/>
              <w:spacing w:line="240" w:lineRule="auto"/>
              <w:jc w:val="center"/>
              <w:rPr>
                <w:rFonts w:hint="default" w:ascii="Times New Roman" w:hAnsi="Times New Roman" w:cs="Times New Roman"/>
                <w:color w:val="FF0000"/>
                <w:sz w:val="21"/>
                <w:szCs w:val="21"/>
              </w:rPr>
            </w:pPr>
            <w:r>
              <w:rPr>
                <w:rFonts w:hint="default" w:ascii="Times New Roman" w:hAnsi="Times New Roman" w:cs="Times New Roman"/>
                <w:color w:val="FF0000"/>
                <w:sz w:val="21"/>
                <w:szCs w:val="21"/>
              </w:rPr>
              <w:t>5~20</w:t>
            </w:r>
          </w:p>
        </w:tc>
        <w:tc>
          <w:tcPr>
            <w:tcW w:w="500" w:type="pct"/>
            <w:tcBorders>
              <w:tl2br w:val="nil"/>
              <w:tr2bl w:val="nil"/>
            </w:tcBorders>
            <w:shd w:val="clear" w:color="auto" w:fill="auto"/>
            <w:vAlign w:val="center"/>
          </w:tcPr>
          <w:p w14:paraId="70C44D83">
            <w:pPr>
              <w:pStyle w:val="128"/>
              <w:spacing w:line="240" w:lineRule="auto"/>
              <w:jc w:val="center"/>
              <w:rPr>
                <w:rFonts w:hint="default" w:ascii="Times New Roman" w:hAnsi="Times New Roman" w:cs="Times New Roman"/>
                <w:color w:val="FF0000"/>
                <w:sz w:val="21"/>
                <w:szCs w:val="21"/>
              </w:rPr>
            </w:pPr>
            <w:r>
              <w:rPr>
                <w:rFonts w:hint="default" w:ascii="Times New Roman" w:hAnsi="Times New Roman" w:cs="Times New Roman"/>
                <w:color w:val="FF0000"/>
                <w:sz w:val="21"/>
                <w:szCs w:val="21"/>
              </w:rPr>
              <w:t>5~10</w:t>
            </w:r>
          </w:p>
        </w:tc>
        <w:tc>
          <w:tcPr>
            <w:tcW w:w="524" w:type="pct"/>
            <w:tcBorders>
              <w:tl2br w:val="nil"/>
              <w:tr2bl w:val="nil"/>
            </w:tcBorders>
            <w:shd w:val="clear" w:color="auto" w:fill="auto"/>
            <w:vAlign w:val="center"/>
          </w:tcPr>
          <w:p w14:paraId="425E1759">
            <w:pPr>
              <w:pStyle w:val="128"/>
              <w:spacing w:line="240" w:lineRule="auto"/>
              <w:jc w:val="center"/>
              <w:rPr>
                <w:rFonts w:hint="default" w:ascii="Times New Roman" w:hAnsi="Times New Roman" w:cs="Times New Roman"/>
                <w:color w:val="FF0000"/>
                <w:sz w:val="21"/>
                <w:szCs w:val="21"/>
              </w:rPr>
            </w:pPr>
            <w:r>
              <w:rPr>
                <w:rFonts w:hint="default" w:ascii="Times New Roman" w:hAnsi="Times New Roman" w:cs="Times New Roman"/>
                <w:color w:val="FF0000"/>
                <w:sz w:val="21"/>
                <w:szCs w:val="21"/>
              </w:rPr>
              <w:t>5~20</w:t>
            </w:r>
          </w:p>
        </w:tc>
        <w:tc>
          <w:tcPr>
            <w:tcW w:w="573" w:type="pct"/>
            <w:tcBorders>
              <w:tl2br w:val="nil"/>
              <w:tr2bl w:val="nil"/>
            </w:tcBorders>
            <w:shd w:val="clear" w:color="auto" w:fill="auto"/>
            <w:vAlign w:val="center"/>
          </w:tcPr>
          <w:p w14:paraId="6CBF7BDB">
            <w:pPr>
              <w:pStyle w:val="128"/>
              <w:spacing w:line="240" w:lineRule="auto"/>
              <w:jc w:val="center"/>
              <w:rPr>
                <w:rFonts w:hint="default" w:ascii="Times New Roman" w:hAnsi="Times New Roman" w:cs="Times New Roman"/>
                <w:color w:val="FF0000"/>
                <w:sz w:val="21"/>
                <w:szCs w:val="21"/>
              </w:rPr>
            </w:pPr>
            <w:r>
              <w:rPr>
                <w:rFonts w:hint="default" w:ascii="Times New Roman" w:hAnsi="Times New Roman" w:cs="Times New Roman"/>
                <w:color w:val="FF0000"/>
                <w:sz w:val="21"/>
                <w:szCs w:val="21"/>
              </w:rPr>
              <w:t>铜、线皮</w:t>
            </w:r>
          </w:p>
        </w:tc>
        <w:tc>
          <w:tcPr>
            <w:tcW w:w="1733" w:type="pct"/>
            <w:tcBorders>
              <w:tl2br w:val="nil"/>
              <w:tr2bl w:val="nil"/>
            </w:tcBorders>
            <w:shd w:val="clear" w:color="auto" w:fill="auto"/>
            <w:vAlign w:val="center"/>
          </w:tcPr>
          <w:p w14:paraId="53389EB1">
            <w:pPr>
              <w:spacing w:line="240" w:lineRule="auto"/>
              <w:jc w:val="center"/>
              <w:rPr>
                <w:rFonts w:hint="default" w:ascii="Times New Roman" w:hAnsi="Times New Roman" w:cs="Times New Roman"/>
                <w:color w:val="FF0000"/>
                <w:sz w:val="21"/>
                <w:szCs w:val="21"/>
              </w:rPr>
            </w:pPr>
            <w:r>
              <w:rPr>
                <w:rFonts w:hint="default" w:ascii="Times New Roman" w:hAnsi="Times New Roman" w:eastAsia="宋体" w:cs="Times New Roman"/>
                <w:color w:val="FF0000"/>
                <w:spacing w:val="-1"/>
                <w:sz w:val="21"/>
                <w:szCs w:val="21"/>
              </w:rPr>
              <w:t>交由具有相应处理能力或经营范围的单位利</w:t>
            </w:r>
            <w:r>
              <w:rPr>
                <w:rFonts w:hint="default" w:ascii="Times New Roman" w:hAnsi="Times New Roman" w:eastAsia="宋体" w:cs="Times New Roman"/>
                <w:color w:val="FF0000"/>
                <w:spacing w:val="-2"/>
                <w:sz w:val="21"/>
                <w:szCs w:val="21"/>
              </w:rPr>
              <w:t>用和处置</w:t>
            </w:r>
          </w:p>
        </w:tc>
      </w:tr>
      <w:tr w14:paraId="427D4826">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 w:type="dxa"/>
            <w:bottom w:w="0" w:type="dxa"/>
            <w:right w:w="10" w:type="dxa"/>
          </w:tblCellMar>
        </w:tblPrEx>
        <w:trPr>
          <w:trHeight w:val="23" w:hRule="atLeast"/>
          <w:jc w:val="center"/>
        </w:trPr>
        <w:tc>
          <w:tcPr>
            <w:tcW w:w="171" w:type="pct"/>
            <w:tcBorders>
              <w:tl2br w:val="nil"/>
              <w:tr2bl w:val="nil"/>
            </w:tcBorders>
            <w:shd w:val="clear" w:color="auto" w:fill="auto"/>
            <w:vAlign w:val="center"/>
          </w:tcPr>
          <w:p w14:paraId="44E5DF3B">
            <w:pPr>
              <w:keepNext w:val="0"/>
              <w:keepLines w:val="0"/>
              <w:widowControl/>
              <w:suppressLineNumbers w:val="0"/>
              <w:spacing w:line="240" w:lineRule="auto"/>
              <w:jc w:val="center"/>
              <w:textAlignment w:val="center"/>
              <w:rPr>
                <w:rFonts w:hint="default" w:ascii="Times New Roman" w:hAnsi="Times New Roman" w:cs="Times New Roman"/>
                <w:color w:val="FF0000"/>
                <w:sz w:val="21"/>
                <w:szCs w:val="21"/>
              </w:rPr>
            </w:pPr>
            <w:r>
              <w:rPr>
                <w:rFonts w:hint="default" w:ascii="Times New Roman" w:hAnsi="Times New Roman" w:eastAsia="宋体" w:cs="Times New Roman"/>
                <w:i w:val="0"/>
                <w:iCs w:val="0"/>
                <w:color w:val="FF0000"/>
                <w:kern w:val="0"/>
                <w:sz w:val="21"/>
                <w:szCs w:val="21"/>
                <w:u w:val="none"/>
                <w:lang w:val="en-US" w:eastAsia="zh-CN" w:bidi="ar"/>
              </w:rPr>
              <w:t>17</w:t>
            </w:r>
          </w:p>
        </w:tc>
        <w:tc>
          <w:tcPr>
            <w:tcW w:w="447" w:type="pct"/>
            <w:tcBorders>
              <w:tl2br w:val="nil"/>
              <w:tr2bl w:val="nil"/>
            </w:tcBorders>
            <w:shd w:val="clear" w:color="auto" w:fill="auto"/>
            <w:vAlign w:val="center"/>
          </w:tcPr>
          <w:p w14:paraId="3E348C1E">
            <w:pPr>
              <w:pStyle w:val="128"/>
              <w:spacing w:line="240" w:lineRule="auto"/>
              <w:jc w:val="center"/>
              <w:rPr>
                <w:rFonts w:hint="default" w:ascii="Times New Roman" w:hAnsi="Times New Roman" w:eastAsia="宋体" w:cs="Times New Roman"/>
                <w:color w:val="FF0000"/>
                <w:kern w:val="2"/>
                <w:sz w:val="21"/>
                <w:szCs w:val="21"/>
                <w:lang w:val="zh-TW" w:eastAsia="zh-TW" w:bidi="zh-TW"/>
              </w:rPr>
            </w:pPr>
            <w:r>
              <w:rPr>
                <w:rFonts w:hint="default" w:ascii="Times New Roman" w:hAnsi="Times New Roman" w:cs="Times New Roman"/>
                <w:color w:val="FF0000"/>
                <w:sz w:val="21"/>
                <w:szCs w:val="21"/>
              </w:rPr>
              <w:t>齿轮、轴承</w:t>
            </w:r>
          </w:p>
        </w:tc>
        <w:tc>
          <w:tcPr>
            <w:tcW w:w="488" w:type="pct"/>
            <w:tcBorders>
              <w:tl2br w:val="nil"/>
              <w:tr2bl w:val="nil"/>
            </w:tcBorders>
            <w:shd w:val="clear" w:color="auto" w:fill="auto"/>
            <w:vAlign w:val="center"/>
          </w:tcPr>
          <w:p w14:paraId="4DAF008E">
            <w:pPr>
              <w:pStyle w:val="128"/>
              <w:spacing w:line="240" w:lineRule="auto"/>
              <w:jc w:val="center"/>
              <w:rPr>
                <w:rFonts w:hint="default" w:ascii="Times New Roman" w:hAnsi="Times New Roman" w:cs="Times New Roman"/>
                <w:color w:val="FF0000"/>
                <w:sz w:val="21"/>
                <w:szCs w:val="21"/>
                <w:lang w:val="en-US" w:eastAsia="en-US"/>
              </w:rPr>
            </w:pPr>
            <w:r>
              <w:rPr>
                <w:rFonts w:hint="default" w:ascii="Times New Roman" w:hAnsi="Times New Roman" w:cs="Times New Roman"/>
                <w:color w:val="FF0000"/>
                <w:sz w:val="21"/>
                <w:szCs w:val="21"/>
              </w:rPr>
              <w:t>30~60</w:t>
            </w:r>
          </w:p>
        </w:tc>
        <w:tc>
          <w:tcPr>
            <w:tcW w:w="561" w:type="pct"/>
            <w:tcBorders>
              <w:tl2br w:val="nil"/>
              <w:tr2bl w:val="nil"/>
            </w:tcBorders>
            <w:shd w:val="clear" w:color="auto" w:fill="auto"/>
            <w:vAlign w:val="center"/>
          </w:tcPr>
          <w:p w14:paraId="308DD5EB">
            <w:pPr>
              <w:pStyle w:val="128"/>
              <w:spacing w:line="240" w:lineRule="auto"/>
              <w:jc w:val="center"/>
              <w:rPr>
                <w:rFonts w:hint="default" w:ascii="Times New Roman" w:hAnsi="Times New Roman" w:cs="Times New Roman"/>
                <w:color w:val="FF0000"/>
                <w:sz w:val="21"/>
                <w:szCs w:val="21"/>
              </w:rPr>
            </w:pPr>
            <w:r>
              <w:rPr>
                <w:rFonts w:hint="default" w:ascii="Times New Roman" w:hAnsi="Times New Roman" w:cs="Times New Roman"/>
                <w:color w:val="FF0000"/>
                <w:sz w:val="21"/>
                <w:szCs w:val="21"/>
              </w:rPr>
              <w:t>50~200</w:t>
            </w:r>
          </w:p>
        </w:tc>
        <w:tc>
          <w:tcPr>
            <w:tcW w:w="500" w:type="pct"/>
            <w:tcBorders>
              <w:tl2br w:val="nil"/>
              <w:tr2bl w:val="nil"/>
            </w:tcBorders>
            <w:shd w:val="clear" w:color="auto" w:fill="auto"/>
            <w:vAlign w:val="center"/>
          </w:tcPr>
          <w:p w14:paraId="14129908">
            <w:pPr>
              <w:pStyle w:val="128"/>
              <w:spacing w:line="240" w:lineRule="auto"/>
              <w:jc w:val="center"/>
              <w:rPr>
                <w:rFonts w:hint="default" w:ascii="Times New Roman" w:hAnsi="Times New Roman" w:cs="Times New Roman"/>
                <w:color w:val="FF0000"/>
                <w:sz w:val="21"/>
                <w:szCs w:val="21"/>
              </w:rPr>
            </w:pPr>
            <w:r>
              <w:rPr>
                <w:rFonts w:hint="default" w:ascii="Times New Roman" w:hAnsi="Times New Roman" w:cs="Times New Roman"/>
                <w:color w:val="FF0000"/>
                <w:sz w:val="21"/>
                <w:szCs w:val="21"/>
              </w:rPr>
              <w:t>50~300</w:t>
            </w:r>
          </w:p>
        </w:tc>
        <w:tc>
          <w:tcPr>
            <w:tcW w:w="524" w:type="pct"/>
            <w:tcBorders>
              <w:tl2br w:val="nil"/>
              <w:tr2bl w:val="nil"/>
            </w:tcBorders>
            <w:shd w:val="clear" w:color="auto" w:fill="auto"/>
            <w:vAlign w:val="center"/>
          </w:tcPr>
          <w:p w14:paraId="7A0E7A7D">
            <w:pPr>
              <w:pStyle w:val="128"/>
              <w:spacing w:line="240" w:lineRule="auto"/>
              <w:jc w:val="center"/>
              <w:rPr>
                <w:rFonts w:hint="default" w:ascii="Times New Roman" w:hAnsi="Times New Roman" w:cs="Times New Roman"/>
                <w:color w:val="FF0000"/>
                <w:sz w:val="21"/>
                <w:szCs w:val="21"/>
              </w:rPr>
            </w:pPr>
            <w:r>
              <w:rPr>
                <w:rFonts w:hint="default" w:ascii="Times New Roman" w:hAnsi="Times New Roman" w:cs="Times New Roman"/>
                <w:color w:val="FF0000"/>
                <w:sz w:val="21"/>
                <w:szCs w:val="21"/>
              </w:rPr>
              <w:t>40~300</w:t>
            </w:r>
          </w:p>
        </w:tc>
        <w:tc>
          <w:tcPr>
            <w:tcW w:w="573" w:type="pct"/>
            <w:tcBorders>
              <w:tl2br w:val="nil"/>
              <w:tr2bl w:val="nil"/>
            </w:tcBorders>
            <w:shd w:val="clear" w:color="auto" w:fill="auto"/>
            <w:vAlign w:val="center"/>
          </w:tcPr>
          <w:p w14:paraId="51AFF847">
            <w:pPr>
              <w:pStyle w:val="128"/>
              <w:spacing w:line="240" w:lineRule="auto"/>
              <w:jc w:val="center"/>
              <w:rPr>
                <w:rFonts w:hint="default" w:ascii="Times New Roman" w:hAnsi="Times New Roman" w:cs="Times New Roman"/>
                <w:color w:val="FF0000"/>
                <w:sz w:val="21"/>
                <w:szCs w:val="21"/>
              </w:rPr>
            </w:pPr>
            <w:r>
              <w:rPr>
                <w:rFonts w:hint="default" w:ascii="Times New Roman" w:hAnsi="Times New Roman" w:cs="Times New Roman"/>
                <w:color w:val="FF0000"/>
                <w:sz w:val="21"/>
                <w:szCs w:val="21"/>
              </w:rPr>
              <w:t>有色金属</w:t>
            </w:r>
          </w:p>
        </w:tc>
        <w:tc>
          <w:tcPr>
            <w:tcW w:w="1733" w:type="pct"/>
            <w:tcBorders>
              <w:tl2br w:val="nil"/>
              <w:tr2bl w:val="nil"/>
            </w:tcBorders>
            <w:shd w:val="clear" w:color="auto" w:fill="auto"/>
            <w:vAlign w:val="center"/>
          </w:tcPr>
          <w:p w14:paraId="322835AB">
            <w:pPr>
              <w:spacing w:line="240" w:lineRule="auto"/>
              <w:jc w:val="center"/>
              <w:rPr>
                <w:rFonts w:hint="default" w:ascii="Times New Roman" w:hAnsi="Times New Roman" w:cs="Times New Roman"/>
                <w:color w:val="FF0000"/>
                <w:sz w:val="21"/>
                <w:szCs w:val="21"/>
              </w:rPr>
            </w:pPr>
            <w:r>
              <w:rPr>
                <w:rFonts w:hint="default" w:ascii="Times New Roman" w:hAnsi="Times New Roman" w:eastAsia="宋体" w:cs="Times New Roman"/>
                <w:color w:val="FF0000"/>
                <w:spacing w:val="-1"/>
                <w:sz w:val="21"/>
                <w:szCs w:val="21"/>
              </w:rPr>
              <w:t>交由具有相应处理能力或经营范围的单位利</w:t>
            </w:r>
            <w:r>
              <w:rPr>
                <w:rFonts w:hint="default" w:ascii="Times New Roman" w:hAnsi="Times New Roman" w:eastAsia="宋体" w:cs="Times New Roman"/>
                <w:color w:val="FF0000"/>
                <w:spacing w:val="-2"/>
                <w:sz w:val="21"/>
                <w:szCs w:val="21"/>
              </w:rPr>
              <w:t>用和处置</w:t>
            </w:r>
          </w:p>
        </w:tc>
      </w:tr>
      <w:tr w14:paraId="691F38C1">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 w:type="dxa"/>
            <w:bottom w:w="0" w:type="dxa"/>
            <w:right w:w="10" w:type="dxa"/>
          </w:tblCellMar>
        </w:tblPrEx>
        <w:trPr>
          <w:trHeight w:val="23" w:hRule="atLeast"/>
          <w:jc w:val="center"/>
        </w:trPr>
        <w:tc>
          <w:tcPr>
            <w:tcW w:w="171" w:type="pct"/>
            <w:tcBorders>
              <w:tl2br w:val="nil"/>
              <w:tr2bl w:val="nil"/>
            </w:tcBorders>
            <w:shd w:val="clear" w:color="auto" w:fill="auto"/>
            <w:vAlign w:val="center"/>
          </w:tcPr>
          <w:p w14:paraId="780BEAD1">
            <w:pPr>
              <w:keepNext w:val="0"/>
              <w:keepLines w:val="0"/>
              <w:widowControl/>
              <w:suppressLineNumbers w:val="0"/>
              <w:spacing w:line="240" w:lineRule="auto"/>
              <w:jc w:val="center"/>
              <w:textAlignment w:val="center"/>
              <w:rPr>
                <w:rFonts w:hint="default" w:ascii="Times New Roman" w:hAnsi="Times New Roman" w:cs="Times New Roman"/>
                <w:color w:val="FF0000"/>
                <w:sz w:val="21"/>
                <w:szCs w:val="21"/>
              </w:rPr>
            </w:pPr>
            <w:r>
              <w:rPr>
                <w:rFonts w:hint="default" w:ascii="Times New Roman" w:hAnsi="Times New Roman" w:eastAsia="宋体" w:cs="Times New Roman"/>
                <w:i w:val="0"/>
                <w:iCs w:val="0"/>
                <w:color w:val="FF0000"/>
                <w:kern w:val="0"/>
                <w:sz w:val="21"/>
                <w:szCs w:val="21"/>
                <w:u w:val="none"/>
                <w:lang w:val="en-US" w:eastAsia="zh-CN" w:bidi="ar"/>
              </w:rPr>
              <w:t>18</w:t>
            </w:r>
          </w:p>
        </w:tc>
        <w:tc>
          <w:tcPr>
            <w:tcW w:w="447" w:type="pct"/>
            <w:tcBorders>
              <w:tl2br w:val="nil"/>
              <w:tr2bl w:val="nil"/>
            </w:tcBorders>
            <w:shd w:val="clear" w:color="auto" w:fill="auto"/>
            <w:vAlign w:val="center"/>
          </w:tcPr>
          <w:p w14:paraId="1F7C845A">
            <w:pPr>
              <w:pStyle w:val="128"/>
              <w:spacing w:line="240" w:lineRule="auto"/>
              <w:jc w:val="center"/>
              <w:rPr>
                <w:rFonts w:hint="default" w:ascii="Times New Roman" w:hAnsi="Times New Roman" w:eastAsia="宋体" w:cs="Times New Roman"/>
                <w:color w:val="FF0000"/>
                <w:kern w:val="2"/>
                <w:sz w:val="21"/>
                <w:szCs w:val="21"/>
                <w:lang w:val="zh-TW" w:eastAsia="zh-TW" w:bidi="zh-TW"/>
              </w:rPr>
            </w:pPr>
            <w:r>
              <w:rPr>
                <w:rFonts w:hint="default" w:ascii="Times New Roman" w:hAnsi="Times New Roman" w:cs="Times New Roman"/>
                <w:color w:val="FF0000"/>
                <w:sz w:val="21"/>
                <w:szCs w:val="21"/>
              </w:rPr>
              <w:t>玻璃</w:t>
            </w:r>
          </w:p>
        </w:tc>
        <w:tc>
          <w:tcPr>
            <w:tcW w:w="488" w:type="pct"/>
            <w:tcBorders>
              <w:tl2br w:val="nil"/>
              <w:tr2bl w:val="nil"/>
            </w:tcBorders>
            <w:shd w:val="clear" w:color="auto" w:fill="auto"/>
            <w:vAlign w:val="center"/>
          </w:tcPr>
          <w:p w14:paraId="511F82D6">
            <w:pPr>
              <w:pStyle w:val="128"/>
              <w:spacing w:line="240" w:lineRule="auto"/>
              <w:jc w:val="center"/>
              <w:rPr>
                <w:rFonts w:hint="default" w:ascii="Times New Roman" w:hAnsi="Times New Roman" w:cs="Times New Roman"/>
                <w:color w:val="FF0000"/>
                <w:sz w:val="21"/>
                <w:szCs w:val="21"/>
                <w:lang w:val="en-US" w:eastAsia="en-US"/>
              </w:rPr>
            </w:pPr>
            <w:r>
              <w:rPr>
                <w:rFonts w:hint="default" w:ascii="Times New Roman" w:hAnsi="Times New Roman" w:cs="Times New Roman"/>
                <w:color w:val="FF0000"/>
                <w:sz w:val="21"/>
                <w:szCs w:val="21"/>
              </w:rPr>
              <w:t>25~60</w:t>
            </w:r>
          </w:p>
        </w:tc>
        <w:tc>
          <w:tcPr>
            <w:tcW w:w="561" w:type="pct"/>
            <w:tcBorders>
              <w:tl2br w:val="nil"/>
              <w:tr2bl w:val="nil"/>
            </w:tcBorders>
            <w:shd w:val="clear" w:color="auto" w:fill="auto"/>
            <w:vAlign w:val="center"/>
          </w:tcPr>
          <w:p w14:paraId="58ACAA4F">
            <w:pPr>
              <w:pStyle w:val="128"/>
              <w:spacing w:line="240" w:lineRule="auto"/>
              <w:jc w:val="center"/>
              <w:rPr>
                <w:rFonts w:hint="default" w:ascii="Times New Roman" w:hAnsi="Times New Roman" w:cs="Times New Roman"/>
                <w:color w:val="FF0000"/>
                <w:sz w:val="21"/>
                <w:szCs w:val="21"/>
              </w:rPr>
            </w:pPr>
            <w:r>
              <w:rPr>
                <w:rFonts w:hint="default" w:ascii="Times New Roman" w:hAnsi="Times New Roman" w:cs="Times New Roman"/>
                <w:color w:val="FF0000"/>
                <w:sz w:val="21"/>
                <w:szCs w:val="21"/>
              </w:rPr>
              <w:t>50~200</w:t>
            </w:r>
          </w:p>
        </w:tc>
        <w:tc>
          <w:tcPr>
            <w:tcW w:w="500" w:type="pct"/>
            <w:tcBorders>
              <w:tl2br w:val="nil"/>
              <w:tr2bl w:val="nil"/>
            </w:tcBorders>
            <w:shd w:val="clear" w:color="auto" w:fill="auto"/>
            <w:vAlign w:val="center"/>
          </w:tcPr>
          <w:p w14:paraId="4CF06B12">
            <w:pPr>
              <w:pStyle w:val="128"/>
              <w:spacing w:line="240" w:lineRule="auto"/>
              <w:jc w:val="center"/>
              <w:rPr>
                <w:rFonts w:hint="default" w:ascii="Times New Roman" w:hAnsi="Times New Roman" w:cs="Times New Roman"/>
                <w:color w:val="FF0000"/>
                <w:sz w:val="21"/>
                <w:szCs w:val="21"/>
              </w:rPr>
            </w:pPr>
            <w:r>
              <w:rPr>
                <w:rFonts w:hint="default" w:ascii="Times New Roman" w:hAnsi="Times New Roman" w:cs="Times New Roman"/>
                <w:color w:val="FF0000"/>
                <w:sz w:val="21"/>
                <w:szCs w:val="21"/>
              </w:rPr>
              <w:t>20~40</w:t>
            </w:r>
          </w:p>
        </w:tc>
        <w:tc>
          <w:tcPr>
            <w:tcW w:w="524" w:type="pct"/>
            <w:tcBorders>
              <w:tl2br w:val="nil"/>
              <w:tr2bl w:val="nil"/>
            </w:tcBorders>
            <w:shd w:val="clear" w:color="auto" w:fill="auto"/>
            <w:vAlign w:val="center"/>
          </w:tcPr>
          <w:p w14:paraId="790E780A">
            <w:pPr>
              <w:pStyle w:val="128"/>
              <w:spacing w:line="240" w:lineRule="auto"/>
              <w:jc w:val="center"/>
              <w:rPr>
                <w:rFonts w:hint="default" w:ascii="Times New Roman" w:hAnsi="Times New Roman" w:cs="Times New Roman"/>
                <w:color w:val="FF0000"/>
                <w:sz w:val="21"/>
                <w:szCs w:val="21"/>
              </w:rPr>
            </w:pPr>
            <w:r>
              <w:rPr>
                <w:rFonts w:hint="default" w:ascii="Times New Roman" w:hAnsi="Times New Roman" w:cs="Times New Roman"/>
                <w:color w:val="FF0000"/>
                <w:sz w:val="21"/>
                <w:szCs w:val="21"/>
              </w:rPr>
              <w:t>20~200</w:t>
            </w:r>
          </w:p>
        </w:tc>
        <w:tc>
          <w:tcPr>
            <w:tcW w:w="573" w:type="pct"/>
            <w:tcBorders>
              <w:tl2br w:val="nil"/>
              <w:tr2bl w:val="nil"/>
            </w:tcBorders>
            <w:shd w:val="clear" w:color="auto" w:fill="auto"/>
            <w:vAlign w:val="center"/>
          </w:tcPr>
          <w:p w14:paraId="050B027F">
            <w:pPr>
              <w:pStyle w:val="128"/>
              <w:spacing w:line="240" w:lineRule="auto"/>
              <w:jc w:val="center"/>
              <w:rPr>
                <w:rFonts w:hint="default" w:ascii="Times New Roman" w:hAnsi="Times New Roman" w:cs="Times New Roman"/>
                <w:color w:val="FF0000"/>
                <w:sz w:val="21"/>
                <w:szCs w:val="21"/>
              </w:rPr>
            </w:pPr>
            <w:r>
              <w:rPr>
                <w:rFonts w:hint="default" w:ascii="Times New Roman" w:hAnsi="Times New Roman" w:cs="Times New Roman"/>
                <w:color w:val="FF0000"/>
                <w:sz w:val="21"/>
                <w:szCs w:val="21"/>
              </w:rPr>
              <w:t>钢化玻璃、夹层玻璃</w:t>
            </w:r>
          </w:p>
        </w:tc>
        <w:tc>
          <w:tcPr>
            <w:tcW w:w="1733" w:type="pct"/>
            <w:tcBorders>
              <w:tl2br w:val="nil"/>
              <w:tr2bl w:val="nil"/>
            </w:tcBorders>
            <w:shd w:val="clear" w:color="auto" w:fill="auto"/>
            <w:vAlign w:val="center"/>
          </w:tcPr>
          <w:p w14:paraId="3CBBC354">
            <w:pPr>
              <w:pStyle w:val="128"/>
              <w:spacing w:line="240" w:lineRule="auto"/>
              <w:jc w:val="center"/>
              <w:rPr>
                <w:rFonts w:hint="default" w:ascii="Times New Roman" w:hAnsi="Times New Roman" w:cs="Times New Roman"/>
                <w:color w:val="FF0000"/>
                <w:sz w:val="21"/>
                <w:szCs w:val="21"/>
              </w:rPr>
            </w:pPr>
            <w:r>
              <w:rPr>
                <w:rFonts w:hint="default" w:ascii="Times New Roman" w:hAnsi="Times New Roman" w:eastAsia="宋体" w:cs="Times New Roman"/>
                <w:color w:val="FF0000"/>
                <w:spacing w:val="-1"/>
                <w:sz w:val="21"/>
                <w:szCs w:val="21"/>
              </w:rPr>
              <w:t>交由具有相应处理能力或经营范围的单位利</w:t>
            </w:r>
            <w:r>
              <w:rPr>
                <w:rFonts w:hint="default" w:ascii="Times New Roman" w:hAnsi="Times New Roman" w:eastAsia="宋体" w:cs="Times New Roman"/>
                <w:color w:val="FF0000"/>
                <w:spacing w:val="-2"/>
                <w:sz w:val="21"/>
                <w:szCs w:val="21"/>
              </w:rPr>
              <w:t>用和处置</w:t>
            </w:r>
          </w:p>
        </w:tc>
      </w:tr>
      <w:tr w14:paraId="2EC23FA5">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 w:type="dxa"/>
            <w:bottom w:w="0" w:type="dxa"/>
            <w:right w:w="10" w:type="dxa"/>
          </w:tblCellMar>
        </w:tblPrEx>
        <w:trPr>
          <w:trHeight w:val="23" w:hRule="atLeast"/>
          <w:jc w:val="center"/>
        </w:trPr>
        <w:tc>
          <w:tcPr>
            <w:tcW w:w="171" w:type="pct"/>
            <w:tcBorders>
              <w:tl2br w:val="nil"/>
              <w:tr2bl w:val="nil"/>
            </w:tcBorders>
            <w:shd w:val="clear" w:color="auto" w:fill="auto"/>
            <w:vAlign w:val="center"/>
          </w:tcPr>
          <w:p w14:paraId="4E2CA6EB">
            <w:pPr>
              <w:keepNext w:val="0"/>
              <w:keepLines w:val="0"/>
              <w:widowControl/>
              <w:suppressLineNumbers w:val="0"/>
              <w:spacing w:line="240" w:lineRule="auto"/>
              <w:jc w:val="center"/>
              <w:textAlignment w:val="center"/>
              <w:rPr>
                <w:rFonts w:hint="default" w:ascii="Times New Roman" w:hAnsi="Times New Roman" w:cs="Times New Roman"/>
                <w:color w:val="FF0000"/>
                <w:sz w:val="21"/>
                <w:szCs w:val="21"/>
              </w:rPr>
            </w:pPr>
            <w:r>
              <w:rPr>
                <w:rFonts w:hint="default" w:ascii="Times New Roman" w:hAnsi="Times New Roman" w:eastAsia="宋体" w:cs="Times New Roman"/>
                <w:i w:val="0"/>
                <w:iCs w:val="0"/>
                <w:color w:val="FF0000"/>
                <w:kern w:val="0"/>
                <w:sz w:val="21"/>
                <w:szCs w:val="21"/>
                <w:u w:val="none"/>
                <w:lang w:val="en-US" w:eastAsia="zh-CN" w:bidi="ar"/>
              </w:rPr>
              <w:t>19</w:t>
            </w:r>
          </w:p>
        </w:tc>
        <w:tc>
          <w:tcPr>
            <w:tcW w:w="447" w:type="pct"/>
            <w:tcBorders>
              <w:tl2br w:val="nil"/>
              <w:tr2bl w:val="nil"/>
            </w:tcBorders>
            <w:shd w:val="clear" w:color="auto" w:fill="auto"/>
            <w:vAlign w:val="center"/>
          </w:tcPr>
          <w:p w14:paraId="72823962">
            <w:pPr>
              <w:pStyle w:val="128"/>
              <w:spacing w:line="240" w:lineRule="auto"/>
              <w:jc w:val="center"/>
              <w:rPr>
                <w:rFonts w:hint="default" w:ascii="Times New Roman" w:hAnsi="Times New Roman" w:eastAsia="宋体" w:cs="Times New Roman"/>
                <w:color w:val="FF0000"/>
                <w:kern w:val="2"/>
                <w:sz w:val="21"/>
                <w:szCs w:val="21"/>
                <w:lang w:val="zh-TW" w:eastAsia="zh-TW" w:bidi="zh-TW"/>
              </w:rPr>
            </w:pPr>
            <w:r>
              <w:rPr>
                <w:rFonts w:hint="default" w:ascii="Times New Roman" w:hAnsi="Times New Roman" w:cs="Times New Roman"/>
                <w:color w:val="FF0000"/>
                <w:sz w:val="21"/>
                <w:szCs w:val="21"/>
              </w:rPr>
              <w:t>安全气囊（已引爆）及安全带</w:t>
            </w:r>
          </w:p>
        </w:tc>
        <w:tc>
          <w:tcPr>
            <w:tcW w:w="488" w:type="pct"/>
            <w:tcBorders>
              <w:tl2br w:val="nil"/>
              <w:tr2bl w:val="nil"/>
            </w:tcBorders>
            <w:shd w:val="clear" w:color="auto" w:fill="auto"/>
            <w:vAlign w:val="center"/>
          </w:tcPr>
          <w:p w14:paraId="4154D3B5">
            <w:pPr>
              <w:pStyle w:val="128"/>
              <w:spacing w:line="240" w:lineRule="auto"/>
              <w:jc w:val="center"/>
              <w:rPr>
                <w:rFonts w:hint="default" w:ascii="Times New Roman" w:hAnsi="Times New Roman" w:cs="Times New Roman"/>
                <w:color w:val="FF0000"/>
                <w:sz w:val="21"/>
                <w:szCs w:val="21"/>
                <w:lang w:val="en-US" w:eastAsia="en-US"/>
              </w:rPr>
            </w:pPr>
            <w:r>
              <w:rPr>
                <w:rFonts w:hint="default" w:ascii="Times New Roman" w:hAnsi="Times New Roman" w:cs="Times New Roman"/>
                <w:color w:val="FF0000"/>
                <w:sz w:val="21"/>
                <w:szCs w:val="21"/>
              </w:rPr>
              <w:t>2~5</w:t>
            </w:r>
          </w:p>
        </w:tc>
        <w:tc>
          <w:tcPr>
            <w:tcW w:w="561" w:type="pct"/>
            <w:tcBorders>
              <w:tl2br w:val="nil"/>
              <w:tr2bl w:val="nil"/>
            </w:tcBorders>
            <w:shd w:val="clear" w:color="auto" w:fill="auto"/>
            <w:vAlign w:val="center"/>
          </w:tcPr>
          <w:p w14:paraId="64E3F0D6">
            <w:pPr>
              <w:pStyle w:val="128"/>
              <w:spacing w:line="240" w:lineRule="auto"/>
              <w:jc w:val="center"/>
              <w:rPr>
                <w:rFonts w:hint="default" w:ascii="Times New Roman" w:hAnsi="Times New Roman" w:cs="Times New Roman"/>
                <w:color w:val="FF0000"/>
                <w:sz w:val="21"/>
                <w:szCs w:val="21"/>
              </w:rPr>
            </w:pPr>
            <w:r>
              <w:rPr>
                <w:rFonts w:hint="default" w:ascii="Times New Roman" w:hAnsi="Times New Roman" w:cs="Times New Roman"/>
                <w:color w:val="FF0000"/>
                <w:sz w:val="21"/>
                <w:szCs w:val="21"/>
              </w:rPr>
              <w:t>1~5</w:t>
            </w:r>
          </w:p>
        </w:tc>
        <w:tc>
          <w:tcPr>
            <w:tcW w:w="500" w:type="pct"/>
            <w:tcBorders>
              <w:tl2br w:val="nil"/>
              <w:tr2bl w:val="nil"/>
            </w:tcBorders>
            <w:shd w:val="clear" w:color="auto" w:fill="auto"/>
            <w:vAlign w:val="center"/>
          </w:tcPr>
          <w:p w14:paraId="2A24A175">
            <w:pPr>
              <w:pStyle w:val="128"/>
              <w:spacing w:line="240" w:lineRule="auto"/>
              <w:jc w:val="center"/>
              <w:rPr>
                <w:rFonts w:hint="default" w:ascii="Times New Roman" w:hAnsi="Times New Roman" w:cs="Times New Roman"/>
                <w:color w:val="FF0000"/>
                <w:sz w:val="21"/>
                <w:szCs w:val="21"/>
              </w:rPr>
            </w:pPr>
            <w:r>
              <w:rPr>
                <w:rFonts w:hint="default" w:ascii="Times New Roman" w:hAnsi="Times New Roman" w:cs="Times New Roman"/>
                <w:color w:val="FF0000"/>
                <w:sz w:val="21"/>
                <w:szCs w:val="21"/>
              </w:rPr>
              <w:t>1~8</w:t>
            </w:r>
          </w:p>
        </w:tc>
        <w:tc>
          <w:tcPr>
            <w:tcW w:w="524" w:type="pct"/>
            <w:tcBorders>
              <w:tl2br w:val="nil"/>
              <w:tr2bl w:val="nil"/>
            </w:tcBorders>
            <w:shd w:val="clear" w:color="auto" w:fill="auto"/>
            <w:vAlign w:val="center"/>
          </w:tcPr>
          <w:p w14:paraId="3C03063F">
            <w:pPr>
              <w:pStyle w:val="128"/>
              <w:spacing w:line="240" w:lineRule="auto"/>
              <w:jc w:val="center"/>
              <w:rPr>
                <w:rFonts w:hint="default" w:ascii="Times New Roman" w:hAnsi="Times New Roman" w:cs="Times New Roman"/>
                <w:color w:val="FF0000"/>
                <w:sz w:val="21"/>
                <w:szCs w:val="21"/>
              </w:rPr>
            </w:pPr>
            <w:r>
              <w:rPr>
                <w:rFonts w:hint="default" w:ascii="Times New Roman" w:hAnsi="Times New Roman" w:cs="Times New Roman"/>
                <w:color w:val="FF0000"/>
                <w:sz w:val="21"/>
                <w:szCs w:val="21"/>
              </w:rPr>
              <w:t>1~8</w:t>
            </w:r>
          </w:p>
        </w:tc>
        <w:tc>
          <w:tcPr>
            <w:tcW w:w="573" w:type="pct"/>
            <w:tcBorders>
              <w:tl2br w:val="nil"/>
              <w:tr2bl w:val="nil"/>
            </w:tcBorders>
            <w:shd w:val="clear" w:color="auto" w:fill="auto"/>
            <w:vAlign w:val="center"/>
          </w:tcPr>
          <w:p w14:paraId="1279EE8D">
            <w:pPr>
              <w:pStyle w:val="128"/>
              <w:spacing w:line="240" w:lineRule="auto"/>
              <w:jc w:val="center"/>
              <w:rPr>
                <w:rFonts w:hint="default" w:ascii="Times New Roman" w:hAnsi="Times New Roman" w:cs="Times New Roman"/>
                <w:color w:val="FF0000"/>
                <w:sz w:val="21"/>
                <w:szCs w:val="21"/>
              </w:rPr>
            </w:pPr>
            <w:r>
              <w:rPr>
                <w:rFonts w:hint="default" w:ascii="Times New Roman" w:hAnsi="Times New Roman" w:cs="Times New Roman"/>
                <w:color w:val="FF0000"/>
                <w:sz w:val="21"/>
                <w:szCs w:val="21"/>
              </w:rPr>
              <w:t>尼龙、无纺布</w:t>
            </w:r>
          </w:p>
        </w:tc>
        <w:tc>
          <w:tcPr>
            <w:tcW w:w="1733" w:type="pct"/>
            <w:tcBorders>
              <w:tl2br w:val="nil"/>
              <w:tr2bl w:val="nil"/>
            </w:tcBorders>
            <w:shd w:val="clear" w:color="auto" w:fill="auto"/>
            <w:vAlign w:val="center"/>
          </w:tcPr>
          <w:p w14:paraId="6D2DBC20">
            <w:pPr>
              <w:pStyle w:val="128"/>
              <w:spacing w:line="240" w:lineRule="auto"/>
              <w:jc w:val="center"/>
              <w:rPr>
                <w:rFonts w:hint="default" w:ascii="Times New Roman" w:hAnsi="Times New Roman" w:cs="Times New Roman"/>
                <w:color w:val="FF0000"/>
                <w:sz w:val="21"/>
                <w:szCs w:val="21"/>
              </w:rPr>
            </w:pPr>
            <w:r>
              <w:rPr>
                <w:rFonts w:hint="default" w:ascii="Times New Roman" w:hAnsi="Times New Roman" w:eastAsia="宋体" w:cs="Times New Roman"/>
                <w:color w:val="FF0000"/>
                <w:spacing w:val="-1"/>
                <w:sz w:val="21"/>
                <w:szCs w:val="21"/>
              </w:rPr>
              <w:t>交由具有相应处理能力或经营范围的单位利</w:t>
            </w:r>
            <w:r>
              <w:rPr>
                <w:rFonts w:hint="default" w:ascii="Times New Roman" w:hAnsi="Times New Roman" w:eastAsia="宋体" w:cs="Times New Roman"/>
                <w:color w:val="FF0000"/>
                <w:spacing w:val="-2"/>
                <w:sz w:val="21"/>
                <w:szCs w:val="21"/>
              </w:rPr>
              <w:t>用和处置</w:t>
            </w:r>
          </w:p>
        </w:tc>
      </w:tr>
      <w:tr w14:paraId="3859429D">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 w:type="dxa"/>
            <w:bottom w:w="0" w:type="dxa"/>
            <w:right w:w="10" w:type="dxa"/>
          </w:tblCellMar>
        </w:tblPrEx>
        <w:trPr>
          <w:trHeight w:val="23" w:hRule="atLeast"/>
          <w:jc w:val="center"/>
        </w:trPr>
        <w:tc>
          <w:tcPr>
            <w:tcW w:w="171" w:type="pct"/>
            <w:tcBorders>
              <w:tl2br w:val="nil"/>
              <w:tr2bl w:val="nil"/>
            </w:tcBorders>
            <w:shd w:val="clear" w:color="auto" w:fill="auto"/>
            <w:vAlign w:val="center"/>
          </w:tcPr>
          <w:p w14:paraId="7DED1009">
            <w:pPr>
              <w:keepNext w:val="0"/>
              <w:keepLines w:val="0"/>
              <w:widowControl/>
              <w:suppressLineNumbers w:val="0"/>
              <w:spacing w:line="240" w:lineRule="auto"/>
              <w:jc w:val="center"/>
              <w:textAlignment w:val="center"/>
              <w:rPr>
                <w:rFonts w:hint="default" w:ascii="Times New Roman" w:hAnsi="Times New Roman" w:cs="Times New Roman"/>
                <w:color w:val="FF0000"/>
                <w:sz w:val="21"/>
                <w:szCs w:val="21"/>
              </w:rPr>
            </w:pPr>
            <w:r>
              <w:rPr>
                <w:rFonts w:hint="default" w:ascii="Times New Roman" w:hAnsi="Times New Roman" w:eastAsia="宋体" w:cs="Times New Roman"/>
                <w:i w:val="0"/>
                <w:iCs w:val="0"/>
                <w:color w:val="FF0000"/>
                <w:kern w:val="0"/>
                <w:sz w:val="21"/>
                <w:szCs w:val="21"/>
                <w:u w:val="none"/>
                <w:lang w:val="en-US" w:eastAsia="zh-CN" w:bidi="ar"/>
              </w:rPr>
              <w:t>20</w:t>
            </w:r>
          </w:p>
        </w:tc>
        <w:tc>
          <w:tcPr>
            <w:tcW w:w="447" w:type="pct"/>
            <w:tcBorders>
              <w:tl2br w:val="nil"/>
              <w:tr2bl w:val="nil"/>
            </w:tcBorders>
            <w:shd w:val="clear" w:color="auto" w:fill="auto"/>
            <w:vAlign w:val="center"/>
          </w:tcPr>
          <w:p w14:paraId="7991AA05">
            <w:pPr>
              <w:pStyle w:val="128"/>
              <w:spacing w:line="240" w:lineRule="auto"/>
              <w:jc w:val="center"/>
              <w:rPr>
                <w:rFonts w:hint="default" w:ascii="Times New Roman" w:hAnsi="Times New Roman" w:eastAsia="宋体" w:cs="Times New Roman"/>
                <w:color w:val="FF0000"/>
                <w:kern w:val="2"/>
                <w:sz w:val="21"/>
                <w:szCs w:val="21"/>
                <w:lang w:val="en-US" w:eastAsia="zh-CN" w:bidi="zh-TW"/>
              </w:rPr>
            </w:pPr>
            <w:r>
              <w:rPr>
                <w:rFonts w:hint="eastAsia" w:ascii="Times New Roman" w:hAnsi="Times New Roman" w:cs="Times New Roman"/>
                <w:color w:val="FF0000"/>
                <w:sz w:val="21"/>
                <w:szCs w:val="21"/>
                <w:lang w:val="en-US" w:eastAsia="zh-CN"/>
              </w:rPr>
              <w:t>动力电池</w:t>
            </w:r>
          </w:p>
        </w:tc>
        <w:tc>
          <w:tcPr>
            <w:tcW w:w="488" w:type="pct"/>
            <w:tcBorders>
              <w:tl2br w:val="nil"/>
              <w:tr2bl w:val="nil"/>
            </w:tcBorders>
            <w:shd w:val="clear" w:color="auto" w:fill="auto"/>
            <w:vAlign w:val="center"/>
          </w:tcPr>
          <w:p w14:paraId="482255B6">
            <w:pPr>
              <w:spacing w:line="240" w:lineRule="auto"/>
              <w:jc w:val="center"/>
              <w:rPr>
                <w:rFonts w:hint="default" w:ascii="Times New Roman" w:hAnsi="Times New Roman" w:cs="Times New Roman"/>
                <w:color w:val="FF0000"/>
                <w:sz w:val="21"/>
                <w:szCs w:val="21"/>
                <w:lang w:val="en-US" w:eastAsia="zh-CN"/>
              </w:rPr>
            </w:pPr>
            <w:r>
              <w:rPr>
                <w:rFonts w:hint="default" w:ascii="Times New Roman" w:hAnsi="Times New Roman" w:cs="Times New Roman"/>
                <w:color w:val="FF0000"/>
                <w:sz w:val="21"/>
                <w:szCs w:val="21"/>
              </w:rPr>
              <w:t>/</w:t>
            </w:r>
          </w:p>
        </w:tc>
        <w:tc>
          <w:tcPr>
            <w:tcW w:w="561" w:type="pct"/>
            <w:tcBorders>
              <w:tl2br w:val="nil"/>
              <w:tr2bl w:val="nil"/>
            </w:tcBorders>
            <w:shd w:val="clear" w:color="auto" w:fill="auto"/>
            <w:vAlign w:val="center"/>
          </w:tcPr>
          <w:p w14:paraId="7E0D2C23">
            <w:pPr>
              <w:spacing w:line="240" w:lineRule="auto"/>
              <w:jc w:val="center"/>
              <w:rPr>
                <w:rFonts w:hint="default" w:ascii="Times New Roman" w:hAnsi="Times New Roman" w:cs="Times New Roman"/>
                <w:color w:val="FF0000"/>
                <w:sz w:val="21"/>
                <w:szCs w:val="21"/>
                <w:lang w:val="en-US" w:eastAsia="zh-CN"/>
              </w:rPr>
            </w:pPr>
            <w:r>
              <w:rPr>
                <w:rFonts w:hint="default" w:ascii="Times New Roman" w:hAnsi="Times New Roman" w:cs="Times New Roman"/>
                <w:color w:val="FF0000"/>
                <w:sz w:val="21"/>
                <w:szCs w:val="21"/>
              </w:rPr>
              <w:t>/</w:t>
            </w:r>
          </w:p>
        </w:tc>
        <w:tc>
          <w:tcPr>
            <w:tcW w:w="500" w:type="pct"/>
            <w:tcBorders>
              <w:tl2br w:val="nil"/>
              <w:tr2bl w:val="nil"/>
            </w:tcBorders>
            <w:shd w:val="clear" w:color="auto" w:fill="auto"/>
            <w:vAlign w:val="center"/>
          </w:tcPr>
          <w:p w14:paraId="74A8A660">
            <w:pPr>
              <w:spacing w:line="240" w:lineRule="auto"/>
              <w:jc w:val="center"/>
              <w:rPr>
                <w:rFonts w:hint="default" w:ascii="Times New Roman" w:hAnsi="Times New Roman" w:cs="Times New Roman"/>
                <w:color w:val="FF0000"/>
                <w:sz w:val="21"/>
                <w:szCs w:val="21"/>
                <w:lang w:val="en-US" w:eastAsia="zh-CN"/>
              </w:rPr>
            </w:pPr>
            <w:r>
              <w:rPr>
                <w:rFonts w:hint="default" w:ascii="Times New Roman" w:hAnsi="Times New Roman" w:cs="Times New Roman"/>
                <w:color w:val="FF0000"/>
                <w:sz w:val="21"/>
                <w:szCs w:val="21"/>
              </w:rPr>
              <w:t>/</w:t>
            </w:r>
          </w:p>
        </w:tc>
        <w:tc>
          <w:tcPr>
            <w:tcW w:w="524" w:type="pct"/>
            <w:tcBorders>
              <w:tl2br w:val="nil"/>
              <w:tr2bl w:val="nil"/>
            </w:tcBorders>
            <w:shd w:val="clear" w:color="auto" w:fill="auto"/>
            <w:vAlign w:val="center"/>
          </w:tcPr>
          <w:p w14:paraId="3AB6AF42">
            <w:pPr>
              <w:pStyle w:val="128"/>
              <w:spacing w:line="240" w:lineRule="auto"/>
              <w:jc w:val="center"/>
              <w:rPr>
                <w:rFonts w:hint="default" w:ascii="Times New Roman" w:hAnsi="Times New Roman" w:cs="Times New Roman"/>
                <w:color w:val="FF0000"/>
                <w:sz w:val="21"/>
                <w:szCs w:val="21"/>
                <w:lang w:val="en-US" w:eastAsia="zh-CN"/>
              </w:rPr>
            </w:pPr>
            <w:r>
              <w:rPr>
                <w:rFonts w:hint="default" w:ascii="Times New Roman" w:hAnsi="Times New Roman" w:cs="Times New Roman"/>
                <w:color w:val="FF0000"/>
                <w:sz w:val="21"/>
                <w:szCs w:val="21"/>
                <w:lang w:val="en-US" w:eastAsia="zh-CN"/>
              </w:rPr>
              <w:t>250~900</w:t>
            </w:r>
          </w:p>
        </w:tc>
        <w:tc>
          <w:tcPr>
            <w:tcW w:w="573" w:type="pct"/>
            <w:tcBorders>
              <w:tl2br w:val="nil"/>
              <w:tr2bl w:val="nil"/>
            </w:tcBorders>
            <w:shd w:val="clear" w:color="auto" w:fill="auto"/>
            <w:vAlign w:val="center"/>
          </w:tcPr>
          <w:p w14:paraId="30C021B8">
            <w:pPr>
              <w:pStyle w:val="128"/>
              <w:spacing w:line="240" w:lineRule="auto"/>
              <w:jc w:val="center"/>
              <w:rPr>
                <w:rFonts w:hint="default" w:ascii="Times New Roman" w:hAnsi="Times New Roman" w:cs="Times New Roman"/>
                <w:color w:val="FF0000"/>
                <w:sz w:val="21"/>
                <w:szCs w:val="21"/>
                <w:lang w:val="en-US" w:eastAsia="zh-CN"/>
              </w:rPr>
            </w:pPr>
            <w:r>
              <w:rPr>
                <w:rFonts w:hint="default" w:ascii="Times New Roman" w:hAnsi="Times New Roman" w:cs="Times New Roman"/>
                <w:color w:val="FF0000"/>
                <w:sz w:val="21"/>
                <w:szCs w:val="21"/>
                <w:lang w:val="en-US" w:eastAsia="zh-CN"/>
              </w:rPr>
              <w:t>锂、铁、塑料</w:t>
            </w:r>
          </w:p>
        </w:tc>
        <w:tc>
          <w:tcPr>
            <w:tcW w:w="1733" w:type="pct"/>
            <w:tcBorders>
              <w:tl2br w:val="nil"/>
              <w:tr2bl w:val="nil"/>
            </w:tcBorders>
            <w:shd w:val="clear" w:color="auto" w:fill="auto"/>
            <w:vAlign w:val="center"/>
          </w:tcPr>
          <w:p w14:paraId="2328C441">
            <w:pPr>
              <w:pStyle w:val="128"/>
              <w:spacing w:line="240" w:lineRule="auto"/>
              <w:jc w:val="center"/>
              <w:rPr>
                <w:rFonts w:hint="default" w:ascii="Times New Roman" w:hAnsi="Times New Roman" w:cs="Times New Roman"/>
                <w:color w:val="FF0000"/>
                <w:sz w:val="21"/>
                <w:szCs w:val="21"/>
                <w:lang w:val="en-US" w:eastAsia="zh-CN"/>
              </w:rPr>
            </w:pPr>
            <w:r>
              <w:rPr>
                <w:rFonts w:hint="default" w:ascii="Times New Roman" w:hAnsi="Times New Roman" w:cs="Times New Roman"/>
                <w:color w:val="FF0000"/>
                <w:sz w:val="21"/>
                <w:szCs w:val="21"/>
                <w:lang w:val="en-US" w:eastAsia="zh-CN"/>
              </w:rPr>
              <w:t>交售给新能源汽车生产企业建立的动力蓄电池回收服务网点，或符合国家对动力蓄电池梯次利用管理有关要求的梯次利用企业，或者从事废旧动力蓄电池综合利用的企业</w:t>
            </w:r>
          </w:p>
        </w:tc>
      </w:tr>
      <w:tr w14:paraId="0E5C8E2B">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 w:type="dxa"/>
            <w:bottom w:w="0" w:type="dxa"/>
            <w:right w:w="10" w:type="dxa"/>
          </w:tblCellMar>
        </w:tblPrEx>
        <w:trPr>
          <w:trHeight w:val="23" w:hRule="atLeast"/>
          <w:jc w:val="center"/>
        </w:trPr>
        <w:tc>
          <w:tcPr>
            <w:tcW w:w="171" w:type="pct"/>
            <w:tcBorders>
              <w:tl2br w:val="nil"/>
              <w:tr2bl w:val="nil"/>
            </w:tcBorders>
            <w:shd w:val="clear" w:color="auto" w:fill="auto"/>
            <w:vAlign w:val="center"/>
          </w:tcPr>
          <w:p w14:paraId="48C3C81F">
            <w:pPr>
              <w:keepNext w:val="0"/>
              <w:keepLines w:val="0"/>
              <w:widowControl/>
              <w:suppressLineNumbers w:val="0"/>
              <w:spacing w:line="240" w:lineRule="auto"/>
              <w:jc w:val="center"/>
              <w:textAlignment w:val="center"/>
              <w:rPr>
                <w:rFonts w:hint="default" w:ascii="Times New Roman" w:hAnsi="Times New Roman" w:cs="Times New Roman"/>
                <w:color w:val="FF0000"/>
                <w:sz w:val="21"/>
                <w:szCs w:val="21"/>
              </w:rPr>
            </w:pPr>
            <w:r>
              <w:rPr>
                <w:rFonts w:hint="default" w:ascii="Times New Roman" w:hAnsi="Times New Roman" w:eastAsia="宋体" w:cs="Times New Roman"/>
                <w:i w:val="0"/>
                <w:iCs w:val="0"/>
                <w:color w:val="FF0000"/>
                <w:kern w:val="0"/>
                <w:sz w:val="21"/>
                <w:szCs w:val="21"/>
                <w:u w:val="none"/>
                <w:lang w:val="en-US" w:eastAsia="zh-CN" w:bidi="ar"/>
              </w:rPr>
              <w:t>21</w:t>
            </w:r>
          </w:p>
        </w:tc>
        <w:tc>
          <w:tcPr>
            <w:tcW w:w="447" w:type="pct"/>
            <w:tcBorders>
              <w:tl2br w:val="nil"/>
              <w:tr2bl w:val="nil"/>
            </w:tcBorders>
            <w:shd w:val="clear" w:color="auto" w:fill="auto"/>
            <w:vAlign w:val="center"/>
          </w:tcPr>
          <w:p w14:paraId="36E65A95">
            <w:pPr>
              <w:pStyle w:val="128"/>
              <w:spacing w:line="240" w:lineRule="auto"/>
              <w:jc w:val="center"/>
              <w:rPr>
                <w:rFonts w:hint="default" w:ascii="Times New Roman" w:hAnsi="Times New Roman" w:eastAsia="宋体" w:cs="Times New Roman"/>
                <w:color w:val="FF0000"/>
                <w:kern w:val="2"/>
                <w:sz w:val="21"/>
                <w:szCs w:val="21"/>
                <w:lang w:val="zh-TW" w:eastAsia="zh-TW" w:bidi="zh-TW"/>
              </w:rPr>
            </w:pPr>
            <w:r>
              <w:rPr>
                <w:rFonts w:hint="default" w:ascii="Times New Roman" w:hAnsi="Times New Roman" w:cs="Times New Roman"/>
                <w:color w:val="FF0000"/>
                <w:sz w:val="21"/>
                <w:szCs w:val="21"/>
              </w:rPr>
              <w:t>其他不可利用物（包含破玻璃、废橡胶、废塑料等不可分离和利用部分）</w:t>
            </w:r>
          </w:p>
        </w:tc>
        <w:tc>
          <w:tcPr>
            <w:tcW w:w="488" w:type="pct"/>
            <w:tcBorders>
              <w:tl2br w:val="nil"/>
              <w:tr2bl w:val="nil"/>
            </w:tcBorders>
            <w:shd w:val="clear" w:color="auto" w:fill="auto"/>
            <w:vAlign w:val="center"/>
          </w:tcPr>
          <w:p w14:paraId="411FEDFD">
            <w:pPr>
              <w:pStyle w:val="128"/>
              <w:spacing w:line="240" w:lineRule="auto"/>
              <w:jc w:val="center"/>
              <w:rPr>
                <w:rFonts w:hint="default" w:ascii="Times New Roman" w:hAnsi="Times New Roman" w:cs="Times New Roman"/>
                <w:color w:val="FF0000"/>
                <w:sz w:val="21"/>
                <w:szCs w:val="21"/>
                <w:lang w:val="en-US" w:eastAsia="en-US"/>
              </w:rPr>
            </w:pPr>
            <w:r>
              <w:rPr>
                <w:rFonts w:hint="default" w:ascii="Times New Roman" w:hAnsi="Times New Roman" w:cs="Times New Roman"/>
                <w:color w:val="FF0000"/>
                <w:sz w:val="21"/>
                <w:szCs w:val="21"/>
              </w:rPr>
              <w:t>5~10</w:t>
            </w:r>
          </w:p>
        </w:tc>
        <w:tc>
          <w:tcPr>
            <w:tcW w:w="561" w:type="pct"/>
            <w:tcBorders>
              <w:tl2br w:val="nil"/>
              <w:tr2bl w:val="nil"/>
            </w:tcBorders>
            <w:shd w:val="clear" w:color="auto" w:fill="auto"/>
            <w:vAlign w:val="center"/>
          </w:tcPr>
          <w:p w14:paraId="55E495CE">
            <w:pPr>
              <w:pStyle w:val="128"/>
              <w:spacing w:line="240" w:lineRule="auto"/>
              <w:jc w:val="center"/>
              <w:rPr>
                <w:rFonts w:hint="default" w:ascii="Times New Roman" w:hAnsi="Times New Roman" w:cs="Times New Roman"/>
                <w:color w:val="FF0000"/>
                <w:sz w:val="21"/>
                <w:szCs w:val="21"/>
              </w:rPr>
            </w:pPr>
            <w:r>
              <w:rPr>
                <w:rFonts w:hint="default" w:ascii="Times New Roman" w:hAnsi="Times New Roman" w:cs="Times New Roman"/>
                <w:color w:val="FF0000"/>
                <w:sz w:val="21"/>
                <w:szCs w:val="21"/>
              </w:rPr>
              <w:t>10~30</w:t>
            </w:r>
          </w:p>
        </w:tc>
        <w:tc>
          <w:tcPr>
            <w:tcW w:w="500" w:type="pct"/>
            <w:tcBorders>
              <w:tl2br w:val="nil"/>
              <w:tr2bl w:val="nil"/>
            </w:tcBorders>
            <w:shd w:val="clear" w:color="auto" w:fill="auto"/>
            <w:vAlign w:val="center"/>
          </w:tcPr>
          <w:p w14:paraId="5B3229F2">
            <w:pPr>
              <w:pStyle w:val="128"/>
              <w:spacing w:line="240" w:lineRule="auto"/>
              <w:jc w:val="center"/>
              <w:rPr>
                <w:rFonts w:hint="default" w:ascii="Times New Roman" w:hAnsi="Times New Roman" w:cs="Times New Roman"/>
                <w:color w:val="FF0000"/>
                <w:sz w:val="21"/>
                <w:szCs w:val="21"/>
              </w:rPr>
            </w:pPr>
            <w:r>
              <w:rPr>
                <w:rFonts w:hint="default" w:ascii="Times New Roman" w:hAnsi="Times New Roman" w:cs="Times New Roman"/>
                <w:color w:val="FF0000"/>
                <w:sz w:val="21"/>
                <w:szCs w:val="21"/>
              </w:rPr>
              <w:t>10~20</w:t>
            </w:r>
          </w:p>
        </w:tc>
        <w:tc>
          <w:tcPr>
            <w:tcW w:w="524" w:type="pct"/>
            <w:tcBorders>
              <w:tl2br w:val="nil"/>
              <w:tr2bl w:val="nil"/>
            </w:tcBorders>
            <w:shd w:val="clear" w:color="auto" w:fill="auto"/>
            <w:vAlign w:val="center"/>
          </w:tcPr>
          <w:p w14:paraId="62A3B7D8">
            <w:pPr>
              <w:pStyle w:val="128"/>
              <w:spacing w:line="240" w:lineRule="auto"/>
              <w:jc w:val="center"/>
              <w:rPr>
                <w:rFonts w:hint="default" w:ascii="Times New Roman" w:hAnsi="Times New Roman" w:cs="Times New Roman"/>
                <w:color w:val="FF0000"/>
                <w:sz w:val="21"/>
                <w:szCs w:val="21"/>
              </w:rPr>
            </w:pPr>
            <w:r>
              <w:rPr>
                <w:rFonts w:hint="default" w:ascii="Times New Roman" w:hAnsi="Times New Roman" w:cs="Times New Roman"/>
                <w:color w:val="FF0000"/>
                <w:sz w:val="21"/>
                <w:szCs w:val="21"/>
              </w:rPr>
              <w:t>5~30</w:t>
            </w:r>
          </w:p>
        </w:tc>
        <w:tc>
          <w:tcPr>
            <w:tcW w:w="573" w:type="pct"/>
            <w:tcBorders>
              <w:tl2br w:val="nil"/>
              <w:tr2bl w:val="nil"/>
            </w:tcBorders>
            <w:shd w:val="clear" w:color="auto" w:fill="auto"/>
            <w:vAlign w:val="center"/>
          </w:tcPr>
          <w:p w14:paraId="03062640">
            <w:pPr>
              <w:pStyle w:val="128"/>
              <w:spacing w:line="240" w:lineRule="auto"/>
              <w:jc w:val="center"/>
              <w:rPr>
                <w:rFonts w:hint="default" w:ascii="Times New Roman" w:hAnsi="Times New Roman" w:cs="Times New Roman"/>
                <w:color w:val="FF0000"/>
                <w:sz w:val="21"/>
                <w:szCs w:val="21"/>
              </w:rPr>
            </w:pPr>
            <w:r>
              <w:rPr>
                <w:rFonts w:hint="default" w:ascii="Times New Roman" w:hAnsi="Times New Roman" w:cs="Times New Roman"/>
                <w:color w:val="FF0000"/>
                <w:sz w:val="21"/>
                <w:szCs w:val="21"/>
              </w:rPr>
              <w:t>玻璃、塑料、橡胶</w:t>
            </w:r>
          </w:p>
        </w:tc>
        <w:tc>
          <w:tcPr>
            <w:tcW w:w="1733" w:type="pct"/>
            <w:tcBorders>
              <w:tl2br w:val="nil"/>
              <w:tr2bl w:val="nil"/>
            </w:tcBorders>
            <w:shd w:val="clear" w:color="auto" w:fill="auto"/>
            <w:vAlign w:val="center"/>
          </w:tcPr>
          <w:p w14:paraId="19A78064">
            <w:pPr>
              <w:pStyle w:val="128"/>
              <w:spacing w:line="240" w:lineRule="auto"/>
              <w:jc w:val="center"/>
              <w:rPr>
                <w:rFonts w:hint="default" w:ascii="Times New Roman" w:hAnsi="Times New Roman" w:cs="Times New Roman"/>
                <w:color w:val="FF0000"/>
                <w:sz w:val="21"/>
                <w:szCs w:val="21"/>
              </w:rPr>
            </w:pPr>
            <w:r>
              <w:rPr>
                <w:rFonts w:hint="default" w:ascii="Times New Roman" w:hAnsi="Times New Roman" w:eastAsia="宋体" w:cs="Times New Roman"/>
                <w:color w:val="FF0000"/>
                <w:spacing w:val="-1"/>
                <w:sz w:val="21"/>
                <w:szCs w:val="21"/>
              </w:rPr>
              <w:t>交由具有相应处理能力或经营范围的单位利</w:t>
            </w:r>
            <w:r>
              <w:rPr>
                <w:rFonts w:hint="default" w:ascii="Times New Roman" w:hAnsi="Times New Roman" w:eastAsia="宋体" w:cs="Times New Roman"/>
                <w:color w:val="FF0000"/>
                <w:spacing w:val="-2"/>
                <w:sz w:val="21"/>
                <w:szCs w:val="21"/>
              </w:rPr>
              <w:t>用和处置</w:t>
            </w:r>
          </w:p>
        </w:tc>
      </w:tr>
      <w:tr w14:paraId="1AA12376">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 w:type="dxa"/>
            <w:bottom w:w="0" w:type="dxa"/>
            <w:right w:w="10" w:type="dxa"/>
          </w:tblCellMar>
        </w:tblPrEx>
        <w:trPr>
          <w:trHeight w:val="23" w:hRule="atLeast"/>
          <w:jc w:val="center"/>
        </w:trPr>
        <w:tc>
          <w:tcPr>
            <w:tcW w:w="171" w:type="pct"/>
            <w:tcBorders>
              <w:tl2br w:val="nil"/>
              <w:tr2bl w:val="nil"/>
            </w:tcBorders>
            <w:shd w:val="clear" w:color="auto" w:fill="auto"/>
            <w:vAlign w:val="center"/>
          </w:tcPr>
          <w:p w14:paraId="648E7969">
            <w:pPr>
              <w:keepNext w:val="0"/>
              <w:keepLines w:val="0"/>
              <w:widowControl/>
              <w:suppressLineNumbers w:val="0"/>
              <w:spacing w:line="240" w:lineRule="auto"/>
              <w:jc w:val="center"/>
              <w:textAlignment w:val="center"/>
              <w:rPr>
                <w:rFonts w:hint="default" w:ascii="Times New Roman" w:hAnsi="Times New Roman" w:cs="Times New Roman"/>
                <w:color w:val="FF0000"/>
                <w:sz w:val="21"/>
                <w:szCs w:val="21"/>
              </w:rPr>
            </w:pPr>
            <w:r>
              <w:rPr>
                <w:rFonts w:hint="default" w:ascii="Times New Roman" w:hAnsi="Times New Roman" w:eastAsia="宋体" w:cs="Times New Roman"/>
                <w:i w:val="0"/>
                <w:iCs w:val="0"/>
                <w:color w:val="FF0000"/>
                <w:kern w:val="0"/>
                <w:sz w:val="21"/>
                <w:szCs w:val="21"/>
                <w:u w:val="none"/>
                <w:lang w:val="en-US" w:eastAsia="zh-CN" w:bidi="ar"/>
              </w:rPr>
              <w:t>22</w:t>
            </w:r>
          </w:p>
        </w:tc>
        <w:tc>
          <w:tcPr>
            <w:tcW w:w="447" w:type="pct"/>
            <w:tcBorders>
              <w:tl2br w:val="nil"/>
              <w:tr2bl w:val="nil"/>
            </w:tcBorders>
            <w:shd w:val="clear" w:color="auto" w:fill="auto"/>
            <w:vAlign w:val="center"/>
          </w:tcPr>
          <w:p w14:paraId="492D5D3C">
            <w:pPr>
              <w:pStyle w:val="128"/>
              <w:spacing w:line="240" w:lineRule="auto"/>
              <w:jc w:val="center"/>
              <w:rPr>
                <w:rFonts w:hint="default" w:ascii="Times New Roman" w:hAnsi="Times New Roman" w:eastAsia="宋体" w:cs="Times New Roman"/>
                <w:color w:val="FF0000"/>
                <w:kern w:val="2"/>
                <w:sz w:val="21"/>
                <w:szCs w:val="21"/>
                <w:lang w:val="zh-TW" w:eastAsia="zh-TW" w:bidi="zh-TW"/>
              </w:rPr>
            </w:pPr>
            <w:r>
              <w:rPr>
                <w:rFonts w:hint="default" w:ascii="Times New Roman" w:hAnsi="Times New Roman" w:cs="Times New Roman"/>
                <w:color w:val="FF0000"/>
                <w:sz w:val="21"/>
                <w:szCs w:val="21"/>
              </w:rPr>
              <w:t>废液化气罐</w:t>
            </w:r>
          </w:p>
        </w:tc>
        <w:tc>
          <w:tcPr>
            <w:tcW w:w="488" w:type="pct"/>
            <w:tcBorders>
              <w:tl2br w:val="nil"/>
              <w:tr2bl w:val="nil"/>
            </w:tcBorders>
            <w:shd w:val="clear" w:color="auto" w:fill="auto"/>
            <w:vAlign w:val="center"/>
          </w:tcPr>
          <w:p w14:paraId="065ECA93">
            <w:pPr>
              <w:pStyle w:val="128"/>
              <w:spacing w:line="240" w:lineRule="auto"/>
              <w:jc w:val="center"/>
              <w:rPr>
                <w:rFonts w:hint="default" w:ascii="Times New Roman" w:hAnsi="Times New Roman" w:cs="Times New Roman"/>
                <w:color w:val="FF0000"/>
                <w:sz w:val="21"/>
                <w:szCs w:val="21"/>
                <w:lang w:val="en-US" w:eastAsia="en-US"/>
              </w:rPr>
            </w:pPr>
            <w:r>
              <w:rPr>
                <w:rFonts w:hint="default" w:ascii="Times New Roman" w:hAnsi="Times New Roman" w:cs="Times New Roman"/>
                <w:color w:val="FF0000"/>
                <w:sz w:val="21"/>
                <w:szCs w:val="21"/>
              </w:rPr>
              <w:t>3.5~5</w:t>
            </w:r>
          </w:p>
        </w:tc>
        <w:tc>
          <w:tcPr>
            <w:tcW w:w="561" w:type="pct"/>
            <w:tcBorders>
              <w:tl2br w:val="nil"/>
              <w:tr2bl w:val="nil"/>
            </w:tcBorders>
            <w:shd w:val="clear" w:color="auto" w:fill="auto"/>
            <w:vAlign w:val="center"/>
          </w:tcPr>
          <w:p w14:paraId="51C844B8">
            <w:pPr>
              <w:pStyle w:val="128"/>
              <w:spacing w:line="240" w:lineRule="auto"/>
              <w:jc w:val="center"/>
              <w:rPr>
                <w:rFonts w:hint="default" w:ascii="Times New Roman" w:hAnsi="Times New Roman" w:cs="Times New Roman"/>
                <w:color w:val="FF0000"/>
                <w:sz w:val="21"/>
                <w:szCs w:val="21"/>
              </w:rPr>
            </w:pPr>
            <w:r>
              <w:rPr>
                <w:rFonts w:hint="default" w:ascii="Times New Roman" w:hAnsi="Times New Roman" w:cs="Times New Roman"/>
                <w:color w:val="FF0000"/>
                <w:sz w:val="21"/>
                <w:szCs w:val="21"/>
              </w:rPr>
              <w:t>15~45</w:t>
            </w:r>
          </w:p>
        </w:tc>
        <w:tc>
          <w:tcPr>
            <w:tcW w:w="500" w:type="pct"/>
            <w:tcBorders>
              <w:tl2br w:val="nil"/>
              <w:tr2bl w:val="nil"/>
            </w:tcBorders>
            <w:shd w:val="clear" w:color="auto" w:fill="auto"/>
            <w:vAlign w:val="center"/>
          </w:tcPr>
          <w:p w14:paraId="36035D2F">
            <w:pPr>
              <w:pStyle w:val="128"/>
              <w:spacing w:line="240" w:lineRule="auto"/>
              <w:jc w:val="center"/>
              <w:rPr>
                <w:rFonts w:hint="default" w:ascii="Times New Roman" w:hAnsi="Times New Roman" w:cs="Times New Roman"/>
                <w:color w:val="FF0000"/>
                <w:sz w:val="21"/>
                <w:szCs w:val="21"/>
              </w:rPr>
            </w:pPr>
            <w:r>
              <w:rPr>
                <w:rFonts w:hint="default" w:ascii="Times New Roman" w:hAnsi="Times New Roman" w:cs="Times New Roman"/>
                <w:color w:val="FF0000"/>
                <w:sz w:val="21"/>
                <w:szCs w:val="21"/>
              </w:rPr>
              <w:t>0</w:t>
            </w:r>
          </w:p>
        </w:tc>
        <w:tc>
          <w:tcPr>
            <w:tcW w:w="524" w:type="pct"/>
            <w:tcBorders>
              <w:tl2br w:val="nil"/>
              <w:tr2bl w:val="nil"/>
            </w:tcBorders>
            <w:shd w:val="clear" w:color="auto" w:fill="auto"/>
            <w:vAlign w:val="center"/>
          </w:tcPr>
          <w:p w14:paraId="35FE1544">
            <w:pPr>
              <w:pStyle w:val="128"/>
              <w:spacing w:line="240" w:lineRule="auto"/>
              <w:jc w:val="center"/>
              <w:rPr>
                <w:rFonts w:hint="default" w:ascii="Times New Roman" w:hAnsi="Times New Roman" w:cs="Times New Roman"/>
                <w:color w:val="FF0000"/>
                <w:sz w:val="21"/>
                <w:szCs w:val="21"/>
              </w:rPr>
            </w:pPr>
            <w:r>
              <w:rPr>
                <w:rFonts w:hint="default" w:ascii="Times New Roman" w:hAnsi="Times New Roman" w:cs="Times New Roman"/>
                <w:color w:val="FF0000"/>
                <w:sz w:val="21"/>
                <w:szCs w:val="21"/>
              </w:rPr>
              <w:t>0</w:t>
            </w:r>
          </w:p>
        </w:tc>
        <w:tc>
          <w:tcPr>
            <w:tcW w:w="573" w:type="pct"/>
            <w:tcBorders>
              <w:tl2br w:val="nil"/>
              <w:tr2bl w:val="nil"/>
            </w:tcBorders>
            <w:shd w:val="clear" w:color="auto" w:fill="auto"/>
            <w:vAlign w:val="center"/>
          </w:tcPr>
          <w:p w14:paraId="70D31031">
            <w:pPr>
              <w:pStyle w:val="128"/>
              <w:spacing w:line="240" w:lineRule="auto"/>
              <w:jc w:val="center"/>
              <w:rPr>
                <w:rFonts w:hint="default" w:ascii="Times New Roman" w:hAnsi="Times New Roman" w:cs="Times New Roman"/>
                <w:color w:val="FF0000"/>
                <w:sz w:val="21"/>
                <w:szCs w:val="21"/>
              </w:rPr>
            </w:pPr>
            <w:r>
              <w:rPr>
                <w:rFonts w:hint="default" w:ascii="Times New Roman" w:hAnsi="Times New Roman" w:cs="Times New Roman"/>
                <w:color w:val="FF0000"/>
                <w:sz w:val="21"/>
                <w:szCs w:val="21"/>
              </w:rPr>
              <w:t>钢瓶</w:t>
            </w:r>
          </w:p>
        </w:tc>
        <w:tc>
          <w:tcPr>
            <w:tcW w:w="1733" w:type="pct"/>
            <w:tcBorders>
              <w:tl2br w:val="nil"/>
              <w:tr2bl w:val="nil"/>
            </w:tcBorders>
            <w:shd w:val="clear" w:color="auto" w:fill="auto"/>
            <w:vAlign w:val="center"/>
          </w:tcPr>
          <w:p w14:paraId="6893474F">
            <w:pPr>
              <w:pStyle w:val="128"/>
              <w:spacing w:line="240" w:lineRule="auto"/>
              <w:jc w:val="center"/>
              <w:rPr>
                <w:rFonts w:hint="default" w:ascii="Times New Roman" w:hAnsi="Times New Roman" w:cs="Times New Roman"/>
                <w:color w:val="FF0000"/>
                <w:sz w:val="21"/>
                <w:szCs w:val="21"/>
              </w:rPr>
            </w:pPr>
            <w:r>
              <w:rPr>
                <w:rFonts w:hint="default" w:ascii="Times New Roman" w:hAnsi="Times New Roman" w:eastAsia="宋体" w:cs="Times New Roman"/>
                <w:color w:val="FF0000"/>
                <w:spacing w:val="-1"/>
                <w:sz w:val="21"/>
                <w:szCs w:val="21"/>
              </w:rPr>
              <w:t>交由具有相应资质的单位利用和处置</w:t>
            </w:r>
          </w:p>
        </w:tc>
      </w:tr>
      <w:tr w14:paraId="3E80A94A">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 w:type="dxa"/>
            <w:bottom w:w="0" w:type="dxa"/>
            <w:right w:w="10" w:type="dxa"/>
          </w:tblCellMar>
        </w:tblPrEx>
        <w:trPr>
          <w:trHeight w:val="23" w:hRule="atLeast"/>
          <w:jc w:val="center"/>
        </w:trPr>
        <w:tc>
          <w:tcPr>
            <w:tcW w:w="171" w:type="pct"/>
            <w:tcBorders>
              <w:tl2br w:val="nil"/>
              <w:tr2bl w:val="nil"/>
            </w:tcBorders>
            <w:shd w:val="clear" w:color="auto" w:fill="auto"/>
            <w:vAlign w:val="center"/>
          </w:tcPr>
          <w:p w14:paraId="5D4491F3">
            <w:pPr>
              <w:keepNext w:val="0"/>
              <w:keepLines w:val="0"/>
              <w:widowControl/>
              <w:suppressLineNumbers w:val="0"/>
              <w:spacing w:line="240" w:lineRule="auto"/>
              <w:jc w:val="center"/>
              <w:textAlignment w:val="center"/>
              <w:rPr>
                <w:rFonts w:hint="default" w:ascii="Times New Roman" w:hAnsi="Times New Roman" w:cs="Times New Roman"/>
                <w:color w:val="FF0000"/>
                <w:sz w:val="21"/>
                <w:szCs w:val="21"/>
              </w:rPr>
            </w:pPr>
            <w:r>
              <w:rPr>
                <w:rFonts w:hint="default" w:ascii="Times New Roman" w:hAnsi="Times New Roman" w:eastAsia="宋体" w:cs="Times New Roman"/>
                <w:i w:val="0"/>
                <w:iCs w:val="0"/>
                <w:color w:val="FF0000"/>
                <w:kern w:val="0"/>
                <w:sz w:val="21"/>
                <w:szCs w:val="21"/>
                <w:u w:val="none"/>
                <w:lang w:val="en-US" w:eastAsia="zh-CN" w:bidi="ar"/>
              </w:rPr>
              <w:t>23</w:t>
            </w:r>
          </w:p>
        </w:tc>
        <w:tc>
          <w:tcPr>
            <w:tcW w:w="447" w:type="pct"/>
            <w:tcBorders>
              <w:tl2br w:val="nil"/>
              <w:tr2bl w:val="nil"/>
            </w:tcBorders>
            <w:shd w:val="clear" w:color="auto" w:fill="auto"/>
            <w:vAlign w:val="center"/>
          </w:tcPr>
          <w:p w14:paraId="6A21B835">
            <w:pPr>
              <w:pStyle w:val="128"/>
              <w:spacing w:line="240" w:lineRule="auto"/>
              <w:jc w:val="center"/>
              <w:rPr>
                <w:rFonts w:hint="default" w:ascii="Times New Roman" w:hAnsi="Times New Roman" w:eastAsia="宋体" w:cs="Times New Roman"/>
                <w:color w:val="FF0000"/>
                <w:kern w:val="2"/>
                <w:sz w:val="21"/>
                <w:szCs w:val="21"/>
                <w:lang w:val="zh-TW" w:eastAsia="zh-TW" w:bidi="zh-TW"/>
              </w:rPr>
            </w:pPr>
            <w:r>
              <w:rPr>
                <w:rFonts w:hint="default" w:ascii="Times New Roman" w:hAnsi="Times New Roman" w:cs="Times New Roman"/>
                <w:color w:val="FF0000"/>
                <w:sz w:val="21"/>
                <w:szCs w:val="21"/>
              </w:rPr>
              <w:t>废制冷剂</w:t>
            </w:r>
          </w:p>
        </w:tc>
        <w:tc>
          <w:tcPr>
            <w:tcW w:w="488" w:type="pct"/>
            <w:tcBorders>
              <w:tl2br w:val="nil"/>
              <w:tr2bl w:val="nil"/>
            </w:tcBorders>
            <w:shd w:val="clear" w:color="auto" w:fill="auto"/>
            <w:vAlign w:val="center"/>
          </w:tcPr>
          <w:p w14:paraId="790F3AE5">
            <w:pPr>
              <w:pStyle w:val="128"/>
              <w:spacing w:line="240" w:lineRule="auto"/>
              <w:jc w:val="center"/>
              <w:rPr>
                <w:rFonts w:hint="default" w:ascii="Times New Roman" w:hAnsi="Times New Roman" w:cs="Times New Roman"/>
                <w:color w:val="FF0000"/>
                <w:sz w:val="21"/>
                <w:szCs w:val="21"/>
                <w:lang w:val="en-US" w:eastAsia="en-US"/>
              </w:rPr>
            </w:pPr>
            <w:r>
              <w:rPr>
                <w:rFonts w:hint="default" w:ascii="Times New Roman" w:hAnsi="Times New Roman" w:cs="Times New Roman"/>
                <w:color w:val="FF0000"/>
                <w:sz w:val="21"/>
                <w:szCs w:val="21"/>
              </w:rPr>
              <w:t>0.1~0.3</w:t>
            </w:r>
          </w:p>
        </w:tc>
        <w:tc>
          <w:tcPr>
            <w:tcW w:w="561" w:type="pct"/>
            <w:tcBorders>
              <w:tl2br w:val="nil"/>
              <w:tr2bl w:val="nil"/>
            </w:tcBorders>
            <w:shd w:val="clear" w:color="auto" w:fill="auto"/>
            <w:vAlign w:val="center"/>
          </w:tcPr>
          <w:p w14:paraId="6CDB0616">
            <w:pPr>
              <w:pStyle w:val="128"/>
              <w:spacing w:line="240" w:lineRule="auto"/>
              <w:jc w:val="center"/>
              <w:rPr>
                <w:rFonts w:hint="default" w:ascii="Times New Roman" w:hAnsi="Times New Roman" w:cs="Times New Roman"/>
                <w:color w:val="FF0000"/>
                <w:sz w:val="21"/>
                <w:szCs w:val="21"/>
              </w:rPr>
            </w:pPr>
            <w:r>
              <w:rPr>
                <w:rFonts w:hint="default" w:ascii="Times New Roman" w:hAnsi="Times New Roman" w:cs="Times New Roman"/>
                <w:color w:val="FF0000"/>
                <w:sz w:val="21"/>
                <w:szCs w:val="21"/>
              </w:rPr>
              <w:t>0.1~0.6</w:t>
            </w:r>
          </w:p>
        </w:tc>
        <w:tc>
          <w:tcPr>
            <w:tcW w:w="500" w:type="pct"/>
            <w:tcBorders>
              <w:tl2br w:val="nil"/>
              <w:tr2bl w:val="nil"/>
            </w:tcBorders>
            <w:shd w:val="clear" w:color="auto" w:fill="auto"/>
            <w:vAlign w:val="center"/>
          </w:tcPr>
          <w:p w14:paraId="066A14A3">
            <w:pPr>
              <w:pStyle w:val="128"/>
              <w:spacing w:line="240" w:lineRule="auto"/>
              <w:jc w:val="center"/>
              <w:rPr>
                <w:rFonts w:hint="default" w:ascii="Times New Roman" w:hAnsi="Times New Roman" w:cs="Times New Roman"/>
                <w:color w:val="FF0000"/>
                <w:sz w:val="21"/>
                <w:szCs w:val="21"/>
              </w:rPr>
            </w:pPr>
            <w:r>
              <w:rPr>
                <w:rFonts w:hint="default" w:ascii="Times New Roman" w:hAnsi="Times New Roman" w:cs="Times New Roman"/>
                <w:color w:val="FF0000"/>
                <w:sz w:val="21"/>
                <w:szCs w:val="21"/>
              </w:rPr>
              <w:t>0.1~0.3</w:t>
            </w:r>
          </w:p>
        </w:tc>
        <w:tc>
          <w:tcPr>
            <w:tcW w:w="524" w:type="pct"/>
            <w:tcBorders>
              <w:tl2br w:val="nil"/>
              <w:tr2bl w:val="nil"/>
            </w:tcBorders>
            <w:shd w:val="clear" w:color="auto" w:fill="auto"/>
            <w:vAlign w:val="center"/>
          </w:tcPr>
          <w:p w14:paraId="2DD9F665">
            <w:pPr>
              <w:pStyle w:val="128"/>
              <w:spacing w:line="240" w:lineRule="auto"/>
              <w:jc w:val="center"/>
              <w:rPr>
                <w:rFonts w:hint="default" w:ascii="Times New Roman" w:hAnsi="Times New Roman" w:cs="Times New Roman"/>
                <w:color w:val="FF0000"/>
                <w:sz w:val="21"/>
                <w:szCs w:val="21"/>
              </w:rPr>
            </w:pPr>
            <w:r>
              <w:rPr>
                <w:rFonts w:hint="default" w:ascii="Times New Roman" w:hAnsi="Times New Roman" w:cs="Times New Roman"/>
                <w:color w:val="FF0000"/>
                <w:sz w:val="21"/>
                <w:szCs w:val="21"/>
              </w:rPr>
              <w:t>0.1~0.6</w:t>
            </w:r>
          </w:p>
        </w:tc>
        <w:tc>
          <w:tcPr>
            <w:tcW w:w="573" w:type="pct"/>
            <w:tcBorders>
              <w:tl2br w:val="nil"/>
              <w:tr2bl w:val="nil"/>
            </w:tcBorders>
            <w:shd w:val="clear" w:color="auto" w:fill="auto"/>
            <w:vAlign w:val="center"/>
          </w:tcPr>
          <w:p w14:paraId="1CAACBAA">
            <w:pPr>
              <w:pStyle w:val="128"/>
              <w:spacing w:line="240" w:lineRule="auto"/>
              <w:jc w:val="center"/>
              <w:rPr>
                <w:rFonts w:hint="default" w:ascii="Times New Roman" w:hAnsi="Times New Roman" w:cs="Times New Roman"/>
                <w:color w:val="FF0000"/>
                <w:sz w:val="21"/>
                <w:szCs w:val="21"/>
              </w:rPr>
            </w:pPr>
            <w:r>
              <w:rPr>
                <w:rFonts w:hint="default" w:ascii="Times New Roman" w:hAnsi="Times New Roman" w:cs="Times New Roman"/>
                <w:color w:val="FF0000"/>
                <w:sz w:val="21"/>
                <w:szCs w:val="21"/>
              </w:rPr>
              <w:t>氟利昂</w:t>
            </w:r>
            <w:r>
              <w:rPr>
                <w:rFonts w:hint="default" w:ascii="Times New Roman" w:hAnsi="Times New Roman" w:cs="Times New Roman"/>
                <w:color w:val="FF0000"/>
                <w:sz w:val="21"/>
                <w:szCs w:val="21"/>
                <w:lang w:val="en-US" w:eastAsia="en-US" w:bidi="en-US"/>
              </w:rPr>
              <w:t>R12、R134a</w:t>
            </w:r>
            <w:r>
              <w:rPr>
                <w:rFonts w:hint="default" w:ascii="Times New Roman" w:hAnsi="Times New Roman" w:cs="Times New Roman"/>
                <w:color w:val="FF0000"/>
                <w:sz w:val="21"/>
                <w:szCs w:val="21"/>
              </w:rPr>
              <w:t>等</w:t>
            </w:r>
          </w:p>
        </w:tc>
        <w:tc>
          <w:tcPr>
            <w:tcW w:w="1733" w:type="pct"/>
            <w:tcBorders>
              <w:tl2br w:val="nil"/>
              <w:tr2bl w:val="nil"/>
            </w:tcBorders>
            <w:shd w:val="clear" w:color="auto" w:fill="auto"/>
            <w:vAlign w:val="center"/>
          </w:tcPr>
          <w:p w14:paraId="1E479DDA">
            <w:pPr>
              <w:pStyle w:val="128"/>
              <w:spacing w:line="240" w:lineRule="auto"/>
              <w:jc w:val="center"/>
              <w:rPr>
                <w:rFonts w:hint="default" w:ascii="Times New Roman" w:hAnsi="Times New Roman" w:cs="Times New Roman"/>
                <w:color w:val="FF0000"/>
                <w:sz w:val="21"/>
                <w:szCs w:val="21"/>
              </w:rPr>
            </w:pPr>
            <w:r>
              <w:rPr>
                <w:rFonts w:hint="default" w:ascii="Times New Roman" w:hAnsi="Times New Roman" w:eastAsia="宋体" w:cs="Times New Roman"/>
                <w:color w:val="FF0000"/>
                <w:spacing w:val="-1"/>
                <w:sz w:val="21"/>
                <w:szCs w:val="21"/>
              </w:rPr>
              <w:t>交由具有相应资质的单位利用和处置</w:t>
            </w:r>
          </w:p>
        </w:tc>
      </w:tr>
      <w:tr w14:paraId="7E2DD6D4">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 w:type="dxa"/>
            <w:bottom w:w="0" w:type="dxa"/>
            <w:right w:w="10" w:type="dxa"/>
          </w:tblCellMar>
        </w:tblPrEx>
        <w:trPr>
          <w:trHeight w:val="23" w:hRule="atLeast"/>
          <w:jc w:val="center"/>
        </w:trPr>
        <w:tc>
          <w:tcPr>
            <w:tcW w:w="171" w:type="pct"/>
            <w:tcBorders>
              <w:tl2br w:val="nil"/>
              <w:tr2bl w:val="nil"/>
            </w:tcBorders>
            <w:shd w:val="clear" w:color="auto" w:fill="auto"/>
            <w:vAlign w:val="center"/>
          </w:tcPr>
          <w:p w14:paraId="38EB0424">
            <w:pPr>
              <w:keepNext w:val="0"/>
              <w:keepLines w:val="0"/>
              <w:widowControl/>
              <w:suppressLineNumbers w:val="0"/>
              <w:spacing w:line="240" w:lineRule="auto"/>
              <w:jc w:val="center"/>
              <w:textAlignment w:val="center"/>
              <w:rPr>
                <w:rFonts w:hint="default" w:ascii="Times New Roman" w:hAnsi="Times New Roman" w:cs="Times New Roman"/>
                <w:color w:val="FF0000"/>
                <w:sz w:val="21"/>
                <w:szCs w:val="21"/>
              </w:rPr>
            </w:pPr>
            <w:r>
              <w:rPr>
                <w:rFonts w:hint="default" w:ascii="Times New Roman" w:hAnsi="Times New Roman" w:eastAsia="宋体" w:cs="Times New Roman"/>
                <w:i w:val="0"/>
                <w:iCs w:val="0"/>
                <w:color w:val="FF0000"/>
                <w:kern w:val="0"/>
                <w:sz w:val="21"/>
                <w:szCs w:val="21"/>
                <w:u w:val="none"/>
                <w:lang w:val="en-US" w:eastAsia="zh-CN" w:bidi="ar"/>
              </w:rPr>
              <w:t>24</w:t>
            </w:r>
          </w:p>
        </w:tc>
        <w:tc>
          <w:tcPr>
            <w:tcW w:w="447" w:type="pct"/>
            <w:tcBorders>
              <w:tl2br w:val="nil"/>
              <w:tr2bl w:val="nil"/>
            </w:tcBorders>
            <w:shd w:val="clear" w:color="auto" w:fill="auto"/>
            <w:vAlign w:val="center"/>
          </w:tcPr>
          <w:p w14:paraId="576CAE04">
            <w:pPr>
              <w:pStyle w:val="128"/>
              <w:spacing w:line="240" w:lineRule="auto"/>
              <w:jc w:val="center"/>
              <w:rPr>
                <w:rFonts w:hint="default" w:ascii="Times New Roman" w:hAnsi="Times New Roman" w:eastAsia="宋体" w:cs="Times New Roman"/>
                <w:color w:val="FF0000"/>
                <w:kern w:val="2"/>
                <w:sz w:val="21"/>
                <w:szCs w:val="21"/>
                <w:lang w:val="zh-TW" w:eastAsia="zh-TW" w:bidi="zh-TW"/>
              </w:rPr>
            </w:pPr>
            <w:r>
              <w:rPr>
                <w:rFonts w:hint="default" w:ascii="Times New Roman" w:hAnsi="Times New Roman" w:cs="Times New Roman"/>
                <w:color w:val="FF0000"/>
                <w:sz w:val="21"/>
                <w:szCs w:val="21"/>
              </w:rPr>
              <w:t>燃油（汽油、柴油）</w:t>
            </w:r>
          </w:p>
        </w:tc>
        <w:tc>
          <w:tcPr>
            <w:tcW w:w="488" w:type="pct"/>
            <w:tcBorders>
              <w:tl2br w:val="nil"/>
              <w:tr2bl w:val="nil"/>
            </w:tcBorders>
            <w:shd w:val="clear" w:color="auto" w:fill="auto"/>
            <w:vAlign w:val="center"/>
          </w:tcPr>
          <w:p w14:paraId="363CBD73">
            <w:pPr>
              <w:pStyle w:val="128"/>
              <w:spacing w:line="240" w:lineRule="auto"/>
              <w:jc w:val="center"/>
              <w:rPr>
                <w:rFonts w:hint="default" w:ascii="Times New Roman" w:hAnsi="Times New Roman" w:cs="Times New Roman"/>
                <w:color w:val="FF0000"/>
                <w:sz w:val="21"/>
                <w:szCs w:val="21"/>
                <w:lang w:val="en-US" w:eastAsia="en-US"/>
              </w:rPr>
            </w:pPr>
            <w:r>
              <w:rPr>
                <w:rFonts w:hint="default" w:ascii="Times New Roman" w:hAnsi="Times New Roman" w:cs="Times New Roman"/>
                <w:color w:val="FF0000"/>
                <w:sz w:val="21"/>
                <w:szCs w:val="21"/>
              </w:rPr>
              <w:t>0.5~3</w:t>
            </w:r>
          </w:p>
        </w:tc>
        <w:tc>
          <w:tcPr>
            <w:tcW w:w="561" w:type="pct"/>
            <w:tcBorders>
              <w:tl2br w:val="nil"/>
              <w:tr2bl w:val="nil"/>
            </w:tcBorders>
            <w:shd w:val="clear" w:color="auto" w:fill="auto"/>
            <w:vAlign w:val="center"/>
          </w:tcPr>
          <w:p w14:paraId="55C8E8D8">
            <w:pPr>
              <w:pStyle w:val="128"/>
              <w:spacing w:line="240" w:lineRule="auto"/>
              <w:jc w:val="center"/>
              <w:rPr>
                <w:rFonts w:hint="default" w:ascii="Times New Roman" w:hAnsi="Times New Roman" w:cs="Times New Roman"/>
                <w:color w:val="FF0000"/>
                <w:sz w:val="21"/>
                <w:szCs w:val="21"/>
              </w:rPr>
            </w:pPr>
            <w:r>
              <w:rPr>
                <w:rFonts w:hint="default" w:ascii="Times New Roman" w:hAnsi="Times New Roman" w:cs="Times New Roman"/>
                <w:color w:val="FF0000"/>
                <w:sz w:val="21"/>
                <w:szCs w:val="21"/>
              </w:rPr>
              <w:t>1~5</w:t>
            </w:r>
          </w:p>
        </w:tc>
        <w:tc>
          <w:tcPr>
            <w:tcW w:w="500" w:type="pct"/>
            <w:tcBorders>
              <w:tl2br w:val="nil"/>
              <w:tr2bl w:val="nil"/>
            </w:tcBorders>
            <w:shd w:val="clear" w:color="auto" w:fill="auto"/>
            <w:vAlign w:val="center"/>
          </w:tcPr>
          <w:p w14:paraId="31C4CE5E">
            <w:pPr>
              <w:pStyle w:val="128"/>
              <w:spacing w:line="240" w:lineRule="auto"/>
              <w:jc w:val="center"/>
              <w:rPr>
                <w:rFonts w:hint="default" w:ascii="Times New Roman" w:hAnsi="Times New Roman" w:cs="Times New Roman"/>
                <w:color w:val="FF0000"/>
                <w:sz w:val="21"/>
                <w:szCs w:val="21"/>
              </w:rPr>
            </w:pPr>
            <w:r>
              <w:rPr>
                <w:rFonts w:hint="default" w:ascii="Times New Roman" w:hAnsi="Times New Roman" w:cs="Times New Roman"/>
                <w:color w:val="FF0000"/>
                <w:sz w:val="21"/>
                <w:szCs w:val="21"/>
              </w:rPr>
              <w:t>1~5</w:t>
            </w:r>
          </w:p>
        </w:tc>
        <w:tc>
          <w:tcPr>
            <w:tcW w:w="524" w:type="pct"/>
            <w:tcBorders>
              <w:tl2br w:val="nil"/>
              <w:tr2bl w:val="nil"/>
            </w:tcBorders>
            <w:shd w:val="clear" w:color="auto" w:fill="auto"/>
            <w:vAlign w:val="center"/>
          </w:tcPr>
          <w:p w14:paraId="1E511BC8">
            <w:pPr>
              <w:pStyle w:val="128"/>
              <w:spacing w:line="240" w:lineRule="auto"/>
              <w:jc w:val="center"/>
              <w:rPr>
                <w:rFonts w:hint="default" w:ascii="Times New Roman" w:hAnsi="Times New Roman" w:cs="Times New Roman"/>
                <w:color w:val="FF0000"/>
                <w:sz w:val="21"/>
                <w:szCs w:val="21"/>
              </w:rPr>
            </w:pPr>
            <w:r>
              <w:rPr>
                <w:rFonts w:hint="default" w:ascii="Times New Roman" w:hAnsi="Times New Roman" w:cs="Times New Roman"/>
                <w:color w:val="FF0000"/>
                <w:sz w:val="21"/>
                <w:szCs w:val="21"/>
              </w:rPr>
              <w:t>1~5</w:t>
            </w:r>
          </w:p>
        </w:tc>
        <w:tc>
          <w:tcPr>
            <w:tcW w:w="573" w:type="pct"/>
            <w:tcBorders>
              <w:tl2br w:val="nil"/>
              <w:tr2bl w:val="nil"/>
            </w:tcBorders>
            <w:shd w:val="clear" w:color="auto" w:fill="auto"/>
            <w:vAlign w:val="center"/>
          </w:tcPr>
          <w:p w14:paraId="04A1BA88">
            <w:pPr>
              <w:pStyle w:val="128"/>
              <w:spacing w:line="240" w:lineRule="auto"/>
              <w:jc w:val="center"/>
              <w:rPr>
                <w:rFonts w:hint="default" w:ascii="Times New Roman" w:hAnsi="Times New Roman" w:cs="Times New Roman"/>
                <w:color w:val="FF0000"/>
                <w:sz w:val="21"/>
                <w:szCs w:val="21"/>
              </w:rPr>
            </w:pPr>
            <w:r>
              <w:rPr>
                <w:rFonts w:hint="default" w:ascii="Times New Roman" w:hAnsi="Times New Roman" w:cs="Times New Roman"/>
                <w:color w:val="FF0000"/>
                <w:sz w:val="21"/>
                <w:szCs w:val="21"/>
                <w:lang w:val="en-US" w:eastAsia="zh-CN"/>
              </w:rPr>
              <w:t>燃</w:t>
            </w:r>
            <w:r>
              <w:rPr>
                <w:rFonts w:hint="default" w:ascii="Times New Roman" w:hAnsi="Times New Roman" w:cs="Times New Roman"/>
                <w:color w:val="FF0000"/>
                <w:sz w:val="21"/>
                <w:szCs w:val="21"/>
              </w:rPr>
              <w:t>油</w:t>
            </w:r>
          </w:p>
        </w:tc>
        <w:tc>
          <w:tcPr>
            <w:tcW w:w="1733" w:type="pct"/>
            <w:tcBorders>
              <w:tl2br w:val="nil"/>
              <w:tr2bl w:val="nil"/>
            </w:tcBorders>
            <w:shd w:val="clear" w:color="auto" w:fill="auto"/>
            <w:vAlign w:val="center"/>
          </w:tcPr>
          <w:p w14:paraId="20A775FB">
            <w:pPr>
              <w:pStyle w:val="128"/>
              <w:spacing w:line="240" w:lineRule="auto"/>
              <w:jc w:val="center"/>
              <w:rPr>
                <w:rFonts w:hint="default" w:ascii="Times New Roman" w:hAnsi="Times New Roman" w:cs="Times New Roman"/>
                <w:color w:val="FF0000"/>
                <w:sz w:val="21"/>
                <w:szCs w:val="21"/>
                <w:lang w:val="en-US" w:eastAsia="zh-CN"/>
              </w:rPr>
            </w:pPr>
            <w:r>
              <w:rPr>
                <w:rFonts w:hint="default" w:ascii="Times New Roman" w:hAnsi="Times New Roman" w:eastAsia="宋体" w:cs="Times New Roman"/>
                <w:color w:val="FF0000"/>
                <w:spacing w:val="-1"/>
                <w:sz w:val="21"/>
                <w:szCs w:val="21"/>
              </w:rPr>
              <w:t>交由持有相应类别危险废物经营许可证的单</w:t>
            </w:r>
            <w:r>
              <w:rPr>
                <w:rFonts w:hint="default" w:ascii="Times New Roman" w:hAnsi="Times New Roman" w:eastAsia="宋体" w:cs="Times New Roman"/>
                <w:color w:val="FF0000"/>
                <w:spacing w:val="-2"/>
                <w:sz w:val="21"/>
                <w:szCs w:val="21"/>
              </w:rPr>
              <w:t>位处理</w:t>
            </w:r>
          </w:p>
        </w:tc>
      </w:tr>
      <w:tr w14:paraId="36921328">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 w:type="dxa"/>
            <w:bottom w:w="0" w:type="dxa"/>
            <w:right w:w="10" w:type="dxa"/>
          </w:tblCellMar>
        </w:tblPrEx>
        <w:trPr>
          <w:trHeight w:val="23" w:hRule="atLeast"/>
          <w:jc w:val="center"/>
        </w:trPr>
        <w:tc>
          <w:tcPr>
            <w:tcW w:w="171" w:type="pct"/>
            <w:tcBorders>
              <w:tl2br w:val="nil"/>
              <w:tr2bl w:val="nil"/>
            </w:tcBorders>
            <w:shd w:val="clear" w:color="auto" w:fill="auto"/>
            <w:vAlign w:val="center"/>
          </w:tcPr>
          <w:p w14:paraId="08ADD5A1">
            <w:pPr>
              <w:keepNext w:val="0"/>
              <w:keepLines w:val="0"/>
              <w:widowControl/>
              <w:suppressLineNumbers w:val="0"/>
              <w:spacing w:line="240" w:lineRule="auto"/>
              <w:jc w:val="center"/>
              <w:textAlignment w:val="center"/>
              <w:rPr>
                <w:rFonts w:hint="default" w:ascii="Times New Roman" w:hAnsi="Times New Roman" w:cs="Times New Roman"/>
                <w:color w:val="FF0000"/>
                <w:sz w:val="21"/>
                <w:szCs w:val="21"/>
              </w:rPr>
            </w:pPr>
            <w:r>
              <w:rPr>
                <w:rFonts w:hint="default" w:ascii="Times New Roman" w:hAnsi="Times New Roman" w:eastAsia="宋体" w:cs="Times New Roman"/>
                <w:i w:val="0"/>
                <w:iCs w:val="0"/>
                <w:color w:val="FF0000"/>
                <w:kern w:val="0"/>
                <w:sz w:val="21"/>
                <w:szCs w:val="21"/>
                <w:u w:val="none"/>
                <w:lang w:val="en-US" w:eastAsia="zh-CN" w:bidi="ar"/>
              </w:rPr>
              <w:t>25</w:t>
            </w:r>
          </w:p>
        </w:tc>
        <w:tc>
          <w:tcPr>
            <w:tcW w:w="447" w:type="pct"/>
            <w:tcBorders>
              <w:tl2br w:val="nil"/>
              <w:tr2bl w:val="nil"/>
            </w:tcBorders>
            <w:shd w:val="clear" w:color="auto" w:fill="auto"/>
            <w:vAlign w:val="center"/>
          </w:tcPr>
          <w:p w14:paraId="6B5643DC">
            <w:pPr>
              <w:pStyle w:val="128"/>
              <w:spacing w:line="240" w:lineRule="auto"/>
              <w:jc w:val="center"/>
              <w:rPr>
                <w:rFonts w:hint="default" w:ascii="Times New Roman" w:hAnsi="Times New Roman" w:eastAsia="宋体" w:cs="Times New Roman"/>
                <w:color w:val="FF0000"/>
                <w:kern w:val="2"/>
                <w:sz w:val="21"/>
                <w:szCs w:val="21"/>
                <w:lang w:val="zh-TW" w:eastAsia="zh-TW" w:bidi="zh-TW"/>
              </w:rPr>
            </w:pPr>
            <w:r>
              <w:rPr>
                <w:rFonts w:hint="default" w:ascii="Times New Roman" w:hAnsi="Times New Roman" w:cs="Times New Roman"/>
                <w:color w:val="FF0000"/>
                <w:sz w:val="21"/>
                <w:szCs w:val="21"/>
              </w:rPr>
              <w:t>除燃油外的废矿物油（发动机润滑油、变速箱油、助力转向油、差速器油、制动液等石油类或合成润滑剂物质）</w:t>
            </w:r>
          </w:p>
        </w:tc>
        <w:tc>
          <w:tcPr>
            <w:tcW w:w="488" w:type="pct"/>
            <w:tcBorders>
              <w:tl2br w:val="nil"/>
              <w:tr2bl w:val="nil"/>
            </w:tcBorders>
            <w:shd w:val="clear" w:color="auto" w:fill="auto"/>
            <w:vAlign w:val="center"/>
          </w:tcPr>
          <w:p w14:paraId="0EBB8404">
            <w:pPr>
              <w:pStyle w:val="128"/>
              <w:spacing w:line="240" w:lineRule="auto"/>
              <w:jc w:val="center"/>
              <w:rPr>
                <w:rFonts w:hint="default" w:ascii="Times New Roman" w:hAnsi="Times New Roman" w:cs="Times New Roman"/>
                <w:color w:val="FF0000"/>
                <w:sz w:val="21"/>
                <w:szCs w:val="21"/>
                <w:lang w:val="en-US" w:eastAsia="en-US"/>
              </w:rPr>
            </w:pPr>
            <w:r>
              <w:rPr>
                <w:rFonts w:hint="default" w:ascii="Times New Roman" w:hAnsi="Times New Roman" w:cs="Times New Roman"/>
                <w:color w:val="FF0000"/>
                <w:sz w:val="21"/>
                <w:szCs w:val="21"/>
              </w:rPr>
              <w:t>1~3</w:t>
            </w:r>
          </w:p>
        </w:tc>
        <w:tc>
          <w:tcPr>
            <w:tcW w:w="561" w:type="pct"/>
            <w:tcBorders>
              <w:tl2br w:val="nil"/>
              <w:tr2bl w:val="nil"/>
            </w:tcBorders>
            <w:shd w:val="clear" w:color="auto" w:fill="auto"/>
            <w:vAlign w:val="center"/>
          </w:tcPr>
          <w:p w14:paraId="67505137">
            <w:pPr>
              <w:pStyle w:val="128"/>
              <w:spacing w:line="240" w:lineRule="auto"/>
              <w:jc w:val="center"/>
              <w:rPr>
                <w:rFonts w:hint="default" w:ascii="Times New Roman" w:hAnsi="Times New Roman" w:cs="Times New Roman"/>
                <w:color w:val="FF0000"/>
                <w:sz w:val="21"/>
                <w:szCs w:val="21"/>
              </w:rPr>
            </w:pPr>
            <w:r>
              <w:rPr>
                <w:rFonts w:hint="default" w:ascii="Times New Roman" w:hAnsi="Times New Roman" w:cs="Times New Roman"/>
                <w:color w:val="FF0000"/>
                <w:sz w:val="21"/>
                <w:szCs w:val="21"/>
              </w:rPr>
              <w:t>1~5</w:t>
            </w:r>
          </w:p>
        </w:tc>
        <w:tc>
          <w:tcPr>
            <w:tcW w:w="500" w:type="pct"/>
            <w:tcBorders>
              <w:tl2br w:val="nil"/>
              <w:tr2bl w:val="nil"/>
            </w:tcBorders>
            <w:shd w:val="clear" w:color="auto" w:fill="auto"/>
            <w:vAlign w:val="center"/>
          </w:tcPr>
          <w:p w14:paraId="397C7AE4">
            <w:pPr>
              <w:pStyle w:val="128"/>
              <w:spacing w:line="240" w:lineRule="auto"/>
              <w:jc w:val="center"/>
              <w:rPr>
                <w:rFonts w:hint="default" w:ascii="Times New Roman" w:hAnsi="Times New Roman" w:cs="Times New Roman"/>
                <w:color w:val="FF0000"/>
                <w:sz w:val="21"/>
                <w:szCs w:val="21"/>
              </w:rPr>
            </w:pPr>
            <w:r>
              <w:rPr>
                <w:rFonts w:hint="default" w:ascii="Times New Roman" w:hAnsi="Times New Roman" w:cs="Times New Roman"/>
                <w:color w:val="FF0000"/>
                <w:sz w:val="21"/>
                <w:szCs w:val="21"/>
              </w:rPr>
              <w:t>1~5</w:t>
            </w:r>
          </w:p>
        </w:tc>
        <w:tc>
          <w:tcPr>
            <w:tcW w:w="524" w:type="pct"/>
            <w:tcBorders>
              <w:tl2br w:val="nil"/>
              <w:tr2bl w:val="nil"/>
            </w:tcBorders>
            <w:shd w:val="clear" w:color="auto" w:fill="auto"/>
            <w:vAlign w:val="center"/>
          </w:tcPr>
          <w:p w14:paraId="35C47178">
            <w:pPr>
              <w:pStyle w:val="128"/>
              <w:spacing w:line="240" w:lineRule="auto"/>
              <w:jc w:val="center"/>
              <w:rPr>
                <w:rFonts w:hint="default" w:ascii="Times New Roman" w:hAnsi="Times New Roman" w:cs="Times New Roman"/>
                <w:color w:val="FF0000"/>
                <w:sz w:val="21"/>
                <w:szCs w:val="21"/>
              </w:rPr>
            </w:pPr>
            <w:r>
              <w:rPr>
                <w:rFonts w:hint="default" w:ascii="Times New Roman" w:hAnsi="Times New Roman" w:cs="Times New Roman"/>
                <w:color w:val="FF0000"/>
                <w:sz w:val="21"/>
                <w:szCs w:val="21"/>
              </w:rPr>
              <w:t>1~5</w:t>
            </w:r>
          </w:p>
        </w:tc>
        <w:tc>
          <w:tcPr>
            <w:tcW w:w="573" w:type="pct"/>
            <w:tcBorders>
              <w:tl2br w:val="nil"/>
              <w:tr2bl w:val="nil"/>
            </w:tcBorders>
            <w:shd w:val="clear" w:color="auto" w:fill="auto"/>
            <w:vAlign w:val="center"/>
          </w:tcPr>
          <w:p w14:paraId="74904F9A">
            <w:pPr>
              <w:pStyle w:val="128"/>
              <w:spacing w:line="240" w:lineRule="auto"/>
              <w:jc w:val="center"/>
              <w:rPr>
                <w:rFonts w:hint="default" w:ascii="Times New Roman" w:hAnsi="Times New Roman" w:cs="Times New Roman"/>
                <w:color w:val="FF0000"/>
                <w:sz w:val="21"/>
                <w:szCs w:val="21"/>
              </w:rPr>
            </w:pPr>
            <w:r>
              <w:rPr>
                <w:rFonts w:hint="default" w:ascii="Times New Roman" w:hAnsi="Times New Roman" w:cs="Times New Roman"/>
                <w:color w:val="FF0000"/>
                <w:sz w:val="21"/>
                <w:szCs w:val="21"/>
              </w:rPr>
              <w:t>矿物油</w:t>
            </w:r>
          </w:p>
        </w:tc>
        <w:tc>
          <w:tcPr>
            <w:tcW w:w="1733" w:type="pct"/>
            <w:tcBorders>
              <w:tl2br w:val="nil"/>
              <w:tr2bl w:val="nil"/>
            </w:tcBorders>
            <w:shd w:val="clear" w:color="auto" w:fill="auto"/>
            <w:vAlign w:val="center"/>
          </w:tcPr>
          <w:p w14:paraId="096C8257">
            <w:pPr>
              <w:pStyle w:val="128"/>
              <w:spacing w:line="240" w:lineRule="auto"/>
              <w:jc w:val="center"/>
              <w:rPr>
                <w:rFonts w:hint="default" w:ascii="Times New Roman" w:hAnsi="Times New Roman" w:cs="Times New Roman"/>
                <w:color w:val="FF0000"/>
                <w:sz w:val="21"/>
                <w:szCs w:val="21"/>
              </w:rPr>
            </w:pPr>
            <w:r>
              <w:rPr>
                <w:rFonts w:hint="default" w:ascii="Times New Roman" w:hAnsi="Times New Roman" w:eastAsia="宋体" w:cs="Times New Roman"/>
                <w:color w:val="FF0000"/>
                <w:spacing w:val="-1"/>
                <w:sz w:val="21"/>
                <w:szCs w:val="21"/>
              </w:rPr>
              <w:t>交由持有相应类别危险废物经营许可证的单</w:t>
            </w:r>
            <w:r>
              <w:rPr>
                <w:rFonts w:hint="default" w:ascii="Times New Roman" w:hAnsi="Times New Roman" w:eastAsia="宋体" w:cs="Times New Roman"/>
                <w:color w:val="FF0000"/>
                <w:spacing w:val="-2"/>
                <w:sz w:val="21"/>
                <w:szCs w:val="21"/>
              </w:rPr>
              <w:t>位处理</w:t>
            </w:r>
          </w:p>
        </w:tc>
      </w:tr>
      <w:tr w14:paraId="092A04EC">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 w:type="dxa"/>
            <w:bottom w:w="0" w:type="dxa"/>
            <w:right w:w="10" w:type="dxa"/>
          </w:tblCellMar>
        </w:tblPrEx>
        <w:trPr>
          <w:trHeight w:val="23" w:hRule="atLeast"/>
          <w:jc w:val="center"/>
        </w:trPr>
        <w:tc>
          <w:tcPr>
            <w:tcW w:w="171" w:type="pct"/>
            <w:tcBorders>
              <w:tl2br w:val="nil"/>
              <w:tr2bl w:val="nil"/>
            </w:tcBorders>
            <w:shd w:val="clear" w:color="auto" w:fill="auto"/>
            <w:vAlign w:val="center"/>
          </w:tcPr>
          <w:p w14:paraId="54E9A916">
            <w:pPr>
              <w:keepNext w:val="0"/>
              <w:keepLines w:val="0"/>
              <w:widowControl/>
              <w:suppressLineNumbers w:val="0"/>
              <w:spacing w:line="240" w:lineRule="auto"/>
              <w:jc w:val="center"/>
              <w:textAlignment w:val="center"/>
              <w:rPr>
                <w:rFonts w:hint="default" w:ascii="Times New Roman" w:hAnsi="Times New Roman" w:cs="Times New Roman"/>
                <w:color w:val="FF0000"/>
                <w:sz w:val="21"/>
                <w:szCs w:val="21"/>
              </w:rPr>
            </w:pPr>
            <w:r>
              <w:rPr>
                <w:rFonts w:hint="default" w:ascii="Times New Roman" w:hAnsi="Times New Roman" w:eastAsia="宋体" w:cs="Times New Roman"/>
                <w:i w:val="0"/>
                <w:iCs w:val="0"/>
                <w:color w:val="FF0000"/>
                <w:kern w:val="0"/>
                <w:sz w:val="21"/>
                <w:szCs w:val="21"/>
                <w:u w:val="none"/>
                <w:lang w:val="en-US" w:eastAsia="zh-CN" w:bidi="ar"/>
              </w:rPr>
              <w:t>26</w:t>
            </w:r>
          </w:p>
        </w:tc>
        <w:tc>
          <w:tcPr>
            <w:tcW w:w="447" w:type="pct"/>
            <w:tcBorders>
              <w:tl2br w:val="nil"/>
              <w:tr2bl w:val="nil"/>
            </w:tcBorders>
            <w:shd w:val="clear" w:color="auto" w:fill="auto"/>
            <w:vAlign w:val="center"/>
          </w:tcPr>
          <w:p w14:paraId="2CEF6A48">
            <w:pPr>
              <w:pStyle w:val="128"/>
              <w:spacing w:line="240" w:lineRule="auto"/>
              <w:jc w:val="center"/>
              <w:rPr>
                <w:rFonts w:hint="default" w:ascii="Times New Roman" w:hAnsi="Times New Roman" w:eastAsia="宋体" w:cs="Times New Roman"/>
                <w:color w:val="FF0000"/>
                <w:kern w:val="2"/>
                <w:sz w:val="21"/>
                <w:szCs w:val="21"/>
                <w:lang w:val="en-US" w:eastAsia="zh-CN" w:bidi="zh-TW"/>
              </w:rPr>
            </w:pPr>
            <w:r>
              <w:rPr>
                <w:rFonts w:hint="default" w:ascii="Times New Roman" w:hAnsi="Times New Roman" w:cs="Times New Roman"/>
                <w:color w:val="FF0000"/>
                <w:sz w:val="21"/>
                <w:szCs w:val="21"/>
                <w:lang w:val="en-US" w:eastAsia="zh-CN"/>
              </w:rPr>
              <w:t>铅酸</w:t>
            </w:r>
            <w:r>
              <w:rPr>
                <w:rFonts w:hint="default" w:ascii="Times New Roman" w:hAnsi="Times New Roman" w:cs="Times New Roman"/>
                <w:color w:val="FF0000"/>
                <w:sz w:val="21"/>
                <w:szCs w:val="21"/>
              </w:rPr>
              <w:t>蓄电池</w:t>
            </w:r>
          </w:p>
        </w:tc>
        <w:tc>
          <w:tcPr>
            <w:tcW w:w="488" w:type="pct"/>
            <w:tcBorders>
              <w:tl2br w:val="nil"/>
              <w:tr2bl w:val="nil"/>
            </w:tcBorders>
            <w:shd w:val="clear" w:color="auto" w:fill="auto"/>
            <w:vAlign w:val="center"/>
          </w:tcPr>
          <w:p w14:paraId="523F99A2">
            <w:pPr>
              <w:pStyle w:val="128"/>
              <w:spacing w:line="240" w:lineRule="auto"/>
              <w:jc w:val="center"/>
              <w:rPr>
                <w:rFonts w:hint="default" w:ascii="Times New Roman" w:hAnsi="Times New Roman" w:cs="Times New Roman"/>
                <w:color w:val="FF0000"/>
                <w:sz w:val="21"/>
                <w:szCs w:val="21"/>
                <w:lang w:val="en-US" w:eastAsia="en-US"/>
              </w:rPr>
            </w:pPr>
            <w:r>
              <w:rPr>
                <w:rFonts w:hint="default" w:ascii="Times New Roman" w:hAnsi="Times New Roman" w:cs="Times New Roman"/>
                <w:color w:val="FF0000"/>
                <w:sz w:val="21"/>
                <w:szCs w:val="21"/>
              </w:rPr>
              <w:t>10~15</w:t>
            </w:r>
          </w:p>
        </w:tc>
        <w:tc>
          <w:tcPr>
            <w:tcW w:w="561" w:type="pct"/>
            <w:tcBorders>
              <w:tl2br w:val="nil"/>
              <w:tr2bl w:val="nil"/>
            </w:tcBorders>
            <w:shd w:val="clear" w:color="auto" w:fill="auto"/>
            <w:vAlign w:val="center"/>
          </w:tcPr>
          <w:p w14:paraId="0F8507AD">
            <w:pPr>
              <w:pStyle w:val="128"/>
              <w:spacing w:line="240" w:lineRule="auto"/>
              <w:jc w:val="center"/>
              <w:rPr>
                <w:rFonts w:hint="default" w:ascii="Times New Roman" w:hAnsi="Times New Roman" w:cs="Times New Roman"/>
                <w:color w:val="FF0000"/>
                <w:sz w:val="21"/>
                <w:szCs w:val="21"/>
              </w:rPr>
            </w:pPr>
            <w:r>
              <w:rPr>
                <w:rFonts w:hint="default" w:ascii="Times New Roman" w:hAnsi="Times New Roman" w:cs="Times New Roman"/>
                <w:color w:val="FF0000"/>
                <w:sz w:val="21"/>
                <w:szCs w:val="21"/>
              </w:rPr>
              <w:t>15~200</w:t>
            </w:r>
          </w:p>
        </w:tc>
        <w:tc>
          <w:tcPr>
            <w:tcW w:w="500" w:type="pct"/>
            <w:tcBorders>
              <w:tl2br w:val="nil"/>
              <w:tr2bl w:val="nil"/>
            </w:tcBorders>
            <w:shd w:val="clear" w:color="auto" w:fill="auto"/>
            <w:vAlign w:val="center"/>
          </w:tcPr>
          <w:p w14:paraId="112A8F2A">
            <w:pPr>
              <w:pStyle w:val="128"/>
              <w:spacing w:line="240" w:lineRule="auto"/>
              <w:jc w:val="center"/>
              <w:rPr>
                <w:rFonts w:hint="default" w:ascii="Times New Roman" w:hAnsi="Times New Roman" w:cs="Times New Roman"/>
                <w:color w:val="FF0000"/>
                <w:sz w:val="21"/>
                <w:szCs w:val="21"/>
              </w:rPr>
            </w:pPr>
            <w:r>
              <w:rPr>
                <w:rFonts w:hint="default" w:ascii="Times New Roman" w:hAnsi="Times New Roman" w:cs="Times New Roman"/>
                <w:color w:val="FF0000"/>
                <w:sz w:val="21"/>
                <w:szCs w:val="21"/>
              </w:rPr>
              <w:t>10~90</w:t>
            </w:r>
          </w:p>
        </w:tc>
        <w:tc>
          <w:tcPr>
            <w:tcW w:w="524" w:type="pct"/>
            <w:tcBorders>
              <w:tl2br w:val="nil"/>
              <w:tr2bl w:val="nil"/>
            </w:tcBorders>
            <w:shd w:val="clear" w:color="auto" w:fill="auto"/>
            <w:vAlign w:val="center"/>
          </w:tcPr>
          <w:p w14:paraId="32F133A3">
            <w:pPr>
              <w:pStyle w:val="128"/>
              <w:spacing w:line="240" w:lineRule="auto"/>
              <w:jc w:val="center"/>
              <w:rPr>
                <w:rFonts w:hint="default" w:ascii="Times New Roman" w:hAnsi="Times New Roman" w:cs="Times New Roman"/>
                <w:color w:val="FF0000"/>
                <w:sz w:val="21"/>
                <w:szCs w:val="21"/>
              </w:rPr>
            </w:pPr>
            <w:r>
              <w:rPr>
                <w:rFonts w:hint="default" w:ascii="Times New Roman" w:hAnsi="Times New Roman" w:cs="Times New Roman"/>
                <w:color w:val="FF0000"/>
                <w:sz w:val="21"/>
                <w:szCs w:val="21"/>
              </w:rPr>
              <w:t>150~3000</w:t>
            </w:r>
          </w:p>
        </w:tc>
        <w:tc>
          <w:tcPr>
            <w:tcW w:w="573" w:type="pct"/>
            <w:tcBorders>
              <w:tl2br w:val="nil"/>
              <w:tr2bl w:val="nil"/>
            </w:tcBorders>
            <w:shd w:val="clear" w:color="auto" w:fill="auto"/>
            <w:vAlign w:val="center"/>
          </w:tcPr>
          <w:p w14:paraId="57F272F5">
            <w:pPr>
              <w:pStyle w:val="128"/>
              <w:spacing w:line="240" w:lineRule="auto"/>
              <w:jc w:val="center"/>
              <w:rPr>
                <w:rFonts w:hint="default" w:ascii="Times New Roman" w:hAnsi="Times New Roman" w:cs="Times New Roman"/>
                <w:color w:val="FF0000"/>
                <w:sz w:val="21"/>
                <w:szCs w:val="21"/>
              </w:rPr>
            </w:pPr>
            <w:r>
              <w:rPr>
                <w:rFonts w:hint="default" w:ascii="Times New Roman" w:hAnsi="Times New Roman" w:cs="Times New Roman"/>
                <w:color w:val="FF0000"/>
                <w:sz w:val="21"/>
                <w:szCs w:val="21"/>
              </w:rPr>
              <w:t>铅、酸、塑料件</w:t>
            </w:r>
          </w:p>
        </w:tc>
        <w:tc>
          <w:tcPr>
            <w:tcW w:w="1733" w:type="pct"/>
            <w:tcBorders>
              <w:tl2br w:val="nil"/>
              <w:tr2bl w:val="nil"/>
            </w:tcBorders>
            <w:shd w:val="clear" w:color="auto" w:fill="auto"/>
            <w:vAlign w:val="center"/>
          </w:tcPr>
          <w:p w14:paraId="120C987F">
            <w:pPr>
              <w:pStyle w:val="128"/>
              <w:spacing w:line="240" w:lineRule="auto"/>
              <w:jc w:val="center"/>
              <w:rPr>
                <w:rFonts w:hint="default" w:ascii="Times New Roman" w:hAnsi="Times New Roman" w:cs="Times New Roman"/>
                <w:color w:val="FF0000"/>
                <w:sz w:val="21"/>
                <w:szCs w:val="21"/>
              </w:rPr>
            </w:pPr>
            <w:r>
              <w:rPr>
                <w:rFonts w:hint="default" w:ascii="Times New Roman" w:hAnsi="Times New Roman" w:cs="Times New Roman"/>
                <w:color w:val="FF0000"/>
                <w:sz w:val="21"/>
                <w:szCs w:val="21"/>
              </w:rPr>
              <w:t>交由持有相应类别危险废物经营许可证的单位处理</w:t>
            </w:r>
          </w:p>
        </w:tc>
      </w:tr>
      <w:tr w14:paraId="7802C77D">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 w:type="dxa"/>
            <w:bottom w:w="0" w:type="dxa"/>
            <w:right w:w="10" w:type="dxa"/>
          </w:tblCellMar>
        </w:tblPrEx>
        <w:trPr>
          <w:trHeight w:val="23" w:hRule="atLeast"/>
          <w:jc w:val="center"/>
        </w:trPr>
        <w:tc>
          <w:tcPr>
            <w:tcW w:w="171" w:type="pct"/>
            <w:tcBorders>
              <w:tl2br w:val="nil"/>
              <w:tr2bl w:val="nil"/>
            </w:tcBorders>
            <w:shd w:val="clear" w:color="auto" w:fill="auto"/>
            <w:vAlign w:val="center"/>
          </w:tcPr>
          <w:p w14:paraId="39F62945">
            <w:pPr>
              <w:keepNext w:val="0"/>
              <w:keepLines w:val="0"/>
              <w:widowControl/>
              <w:suppressLineNumbers w:val="0"/>
              <w:spacing w:line="240" w:lineRule="auto"/>
              <w:jc w:val="center"/>
              <w:textAlignment w:val="center"/>
              <w:rPr>
                <w:rFonts w:hint="default" w:ascii="Times New Roman" w:hAnsi="Times New Roman" w:cs="Times New Roman"/>
                <w:color w:val="FF0000"/>
                <w:sz w:val="21"/>
                <w:szCs w:val="21"/>
              </w:rPr>
            </w:pPr>
            <w:r>
              <w:rPr>
                <w:rFonts w:hint="default" w:ascii="Times New Roman" w:hAnsi="Times New Roman" w:eastAsia="宋体" w:cs="Times New Roman"/>
                <w:i w:val="0"/>
                <w:iCs w:val="0"/>
                <w:color w:val="FF0000"/>
                <w:kern w:val="0"/>
                <w:sz w:val="21"/>
                <w:szCs w:val="21"/>
                <w:u w:val="none"/>
                <w:lang w:val="en-US" w:eastAsia="zh-CN" w:bidi="ar"/>
              </w:rPr>
              <w:t>27</w:t>
            </w:r>
          </w:p>
        </w:tc>
        <w:tc>
          <w:tcPr>
            <w:tcW w:w="447" w:type="pct"/>
            <w:tcBorders>
              <w:tl2br w:val="nil"/>
              <w:tr2bl w:val="nil"/>
            </w:tcBorders>
            <w:shd w:val="clear" w:color="auto" w:fill="auto"/>
            <w:vAlign w:val="center"/>
          </w:tcPr>
          <w:p w14:paraId="47D17203">
            <w:pPr>
              <w:pStyle w:val="128"/>
              <w:spacing w:line="240" w:lineRule="auto"/>
              <w:jc w:val="center"/>
              <w:rPr>
                <w:rFonts w:hint="default" w:ascii="Times New Roman" w:hAnsi="Times New Roman" w:eastAsia="宋体" w:cs="Times New Roman"/>
                <w:color w:val="FF0000"/>
                <w:kern w:val="2"/>
                <w:sz w:val="21"/>
                <w:szCs w:val="21"/>
                <w:lang w:val="zh-TW" w:eastAsia="zh-TW" w:bidi="zh-TW"/>
              </w:rPr>
            </w:pPr>
            <w:r>
              <w:rPr>
                <w:rFonts w:hint="default" w:ascii="Times New Roman" w:hAnsi="Times New Roman" w:cs="Times New Roman"/>
                <w:color w:val="FF0000"/>
                <w:sz w:val="21"/>
                <w:szCs w:val="21"/>
              </w:rPr>
              <w:t>燃油滤清器</w:t>
            </w:r>
          </w:p>
        </w:tc>
        <w:tc>
          <w:tcPr>
            <w:tcW w:w="488" w:type="pct"/>
            <w:tcBorders>
              <w:tl2br w:val="nil"/>
              <w:tr2bl w:val="nil"/>
            </w:tcBorders>
            <w:shd w:val="clear" w:color="auto" w:fill="auto"/>
            <w:vAlign w:val="center"/>
          </w:tcPr>
          <w:p w14:paraId="63DFF31F">
            <w:pPr>
              <w:pStyle w:val="128"/>
              <w:spacing w:line="240" w:lineRule="auto"/>
              <w:jc w:val="center"/>
              <w:rPr>
                <w:rFonts w:hint="default" w:ascii="Times New Roman" w:hAnsi="Times New Roman" w:cs="Times New Roman"/>
                <w:color w:val="FF0000"/>
                <w:sz w:val="21"/>
                <w:szCs w:val="21"/>
                <w:lang w:val="en-US" w:eastAsia="en-US"/>
              </w:rPr>
            </w:pPr>
            <w:r>
              <w:rPr>
                <w:rFonts w:hint="default" w:ascii="Times New Roman" w:hAnsi="Times New Roman" w:cs="Times New Roman"/>
                <w:color w:val="FF0000"/>
                <w:sz w:val="21"/>
                <w:szCs w:val="21"/>
              </w:rPr>
              <w:t>0.8~1.5</w:t>
            </w:r>
          </w:p>
        </w:tc>
        <w:tc>
          <w:tcPr>
            <w:tcW w:w="561" w:type="pct"/>
            <w:tcBorders>
              <w:tl2br w:val="nil"/>
              <w:tr2bl w:val="nil"/>
            </w:tcBorders>
            <w:shd w:val="clear" w:color="auto" w:fill="auto"/>
            <w:vAlign w:val="center"/>
          </w:tcPr>
          <w:p w14:paraId="0207F50B">
            <w:pPr>
              <w:pStyle w:val="128"/>
              <w:spacing w:line="240" w:lineRule="auto"/>
              <w:jc w:val="center"/>
              <w:rPr>
                <w:rFonts w:hint="default" w:ascii="Times New Roman" w:hAnsi="Times New Roman" w:cs="Times New Roman"/>
                <w:color w:val="FF0000"/>
                <w:sz w:val="21"/>
                <w:szCs w:val="21"/>
              </w:rPr>
            </w:pPr>
            <w:r>
              <w:rPr>
                <w:rFonts w:hint="default" w:ascii="Times New Roman" w:hAnsi="Times New Roman" w:cs="Times New Roman"/>
                <w:color w:val="FF0000"/>
                <w:sz w:val="21"/>
                <w:szCs w:val="21"/>
              </w:rPr>
              <w:t>2~5</w:t>
            </w:r>
          </w:p>
        </w:tc>
        <w:tc>
          <w:tcPr>
            <w:tcW w:w="500" w:type="pct"/>
            <w:tcBorders>
              <w:tl2br w:val="nil"/>
              <w:tr2bl w:val="nil"/>
            </w:tcBorders>
            <w:shd w:val="clear" w:color="auto" w:fill="auto"/>
            <w:vAlign w:val="center"/>
          </w:tcPr>
          <w:p w14:paraId="2CFBABCA">
            <w:pPr>
              <w:pStyle w:val="128"/>
              <w:spacing w:line="240" w:lineRule="auto"/>
              <w:jc w:val="center"/>
              <w:rPr>
                <w:rFonts w:hint="default" w:ascii="Times New Roman" w:hAnsi="Times New Roman" w:cs="Times New Roman"/>
                <w:color w:val="FF0000"/>
                <w:sz w:val="21"/>
                <w:szCs w:val="21"/>
              </w:rPr>
            </w:pPr>
            <w:r>
              <w:rPr>
                <w:rFonts w:hint="default" w:ascii="Times New Roman" w:hAnsi="Times New Roman" w:cs="Times New Roman"/>
                <w:color w:val="FF0000"/>
                <w:sz w:val="21"/>
                <w:szCs w:val="21"/>
              </w:rPr>
              <w:t>2~4</w:t>
            </w:r>
          </w:p>
        </w:tc>
        <w:tc>
          <w:tcPr>
            <w:tcW w:w="524" w:type="pct"/>
            <w:tcBorders>
              <w:tl2br w:val="nil"/>
              <w:tr2bl w:val="nil"/>
            </w:tcBorders>
            <w:shd w:val="clear" w:color="auto" w:fill="auto"/>
            <w:vAlign w:val="center"/>
          </w:tcPr>
          <w:p w14:paraId="3A37727F">
            <w:pPr>
              <w:pStyle w:val="128"/>
              <w:spacing w:line="240" w:lineRule="auto"/>
              <w:jc w:val="center"/>
              <w:rPr>
                <w:rFonts w:hint="default" w:ascii="Times New Roman" w:hAnsi="Times New Roman" w:cs="Times New Roman"/>
                <w:color w:val="FF0000"/>
                <w:sz w:val="21"/>
                <w:szCs w:val="21"/>
              </w:rPr>
            </w:pPr>
            <w:r>
              <w:rPr>
                <w:rFonts w:hint="default" w:ascii="Times New Roman" w:hAnsi="Times New Roman" w:cs="Times New Roman"/>
                <w:color w:val="FF0000"/>
                <w:sz w:val="21"/>
                <w:szCs w:val="21"/>
              </w:rPr>
              <w:t>0.8~4</w:t>
            </w:r>
          </w:p>
        </w:tc>
        <w:tc>
          <w:tcPr>
            <w:tcW w:w="573" w:type="pct"/>
            <w:tcBorders>
              <w:tl2br w:val="nil"/>
              <w:tr2bl w:val="nil"/>
            </w:tcBorders>
            <w:shd w:val="clear" w:color="auto" w:fill="auto"/>
            <w:vAlign w:val="center"/>
          </w:tcPr>
          <w:p w14:paraId="07AED36F">
            <w:pPr>
              <w:pStyle w:val="128"/>
              <w:spacing w:line="240" w:lineRule="auto"/>
              <w:jc w:val="center"/>
              <w:rPr>
                <w:rFonts w:hint="default" w:ascii="Times New Roman" w:hAnsi="Times New Roman" w:cs="Times New Roman"/>
                <w:color w:val="FF0000"/>
                <w:sz w:val="21"/>
                <w:szCs w:val="21"/>
              </w:rPr>
            </w:pPr>
            <w:r>
              <w:rPr>
                <w:rFonts w:hint="default" w:ascii="Times New Roman" w:hAnsi="Times New Roman" w:cs="Times New Roman"/>
                <w:color w:val="FF0000"/>
                <w:sz w:val="21"/>
                <w:szCs w:val="21"/>
              </w:rPr>
              <w:t>含矿物油杂质的滤芯、塑料件</w:t>
            </w:r>
          </w:p>
        </w:tc>
        <w:tc>
          <w:tcPr>
            <w:tcW w:w="1733" w:type="pct"/>
            <w:tcBorders>
              <w:tl2br w:val="nil"/>
              <w:tr2bl w:val="nil"/>
            </w:tcBorders>
            <w:shd w:val="clear" w:color="auto" w:fill="auto"/>
            <w:vAlign w:val="center"/>
          </w:tcPr>
          <w:p w14:paraId="34C6BCC3">
            <w:pPr>
              <w:pStyle w:val="128"/>
              <w:spacing w:line="240" w:lineRule="auto"/>
              <w:jc w:val="center"/>
              <w:rPr>
                <w:rFonts w:hint="default" w:ascii="Times New Roman" w:hAnsi="Times New Roman" w:cs="Times New Roman"/>
                <w:color w:val="FF0000"/>
                <w:sz w:val="21"/>
                <w:szCs w:val="21"/>
              </w:rPr>
            </w:pPr>
            <w:r>
              <w:rPr>
                <w:rFonts w:hint="default" w:ascii="Times New Roman" w:hAnsi="Times New Roman" w:eastAsia="宋体" w:cs="Times New Roman"/>
                <w:color w:val="FF0000"/>
                <w:spacing w:val="-1"/>
                <w:sz w:val="21"/>
                <w:szCs w:val="21"/>
              </w:rPr>
              <w:t>交由持有相应类别危险废物经营许可证的单</w:t>
            </w:r>
            <w:r>
              <w:rPr>
                <w:rFonts w:hint="default" w:ascii="Times New Roman" w:hAnsi="Times New Roman" w:eastAsia="宋体" w:cs="Times New Roman"/>
                <w:color w:val="FF0000"/>
                <w:spacing w:val="-2"/>
                <w:sz w:val="21"/>
                <w:szCs w:val="21"/>
              </w:rPr>
              <w:t>位处理</w:t>
            </w:r>
          </w:p>
        </w:tc>
      </w:tr>
      <w:tr w14:paraId="3943F13C">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 w:type="dxa"/>
            <w:bottom w:w="0" w:type="dxa"/>
            <w:right w:w="10" w:type="dxa"/>
          </w:tblCellMar>
        </w:tblPrEx>
        <w:trPr>
          <w:trHeight w:val="23" w:hRule="atLeast"/>
          <w:jc w:val="center"/>
        </w:trPr>
        <w:tc>
          <w:tcPr>
            <w:tcW w:w="171" w:type="pct"/>
            <w:tcBorders>
              <w:tl2br w:val="nil"/>
              <w:tr2bl w:val="nil"/>
            </w:tcBorders>
            <w:shd w:val="clear" w:color="auto" w:fill="auto"/>
            <w:vAlign w:val="center"/>
          </w:tcPr>
          <w:p w14:paraId="6926102A">
            <w:pPr>
              <w:keepNext w:val="0"/>
              <w:keepLines w:val="0"/>
              <w:widowControl/>
              <w:suppressLineNumbers w:val="0"/>
              <w:spacing w:line="240" w:lineRule="auto"/>
              <w:jc w:val="center"/>
              <w:textAlignment w:val="center"/>
              <w:rPr>
                <w:rFonts w:hint="default" w:ascii="Times New Roman" w:hAnsi="Times New Roman" w:cs="Times New Roman"/>
                <w:color w:val="FF0000"/>
                <w:sz w:val="21"/>
                <w:szCs w:val="21"/>
              </w:rPr>
            </w:pPr>
            <w:r>
              <w:rPr>
                <w:rFonts w:hint="default" w:ascii="Times New Roman" w:hAnsi="Times New Roman" w:eastAsia="宋体" w:cs="Times New Roman"/>
                <w:i w:val="0"/>
                <w:iCs w:val="0"/>
                <w:color w:val="FF0000"/>
                <w:kern w:val="0"/>
                <w:sz w:val="21"/>
                <w:szCs w:val="21"/>
                <w:u w:val="none"/>
                <w:lang w:val="en-US" w:eastAsia="zh-CN" w:bidi="ar"/>
              </w:rPr>
              <w:t>28</w:t>
            </w:r>
          </w:p>
        </w:tc>
        <w:tc>
          <w:tcPr>
            <w:tcW w:w="447" w:type="pct"/>
            <w:tcBorders>
              <w:tl2br w:val="nil"/>
              <w:tr2bl w:val="nil"/>
            </w:tcBorders>
            <w:shd w:val="clear" w:color="auto" w:fill="auto"/>
            <w:vAlign w:val="center"/>
          </w:tcPr>
          <w:p w14:paraId="725E6AFA">
            <w:pPr>
              <w:pStyle w:val="128"/>
              <w:spacing w:line="240" w:lineRule="auto"/>
              <w:jc w:val="center"/>
              <w:rPr>
                <w:rFonts w:hint="default" w:ascii="Times New Roman" w:hAnsi="Times New Roman" w:eastAsia="宋体" w:cs="Times New Roman"/>
                <w:color w:val="FF0000"/>
                <w:kern w:val="2"/>
                <w:sz w:val="21"/>
                <w:szCs w:val="21"/>
                <w:lang w:val="zh-TW" w:eastAsia="zh-CN" w:bidi="zh-TW"/>
              </w:rPr>
            </w:pPr>
            <w:r>
              <w:rPr>
                <w:rFonts w:hint="default" w:ascii="Times New Roman" w:hAnsi="Times New Roman" w:cs="Times New Roman"/>
                <w:color w:val="FF0000"/>
                <w:sz w:val="21"/>
                <w:szCs w:val="21"/>
              </w:rPr>
              <w:t>尾气净化装置</w:t>
            </w:r>
            <w:r>
              <w:rPr>
                <w:rFonts w:hint="default" w:ascii="Times New Roman" w:hAnsi="Times New Roman" w:cs="Times New Roman"/>
                <w:color w:val="FF0000"/>
                <w:sz w:val="21"/>
                <w:szCs w:val="21"/>
                <w:lang w:eastAsia="zh-CN"/>
              </w:rPr>
              <w:t>（废尾气催化剂）</w:t>
            </w:r>
          </w:p>
        </w:tc>
        <w:tc>
          <w:tcPr>
            <w:tcW w:w="488" w:type="pct"/>
            <w:tcBorders>
              <w:tl2br w:val="nil"/>
              <w:tr2bl w:val="nil"/>
            </w:tcBorders>
            <w:shd w:val="clear" w:color="auto" w:fill="auto"/>
            <w:vAlign w:val="center"/>
          </w:tcPr>
          <w:p w14:paraId="1438120D">
            <w:pPr>
              <w:pStyle w:val="128"/>
              <w:spacing w:line="240" w:lineRule="auto"/>
              <w:jc w:val="center"/>
              <w:rPr>
                <w:rFonts w:hint="default" w:ascii="Times New Roman" w:hAnsi="Times New Roman" w:cs="Times New Roman"/>
                <w:color w:val="FF0000"/>
                <w:sz w:val="21"/>
                <w:szCs w:val="21"/>
                <w:lang w:val="en-US" w:eastAsia="en-US"/>
              </w:rPr>
            </w:pPr>
            <w:r>
              <w:rPr>
                <w:rFonts w:hint="default" w:ascii="Times New Roman" w:hAnsi="Times New Roman" w:cs="Times New Roman"/>
                <w:color w:val="FF0000"/>
                <w:sz w:val="21"/>
                <w:szCs w:val="21"/>
              </w:rPr>
              <w:t>0.5~1.0</w:t>
            </w:r>
          </w:p>
        </w:tc>
        <w:tc>
          <w:tcPr>
            <w:tcW w:w="561" w:type="pct"/>
            <w:tcBorders>
              <w:tl2br w:val="nil"/>
              <w:tr2bl w:val="nil"/>
            </w:tcBorders>
            <w:shd w:val="clear" w:color="auto" w:fill="auto"/>
            <w:vAlign w:val="center"/>
          </w:tcPr>
          <w:p w14:paraId="6981CF81">
            <w:pPr>
              <w:pStyle w:val="128"/>
              <w:spacing w:line="240" w:lineRule="auto"/>
              <w:jc w:val="center"/>
              <w:rPr>
                <w:rFonts w:hint="default" w:ascii="Times New Roman" w:hAnsi="Times New Roman" w:cs="Times New Roman"/>
                <w:color w:val="FF0000"/>
                <w:sz w:val="21"/>
                <w:szCs w:val="21"/>
              </w:rPr>
            </w:pPr>
            <w:r>
              <w:rPr>
                <w:rFonts w:hint="default" w:ascii="Times New Roman" w:hAnsi="Times New Roman" w:cs="Times New Roman"/>
                <w:color w:val="FF0000"/>
                <w:sz w:val="21"/>
                <w:szCs w:val="21"/>
              </w:rPr>
              <w:t>1.0~1.5</w:t>
            </w:r>
          </w:p>
        </w:tc>
        <w:tc>
          <w:tcPr>
            <w:tcW w:w="500" w:type="pct"/>
            <w:tcBorders>
              <w:tl2br w:val="nil"/>
              <w:tr2bl w:val="nil"/>
            </w:tcBorders>
            <w:shd w:val="clear" w:color="auto" w:fill="auto"/>
            <w:vAlign w:val="center"/>
          </w:tcPr>
          <w:p w14:paraId="3BA03D40">
            <w:pPr>
              <w:pStyle w:val="128"/>
              <w:spacing w:line="240" w:lineRule="auto"/>
              <w:jc w:val="center"/>
              <w:rPr>
                <w:rFonts w:hint="default" w:ascii="Times New Roman" w:hAnsi="Times New Roman" w:cs="Times New Roman"/>
                <w:color w:val="FF0000"/>
                <w:sz w:val="21"/>
                <w:szCs w:val="21"/>
              </w:rPr>
            </w:pPr>
            <w:r>
              <w:rPr>
                <w:rFonts w:hint="default" w:ascii="Times New Roman" w:hAnsi="Times New Roman" w:cs="Times New Roman"/>
                <w:color w:val="FF0000"/>
                <w:sz w:val="21"/>
                <w:szCs w:val="21"/>
              </w:rPr>
              <w:t>1.0~2.0</w:t>
            </w:r>
          </w:p>
        </w:tc>
        <w:tc>
          <w:tcPr>
            <w:tcW w:w="524" w:type="pct"/>
            <w:tcBorders>
              <w:tl2br w:val="nil"/>
              <w:tr2bl w:val="nil"/>
            </w:tcBorders>
            <w:shd w:val="clear" w:color="auto" w:fill="auto"/>
            <w:vAlign w:val="center"/>
          </w:tcPr>
          <w:p w14:paraId="65689816">
            <w:pPr>
              <w:pStyle w:val="128"/>
              <w:spacing w:line="240" w:lineRule="auto"/>
              <w:jc w:val="center"/>
              <w:rPr>
                <w:rFonts w:hint="default" w:ascii="Times New Roman" w:hAnsi="Times New Roman" w:cs="Times New Roman"/>
                <w:color w:val="FF0000"/>
                <w:sz w:val="21"/>
                <w:szCs w:val="21"/>
              </w:rPr>
            </w:pPr>
            <w:r>
              <w:rPr>
                <w:rFonts w:hint="default" w:ascii="Times New Roman" w:hAnsi="Times New Roman" w:cs="Times New Roman"/>
                <w:color w:val="FF0000"/>
                <w:sz w:val="21"/>
                <w:szCs w:val="21"/>
              </w:rPr>
              <w:t>0</w:t>
            </w:r>
          </w:p>
        </w:tc>
        <w:tc>
          <w:tcPr>
            <w:tcW w:w="573" w:type="pct"/>
            <w:tcBorders>
              <w:tl2br w:val="nil"/>
              <w:tr2bl w:val="nil"/>
            </w:tcBorders>
            <w:shd w:val="clear" w:color="auto" w:fill="auto"/>
            <w:vAlign w:val="center"/>
          </w:tcPr>
          <w:p w14:paraId="0BADDD0D">
            <w:pPr>
              <w:pStyle w:val="128"/>
              <w:spacing w:line="240" w:lineRule="auto"/>
              <w:jc w:val="center"/>
              <w:rPr>
                <w:rFonts w:hint="default" w:ascii="Times New Roman" w:hAnsi="Times New Roman" w:cs="Times New Roman"/>
                <w:color w:val="FF0000"/>
                <w:sz w:val="21"/>
                <w:szCs w:val="21"/>
              </w:rPr>
            </w:pPr>
            <w:r>
              <w:rPr>
                <w:rFonts w:hint="default" w:ascii="Times New Roman" w:hAnsi="Times New Roman" w:cs="Times New Roman"/>
                <w:color w:val="FF0000"/>
                <w:sz w:val="21"/>
                <w:szCs w:val="21"/>
              </w:rPr>
              <w:t>二氧化铝载体，铂、错、钯等贵金属</w:t>
            </w:r>
          </w:p>
        </w:tc>
        <w:tc>
          <w:tcPr>
            <w:tcW w:w="1733" w:type="pct"/>
            <w:tcBorders>
              <w:tl2br w:val="nil"/>
              <w:tr2bl w:val="nil"/>
            </w:tcBorders>
            <w:shd w:val="clear" w:color="auto" w:fill="auto"/>
            <w:vAlign w:val="center"/>
          </w:tcPr>
          <w:p w14:paraId="6CDFD820">
            <w:pPr>
              <w:pStyle w:val="128"/>
              <w:spacing w:line="240" w:lineRule="auto"/>
              <w:jc w:val="center"/>
              <w:rPr>
                <w:rFonts w:hint="default" w:ascii="Times New Roman" w:hAnsi="Times New Roman" w:cs="Times New Roman"/>
                <w:color w:val="FF0000"/>
                <w:sz w:val="21"/>
                <w:szCs w:val="21"/>
              </w:rPr>
            </w:pPr>
            <w:r>
              <w:rPr>
                <w:rFonts w:hint="default" w:ascii="Times New Roman" w:hAnsi="Times New Roman" w:eastAsia="宋体" w:cs="Times New Roman"/>
                <w:color w:val="FF0000"/>
                <w:spacing w:val="-1"/>
                <w:sz w:val="21"/>
                <w:szCs w:val="21"/>
              </w:rPr>
              <w:t>交由持有相应类别危险废物经营许可证的单</w:t>
            </w:r>
            <w:r>
              <w:rPr>
                <w:rFonts w:hint="default" w:ascii="Times New Roman" w:hAnsi="Times New Roman" w:eastAsia="宋体" w:cs="Times New Roman"/>
                <w:color w:val="FF0000"/>
                <w:spacing w:val="-2"/>
                <w:sz w:val="21"/>
                <w:szCs w:val="21"/>
              </w:rPr>
              <w:t>位处理</w:t>
            </w:r>
          </w:p>
        </w:tc>
      </w:tr>
      <w:tr w14:paraId="6B3D8D99">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 w:type="dxa"/>
            <w:bottom w:w="0" w:type="dxa"/>
            <w:right w:w="10" w:type="dxa"/>
          </w:tblCellMar>
        </w:tblPrEx>
        <w:trPr>
          <w:trHeight w:val="23" w:hRule="atLeast"/>
          <w:jc w:val="center"/>
        </w:trPr>
        <w:tc>
          <w:tcPr>
            <w:tcW w:w="171" w:type="pct"/>
            <w:tcBorders>
              <w:tl2br w:val="nil"/>
              <w:tr2bl w:val="nil"/>
            </w:tcBorders>
            <w:shd w:val="clear" w:color="auto" w:fill="auto"/>
            <w:vAlign w:val="center"/>
          </w:tcPr>
          <w:p w14:paraId="07614D65">
            <w:pPr>
              <w:keepNext w:val="0"/>
              <w:keepLines w:val="0"/>
              <w:widowControl/>
              <w:suppressLineNumbers w:val="0"/>
              <w:spacing w:line="240" w:lineRule="auto"/>
              <w:jc w:val="center"/>
              <w:textAlignment w:val="center"/>
              <w:rPr>
                <w:rFonts w:hint="default" w:ascii="Times New Roman" w:hAnsi="Times New Roman" w:cs="Times New Roman"/>
                <w:color w:val="FF0000"/>
                <w:sz w:val="21"/>
                <w:szCs w:val="21"/>
              </w:rPr>
            </w:pPr>
            <w:r>
              <w:rPr>
                <w:rFonts w:hint="default" w:ascii="Times New Roman" w:hAnsi="Times New Roman" w:eastAsia="宋体" w:cs="Times New Roman"/>
                <w:i w:val="0"/>
                <w:iCs w:val="0"/>
                <w:color w:val="FF0000"/>
                <w:kern w:val="0"/>
                <w:sz w:val="21"/>
                <w:szCs w:val="21"/>
                <w:u w:val="none"/>
                <w:lang w:val="en-US" w:eastAsia="zh-CN" w:bidi="ar"/>
              </w:rPr>
              <w:t>29</w:t>
            </w:r>
          </w:p>
        </w:tc>
        <w:tc>
          <w:tcPr>
            <w:tcW w:w="447" w:type="pct"/>
            <w:tcBorders>
              <w:tl2br w:val="nil"/>
              <w:tr2bl w:val="nil"/>
            </w:tcBorders>
            <w:shd w:val="clear" w:color="auto" w:fill="auto"/>
            <w:vAlign w:val="center"/>
          </w:tcPr>
          <w:p w14:paraId="35C85A4A">
            <w:pPr>
              <w:pStyle w:val="128"/>
              <w:spacing w:line="240" w:lineRule="auto"/>
              <w:jc w:val="center"/>
              <w:rPr>
                <w:rFonts w:hint="default" w:ascii="Times New Roman" w:hAnsi="Times New Roman" w:eastAsia="宋体" w:cs="Times New Roman"/>
                <w:color w:val="FF0000"/>
                <w:kern w:val="2"/>
                <w:sz w:val="21"/>
                <w:szCs w:val="21"/>
                <w:lang w:val="zh-TW" w:eastAsia="zh-TW" w:bidi="zh-TW"/>
              </w:rPr>
            </w:pPr>
            <w:r>
              <w:rPr>
                <w:rFonts w:hint="default" w:ascii="Times New Roman" w:hAnsi="Times New Roman" w:cs="Times New Roman"/>
                <w:color w:val="FF0000"/>
                <w:sz w:val="21"/>
                <w:szCs w:val="21"/>
              </w:rPr>
              <w:t>废电路板及电子元件</w:t>
            </w:r>
          </w:p>
        </w:tc>
        <w:tc>
          <w:tcPr>
            <w:tcW w:w="488" w:type="pct"/>
            <w:tcBorders>
              <w:tl2br w:val="nil"/>
              <w:tr2bl w:val="nil"/>
            </w:tcBorders>
            <w:shd w:val="clear" w:color="auto" w:fill="auto"/>
            <w:vAlign w:val="center"/>
          </w:tcPr>
          <w:p w14:paraId="7F55D779">
            <w:pPr>
              <w:pStyle w:val="128"/>
              <w:spacing w:line="240" w:lineRule="auto"/>
              <w:jc w:val="center"/>
              <w:rPr>
                <w:rFonts w:hint="default" w:ascii="Times New Roman" w:hAnsi="Times New Roman" w:cs="Times New Roman"/>
                <w:color w:val="FF0000"/>
                <w:sz w:val="21"/>
                <w:szCs w:val="21"/>
                <w:lang w:val="en-US" w:eastAsia="en-US"/>
              </w:rPr>
            </w:pPr>
            <w:r>
              <w:rPr>
                <w:rFonts w:hint="default" w:ascii="Times New Roman" w:hAnsi="Times New Roman" w:cs="Times New Roman"/>
                <w:color w:val="FF0000"/>
                <w:sz w:val="21"/>
                <w:szCs w:val="21"/>
              </w:rPr>
              <w:t>5~8</w:t>
            </w:r>
          </w:p>
        </w:tc>
        <w:tc>
          <w:tcPr>
            <w:tcW w:w="561" w:type="pct"/>
            <w:tcBorders>
              <w:tl2br w:val="nil"/>
              <w:tr2bl w:val="nil"/>
            </w:tcBorders>
            <w:shd w:val="clear" w:color="auto" w:fill="auto"/>
            <w:vAlign w:val="center"/>
          </w:tcPr>
          <w:p w14:paraId="22A5F9F2">
            <w:pPr>
              <w:pStyle w:val="128"/>
              <w:spacing w:line="240" w:lineRule="auto"/>
              <w:jc w:val="center"/>
              <w:rPr>
                <w:rFonts w:hint="default" w:ascii="Times New Roman" w:hAnsi="Times New Roman" w:cs="Times New Roman"/>
                <w:color w:val="FF0000"/>
                <w:sz w:val="21"/>
                <w:szCs w:val="21"/>
              </w:rPr>
            </w:pPr>
            <w:r>
              <w:rPr>
                <w:rFonts w:hint="default" w:ascii="Times New Roman" w:hAnsi="Times New Roman" w:cs="Times New Roman"/>
                <w:color w:val="FF0000"/>
                <w:sz w:val="21"/>
                <w:szCs w:val="21"/>
              </w:rPr>
              <w:t>6~15</w:t>
            </w:r>
          </w:p>
        </w:tc>
        <w:tc>
          <w:tcPr>
            <w:tcW w:w="500" w:type="pct"/>
            <w:tcBorders>
              <w:tl2br w:val="nil"/>
              <w:tr2bl w:val="nil"/>
            </w:tcBorders>
            <w:shd w:val="clear" w:color="auto" w:fill="auto"/>
            <w:vAlign w:val="center"/>
          </w:tcPr>
          <w:p w14:paraId="11B127FB">
            <w:pPr>
              <w:pStyle w:val="128"/>
              <w:spacing w:line="240" w:lineRule="auto"/>
              <w:jc w:val="center"/>
              <w:rPr>
                <w:rFonts w:hint="default" w:ascii="Times New Roman" w:hAnsi="Times New Roman" w:cs="Times New Roman"/>
                <w:color w:val="FF0000"/>
                <w:sz w:val="21"/>
                <w:szCs w:val="21"/>
              </w:rPr>
            </w:pPr>
            <w:r>
              <w:rPr>
                <w:rFonts w:hint="default" w:ascii="Times New Roman" w:hAnsi="Times New Roman" w:cs="Times New Roman"/>
                <w:color w:val="FF0000"/>
                <w:sz w:val="21"/>
                <w:szCs w:val="21"/>
              </w:rPr>
              <w:t>3~5</w:t>
            </w:r>
          </w:p>
        </w:tc>
        <w:tc>
          <w:tcPr>
            <w:tcW w:w="524" w:type="pct"/>
            <w:tcBorders>
              <w:tl2br w:val="nil"/>
              <w:tr2bl w:val="nil"/>
            </w:tcBorders>
            <w:shd w:val="clear" w:color="auto" w:fill="auto"/>
            <w:vAlign w:val="center"/>
          </w:tcPr>
          <w:p w14:paraId="5C54D4C7">
            <w:pPr>
              <w:pStyle w:val="128"/>
              <w:spacing w:line="240" w:lineRule="auto"/>
              <w:jc w:val="center"/>
              <w:rPr>
                <w:rFonts w:hint="default" w:ascii="Times New Roman" w:hAnsi="Times New Roman" w:cs="Times New Roman"/>
                <w:color w:val="FF0000"/>
                <w:sz w:val="21"/>
                <w:szCs w:val="21"/>
              </w:rPr>
            </w:pPr>
            <w:r>
              <w:rPr>
                <w:rFonts w:hint="default" w:ascii="Times New Roman" w:hAnsi="Times New Roman" w:cs="Times New Roman"/>
                <w:color w:val="FF0000"/>
                <w:sz w:val="21"/>
                <w:szCs w:val="21"/>
              </w:rPr>
              <w:t>3~15</w:t>
            </w:r>
          </w:p>
        </w:tc>
        <w:tc>
          <w:tcPr>
            <w:tcW w:w="573" w:type="pct"/>
            <w:tcBorders>
              <w:tl2br w:val="nil"/>
              <w:tr2bl w:val="nil"/>
            </w:tcBorders>
            <w:shd w:val="clear" w:color="auto" w:fill="auto"/>
            <w:vAlign w:val="center"/>
          </w:tcPr>
          <w:p w14:paraId="4A9BCBBD">
            <w:pPr>
              <w:pStyle w:val="128"/>
              <w:spacing w:line="240" w:lineRule="auto"/>
              <w:jc w:val="center"/>
              <w:rPr>
                <w:rFonts w:hint="default" w:ascii="Times New Roman" w:hAnsi="Times New Roman" w:cs="Times New Roman"/>
                <w:color w:val="FF0000"/>
                <w:sz w:val="21"/>
                <w:szCs w:val="21"/>
              </w:rPr>
            </w:pPr>
            <w:r>
              <w:rPr>
                <w:rFonts w:hint="default" w:ascii="Times New Roman" w:hAnsi="Times New Roman" w:cs="Times New Roman"/>
                <w:color w:val="FF0000"/>
                <w:sz w:val="21"/>
                <w:szCs w:val="21"/>
              </w:rPr>
              <w:t>陶瓷、树脂、重金属等</w:t>
            </w:r>
          </w:p>
        </w:tc>
        <w:tc>
          <w:tcPr>
            <w:tcW w:w="1733" w:type="pct"/>
            <w:tcBorders>
              <w:tl2br w:val="nil"/>
              <w:tr2bl w:val="nil"/>
            </w:tcBorders>
            <w:shd w:val="clear" w:color="auto" w:fill="auto"/>
            <w:vAlign w:val="center"/>
          </w:tcPr>
          <w:p w14:paraId="035FAA11">
            <w:pPr>
              <w:pStyle w:val="128"/>
              <w:spacing w:line="240" w:lineRule="auto"/>
              <w:jc w:val="center"/>
              <w:rPr>
                <w:rFonts w:hint="default" w:ascii="Times New Roman" w:hAnsi="Times New Roman" w:cs="Times New Roman"/>
                <w:color w:val="FF0000"/>
                <w:sz w:val="21"/>
                <w:szCs w:val="21"/>
              </w:rPr>
            </w:pPr>
            <w:r>
              <w:rPr>
                <w:rFonts w:hint="default" w:ascii="Times New Roman" w:hAnsi="Times New Roman" w:eastAsia="宋体" w:cs="Times New Roman"/>
                <w:color w:val="FF0000"/>
                <w:spacing w:val="-1"/>
                <w:sz w:val="21"/>
                <w:szCs w:val="21"/>
              </w:rPr>
              <w:t>交由具有相应废弃电器电子产品处理资格企业、电子废物拆解利用处置单位名录内企业</w:t>
            </w:r>
          </w:p>
        </w:tc>
      </w:tr>
      <w:tr w14:paraId="3CB08B16">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 w:type="dxa"/>
            <w:bottom w:w="0" w:type="dxa"/>
            <w:right w:w="10" w:type="dxa"/>
          </w:tblCellMar>
        </w:tblPrEx>
        <w:trPr>
          <w:trHeight w:val="23" w:hRule="atLeast"/>
          <w:jc w:val="center"/>
        </w:trPr>
        <w:tc>
          <w:tcPr>
            <w:tcW w:w="171" w:type="pct"/>
            <w:tcBorders>
              <w:tl2br w:val="nil"/>
              <w:tr2bl w:val="nil"/>
            </w:tcBorders>
            <w:shd w:val="clear" w:color="auto" w:fill="auto"/>
            <w:vAlign w:val="center"/>
          </w:tcPr>
          <w:p w14:paraId="6CD65B53">
            <w:pPr>
              <w:keepNext w:val="0"/>
              <w:keepLines w:val="0"/>
              <w:widowControl/>
              <w:suppressLineNumbers w:val="0"/>
              <w:spacing w:line="240" w:lineRule="auto"/>
              <w:jc w:val="center"/>
              <w:textAlignment w:val="center"/>
              <w:rPr>
                <w:rFonts w:hint="default" w:ascii="Times New Roman" w:hAnsi="Times New Roman" w:cs="Times New Roman"/>
                <w:color w:val="FF0000"/>
                <w:sz w:val="21"/>
                <w:szCs w:val="21"/>
              </w:rPr>
            </w:pPr>
            <w:r>
              <w:rPr>
                <w:rFonts w:hint="default" w:ascii="Times New Roman" w:hAnsi="Times New Roman" w:eastAsia="宋体" w:cs="Times New Roman"/>
                <w:i w:val="0"/>
                <w:iCs w:val="0"/>
                <w:color w:val="FF0000"/>
                <w:kern w:val="0"/>
                <w:sz w:val="21"/>
                <w:szCs w:val="21"/>
                <w:u w:val="none"/>
                <w:lang w:val="en-US" w:eastAsia="zh-CN" w:bidi="ar"/>
              </w:rPr>
              <w:t>30</w:t>
            </w:r>
          </w:p>
        </w:tc>
        <w:tc>
          <w:tcPr>
            <w:tcW w:w="447" w:type="pct"/>
            <w:tcBorders>
              <w:tl2br w:val="nil"/>
              <w:tr2bl w:val="nil"/>
            </w:tcBorders>
            <w:shd w:val="clear" w:color="auto" w:fill="auto"/>
            <w:vAlign w:val="center"/>
          </w:tcPr>
          <w:p w14:paraId="7C9602B1">
            <w:pPr>
              <w:pStyle w:val="128"/>
              <w:spacing w:line="240" w:lineRule="auto"/>
              <w:jc w:val="center"/>
              <w:rPr>
                <w:rFonts w:hint="default" w:ascii="Times New Roman" w:hAnsi="Times New Roman" w:eastAsia="宋体" w:cs="Times New Roman"/>
                <w:color w:val="FF0000"/>
                <w:kern w:val="2"/>
                <w:sz w:val="21"/>
                <w:szCs w:val="21"/>
                <w:lang w:val="zh-TW" w:eastAsia="zh-TW" w:bidi="zh-TW"/>
              </w:rPr>
            </w:pPr>
            <w:r>
              <w:rPr>
                <w:rFonts w:hint="default" w:ascii="Times New Roman" w:hAnsi="Times New Roman" w:cs="Times New Roman"/>
                <w:color w:val="FF0000"/>
                <w:sz w:val="21"/>
                <w:szCs w:val="21"/>
              </w:rPr>
              <w:t>含汞部件（各类开关）</w:t>
            </w:r>
          </w:p>
        </w:tc>
        <w:tc>
          <w:tcPr>
            <w:tcW w:w="488" w:type="pct"/>
            <w:tcBorders>
              <w:tl2br w:val="nil"/>
              <w:tr2bl w:val="nil"/>
            </w:tcBorders>
            <w:shd w:val="clear" w:color="auto" w:fill="auto"/>
            <w:vAlign w:val="center"/>
          </w:tcPr>
          <w:p w14:paraId="0DE8087C">
            <w:pPr>
              <w:pStyle w:val="128"/>
              <w:spacing w:line="240" w:lineRule="auto"/>
              <w:jc w:val="center"/>
              <w:rPr>
                <w:rFonts w:hint="default" w:ascii="Times New Roman" w:hAnsi="Times New Roman" w:cs="Times New Roman"/>
                <w:color w:val="FF0000"/>
                <w:sz w:val="21"/>
                <w:szCs w:val="21"/>
                <w:lang w:val="en-US" w:eastAsia="en-US"/>
              </w:rPr>
            </w:pPr>
            <w:r>
              <w:rPr>
                <w:rFonts w:hint="default" w:ascii="Times New Roman" w:hAnsi="Times New Roman" w:cs="Times New Roman"/>
                <w:color w:val="FF0000"/>
                <w:sz w:val="21"/>
                <w:szCs w:val="21"/>
              </w:rPr>
              <w:t>0.01~0.05</w:t>
            </w:r>
          </w:p>
        </w:tc>
        <w:tc>
          <w:tcPr>
            <w:tcW w:w="561" w:type="pct"/>
            <w:tcBorders>
              <w:tl2br w:val="nil"/>
              <w:tr2bl w:val="nil"/>
            </w:tcBorders>
            <w:shd w:val="clear" w:color="auto" w:fill="auto"/>
            <w:vAlign w:val="center"/>
          </w:tcPr>
          <w:p w14:paraId="1C24181C">
            <w:pPr>
              <w:pStyle w:val="128"/>
              <w:spacing w:line="240" w:lineRule="auto"/>
              <w:jc w:val="center"/>
              <w:rPr>
                <w:rFonts w:hint="default" w:ascii="Times New Roman" w:hAnsi="Times New Roman" w:cs="Times New Roman"/>
                <w:color w:val="FF0000"/>
                <w:sz w:val="21"/>
                <w:szCs w:val="21"/>
              </w:rPr>
            </w:pPr>
            <w:r>
              <w:rPr>
                <w:rFonts w:hint="default" w:ascii="Times New Roman" w:hAnsi="Times New Roman" w:cs="Times New Roman"/>
                <w:color w:val="FF0000"/>
                <w:sz w:val="21"/>
                <w:szCs w:val="21"/>
              </w:rPr>
              <w:t>0.01~0.02</w:t>
            </w:r>
          </w:p>
        </w:tc>
        <w:tc>
          <w:tcPr>
            <w:tcW w:w="500" w:type="pct"/>
            <w:tcBorders>
              <w:tl2br w:val="nil"/>
              <w:tr2bl w:val="nil"/>
            </w:tcBorders>
            <w:shd w:val="clear" w:color="auto" w:fill="auto"/>
            <w:vAlign w:val="center"/>
          </w:tcPr>
          <w:p w14:paraId="079CD422">
            <w:pPr>
              <w:pStyle w:val="128"/>
              <w:spacing w:line="240" w:lineRule="auto"/>
              <w:jc w:val="center"/>
              <w:rPr>
                <w:rFonts w:hint="default" w:ascii="Times New Roman" w:hAnsi="Times New Roman" w:cs="Times New Roman"/>
                <w:color w:val="FF0000"/>
                <w:sz w:val="21"/>
                <w:szCs w:val="21"/>
              </w:rPr>
            </w:pPr>
            <w:r>
              <w:rPr>
                <w:rFonts w:hint="default" w:ascii="Times New Roman" w:hAnsi="Times New Roman" w:cs="Times New Roman"/>
                <w:color w:val="FF0000"/>
                <w:sz w:val="21"/>
                <w:szCs w:val="21"/>
              </w:rPr>
              <w:t>0.01~0.03</w:t>
            </w:r>
          </w:p>
        </w:tc>
        <w:tc>
          <w:tcPr>
            <w:tcW w:w="524" w:type="pct"/>
            <w:tcBorders>
              <w:tl2br w:val="nil"/>
              <w:tr2bl w:val="nil"/>
            </w:tcBorders>
            <w:shd w:val="clear" w:color="auto" w:fill="auto"/>
            <w:vAlign w:val="center"/>
          </w:tcPr>
          <w:p w14:paraId="77ED053C">
            <w:pPr>
              <w:pStyle w:val="128"/>
              <w:spacing w:line="240" w:lineRule="auto"/>
              <w:jc w:val="center"/>
              <w:rPr>
                <w:rFonts w:hint="default" w:ascii="Times New Roman" w:hAnsi="Times New Roman" w:cs="Times New Roman"/>
                <w:color w:val="FF0000"/>
                <w:sz w:val="21"/>
                <w:szCs w:val="21"/>
              </w:rPr>
            </w:pPr>
            <w:r>
              <w:rPr>
                <w:rFonts w:hint="default" w:ascii="Times New Roman" w:hAnsi="Times New Roman" w:cs="Times New Roman"/>
                <w:color w:val="FF0000"/>
                <w:sz w:val="21"/>
                <w:szCs w:val="21"/>
              </w:rPr>
              <w:t>0.01~0.02</w:t>
            </w:r>
          </w:p>
        </w:tc>
        <w:tc>
          <w:tcPr>
            <w:tcW w:w="573" w:type="pct"/>
            <w:tcBorders>
              <w:tl2br w:val="nil"/>
              <w:tr2bl w:val="nil"/>
            </w:tcBorders>
            <w:shd w:val="clear" w:color="auto" w:fill="auto"/>
            <w:vAlign w:val="center"/>
          </w:tcPr>
          <w:p w14:paraId="2ED7730D">
            <w:pPr>
              <w:pStyle w:val="128"/>
              <w:spacing w:line="240" w:lineRule="auto"/>
              <w:jc w:val="center"/>
              <w:rPr>
                <w:rFonts w:hint="default" w:ascii="Times New Roman" w:hAnsi="Times New Roman" w:cs="Times New Roman"/>
                <w:color w:val="FF0000"/>
                <w:sz w:val="21"/>
                <w:szCs w:val="21"/>
              </w:rPr>
            </w:pPr>
            <w:r>
              <w:rPr>
                <w:rFonts w:hint="default" w:ascii="Times New Roman" w:hAnsi="Times New Roman" w:cs="Times New Roman"/>
                <w:color w:val="FF0000"/>
                <w:sz w:val="21"/>
                <w:szCs w:val="21"/>
              </w:rPr>
              <w:t>化合态汞、塑料</w:t>
            </w:r>
          </w:p>
        </w:tc>
        <w:tc>
          <w:tcPr>
            <w:tcW w:w="1733" w:type="pct"/>
            <w:tcBorders>
              <w:tl2br w:val="nil"/>
              <w:tr2bl w:val="nil"/>
            </w:tcBorders>
            <w:shd w:val="clear" w:color="auto" w:fill="auto"/>
            <w:vAlign w:val="center"/>
          </w:tcPr>
          <w:p w14:paraId="20782264">
            <w:pPr>
              <w:pStyle w:val="128"/>
              <w:spacing w:line="240" w:lineRule="auto"/>
              <w:jc w:val="center"/>
              <w:rPr>
                <w:rFonts w:hint="default" w:ascii="Times New Roman" w:hAnsi="Times New Roman" w:cs="Times New Roman"/>
                <w:color w:val="FF0000"/>
                <w:sz w:val="21"/>
                <w:szCs w:val="21"/>
              </w:rPr>
            </w:pPr>
            <w:r>
              <w:rPr>
                <w:rFonts w:hint="default" w:ascii="Times New Roman" w:hAnsi="Times New Roman" w:eastAsia="宋体" w:cs="Times New Roman"/>
                <w:color w:val="FF0000"/>
                <w:spacing w:val="-1"/>
                <w:sz w:val="21"/>
                <w:szCs w:val="21"/>
              </w:rPr>
              <w:t>交由持有相应类别危险废物经营许可证的单</w:t>
            </w:r>
            <w:r>
              <w:rPr>
                <w:rFonts w:hint="default" w:ascii="Times New Roman" w:hAnsi="Times New Roman" w:eastAsia="宋体" w:cs="Times New Roman"/>
                <w:color w:val="FF0000"/>
                <w:spacing w:val="-2"/>
                <w:sz w:val="21"/>
                <w:szCs w:val="21"/>
              </w:rPr>
              <w:t>位处理</w:t>
            </w:r>
          </w:p>
        </w:tc>
      </w:tr>
      <w:tr w14:paraId="6B980497">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 w:type="dxa"/>
            <w:bottom w:w="0" w:type="dxa"/>
            <w:right w:w="10" w:type="dxa"/>
          </w:tblCellMar>
        </w:tblPrEx>
        <w:trPr>
          <w:trHeight w:val="23" w:hRule="atLeast"/>
          <w:jc w:val="center"/>
        </w:trPr>
        <w:tc>
          <w:tcPr>
            <w:tcW w:w="171" w:type="pct"/>
            <w:tcBorders>
              <w:tl2br w:val="nil"/>
              <w:tr2bl w:val="nil"/>
            </w:tcBorders>
            <w:shd w:val="clear" w:color="auto" w:fill="auto"/>
            <w:vAlign w:val="center"/>
          </w:tcPr>
          <w:p w14:paraId="0E5C355B">
            <w:pPr>
              <w:keepNext w:val="0"/>
              <w:keepLines w:val="0"/>
              <w:widowControl/>
              <w:suppressLineNumbers w:val="0"/>
              <w:spacing w:line="240" w:lineRule="auto"/>
              <w:jc w:val="center"/>
              <w:textAlignment w:val="center"/>
              <w:rPr>
                <w:rFonts w:hint="default" w:ascii="Times New Roman" w:hAnsi="Times New Roman" w:cs="Times New Roman"/>
                <w:color w:val="FF0000"/>
                <w:sz w:val="21"/>
                <w:szCs w:val="21"/>
              </w:rPr>
            </w:pPr>
            <w:r>
              <w:rPr>
                <w:rFonts w:hint="default" w:ascii="Times New Roman" w:hAnsi="Times New Roman" w:eastAsia="宋体" w:cs="Times New Roman"/>
                <w:i w:val="0"/>
                <w:iCs w:val="0"/>
                <w:color w:val="FF0000"/>
                <w:kern w:val="0"/>
                <w:sz w:val="21"/>
                <w:szCs w:val="21"/>
                <w:u w:val="none"/>
                <w:lang w:val="en-US" w:eastAsia="zh-CN" w:bidi="ar"/>
              </w:rPr>
              <w:t>31</w:t>
            </w:r>
          </w:p>
        </w:tc>
        <w:tc>
          <w:tcPr>
            <w:tcW w:w="447" w:type="pct"/>
            <w:tcBorders>
              <w:tl2br w:val="nil"/>
              <w:tr2bl w:val="nil"/>
            </w:tcBorders>
            <w:shd w:val="clear" w:color="auto" w:fill="auto"/>
            <w:vAlign w:val="center"/>
          </w:tcPr>
          <w:p w14:paraId="53CC74AB">
            <w:pPr>
              <w:pStyle w:val="128"/>
              <w:spacing w:line="240" w:lineRule="auto"/>
              <w:jc w:val="center"/>
              <w:rPr>
                <w:rFonts w:hint="default" w:ascii="Times New Roman" w:hAnsi="Times New Roman" w:eastAsia="宋体" w:cs="Times New Roman"/>
                <w:color w:val="FF0000"/>
                <w:kern w:val="2"/>
                <w:sz w:val="21"/>
                <w:szCs w:val="21"/>
                <w:lang w:val="zh-TW" w:eastAsia="zh-TW" w:bidi="zh-TW"/>
              </w:rPr>
            </w:pPr>
            <w:r>
              <w:rPr>
                <w:rFonts w:hint="default" w:ascii="Times New Roman" w:hAnsi="Times New Roman" w:cs="Times New Roman"/>
                <w:color w:val="FF0000"/>
                <w:sz w:val="21"/>
                <w:szCs w:val="21"/>
              </w:rPr>
              <w:t>含铅部件（如火花塞、油管、密封垫等）</w:t>
            </w:r>
          </w:p>
        </w:tc>
        <w:tc>
          <w:tcPr>
            <w:tcW w:w="488" w:type="pct"/>
            <w:tcBorders>
              <w:tl2br w:val="nil"/>
              <w:tr2bl w:val="nil"/>
            </w:tcBorders>
            <w:shd w:val="clear" w:color="auto" w:fill="auto"/>
            <w:vAlign w:val="center"/>
          </w:tcPr>
          <w:p w14:paraId="158E5D7E">
            <w:pPr>
              <w:pStyle w:val="128"/>
              <w:spacing w:line="240" w:lineRule="auto"/>
              <w:jc w:val="center"/>
              <w:rPr>
                <w:rFonts w:hint="default" w:ascii="Times New Roman" w:hAnsi="Times New Roman" w:cs="Times New Roman"/>
                <w:color w:val="FF0000"/>
                <w:sz w:val="21"/>
                <w:szCs w:val="21"/>
                <w:lang w:val="en-US" w:eastAsia="zh-CN"/>
              </w:rPr>
            </w:pPr>
            <w:r>
              <w:rPr>
                <w:rFonts w:hint="default" w:ascii="Times New Roman" w:hAnsi="Times New Roman" w:cs="Times New Roman"/>
                <w:color w:val="FF0000"/>
                <w:sz w:val="21"/>
                <w:szCs w:val="21"/>
              </w:rPr>
              <w:t>0.1~0.3</w:t>
            </w:r>
          </w:p>
        </w:tc>
        <w:tc>
          <w:tcPr>
            <w:tcW w:w="561" w:type="pct"/>
            <w:tcBorders>
              <w:tl2br w:val="nil"/>
              <w:tr2bl w:val="nil"/>
            </w:tcBorders>
            <w:shd w:val="clear" w:color="auto" w:fill="auto"/>
            <w:vAlign w:val="center"/>
          </w:tcPr>
          <w:p w14:paraId="3D21895B">
            <w:pPr>
              <w:pStyle w:val="128"/>
              <w:spacing w:line="240" w:lineRule="auto"/>
              <w:jc w:val="center"/>
              <w:rPr>
                <w:rFonts w:hint="default" w:ascii="Times New Roman" w:hAnsi="Times New Roman" w:cs="Times New Roman"/>
                <w:color w:val="FF0000"/>
                <w:sz w:val="21"/>
                <w:szCs w:val="21"/>
              </w:rPr>
            </w:pPr>
            <w:r>
              <w:rPr>
                <w:rFonts w:hint="default" w:ascii="Times New Roman" w:hAnsi="Times New Roman" w:cs="Times New Roman"/>
                <w:color w:val="FF0000"/>
                <w:sz w:val="21"/>
                <w:szCs w:val="21"/>
              </w:rPr>
              <w:t>0.01~0.3</w:t>
            </w:r>
          </w:p>
        </w:tc>
        <w:tc>
          <w:tcPr>
            <w:tcW w:w="500" w:type="pct"/>
            <w:tcBorders>
              <w:tl2br w:val="nil"/>
              <w:tr2bl w:val="nil"/>
            </w:tcBorders>
            <w:shd w:val="clear" w:color="auto" w:fill="auto"/>
            <w:vAlign w:val="center"/>
          </w:tcPr>
          <w:p w14:paraId="30518801">
            <w:pPr>
              <w:pStyle w:val="128"/>
              <w:spacing w:line="240" w:lineRule="auto"/>
              <w:jc w:val="center"/>
              <w:rPr>
                <w:rFonts w:hint="default" w:ascii="Times New Roman" w:hAnsi="Times New Roman" w:cs="Times New Roman"/>
                <w:color w:val="FF0000"/>
                <w:sz w:val="21"/>
                <w:szCs w:val="21"/>
              </w:rPr>
            </w:pPr>
            <w:r>
              <w:rPr>
                <w:rFonts w:hint="default" w:ascii="Times New Roman" w:hAnsi="Times New Roman" w:cs="Times New Roman"/>
                <w:color w:val="FF0000"/>
                <w:sz w:val="21"/>
                <w:szCs w:val="21"/>
              </w:rPr>
              <w:t>0.1~0.3</w:t>
            </w:r>
          </w:p>
        </w:tc>
        <w:tc>
          <w:tcPr>
            <w:tcW w:w="524" w:type="pct"/>
            <w:tcBorders>
              <w:tl2br w:val="nil"/>
              <w:tr2bl w:val="nil"/>
            </w:tcBorders>
            <w:shd w:val="clear" w:color="auto" w:fill="auto"/>
            <w:vAlign w:val="center"/>
          </w:tcPr>
          <w:p w14:paraId="1A0E3CF9">
            <w:pPr>
              <w:pStyle w:val="128"/>
              <w:spacing w:line="240" w:lineRule="auto"/>
              <w:jc w:val="center"/>
              <w:rPr>
                <w:rFonts w:hint="default" w:ascii="Times New Roman" w:hAnsi="Times New Roman" w:cs="Times New Roman"/>
                <w:color w:val="FF0000"/>
                <w:sz w:val="21"/>
                <w:szCs w:val="21"/>
              </w:rPr>
            </w:pPr>
            <w:r>
              <w:rPr>
                <w:rFonts w:hint="default" w:ascii="Times New Roman" w:hAnsi="Times New Roman" w:cs="Times New Roman"/>
                <w:color w:val="FF0000"/>
                <w:sz w:val="21"/>
                <w:szCs w:val="21"/>
              </w:rPr>
              <w:t>0.1~0.3</w:t>
            </w:r>
          </w:p>
        </w:tc>
        <w:tc>
          <w:tcPr>
            <w:tcW w:w="573" w:type="pct"/>
            <w:tcBorders>
              <w:tl2br w:val="nil"/>
              <w:tr2bl w:val="nil"/>
            </w:tcBorders>
            <w:shd w:val="clear" w:color="auto" w:fill="auto"/>
            <w:vAlign w:val="center"/>
          </w:tcPr>
          <w:p w14:paraId="4F54CF17">
            <w:pPr>
              <w:pStyle w:val="128"/>
              <w:spacing w:line="240" w:lineRule="auto"/>
              <w:jc w:val="center"/>
              <w:rPr>
                <w:rFonts w:hint="default" w:ascii="Times New Roman" w:hAnsi="Times New Roman" w:cs="Times New Roman"/>
                <w:color w:val="FF0000"/>
                <w:sz w:val="21"/>
                <w:szCs w:val="21"/>
              </w:rPr>
            </w:pPr>
            <w:r>
              <w:rPr>
                <w:rFonts w:hint="default" w:ascii="Times New Roman" w:hAnsi="Times New Roman" w:cs="Times New Roman"/>
                <w:color w:val="FF0000"/>
                <w:sz w:val="21"/>
                <w:szCs w:val="21"/>
              </w:rPr>
              <w:t>含铅的橡胶、陶瓷等</w:t>
            </w:r>
          </w:p>
        </w:tc>
        <w:tc>
          <w:tcPr>
            <w:tcW w:w="1733" w:type="pct"/>
            <w:tcBorders>
              <w:tl2br w:val="nil"/>
              <w:tr2bl w:val="nil"/>
            </w:tcBorders>
            <w:shd w:val="clear" w:color="auto" w:fill="auto"/>
            <w:vAlign w:val="center"/>
          </w:tcPr>
          <w:p w14:paraId="1C70BA03">
            <w:pPr>
              <w:pStyle w:val="128"/>
              <w:spacing w:line="240" w:lineRule="auto"/>
              <w:jc w:val="center"/>
              <w:rPr>
                <w:rFonts w:hint="default" w:ascii="Times New Roman" w:hAnsi="Times New Roman" w:cs="Times New Roman"/>
                <w:color w:val="FF0000"/>
                <w:sz w:val="21"/>
                <w:szCs w:val="21"/>
              </w:rPr>
            </w:pPr>
            <w:r>
              <w:rPr>
                <w:rFonts w:hint="default" w:ascii="Times New Roman" w:hAnsi="Times New Roman" w:eastAsia="宋体" w:cs="Times New Roman"/>
                <w:color w:val="FF0000"/>
                <w:spacing w:val="-1"/>
                <w:sz w:val="21"/>
                <w:szCs w:val="21"/>
              </w:rPr>
              <w:t>交由持有相应类别危险废物经营许可证的单</w:t>
            </w:r>
            <w:r>
              <w:rPr>
                <w:rFonts w:hint="default" w:ascii="Times New Roman" w:hAnsi="Times New Roman" w:eastAsia="宋体" w:cs="Times New Roman"/>
                <w:color w:val="FF0000"/>
                <w:spacing w:val="-2"/>
                <w:sz w:val="21"/>
                <w:szCs w:val="21"/>
              </w:rPr>
              <w:t>位处理</w:t>
            </w:r>
          </w:p>
        </w:tc>
      </w:tr>
      <w:tr w14:paraId="1F8C1CE7">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 w:type="dxa"/>
            <w:bottom w:w="0" w:type="dxa"/>
            <w:right w:w="10" w:type="dxa"/>
          </w:tblCellMar>
        </w:tblPrEx>
        <w:trPr>
          <w:trHeight w:val="23" w:hRule="atLeast"/>
          <w:jc w:val="center"/>
        </w:trPr>
        <w:tc>
          <w:tcPr>
            <w:tcW w:w="171" w:type="pct"/>
            <w:tcBorders>
              <w:tl2br w:val="nil"/>
              <w:tr2bl w:val="nil"/>
            </w:tcBorders>
            <w:shd w:val="clear" w:color="auto" w:fill="auto"/>
            <w:vAlign w:val="center"/>
          </w:tcPr>
          <w:p w14:paraId="0764689B">
            <w:pPr>
              <w:keepNext w:val="0"/>
              <w:keepLines w:val="0"/>
              <w:widowControl/>
              <w:suppressLineNumbers w:val="0"/>
              <w:spacing w:line="240" w:lineRule="auto"/>
              <w:jc w:val="center"/>
              <w:textAlignment w:val="center"/>
              <w:rPr>
                <w:rFonts w:hint="default" w:ascii="Times New Roman" w:hAnsi="Times New Roman" w:cs="Times New Roman"/>
                <w:color w:val="FF0000"/>
                <w:sz w:val="21"/>
                <w:szCs w:val="21"/>
              </w:rPr>
            </w:pPr>
            <w:r>
              <w:rPr>
                <w:rFonts w:hint="default" w:ascii="Times New Roman" w:hAnsi="Times New Roman" w:eastAsia="宋体" w:cs="Times New Roman"/>
                <w:i w:val="0"/>
                <w:iCs w:val="0"/>
                <w:color w:val="FF0000"/>
                <w:kern w:val="0"/>
                <w:sz w:val="21"/>
                <w:szCs w:val="21"/>
                <w:u w:val="none"/>
                <w:lang w:val="en-US" w:eastAsia="zh-CN" w:bidi="ar"/>
              </w:rPr>
              <w:t>32</w:t>
            </w:r>
          </w:p>
        </w:tc>
        <w:tc>
          <w:tcPr>
            <w:tcW w:w="447" w:type="pct"/>
            <w:tcBorders>
              <w:tl2br w:val="nil"/>
              <w:tr2bl w:val="nil"/>
            </w:tcBorders>
            <w:shd w:val="clear" w:color="auto" w:fill="auto"/>
            <w:vAlign w:val="center"/>
          </w:tcPr>
          <w:p w14:paraId="1BC870D0">
            <w:pPr>
              <w:pStyle w:val="128"/>
              <w:spacing w:line="240" w:lineRule="auto"/>
              <w:jc w:val="center"/>
              <w:rPr>
                <w:rFonts w:hint="default" w:ascii="Times New Roman" w:hAnsi="Times New Roman" w:eastAsia="宋体" w:cs="Times New Roman"/>
                <w:color w:val="FF0000"/>
                <w:kern w:val="2"/>
                <w:sz w:val="21"/>
                <w:szCs w:val="21"/>
                <w:lang w:val="zh-TW" w:eastAsia="zh-TW" w:bidi="zh-TW"/>
              </w:rPr>
            </w:pPr>
            <w:r>
              <w:rPr>
                <w:rFonts w:hint="default" w:ascii="Times New Roman" w:hAnsi="Times New Roman" w:cs="Times New Roman"/>
                <w:color w:val="FF0000"/>
                <w:sz w:val="21"/>
                <w:szCs w:val="21"/>
              </w:rPr>
              <w:t>多氯联苯的废电容器</w:t>
            </w:r>
          </w:p>
        </w:tc>
        <w:tc>
          <w:tcPr>
            <w:tcW w:w="488" w:type="pct"/>
            <w:tcBorders>
              <w:tl2br w:val="nil"/>
              <w:tr2bl w:val="nil"/>
            </w:tcBorders>
            <w:shd w:val="clear" w:color="auto" w:fill="auto"/>
            <w:vAlign w:val="center"/>
          </w:tcPr>
          <w:p w14:paraId="66E6D3A7">
            <w:pPr>
              <w:pStyle w:val="128"/>
              <w:spacing w:line="240" w:lineRule="auto"/>
              <w:jc w:val="center"/>
              <w:rPr>
                <w:rFonts w:hint="default" w:ascii="Times New Roman" w:hAnsi="Times New Roman" w:cs="Times New Roman"/>
                <w:color w:val="FF0000"/>
                <w:sz w:val="21"/>
                <w:szCs w:val="21"/>
                <w:lang w:val="en-US" w:eastAsia="zh-CN"/>
              </w:rPr>
            </w:pPr>
            <w:r>
              <w:rPr>
                <w:rFonts w:hint="default" w:ascii="Times New Roman" w:hAnsi="Times New Roman" w:cs="Times New Roman"/>
                <w:color w:val="FF0000"/>
                <w:sz w:val="21"/>
                <w:szCs w:val="21"/>
              </w:rPr>
              <w:t>0.005~</w:t>
            </w:r>
            <w:r>
              <w:rPr>
                <w:rFonts w:hint="default" w:ascii="Times New Roman" w:hAnsi="Times New Roman" w:cs="Times New Roman"/>
                <w:color w:val="FF0000"/>
                <w:sz w:val="21"/>
                <w:szCs w:val="21"/>
                <w:lang w:val="en-US" w:eastAsia="zh-CN" w:bidi="en-US"/>
              </w:rPr>
              <w:t>0.01</w:t>
            </w:r>
          </w:p>
        </w:tc>
        <w:tc>
          <w:tcPr>
            <w:tcW w:w="561" w:type="pct"/>
            <w:tcBorders>
              <w:tl2br w:val="nil"/>
              <w:tr2bl w:val="nil"/>
            </w:tcBorders>
            <w:shd w:val="clear" w:color="auto" w:fill="auto"/>
            <w:vAlign w:val="center"/>
          </w:tcPr>
          <w:p w14:paraId="79D1ED40">
            <w:pPr>
              <w:pStyle w:val="128"/>
              <w:spacing w:line="240" w:lineRule="auto"/>
              <w:jc w:val="center"/>
              <w:rPr>
                <w:rFonts w:hint="default" w:ascii="Times New Roman" w:hAnsi="Times New Roman" w:cs="Times New Roman"/>
                <w:color w:val="FF0000"/>
                <w:sz w:val="21"/>
                <w:szCs w:val="21"/>
              </w:rPr>
            </w:pPr>
            <w:r>
              <w:rPr>
                <w:rFonts w:hint="default" w:ascii="Times New Roman" w:hAnsi="Times New Roman" w:cs="Times New Roman"/>
                <w:color w:val="FF0000"/>
                <w:sz w:val="21"/>
                <w:szCs w:val="21"/>
              </w:rPr>
              <w:t>0.005~0.01</w:t>
            </w:r>
          </w:p>
        </w:tc>
        <w:tc>
          <w:tcPr>
            <w:tcW w:w="500" w:type="pct"/>
            <w:tcBorders>
              <w:tl2br w:val="nil"/>
              <w:tr2bl w:val="nil"/>
            </w:tcBorders>
            <w:shd w:val="clear" w:color="auto" w:fill="auto"/>
            <w:vAlign w:val="center"/>
          </w:tcPr>
          <w:p w14:paraId="4C1333AB">
            <w:pPr>
              <w:pStyle w:val="128"/>
              <w:spacing w:line="240" w:lineRule="auto"/>
              <w:jc w:val="center"/>
              <w:rPr>
                <w:rFonts w:hint="default" w:ascii="Times New Roman" w:hAnsi="Times New Roman" w:cs="Times New Roman"/>
                <w:color w:val="FF0000"/>
                <w:sz w:val="21"/>
                <w:szCs w:val="21"/>
              </w:rPr>
            </w:pPr>
            <w:r>
              <w:rPr>
                <w:rFonts w:hint="default" w:ascii="Times New Roman" w:hAnsi="Times New Roman" w:cs="Times New Roman"/>
                <w:color w:val="FF0000"/>
                <w:sz w:val="21"/>
                <w:szCs w:val="21"/>
              </w:rPr>
              <w:t>0.005~0.01</w:t>
            </w:r>
          </w:p>
        </w:tc>
        <w:tc>
          <w:tcPr>
            <w:tcW w:w="524" w:type="pct"/>
            <w:tcBorders>
              <w:tl2br w:val="nil"/>
              <w:tr2bl w:val="nil"/>
            </w:tcBorders>
            <w:shd w:val="clear" w:color="auto" w:fill="auto"/>
            <w:vAlign w:val="center"/>
          </w:tcPr>
          <w:p w14:paraId="46DB1CAD">
            <w:pPr>
              <w:pStyle w:val="128"/>
              <w:spacing w:line="240" w:lineRule="auto"/>
              <w:jc w:val="center"/>
              <w:rPr>
                <w:rFonts w:hint="default" w:ascii="Times New Roman" w:hAnsi="Times New Roman" w:cs="Times New Roman"/>
                <w:color w:val="FF0000"/>
                <w:sz w:val="21"/>
                <w:szCs w:val="21"/>
              </w:rPr>
            </w:pPr>
            <w:r>
              <w:rPr>
                <w:rFonts w:hint="default" w:ascii="Times New Roman" w:hAnsi="Times New Roman" w:cs="Times New Roman"/>
                <w:color w:val="FF0000"/>
                <w:sz w:val="21"/>
                <w:szCs w:val="21"/>
              </w:rPr>
              <w:t>0.005~0.01</w:t>
            </w:r>
          </w:p>
        </w:tc>
        <w:tc>
          <w:tcPr>
            <w:tcW w:w="573" w:type="pct"/>
            <w:tcBorders>
              <w:tl2br w:val="nil"/>
              <w:tr2bl w:val="nil"/>
            </w:tcBorders>
            <w:shd w:val="clear" w:color="auto" w:fill="auto"/>
            <w:vAlign w:val="center"/>
          </w:tcPr>
          <w:p w14:paraId="584082E7">
            <w:pPr>
              <w:pStyle w:val="128"/>
              <w:spacing w:line="240" w:lineRule="auto"/>
              <w:jc w:val="center"/>
              <w:rPr>
                <w:rFonts w:hint="default" w:ascii="Times New Roman" w:hAnsi="Times New Roman" w:cs="Times New Roman"/>
                <w:color w:val="FF0000"/>
                <w:sz w:val="21"/>
                <w:szCs w:val="21"/>
              </w:rPr>
            </w:pPr>
            <w:r>
              <w:rPr>
                <w:rFonts w:hint="default" w:ascii="Times New Roman" w:hAnsi="Times New Roman" w:cs="Times New Roman"/>
                <w:color w:val="FF0000"/>
                <w:sz w:val="21"/>
                <w:szCs w:val="21"/>
              </w:rPr>
              <w:t>多氯（漠）联苯</w:t>
            </w:r>
          </w:p>
        </w:tc>
        <w:tc>
          <w:tcPr>
            <w:tcW w:w="1733" w:type="pct"/>
            <w:tcBorders>
              <w:tl2br w:val="nil"/>
              <w:tr2bl w:val="nil"/>
            </w:tcBorders>
            <w:shd w:val="clear" w:color="auto" w:fill="auto"/>
            <w:vAlign w:val="center"/>
          </w:tcPr>
          <w:p w14:paraId="4609B19B">
            <w:pPr>
              <w:pStyle w:val="128"/>
              <w:spacing w:line="240" w:lineRule="auto"/>
              <w:jc w:val="center"/>
              <w:rPr>
                <w:rFonts w:hint="default" w:ascii="Times New Roman" w:hAnsi="Times New Roman" w:cs="Times New Roman"/>
                <w:color w:val="FF0000"/>
                <w:sz w:val="21"/>
                <w:szCs w:val="21"/>
              </w:rPr>
            </w:pPr>
            <w:r>
              <w:rPr>
                <w:rFonts w:hint="default" w:ascii="Times New Roman" w:hAnsi="Times New Roman" w:eastAsia="宋体" w:cs="Times New Roman"/>
                <w:color w:val="FF0000"/>
                <w:spacing w:val="-1"/>
                <w:sz w:val="21"/>
                <w:szCs w:val="21"/>
              </w:rPr>
              <w:t>交由持有相应类别危险废物经营许可证的单</w:t>
            </w:r>
            <w:r>
              <w:rPr>
                <w:rFonts w:hint="default" w:ascii="Times New Roman" w:hAnsi="Times New Roman" w:eastAsia="宋体" w:cs="Times New Roman"/>
                <w:color w:val="FF0000"/>
                <w:spacing w:val="-2"/>
                <w:sz w:val="21"/>
                <w:szCs w:val="21"/>
              </w:rPr>
              <w:t>位处理</w:t>
            </w:r>
          </w:p>
        </w:tc>
      </w:tr>
      <w:tr w14:paraId="2B6E1CBE">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 w:type="dxa"/>
            <w:bottom w:w="0" w:type="dxa"/>
            <w:right w:w="10" w:type="dxa"/>
          </w:tblCellMar>
        </w:tblPrEx>
        <w:trPr>
          <w:trHeight w:val="23" w:hRule="atLeast"/>
          <w:jc w:val="center"/>
        </w:trPr>
        <w:tc>
          <w:tcPr>
            <w:tcW w:w="171" w:type="pct"/>
            <w:tcBorders>
              <w:tl2br w:val="nil"/>
              <w:tr2bl w:val="nil"/>
            </w:tcBorders>
            <w:shd w:val="clear" w:color="auto" w:fill="auto"/>
            <w:vAlign w:val="center"/>
          </w:tcPr>
          <w:p w14:paraId="72D3F8A4">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FF0000"/>
                <w:kern w:val="0"/>
                <w:sz w:val="21"/>
                <w:szCs w:val="21"/>
                <w:u w:val="none"/>
                <w:lang w:val="en-US" w:eastAsia="zh-CN" w:bidi="ar"/>
              </w:rPr>
            </w:pPr>
            <w:r>
              <w:rPr>
                <w:rFonts w:hint="default" w:ascii="Times New Roman" w:hAnsi="Times New Roman" w:cs="Times New Roman"/>
                <w:i w:val="0"/>
                <w:iCs w:val="0"/>
                <w:color w:val="FF0000"/>
                <w:kern w:val="0"/>
                <w:sz w:val="21"/>
                <w:szCs w:val="21"/>
                <w:u w:val="none"/>
                <w:lang w:val="en-US" w:eastAsia="zh-CN" w:bidi="ar"/>
              </w:rPr>
              <w:t>33</w:t>
            </w:r>
          </w:p>
        </w:tc>
        <w:tc>
          <w:tcPr>
            <w:tcW w:w="447" w:type="pct"/>
            <w:tcBorders>
              <w:tl2br w:val="nil"/>
              <w:tr2bl w:val="nil"/>
            </w:tcBorders>
            <w:shd w:val="clear" w:color="auto" w:fill="auto"/>
            <w:vAlign w:val="center"/>
          </w:tcPr>
          <w:p w14:paraId="5A52F568">
            <w:pPr>
              <w:pStyle w:val="128"/>
              <w:spacing w:line="240" w:lineRule="auto"/>
              <w:jc w:val="center"/>
              <w:rPr>
                <w:rFonts w:hint="default" w:ascii="Times New Roman" w:hAnsi="Times New Roman" w:cs="Times New Roman"/>
                <w:color w:val="FF0000"/>
                <w:sz w:val="21"/>
                <w:szCs w:val="21"/>
              </w:rPr>
            </w:pPr>
            <w:r>
              <w:rPr>
                <w:rFonts w:hint="default" w:ascii="Times New Roman" w:hAnsi="Times New Roman" w:cs="Times New Roman"/>
                <w:color w:val="FF0000"/>
                <w:sz w:val="21"/>
                <w:szCs w:val="21"/>
              </w:rPr>
              <w:t>废有机溶剂</w:t>
            </w:r>
          </w:p>
        </w:tc>
        <w:tc>
          <w:tcPr>
            <w:tcW w:w="488" w:type="pct"/>
            <w:tcBorders>
              <w:tl2br w:val="nil"/>
              <w:tr2bl w:val="nil"/>
            </w:tcBorders>
            <w:shd w:val="clear" w:color="auto" w:fill="auto"/>
            <w:vAlign w:val="center"/>
          </w:tcPr>
          <w:p w14:paraId="3C7FF25B">
            <w:pPr>
              <w:pStyle w:val="128"/>
              <w:spacing w:line="240" w:lineRule="auto"/>
              <w:jc w:val="center"/>
              <w:rPr>
                <w:rFonts w:hint="default" w:ascii="Times New Roman" w:hAnsi="Times New Roman" w:eastAsia="宋体" w:cs="Times New Roman"/>
                <w:color w:val="FF0000"/>
                <w:sz w:val="21"/>
                <w:szCs w:val="21"/>
                <w:lang w:val="en-US" w:eastAsia="zh-CN"/>
              </w:rPr>
            </w:pPr>
            <w:r>
              <w:rPr>
                <w:rFonts w:hint="default" w:ascii="Times New Roman" w:hAnsi="Times New Roman" w:cs="Times New Roman"/>
                <w:color w:val="FF0000"/>
                <w:sz w:val="21"/>
                <w:szCs w:val="21"/>
                <w:lang w:val="en-US" w:eastAsia="zh-CN"/>
              </w:rPr>
              <w:t>6-14</w:t>
            </w:r>
          </w:p>
        </w:tc>
        <w:tc>
          <w:tcPr>
            <w:tcW w:w="561" w:type="pct"/>
            <w:tcBorders>
              <w:tl2br w:val="nil"/>
              <w:tr2bl w:val="nil"/>
            </w:tcBorders>
            <w:shd w:val="clear" w:color="auto" w:fill="auto"/>
            <w:vAlign w:val="center"/>
          </w:tcPr>
          <w:p w14:paraId="59FCFD83">
            <w:pPr>
              <w:pStyle w:val="128"/>
              <w:spacing w:line="240" w:lineRule="auto"/>
              <w:jc w:val="center"/>
              <w:rPr>
                <w:rFonts w:hint="default" w:ascii="Times New Roman" w:hAnsi="Times New Roman" w:eastAsia="宋体" w:cs="Times New Roman"/>
                <w:color w:val="FF0000"/>
                <w:sz w:val="21"/>
                <w:szCs w:val="21"/>
                <w:lang w:val="en-US" w:eastAsia="zh-CN"/>
              </w:rPr>
            </w:pPr>
            <w:r>
              <w:rPr>
                <w:rFonts w:hint="default" w:ascii="Times New Roman" w:hAnsi="Times New Roman" w:cs="Times New Roman"/>
                <w:color w:val="FF0000"/>
                <w:sz w:val="21"/>
                <w:szCs w:val="21"/>
                <w:lang w:val="en-US" w:eastAsia="zh-CN"/>
              </w:rPr>
              <w:t>15-30</w:t>
            </w:r>
          </w:p>
        </w:tc>
        <w:tc>
          <w:tcPr>
            <w:tcW w:w="500" w:type="pct"/>
            <w:tcBorders>
              <w:tl2br w:val="nil"/>
              <w:tr2bl w:val="nil"/>
            </w:tcBorders>
            <w:shd w:val="clear" w:color="auto" w:fill="auto"/>
            <w:vAlign w:val="center"/>
          </w:tcPr>
          <w:p w14:paraId="7683BD19">
            <w:pPr>
              <w:pStyle w:val="128"/>
              <w:spacing w:line="240" w:lineRule="auto"/>
              <w:jc w:val="center"/>
              <w:rPr>
                <w:rFonts w:hint="default" w:ascii="Times New Roman" w:hAnsi="Times New Roman" w:eastAsia="宋体" w:cs="Times New Roman"/>
                <w:color w:val="FF0000"/>
                <w:sz w:val="21"/>
                <w:szCs w:val="21"/>
                <w:lang w:val="en-US" w:eastAsia="zh-CN"/>
              </w:rPr>
            </w:pPr>
            <w:r>
              <w:rPr>
                <w:rFonts w:hint="default" w:ascii="Times New Roman" w:hAnsi="Times New Roman" w:cs="Times New Roman"/>
                <w:color w:val="FF0000"/>
                <w:sz w:val="21"/>
                <w:szCs w:val="21"/>
                <w:lang w:val="en-US" w:eastAsia="zh-CN"/>
              </w:rPr>
              <w:t>20-45</w:t>
            </w:r>
          </w:p>
        </w:tc>
        <w:tc>
          <w:tcPr>
            <w:tcW w:w="524" w:type="pct"/>
            <w:tcBorders>
              <w:tl2br w:val="nil"/>
              <w:tr2bl w:val="nil"/>
            </w:tcBorders>
            <w:shd w:val="clear" w:color="auto" w:fill="auto"/>
            <w:vAlign w:val="center"/>
          </w:tcPr>
          <w:p w14:paraId="031522CE">
            <w:pPr>
              <w:pStyle w:val="128"/>
              <w:spacing w:line="240" w:lineRule="auto"/>
              <w:jc w:val="center"/>
              <w:rPr>
                <w:rFonts w:hint="default" w:ascii="Times New Roman" w:hAnsi="Times New Roman" w:eastAsia="宋体" w:cs="Times New Roman"/>
                <w:color w:val="FF0000"/>
                <w:sz w:val="21"/>
                <w:szCs w:val="21"/>
                <w:lang w:val="en-US" w:eastAsia="zh-CN"/>
              </w:rPr>
            </w:pPr>
            <w:r>
              <w:rPr>
                <w:rFonts w:hint="default" w:ascii="Times New Roman" w:hAnsi="Times New Roman" w:cs="Times New Roman"/>
                <w:color w:val="FF0000"/>
                <w:sz w:val="21"/>
                <w:szCs w:val="21"/>
                <w:lang w:val="en-US" w:eastAsia="zh-CN"/>
              </w:rPr>
              <w:t>4-12</w:t>
            </w:r>
          </w:p>
        </w:tc>
        <w:tc>
          <w:tcPr>
            <w:tcW w:w="573" w:type="pct"/>
            <w:tcBorders>
              <w:tl2br w:val="nil"/>
              <w:tr2bl w:val="nil"/>
            </w:tcBorders>
            <w:shd w:val="clear" w:color="auto" w:fill="auto"/>
            <w:vAlign w:val="center"/>
          </w:tcPr>
          <w:p w14:paraId="7D319206">
            <w:pPr>
              <w:pStyle w:val="128"/>
              <w:spacing w:line="240" w:lineRule="auto"/>
              <w:jc w:val="center"/>
              <w:rPr>
                <w:rFonts w:hint="default" w:ascii="Times New Roman" w:hAnsi="Times New Roman" w:cs="Times New Roman"/>
                <w:color w:val="FF0000"/>
                <w:sz w:val="21"/>
                <w:szCs w:val="21"/>
              </w:rPr>
            </w:pPr>
            <w:r>
              <w:rPr>
                <w:rFonts w:hint="default" w:ascii="Times New Roman" w:hAnsi="Times New Roman" w:cs="Times New Roman"/>
                <w:color w:val="FF0000"/>
                <w:sz w:val="21"/>
                <w:szCs w:val="21"/>
              </w:rPr>
              <w:t>专用清洗剂、防冻液</w:t>
            </w:r>
            <w:r>
              <w:rPr>
                <w:rFonts w:hint="default" w:ascii="Times New Roman" w:hAnsi="Times New Roman" w:cs="Times New Roman"/>
                <w:color w:val="FF0000"/>
                <w:sz w:val="21"/>
                <w:szCs w:val="21"/>
                <w:lang w:eastAsia="zh-CN"/>
              </w:rPr>
              <w:t>、</w:t>
            </w:r>
            <w:r>
              <w:rPr>
                <w:rFonts w:hint="default" w:ascii="Times New Roman" w:hAnsi="Times New Roman" w:cs="Times New Roman"/>
                <w:color w:val="FF0000"/>
                <w:sz w:val="21"/>
                <w:szCs w:val="21"/>
              </w:rPr>
              <w:t>动力电池冷却液</w:t>
            </w:r>
          </w:p>
        </w:tc>
        <w:tc>
          <w:tcPr>
            <w:tcW w:w="1733" w:type="pct"/>
            <w:tcBorders>
              <w:tl2br w:val="nil"/>
              <w:tr2bl w:val="nil"/>
            </w:tcBorders>
            <w:shd w:val="clear" w:color="auto" w:fill="auto"/>
            <w:vAlign w:val="center"/>
          </w:tcPr>
          <w:p w14:paraId="33B7CC55">
            <w:pPr>
              <w:pStyle w:val="128"/>
              <w:spacing w:line="240" w:lineRule="auto"/>
              <w:jc w:val="center"/>
              <w:rPr>
                <w:rFonts w:hint="default" w:ascii="Times New Roman" w:hAnsi="Times New Roman" w:cs="Times New Roman"/>
                <w:color w:val="FF0000"/>
                <w:sz w:val="21"/>
                <w:szCs w:val="21"/>
              </w:rPr>
            </w:pPr>
            <w:r>
              <w:rPr>
                <w:rFonts w:hint="default" w:ascii="Times New Roman" w:hAnsi="Times New Roman" w:eastAsia="宋体" w:cs="Times New Roman"/>
                <w:color w:val="FF0000"/>
                <w:spacing w:val="-1"/>
                <w:sz w:val="21"/>
                <w:szCs w:val="21"/>
              </w:rPr>
              <w:t>交由持有相应类别危险废物经营许可证的单</w:t>
            </w:r>
            <w:r>
              <w:rPr>
                <w:rFonts w:hint="default" w:ascii="Times New Roman" w:hAnsi="Times New Roman" w:eastAsia="宋体" w:cs="Times New Roman"/>
                <w:color w:val="FF0000"/>
                <w:spacing w:val="-2"/>
                <w:sz w:val="21"/>
                <w:szCs w:val="21"/>
              </w:rPr>
              <w:t>位处理</w:t>
            </w:r>
          </w:p>
        </w:tc>
      </w:tr>
      <w:tr w14:paraId="0601DF8A">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 w:type="dxa"/>
            <w:bottom w:w="0" w:type="dxa"/>
            <w:right w:w="10" w:type="dxa"/>
          </w:tblCellMar>
        </w:tblPrEx>
        <w:trPr>
          <w:trHeight w:val="23" w:hRule="atLeast"/>
          <w:jc w:val="center"/>
        </w:trPr>
        <w:tc>
          <w:tcPr>
            <w:tcW w:w="171" w:type="pct"/>
            <w:tcBorders>
              <w:tl2br w:val="nil"/>
              <w:tr2bl w:val="nil"/>
            </w:tcBorders>
            <w:shd w:val="clear" w:color="auto" w:fill="auto"/>
            <w:vAlign w:val="center"/>
          </w:tcPr>
          <w:p w14:paraId="2C6068D6">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FF0000"/>
                <w:kern w:val="0"/>
                <w:sz w:val="21"/>
                <w:szCs w:val="21"/>
                <w:u w:val="none"/>
                <w:lang w:val="en-US" w:eastAsia="zh-CN" w:bidi="ar"/>
              </w:rPr>
            </w:pPr>
            <w:r>
              <w:rPr>
                <w:rFonts w:hint="default" w:ascii="Times New Roman" w:hAnsi="Times New Roman" w:cs="Times New Roman"/>
                <w:i w:val="0"/>
                <w:iCs w:val="0"/>
                <w:color w:val="FF0000"/>
                <w:kern w:val="0"/>
                <w:sz w:val="21"/>
                <w:szCs w:val="21"/>
                <w:u w:val="none"/>
                <w:lang w:val="en-US" w:eastAsia="zh-CN" w:bidi="ar"/>
              </w:rPr>
              <w:t>34</w:t>
            </w:r>
          </w:p>
        </w:tc>
        <w:tc>
          <w:tcPr>
            <w:tcW w:w="447" w:type="pct"/>
            <w:tcBorders>
              <w:tl2br w:val="nil"/>
              <w:tr2bl w:val="nil"/>
            </w:tcBorders>
            <w:shd w:val="clear" w:color="auto" w:fill="auto"/>
            <w:vAlign w:val="center"/>
          </w:tcPr>
          <w:p w14:paraId="5953FFE4">
            <w:pPr>
              <w:pStyle w:val="128"/>
              <w:spacing w:line="240" w:lineRule="auto"/>
              <w:jc w:val="center"/>
              <w:rPr>
                <w:rFonts w:hint="default" w:ascii="Times New Roman" w:hAnsi="Times New Roman" w:cs="Times New Roman"/>
                <w:color w:val="FF0000"/>
                <w:sz w:val="21"/>
                <w:szCs w:val="21"/>
              </w:rPr>
            </w:pPr>
            <w:r>
              <w:rPr>
                <w:rFonts w:hint="default" w:ascii="Times New Roman" w:hAnsi="Times New Roman" w:cs="Times New Roman"/>
                <w:color w:val="FF0000"/>
                <w:sz w:val="21"/>
                <w:szCs w:val="21"/>
              </w:rPr>
              <w:t>石棉废物</w:t>
            </w:r>
          </w:p>
        </w:tc>
        <w:tc>
          <w:tcPr>
            <w:tcW w:w="488" w:type="pct"/>
            <w:tcBorders>
              <w:tl2br w:val="nil"/>
              <w:tr2bl w:val="nil"/>
            </w:tcBorders>
            <w:shd w:val="clear" w:color="auto" w:fill="auto"/>
            <w:vAlign w:val="center"/>
          </w:tcPr>
          <w:p w14:paraId="2107FF33">
            <w:pPr>
              <w:pStyle w:val="128"/>
              <w:spacing w:line="240" w:lineRule="auto"/>
              <w:jc w:val="center"/>
              <w:rPr>
                <w:rFonts w:hint="default" w:ascii="Times New Roman" w:hAnsi="Times New Roman" w:cs="Times New Roman"/>
                <w:color w:val="FF0000"/>
                <w:sz w:val="21"/>
                <w:szCs w:val="21"/>
                <w:lang w:val="en-US" w:eastAsia="zh-CN"/>
              </w:rPr>
            </w:pPr>
            <w:r>
              <w:rPr>
                <w:rFonts w:hint="default" w:ascii="Times New Roman" w:hAnsi="Times New Roman" w:cs="Times New Roman"/>
                <w:color w:val="FF0000"/>
                <w:sz w:val="21"/>
                <w:szCs w:val="21"/>
                <w:lang w:val="en-US" w:eastAsia="zh-CN"/>
              </w:rPr>
              <w:t>0.8-1.6</w:t>
            </w:r>
          </w:p>
        </w:tc>
        <w:tc>
          <w:tcPr>
            <w:tcW w:w="561" w:type="pct"/>
            <w:tcBorders>
              <w:tl2br w:val="nil"/>
              <w:tr2bl w:val="nil"/>
            </w:tcBorders>
            <w:shd w:val="clear" w:color="auto" w:fill="auto"/>
            <w:vAlign w:val="center"/>
          </w:tcPr>
          <w:p w14:paraId="4A3E2726">
            <w:pPr>
              <w:pStyle w:val="128"/>
              <w:spacing w:line="240" w:lineRule="auto"/>
              <w:jc w:val="center"/>
              <w:rPr>
                <w:rFonts w:hint="default" w:ascii="Times New Roman" w:hAnsi="Times New Roman" w:cs="Times New Roman"/>
                <w:color w:val="FF0000"/>
                <w:sz w:val="21"/>
                <w:szCs w:val="21"/>
                <w:lang w:val="en-US" w:eastAsia="zh-CN"/>
              </w:rPr>
            </w:pPr>
            <w:r>
              <w:rPr>
                <w:rFonts w:hint="default" w:ascii="Times New Roman" w:hAnsi="Times New Roman" w:cs="Times New Roman"/>
                <w:color w:val="FF0000"/>
                <w:sz w:val="21"/>
                <w:szCs w:val="21"/>
                <w:lang w:val="en-US" w:eastAsia="zh-CN"/>
              </w:rPr>
              <w:t>1.8 - 4.0</w:t>
            </w:r>
          </w:p>
        </w:tc>
        <w:tc>
          <w:tcPr>
            <w:tcW w:w="500" w:type="pct"/>
            <w:tcBorders>
              <w:tl2br w:val="nil"/>
              <w:tr2bl w:val="nil"/>
            </w:tcBorders>
            <w:shd w:val="clear" w:color="auto" w:fill="auto"/>
            <w:vAlign w:val="center"/>
          </w:tcPr>
          <w:p w14:paraId="2B57CB83">
            <w:pPr>
              <w:pStyle w:val="128"/>
              <w:spacing w:line="240" w:lineRule="auto"/>
              <w:jc w:val="center"/>
              <w:rPr>
                <w:rFonts w:hint="default" w:ascii="Times New Roman" w:hAnsi="Times New Roman" w:cs="Times New Roman"/>
                <w:color w:val="FF0000"/>
                <w:sz w:val="21"/>
                <w:szCs w:val="21"/>
                <w:lang w:val="en-US" w:eastAsia="zh-CN"/>
              </w:rPr>
            </w:pPr>
            <w:r>
              <w:rPr>
                <w:rFonts w:hint="default" w:ascii="Times New Roman" w:hAnsi="Times New Roman" w:cs="Times New Roman"/>
                <w:color w:val="FF0000"/>
                <w:sz w:val="21"/>
                <w:szCs w:val="21"/>
                <w:lang w:val="en-US" w:eastAsia="zh-CN"/>
              </w:rPr>
              <w:t>4.0 - 12.0</w:t>
            </w:r>
          </w:p>
        </w:tc>
        <w:tc>
          <w:tcPr>
            <w:tcW w:w="524" w:type="pct"/>
            <w:tcBorders>
              <w:tl2br w:val="nil"/>
              <w:tr2bl w:val="nil"/>
            </w:tcBorders>
            <w:shd w:val="clear" w:color="auto" w:fill="auto"/>
            <w:vAlign w:val="center"/>
          </w:tcPr>
          <w:p w14:paraId="1DC9E912">
            <w:pPr>
              <w:spacing w:line="240" w:lineRule="auto"/>
              <w:jc w:val="center"/>
              <w:rPr>
                <w:rFonts w:hint="default" w:ascii="Times New Roman" w:hAnsi="Times New Roman" w:cs="Times New Roman"/>
                <w:color w:val="FF0000"/>
                <w:sz w:val="21"/>
                <w:szCs w:val="21"/>
                <w:lang w:val="en-US" w:eastAsia="zh-CN"/>
              </w:rPr>
            </w:pPr>
            <w:r>
              <w:rPr>
                <w:rFonts w:hint="default" w:ascii="Times New Roman" w:hAnsi="Times New Roman" w:cs="Times New Roman"/>
                <w:color w:val="FF0000"/>
                <w:sz w:val="21"/>
                <w:szCs w:val="21"/>
              </w:rPr>
              <w:t>/</w:t>
            </w:r>
          </w:p>
        </w:tc>
        <w:tc>
          <w:tcPr>
            <w:tcW w:w="573" w:type="pct"/>
            <w:tcBorders>
              <w:tl2br w:val="nil"/>
              <w:tr2bl w:val="nil"/>
            </w:tcBorders>
            <w:shd w:val="clear" w:color="auto" w:fill="auto"/>
            <w:vAlign w:val="center"/>
          </w:tcPr>
          <w:p w14:paraId="28FFC047">
            <w:pPr>
              <w:pStyle w:val="128"/>
              <w:spacing w:line="240" w:lineRule="auto"/>
              <w:jc w:val="center"/>
              <w:rPr>
                <w:rFonts w:hint="default" w:ascii="Times New Roman" w:hAnsi="Times New Roman" w:cs="Times New Roman"/>
                <w:color w:val="FF0000"/>
                <w:sz w:val="21"/>
                <w:szCs w:val="21"/>
              </w:rPr>
            </w:pPr>
            <w:r>
              <w:rPr>
                <w:rFonts w:hint="default" w:ascii="Times New Roman" w:hAnsi="Times New Roman" w:cs="Times New Roman"/>
                <w:color w:val="FF0000"/>
                <w:sz w:val="21"/>
                <w:szCs w:val="21"/>
              </w:rPr>
              <w:t>制动器衬片产生的石棉废物</w:t>
            </w:r>
          </w:p>
        </w:tc>
        <w:tc>
          <w:tcPr>
            <w:tcW w:w="1733" w:type="pct"/>
            <w:tcBorders>
              <w:tl2br w:val="nil"/>
              <w:tr2bl w:val="nil"/>
            </w:tcBorders>
            <w:shd w:val="clear" w:color="auto" w:fill="auto"/>
            <w:vAlign w:val="center"/>
          </w:tcPr>
          <w:p w14:paraId="5F3B36E7">
            <w:pPr>
              <w:pStyle w:val="128"/>
              <w:spacing w:line="240" w:lineRule="auto"/>
              <w:jc w:val="center"/>
              <w:rPr>
                <w:rFonts w:hint="default" w:ascii="Times New Roman" w:hAnsi="Times New Roman" w:eastAsia="宋体" w:cs="Times New Roman"/>
                <w:color w:val="FF0000"/>
                <w:spacing w:val="-1"/>
                <w:sz w:val="21"/>
                <w:szCs w:val="21"/>
              </w:rPr>
            </w:pPr>
            <w:r>
              <w:rPr>
                <w:rFonts w:hint="default" w:ascii="Times New Roman" w:hAnsi="Times New Roman" w:eastAsia="宋体" w:cs="Times New Roman"/>
                <w:color w:val="FF0000"/>
                <w:spacing w:val="-1"/>
                <w:sz w:val="21"/>
                <w:szCs w:val="21"/>
              </w:rPr>
              <w:t>交由持有相应类别危险废物经营许可证的单</w:t>
            </w:r>
            <w:r>
              <w:rPr>
                <w:rFonts w:hint="default" w:ascii="Times New Roman" w:hAnsi="Times New Roman" w:eastAsia="宋体" w:cs="Times New Roman"/>
                <w:color w:val="FF0000"/>
                <w:spacing w:val="-2"/>
                <w:sz w:val="21"/>
                <w:szCs w:val="21"/>
              </w:rPr>
              <w:t>位处理</w:t>
            </w:r>
          </w:p>
        </w:tc>
      </w:tr>
    </w:tbl>
    <w:p w14:paraId="4F17F515">
      <w:pPr>
        <w:spacing w:line="360" w:lineRule="auto"/>
        <w:ind w:firstLine="480" w:firstLineChars="200"/>
        <w:jc w:val="left"/>
        <w:rPr>
          <w:b/>
          <w:bCs/>
          <w:color w:val="FF0000"/>
          <w:szCs w:val="21"/>
        </w:rPr>
      </w:pPr>
      <w:r>
        <w:rPr>
          <w:color w:val="FF0000"/>
          <w:sz w:val="24"/>
        </w:rPr>
        <w:t>根据表</w:t>
      </w:r>
      <w:r>
        <w:rPr>
          <w:color w:val="FF0000"/>
          <w:sz w:val="24"/>
          <w:lang w:bidi="en-US"/>
        </w:rPr>
        <w:t>2-</w:t>
      </w:r>
      <w:r>
        <w:rPr>
          <w:rFonts w:hint="eastAsia"/>
          <w:color w:val="FF0000"/>
          <w:sz w:val="24"/>
          <w:lang w:bidi="en-US"/>
        </w:rPr>
        <w:t>3</w:t>
      </w:r>
      <w:r>
        <w:rPr>
          <w:color w:val="FF0000"/>
          <w:sz w:val="24"/>
        </w:rPr>
        <w:t>各类型车辆拆解明细，结合本项目各类型车辆拆解数量进行归类整理</w:t>
      </w:r>
      <w:r>
        <w:rPr>
          <w:rFonts w:hint="eastAsia"/>
          <w:color w:val="FF0000"/>
          <w:sz w:val="24"/>
          <w:lang w:eastAsia="zh-CN"/>
        </w:rPr>
        <w:t>，</w:t>
      </w:r>
      <w:r>
        <w:rPr>
          <w:rFonts w:hint="eastAsia"/>
          <w:color w:val="FF0000"/>
          <w:sz w:val="24"/>
          <w:lang w:val="en-US" w:eastAsia="zh-CN"/>
        </w:rPr>
        <w:t>以各部件最大重量比例计算得出各部件拆解占比及拆解后重量组成</w:t>
      </w:r>
      <w:r>
        <w:rPr>
          <w:color w:val="FF0000"/>
          <w:sz w:val="24"/>
        </w:rPr>
        <w:t>，本项目拆解得到的各类物料组成，详见下表。</w:t>
      </w:r>
    </w:p>
    <w:p w14:paraId="598F87FB">
      <w:pPr>
        <w:pStyle w:val="127"/>
        <w:spacing w:line="240" w:lineRule="auto"/>
        <w:jc w:val="center"/>
        <w:rPr>
          <w:rFonts w:ascii="Times New Roman" w:hAnsi="Times New Roman" w:cs="Times New Roman"/>
          <w:color w:val="FF0000"/>
          <w:sz w:val="21"/>
          <w:szCs w:val="21"/>
        </w:rPr>
      </w:pPr>
      <w:r>
        <w:rPr>
          <w:rFonts w:ascii="Times New Roman" w:hAnsi="Times New Roman" w:cs="Times New Roman"/>
          <w:b/>
          <w:bCs/>
          <w:color w:val="FF0000"/>
          <w:sz w:val="21"/>
          <w:szCs w:val="21"/>
        </w:rPr>
        <w:t>表</w:t>
      </w:r>
      <w:r>
        <w:rPr>
          <w:rFonts w:ascii="Times New Roman" w:hAnsi="Times New Roman" w:cs="Times New Roman"/>
          <w:b/>
          <w:bCs/>
          <w:color w:val="FF0000"/>
          <w:sz w:val="21"/>
          <w:szCs w:val="21"/>
          <w:lang w:val="en-US" w:eastAsia="zh-CN" w:bidi="en-US"/>
        </w:rPr>
        <w:t>2-</w:t>
      </w:r>
      <w:r>
        <w:rPr>
          <w:rFonts w:hint="eastAsia" w:ascii="Times New Roman" w:hAnsi="Times New Roman" w:cs="Times New Roman"/>
          <w:b/>
          <w:bCs/>
          <w:color w:val="FF0000"/>
          <w:sz w:val="21"/>
          <w:szCs w:val="21"/>
          <w:lang w:val="en-US" w:eastAsia="zh-CN" w:bidi="en-US"/>
        </w:rPr>
        <w:t>4</w:t>
      </w:r>
      <w:r>
        <w:rPr>
          <w:rFonts w:ascii="Times New Roman" w:hAnsi="Times New Roman" w:cs="Times New Roman"/>
          <w:b/>
          <w:bCs/>
          <w:color w:val="FF0000"/>
          <w:sz w:val="21"/>
          <w:szCs w:val="21"/>
          <w:lang w:val="en-US" w:eastAsia="zh-CN" w:bidi="en-US"/>
        </w:rPr>
        <w:t xml:space="preserve">  </w:t>
      </w:r>
      <w:r>
        <w:rPr>
          <w:rFonts w:ascii="Times New Roman" w:hAnsi="Times New Roman" w:cs="Times New Roman"/>
          <w:b/>
          <w:bCs/>
          <w:color w:val="FF0000"/>
          <w:sz w:val="21"/>
          <w:szCs w:val="21"/>
        </w:rPr>
        <w:t>项目报废机动车拆解产生物料组成分析一览表 单位:</w:t>
      </w:r>
      <w:r>
        <w:rPr>
          <w:rFonts w:ascii="Times New Roman" w:hAnsi="Times New Roman" w:cs="Times New Roman"/>
          <w:b/>
          <w:bCs/>
          <w:color w:val="FF0000"/>
          <w:sz w:val="21"/>
          <w:szCs w:val="21"/>
          <w:lang w:val="en-US" w:eastAsia="zh-CN" w:bidi="en-US"/>
        </w:rPr>
        <w:t>t/a</w:t>
      </w:r>
    </w:p>
    <w:tbl>
      <w:tblPr>
        <w:tblStyle w:val="34"/>
        <w:tblW w:w="4999" w:type="pct"/>
        <w:jc w:val="center"/>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autofit"/>
        <w:tblCellMar>
          <w:top w:w="0" w:type="dxa"/>
          <w:left w:w="10" w:type="dxa"/>
          <w:bottom w:w="0" w:type="dxa"/>
          <w:right w:w="10" w:type="dxa"/>
        </w:tblCellMar>
      </w:tblPr>
      <w:tblGrid>
        <w:gridCol w:w="2966"/>
        <w:gridCol w:w="1054"/>
        <w:gridCol w:w="1063"/>
        <w:gridCol w:w="1054"/>
        <w:gridCol w:w="1054"/>
        <w:gridCol w:w="1063"/>
        <w:gridCol w:w="1075"/>
        <w:gridCol w:w="1063"/>
        <w:gridCol w:w="1075"/>
        <w:gridCol w:w="1075"/>
        <w:gridCol w:w="7883"/>
      </w:tblGrid>
      <w:tr w14:paraId="2568E187">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 w:type="dxa"/>
            <w:bottom w:w="0" w:type="dxa"/>
            <w:right w:w="10" w:type="dxa"/>
          </w:tblCellMar>
        </w:tblPrEx>
        <w:trPr>
          <w:trHeight w:val="57" w:hRule="atLeast"/>
          <w:jc w:val="center"/>
        </w:trPr>
        <w:tc>
          <w:tcPr>
            <w:tcW w:w="726" w:type="pct"/>
            <w:vMerge w:val="restart"/>
            <w:tcBorders>
              <w:tl2br w:val="nil"/>
              <w:tr2bl w:val="nil"/>
            </w:tcBorders>
            <w:shd w:val="clear" w:color="auto" w:fill="auto"/>
            <w:vAlign w:val="center"/>
          </w:tcPr>
          <w:p w14:paraId="580BBE97">
            <w:pPr>
              <w:keepNext w:val="0"/>
              <w:keepLines w:val="0"/>
              <w:widowControl/>
              <w:suppressLineNumbers w:val="0"/>
              <w:spacing w:line="240" w:lineRule="auto"/>
              <w:jc w:val="center"/>
              <w:textAlignment w:val="center"/>
              <w:rPr>
                <w:rFonts w:hint="eastAsia" w:ascii="宋体" w:hAnsi="宋体" w:cs="宋体"/>
                <w:i w:val="0"/>
                <w:iCs w:val="0"/>
                <w:color w:val="FF0000"/>
                <w:kern w:val="0"/>
                <w:sz w:val="21"/>
                <w:szCs w:val="21"/>
                <w:u w:val="none"/>
                <w:lang w:val="en-US" w:eastAsia="zh-CN" w:bidi="ar"/>
              </w:rPr>
            </w:pPr>
            <w:r>
              <w:rPr>
                <w:rFonts w:hint="eastAsia" w:ascii="宋体" w:hAnsi="宋体" w:cs="宋体"/>
                <w:i w:val="0"/>
                <w:iCs w:val="0"/>
                <w:color w:val="FF0000"/>
                <w:kern w:val="0"/>
                <w:sz w:val="21"/>
                <w:szCs w:val="21"/>
                <w:u w:val="none"/>
                <w:lang w:val="en-US" w:eastAsia="zh-CN" w:bidi="ar"/>
              </w:rPr>
              <w:t>名称</w:t>
            </w:r>
          </w:p>
        </w:tc>
        <w:tc>
          <w:tcPr>
            <w:tcW w:w="1557" w:type="pct"/>
            <w:gridSpan w:val="6"/>
            <w:tcBorders>
              <w:tl2br w:val="nil"/>
              <w:tr2bl w:val="nil"/>
            </w:tcBorders>
            <w:shd w:val="clear" w:color="auto" w:fill="auto"/>
            <w:vAlign w:val="center"/>
          </w:tcPr>
          <w:p w14:paraId="1473D30A">
            <w:pPr>
              <w:keepNext w:val="0"/>
              <w:keepLines w:val="0"/>
              <w:widowControl/>
              <w:suppressLineNumbers w:val="0"/>
              <w:spacing w:line="240" w:lineRule="auto"/>
              <w:jc w:val="center"/>
              <w:textAlignment w:val="center"/>
              <w:rPr>
                <w:rFonts w:hint="eastAsia" w:ascii="宋体" w:hAnsi="宋体" w:cs="宋体"/>
                <w:i w:val="0"/>
                <w:iCs w:val="0"/>
                <w:color w:val="FF0000"/>
                <w:kern w:val="0"/>
                <w:sz w:val="21"/>
                <w:szCs w:val="21"/>
                <w:u w:val="none"/>
                <w:lang w:val="en-US" w:eastAsia="zh-CN" w:bidi="ar"/>
              </w:rPr>
            </w:pPr>
            <w:r>
              <w:rPr>
                <w:rFonts w:hint="eastAsia" w:ascii="宋体" w:hAnsi="宋体" w:cs="宋体"/>
                <w:i w:val="0"/>
                <w:iCs w:val="0"/>
                <w:color w:val="FF0000"/>
                <w:kern w:val="0"/>
                <w:sz w:val="21"/>
                <w:szCs w:val="21"/>
                <w:u w:val="none"/>
                <w:lang w:val="en-US" w:eastAsia="zh-CN" w:bidi="ar"/>
              </w:rPr>
              <w:t>传统燃料汽车</w:t>
            </w:r>
          </w:p>
        </w:tc>
        <w:tc>
          <w:tcPr>
            <w:tcW w:w="523" w:type="pct"/>
            <w:gridSpan w:val="2"/>
            <w:vMerge w:val="restart"/>
            <w:tcBorders>
              <w:tl2br w:val="nil"/>
              <w:tr2bl w:val="nil"/>
            </w:tcBorders>
            <w:shd w:val="clear" w:color="auto" w:fill="auto"/>
            <w:vAlign w:val="center"/>
          </w:tcPr>
          <w:p w14:paraId="5997930C">
            <w:pPr>
              <w:keepNext w:val="0"/>
              <w:keepLines w:val="0"/>
              <w:widowControl/>
              <w:suppressLineNumbers w:val="0"/>
              <w:spacing w:line="240" w:lineRule="auto"/>
              <w:jc w:val="center"/>
              <w:textAlignment w:val="center"/>
              <w:rPr>
                <w:rFonts w:hint="eastAsia" w:ascii="宋体" w:hAnsi="宋体" w:cs="宋体"/>
                <w:i w:val="0"/>
                <w:iCs w:val="0"/>
                <w:color w:val="FF0000"/>
                <w:kern w:val="0"/>
                <w:sz w:val="21"/>
                <w:szCs w:val="21"/>
                <w:u w:val="none"/>
                <w:lang w:val="en-US" w:eastAsia="zh-CN" w:bidi="ar"/>
              </w:rPr>
            </w:pPr>
            <w:r>
              <w:rPr>
                <w:rFonts w:hint="eastAsia" w:ascii="宋体" w:hAnsi="宋体" w:cs="宋体"/>
                <w:i w:val="0"/>
                <w:iCs w:val="0"/>
                <w:color w:val="FF0000"/>
                <w:kern w:val="0"/>
                <w:sz w:val="21"/>
                <w:szCs w:val="21"/>
                <w:u w:val="none"/>
                <w:lang w:val="en-US" w:eastAsia="zh-CN" w:bidi="ar"/>
              </w:rPr>
              <w:t>报废新能源汽车</w:t>
            </w:r>
          </w:p>
        </w:tc>
        <w:tc>
          <w:tcPr>
            <w:tcW w:w="263" w:type="pct"/>
            <w:vMerge w:val="restart"/>
            <w:tcBorders>
              <w:tl2br w:val="nil"/>
              <w:tr2bl w:val="nil"/>
            </w:tcBorders>
            <w:shd w:val="clear" w:color="auto" w:fill="auto"/>
            <w:vAlign w:val="center"/>
          </w:tcPr>
          <w:p w14:paraId="5D1703B5">
            <w:pPr>
              <w:keepNext w:val="0"/>
              <w:keepLines w:val="0"/>
              <w:widowControl/>
              <w:suppressLineNumbers w:val="0"/>
              <w:spacing w:line="240" w:lineRule="auto"/>
              <w:jc w:val="center"/>
              <w:textAlignment w:val="center"/>
              <w:rPr>
                <w:rFonts w:hint="eastAsia" w:ascii="宋体" w:hAnsi="宋体" w:cs="宋体"/>
                <w:i w:val="0"/>
                <w:iCs w:val="0"/>
                <w:color w:val="FF0000"/>
                <w:kern w:val="0"/>
                <w:sz w:val="21"/>
                <w:szCs w:val="21"/>
                <w:u w:val="none"/>
                <w:lang w:val="en-US" w:eastAsia="zh-CN" w:bidi="ar"/>
              </w:rPr>
            </w:pPr>
            <w:r>
              <w:rPr>
                <w:rFonts w:hint="eastAsia" w:ascii="宋体" w:hAnsi="宋体" w:cs="宋体"/>
                <w:i w:val="0"/>
                <w:iCs w:val="0"/>
                <w:color w:val="FF0000"/>
                <w:kern w:val="0"/>
                <w:sz w:val="21"/>
                <w:szCs w:val="21"/>
                <w:u w:val="none"/>
                <w:lang w:val="en-US" w:eastAsia="zh-CN" w:bidi="ar"/>
              </w:rPr>
              <w:t>总计</w:t>
            </w:r>
          </w:p>
        </w:tc>
        <w:tc>
          <w:tcPr>
            <w:tcW w:w="1929" w:type="pct"/>
            <w:vMerge w:val="restart"/>
            <w:tcBorders>
              <w:tl2br w:val="nil"/>
              <w:tr2bl w:val="nil"/>
            </w:tcBorders>
            <w:shd w:val="clear" w:color="auto" w:fill="auto"/>
            <w:vAlign w:val="center"/>
          </w:tcPr>
          <w:p w14:paraId="127BFC41">
            <w:pPr>
              <w:keepNext w:val="0"/>
              <w:keepLines w:val="0"/>
              <w:widowControl/>
              <w:suppressLineNumbers w:val="0"/>
              <w:spacing w:line="240" w:lineRule="auto"/>
              <w:jc w:val="center"/>
              <w:textAlignment w:val="center"/>
              <w:rPr>
                <w:rFonts w:hint="eastAsia" w:ascii="宋体" w:hAnsi="宋体" w:cs="宋体"/>
                <w:i w:val="0"/>
                <w:iCs w:val="0"/>
                <w:color w:val="FF0000"/>
                <w:kern w:val="0"/>
                <w:sz w:val="21"/>
                <w:szCs w:val="21"/>
                <w:u w:val="none"/>
                <w:lang w:val="en-US" w:eastAsia="zh-CN" w:bidi="ar"/>
              </w:rPr>
            </w:pPr>
            <w:r>
              <w:rPr>
                <w:rFonts w:hint="eastAsia" w:ascii="宋体" w:hAnsi="宋体" w:cs="宋体"/>
                <w:i w:val="0"/>
                <w:iCs w:val="0"/>
                <w:color w:val="FF0000"/>
                <w:kern w:val="0"/>
                <w:sz w:val="21"/>
                <w:szCs w:val="21"/>
                <w:u w:val="none"/>
                <w:lang w:val="en-US" w:eastAsia="zh-CN" w:bidi="ar"/>
              </w:rPr>
              <w:t>来源</w:t>
            </w:r>
          </w:p>
        </w:tc>
      </w:tr>
      <w:tr w14:paraId="11DE30DA">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 w:type="dxa"/>
            <w:bottom w:w="0" w:type="dxa"/>
            <w:right w:w="10" w:type="dxa"/>
          </w:tblCellMar>
        </w:tblPrEx>
        <w:trPr>
          <w:trHeight w:val="57" w:hRule="atLeast"/>
          <w:jc w:val="center"/>
        </w:trPr>
        <w:tc>
          <w:tcPr>
            <w:tcW w:w="726" w:type="pct"/>
            <w:vMerge w:val="continue"/>
            <w:tcBorders>
              <w:tl2br w:val="nil"/>
              <w:tr2bl w:val="nil"/>
            </w:tcBorders>
            <w:shd w:val="clear" w:color="auto" w:fill="auto"/>
            <w:vAlign w:val="center"/>
          </w:tcPr>
          <w:p w14:paraId="57FF0B42">
            <w:pPr>
              <w:keepNext w:val="0"/>
              <w:keepLines w:val="0"/>
              <w:widowControl/>
              <w:suppressLineNumbers w:val="0"/>
              <w:spacing w:line="240" w:lineRule="auto"/>
              <w:jc w:val="center"/>
              <w:textAlignment w:val="center"/>
              <w:rPr>
                <w:rFonts w:hint="eastAsia" w:ascii="宋体" w:hAnsi="宋体" w:cs="宋体"/>
                <w:i w:val="0"/>
                <w:iCs w:val="0"/>
                <w:color w:val="FF0000"/>
                <w:kern w:val="0"/>
                <w:sz w:val="21"/>
                <w:szCs w:val="21"/>
                <w:u w:val="none"/>
                <w:lang w:val="en-US" w:eastAsia="zh-CN" w:bidi="ar"/>
              </w:rPr>
            </w:pPr>
          </w:p>
        </w:tc>
        <w:tc>
          <w:tcPr>
            <w:tcW w:w="518" w:type="pct"/>
            <w:gridSpan w:val="2"/>
            <w:tcBorders>
              <w:tl2br w:val="nil"/>
              <w:tr2bl w:val="nil"/>
            </w:tcBorders>
            <w:shd w:val="clear" w:color="auto" w:fill="auto"/>
            <w:vAlign w:val="center"/>
          </w:tcPr>
          <w:p w14:paraId="3E946E92">
            <w:pPr>
              <w:keepNext w:val="0"/>
              <w:keepLines w:val="0"/>
              <w:widowControl/>
              <w:suppressLineNumbers w:val="0"/>
              <w:spacing w:line="240" w:lineRule="auto"/>
              <w:jc w:val="center"/>
              <w:textAlignment w:val="center"/>
              <w:rPr>
                <w:rFonts w:hint="eastAsia" w:ascii="宋体" w:hAnsi="宋体" w:cs="宋体"/>
                <w:i w:val="0"/>
                <w:iCs w:val="0"/>
                <w:color w:val="FF0000"/>
                <w:kern w:val="0"/>
                <w:sz w:val="21"/>
                <w:szCs w:val="21"/>
                <w:u w:val="none"/>
                <w:lang w:val="en-US" w:eastAsia="zh-CN" w:bidi="ar"/>
              </w:rPr>
            </w:pPr>
            <w:r>
              <w:rPr>
                <w:rFonts w:hint="eastAsia" w:ascii="宋体" w:hAnsi="宋体" w:cs="宋体"/>
                <w:i w:val="0"/>
                <w:iCs w:val="0"/>
                <w:color w:val="FF0000"/>
                <w:kern w:val="0"/>
                <w:sz w:val="21"/>
                <w:szCs w:val="21"/>
                <w:u w:val="none"/>
                <w:lang w:val="en-US" w:eastAsia="zh-CN" w:bidi="ar"/>
              </w:rPr>
              <w:t>报废乘用车</w:t>
            </w:r>
          </w:p>
        </w:tc>
        <w:tc>
          <w:tcPr>
            <w:tcW w:w="516" w:type="pct"/>
            <w:gridSpan w:val="2"/>
            <w:tcBorders>
              <w:tl2br w:val="nil"/>
              <w:tr2bl w:val="nil"/>
            </w:tcBorders>
            <w:shd w:val="clear" w:color="auto" w:fill="auto"/>
            <w:vAlign w:val="center"/>
          </w:tcPr>
          <w:p w14:paraId="000698F7">
            <w:pPr>
              <w:keepNext w:val="0"/>
              <w:keepLines w:val="0"/>
              <w:widowControl/>
              <w:suppressLineNumbers w:val="0"/>
              <w:spacing w:line="240" w:lineRule="auto"/>
              <w:jc w:val="center"/>
              <w:textAlignment w:val="center"/>
              <w:rPr>
                <w:rFonts w:hint="eastAsia" w:ascii="宋体" w:hAnsi="宋体" w:cs="宋体"/>
                <w:i w:val="0"/>
                <w:iCs w:val="0"/>
                <w:color w:val="FF0000"/>
                <w:kern w:val="0"/>
                <w:sz w:val="21"/>
                <w:szCs w:val="21"/>
                <w:u w:val="none"/>
                <w:lang w:val="en-US" w:eastAsia="zh-CN" w:bidi="ar"/>
              </w:rPr>
            </w:pPr>
            <w:r>
              <w:rPr>
                <w:rFonts w:hint="eastAsia" w:ascii="宋体" w:hAnsi="宋体" w:cs="宋体"/>
                <w:i w:val="0"/>
                <w:iCs w:val="0"/>
                <w:color w:val="FF0000"/>
                <w:kern w:val="0"/>
                <w:sz w:val="21"/>
                <w:szCs w:val="21"/>
                <w:u w:val="none"/>
                <w:lang w:val="en-US" w:eastAsia="zh-CN" w:bidi="ar"/>
              </w:rPr>
              <w:t>报废载客汽车</w:t>
            </w:r>
          </w:p>
        </w:tc>
        <w:tc>
          <w:tcPr>
            <w:tcW w:w="523" w:type="pct"/>
            <w:gridSpan w:val="2"/>
            <w:tcBorders>
              <w:tl2br w:val="nil"/>
              <w:tr2bl w:val="nil"/>
            </w:tcBorders>
            <w:shd w:val="clear" w:color="auto" w:fill="auto"/>
            <w:vAlign w:val="center"/>
          </w:tcPr>
          <w:p w14:paraId="79F2A5CD">
            <w:pPr>
              <w:keepNext w:val="0"/>
              <w:keepLines w:val="0"/>
              <w:widowControl/>
              <w:suppressLineNumbers w:val="0"/>
              <w:spacing w:line="240" w:lineRule="auto"/>
              <w:jc w:val="center"/>
              <w:textAlignment w:val="center"/>
              <w:rPr>
                <w:rFonts w:hint="eastAsia" w:ascii="宋体" w:hAnsi="宋体" w:cs="宋体"/>
                <w:i w:val="0"/>
                <w:iCs w:val="0"/>
                <w:color w:val="FF0000"/>
                <w:kern w:val="0"/>
                <w:sz w:val="21"/>
                <w:szCs w:val="21"/>
                <w:u w:val="none"/>
                <w:lang w:val="en-US" w:eastAsia="zh-CN" w:bidi="ar"/>
              </w:rPr>
            </w:pPr>
            <w:r>
              <w:rPr>
                <w:rFonts w:hint="eastAsia" w:ascii="宋体" w:hAnsi="宋体" w:cs="宋体"/>
                <w:i w:val="0"/>
                <w:iCs w:val="0"/>
                <w:color w:val="FF0000"/>
                <w:kern w:val="0"/>
                <w:sz w:val="21"/>
                <w:szCs w:val="21"/>
                <w:u w:val="none"/>
                <w:lang w:val="en-US" w:eastAsia="zh-CN" w:bidi="ar"/>
              </w:rPr>
              <w:t>报废载货汽车</w:t>
            </w:r>
          </w:p>
        </w:tc>
        <w:tc>
          <w:tcPr>
            <w:tcW w:w="523" w:type="pct"/>
            <w:gridSpan w:val="2"/>
            <w:vMerge w:val="continue"/>
            <w:tcBorders>
              <w:tl2br w:val="nil"/>
              <w:tr2bl w:val="nil"/>
            </w:tcBorders>
            <w:shd w:val="clear" w:color="auto" w:fill="auto"/>
            <w:vAlign w:val="center"/>
          </w:tcPr>
          <w:p w14:paraId="5A053326">
            <w:pPr>
              <w:keepNext w:val="0"/>
              <w:keepLines w:val="0"/>
              <w:widowControl/>
              <w:suppressLineNumbers w:val="0"/>
              <w:spacing w:line="240" w:lineRule="auto"/>
              <w:jc w:val="center"/>
              <w:textAlignment w:val="center"/>
              <w:rPr>
                <w:rFonts w:hint="eastAsia" w:ascii="宋体" w:hAnsi="宋体" w:cs="宋体"/>
                <w:i w:val="0"/>
                <w:iCs w:val="0"/>
                <w:color w:val="FF0000"/>
                <w:kern w:val="0"/>
                <w:sz w:val="21"/>
                <w:szCs w:val="21"/>
                <w:u w:val="none"/>
                <w:lang w:val="en-US" w:eastAsia="zh-CN" w:bidi="ar"/>
              </w:rPr>
            </w:pPr>
          </w:p>
        </w:tc>
        <w:tc>
          <w:tcPr>
            <w:tcW w:w="263" w:type="pct"/>
            <w:vMerge w:val="continue"/>
            <w:tcBorders>
              <w:tl2br w:val="nil"/>
              <w:tr2bl w:val="nil"/>
            </w:tcBorders>
            <w:shd w:val="clear" w:color="auto" w:fill="auto"/>
            <w:vAlign w:val="center"/>
          </w:tcPr>
          <w:p w14:paraId="35066C10">
            <w:pPr>
              <w:keepNext w:val="0"/>
              <w:keepLines w:val="0"/>
              <w:widowControl/>
              <w:suppressLineNumbers w:val="0"/>
              <w:spacing w:line="240" w:lineRule="auto"/>
              <w:jc w:val="center"/>
              <w:textAlignment w:val="center"/>
              <w:rPr>
                <w:rFonts w:hint="eastAsia" w:ascii="宋体" w:hAnsi="宋体" w:cs="宋体"/>
                <w:i w:val="0"/>
                <w:iCs w:val="0"/>
                <w:color w:val="FF0000"/>
                <w:kern w:val="0"/>
                <w:sz w:val="21"/>
                <w:szCs w:val="21"/>
                <w:u w:val="none"/>
                <w:lang w:val="en-US" w:eastAsia="zh-CN" w:bidi="ar"/>
              </w:rPr>
            </w:pPr>
          </w:p>
        </w:tc>
        <w:tc>
          <w:tcPr>
            <w:tcW w:w="1929" w:type="pct"/>
            <w:vMerge w:val="continue"/>
            <w:tcBorders>
              <w:tl2br w:val="nil"/>
              <w:tr2bl w:val="nil"/>
            </w:tcBorders>
            <w:shd w:val="clear" w:color="auto" w:fill="auto"/>
            <w:vAlign w:val="center"/>
          </w:tcPr>
          <w:p w14:paraId="31C35D16">
            <w:pPr>
              <w:keepNext w:val="0"/>
              <w:keepLines w:val="0"/>
              <w:widowControl/>
              <w:suppressLineNumbers w:val="0"/>
              <w:spacing w:line="240" w:lineRule="auto"/>
              <w:jc w:val="center"/>
              <w:textAlignment w:val="center"/>
              <w:rPr>
                <w:rFonts w:hint="eastAsia" w:ascii="宋体" w:hAnsi="宋体" w:cs="宋体"/>
                <w:i w:val="0"/>
                <w:iCs w:val="0"/>
                <w:color w:val="FF0000"/>
                <w:kern w:val="0"/>
                <w:sz w:val="21"/>
                <w:szCs w:val="21"/>
                <w:u w:val="none"/>
                <w:lang w:val="en-US" w:eastAsia="zh-CN" w:bidi="ar"/>
              </w:rPr>
            </w:pPr>
          </w:p>
        </w:tc>
      </w:tr>
      <w:tr w14:paraId="05F18870">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 w:type="dxa"/>
            <w:bottom w:w="0" w:type="dxa"/>
            <w:right w:w="10" w:type="dxa"/>
          </w:tblCellMar>
        </w:tblPrEx>
        <w:trPr>
          <w:trHeight w:val="90" w:hRule="atLeast"/>
          <w:jc w:val="center"/>
        </w:trPr>
        <w:tc>
          <w:tcPr>
            <w:tcW w:w="726" w:type="pct"/>
            <w:vMerge w:val="continue"/>
            <w:tcBorders>
              <w:tl2br w:val="nil"/>
              <w:tr2bl w:val="nil"/>
            </w:tcBorders>
            <w:shd w:val="clear" w:color="auto" w:fill="auto"/>
            <w:vAlign w:val="center"/>
          </w:tcPr>
          <w:p w14:paraId="66300D6B">
            <w:pPr>
              <w:keepNext w:val="0"/>
              <w:keepLines w:val="0"/>
              <w:widowControl/>
              <w:suppressLineNumbers w:val="0"/>
              <w:spacing w:line="240" w:lineRule="auto"/>
              <w:jc w:val="center"/>
              <w:textAlignment w:val="center"/>
              <w:rPr>
                <w:rFonts w:hint="eastAsia" w:ascii="宋体" w:hAnsi="宋体" w:cs="宋体"/>
                <w:i w:val="0"/>
                <w:iCs w:val="0"/>
                <w:color w:val="FF0000"/>
                <w:kern w:val="0"/>
                <w:sz w:val="21"/>
                <w:szCs w:val="21"/>
                <w:u w:val="none"/>
                <w:lang w:val="en-US" w:eastAsia="zh-CN" w:bidi="ar"/>
              </w:rPr>
            </w:pPr>
          </w:p>
        </w:tc>
        <w:tc>
          <w:tcPr>
            <w:tcW w:w="258" w:type="pct"/>
            <w:tcBorders>
              <w:tl2br w:val="nil"/>
              <w:tr2bl w:val="nil"/>
            </w:tcBorders>
            <w:shd w:val="clear" w:color="auto" w:fill="auto"/>
            <w:vAlign w:val="center"/>
          </w:tcPr>
          <w:p w14:paraId="22532A49">
            <w:pPr>
              <w:keepNext w:val="0"/>
              <w:keepLines w:val="0"/>
              <w:widowControl/>
              <w:suppressLineNumbers w:val="0"/>
              <w:spacing w:line="240" w:lineRule="auto"/>
              <w:jc w:val="center"/>
              <w:textAlignment w:val="center"/>
              <w:rPr>
                <w:rFonts w:hint="eastAsia" w:ascii="宋体" w:hAnsi="宋体" w:cs="宋体"/>
                <w:i w:val="0"/>
                <w:iCs w:val="0"/>
                <w:color w:val="FF0000"/>
                <w:kern w:val="0"/>
                <w:sz w:val="21"/>
                <w:szCs w:val="21"/>
                <w:u w:val="none"/>
                <w:lang w:val="en-US" w:eastAsia="zh-CN" w:bidi="ar"/>
              </w:rPr>
            </w:pPr>
            <w:r>
              <w:rPr>
                <w:rFonts w:hint="eastAsia" w:ascii="宋体" w:hAnsi="宋体" w:cs="宋体"/>
                <w:i w:val="0"/>
                <w:iCs w:val="0"/>
                <w:color w:val="FF0000"/>
                <w:kern w:val="0"/>
                <w:sz w:val="21"/>
                <w:szCs w:val="21"/>
                <w:u w:val="none"/>
                <w:lang w:val="en-US" w:eastAsia="zh-CN" w:bidi="ar"/>
              </w:rPr>
              <w:t>占比</w:t>
            </w:r>
          </w:p>
        </w:tc>
        <w:tc>
          <w:tcPr>
            <w:tcW w:w="260" w:type="pct"/>
            <w:tcBorders>
              <w:tl2br w:val="nil"/>
              <w:tr2bl w:val="nil"/>
            </w:tcBorders>
            <w:shd w:val="clear" w:color="auto" w:fill="auto"/>
            <w:vAlign w:val="center"/>
          </w:tcPr>
          <w:p w14:paraId="4A972975">
            <w:pPr>
              <w:keepNext w:val="0"/>
              <w:keepLines w:val="0"/>
              <w:widowControl/>
              <w:suppressLineNumbers w:val="0"/>
              <w:spacing w:line="240" w:lineRule="auto"/>
              <w:jc w:val="center"/>
              <w:textAlignment w:val="center"/>
              <w:rPr>
                <w:rFonts w:hint="eastAsia" w:ascii="宋体" w:hAnsi="宋体" w:cs="宋体"/>
                <w:i w:val="0"/>
                <w:iCs w:val="0"/>
                <w:color w:val="FF0000"/>
                <w:kern w:val="0"/>
                <w:sz w:val="21"/>
                <w:szCs w:val="21"/>
                <w:u w:val="none"/>
                <w:lang w:val="en-US" w:eastAsia="zh-CN" w:bidi="ar"/>
              </w:rPr>
            </w:pPr>
            <w:r>
              <w:rPr>
                <w:rFonts w:hint="eastAsia" w:ascii="宋体" w:hAnsi="宋体" w:cs="宋体"/>
                <w:i w:val="0"/>
                <w:iCs w:val="0"/>
                <w:color w:val="FF0000"/>
                <w:kern w:val="0"/>
                <w:sz w:val="21"/>
                <w:szCs w:val="21"/>
                <w:u w:val="none"/>
                <w:lang w:val="en-US" w:eastAsia="zh-CN" w:bidi="ar"/>
              </w:rPr>
              <w:t>重量</w:t>
            </w:r>
          </w:p>
        </w:tc>
        <w:tc>
          <w:tcPr>
            <w:tcW w:w="258" w:type="pct"/>
            <w:tcBorders>
              <w:tl2br w:val="nil"/>
              <w:tr2bl w:val="nil"/>
            </w:tcBorders>
            <w:shd w:val="clear" w:color="auto" w:fill="auto"/>
            <w:vAlign w:val="center"/>
          </w:tcPr>
          <w:p w14:paraId="331BB604">
            <w:pPr>
              <w:keepNext w:val="0"/>
              <w:keepLines w:val="0"/>
              <w:widowControl/>
              <w:suppressLineNumbers w:val="0"/>
              <w:spacing w:line="240" w:lineRule="auto"/>
              <w:jc w:val="center"/>
              <w:textAlignment w:val="center"/>
              <w:rPr>
                <w:rFonts w:hint="eastAsia" w:ascii="宋体" w:hAnsi="宋体" w:cs="宋体"/>
                <w:i w:val="0"/>
                <w:iCs w:val="0"/>
                <w:color w:val="FF0000"/>
                <w:kern w:val="0"/>
                <w:sz w:val="21"/>
                <w:szCs w:val="21"/>
                <w:u w:val="none"/>
                <w:lang w:val="en-US" w:eastAsia="zh-CN" w:bidi="ar"/>
              </w:rPr>
            </w:pPr>
            <w:r>
              <w:rPr>
                <w:rFonts w:hint="eastAsia" w:ascii="宋体" w:hAnsi="宋体" w:cs="宋体"/>
                <w:i w:val="0"/>
                <w:iCs w:val="0"/>
                <w:color w:val="FF0000"/>
                <w:kern w:val="0"/>
                <w:sz w:val="21"/>
                <w:szCs w:val="21"/>
                <w:u w:val="none"/>
                <w:lang w:val="en-US" w:eastAsia="zh-CN" w:bidi="ar"/>
              </w:rPr>
              <w:t>占比</w:t>
            </w:r>
          </w:p>
        </w:tc>
        <w:tc>
          <w:tcPr>
            <w:tcW w:w="258" w:type="pct"/>
            <w:tcBorders>
              <w:tl2br w:val="nil"/>
              <w:tr2bl w:val="nil"/>
            </w:tcBorders>
            <w:shd w:val="clear" w:color="auto" w:fill="auto"/>
            <w:vAlign w:val="center"/>
          </w:tcPr>
          <w:p w14:paraId="699D7068">
            <w:pPr>
              <w:keepNext w:val="0"/>
              <w:keepLines w:val="0"/>
              <w:widowControl/>
              <w:suppressLineNumbers w:val="0"/>
              <w:spacing w:line="240" w:lineRule="auto"/>
              <w:jc w:val="center"/>
              <w:textAlignment w:val="center"/>
              <w:rPr>
                <w:rFonts w:hint="eastAsia" w:ascii="宋体" w:hAnsi="宋体" w:cs="宋体"/>
                <w:i w:val="0"/>
                <w:iCs w:val="0"/>
                <w:color w:val="FF0000"/>
                <w:kern w:val="0"/>
                <w:sz w:val="21"/>
                <w:szCs w:val="21"/>
                <w:u w:val="none"/>
                <w:lang w:val="en-US" w:eastAsia="zh-CN" w:bidi="ar"/>
              </w:rPr>
            </w:pPr>
            <w:r>
              <w:rPr>
                <w:rFonts w:hint="eastAsia" w:ascii="宋体" w:hAnsi="宋体" w:cs="宋体"/>
                <w:i w:val="0"/>
                <w:iCs w:val="0"/>
                <w:color w:val="FF0000"/>
                <w:kern w:val="0"/>
                <w:sz w:val="21"/>
                <w:szCs w:val="21"/>
                <w:u w:val="none"/>
                <w:lang w:val="en-US" w:eastAsia="zh-CN" w:bidi="ar"/>
              </w:rPr>
              <w:t>重量</w:t>
            </w:r>
          </w:p>
        </w:tc>
        <w:tc>
          <w:tcPr>
            <w:tcW w:w="260" w:type="pct"/>
            <w:tcBorders>
              <w:tl2br w:val="nil"/>
              <w:tr2bl w:val="nil"/>
            </w:tcBorders>
            <w:shd w:val="clear" w:color="auto" w:fill="auto"/>
            <w:vAlign w:val="center"/>
          </w:tcPr>
          <w:p w14:paraId="372BBA0E">
            <w:pPr>
              <w:keepNext w:val="0"/>
              <w:keepLines w:val="0"/>
              <w:widowControl/>
              <w:suppressLineNumbers w:val="0"/>
              <w:spacing w:line="240" w:lineRule="auto"/>
              <w:jc w:val="center"/>
              <w:textAlignment w:val="center"/>
              <w:rPr>
                <w:rFonts w:hint="eastAsia" w:ascii="宋体" w:hAnsi="宋体" w:cs="宋体"/>
                <w:i w:val="0"/>
                <w:iCs w:val="0"/>
                <w:color w:val="FF0000"/>
                <w:kern w:val="0"/>
                <w:sz w:val="21"/>
                <w:szCs w:val="21"/>
                <w:u w:val="none"/>
                <w:lang w:val="en-US" w:eastAsia="zh-CN" w:bidi="ar"/>
              </w:rPr>
            </w:pPr>
            <w:r>
              <w:rPr>
                <w:rFonts w:hint="eastAsia" w:ascii="宋体" w:hAnsi="宋体" w:cs="宋体"/>
                <w:i w:val="0"/>
                <w:iCs w:val="0"/>
                <w:color w:val="FF0000"/>
                <w:kern w:val="0"/>
                <w:sz w:val="21"/>
                <w:szCs w:val="21"/>
                <w:u w:val="none"/>
                <w:lang w:val="en-US" w:eastAsia="zh-CN" w:bidi="ar"/>
              </w:rPr>
              <w:t>占比</w:t>
            </w:r>
          </w:p>
        </w:tc>
        <w:tc>
          <w:tcPr>
            <w:tcW w:w="263" w:type="pct"/>
            <w:tcBorders>
              <w:tl2br w:val="nil"/>
              <w:tr2bl w:val="nil"/>
            </w:tcBorders>
            <w:shd w:val="clear" w:color="auto" w:fill="auto"/>
            <w:vAlign w:val="center"/>
          </w:tcPr>
          <w:p w14:paraId="46D9B6E7">
            <w:pPr>
              <w:keepNext w:val="0"/>
              <w:keepLines w:val="0"/>
              <w:widowControl/>
              <w:suppressLineNumbers w:val="0"/>
              <w:spacing w:line="240" w:lineRule="auto"/>
              <w:jc w:val="center"/>
              <w:textAlignment w:val="center"/>
              <w:rPr>
                <w:rFonts w:hint="eastAsia" w:ascii="宋体" w:hAnsi="宋体" w:cs="宋体"/>
                <w:i w:val="0"/>
                <w:iCs w:val="0"/>
                <w:color w:val="FF0000"/>
                <w:kern w:val="0"/>
                <w:sz w:val="21"/>
                <w:szCs w:val="21"/>
                <w:u w:val="none"/>
                <w:lang w:val="en-US" w:eastAsia="zh-CN" w:bidi="ar"/>
              </w:rPr>
            </w:pPr>
            <w:r>
              <w:rPr>
                <w:rFonts w:hint="eastAsia" w:ascii="宋体" w:hAnsi="宋体" w:cs="宋体"/>
                <w:i w:val="0"/>
                <w:iCs w:val="0"/>
                <w:color w:val="FF0000"/>
                <w:kern w:val="0"/>
                <w:sz w:val="21"/>
                <w:szCs w:val="21"/>
                <w:u w:val="none"/>
                <w:lang w:val="en-US" w:eastAsia="zh-CN" w:bidi="ar"/>
              </w:rPr>
              <w:t>重量</w:t>
            </w:r>
          </w:p>
        </w:tc>
        <w:tc>
          <w:tcPr>
            <w:tcW w:w="260" w:type="pct"/>
            <w:tcBorders>
              <w:tl2br w:val="nil"/>
              <w:tr2bl w:val="nil"/>
            </w:tcBorders>
            <w:shd w:val="clear" w:color="auto" w:fill="auto"/>
            <w:vAlign w:val="center"/>
          </w:tcPr>
          <w:p w14:paraId="3373D3F3">
            <w:pPr>
              <w:keepNext w:val="0"/>
              <w:keepLines w:val="0"/>
              <w:widowControl/>
              <w:suppressLineNumbers w:val="0"/>
              <w:spacing w:line="240" w:lineRule="auto"/>
              <w:jc w:val="center"/>
              <w:textAlignment w:val="center"/>
              <w:rPr>
                <w:rFonts w:hint="eastAsia" w:ascii="宋体" w:hAnsi="宋体" w:cs="宋体"/>
                <w:i w:val="0"/>
                <w:iCs w:val="0"/>
                <w:color w:val="FF0000"/>
                <w:kern w:val="0"/>
                <w:sz w:val="21"/>
                <w:szCs w:val="21"/>
                <w:u w:val="none"/>
                <w:lang w:val="en-US" w:eastAsia="zh-CN" w:bidi="ar"/>
              </w:rPr>
            </w:pPr>
            <w:r>
              <w:rPr>
                <w:rFonts w:hint="eastAsia" w:ascii="宋体" w:hAnsi="宋体" w:cs="宋体"/>
                <w:i w:val="0"/>
                <w:iCs w:val="0"/>
                <w:color w:val="FF0000"/>
                <w:kern w:val="0"/>
                <w:sz w:val="21"/>
                <w:szCs w:val="21"/>
                <w:u w:val="none"/>
                <w:lang w:val="en-US" w:eastAsia="zh-CN" w:bidi="ar"/>
              </w:rPr>
              <w:t>占比</w:t>
            </w:r>
          </w:p>
        </w:tc>
        <w:tc>
          <w:tcPr>
            <w:tcW w:w="263" w:type="pct"/>
            <w:tcBorders>
              <w:tl2br w:val="nil"/>
              <w:tr2bl w:val="nil"/>
            </w:tcBorders>
            <w:shd w:val="clear" w:color="auto" w:fill="auto"/>
            <w:vAlign w:val="center"/>
          </w:tcPr>
          <w:p w14:paraId="0C35FEF8">
            <w:pPr>
              <w:keepNext w:val="0"/>
              <w:keepLines w:val="0"/>
              <w:widowControl/>
              <w:suppressLineNumbers w:val="0"/>
              <w:spacing w:line="240" w:lineRule="auto"/>
              <w:jc w:val="center"/>
              <w:textAlignment w:val="center"/>
              <w:rPr>
                <w:rFonts w:hint="eastAsia" w:ascii="宋体" w:hAnsi="宋体" w:cs="宋体"/>
                <w:i w:val="0"/>
                <w:iCs w:val="0"/>
                <w:color w:val="FF0000"/>
                <w:kern w:val="0"/>
                <w:sz w:val="21"/>
                <w:szCs w:val="21"/>
                <w:u w:val="none"/>
                <w:lang w:val="en-US" w:eastAsia="zh-CN" w:bidi="ar"/>
              </w:rPr>
            </w:pPr>
            <w:r>
              <w:rPr>
                <w:rFonts w:hint="eastAsia" w:ascii="宋体" w:hAnsi="宋体" w:cs="宋体"/>
                <w:i w:val="0"/>
                <w:iCs w:val="0"/>
                <w:color w:val="FF0000"/>
                <w:kern w:val="0"/>
                <w:sz w:val="21"/>
                <w:szCs w:val="21"/>
                <w:u w:val="none"/>
                <w:lang w:val="en-US" w:eastAsia="zh-CN" w:bidi="ar"/>
              </w:rPr>
              <w:t>重量</w:t>
            </w:r>
          </w:p>
        </w:tc>
        <w:tc>
          <w:tcPr>
            <w:tcW w:w="263" w:type="pct"/>
            <w:tcBorders>
              <w:tl2br w:val="nil"/>
              <w:tr2bl w:val="nil"/>
            </w:tcBorders>
            <w:shd w:val="clear" w:color="auto" w:fill="auto"/>
            <w:vAlign w:val="center"/>
          </w:tcPr>
          <w:p w14:paraId="4C37CEDF">
            <w:pPr>
              <w:keepNext w:val="0"/>
              <w:keepLines w:val="0"/>
              <w:widowControl/>
              <w:suppressLineNumbers w:val="0"/>
              <w:spacing w:line="240" w:lineRule="auto"/>
              <w:jc w:val="center"/>
              <w:textAlignment w:val="center"/>
              <w:rPr>
                <w:rFonts w:hint="eastAsia" w:ascii="宋体" w:hAnsi="宋体" w:cs="宋体"/>
                <w:i w:val="0"/>
                <w:iCs w:val="0"/>
                <w:color w:val="FF0000"/>
                <w:kern w:val="0"/>
                <w:sz w:val="21"/>
                <w:szCs w:val="21"/>
                <w:u w:val="none"/>
                <w:lang w:val="en-US" w:eastAsia="zh-CN" w:bidi="ar"/>
              </w:rPr>
            </w:pPr>
            <w:r>
              <w:rPr>
                <w:rFonts w:hint="eastAsia" w:ascii="宋体" w:hAnsi="宋体" w:cs="宋体"/>
                <w:i w:val="0"/>
                <w:iCs w:val="0"/>
                <w:color w:val="FF0000"/>
                <w:kern w:val="0"/>
                <w:sz w:val="21"/>
                <w:szCs w:val="21"/>
                <w:u w:val="none"/>
                <w:lang w:val="en-US" w:eastAsia="zh-CN" w:bidi="ar"/>
              </w:rPr>
              <w:t>重量</w:t>
            </w:r>
          </w:p>
        </w:tc>
        <w:tc>
          <w:tcPr>
            <w:tcW w:w="1929" w:type="pct"/>
            <w:tcBorders>
              <w:tl2br w:val="nil"/>
              <w:tr2bl w:val="nil"/>
            </w:tcBorders>
            <w:shd w:val="clear" w:color="auto" w:fill="auto"/>
            <w:vAlign w:val="center"/>
          </w:tcPr>
          <w:p w14:paraId="2717396C">
            <w:pPr>
              <w:keepNext w:val="0"/>
              <w:keepLines w:val="0"/>
              <w:widowControl/>
              <w:suppressLineNumbers w:val="0"/>
              <w:spacing w:line="240" w:lineRule="auto"/>
              <w:jc w:val="center"/>
              <w:textAlignment w:val="center"/>
              <w:rPr>
                <w:rFonts w:hint="eastAsia" w:ascii="宋体" w:hAnsi="宋体" w:cs="宋体"/>
                <w:i w:val="0"/>
                <w:iCs w:val="0"/>
                <w:color w:val="FF0000"/>
                <w:kern w:val="0"/>
                <w:sz w:val="21"/>
                <w:szCs w:val="21"/>
                <w:u w:val="none"/>
                <w:lang w:val="en-US" w:eastAsia="zh-CN" w:bidi="ar"/>
              </w:rPr>
            </w:pPr>
          </w:p>
        </w:tc>
      </w:tr>
      <w:tr w14:paraId="275CA17C">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 w:type="dxa"/>
            <w:bottom w:w="0" w:type="dxa"/>
            <w:right w:w="10" w:type="dxa"/>
          </w:tblCellMar>
        </w:tblPrEx>
        <w:trPr>
          <w:trHeight w:val="57" w:hRule="atLeast"/>
          <w:jc w:val="center"/>
        </w:trPr>
        <w:tc>
          <w:tcPr>
            <w:tcW w:w="726" w:type="pct"/>
            <w:tcBorders>
              <w:tl2br w:val="nil"/>
              <w:tr2bl w:val="nil"/>
            </w:tcBorders>
            <w:shd w:val="clear" w:color="auto" w:fill="auto"/>
            <w:vAlign w:val="center"/>
          </w:tcPr>
          <w:p w14:paraId="27CAF4B4">
            <w:pPr>
              <w:keepNext w:val="0"/>
              <w:keepLines w:val="0"/>
              <w:widowControl/>
              <w:suppressLineNumbers w:val="0"/>
              <w:spacing w:line="240" w:lineRule="auto"/>
              <w:jc w:val="center"/>
              <w:textAlignment w:val="center"/>
              <w:rPr>
                <w:rFonts w:hint="eastAsia" w:ascii="宋体" w:hAnsi="宋体" w:cs="宋体"/>
                <w:i w:val="0"/>
                <w:iCs w:val="0"/>
                <w:color w:val="FF0000"/>
                <w:kern w:val="0"/>
                <w:sz w:val="21"/>
                <w:szCs w:val="21"/>
                <w:u w:val="none"/>
                <w:lang w:val="en-US" w:eastAsia="zh-CN" w:bidi="ar"/>
              </w:rPr>
            </w:pPr>
            <w:r>
              <w:rPr>
                <w:rFonts w:hint="eastAsia" w:ascii="宋体" w:hAnsi="宋体" w:cs="宋体"/>
                <w:i w:val="0"/>
                <w:iCs w:val="0"/>
                <w:color w:val="FF0000"/>
                <w:kern w:val="0"/>
                <w:sz w:val="21"/>
                <w:szCs w:val="21"/>
                <w:u w:val="none"/>
                <w:lang w:val="en-US" w:eastAsia="zh-CN" w:bidi="ar"/>
              </w:rPr>
              <w:t>可回用钢铁</w:t>
            </w:r>
          </w:p>
        </w:tc>
        <w:tc>
          <w:tcPr>
            <w:tcW w:w="258" w:type="pct"/>
            <w:tcBorders>
              <w:tl2br w:val="nil"/>
              <w:tr2bl w:val="nil"/>
            </w:tcBorders>
            <w:shd w:val="clear" w:color="auto" w:fill="auto"/>
            <w:vAlign w:val="center"/>
          </w:tcPr>
          <w:p w14:paraId="1EC14A25">
            <w:pPr>
              <w:pStyle w:val="128"/>
              <w:spacing w:line="240" w:lineRule="auto"/>
              <w:jc w:val="center"/>
              <w:rPr>
                <w:rFonts w:hint="default" w:ascii="Times New Roman" w:hAnsi="Times New Roman" w:eastAsia="宋体" w:cs="Times New Roman"/>
                <w:color w:val="FF0000"/>
                <w:sz w:val="21"/>
                <w:szCs w:val="21"/>
                <w:lang w:val="en-US" w:eastAsia="zh-CN"/>
              </w:rPr>
            </w:pPr>
            <w:r>
              <w:rPr>
                <w:rFonts w:hint="eastAsia" w:ascii="Times New Roman" w:hAnsi="Times New Roman" w:eastAsia="宋体" w:cs="Times New Roman"/>
                <w:color w:val="FF0000"/>
                <w:sz w:val="21"/>
                <w:szCs w:val="21"/>
                <w:lang w:val="en-US" w:eastAsia="zh-CN"/>
              </w:rPr>
              <w:t>84.1716%</w:t>
            </w:r>
          </w:p>
        </w:tc>
        <w:tc>
          <w:tcPr>
            <w:tcW w:w="260" w:type="pct"/>
            <w:tcBorders>
              <w:tl2br w:val="nil"/>
              <w:tr2bl w:val="nil"/>
            </w:tcBorders>
            <w:shd w:val="clear" w:color="auto" w:fill="auto"/>
            <w:vAlign w:val="center"/>
          </w:tcPr>
          <w:p w14:paraId="5E894D28">
            <w:pPr>
              <w:pStyle w:val="128"/>
              <w:spacing w:line="240" w:lineRule="auto"/>
              <w:jc w:val="center"/>
              <w:rPr>
                <w:rFonts w:hint="default" w:ascii="Times New Roman" w:hAnsi="Times New Roman" w:eastAsia="宋体" w:cs="Times New Roman"/>
                <w:color w:val="FF0000"/>
                <w:sz w:val="21"/>
                <w:szCs w:val="21"/>
                <w:lang w:val="en-US" w:eastAsia="zh-CN"/>
              </w:rPr>
            </w:pPr>
            <w:r>
              <w:rPr>
                <w:rFonts w:hint="eastAsia" w:ascii="Times New Roman" w:hAnsi="Times New Roman" w:eastAsia="宋体" w:cs="Times New Roman"/>
                <w:color w:val="FF0000"/>
                <w:sz w:val="21"/>
                <w:szCs w:val="21"/>
                <w:lang w:val="en-US" w:eastAsia="zh-CN"/>
              </w:rPr>
              <w:t>3206.94</w:t>
            </w:r>
          </w:p>
        </w:tc>
        <w:tc>
          <w:tcPr>
            <w:tcW w:w="258" w:type="pct"/>
            <w:tcBorders>
              <w:tl2br w:val="nil"/>
              <w:tr2bl w:val="nil"/>
            </w:tcBorders>
            <w:shd w:val="clear" w:color="auto" w:fill="auto"/>
            <w:vAlign w:val="center"/>
          </w:tcPr>
          <w:p w14:paraId="4550AF25">
            <w:pPr>
              <w:pStyle w:val="128"/>
              <w:spacing w:line="240" w:lineRule="auto"/>
              <w:jc w:val="center"/>
              <w:rPr>
                <w:rFonts w:hint="eastAsia" w:ascii="Times New Roman" w:hAnsi="Times New Roman" w:eastAsia="宋体" w:cs="Times New Roman"/>
                <w:color w:val="FF0000"/>
                <w:sz w:val="21"/>
                <w:szCs w:val="21"/>
                <w:lang w:val="en-US" w:eastAsia="zh-CN"/>
              </w:rPr>
            </w:pPr>
            <w:r>
              <w:rPr>
                <w:rFonts w:hint="default" w:ascii="Times New Roman" w:hAnsi="Times New Roman" w:eastAsia="宋体" w:cs="Times New Roman"/>
                <w:color w:val="FF0000"/>
                <w:sz w:val="21"/>
                <w:szCs w:val="21"/>
                <w:lang w:val="en-US" w:eastAsia="zh-CN"/>
              </w:rPr>
              <w:t>89.3708%</w:t>
            </w:r>
          </w:p>
        </w:tc>
        <w:tc>
          <w:tcPr>
            <w:tcW w:w="258" w:type="pct"/>
            <w:tcBorders>
              <w:tl2br w:val="nil"/>
              <w:tr2bl w:val="nil"/>
            </w:tcBorders>
            <w:shd w:val="clear" w:color="auto" w:fill="auto"/>
            <w:vAlign w:val="center"/>
          </w:tcPr>
          <w:p w14:paraId="66F8D5E0">
            <w:pPr>
              <w:pStyle w:val="128"/>
              <w:spacing w:line="240" w:lineRule="auto"/>
              <w:jc w:val="center"/>
              <w:rPr>
                <w:rFonts w:hint="default" w:ascii="Times New Roman" w:hAnsi="Times New Roman" w:eastAsia="宋体" w:cs="Times New Roman"/>
                <w:color w:val="FF0000"/>
                <w:sz w:val="21"/>
                <w:szCs w:val="21"/>
                <w:lang w:val="en-US" w:eastAsia="zh-CN"/>
              </w:rPr>
            </w:pPr>
            <w:r>
              <w:rPr>
                <w:rFonts w:hint="default" w:ascii="Times New Roman" w:hAnsi="Times New Roman" w:eastAsia="宋体" w:cs="Times New Roman"/>
                <w:color w:val="FF0000"/>
                <w:sz w:val="21"/>
                <w:szCs w:val="21"/>
                <w:lang w:val="en-US" w:eastAsia="zh-CN"/>
              </w:rPr>
              <w:t xml:space="preserve">17963.53 </w:t>
            </w:r>
          </w:p>
        </w:tc>
        <w:tc>
          <w:tcPr>
            <w:tcW w:w="260" w:type="pct"/>
            <w:tcBorders>
              <w:tl2br w:val="nil"/>
              <w:tr2bl w:val="nil"/>
            </w:tcBorders>
            <w:shd w:val="clear" w:color="auto" w:fill="auto"/>
            <w:vAlign w:val="center"/>
          </w:tcPr>
          <w:p w14:paraId="079AC0E1">
            <w:pPr>
              <w:pStyle w:val="128"/>
              <w:spacing w:line="240" w:lineRule="auto"/>
              <w:jc w:val="center"/>
              <w:rPr>
                <w:rFonts w:hint="eastAsia" w:ascii="Times New Roman" w:hAnsi="Times New Roman" w:eastAsia="宋体" w:cs="Times New Roman"/>
                <w:color w:val="FF0000"/>
                <w:sz w:val="21"/>
                <w:szCs w:val="21"/>
                <w:lang w:val="en-US" w:eastAsia="zh-CN"/>
              </w:rPr>
            </w:pPr>
            <w:r>
              <w:rPr>
                <w:rFonts w:hint="default" w:ascii="Times New Roman" w:hAnsi="Times New Roman" w:eastAsia="宋体" w:cs="Times New Roman"/>
                <w:color w:val="FF0000"/>
                <w:sz w:val="21"/>
                <w:szCs w:val="21"/>
                <w:lang w:val="en-US" w:eastAsia="zh-CN"/>
              </w:rPr>
              <w:t>89.9488%</w:t>
            </w:r>
          </w:p>
        </w:tc>
        <w:tc>
          <w:tcPr>
            <w:tcW w:w="263" w:type="pct"/>
            <w:tcBorders>
              <w:tl2br w:val="nil"/>
              <w:tr2bl w:val="nil"/>
            </w:tcBorders>
            <w:shd w:val="clear" w:color="auto" w:fill="auto"/>
            <w:vAlign w:val="center"/>
          </w:tcPr>
          <w:p w14:paraId="5E92A3A4">
            <w:pPr>
              <w:pStyle w:val="128"/>
              <w:spacing w:line="240" w:lineRule="auto"/>
              <w:jc w:val="center"/>
              <w:rPr>
                <w:rFonts w:hint="eastAsia" w:ascii="Times New Roman" w:hAnsi="Times New Roman" w:eastAsia="宋体" w:cs="Times New Roman"/>
                <w:color w:val="FF0000"/>
                <w:sz w:val="21"/>
                <w:szCs w:val="21"/>
                <w:lang w:val="en-US" w:eastAsia="zh-CN"/>
              </w:rPr>
            </w:pPr>
            <w:r>
              <w:rPr>
                <w:rFonts w:hint="default" w:ascii="Times New Roman" w:hAnsi="Times New Roman" w:eastAsia="宋体" w:cs="Times New Roman"/>
                <w:color w:val="FF0000"/>
                <w:sz w:val="21"/>
                <w:szCs w:val="21"/>
                <w:lang w:val="en-US" w:eastAsia="zh-CN"/>
              </w:rPr>
              <w:t xml:space="preserve">38633.03 </w:t>
            </w:r>
          </w:p>
        </w:tc>
        <w:tc>
          <w:tcPr>
            <w:tcW w:w="1063" w:type="dxa"/>
            <w:tcBorders>
              <w:tl2br w:val="nil"/>
              <w:tr2bl w:val="nil"/>
            </w:tcBorders>
            <w:shd w:val="clear" w:color="auto" w:fill="auto"/>
            <w:vAlign w:val="center"/>
          </w:tcPr>
          <w:p w14:paraId="7D06BC40">
            <w:pPr>
              <w:pStyle w:val="128"/>
              <w:spacing w:line="240" w:lineRule="auto"/>
              <w:jc w:val="center"/>
              <w:rPr>
                <w:rFonts w:hint="eastAsia" w:ascii="Times New Roman" w:hAnsi="Times New Roman" w:eastAsia="宋体" w:cs="Times New Roman"/>
                <w:color w:val="FF0000"/>
                <w:sz w:val="21"/>
                <w:szCs w:val="21"/>
                <w:lang w:val="en-US" w:eastAsia="zh-CN"/>
              </w:rPr>
            </w:pPr>
            <w:r>
              <w:rPr>
                <w:rFonts w:hint="default" w:ascii="Times New Roman" w:hAnsi="Times New Roman" w:eastAsia="宋体" w:cs="Times New Roman"/>
                <w:color w:val="FF0000"/>
                <w:sz w:val="21"/>
                <w:szCs w:val="21"/>
                <w:lang w:val="en-US" w:eastAsia="zh-CN"/>
              </w:rPr>
              <w:t>66.9318%</w:t>
            </w:r>
          </w:p>
        </w:tc>
        <w:tc>
          <w:tcPr>
            <w:tcW w:w="1075" w:type="dxa"/>
            <w:tcBorders>
              <w:tl2br w:val="nil"/>
              <w:tr2bl w:val="nil"/>
            </w:tcBorders>
            <w:shd w:val="clear" w:color="auto" w:fill="auto"/>
            <w:vAlign w:val="center"/>
          </w:tcPr>
          <w:p w14:paraId="656B7CB5">
            <w:pPr>
              <w:pStyle w:val="128"/>
              <w:spacing w:line="240" w:lineRule="auto"/>
              <w:jc w:val="center"/>
              <w:rPr>
                <w:rFonts w:hint="eastAsia" w:ascii="Times New Roman" w:hAnsi="Times New Roman" w:eastAsia="宋体" w:cs="Times New Roman"/>
                <w:color w:val="FF0000"/>
                <w:sz w:val="21"/>
                <w:szCs w:val="21"/>
                <w:lang w:val="en-US" w:eastAsia="zh-CN"/>
              </w:rPr>
            </w:pPr>
            <w:r>
              <w:rPr>
                <w:rFonts w:hint="default" w:ascii="Times New Roman" w:hAnsi="Times New Roman" w:eastAsia="宋体" w:cs="Times New Roman"/>
                <w:color w:val="FF0000"/>
                <w:sz w:val="21"/>
                <w:szCs w:val="21"/>
                <w:lang w:val="en-US" w:eastAsia="zh-CN"/>
              </w:rPr>
              <w:t xml:space="preserve">3440.29 </w:t>
            </w:r>
          </w:p>
        </w:tc>
        <w:tc>
          <w:tcPr>
            <w:tcW w:w="1075" w:type="dxa"/>
            <w:tcBorders>
              <w:tl2br w:val="nil"/>
              <w:tr2bl w:val="nil"/>
            </w:tcBorders>
            <w:shd w:val="clear" w:color="auto" w:fill="auto"/>
            <w:vAlign w:val="center"/>
          </w:tcPr>
          <w:p w14:paraId="3C02A337">
            <w:pPr>
              <w:pStyle w:val="128"/>
              <w:spacing w:line="240" w:lineRule="auto"/>
              <w:jc w:val="center"/>
              <w:rPr>
                <w:rFonts w:hint="eastAsia" w:ascii="Times New Roman" w:hAnsi="Times New Roman" w:eastAsia="宋体" w:cs="Times New Roman"/>
                <w:color w:val="FF0000"/>
                <w:sz w:val="21"/>
                <w:szCs w:val="21"/>
                <w:lang w:val="en-US" w:eastAsia="zh-CN"/>
              </w:rPr>
            </w:pPr>
            <w:r>
              <w:rPr>
                <w:rFonts w:hint="eastAsia" w:ascii="Times New Roman" w:hAnsi="Times New Roman" w:eastAsia="宋体" w:cs="Times New Roman"/>
                <w:color w:val="FF0000"/>
                <w:sz w:val="21"/>
                <w:szCs w:val="21"/>
                <w:lang w:val="en-US" w:eastAsia="zh-CN"/>
              </w:rPr>
              <w:t>63243.79</w:t>
            </w:r>
          </w:p>
        </w:tc>
        <w:tc>
          <w:tcPr>
            <w:tcW w:w="1929" w:type="pct"/>
            <w:tcBorders>
              <w:tl2br w:val="nil"/>
              <w:tr2bl w:val="nil"/>
            </w:tcBorders>
            <w:shd w:val="clear" w:color="auto" w:fill="auto"/>
            <w:vAlign w:val="center"/>
          </w:tcPr>
          <w:p w14:paraId="50C428FF">
            <w:pPr>
              <w:keepNext w:val="0"/>
              <w:keepLines w:val="0"/>
              <w:widowControl/>
              <w:suppressLineNumbers w:val="0"/>
              <w:spacing w:line="240" w:lineRule="auto"/>
              <w:jc w:val="center"/>
              <w:textAlignment w:val="center"/>
              <w:rPr>
                <w:rFonts w:hint="default" w:ascii="宋体" w:hAnsi="宋体" w:cs="宋体"/>
                <w:i w:val="0"/>
                <w:iCs w:val="0"/>
                <w:color w:val="FF0000"/>
                <w:kern w:val="0"/>
                <w:sz w:val="21"/>
                <w:szCs w:val="21"/>
                <w:u w:val="none"/>
                <w:lang w:val="en-US" w:eastAsia="zh-CN" w:bidi="ar"/>
              </w:rPr>
            </w:pPr>
            <w:r>
              <w:rPr>
                <w:rFonts w:hint="eastAsia" w:ascii="宋体" w:hAnsi="宋体" w:cs="宋体"/>
                <w:i w:val="0"/>
                <w:iCs w:val="0"/>
                <w:color w:val="FF0000"/>
                <w:kern w:val="0"/>
                <w:sz w:val="21"/>
                <w:szCs w:val="21"/>
                <w:u w:val="none"/>
                <w:lang w:val="en-US" w:eastAsia="zh-CN" w:bidi="ar"/>
              </w:rPr>
              <w:t>发动机、电动机、变速器、转向器、空调压缩机、前后保险杠（金属部分）、车门、车架及车身、踏板、轮毂、桌椅（金属部分）</w:t>
            </w:r>
          </w:p>
        </w:tc>
      </w:tr>
      <w:tr w14:paraId="77309454">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 w:type="dxa"/>
            <w:bottom w:w="0" w:type="dxa"/>
            <w:right w:w="10" w:type="dxa"/>
          </w:tblCellMar>
        </w:tblPrEx>
        <w:trPr>
          <w:trHeight w:val="57" w:hRule="atLeast"/>
          <w:jc w:val="center"/>
        </w:trPr>
        <w:tc>
          <w:tcPr>
            <w:tcW w:w="726" w:type="pct"/>
            <w:tcBorders>
              <w:tl2br w:val="nil"/>
              <w:tr2bl w:val="nil"/>
            </w:tcBorders>
            <w:shd w:val="clear" w:color="auto" w:fill="auto"/>
            <w:vAlign w:val="center"/>
          </w:tcPr>
          <w:p w14:paraId="1FCB3419">
            <w:pPr>
              <w:keepNext w:val="0"/>
              <w:keepLines w:val="0"/>
              <w:widowControl/>
              <w:suppressLineNumbers w:val="0"/>
              <w:spacing w:line="240" w:lineRule="auto"/>
              <w:jc w:val="center"/>
              <w:textAlignment w:val="center"/>
              <w:rPr>
                <w:rFonts w:hint="eastAsia" w:ascii="宋体" w:hAnsi="宋体" w:cs="宋体"/>
                <w:i w:val="0"/>
                <w:iCs w:val="0"/>
                <w:color w:val="FF0000"/>
                <w:kern w:val="0"/>
                <w:sz w:val="21"/>
                <w:szCs w:val="21"/>
                <w:u w:val="none"/>
                <w:lang w:val="en-US" w:eastAsia="zh-CN" w:bidi="ar"/>
              </w:rPr>
            </w:pPr>
            <w:r>
              <w:rPr>
                <w:rFonts w:hint="eastAsia" w:ascii="宋体" w:hAnsi="宋体" w:cs="宋体"/>
                <w:i w:val="0"/>
                <w:iCs w:val="0"/>
                <w:color w:val="FF0000"/>
                <w:kern w:val="0"/>
                <w:sz w:val="21"/>
                <w:szCs w:val="21"/>
                <w:u w:val="none"/>
                <w:lang w:val="en-US" w:eastAsia="zh-CN" w:bidi="ar"/>
              </w:rPr>
              <w:t>可回用有色金属</w:t>
            </w:r>
          </w:p>
        </w:tc>
        <w:tc>
          <w:tcPr>
            <w:tcW w:w="258" w:type="pct"/>
            <w:tcBorders>
              <w:tl2br w:val="nil"/>
              <w:tr2bl w:val="nil"/>
            </w:tcBorders>
            <w:shd w:val="clear" w:color="auto" w:fill="auto"/>
            <w:vAlign w:val="center"/>
          </w:tcPr>
          <w:p w14:paraId="4901AE09">
            <w:pPr>
              <w:pStyle w:val="128"/>
              <w:spacing w:line="240" w:lineRule="auto"/>
              <w:jc w:val="center"/>
              <w:rPr>
                <w:rFonts w:hint="default" w:ascii="Times New Roman" w:hAnsi="Times New Roman" w:eastAsia="宋体" w:cs="Times New Roman"/>
                <w:color w:val="FF0000"/>
                <w:sz w:val="21"/>
                <w:szCs w:val="21"/>
                <w:lang w:val="en-US" w:eastAsia="zh-CN"/>
              </w:rPr>
            </w:pPr>
            <w:r>
              <w:rPr>
                <w:rFonts w:hint="eastAsia" w:ascii="Times New Roman" w:hAnsi="Times New Roman" w:eastAsia="宋体" w:cs="Times New Roman"/>
                <w:color w:val="FF0000"/>
                <w:sz w:val="21"/>
                <w:szCs w:val="21"/>
                <w:lang w:val="en-US" w:eastAsia="zh-CN"/>
              </w:rPr>
              <w:t>3.4117%</w:t>
            </w:r>
          </w:p>
        </w:tc>
        <w:tc>
          <w:tcPr>
            <w:tcW w:w="260" w:type="pct"/>
            <w:tcBorders>
              <w:tl2br w:val="nil"/>
              <w:tr2bl w:val="nil"/>
            </w:tcBorders>
            <w:shd w:val="clear" w:color="auto" w:fill="auto"/>
            <w:vAlign w:val="center"/>
          </w:tcPr>
          <w:p w14:paraId="5DDAAED6">
            <w:pPr>
              <w:pStyle w:val="128"/>
              <w:spacing w:line="240" w:lineRule="auto"/>
              <w:jc w:val="center"/>
              <w:rPr>
                <w:rFonts w:hint="default" w:ascii="Times New Roman" w:hAnsi="Times New Roman" w:eastAsia="宋体" w:cs="Times New Roman"/>
                <w:color w:val="FF0000"/>
                <w:sz w:val="21"/>
                <w:szCs w:val="21"/>
                <w:lang w:val="en-US" w:eastAsia="zh-CN"/>
              </w:rPr>
            </w:pPr>
            <w:r>
              <w:rPr>
                <w:rFonts w:hint="eastAsia" w:ascii="Times New Roman" w:hAnsi="Times New Roman" w:eastAsia="宋体" w:cs="Times New Roman"/>
                <w:color w:val="FF0000"/>
                <w:sz w:val="21"/>
                <w:szCs w:val="21"/>
                <w:lang w:val="en-US" w:eastAsia="zh-CN"/>
              </w:rPr>
              <w:t>129.98</w:t>
            </w:r>
          </w:p>
        </w:tc>
        <w:tc>
          <w:tcPr>
            <w:tcW w:w="258" w:type="pct"/>
            <w:tcBorders>
              <w:tl2br w:val="nil"/>
              <w:tr2bl w:val="nil"/>
            </w:tcBorders>
            <w:shd w:val="clear" w:color="auto" w:fill="auto"/>
            <w:vAlign w:val="center"/>
          </w:tcPr>
          <w:p w14:paraId="3A05C63B">
            <w:pPr>
              <w:pStyle w:val="128"/>
              <w:spacing w:line="240" w:lineRule="auto"/>
              <w:jc w:val="center"/>
              <w:rPr>
                <w:rFonts w:hint="eastAsia" w:ascii="Times New Roman" w:hAnsi="Times New Roman" w:eastAsia="宋体" w:cs="Times New Roman"/>
                <w:color w:val="FF0000"/>
                <w:sz w:val="21"/>
                <w:szCs w:val="21"/>
                <w:lang w:val="en-US" w:eastAsia="zh-CN"/>
              </w:rPr>
            </w:pPr>
            <w:r>
              <w:rPr>
                <w:rFonts w:hint="default" w:ascii="Times New Roman" w:hAnsi="Times New Roman" w:eastAsia="宋体" w:cs="Times New Roman"/>
                <w:color w:val="FF0000"/>
                <w:sz w:val="21"/>
                <w:szCs w:val="21"/>
                <w:lang w:val="en-US" w:eastAsia="zh-CN"/>
              </w:rPr>
              <w:t>1.6637%</w:t>
            </w:r>
          </w:p>
        </w:tc>
        <w:tc>
          <w:tcPr>
            <w:tcW w:w="258" w:type="pct"/>
            <w:tcBorders>
              <w:tl2br w:val="nil"/>
              <w:tr2bl w:val="nil"/>
            </w:tcBorders>
            <w:shd w:val="clear" w:color="auto" w:fill="auto"/>
            <w:vAlign w:val="center"/>
          </w:tcPr>
          <w:p w14:paraId="3E536FDA">
            <w:pPr>
              <w:pStyle w:val="128"/>
              <w:spacing w:line="240" w:lineRule="auto"/>
              <w:jc w:val="center"/>
              <w:rPr>
                <w:rFonts w:hint="default" w:ascii="Times New Roman" w:hAnsi="Times New Roman" w:eastAsia="宋体" w:cs="Times New Roman"/>
                <w:color w:val="FF0000"/>
                <w:sz w:val="21"/>
                <w:szCs w:val="21"/>
                <w:lang w:val="en-US" w:eastAsia="zh-CN"/>
              </w:rPr>
            </w:pPr>
            <w:r>
              <w:rPr>
                <w:rFonts w:hint="default" w:ascii="Times New Roman" w:hAnsi="Times New Roman" w:eastAsia="宋体" w:cs="Times New Roman"/>
                <w:color w:val="FF0000"/>
                <w:sz w:val="21"/>
                <w:szCs w:val="21"/>
                <w:lang w:val="en-US" w:eastAsia="zh-CN"/>
              </w:rPr>
              <w:t xml:space="preserve">334.41 </w:t>
            </w:r>
          </w:p>
        </w:tc>
        <w:tc>
          <w:tcPr>
            <w:tcW w:w="260" w:type="pct"/>
            <w:tcBorders>
              <w:tl2br w:val="nil"/>
              <w:tr2bl w:val="nil"/>
            </w:tcBorders>
            <w:shd w:val="clear" w:color="auto" w:fill="auto"/>
            <w:vAlign w:val="center"/>
          </w:tcPr>
          <w:p w14:paraId="29D3521C">
            <w:pPr>
              <w:pStyle w:val="128"/>
              <w:spacing w:line="240" w:lineRule="auto"/>
              <w:jc w:val="center"/>
              <w:rPr>
                <w:rFonts w:hint="eastAsia" w:ascii="Times New Roman" w:hAnsi="Times New Roman" w:eastAsia="宋体" w:cs="Times New Roman"/>
                <w:color w:val="FF0000"/>
                <w:sz w:val="21"/>
                <w:szCs w:val="21"/>
                <w:lang w:val="en-US" w:eastAsia="zh-CN"/>
              </w:rPr>
            </w:pPr>
            <w:r>
              <w:rPr>
                <w:rFonts w:hint="default" w:ascii="Times New Roman" w:hAnsi="Times New Roman" w:eastAsia="宋体" w:cs="Times New Roman"/>
                <w:color w:val="FF0000"/>
                <w:sz w:val="21"/>
                <w:szCs w:val="21"/>
                <w:lang w:val="en-US" w:eastAsia="zh-CN"/>
              </w:rPr>
              <w:t>2.9356%</w:t>
            </w:r>
          </w:p>
        </w:tc>
        <w:tc>
          <w:tcPr>
            <w:tcW w:w="263" w:type="pct"/>
            <w:tcBorders>
              <w:tl2br w:val="nil"/>
              <w:tr2bl w:val="nil"/>
            </w:tcBorders>
            <w:shd w:val="clear" w:color="auto" w:fill="auto"/>
            <w:vAlign w:val="center"/>
          </w:tcPr>
          <w:p w14:paraId="44A755C3">
            <w:pPr>
              <w:pStyle w:val="128"/>
              <w:spacing w:line="240" w:lineRule="auto"/>
              <w:jc w:val="center"/>
              <w:rPr>
                <w:rFonts w:hint="eastAsia" w:ascii="Times New Roman" w:hAnsi="Times New Roman" w:eastAsia="宋体" w:cs="Times New Roman"/>
                <w:color w:val="FF0000"/>
                <w:sz w:val="21"/>
                <w:szCs w:val="21"/>
                <w:lang w:val="en-US" w:eastAsia="zh-CN"/>
              </w:rPr>
            </w:pPr>
            <w:r>
              <w:rPr>
                <w:rFonts w:hint="default" w:ascii="Times New Roman" w:hAnsi="Times New Roman" w:eastAsia="宋体" w:cs="Times New Roman"/>
                <w:color w:val="FF0000"/>
                <w:sz w:val="21"/>
                <w:szCs w:val="21"/>
                <w:lang w:val="en-US" w:eastAsia="zh-CN"/>
              </w:rPr>
              <w:t xml:space="preserve">1260.84 </w:t>
            </w:r>
          </w:p>
        </w:tc>
        <w:tc>
          <w:tcPr>
            <w:tcW w:w="1063" w:type="dxa"/>
            <w:tcBorders>
              <w:tl2br w:val="nil"/>
              <w:tr2bl w:val="nil"/>
            </w:tcBorders>
            <w:shd w:val="clear" w:color="auto" w:fill="auto"/>
            <w:vAlign w:val="center"/>
          </w:tcPr>
          <w:p w14:paraId="4191A4FA">
            <w:pPr>
              <w:keepNext w:val="0"/>
              <w:keepLines w:val="0"/>
              <w:widowControl/>
              <w:suppressLineNumbers w:val="0"/>
              <w:jc w:val="center"/>
              <w:textAlignment w:val="center"/>
              <w:rPr>
                <w:rFonts w:hint="eastAsia" w:ascii="Times New Roman" w:hAnsi="Times New Roman" w:eastAsia="宋体" w:cs="Times New Roman"/>
                <w:color w:val="FF0000"/>
                <w:sz w:val="21"/>
                <w:szCs w:val="21"/>
                <w:lang w:val="en-US" w:eastAsia="zh-CN"/>
              </w:rPr>
            </w:pPr>
            <w:r>
              <w:rPr>
                <w:rFonts w:hint="default" w:ascii="Times New Roman" w:hAnsi="Times New Roman" w:eastAsia="宋体" w:cs="Times New Roman"/>
                <w:i w:val="0"/>
                <w:iCs w:val="0"/>
                <w:color w:val="FF0000"/>
                <w:kern w:val="0"/>
                <w:sz w:val="21"/>
                <w:szCs w:val="21"/>
                <w:u w:val="none"/>
                <w:lang w:val="en-US" w:eastAsia="zh-CN" w:bidi="ar"/>
              </w:rPr>
              <w:t>1.8082%</w:t>
            </w:r>
          </w:p>
        </w:tc>
        <w:tc>
          <w:tcPr>
            <w:tcW w:w="1075" w:type="dxa"/>
            <w:tcBorders>
              <w:tl2br w:val="nil"/>
              <w:tr2bl w:val="nil"/>
            </w:tcBorders>
            <w:shd w:val="clear" w:color="auto" w:fill="auto"/>
            <w:vAlign w:val="center"/>
          </w:tcPr>
          <w:p w14:paraId="52B8FCB3">
            <w:pPr>
              <w:keepNext w:val="0"/>
              <w:keepLines w:val="0"/>
              <w:widowControl/>
              <w:suppressLineNumbers w:val="0"/>
              <w:jc w:val="center"/>
              <w:textAlignment w:val="center"/>
              <w:rPr>
                <w:rFonts w:hint="eastAsia" w:ascii="Times New Roman" w:hAnsi="Times New Roman" w:eastAsia="宋体" w:cs="Times New Roman"/>
                <w:color w:val="FF0000"/>
                <w:sz w:val="21"/>
                <w:szCs w:val="21"/>
                <w:lang w:val="en-US" w:eastAsia="zh-CN"/>
              </w:rPr>
            </w:pPr>
            <w:r>
              <w:rPr>
                <w:rFonts w:hint="default" w:ascii="Times New Roman" w:hAnsi="Times New Roman" w:eastAsia="宋体" w:cs="Times New Roman"/>
                <w:i w:val="0"/>
                <w:iCs w:val="0"/>
                <w:color w:val="FF0000"/>
                <w:kern w:val="0"/>
                <w:sz w:val="21"/>
                <w:szCs w:val="21"/>
                <w:u w:val="none"/>
                <w:lang w:val="en-US" w:eastAsia="zh-CN" w:bidi="ar"/>
              </w:rPr>
              <w:t xml:space="preserve">92.94 </w:t>
            </w:r>
          </w:p>
        </w:tc>
        <w:tc>
          <w:tcPr>
            <w:tcW w:w="1075" w:type="dxa"/>
            <w:tcBorders>
              <w:tl2br w:val="nil"/>
              <w:tr2bl w:val="nil"/>
            </w:tcBorders>
            <w:shd w:val="clear" w:color="auto" w:fill="auto"/>
            <w:vAlign w:val="center"/>
          </w:tcPr>
          <w:p w14:paraId="3F1292EE">
            <w:pPr>
              <w:pStyle w:val="128"/>
              <w:spacing w:line="240" w:lineRule="auto"/>
              <w:jc w:val="center"/>
              <w:rPr>
                <w:rFonts w:hint="eastAsia" w:ascii="Times New Roman" w:hAnsi="Times New Roman" w:eastAsia="宋体" w:cs="Times New Roman"/>
                <w:color w:val="FF0000"/>
                <w:sz w:val="21"/>
                <w:szCs w:val="21"/>
                <w:lang w:val="en-US" w:eastAsia="zh-CN"/>
              </w:rPr>
            </w:pPr>
            <w:r>
              <w:rPr>
                <w:rFonts w:hint="eastAsia" w:ascii="Times New Roman" w:hAnsi="Times New Roman" w:eastAsia="宋体" w:cs="Times New Roman"/>
                <w:color w:val="FF0000"/>
                <w:sz w:val="21"/>
                <w:szCs w:val="21"/>
                <w:lang w:val="en-US" w:eastAsia="zh-CN"/>
              </w:rPr>
              <w:t>1818.17</w:t>
            </w:r>
          </w:p>
        </w:tc>
        <w:tc>
          <w:tcPr>
            <w:tcW w:w="1929" w:type="pct"/>
            <w:tcBorders>
              <w:tl2br w:val="nil"/>
              <w:tr2bl w:val="nil"/>
            </w:tcBorders>
            <w:shd w:val="clear" w:color="auto" w:fill="auto"/>
            <w:vAlign w:val="center"/>
          </w:tcPr>
          <w:p w14:paraId="239F4329">
            <w:pPr>
              <w:keepNext w:val="0"/>
              <w:keepLines w:val="0"/>
              <w:widowControl/>
              <w:suppressLineNumbers w:val="0"/>
              <w:spacing w:line="240" w:lineRule="auto"/>
              <w:jc w:val="center"/>
              <w:textAlignment w:val="center"/>
              <w:rPr>
                <w:rFonts w:hint="eastAsia" w:ascii="宋体" w:hAnsi="宋体" w:cs="宋体"/>
                <w:i w:val="0"/>
                <w:iCs w:val="0"/>
                <w:color w:val="FF0000"/>
                <w:kern w:val="0"/>
                <w:sz w:val="21"/>
                <w:szCs w:val="21"/>
                <w:u w:val="none"/>
                <w:lang w:val="en-US" w:eastAsia="zh-CN" w:bidi="ar"/>
              </w:rPr>
            </w:pPr>
            <w:r>
              <w:rPr>
                <w:rFonts w:hint="eastAsia" w:ascii="宋体" w:hAnsi="宋体" w:cs="宋体"/>
                <w:i w:val="0"/>
                <w:iCs w:val="0"/>
                <w:color w:val="FF0000"/>
                <w:kern w:val="0"/>
                <w:sz w:val="21"/>
                <w:szCs w:val="21"/>
                <w:u w:val="none"/>
                <w:lang w:val="en-US" w:eastAsia="zh-CN" w:bidi="ar"/>
              </w:rPr>
              <w:t>散热器、齿轮/轴承</w:t>
            </w:r>
          </w:p>
        </w:tc>
      </w:tr>
      <w:tr w14:paraId="45029DEB">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 w:type="dxa"/>
            <w:bottom w:w="0" w:type="dxa"/>
            <w:right w:w="10" w:type="dxa"/>
          </w:tblCellMar>
        </w:tblPrEx>
        <w:trPr>
          <w:trHeight w:val="57" w:hRule="atLeast"/>
          <w:jc w:val="center"/>
        </w:trPr>
        <w:tc>
          <w:tcPr>
            <w:tcW w:w="726" w:type="pct"/>
            <w:tcBorders>
              <w:tl2br w:val="nil"/>
              <w:tr2bl w:val="nil"/>
            </w:tcBorders>
            <w:shd w:val="clear" w:color="auto" w:fill="auto"/>
            <w:vAlign w:val="center"/>
          </w:tcPr>
          <w:p w14:paraId="20F3E661">
            <w:pPr>
              <w:keepNext w:val="0"/>
              <w:keepLines w:val="0"/>
              <w:widowControl/>
              <w:suppressLineNumbers w:val="0"/>
              <w:spacing w:line="240" w:lineRule="auto"/>
              <w:jc w:val="center"/>
              <w:textAlignment w:val="center"/>
              <w:rPr>
                <w:rFonts w:hint="eastAsia" w:ascii="宋体" w:hAnsi="宋体" w:cs="宋体"/>
                <w:i w:val="0"/>
                <w:iCs w:val="0"/>
                <w:color w:val="FF0000"/>
                <w:kern w:val="0"/>
                <w:sz w:val="21"/>
                <w:szCs w:val="21"/>
                <w:u w:val="none"/>
                <w:lang w:val="en-US" w:eastAsia="zh-CN" w:bidi="ar"/>
              </w:rPr>
            </w:pPr>
            <w:r>
              <w:rPr>
                <w:rFonts w:hint="eastAsia" w:ascii="宋体" w:hAnsi="宋体" w:cs="宋体"/>
                <w:i w:val="0"/>
                <w:iCs w:val="0"/>
                <w:color w:val="FF0000"/>
                <w:kern w:val="0"/>
                <w:sz w:val="21"/>
                <w:szCs w:val="21"/>
                <w:u w:val="none"/>
                <w:lang w:val="en-US" w:eastAsia="zh-CN" w:bidi="ar"/>
              </w:rPr>
              <w:t>可回用塑料</w:t>
            </w:r>
          </w:p>
        </w:tc>
        <w:tc>
          <w:tcPr>
            <w:tcW w:w="258" w:type="pct"/>
            <w:tcBorders>
              <w:tl2br w:val="nil"/>
              <w:tr2bl w:val="nil"/>
            </w:tcBorders>
            <w:shd w:val="clear" w:color="auto" w:fill="auto"/>
            <w:vAlign w:val="center"/>
          </w:tcPr>
          <w:p w14:paraId="0F203D84">
            <w:pPr>
              <w:pStyle w:val="128"/>
              <w:spacing w:line="240" w:lineRule="auto"/>
              <w:jc w:val="center"/>
              <w:rPr>
                <w:rFonts w:hint="default" w:ascii="Times New Roman" w:hAnsi="Times New Roman" w:eastAsia="宋体" w:cs="Times New Roman"/>
                <w:color w:val="FF0000"/>
                <w:sz w:val="21"/>
                <w:szCs w:val="21"/>
                <w:lang w:val="en-US" w:eastAsia="zh-CN"/>
              </w:rPr>
            </w:pPr>
            <w:r>
              <w:rPr>
                <w:rFonts w:hint="eastAsia" w:ascii="Times New Roman" w:hAnsi="Times New Roman" w:eastAsia="宋体" w:cs="Times New Roman"/>
                <w:color w:val="FF0000"/>
                <w:sz w:val="21"/>
                <w:szCs w:val="21"/>
                <w:lang w:val="en-US" w:eastAsia="zh-CN"/>
              </w:rPr>
              <w:t>2.3394%</w:t>
            </w:r>
          </w:p>
        </w:tc>
        <w:tc>
          <w:tcPr>
            <w:tcW w:w="260" w:type="pct"/>
            <w:tcBorders>
              <w:tl2br w:val="nil"/>
              <w:tr2bl w:val="nil"/>
            </w:tcBorders>
            <w:shd w:val="clear" w:color="auto" w:fill="auto"/>
            <w:vAlign w:val="center"/>
          </w:tcPr>
          <w:p w14:paraId="79FBB227">
            <w:pPr>
              <w:pStyle w:val="128"/>
              <w:spacing w:line="240" w:lineRule="auto"/>
              <w:jc w:val="center"/>
              <w:rPr>
                <w:rFonts w:hint="default" w:ascii="Times New Roman" w:hAnsi="Times New Roman" w:eastAsia="宋体" w:cs="Times New Roman"/>
                <w:color w:val="FF0000"/>
                <w:sz w:val="21"/>
                <w:szCs w:val="21"/>
                <w:lang w:val="en-US" w:eastAsia="zh-CN"/>
              </w:rPr>
            </w:pPr>
            <w:r>
              <w:rPr>
                <w:rFonts w:hint="eastAsia" w:ascii="Times New Roman" w:hAnsi="Times New Roman" w:eastAsia="宋体" w:cs="Times New Roman"/>
                <w:color w:val="FF0000"/>
                <w:sz w:val="21"/>
                <w:szCs w:val="21"/>
                <w:lang w:val="en-US" w:eastAsia="zh-CN"/>
              </w:rPr>
              <w:t>89.13</w:t>
            </w:r>
          </w:p>
        </w:tc>
        <w:tc>
          <w:tcPr>
            <w:tcW w:w="258" w:type="pct"/>
            <w:tcBorders>
              <w:tl2br w:val="nil"/>
              <w:tr2bl w:val="nil"/>
            </w:tcBorders>
            <w:shd w:val="clear" w:color="auto" w:fill="auto"/>
            <w:vAlign w:val="center"/>
          </w:tcPr>
          <w:p w14:paraId="7241B3B3">
            <w:pPr>
              <w:pStyle w:val="128"/>
              <w:spacing w:line="240" w:lineRule="auto"/>
              <w:jc w:val="center"/>
              <w:rPr>
                <w:rFonts w:hint="eastAsia" w:ascii="Times New Roman" w:hAnsi="Times New Roman" w:eastAsia="宋体" w:cs="Times New Roman"/>
                <w:color w:val="FF0000"/>
                <w:sz w:val="21"/>
                <w:szCs w:val="21"/>
                <w:lang w:val="en-US" w:eastAsia="zh-CN"/>
              </w:rPr>
            </w:pPr>
            <w:r>
              <w:rPr>
                <w:rFonts w:hint="default" w:ascii="Times New Roman" w:hAnsi="Times New Roman" w:eastAsia="宋体" w:cs="Times New Roman"/>
                <w:color w:val="FF0000"/>
                <w:sz w:val="21"/>
                <w:szCs w:val="21"/>
                <w:lang w:val="en-US" w:eastAsia="zh-CN"/>
              </w:rPr>
              <w:t>2.0616%</w:t>
            </w:r>
          </w:p>
        </w:tc>
        <w:tc>
          <w:tcPr>
            <w:tcW w:w="258" w:type="pct"/>
            <w:tcBorders>
              <w:tl2br w:val="nil"/>
              <w:tr2bl w:val="nil"/>
            </w:tcBorders>
            <w:shd w:val="clear" w:color="auto" w:fill="auto"/>
            <w:vAlign w:val="center"/>
          </w:tcPr>
          <w:p w14:paraId="2C0A80C5">
            <w:pPr>
              <w:pStyle w:val="128"/>
              <w:spacing w:line="240" w:lineRule="auto"/>
              <w:jc w:val="center"/>
              <w:rPr>
                <w:rFonts w:hint="default" w:ascii="Times New Roman" w:hAnsi="Times New Roman" w:eastAsia="宋体" w:cs="Times New Roman"/>
                <w:color w:val="FF0000"/>
                <w:sz w:val="21"/>
                <w:szCs w:val="21"/>
                <w:lang w:val="en-US" w:eastAsia="zh-CN"/>
              </w:rPr>
            </w:pPr>
            <w:r>
              <w:rPr>
                <w:rFonts w:hint="default" w:ascii="Times New Roman" w:hAnsi="Times New Roman" w:eastAsia="宋体" w:cs="Times New Roman"/>
                <w:color w:val="FF0000"/>
                <w:sz w:val="21"/>
                <w:szCs w:val="21"/>
                <w:lang w:val="en-US" w:eastAsia="zh-CN"/>
              </w:rPr>
              <w:t xml:space="preserve">414.38 </w:t>
            </w:r>
          </w:p>
        </w:tc>
        <w:tc>
          <w:tcPr>
            <w:tcW w:w="260" w:type="pct"/>
            <w:tcBorders>
              <w:tl2br w:val="nil"/>
              <w:tr2bl w:val="nil"/>
            </w:tcBorders>
            <w:shd w:val="clear" w:color="auto" w:fill="auto"/>
            <w:vAlign w:val="center"/>
          </w:tcPr>
          <w:p w14:paraId="0104C0F8">
            <w:pPr>
              <w:pStyle w:val="128"/>
              <w:spacing w:line="240" w:lineRule="auto"/>
              <w:jc w:val="center"/>
              <w:rPr>
                <w:rFonts w:hint="eastAsia" w:ascii="Times New Roman" w:hAnsi="Times New Roman" w:eastAsia="宋体" w:cs="Times New Roman"/>
                <w:color w:val="FF0000"/>
                <w:sz w:val="21"/>
                <w:szCs w:val="21"/>
                <w:lang w:val="en-US" w:eastAsia="zh-CN"/>
              </w:rPr>
            </w:pPr>
            <w:r>
              <w:rPr>
                <w:rFonts w:hint="default" w:ascii="Times New Roman" w:hAnsi="Times New Roman" w:eastAsia="宋体" w:cs="Times New Roman"/>
                <w:color w:val="FF0000"/>
                <w:sz w:val="21"/>
                <w:szCs w:val="21"/>
                <w:lang w:val="en-US" w:eastAsia="zh-CN"/>
              </w:rPr>
              <w:t>0.9082%</w:t>
            </w:r>
          </w:p>
        </w:tc>
        <w:tc>
          <w:tcPr>
            <w:tcW w:w="263" w:type="pct"/>
            <w:tcBorders>
              <w:tl2br w:val="nil"/>
              <w:tr2bl w:val="nil"/>
            </w:tcBorders>
            <w:shd w:val="clear" w:color="auto" w:fill="auto"/>
            <w:vAlign w:val="center"/>
          </w:tcPr>
          <w:p w14:paraId="367D6E1C">
            <w:pPr>
              <w:pStyle w:val="128"/>
              <w:spacing w:line="240" w:lineRule="auto"/>
              <w:jc w:val="center"/>
              <w:rPr>
                <w:rFonts w:hint="eastAsia" w:ascii="Times New Roman" w:hAnsi="Times New Roman" w:eastAsia="宋体" w:cs="Times New Roman"/>
                <w:color w:val="FF0000"/>
                <w:sz w:val="21"/>
                <w:szCs w:val="21"/>
                <w:lang w:val="en-US" w:eastAsia="zh-CN"/>
              </w:rPr>
            </w:pPr>
            <w:r>
              <w:rPr>
                <w:rFonts w:hint="default" w:ascii="Times New Roman" w:hAnsi="Times New Roman" w:eastAsia="宋体" w:cs="Times New Roman"/>
                <w:color w:val="FF0000"/>
                <w:sz w:val="21"/>
                <w:szCs w:val="21"/>
                <w:lang w:val="en-US" w:eastAsia="zh-CN"/>
              </w:rPr>
              <w:t xml:space="preserve">390.07 </w:t>
            </w:r>
          </w:p>
        </w:tc>
        <w:tc>
          <w:tcPr>
            <w:tcW w:w="1063" w:type="dxa"/>
            <w:tcBorders>
              <w:tl2br w:val="nil"/>
              <w:tr2bl w:val="nil"/>
            </w:tcBorders>
            <w:shd w:val="clear" w:color="auto" w:fill="auto"/>
            <w:vAlign w:val="center"/>
          </w:tcPr>
          <w:p w14:paraId="372B17C9">
            <w:pPr>
              <w:pStyle w:val="128"/>
              <w:spacing w:line="240" w:lineRule="auto"/>
              <w:jc w:val="center"/>
              <w:rPr>
                <w:rFonts w:hint="eastAsia" w:ascii="Times New Roman" w:hAnsi="Times New Roman" w:eastAsia="宋体" w:cs="Times New Roman"/>
                <w:color w:val="FF0000"/>
                <w:sz w:val="21"/>
                <w:szCs w:val="21"/>
                <w:lang w:val="en-US" w:eastAsia="zh-CN"/>
              </w:rPr>
            </w:pPr>
            <w:r>
              <w:rPr>
                <w:rFonts w:hint="default" w:ascii="Times New Roman" w:hAnsi="Times New Roman" w:eastAsia="宋体" w:cs="Times New Roman"/>
                <w:color w:val="FF0000"/>
                <w:sz w:val="21"/>
                <w:szCs w:val="21"/>
                <w:lang w:val="en-US" w:eastAsia="zh-CN"/>
              </w:rPr>
              <w:t>1.6712%</w:t>
            </w:r>
          </w:p>
        </w:tc>
        <w:tc>
          <w:tcPr>
            <w:tcW w:w="1075" w:type="dxa"/>
            <w:tcBorders>
              <w:tl2br w:val="nil"/>
              <w:tr2bl w:val="nil"/>
            </w:tcBorders>
            <w:shd w:val="clear" w:color="auto" w:fill="auto"/>
            <w:vAlign w:val="center"/>
          </w:tcPr>
          <w:p w14:paraId="3DCFA378">
            <w:pPr>
              <w:pStyle w:val="128"/>
              <w:spacing w:line="240" w:lineRule="auto"/>
              <w:jc w:val="center"/>
              <w:rPr>
                <w:rFonts w:hint="eastAsia" w:ascii="Times New Roman" w:hAnsi="Times New Roman" w:eastAsia="宋体" w:cs="Times New Roman"/>
                <w:color w:val="FF0000"/>
                <w:sz w:val="21"/>
                <w:szCs w:val="21"/>
                <w:lang w:val="en-US" w:eastAsia="zh-CN"/>
              </w:rPr>
            </w:pPr>
            <w:r>
              <w:rPr>
                <w:rFonts w:hint="default" w:ascii="Times New Roman" w:hAnsi="Times New Roman" w:eastAsia="宋体" w:cs="Times New Roman"/>
                <w:color w:val="FF0000"/>
                <w:sz w:val="21"/>
                <w:szCs w:val="21"/>
                <w:lang w:val="en-US" w:eastAsia="zh-CN"/>
              </w:rPr>
              <w:t xml:space="preserve">85.90 </w:t>
            </w:r>
          </w:p>
        </w:tc>
        <w:tc>
          <w:tcPr>
            <w:tcW w:w="1075" w:type="dxa"/>
            <w:tcBorders>
              <w:tl2br w:val="nil"/>
              <w:tr2bl w:val="nil"/>
            </w:tcBorders>
            <w:shd w:val="clear" w:color="auto" w:fill="auto"/>
            <w:vAlign w:val="center"/>
          </w:tcPr>
          <w:p w14:paraId="13024596">
            <w:pPr>
              <w:pStyle w:val="128"/>
              <w:spacing w:line="240" w:lineRule="auto"/>
              <w:jc w:val="center"/>
              <w:rPr>
                <w:rFonts w:hint="eastAsia" w:ascii="Times New Roman" w:hAnsi="Times New Roman" w:eastAsia="宋体" w:cs="Times New Roman"/>
                <w:color w:val="FF0000"/>
                <w:sz w:val="21"/>
                <w:szCs w:val="21"/>
                <w:lang w:val="en-US" w:eastAsia="zh-CN"/>
              </w:rPr>
            </w:pPr>
            <w:r>
              <w:rPr>
                <w:rFonts w:hint="eastAsia" w:ascii="Times New Roman" w:hAnsi="Times New Roman" w:eastAsia="宋体" w:cs="Times New Roman"/>
                <w:color w:val="FF0000"/>
                <w:sz w:val="21"/>
                <w:szCs w:val="21"/>
                <w:lang w:val="en-US" w:eastAsia="zh-CN"/>
              </w:rPr>
              <w:t>979.48</w:t>
            </w:r>
          </w:p>
        </w:tc>
        <w:tc>
          <w:tcPr>
            <w:tcW w:w="1929" w:type="pct"/>
            <w:tcBorders>
              <w:tl2br w:val="nil"/>
              <w:tr2bl w:val="nil"/>
            </w:tcBorders>
            <w:shd w:val="clear" w:color="auto" w:fill="auto"/>
            <w:vAlign w:val="center"/>
          </w:tcPr>
          <w:p w14:paraId="6342494E">
            <w:pPr>
              <w:keepNext w:val="0"/>
              <w:keepLines w:val="0"/>
              <w:widowControl/>
              <w:suppressLineNumbers w:val="0"/>
              <w:spacing w:line="240" w:lineRule="auto"/>
              <w:jc w:val="center"/>
              <w:textAlignment w:val="center"/>
              <w:rPr>
                <w:rFonts w:hint="default" w:ascii="宋体" w:hAnsi="宋体" w:cs="宋体"/>
                <w:i w:val="0"/>
                <w:iCs w:val="0"/>
                <w:color w:val="FF0000"/>
                <w:kern w:val="0"/>
                <w:sz w:val="21"/>
                <w:szCs w:val="21"/>
                <w:u w:val="none"/>
                <w:lang w:val="en-US" w:eastAsia="zh-CN" w:bidi="ar"/>
              </w:rPr>
            </w:pPr>
            <w:r>
              <w:rPr>
                <w:rFonts w:hint="eastAsia" w:ascii="宋体" w:hAnsi="宋体" w:cs="宋体"/>
                <w:i w:val="0"/>
                <w:iCs w:val="0"/>
                <w:color w:val="FF0000"/>
                <w:kern w:val="0"/>
                <w:sz w:val="21"/>
                <w:szCs w:val="21"/>
                <w:u w:val="none"/>
                <w:lang w:val="en-US" w:eastAsia="zh-CN" w:bidi="ar"/>
              </w:rPr>
              <w:t>前后保险杠（塑料部分）、车灯、中控台、线束、桌椅（塑料）</w:t>
            </w:r>
          </w:p>
        </w:tc>
      </w:tr>
      <w:tr w14:paraId="79E72082">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 w:type="dxa"/>
            <w:bottom w:w="0" w:type="dxa"/>
            <w:right w:w="10" w:type="dxa"/>
          </w:tblCellMar>
        </w:tblPrEx>
        <w:trPr>
          <w:trHeight w:val="57" w:hRule="atLeast"/>
          <w:jc w:val="center"/>
        </w:trPr>
        <w:tc>
          <w:tcPr>
            <w:tcW w:w="726" w:type="pct"/>
            <w:tcBorders>
              <w:tl2br w:val="nil"/>
              <w:tr2bl w:val="nil"/>
            </w:tcBorders>
            <w:shd w:val="clear" w:color="auto" w:fill="auto"/>
            <w:vAlign w:val="center"/>
          </w:tcPr>
          <w:p w14:paraId="0E0C6A73">
            <w:pPr>
              <w:keepNext w:val="0"/>
              <w:keepLines w:val="0"/>
              <w:widowControl/>
              <w:suppressLineNumbers w:val="0"/>
              <w:spacing w:line="240" w:lineRule="auto"/>
              <w:jc w:val="center"/>
              <w:textAlignment w:val="center"/>
              <w:rPr>
                <w:rFonts w:hint="eastAsia" w:ascii="宋体" w:hAnsi="宋体" w:cs="宋体"/>
                <w:i w:val="0"/>
                <w:iCs w:val="0"/>
                <w:color w:val="FF0000"/>
                <w:kern w:val="0"/>
                <w:sz w:val="21"/>
                <w:szCs w:val="21"/>
                <w:u w:val="none"/>
                <w:lang w:val="en-US" w:eastAsia="zh-CN" w:bidi="ar"/>
              </w:rPr>
            </w:pPr>
            <w:r>
              <w:rPr>
                <w:rFonts w:hint="eastAsia" w:ascii="宋体" w:hAnsi="宋体" w:cs="宋体"/>
                <w:i w:val="0"/>
                <w:iCs w:val="0"/>
                <w:color w:val="FF0000"/>
                <w:kern w:val="0"/>
                <w:sz w:val="21"/>
                <w:szCs w:val="21"/>
                <w:u w:val="none"/>
                <w:lang w:val="en-US" w:eastAsia="zh-CN" w:bidi="ar"/>
              </w:rPr>
              <w:t>可回用橡胶</w:t>
            </w:r>
          </w:p>
        </w:tc>
        <w:tc>
          <w:tcPr>
            <w:tcW w:w="258" w:type="pct"/>
            <w:tcBorders>
              <w:tl2br w:val="nil"/>
              <w:tr2bl w:val="nil"/>
            </w:tcBorders>
            <w:shd w:val="clear" w:color="auto" w:fill="auto"/>
            <w:vAlign w:val="center"/>
          </w:tcPr>
          <w:p w14:paraId="050548F8">
            <w:pPr>
              <w:pStyle w:val="128"/>
              <w:spacing w:line="240" w:lineRule="auto"/>
              <w:jc w:val="center"/>
              <w:rPr>
                <w:rFonts w:hint="eastAsia" w:ascii="Times New Roman" w:hAnsi="Times New Roman" w:eastAsia="宋体" w:cs="Times New Roman"/>
                <w:color w:val="FF0000"/>
                <w:sz w:val="21"/>
                <w:szCs w:val="21"/>
                <w:lang w:val="en-US" w:eastAsia="zh-CN"/>
              </w:rPr>
            </w:pPr>
            <w:r>
              <w:rPr>
                <w:rFonts w:hint="default" w:ascii="Times New Roman" w:hAnsi="Times New Roman" w:eastAsia="宋体" w:cs="Times New Roman"/>
                <w:color w:val="FF0000"/>
                <w:sz w:val="21"/>
                <w:szCs w:val="21"/>
                <w:lang w:val="en-US" w:eastAsia="zh-CN"/>
              </w:rPr>
              <w:t>2.9243%</w:t>
            </w:r>
          </w:p>
        </w:tc>
        <w:tc>
          <w:tcPr>
            <w:tcW w:w="260" w:type="pct"/>
            <w:tcBorders>
              <w:tl2br w:val="nil"/>
              <w:tr2bl w:val="nil"/>
            </w:tcBorders>
            <w:shd w:val="clear" w:color="auto" w:fill="auto"/>
            <w:vAlign w:val="center"/>
          </w:tcPr>
          <w:p w14:paraId="2977C018">
            <w:pPr>
              <w:pStyle w:val="128"/>
              <w:spacing w:line="240" w:lineRule="auto"/>
              <w:jc w:val="center"/>
              <w:rPr>
                <w:rFonts w:hint="default" w:ascii="Times New Roman" w:hAnsi="Times New Roman" w:eastAsia="宋体" w:cs="Times New Roman"/>
                <w:color w:val="FF0000"/>
                <w:sz w:val="21"/>
                <w:szCs w:val="21"/>
                <w:lang w:val="en-US" w:eastAsia="zh-CN"/>
              </w:rPr>
            </w:pPr>
            <w:r>
              <w:rPr>
                <w:rFonts w:hint="eastAsia" w:ascii="Times New Roman" w:hAnsi="Times New Roman" w:eastAsia="宋体" w:cs="Times New Roman"/>
                <w:color w:val="FF0000"/>
                <w:sz w:val="21"/>
                <w:szCs w:val="21"/>
                <w:lang w:val="en-US" w:eastAsia="zh-CN"/>
              </w:rPr>
              <w:t xml:space="preserve">111.42 </w:t>
            </w:r>
          </w:p>
        </w:tc>
        <w:tc>
          <w:tcPr>
            <w:tcW w:w="258" w:type="pct"/>
            <w:tcBorders>
              <w:tl2br w:val="nil"/>
              <w:tr2bl w:val="nil"/>
            </w:tcBorders>
            <w:shd w:val="clear" w:color="auto" w:fill="auto"/>
            <w:vAlign w:val="center"/>
          </w:tcPr>
          <w:p w14:paraId="3CEDC810">
            <w:pPr>
              <w:pStyle w:val="128"/>
              <w:spacing w:line="240" w:lineRule="auto"/>
              <w:jc w:val="center"/>
              <w:rPr>
                <w:rFonts w:hint="eastAsia" w:ascii="Times New Roman" w:hAnsi="Times New Roman" w:eastAsia="宋体" w:cs="Times New Roman"/>
                <w:color w:val="FF0000"/>
                <w:sz w:val="21"/>
                <w:szCs w:val="21"/>
                <w:lang w:val="en-US" w:eastAsia="zh-CN"/>
              </w:rPr>
            </w:pPr>
            <w:r>
              <w:rPr>
                <w:rFonts w:hint="default" w:ascii="Times New Roman" w:hAnsi="Times New Roman" w:eastAsia="宋体" w:cs="Times New Roman"/>
                <w:color w:val="FF0000"/>
                <w:sz w:val="21"/>
                <w:szCs w:val="21"/>
                <w:lang w:val="en-US" w:eastAsia="zh-CN"/>
              </w:rPr>
              <w:t>1.4467%</w:t>
            </w:r>
          </w:p>
        </w:tc>
        <w:tc>
          <w:tcPr>
            <w:tcW w:w="258" w:type="pct"/>
            <w:tcBorders>
              <w:tl2br w:val="nil"/>
              <w:tr2bl w:val="nil"/>
            </w:tcBorders>
            <w:shd w:val="clear" w:color="auto" w:fill="auto"/>
            <w:vAlign w:val="center"/>
          </w:tcPr>
          <w:p w14:paraId="080D6664">
            <w:pPr>
              <w:pStyle w:val="128"/>
              <w:spacing w:line="240" w:lineRule="auto"/>
              <w:jc w:val="center"/>
              <w:rPr>
                <w:rFonts w:hint="default" w:ascii="Times New Roman" w:hAnsi="Times New Roman" w:eastAsia="宋体" w:cs="Times New Roman"/>
                <w:color w:val="FF0000"/>
                <w:sz w:val="21"/>
                <w:szCs w:val="21"/>
                <w:lang w:val="en-US" w:eastAsia="zh-CN"/>
              </w:rPr>
            </w:pPr>
            <w:r>
              <w:rPr>
                <w:rFonts w:hint="default" w:ascii="Times New Roman" w:hAnsi="Times New Roman" w:eastAsia="宋体" w:cs="Times New Roman"/>
                <w:color w:val="FF0000"/>
                <w:sz w:val="21"/>
                <w:szCs w:val="21"/>
                <w:lang w:val="en-US" w:eastAsia="zh-CN"/>
              </w:rPr>
              <w:t xml:space="preserve">290.79 </w:t>
            </w:r>
          </w:p>
        </w:tc>
        <w:tc>
          <w:tcPr>
            <w:tcW w:w="260" w:type="pct"/>
            <w:tcBorders>
              <w:tl2br w:val="nil"/>
              <w:tr2bl w:val="nil"/>
            </w:tcBorders>
            <w:shd w:val="clear" w:color="auto" w:fill="auto"/>
            <w:vAlign w:val="center"/>
          </w:tcPr>
          <w:p w14:paraId="51F59297">
            <w:pPr>
              <w:pStyle w:val="128"/>
              <w:spacing w:line="240" w:lineRule="auto"/>
              <w:jc w:val="center"/>
              <w:rPr>
                <w:rFonts w:hint="eastAsia" w:ascii="Times New Roman" w:hAnsi="Times New Roman" w:eastAsia="宋体" w:cs="Times New Roman"/>
                <w:color w:val="FF0000"/>
                <w:sz w:val="21"/>
                <w:szCs w:val="21"/>
                <w:lang w:val="en-US" w:eastAsia="zh-CN"/>
              </w:rPr>
            </w:pPr>
            <w:r>
              <w:rPr>
                <w:rFonts w:hint="default" w:ascii="Times New Roman" w:hAnsi="Times New Roman" w:eastAsia="宋体" w:cs="Times New Roman"/>
                <w:color w:val="FF0000"/>
                <w:sz w:val="21"/>
                <w:szCs w:val="21"/>
                <w:lang w:val="en-US" w:eastAsia="zh-CN"/>
              </w:rPr>
              <w:t>3.6695%</w:t>
            </w:r>
          </w:p>
        </w:tc>
        <w:tc>
          <w:tcPr>
            <w:tcW w:w="263" w:type="pct"/>
            <w:tcBorders>
              <w:tl2br w:val="nil"/>
              <w:tr2bl w:val="nil"/>
            </w:tcBorders>
            <w:shd w:val="clear" w:color="auto" w:fill="auto"/>
            <w:vAlign w:val="center"/>
          </w:tcPr>
          <w:p w14:paraId="0DA6874A">
            <w:pPr>
              <w:pStyle w:val="128"/>
              <w:spacing w:line="240" w:lineRule="auto"/>
              <w:jc w:val="center"/>
              <w:rPr>
                <w:rFonts w:hint="eastAsia" w:ascii="Times New Roman" w:hAnsi="Times New Roman" w:eastAsia="宋体" w:cs="Times New Roman"/>
                <w:color w:val="FF0000"/>
                <w:sz w:val="21"/>
                <w:szCs w:val="21"/>
                <w:lang w:val="en-US" w:eastAsia="zh-CN"/>
              </w:rPr>
            </w:pPr>
            <w:r>
              <w:rPr>
                <w:rFonts w:hint="default" w:ascii="Times New Roman" w:hAnsi="Times New Roman" w:eastAsia="宋体" w:cs="Times New Roman"/>
                <w:color w:val="FF0000"/>
                <w:sz w:val="21"/>
                <w:szCs w:val="21"/>
                <w:lang w:val="en-US" w:eastAsia="zh-CN"/>
              </w:rPr>
              <w:t xml:space="preserve">1576.05 </w:t>
            </w:r>
          </w:p>
        </w:tc>
        <w:tc>
          <w:tcPr>
            <w:tcW w:w="1063" w:type="dxa"/>
            <w:tcBorders>
              <w:tl2br w:val="nil"/>
              <w:tr2bl w:val="nil"/>
            </w:tcBorders>
            <w:shd w:val="clear" w:color="auto" w:fill="auto"/>
            <w:vAlign w:val="center"/>
          </w:tcPr>
          <w:p w14:paraId="5E8FFCB4">
            <w:pPr>
              <w:pStyle w:val="128"/>
              <w:spacing w:line="240" w:lineRule="auto"/>
              <w:jc w:val="center"/>
              <w:rPr>
                <w:rFonts w:hint="eastAsia" w:ascii="Times New Roman" w:hAnsi="Times New Roman" w:eastAsia="宋体" w:cs="Times New Roman"/>
                <w:color w:val="FF0000"/>
                <w:sz w:val="21"/>
                <w:szCs w:val="21"/>
                <w:lang w:val="en-US" w:eastAsia="zh-CN"/>
              </w:rPr>
            </w:pPr>
            <w:r>
              <w:rPr>
                <w:rFonts w:hint="default" w:ascii="Times New Roman" w:hAnsi="Times New Roman" w:eastAsia="宋体" w:cs="Times New Roman"/>
                <w:color w:val="FF0000"/>
                <w:sz w:val="21"/>
                <w:szCs w:val="21"/>
                <w:lang w:val="en-US" w:eastAsia="zh-CN"/>
              </w:rPr>
              <w:t>2.1918%</w:t>
            </w:r>
          </w:p>
        </w:tc>
        <w:tc>
          <w:tcPr>
            <w:tcW w:w="1075" w:type="dxa"/>
            <w:tcBorders>
              <w:tl2br w:val="nil"/>
              <w:tr2bl w:val="nil"/>
            </w:tcBorders>
            <w:shd w:val="clear" w:color="auto" w:fill="auto"/>
            <w:vAlign w:val="center"/>
          </w:tcPr>
          <w:p w14:paraId="7BCAADCE">
            <w:pPr>
              <w:pStyle w:val="128"/>
              <w:spacing w:line="240" w:lineRule="auto"/>
              <w:jc w:val="center"/>
              <w:rPr>
                <w:rFonts w:hint="eastAsia" w:ascii="Times New Roman" w:hAnsi="Times New Roman" w:eastAsia="宋体" w:cs="Times New Roman"/>
                <w:color w:val="FF0000"/>
                <w:sz w:val="21"/>
                <w:szCs w:val="21"/>
                <w:lang w:val="en-US" w:eastAsia="zh-CN"/>
              </w:rPr>
            </w:pPr>
            <w:r>
              <w:rPr>
                <w:rFonts w:hint="default" w:ascii="Times New Roman" w:hAnsi="Times New Roman" w:eastAsia="宋体" w:cs="Times New Roman"/>
                <w:color w:val="FF0000"/>
                <w:sz w:val="21"/>
                <w:szCs w:val="21"/>
                <w:lang w:val="en-US" w:eastAsia="zh-CN"/>
              </w:rPr>
              <w:t xml:space="preserve">112.66 </w:t>
            </w:r>
          </w:p>
        </w:tc>
        <w:tc>
          <w:tcPr>
            <w:tcW w:w="1075" w:type="dxa"/>
            <w:tcBorders>
              <w:tl2br w:val="nil"/>
              <w:tr2bl w:val="nil"/>
            </w:tcBorders>
            <w:shd w:val="clear" w:color="auto" w:fill="auto"/>
            <w:vAlign w:val="center"/>
          </w:tcPr>
          <w:p w14:paraId="49379666">
            <w:pPr>
              <w:pStyle w:val="128"/>
              <w:spacing w:line="240" w:lineRule="auto"/>
              <w:jc w:val="center"/>
              <w:rPr>
                <w:rFonts w:hint="eastAsia" w:ascii="Times New Roman" w:hAnsi="Times New Roman" w:eastAsia="宋体" w:cs="Times New Roman"/>
                <w:color w:val="FF0000"/>
                <w:sz w:val="21"/>
                <w:szCs w:val="21"/>
                <w:lang w:val="en-US" w:eastAsia="zh-CN"/>
              </w:rPr>
            </w:pPr>
            <w:r>
              <w:rPr>
                <w:rFonts w:hint="eastAsia" w:ascii="Times New Roman" w:hAnsi="Times New Roman" w:eastAsia="宋体" w:cs="Times New Roman"/>
                <w:color w:val="FF0000"/>
                <w:sz w:val="21"/>
                <w:szCs w:val="21"/>
                <w:lang w:val="en-US" w:eastAsia="zh-CN"/>
              </w:rPr>
              <w:t>2090.92</w:t>
            </w:r>
          </w:p>
        </w:tc>
        <w:tc>
          <w:tcPr>
            <w:tcW w:w="1929" w:type="pct"/>
            <w:tcBorders>
              <w:tl2br w:val="nil"/>
              <w:tr2bl w:val="nil"/>
            </w:tcBorders>
            <w:shd w:val="clear" w:color="auto" w:fill="auto"/>
            <w:vAlign w:val="center"/>
          </w:tcPr>
          <w:p w14:paraId="64121BD4">
            <w:pPr>
              <w:keepNext w:val="0"/>
              <w:keepLines w:val="0"/>
              <w:widowControl/>
              <w:suppressLineNumbers w:val="0"/>
              <w:spacing w:line="240" w:lineRule="auto"/>
              <w:jc w:val="center"/>
              <w:textAlignment w:val="center"/>
              <w:rPr>
                <w:rFonts w:hint="eastAsia" w:ascii="宋体" w:hAnsi="宋体" w:cs="宋体"/>
                <w:i w:val="0"/>
                <w:iCs w:val="0"/>
                <w:color w:val="FF0000"/>
                <w:kern w:val="0"/>
                <w:sz w:val="21"/>
                <w:szCs w:val="21"/>
                <w:u w:val="none"/>
                <w:lang w:val="en-US" w:eastAsia="zh-CN" w:bidi="ar"/>
              </w:rPr>
            </w:pPr>
            <w:r>
              <w:rPr>
                <w:rFonts w:hint="eastAsia" w:ascii="宋体" w:hAnsi="宋体" w:cs="宋体"/>
                <w:i w:val="0"/>
                <w:iCs w:val="0"/>
                <w:color w:val="FF0000"/>
                <w:kern w:val="0"/>
                <w:sz w:val="21"/>
                <w:szCs w:val="21"/>
                <w:u w:val="none"/>
                <w:lang w:val="en-US" w:eastAsia="zh-CN" w:bidi="ar"/>
              </w:rPr>
              <w:t>轮胎、橡胶减震器、垫圈、密封条</w:t>
            </w:r>
          </w:p>
        </w:tc>
      </w:tr>
      <w:tr w14:paraId="43E9BCC7">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 w:type="dxa"/>
            <w:bottom w:w="0" w:type="dxa"/>
            <w:right w:w="10" w:type="dxa"/>
          </w:tblCellMar>
        </w:tblPrEx>
        <w:trPr>
          <w:trHeight w:val="90" w:hRule="atLeast"/>
          <w:jc w:val="center"/>
        </w:trPr>
        <w:tc>
          <w:tcPr>
            <w:tcW w:w="726" w:type="pct"/>
            <w:tcBorders>
              <w:tl2br w:val="nil"/>
              <w:tr2bl w:val="nil"/>
            </w:tcBorders>
            <w:shd w:val="clear" w:color="auto" w:fill="auto"/>
            <w:vAlign w:val="center"/>
          </w:tcPr>
          <w:p w14:paraId="2C69ABBD">
            <w:pPr>
              <w:keepNext w:val="0"/>
              <w:keepLines w:val="0"/>
              <w:widowControl/>
              <w:suppressLineNumbers w:val="0"/>
              <w:spacing w:line="240" w:lineRule="auto"/>
              <w:jc w:val="center"/>
              <w:textAlignment w:val="center"/>
              <w:rPr>
                <w:rFonts w:hint="eastAsia" w:ascii="宋体" w:hAnsi="宋体" w:cs="宋体"/>
                <w:i w:val="0"/>
                <w:iCs w:val="0"/>
                <w:color w:val="FF0000"/>
                <w:kern w:val="0"/>
                <w:sz w:val="21"/>
                <w:szCs w:val="21"/>
                <w:u w:val="none"/>
                <w:lang w:val="en-US" w:eastAsia="zh-CN" w:bidi="ar"/>
              </w:rPr>
            </w:pPr>
            <w:r>
              <w:rPr>
                <w:rFonts w:hint="eastAsia" w:ascii="宋体" w:hAnsi="宋体" w:cs="宋体"/>
                <w:i w:val="0"/>
                <w:iCs w:val="0"/>
                <w:color w:val="FF0000"/>
                <w:kern w:val="0"/>
                <w:sz w:val="21"/>
                <w:szCs w:val="21"/>
                <w:u w:val="none"/>
                <w:lang w:val="en-US" w:eastAsia="zh-CN" w:bidi="ar"/>
              </w:rPr>
              <w:t>可回用玻璃</w:t>
            </w:r>
          </w:p>
        </w:tc>
        <w:tc>
          <w:tcPr>
            <w:tcW w:w="258" w:type="pct"/>
            <w:tcBorders>
              <w:tl2br w:val="nil"/>
              <w:tr2bl w:val="nil"/>
            </w:tcBorders>
            <w:shd w:val="clear" w:color="auto" w:fill="auto"/>
            <w:vAlign w:val="center"/>
          </w:tcPr>
          <w:p w14:paraId="3BB55848">
            <w:pPr>
              <w:pStyle w:val="128"/>
              <w:spacing w:line="240" w:lineRule="auto"/>
              <w:jc w:val="center"/>
              <w:rPr>
                <w:rFonts w:hint="eastAsia" w:ascii="Times New Roman" w:hAnsi="Times New Roman" w:eastAsia="宋体" w:cs="Times New Roman"/>
                <w:color w:val="FF0000"/>
                <w:sz w:val="21"/>
                <w:szCs w:val="21"/>
                <w:lang w:val="en-US" w:eastAsia="zh-CN"/>
              </w:rPr>
            </w:pPr>
            <w:r>
              <w:rPr>
                <w:rFonts w:hint="default" w:ascii="Times New Roman" w:hAnsi="Times New Roman" w:eastAsia="宋体" w:cs="Times New Roman"/>
                <w:color w:val="FF0000"/>
                <w:sz w:val="21"/>
                <w:szCs w:val="21"/>
                <w:lang w:val="en-US" w:eastAsia="zh-CN"/>
              </w:rPr>
              <w:t>2.9243%</w:t>
            </w:r>
          </w:p>
        </w:tc>
        <w:tc>
          <w:tcPr>
            <w:tcW w:w="260" w:type="pct"/>
            <w:tcBorders>
              <w:tl2br w:val="nil"/>
              <w:tr2bl w:val="nil"/>
            </w:tcBorders>
            <w:shd w:val="clear" w:color="auto" w:fill="auto"/>
            <w:vAlign w:val="center"/>
          </w:tcPr>
          <w:p w14:paraId="2D71652E">
            <w:pPr>
              <w:pStyle w:val="128"/>
              <w:spacing w:line="240" w:lineRule="auto"/>
              <w:jc w:val="center"/>
              <w:rPr>
                <w:rFonts w:hint="default" w:ascii="Times New Roman" w:hAnsi="Times New Roman" w:eastAsia="宋体" w:cs="Times New Roman"/>
                <w:color w:val="FF0000"/>
                <w:sz w:val="21"/>
                <w:szCs w:val="21"/>
                <w:lang w:val="en-US" w:eastAsia="zh-CN"/>
              </w:rPr>
            </w:pPr>
            <w:r>
              <w:rPr>
                <w:rFonts w:hint="eastAsia" w:ascii="Times New Roman" w:hAnsi="Times New Roman" w:eastAsia="宋体" w:cs="Times New Roman"/>
                <w:color w:val="FF0000"/>
                <w:sz w:val="21"/>
                <w:szCs w:val="21"/>
                <w:lang w:val="en-US" w:eastAsia="zh-CN"/>
              </w:rPr>
              <w:t xml:space="preserve">111.42 </w:t>
            </w:r>
          </w:p>
        </w:tc>
        <w:tc>
          <w:tcPr>
            <w:tcW w:w="258" w:type="pct"/>
            <w:tcBorders>
              <w:tl2br w:val="nil"/>
              <w:tr2bl w:val="nil"/>
            </w:tcBorders>
            <w:shd w:val="clear" w:color="auto" w:fill="auto"/>
            <w:vAlign w:val="center"/>
          </w:tcPr>
          <w:p w14:paraId="43E17E97">
            <w:pPr>
              <w:pStyle w:val="128"/>
              <w:spacing w:line="240" w:lineRule="auto"/>
              <w:jc w:val="center"/>
              <w:rPr>
                <w:rFonts w:hint="eastAsia" w:ascii="Times New Roman" w:hAnsi="Times New Roman" w:eastAsia="宋体" w:cs="Times New Roman"/>
                <w:color w:val="FF0000"/>
                <w:sz w:val="21"/>
                <w:szCs w:val="21"/>
                <w:lang w:val="en-US" w:eastAsia="zh-CN"/>
              </w:rPr>
            </w:pPr>
            <w:r>
              <w:rPr>
                <w:rFonts w:hint="default" w:ascii="Times New Roman" w:hAnsi="Times New Roman" w:eastAsia="宋体" w:cs="Times New Roman"/>
                <w:color w:val="FF0000"/>
                <w:sz w:val="21"/>
                <w:szCs w:val="21"/>
                <w:lang w:val="en-US" w:eastAsia="zh-CN"/>
              </w:rPr>
              <w:t>1.4467%</w:t>
            </w:r>
          </w:p>
        </w:tc>
        <w:tc>
          <w:tcPr>
            <w:tcW w:w="258" w:type="pct"/>
            <w:tcBorders>
              <w:tl2br w:val="nil"/>
              <w:tr2bl w:val="nil"/>
            </w:tcBorders>
            <w:shd w:val="clear" w:color="auto" w:fill="auto"/>
            <w:vAlign w:val="center"/>
          </w:tcPr>
          <w:p w14:paraId="71DAB0BE">
            <w:pPr>
              <w:pStyle w:val="128"/>
              <w:spacing w:line="240" w:lineRule="auto"/>
              <w:jc w:val="center"/>
              <w:rPr>
                <w:rFonts w:hint="default" w:ascii="Times New Roman" w:hAnsi="Times New Roman" w:eastAsia="宋体" w:cs="Times New Roman"/>
                <w:color w:val="FF0000"/>
                <w:sz w:val="21"/>
                <w:szCs w:val="21"/>
                <w:lang w:val="en-US" w:eastAsia="zh-CN"/>
              </w:rPr>
            </w:pPr>
            <w:r>
              <w:rPr>
                <w:rFonts w:hint="default" w:ascii="Times New Roman" w:hAnsi="Times New Roman" w:eastAsia="宋体" w:cs="Times New Roman"/>
                <w:color w:val="FF0000"/>
                <w:sz w:val="21"/>
                <w:szCs w:val="21"/>
                <w:lang w:val="en-US" w:eastAsia="zh-CN"/>
              </w:rPr>
              <w:t xml:space="preserve">290.79 </w:t>
            </w:r>
          </w:p>
        </w:tc>
        <w:tc>
          <w:tcPr>
            <w:tcW w:w="260" w:type="pct"/>
            <w:tcBorders>
              <w:tl2br w:val="nil"/>
              <w:tr2bl w:val="nil"/>
            </w:tcBorders>
            <w:shd w:val="clear" w:color="auto" w:fill="auto"/>
            <w:vAlign w:val="center"/>
          </w:tcPr>
          <w:p w14:paraId="32A3E1AD">
            <w:pPr>
              <w:pStyle w:val="128"/>
              <w:spacing w:line="240" w:lineRule="auto"/>
              <w:jc w:val="center"/>
              <w:rPr>
                <w:rFonts w:hint="eastAsia" w:ascii="Times New Roman" w:hAnsi="Times New Roman" w:eastAsia="宋体" w:cs="Times New Roman"/>
                <w:color w:val="FF0000"/>
                <w:sz w:val="21"/>
                <w:szCs w:val="21"/>
                <w:lang w:val="en-US" w:eastAsia="zh-CN"/>
              </w:rPr>
            </w:pPr>
            <w:r>
              <w:rPr>
                <w:rFonts w:hint="default" w:ascii="Times New Roman" w:hAnsi="Times New Roman" w:eastAsia="宋体" w:cs="Times New Roman"/>
                <w:color w:val="FF0000"/>
                <w:sz w:val="21"/>
                <w:szCs w:val="21"/>
                <w:lang w:val="en-US" w:eastAsia="zh-CN"/>
              </w:rPr>
              <w:t>0.3670%</w:t>
            </w:r>
          </w:p>
        </w:tc>
        <w:tc>
          <w:tcPr>
            <w:tcW w:w="263" w:type="pct"/>
            <w:tcBorders>
              <w:tl2br w:val="nil"/>
              <w:tr2bl w:val="nil"/>
            </w:tcBorders>
            <w:shd w:val="clear" w:color="auto" w:fill="auto"/>
            <w:vAlign w:val="center"/>
          </w:tcPr>
          <w:p w14:paraId="1EAC8268">
            <w:pPr>
              <w:pStyle w:val="128"/>
              <w:spacing w:line="240" w:lineRule="auto"/>
              <w:jc w:val="center"/>
              <w:rPr>
                <w:rFonts w:hint="eastAsia" w:ascii="Times New Roman" w:hAnsi="Times New Roman" w:eastAsia="宋体" w:cs="Times New Roman"/>
                <w:color w:val="FF0000"/>
                <w:sz w:val="21"/>
                <w:szCs w:val="21"/>
                <w:lang w:val="en-US" w:eastAsia="zh-CN"/>
              </w:rPr>
            </w:pPr>
            <w:r>
              <w:rPr>
                <w:rFonts w:hint="default" w:ascii="Times New Roman" w:hAnsi="Times New Roman" w:eastAsia="宋体" w:cs="Times New Roman"/>
                <w:color w:val="FF0000"/>
                <w:sz w:val="21"/>
                <w:szCs w:val="21"/>
                <w:lang w:val="en-US" w:eastAsia="zh-CN"/>
              </w:rPr>
              <w:t xml:space="preserve">157.61 </w:t>
            </w:r>
          </w:p>
        </w:tc>
        <w:tc>
          <w:tcPr>
            <w:tcW w:w="1063" w:type="dxa"/>
            <w:tcBorders>
              <w:tl2br w:val="nil"/>
              <w:tr2bl w:val="nil"/>
            </w:tcBorders>
            <w:shd w:val="clear" w:color="auto" w:fill="auto"/>
            <w:vAlign w:val="center"/>
          </w:tcPr>
          <w:p w14:paraId="7630AD26">
            <w:pPr>
              <w:pStyle w:val="128"/>
              <w:spacing w:line="240" w:lineRule="auto"/>
              <w:jc w:val="center"/>
              <w:rPr>
                <w:rFonts w:hint="eastAsia" w:ascii="Times New Roman" w:hAnsi="Times New Roman" w:eastAsia="宋体" w:cs="Times New Roman"/>
                <w:color w:val="FF0000"/>
                <w:sz w:val="21"/>
                <w:szCs w:val="21"/>
                <w:lang w:val="en-US" w:eastAsia="zh-CN"/>
              </w:rPr>
            </w:pPr>
            <w:r>
              <w:rPr>
                <w:rFonts w:hint="default" w:ascii="Times New Roman" w:hAnsi="Times New Roman" w:eastAsia="宋体" w:cs="Times New Roman"/>
                <w:color w:val="FF0000"/>
                <w:sz w:val="21"/>
                <w:szCs w:val="21"/>
                <w:lang w:val="en-US" w:eastAsia="zh-CN"/>
              </w:rPr>
              <w:t>1.0959%</w:t>
            </w:r>
          </w:p>
        </w:tc>
        <w:tc>
          <w:tcPr>
            <w:tcW w:w="1075" w:type="dxa"/>
            <w:tcBorders>
              <w:tl2br w:val="nil"/>
              <w:tr2bl w:val="nil"/>
            </w:tcBorders>
            <w:shd w:val="clear" w:color="auto" w:fill="auto"/>
            <w:vAlign w:val="center"/>
          </w:tcPr>
          <w:p w14:paraId="6B7E48F1">
            <w:pPr>
              <w:pStyle w:val="128"/>
              <w:spacing w:line="240" w:lineRule="auto"/>
              <w:jc w:val="center"/>
              <w:rPr>
                <w:rFonts w:hint="eastAsia" w:ascii="Times New Roman" w:hAnsi="Times New Roman" w:eastAsia="宋体" w:cs="Times New Roman"/>
                <w:color w:val="FF0000"/>
                <w:sz w:val="21"/>
                <w:szCs w:val="21"/>
                <w:lang w:val="en-US" w:eastAsia="zh-CN"/>
              </w:rPr>
            </w:pPr>
            <w:r>
              <w:rPr>
                <w:rFonts w:hint="default" w:ascii="Times New Roman" w:hAnsi="Times New Roman" w:eastAsia="宋体" w:cs="Times New Roman"/>
                <w:color w:val="FF0000"/>
                <w:sz w:val="21"/>
                <w:szCs w:val="21"/>
                <w:lang w:val="en-US" w:eastAsia="zh-CN"/>
              </w:rPr>
              <w:t xml:space="preserve">56.33 </w:t>
            </w:r>
          </w:p>
        </w:tc>
        <w:tc>
          <w:tcPr>
            <w:tcW w:w="1075" w:type="dxa"/>
            <w:tcBorders>
              <w:tl2br w:val="nil"/>
              <w:tr2bl w:val="nil"/>
            </w:tcBorders>
            <w:shd w:val="clear" w:color="auto" w:fill="auto"/>
            <w:vAlign w:val="center"/>
          </w:tcPr>
          <w:p w14:paraId="2DAB744E">
            <w:pPr>
              <w:pStyle w:val="128"/>
              <w:spacing w:line="240" w:lineRule="auto"/>
              <w:jc w:val="center"/>
              <w:rPr>
                <w:rFonts w:hint="eastAsia" w:ascii="Times New Roman" w:hAnsi="Times New Roman" w:eastAsia="宋体" w:cs="Times New Roman"/>
                <w:color w:val="FF0000"/>
                <w:sz w:val="21"/>
                <w:szCs w:val="21"/>
                <w:lang w:val="en-US" w:eastAsia="zh-CN"/>
              </w:rPr>
            </w:pPr>
            <w:r>
              <w:rPr>
                <w:rFonts w:hint="eastAsia" w:ascii="Times New Roman" w:hAnsi="Times New Roman" w:eastAsia="宋体" w:cs="Times New Roman"/>
                <w:color w:val="FF0000"/>
                <w:sz w:val="21"/>
                <w:szCs w:val="21"/>
                <w:lang w:val="en-US" w:eastAsia="zh-CN"/>
              </w:rPr>
              <w:t>616.15</w:t>
            </w:r>
          </w:p>
        </w:tc>
        <w:tc>
          <w:tcPr>
            <w:tcW w:w="1929" w:type="pct"/>
            <w:tcBorders>
              <w:tl2br w:val="nil"/>
              <w:tr2bl w:val="nil"/>
            </w:tcBorders>
            <w:shd w:val="clear" w:color="auto" w:fill="auto"/>
            <w:vAlign w:val="center"/>
          </w:tcPr>
          <w:p w14:paraId="6F9608CE">
            <w:pPr>
              <w:keepNext w:val="0"/>
              <w:keepLines w:val="0"/>
              <w:widowControl/>
              <w:suppressLineNumbers w:val="0"/>
              <w:spacing w:line="240" w:lineRule="auto"/>
              <w:jc w:val="center"/>
              <w:textAlignment w:val="center"/>
              <w:rPr>
                <w:rFonts w:hint="eastAsia" w:ascii="宋体" w:hAnsi="宋体" w:cs="宋体"/>
                <w:i w:val="0"/>
                <w:iCs w:val="0"/>
                <w:color w:val="FF0000"/>
                <w:kern w:val="0"/>
                <w:sz w:val="21"/>
                <w:szCs w:val="21"/>
                <w:u w:val="none"/>
                <w:lang w:val="en-US" w:eastAsia="zh-CN" w:bidi="ar"/>
              </w:rPr>
            </w:pPr>
            <w:r>
              <w:rPr>
                <w:rFonts w:hint="eastAsia" w:ascii="宋体" w:hAnsi="宋体" w:cs="宋体"/>
                <w:i w:val="0"/>
                <w:iCs w:val="0"/>
                <w:color w:val="FF0000"/>
                <w:kern w:val="0"/>
                <w:sz w:val="21"/>
                <w:szCs w:val="21"/>
                <w:u w:val="none"/>
                <w:lang w:val="en-US" w:eastAsia="zh-CN" w:bidi="ar"/>
              </w:rPr>
              <w:t>车窗、前后挡风、天窗、后视镜</w:t>
            </w:r>
          </w:p>
        </w:tc>
      </w:tr>
      <w:tr w14:paraId="0605FA9D">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 w:type="dxa"/>
            <w:bottom w:w="0" w:type="dxa"/>
            <w:right w:w="10" w:type="dxa"/>
          </w:tblCellMar>
        </w:tblPrEx>
        <w:trPr>
          <w:trHeight w:val="57" w:hRule="atLeast"/>
          <w:jc w:val="center"/>
        </w:trPr>
        <w:tc>
          <w:tcPr>
            <w:tcW w:w="726" w:type="pct"/>
            <w:tcBorders>
              <w:tl2br w:val="nil"/>
              <w:tr2bl w:val="nil"/>
            </w:tcBorders>
            <w:shd w:val="clear" w:color="auto" w:fill="auto"/>
            <w:vAlign w:val="center"/>
          </w:tcPr>
          <w:p w14:paraId="55DA85EE">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FF0000"/>
                <w:kern w:val="0"/>
                <w:sz w:val="21"/>
                <w:szCs w:val="21"/>
                <w:u w:val="none"/>
                <w:lang w:val="en-US" w:eastAsia="zh-CN" w:bidi="ar"/>
              </w:rPr>
            </w:pPr>
            <w:r>
              <w:rPr>
                <w:rFonts w:hint="default" w:ascii="Times New Roman" w:hAnsi="Times New Roman" w:cs="Times New Roman"/>
                <w:i w:val="0"/>
                <w:iCs w:val="0"/>
                <w:color w:val="FF0000"/>
                <w:kern w:val="0"/>
                <w:sz w:val="21"/>
                <w:szCs w:val="21"/>
                <w:u w:val="none"/>
                <w:lang w:val="en-US" w:eastAsia="zh-CN" w:bidi="ar"/>
              </w:rPr>
              <w:t>动力电池</w:t>
            </w:r>
          </w:p>
        </w:tc>
        <w:tc>
          <w:tcPr>
            <w:tcW w:w="258" w:type="pct"/>
            <w:tcBorders>
              <w:tl2br w:val="nil"/>
              <w:tr2bl w:val="nil"/>
            </w:tcBorders>
            <w:shd w:val="clear" w:color="auto" w:fill="auto"/>
            <w:vAlign w:val="center"/>
          </w:tcPr>
          <w:p w14:paraId="1865D569">
            <w:pPr>
              <w:pStyle w:val="128"/>
              <w:spacing w:line="240" w:lineRule="auto"/>
              <w:jc w:val="center"/>
              <w:rPr>
                <w:rFonts w:hint="default" w:ascii="Times New Roman" w:hAnsi="Times New Roman" w:eastAsia="宋体" w:cs="Times New Roman"/>
                <w:color w:val="FF0000"/>
                <w:sz w:val="21"/>
                <w:szCs w:val="21"/>
                <w:lang w:val="en-US" w:eastAsia="zh-CN"/>
              </w:rPr>
            </w:pPr>
            <w:r>
              <w:rPr>
                <w:rFonts w:hint="eastAsia" w:ascii="Times New Roman" w:hAnsi="Times New Roman" w:eastAsia="宋体" w:cs="Times New Roman"/>
                <w:color w:val="FF0000"/>
                <w:sz w:val="21"/>
                <w:szCs w:val="21"/>
                <w:lang w:val="en-US" w:eastAsia="zh-CN"/>
              </w:rPr>
              <w:t>0%</w:t>
            </w:r>
          </w:p>
        </w:tc>
        <w:tc>
          <w:tcPr>
            <w:tcW w:w="260" w:type="pct"/>
            <w:tcBorders>
              <w:tl2br w:val="nil"/>
              <w:tr2bl w:val="nil"/>
            </w:tcBorders>
            <w:shd w:val="clear" w:color="auto" w:fill="auto"/>
            <w:vAlign w:val="center"/>
          </w:tcPr>
          <w:p w14:paraId="0183E535">
            <w:pPr>
              <w:pStyle w:val="128"/>
              <w:spacing w:line="240" w:lineRule="auto"/>
              <w:jc w:val="center"/>
              <w:rPr>
                <w:rFonts w:hint="default" w:ascii="Times New Roman" w:hAnsi="Times New Roman" w:eastAsia="宋体" w:cs="Times New Roman"/>
                <w:color w:val="FF0000"/>
                <w:sz w:val="21"/>
                <w:szCs w:val="21"/>
                <w:lang w:val="en-US" w:eastAsia="zh-CN"/>
              </w:rPr>
            </w:pPr>
            <w:r>
              <w:rPr>
                <w:rFonts w:hint="eastAsia" w:ascii="Times New Roman" w:hAnsi="Times New Roman" w:eastAsia="宋体" w:cs="Times New Roman"/>
                <w:color w:val="FF0000"/>
                <w:sz w:val="21"/>
                <w:szCs w:val="21"/>
                <w:lang w:val="en-US" w:eastAsia="zh-CN"/>
              </w:rPr>
              <w:t>0</w:t>
            </w:r>
          </w:p>
        </w:tc>
        <w:tc>
          <w:tcPr>
            <w:tcW w:w="258" w:type="pct"/>
            <w:tcBorders>
              <w:tl2br w:val="nil"/>
              <w:tr2bl w:val="nil"/>
            </w:tcBorders>
            <w:shd w:val="clear" w:color="auto" w:fill="auto"/>
            <w:vAlign w:val="center"/>
          </w:tcPr>
          <w:p w14:paraId="5440579D">
            <w:pPr>
              <w:pStyle w:val="128"/>
              <w:spacing w:line="240" w:lineRule="auto"/>
              <w:jc w:val="center"/>
              <w:rPr>
                <w:rFonts w:hint="default" w:ascii="Times New Roman" w:hAnsi="Times New Roman" w:eastAsia="宋体" w:cs="Times New Roman"/>
                <w:color w:val="FF0000"/>
                <w:sz w:val="21"/>
                <w:szCs w:val="21"/>
                <w:lang w:val="en-US" w:eastAsia="zh-CN"/>
              </w:rPr>
            </w:pPr>
            <w:r>
              <w:rPr>
                <w:rFonts w:hint="eastAsia" w:ascii="Times New Roman" w:hAnsi="Times New Roman" w:eastAsia="宋体" w:cs="Times New Roman"/>
                <w:color w:val="FF0000"/>
                <w:sz w:val="21"/>
                <w:szCs w:val="21"/>
                <w:lang w:val="en-US" w:eastAsia="zh-CN"/>
              </w:rPr>
              <w:t>0%</w:t>
            </w:r>
          </w:p>
        </w:tc>
        <w:tc>
          <w:tcPr>
            <w:tcW w:w="258" w:type="pct"/>
            <w:tcBorders>
              <w:tl2br w:val="nil"/>
              <w:tr2bl w:val="nil"/>
            </w:tcBorders>
            <w:shd w:val="clear" w:color="auto" w:fill="auto"/>
            <w:vAlign w:val="center"/>
          </w:tcPr>
          <w:p w14:paraId="7AE689F5">
            <w:pPr>
              <w:pStyle w:val="128"/>
              <w:spacing w:line="240" w:lineRule="auto"/>
              <w:jc w:val="center"/>
              <w:rPr>
                <w:rFonts w:hint="default" w:ascii="Times New Roman" w:hAnsi="Times New Roman" w:eastAsia="宋体" w:cs="Times New Roman"/>
                <w:color w:val="FF0000"/>
                <w:sz w:val="21"/>
                <w:szCs w:val="21"/>
                <w:lang w:val="en-US" w:eastAsia="zh-CN"/>
              </w:rPr>
            </w:pPr>
            <w:r>
              <w:rPr>
                <w:rFonts w:hint="eastAsia" w:ascii="Times New Roman" w:hAnsi="Times New Roman" w:eastAsia="宋体" w:cs="Times New Roman"/>
                <w:color w:val="FF0000"/>
                <w:sz w:val="21"/>
                <w:szCs w:val="21"/>
                <w:lang w:val="en-US" w:eastAsia="zh-CN"/>
              </w:rPr>
              <w:t>0</w:t>
            </w:r>
          </w:p>
        </w:tc>
        <w:tc>
          <w:tcPr>
            <w:tcW w:w="260" w:type="pct"/>
            <w:tcBorders>
              <w:tl2br w:val="nil"/>
              <w:tr2bl w:val="nil"/>
            </w:tcBorders>
            <w:shd w:val="clear" w:color="auto" w:fill="auto"/>
            <w:vAlign w:val="center"/>
          </w:tcPr>
          <w:p w14:paraId="6ED1DFAC">
            <w:pPr>
              <w:pStyle w:val="128"/>
              <w:spacing w:line="240" w:lineRule="auto"/>
              <w:jc w:val="center"/>
              <w:rPr>
                <w:rFonts w:hint="default" w:ascii="Times New Roman" w:hAnsi="Times New Roman" w:eastAsia="宋体" w:cs="Times New Roman"/>
                <w:color w:val="FF0000"/>
                <w:sz w:val="21"/>
                <w:szCs w:val="21"/>
                <w:lang w:val="en-US" w:eastAsia="zh-CN"/>
              </w:rPr>
            </w:pPr>
            <w:r>
              <w:rPr>
                <w:rFonts w:hint="eastAsia" w:ascii="Times New Roman" w:hAnsi="Times New Roman" w:eastAsia="宋体" w:cs="Times New Roman"/>
                <w:color w:val="FF0000"/>
                <w:sz w:val="21"/>
                <w:szCs w:val="21"/>
                <w:lang w:val="en-US" w:eastAsia="zh-CN"/>
              </w:rPr>
              <w:t>0%</w:t>
            </w:r>
          </w:p>
        </w:tc>
        <w:tc>
          <w:tcPr>
            <w:tcW w:w="263" w:type="pct"/>
            <w:tcBorders>
              <w:tl2br w:val="nil"/>
              <w:tr2bl w:val="nil"/>
            </w:tcBorders>
            <w:shd w:val="clear" w:color="auto" w:fill="auto"/>
            <w:vAlign w:val="center"/>
          </w:tcPr>
          <w:p w14:paraId="095E0EFA">
            <w:pPr>
              <w:pStyle w:val="128"/>
              <w:spacing w:line="240" w:lineRule="auto"/>
              <w:jc w:val="center"/>
              <w:rPr>
                <w:rFonts w:hint="default" w:ascii="Times New Roman" w:hAnsi="Times New Roman" w:eastAsia="宋体" w:cs="Times New Roman"/>
                <w:color w:val="FF0000"/>
                <w:sz w:val="21"/>
                <w:szCs w:val="21"/>
                <w:lang w:val="en-US" w:eastAsia="zh-CN"/>
              </w:rPr>
            </w:pPr>
            <w:r>
              <w:rPr>
                <w:rFonts w:hint="eastAsia" w:ascii="Times New Roman" w:hAnsi="Times New Roman" w:eastAsia="宋体" w:cs="Times New Roman"/>
                <w:color w:val="FF0000"/>
                <w:sz w:val="21"/>
                <w:szCs w:val="21"/>
                <w:lang w:val="en-US" w:eastAsia="zh-CN"/>
              </w:rPr>
              <w:t>0</w:t>
            </w:r>
          </w:p>
        </w:tc>
        <w:tc>
          <w:tcPr>
            <w:tcW w:w="1063" w:type="dxa"/>
            <w:tcBorders>
              <w:tl2br w:val="nil"/>
              <w:tr2bl w:val="nil"/>
            </w:tcBorders>
            <w:shd w:val="clear" w:color="auto" w:fill="auto"/>
            <w:vAlign w:val="center"/>
          </w:tcPr>
          <w:p w14:paraId="51448CE4">
            <w:pPr>
              <w:pStyle w:val="128"/>
              <w:spacing w:line="240" w:lineRule="auto"/>
              <w:jc w:val="center"/>
              <w:rPr>
                <w:rFonts w:hint="default" w:ascii="Times New Roman" w:hAnsi="Times New Roman" w:eastAsia="宋体" w:cs="Times New Roman"/>
                <w:color w:val="FF0000"/>
                <w:sz w:val="21"/>
                <w:szCs w:val="21"/>
                <w:lang w:val="en-US" w:eastAsia="zh-CN"/>
              </w:rPr>
            </w:pPr>
            <w:r>
              <w:rPr>
                <w:rFonts w:hint="default" w:ascii="Times New Roman" w:hAnsi="Times New Roman" w:eastAsia="宋体" w:cs="Times New Roman"/>
                <w:color w:val="FF0000"/>
                <w:sz w:val="21"/>
                <w:szCs w:val="21"/>
                <w:lang w:val="en-US" w:eastAsia="zh-CN"/>
              </w:rPr>
              <w:t>4.9315%</w:t>
            </w:r>
          </w:p>
        </w:tc>
        <w:tc>
          <w:tcPr>
            <w:tcW w:w="1075" w:type="dxa"/>
            <w:tcBorders>
              <w:tl2br w:val="nil"/>
              <w:tr2bl w:val="nil"/>
            </w:tcBorders>
            <w:shd w:val="clear" w:color="auto" w:fill="auto"/>
            <w:vAlign w:val="center"/>
          </w:tcPr>
          <w:p w14:paraId="6DED63BE">
            <w:pPr>
              <w:pStyle w:val="128"/>
              <w:spacing w:line="240" w:lineRule="auto"/>
              <w:jc w:val="center"/>
              <w:rPr>
                <w:rFonts w:hint="default" w:ascii="Times New Roman" w:hAnsi="Times New Roman" w:eastAsia="宋体" w:cs="Times New Roman"/>
                <w:color w:val="FF0000"/>
                <w:sz w:val="21"/>
                <w:szCs w:val="21"/>
                <w:lang w:val="en-US" w:eastAsia="zh-CN"/>
              </w:rPr>
            </w:pPr>
            <w:r>
              <w:rPr>
                <w:rFonts w:hint="default" w:ascii="Times New Roman" w:hAnsi="Times New Roman" w:eastAsia="宋体" w:cs="Times New Roman"/>
                <w:color w:val="FF0000"/>
                <w:sz w:val="21"/>
                <w:szCs w:val="21"/>
                <w:lang w:val="en-US" w:eastAsia="zh-CN"/>
              </w:rPr>
              <w:t xml:space="preserve">253.48 </w:t>
            </w:r>
          </w:p>
        </w:tc>
        <w:tc>
          <w:tcPr>
            <w:tcW w:w="1075" w:type="dxa"/>
            <w:tcBorders>
              <w:tl2br w:val="nil"/>
              <w:tr2bl w:val="nil"/>
            </w:tcBorders>
            <w:shd w:val="clear" w:color="auto" w:fill="auto"/>
            <w:vAlign w:val="center"/>
          </w:tcPr>
          <w:p w14:paraId="03E7609A">
            <w:pPr>
              <w:pStyle w:val="128"/>
              <w:spacing w:line="240" w:lineRule="auto"/>
              <w:jc w:val="center"/>
              <w:rPr>
                <w:rFonts w:hint="default" w:ascii="Times New Roman" w:hAnsi="Times New Roman" w:eastAsia="宋体" w:cs="Times New Roman"/>
                <w:color w:val="FF0000"/>
                <w:sz w:val="21"/>
                <w:szCs w:val="21"/>
                <w:lang w:val="en-US" w:eastAsia="zh-CN"/>
              </w:rPr>
            </w:pPr>
            <w:r>
              <w:rPr>
                <w:rFonts w:hint="eastAsia" w:ascii="Times New Roman" w:hAnsi="Times New Roman" w:eastAsia="宋体" w:cs="Times New Roman"/>
                <w:color w:val="FF0000"/>
                <w:sz w:val="21"/>
                <w:szCs w:val="21"/>
                <w:lang w:val="en-US" w:eastAsia="zh-CN"/>
              </w:rPr>
              <w:t>253.48</w:t>
            </w:r>
          </w:p>
        </w:tc>
        <w:tc>
          <w:tcPr>
            <w:tcW w:w="1929" w:type="pct"/>
            <w:tcBorders>
              <w:tl2br w:val="nil"/>
              <w:tr2bl w:val="nil"/>
            </w:tcBorders>
            <w:shd w:val="clear" w:color="auto" w:fill="auto"/>
            <w:vAlign w:val="center"/>
          </w:tcPr>
          <w:p w14:paraId="1BA22044">
            <w:pPr>
              <w:keepNext w:val="0"/>
              <w:keepLines w:val="0"/>
              <w:widowControl/>
              <w:suppressLineNumbers w:val="0"/>
              <w:spacing w:line="240" w:lineRule="auto"/>
              <w:jc w:val="center"/>
              <w:textAlignment w:val="center"/>
              <w:rPr>
                <w:rFonts w:hint="eastAsia" w:ascii="宋体" w:hAnsi="宋体" w:eastAsia="宋体" w:cs="宋体"/>
                <w:i w:val="0"/>
                <w:iCs w:val="0"/>
                <w:color w:val="FF0000"/>
                <w:kern w:val="0"/>
                <w:sz w:val="21"/>
                <w:szCs w:val="21"/>
                <w:u w:val="none"/>
                <w:lang w:val="en-US" w:eastAsia="zh-CN" w:bidi="ar"/>
              </w:rPr>
            </w:pPr>
            <w:r>
              <w:rPr>
                <w:rFonts w:hint="eastAsia" w:ascii="宋体" w:hAnsi="宋体" w:cs="宋体"/>
                <w:i w:val="0"/>
                <w:iCs w:val="0"/>
                <w:color w:val="FF0000"/>
                <w:kern w:val="0"/>
                <w:sz w:val="21"/>
                <w:szCs w:val="21"/>
                <w:u w:val="none"/>
                <w:lang w:val="en-US" w:eastAsia="zh-CN" w:bidi="ar"/>
              </w:rPr>
              <w:t>锂电池</w:t>
            </w:r>
          </w:p>
        </w:tc>
      </w:tr>
      <w:tr w14:paraId="19A7EE51">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 w:type="dxa"/>
            <w:bottom w:w="0" w:type="dxa"/>
            <w:right w:w="10" w:type="dxa"/>
          </w:tblCellMar>
        </w:tblPrEx>
        <w:trPr>
          <w:trHeight w:val="90" w:hRule="atLeast"/>
          <w:jc w:val="center"/>
        </w:trPr>
        <w:tc>
          <w:tcPr>
            <w:tcW w:w="726" w:type="pct"/>
            <w:tcBorders>
              <w:tl2br w:val="nil"/>
              <w:tr2bl w:val="nil"/>
            </w:tcBorders>
            <w:shd w:val="clear" w:color="auto" w:fill="auto"/>
            <w:vAlign w:val="center"/>
          </w:tcPr>
          <w:p w14:paraId="0893515B">
            <w:pPr>
              <w:keepNext w:val="0"/>
              <w:keepLines w:val="0"/>
              <w:widowControl/>
              <w:suppressLineNumbers w:val="0"/>
              <w:spacing w:line="240" w:lineRule="auto"/>
              <w:jc w:val="center"/>
              <w:textAlignment w:val="center"/>
              <w:rPr>
                <w:rFonts w:hint="default" w:ascii="Times New Roman" w:hAnsi="Times New Roman" w:cs="Times New Roman"/>
                <w:i w:val="0"/>
                <w:iCs w:val="0"/>
                <w:color w:val="FF0000"/>
                <w:kern w:val="0"/>
                <w:sz w:val="21"/>
                <w:szCs w:val="21"/>
                <w:u w:val="none"/>
                <w:lang w:val="en-US" w:eastAsia="zh-CN" w:bidi="ar"/>
              </w:rPr>
            </w:pPr>
            <w:r>
              <w:rPr>
                <w:rFonts w:hint="default" w:ascii="Times New Roman" w:hAnsi="Times New Roman" w:cs="Times New Roman"/>
                <w:i w:val="0"/>
                <w:iCs w:val="0"/>
                <w:color w:val="FF0000"/>
                <w:kern w:val="0"/>
                <w:sz w:val="21"/>
                <w:szCs w:val="21"/>
                <w:u w:val="none"/>
                <w:lang w:val="en-US" w:eastAsia="zh-CN" w:bidi="ar"/>
              </w:rPr>
              <w:t>废皮布制品</w:t>
            </w:r>
          </w:p>
        </w:tc>
        <w:tc>
          <w:tcPr>
            <w:tcW w:w="258" w:type="pct"/>
            <w:tcBorders>
              <w:tl2br w:val="nil"/>
              <w:tr2bl w:val="nil"/>
            </w:tcBorders>
            <w:shd w:val="clear" w:color="auto" w:fill="auto"/>
            <w:vAlign w:val="center"/>
          </w:tcPr>
          <w:p w14:paraId="412E84FE">
            <w:pPr>
              <w:pStyle w:val="128"/>
              <w:spacing w:line="240" w:lineRule="auto"/>
              <w:jc w:val="center"/>
              <w:rPr>
                <w:rFonts w:hint="default" w:ascii="Times New Roman" w:hAnsi="Times New Roman" w:eastAsia="宋体" w:cs="Times New Roman"/>
                <w:color w:val="FF0000"/>
                <w:sz w:val="21"/>
                <w:szCs w:val="21"/>
                <w:lang w:val="en-US" w:eastAsia="zh-CN"/>
              </w:rPr>
            </w:pPr>
            <w:r>
              <w:rPr>
                <w:rFonts w:hint="eastAsia" w:ascii="Times New Roman" w:hAnsi="Times New Roman" w:eastAsia="宋体" w:cs="Times New Roman"/>
                <w:color w:val="FF0000"/>
                <w:sz w:val="21"/>
                <w:szCs w:val="21"/>
                <w:lang w:val="en-US" w:eastAsia="zh-CN"/>
              </w:rPr>
              <w:t>1.0235%</w:t>
            </w:r>
          </w:p>
        </w:tc>
        <w:tc>
          <w:tcPr>
            <w:tcW w:w="260" w:type="pct"/>
            <w:tcBorders>
              <w:tl2br w:val="nil"/>
              <w:tr2bl w:val="nil"/>
            </w:tcBorders>
            <w:shd w:val="clear" w:color="auto" w:fill="auto"/>
            <w:vAlign w:val="center"/>
          </w:tcPr>
          <w:p w14:paraId="6FFC1670">
            <w:pPr>
              <w:pStyle w:val="128"/>
              <w:spacing w:line="240" w:lineRule="auto"/>
              <w:jc w:val="center"/>
              <w:rPr>
                <w:rFonts w:hint="default" w:ascii="Times New Roman" w:hAnsi="Times New Roman" w:eastAsia="宋体" w:cs="Times New Roman"/>
                <w:color w:val="FF0000"/>
                <w:sz w:val="21"/>
                <w:szCs w:val="21"/>
                <w:lang w:val="en-US" w:eastAsia="zh-CN"/>
              </w:rPr>
            </w:pPr>
            <w:r>
              <w:rPr>
                <w:rFonts w:hint="eastAsia" w:ascii="Times New Roman" w:hAnsi="Times New Roman" w:eastAsia="宋体" w:cs="Times New Roman"/>
                <w:color w:val="FF0000"/>
                <w:sz w:val="21"/>
                <w:szCs w:val="21"/>
                <w:lang w:val="en-US" w:eastAsia="zh-CN"/>
              </w:rPr>
              <w:t>38.99</w:t>
            </w:r>
          </w:p>
        </w:tc>
        <w:tc>
          <w:tcPr>
            <w:tcW w:w="258" w:type="pct"/>
            <w:tcBorders>
              <w:tl2br w:val="nil"/>
              <w:tr2bl w:val="nil"/>
            </w:tcBorders>
            <w:shd w:val="clear" w:color="auto" w:fill="auto"/>
            <w:vAlign w:val="center"/>
          </w:tcPr>
          <w:p w14:paraId="4A982749">
            <w:pPr>
              <w:pStyle w:val="128"/>
              <w:spacing w:line="240" w:lineRule="auto"/>
              <w:jc w:val="center"/>
              <w:rPr>
                <w:rFonts w:hint="eastAsia" w:ascii="Times New Roman" w:hAnsi="Times New Roman" w:eastAsia="宋体" w:cs="Times New Roman"/>
                <w:color w:val="FF0000"/>
                <w:sz w:val="21"/>
                <w:szCs w:val="21"/>
                <w:lang w:val="en-US" w:eastAsia="zh-CN"/>
              </w:rPr>
            </w:pPr>
            <w:r>
              <w:rPr>
                <w:rFonts w:hint="eastAsia" w:ascii="Times New Roman" w:hAnsi="Times New Roman" w:eastAsia="宋体" w:cs="Times New Roman"/>
                <w:color w:val="FF0000"/>
                <w:sz w:val="21"/>
                <w:szCs w:val="21"/>
                <w:lang w:val="en-US" w:eastAsia="zh-CN"/>
              </w:rPr>
              <w:t>1.4829%</w:t>
            </w:r>
          </w:p>
        </w:tc>
        <w:tc>
          <w:tcPr>
            <w:tcW w:w="258" w:type="pct"/>
            <w:tcBorders>
              <w:tl2br w:val="nil"/>
              <w:tr2bl w:val="nil"/>
            </w:tcBorders>
            <w:shd w:val="clear" w:color="auto" w:fill="auto"/>
            <w:vAlign w:val="center"/>
          </w:tcPr>
          <w:p w14:paraId="5BF36F4F">
            <w:pPr>
              <w:pStyle w:val="128"/>
              <w:spacing w:line="240" w:lineRule="auto"/>
              <w:jc w:val="center"/>
              <w:rPr>
                <w:rFonts w:hint="default" w:ascii="Times New Roman" w:hAnsi="Times New Roman" w:eastAsia="宋体" w:cs="Times New Roman"/>
                <w:color w:val="FF0000"/>
                <w:sz w:val="21"/>
                <w:szCs w:val="21"/>
                <w:lang w:val="en-US" w:eastAsia="zh-CN"/>
              </w:rPr>
            </w:pPr>
            <w:r>
              <w:rPr>
                <w:rFonts w:hint="eastAsia" w:ascii="Times New Roman" w:hAnsi="Times New Roman" w:eastAsia="宋体" w:cs="Times New Roman"/>
                <w:color w:val="FF0000"/>
                <w:sz w:val="21"/>
                <w:szCs w:val="21"/>
                <w:lang w:val="en-US" w:eastAsia="zh-CN"/>
              </w:rPr>
              <w:t xml:space="preserve">298.06 </w:t>
            </w:r>
          </w:p>
        </w:tc>
        <w:tc>
          <w:tcPr>
            <w:tcW w:w="260" w:type="pct"/>
            <w:tcBorders>
              <w:tl2br w:val="nil"/>
              <w:tr2bl w:val="nil"/>
            </w:tcBorders>
            <w:shd w:val="clear" w:color="auto" w:fill="auto"/>
            <w:vAlign w:val="center"/>
          </w:tcPr>
          <w:p w14:paraId="2939ADA4">
            <w:pPr>
              <w:pStyle w:val="128"/>
              <w:spacing w:line="240" w:lineRule="auto"/>
              <w:jc w:val="center"/>
              <w:rPr>
                <w:rFonts w:hint="eastAsia" w:ascii="Times New Roman" w:hAnsi="Times New Roman" w:eastAsia="宋体" w:cs="Times New Roman"/>
                <w:color w:val="FF0000"/>
                <w:sz w:val="21"/>
                <w:szCs w:val="21"/>
                <w:lang w:val="en-US" w:eastAsia="zh-CN"/>
              </w:rPr>
            </w:pPr>
            <w:r>
              <w:rPr>
                <w:rFonts w:hint="eastAsia" w:ascii="Times New Roman" w:hAnsi="Times New Roman" w:eastAsia="宋体" w:cs="Times New Roman"/>
                <w:color w:val="FF0000"/>
                <w:sz w:val="21"/>
                <w:szCs w:val="21"/>
                <w:lang w:val="en-US" w:eastAsia="zh-CN"/>
              </w:rPr>
              <w:t>0.2569%</w:t>
            </w:r>
          </w:p>
        </w:tc>
        <w:tc>
          <w:tcPr>
            <w:tcW w:w="263" w:type="pct"/>
            <w:tcBorders>
              <w:tl2br w:val="nil"/>
              <w:tr2bl w:val="nil"/>
            </w:tcBorders>
            <w:shd w:val="clear" w:color="auto" w:fill="auto"/>
            <w:vAlign w:val="center"/>
          </w:tcPr>
          <w:p w14:paraId="4E324645">
            <w:pPr>
              <w:pStyle w:val="128"/>
              <w:spacing w:line="240" w:lineRule="auto"/>
              <w:jc w:val="center"/>
              <w:rPr>
                <w:rFonts w:hint="eastAsia" w:ascii="Times New Roman" w:hAnsi="Times New Roman" w:eastAsia="宋体" w:cs="Times New Roman"/>
                <w:color w:val="FF0000"/>
                <w:sz w:val="21"/>
                <w:szCs w:val="21"/>
                <w:lang w:val="en-US" w:eastAsia="zh-CN"/>
              </w:rPr>
            </w:pPr>
            <w:r>
              <w:rPr>
                <w:rFonts w:hint="eastAsia" w:ascii="Times New Roman" w:hAnsi="Times New Roman" w:eastAsia="宋体" w:cs="Times New Roman"/>
                <w:color w:val="FF0000"/>
                <w:sz w:val="21"/>
                <w:szCs w:val="21"/>
                <w:lang w:val="en-US" w:eastAsia="zh-CN"/>
              </w:rPr>
              <w:t xml:space="preserve">110.32 </w:t>
            </w:r>
          </w:p>
        </w:tc>
        <w:tc>
          <w:tcPr>
            <w:tcW w:w="1063" w:type="dxa"/>
            <w:tcBorders>
              <w:tl2br w:val="nil"/>
              <w:tr2bl w:val="nil"/>
            </w:tcBorders>
            <w:shd w:val="clear" w:color="auto" w:fill="auto"/>
            <w:vAlign w:val="center"/>
          </w:tcPr>
          <w:p w14:paraId="0A6D33C6">
            <w:pPr>
              <w:pStyle w:val="128"/>
              <w:spacing w:line="240" w:lineRule="auto"/>
              <w:jc w:val="center"/>
              <w:rPr>
                <w:rFonts w:hint="eastAsia" w:ascii="Times New Roman" w:hAnsi="Times New Roman" w:eastAsia="宋体" w:cs="Times New Roman"/>
                <w:color w:val="FF0000"/>
                <w:sz w:val="21"/>
                <w:szCs w:val="21"/>
                <w:lang w:val="en-US" w:eastAsia="zh-CN"/>
              </w:rPr>
            </w:pPr>
            <w:r>
              <w:rPr>
                <w:rFonts w:hint="eastAsia" w:ascii="Times New Roman" w:hAnsi="Times New Roman" w:eastAsia="宋体" w:cs="Times New Roman"/>
                <w:color w:val="FF0000"/>
                <w:sz w:val="21"/>
                <w:szCs w:val="21"/>
                <w:lang w:val="en-US" w:eastAsia="zh-CN"/>
              </w:rPr>
              <w:t>4.4274%</w:t>
            </w:r>
          </w:p>
        </w:tc>
        <w:tc>
          <w:tcPr>
            <w:tcW w:w="1075" w:type="dxa"/>
            <w:tcBorders>
              <w:tl2br w:val="nil"/>
              <w:tr2bl w:val="nil"/>
            </w:tcBorders>
            <w:shd w:val="clear" w:color="auto" w:fill="auto"/>
            <w:vAlign w:val="center"/>
          </w:tcPr>
          <w:p w14:paraId="5692EAF2">
            <w:pPr>
              <w:pStyle w:val="128"/>
              <w:spacing w:line="240" w:lineRule="auto"/>
              <w:jc w:val="center"/>
              <w:rPr>
                <w:rFonts w:hint="eastAsia" w:ascii="Times New Roman" w:hAnsi="Times New Roman" w:eastAsia="宋体" w:cs="Times New Roman"/>
                <w:color w:val="FF0000"/>
                <w:sz w:val="21"/>
                <w:szCs w:val="21"/>
                <w:lang w:val="en-US" w:eastAsia="zh-CN"/>
              </w:rPr>
            </w:pPr>
            <w:r>
              <w:rPr>
                <w:rFonts w:hint="eastAsia" w:ascii="Times New Roman" w:hAnsi="Times New Roman" w:eastAsia="宋体" w:cs="Times New Roman"/>
                <w:color w:val="FF0000"/>
                <w:sz w:val="21"/>
                <w:szCs w:val="21"/>
                <w:lang w:val="en-US" w:eastAsia="zh-CN"/>
              </w:rPr>
              <w:t xml:space="preserve">227.57 </w:t>
            </w:r>
          </w:p>
        </w:tc>
        <w:tc>
          <w:tcPr>
            <w:tcW w:w="1075" w:type="dxa"/>
            <w:tcBorders>
              <w:tl2br w:val="nil"/>
              <w:tr2bl w:val="nil"/>
            </w:tcBorders>
            <w:shd w:val="clear" w:color="auto" w:fill="auto"/>
            <w:vAlign w:val="center"/>
          </w:tcPr>
          <w:p w14:paraId="1A3D5A57">
            <w:pPr>
              <w:pStyle w:val="128"/>
              <w:spacing w:line="240" w:lineRule="auto"/>
              <w:jc w:val="center"/>
              <w:rPr>
                <w:rFonts w:hint="eastAsia" w:ascii="Times New Roman" w:hAnsi="Times New Roman" w:eastAsia="宋体" w:cs="Times New Roman"/>
                <w:color w:val="FF0000"/>
                <w:sz w:val="21"/>
                <w:szCs w:val="21"/>
                <w:lang w:val="en-US" w:eastAsia="zh-CN"/>
              </w:rPr>
            </w:pPr>
            <w:r>
              <w:rPr>
                <w:rFonts w:hint="eastAsia" w:ascii="Times New Roman" w:hAnsi="Times New Roman" w:eastAsia="宋体" w:cs="Times New Roman"/>
                <w:color w:val="FF0000"/>
                <w:sz w:val="21"/>
                <w:szCs w:val="21"/>
                <w:lang w:val="en-US" w:eastAsia="zh-CN"/>
              </w:rPr>
              <w:t>674.94</w:t>
            </w:r>
          </w:p>
        </w:tc>
        <w:tc>
          <w:tcPr>
            <w:tcW w:w="1929" w:type="pct"/>
            <w:tcBorders>
              <w:tl2br w:val="nil"/>
              <w:tr2bl w:val="nil"/>
            </w:tcBorders>
            <w:shd w:val="clear" w:color="auto" w:fill="auto"/>
            <w:vAlign w:val="center"/>
          </w:tcPr>
          <w:p w14:paraId="456C97F9">
            <w:pPr>
              <w:keepNext w:val="0"/>
              <w:keepLines w:val="0"/>
              <w:widowControl/>
              <w:suppressLineNumbers w:val="0"/>
              <w:spacing w:line="240" w:lineRule="auto"/>
              <w:jc w:val="center"/>
              <w:textAlignment w:val="center"/>
              <w:rPr>
                <w:rFonts w:hint="eastAsia" w:ascii="宋体" w:hAnsi="宋体" w:cs="宋体"/>
                <w:i w:val="0"/>
                <w:iCs w:val="0"/>
                <w:color w:val="FF0000"/>
                <w:kern w:val="0"/>
                <w:sz w:val="21"/>
                <w:szCs w:val="21"/>
                <w:u w:val="none"/>
                <w:lang w:val="en-US" w:eastAsia="zh-CN" w:bidi="ar"/>
              </w:rPr>
            </w:pPr>
            <w:r>
              <w:rPr>
                <w:rFonts w:hint="eastAsia" w:ascii="宋体" w:hAnsi="宋体" w:cs="宋体"/>
                <w:i w:val="0"/>
                <w:iCs w:val="0"/>
                <w:color w:val="FF0000"/>
                <w:kern w:val="0"/>
                <w:sz w:val="21"/>
                <w:szCs w:val="21"/>
                <w:u w:val="none"/>
                <w:lang w:val="en-US" w:eastAsia="zh-CN" w:bidi="ar"/>
              </w:rPr>
              <w:t>安全气囊（已引爆）、桌椅（座椅的布/皮革部分）、安全带</w:t>
            </w:r>
          </w:p>
        </w:tc>
      </w:tr>
      <w:tr w14:paraId="2FFDE72E">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 w:type="dxa"/>
            <w:bottom w:w="0" w:type="dxa"/>
            <w:right w:w="10" w:type="dxa"/>
          </w:tblCellMar>
        </w:tblPrEx>
        <w:trPr>
          <w:trHeight w:val="57" w:hRule="atLeast"/>
          <w:jc w:val="center"/>
        </w:trPr>
        <w:tc>
          <w:tcPr>
            <w:tcW w:w="726" w:type="pct"/>
            <w:tcBorders>
              <w:tl2br w:val="nil"/>
              <w:tr2bl w:val="nil"/>
            </w:tcBorders>
            <w:shd w:val="clear" w:color="auto" w:fill="auto"/>
            <w:vAlign w:val="center"/>
          </w:tcPr>
          <w:p w14:paraId="5B848311">
            <w:pPr>
              <w:keepNext w:val="0"/>
              <w:keepLines w:val="0"/>
              <w:widowControl/>
              <w:suppressLineNumbers w:val="0"/>
              <w:spacing w:line="240" w:lineRule="auto"/>
              <w:jc w:val="center"/>
              <w:textAlignment w:val="center"/>
              <w:rPr>
                <w:rFonts w:hint="default" w:ascii="Times New Roman" w:hAnsi="Times New Roman" w:cs="Times New Roman"/>
                <w:i w:val="0"/>
                <w:iCs w:val="0"/>
                <w:color w:val="FF0000"/>
                <w:kern w:val="0"/>
                <w:sz w:val="21"/>
                <w:szCs w:val="21"/>
                <w:u w:val="none"/>
                <w:lang w:val="en-US" w:eastAsia="zh-CN" w:bidi="ar"/>
              </w:rPr>
            </w:pPr>
            <w:r>
              <w:rPr>
                <w:rFonts w:hint="default" w:ascii="Times New Roman" w:hAnsi="Times New Roman" w:cs="Times New Roman"/>
                <w:i w:val="0"/>
                <w:iCs w:val="0"/>
                <w:color w:val="FF0000"/>
                <w:kern w:val="0"/>
                <w:sz w:val="21"/>
                <w:szCs w:val="21"/>
                <w:u w:val="none"/>
                <w:lang w:val="en-US" w:eastAsia="zh-CN" w:bidi="ar"/>
              </w:rPr>
              <w:t>其他不可利用物</w:t>
            </w:r>
          </w:p>
        </w:tc>
        <w:tc>
          <w:tcPr>
            <w:tcW w:w="258" w:type="pct"/>
            <w:tcBorders>
              <w:tl2br w:val="nil"/>
              <w:tr2bl w:val="nil"/>
            </w:tcBorders>
            <w:shd w:val="clear" w:color="auto" w:fill="auto"/>
            <w:vAlign w:val="center"/>
          </w:tcPr>
          <w:p w14:paraId="60DD01ED">
            <w:pPr>
              <w:pStyle w:val="128"/>
              <w:spacing w:line="240" w:lineRule="auto"/>
              <w:jc w:val="center"/>
              <w:rPr>
                <w:rFonts w:hint="default" w:ascii="Times New Roman" w:hAnsi="Times New Roman" w:eastAsia="宋体" w:cs="Times New Roman"/>
                <w:color w:val="FF0000"/>
                <w:sz w:val="21"/>
                <w:szCs w:val="21"/>
                <w:lang w:val="en-US" w:eastAsia="zh-CN"/>
              </w:rPr>
            </w:pPr>
            <w:r>
              <w:rPr>
                <w:rFonts w:hint="eastAsia" w:ascii="Times New Roman" w:hAnsi="Times New Roman" w:eastAsia="宋体" w:cs="Times New Roman"/>
                <w:color w:val="FF0000"/>
                <w:sz w:val="21"/>
                <w:szCs w:val="21"/>
                <w:lang w:val="en-US" w:eastAsia="zh-CN"/>
              </w:rPr>
              <w:t>0.4874%</w:t>
            </w:r>
          </w:p>
        </w:tc>
        <w:tc>
          <w:tcPr>
            <w:tcW w:w="260" w:type="pct"/>
            <w:tcBorders>
              <w:tl2br w:val="nil"/>
              <w:tr2bl w:val="nil"/>
            </w:tcBorders>
            <w:shd w:val="clear" w:color="auto" w:fill="auto"/>
            <w:vAlign w:val="center"/>
          </w:tcPr>
          <w:p w14:paraId="12E35DA0">
            <w:pPr>
              <w:pStyle w:val="128"/>
              <w:spacing w:line="240" w:lineRule="auto"/>
              <w:jc w:val="center"/>
              <w:rPr>
                <w:rFonts w:hint="default" w:ascii="Times New Roman" w:hAnsi="Times New Roman" w:eastAsia="宋体" w:cs="Times New Roman"/>
                <w:color w:val="FF0000"/>
                <w:sz w:val="21"/>
                <w:szCs w:val="21"/>
                <w:lang w:val="en-US" w:eastAsia="zh-CN"/>
              </w:rPr>
            </w:pPr>
            <w:r>
              <w:rPr>
                <w:rFonts w:hint="eastAsia" w:ascii="Times New Roman" w:hAnsi="Times New Roman" w:eastAsia="宋体" w:cs="Times New Roman"/>
                <w:color w:val="FF0000"/>
                <w:sz w:val="21"/>
                <w:szCs w:val="21"/>
                <w:lang w:val="en-US" w:eastAsia="zh-CN"/>
              </w:rPr>
              <w:t xml:space="preserve">18.57 </w:t>
            </w:r>
          </w:p>
        </w:tc>
        <w:tc>
          <w:tcPr>
            <w:tcW w:w="258" w:type="pct"/>
            <w:tcBorders>
              <w:tl2br w:val="nil"/>
              <w:tr2bl w:val="nil"/>
            </w:tcBorders>
            <w:shd w:val="clear" w:color="auto" w:fill="auto"/>
            <w:vAlign w:val="center"/>
          </w:tcPr>
          <w:p w14:paraId="68063DFF">
            <w:pPr>
              <w:pStyle w:val="128"/>
              <w:spacing w:line="240" w:lineRule="auto"/>
              <w:jc w:val="center"/>
              <w:rPr>
                <w:rFonts w:hint="eastAsia" w:ascii="Times New Roman" w:hAnsi="Times New Roman" w:eastAsia="宋体" w:cs="Times New Roman"/>
                <w:color w:val="FF0000"/>
                <w:sz w:val="21"/>
                <w:szCs w:val="21"/>
                <w:lang w:val="en-US" w:eastAsia="zh-CN"/>
              </w:rPr>
            </w:pPr>
            <w:r>
              <w:rPr>
                <w:rFonts w:hint="default" w:ascii="Times New Roman" w:hAnsi="Times New Roman" w:eastAsia="宋体" w:cs="Times New Roman"/>
                <w:color w:val="FF0000"/>
                <w:sz w:val="21"/>
                <w:szCs w:val="21"/>
                <w:lang w:val="en-US" w:eastAsia="zh-CN"/>
              </w:rPr>
              <w:t>0.2170%</w:t>
            </w:r>
          </w:p>
        </w:tc>
        <w:tc>
          <w:tcPr>
            <w:tcW w:w="258" w:type="pct"/>
            <w:tcBorders>
              <w:tl2br w:val="nil"/>
              <w:tr2bl w:val="nil"/>
            </w:tcBorders>
            <w:shd w:val="clear" w:color="auto" w:fill="auto"/>
            <w:vAlign w:val="center"/>
          </w:tcPr>
          <w:p w14:paraId="4C71EAA4">
            <w:pPr>
              <w:pStyle w:val="128"/>
              <w:spacing w:line="240" w:lineRule="auto"/>
              <w:jc w:val="center"/>
              <w:rPr>
                <w:rFonts w:hint="default" w:ascii="Times New Roman" w:hAnsi="Times New Roman" w:eastAsia="宋体" w:cs="Times New Roman"/>
                <w:color w:val="FF0000"/>
                <w:sz w:val="21"/>
                <w:szCs w:val="21"/>
                <w:lang w:val="en-US" w:eastAsia="zh-CN"/>
              </w:rPr>
            </w:pPr>
            <w:r>
              <w:rPr>
                <w:rFonts w:hint="default" w:ascii="Times New Roman" w:hAnsi="Times New Roman" w:eastAsia="宋体" w:cs="Times New Roman"/>
                <w:color w:val="FF0000"/>
                <w:sz w:val="21"/>
                <w:szCs w:val="21"/>
                <w:lang w:val="en-US" w:eastAsia="zh-CN"/>
              </w:rPr>
              <w:t xml:space="preserve">43.62 </w:t>
            </w:r>
          </w:p>
        </w:tc>
        <w:tc>
          <w:tcPr>
            <w:tcW w:w="260" w:type="pct"/>
            <w:tcBorders>
              <w:tl2br w:val="nil"/>
              <w:tr2bl w:val="nil"/>
            </w:tcBorders>
            <w:shd w:val="clear" w:color="auto" w:fill="auto"/>
            <w:vAlign w:val="center"/>
          </w:tcPr>
          <w:p w14:paraId="0B510E62">
            <w:pPr>
              <w:pStyle w:val="128"/>
              <w:spacing w:line="240" w:lineRule="auto"/>
              <w:jc w:val="center"/>
              <w:rPr>
                <w:rFonts w:hint="eastAsia" w:ascii="Times New Roman" w:hAnsi="Times New Roman" w:eastAsia="宋体" w:cs="Times New Roman"/>
                <w:color w:val="FF0000"/>
                <w:sz w:val="21"/>
                <w:szCs w:val="21"/>
                <w:lang w:val="en-US" w:eastAsia="zh-CN"/>
              </w:rPr>
            </w:pPr>
            <w:r>
              <w:rPr>
                <w:rFonts w:hint="default" w:ascii="Times New Roman" w:hAnsi="Times New Roman" w:eastAsia="宋体" w:cs="Times New Roman"/>
                <w:color w:val="FF0000"/>
                <w:sz w:val="21"/>
                <w:szCs w:val="21"/>
                <w:lang w:val="en-US" w:eastAsia="zh-CN"/>
              </w:rPr>
              <w:t>0.1835%</w:t>
            </w:r>
          </w:p>
        </w:tc>
        <w:tc>
          <w:tcPr>
            <w:tcW w:w="263" w:type="pct"/>
            <w:tcBorders>
              <w:tl2br w:val="nil"/>
              <w:tr2bl w:val="nil"/>
            </w:tcBorders>
            <w:shd w:val="clear" w:color="auto" w:fill="auto"/>
            <w:vAlign w:val="center"/>
          </w:tcPr>
          <w:p w14:paraId="2BDBB31A">
            <w:pPr>
              <w:pStyle w:val="128"/>
              <w:spacing w:line="240" w:lineRule="auto"/>
              <w:jc w:val="center"/>
              <w:rPr>
                <w:rFonts w:hint="eastAsia" w:ascii="Times New Roman" w:hAnsi="Times New Roman" w:eastAsia="宋体" w:cs="Times New Roman"/>
                <w:color w:val="FF0000"/>
                <w:sz w:val="21"/>
                <w:szCs w:val="21"/>
                <w:lang w:val="en-US" w:eastAsia="zh-CN"/>
              </w:rPr>
            </w:pPr>
            <w:r>
              <w:rPr>
                <w:rFonts w:hint="default" w:ascii="Times New Roman" w:hAnsi="Times New Roman" w:eastAsia="宋体" w:cs="Times New Roman"/>
                <w:color w:val="FF0000"/>
                <w:sz w:val="21"/>
                <w:szCs w:val="21"/>
                <w:lang w:val="en-US" w:eastAsia="zh-CN"/>
              </w:rPr>
              <w:t xml:space="preserve">78.80 </w:t>
            </w:r>
          </w:p>
        </w:tc>
        <w:tc>
          <w:tcPr>
            <w:tcW w:w="1063" w:type="dxa"/>
            <w:tcBorders>
              <w:tl2br w:val="nil"/>
              <w:tr2bl w:val="nil"/>
            </w:tcBorders>
            <w:shd w:val="clear" w:color="auto" w:fill="auto"/>
            <w:vAlign w:val="center"/>
          </w:tcPr>
          <w:p w14:paraId="4B0CD1A8">
            <w:pPr>
              <w:pStyle w:val="128"/>
              <w:spacing w:line="240" w:lineRule="auto"/>
              <w:jc w:val="center"/>
              <w:rPr>
                <w:rFonts w:hint="eastAsia" w:ascii="Times New Roman" w:hAnsi="Times New Roman" w:eastAsia="宋体" w:cs="Times New Roman"/>
                <w:color w:val="FF0000"/>
                <w:sz w:val="21"/>
                <w:szCs w:val="21"/>
                <w:lang w:val="en-US" w:eastAsia="zh-CN"/>
              </w:rPr>
            </w:pPr>
            <w:r>
              <w:rPr>
                <w:rFonts w:hint="default" w:ascii="Times New Roman" w:hAnsi="Times New Roman" w:eastAsia="宋体" w:cs="Times New Roman"/>
                <w:color w:val="FF0000"/>
                <w:sz w:val="21"/>
                <w:szCs w:val="21"/>
                <w:lang w:val="en-US" w:eastAsia="zh-CN"/>
              </w:rPr>
              <w:t>0.1644%</w:t>
            </w:r>
          </w:p>
        </w:tc>
        <w:tc>
          <w:tcPr>
            <w:tcW w:w="1075" w:type="dxa"/>
            <w:tcBorders>
              <w:tl2br w:val="nil"/>
              <w:tr2bl w:val="nil"/>
            </w:tcBorders>
            <w:shd w:val="clear" w:color="auto" w:fill="auto"/>
            <w:vAlign w:val="center"/>
          </w:tcPr>
          <w:p w14:paraId="5480EB11">
            <w:pPr>
              <w:pStyle w:val="128"/>
              <w:spacing w:line="240" w:lineRule="auto"/>
              <w:jc w:val="center"/>
              <w:rPr>
                <w:rFonts w:hint="eastAsia" w:ascii="Times New Roman" w:hAnsi="Times New Roman" w:eastAsia="宋体" w:cs="Times New Roman"/>
                <w:color w:val="FF0000"/>
                <w:sz w:val="21"/>
                <w:szCs w:val="21"/>
                <w:lang w:val="en-US" w:eastAsia="zh-CN"/>
              </w:rPr>
            </w:pPr>
            <w:r>
              <w:rPr>
                <w:rFonts w:hint="default" w:ascii="Times New Roman" w:hAnsi="Times New Roman" w:eastAsia="宋体" w:cs="Times New Roman"/>
                <w:color w:val="FF0000"/>
                <w:sz w:val="21"/>
                <w:szCs w:val="21"/>
                <w:lang w:val="en-US" w:eastAsia="zh-CN"/>
              </w:rPr>
              <w:t xml:space="preserve">8.45 </w:t>
            </w:r>
          </w:p>
        </w:tc>
        <w:tc>
          <w:tcPr>
            <w:tcW w:w="1075" w:type="dxa"/>
            <w:tcBorders>
              <w:tl2br w:val="nil"/>
              <w:tr2bl w:val="nil"/>
            </w:tcBorders>
            <w:shd w:val="clear" w:color="auto" w:fill="auto"/>
            <w:vAlign w:val="center"/>
          </w:tcPr>
          <w:p w14:paraId="3A3D8276">
            <w:pPr>
              <w:pStyle w:val="128"/>
              <w:spacing w:line="240" w:lineRule="auto"/>
              <w:jc w:val="center"/>
              <w:rPr>
                <w:rFonts w:hint="eastAsia" w:ascii="Times New Roman" w:hAnsi="Times New Roman" w:eastAsia="宋体" w:cs="Times New Roman"/>
                <w:color w:val="FF0000"/>
                <w:sz w:val="21"/>
                <w:szCs w:val="21"/>
                <w:lang w:val="en-US" w:eastAsia="zh-CN"/>
              </w:rPr>
            </w:pPr>
            <w:r>
              <w:rPr>
                <w:rFonts w:hint="eastAsia" w:ascii="Times New Roman" w:hAnsi="Times New Roman" w:eastAsia="宋体" w:cs="Times New Roman"/>
                <w:color w:val="FF0000"/>
                <w:sz w:val="21"/>
                <w:szCs w:val="21"/>
                <w:lang w:val="en-US" w:eastAsia="zh-CN"/>
              </w:rPr>
              <w:t>149.44</w:t>
            </w:r>
          </w:p>
        </w:tc>
        <w:tc>
          <w:tcPr>
            <w:tcW w:w="1929" w:type="pct"/>
            <w:tcBorders>
              <w:tl2br w:val="nil"/>
              <w:tr2bl w:val="nil"/>
            </w:tcBorders>
            <w:shd w:val="clear" w:color="auto" w:fill="auto"/>
            <w:vAlign w:val="center"/>
          </w:tcPr>
          <w:p w14:paraId="5F89FA98">
            <w:pPr>
              <w:keepNext w:val="0"/>
              <w:keepLines w:val="0"/>
              <w:widowControl/>
              <w:suppressLineNumbers w:val="0"/>
              <w:spacing w:line="240" w:lineRule="auto"/>
              <w:jc w:val="center"/>
              <w:textAlignment w:val="center"/>
              <w:rPr>
                <w:rFonts w:hint="eastAsia" w:ascii="宋体" w:hAnsi="宋体" w:cs="宋体"/>
                <w:i w:val="0"/>
                <w:iCs w:val="0"/>
                <w:color w:val="FF0000"/>
                <w:kern w:val="0"/>
                <w:sz w:val="21"/>
                <w:szCs w:val="21"/>
                <w:u w:val="none"/>
                <w:lang w:val="en-US" w:eastAsia="zh-CN" w:bidi="ar"/>
              </w:rPr>
            </w:pPr>
            <w:r>
              <w:rPr>
                <w:rFonts w:hint="eastAsia" w:ascii="宋体" w:hAnsi="宋体" w:cs="宋体"/>
                <w:i w:val="0"/>
                <w:iCs w:val="0"/>
                <w:color w:val="FF0000"/>
                <w:kern w:val="0"/>
                <w:sz w:val="21"/>
                <w:szCs w:val="21"/>
                <w:u w:val="none"/>
                <w:lang w:val="en-US" w:eastAsia="zh-CN" w:bidi="ar"/>
              </w:rPr>
              <w:t>其他不可利用物（包含破玻璃、废橡胶、废塑料等不可分离和利用部分）</w:t>
            </w:r>
          </w:p>
        </w:tc>
      </w:tr>
      <w:tr w14:paraId="643E1DB1">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 w:type="dxa"/>
            <w:bottom w:w="0" w:type="dxa"/>
            <w:right w:w="10" w:type="dxa"/>
          </w:tblCellMar>
        </w:tblPrEx>
        <w:trPr>
          <w:trHeight w:val="57" w:hRule="atLeast"/>
          <w:jc w:val="center"/>
        </w:trPr>
        <w:tc>
          <w:tcPr>
            <w:tcW w:w="726" w:type="pct"/>
            <w:tcBorders>
              <w:tl2br w:val="nil"/>
              <w:tr2bl w:val="nil"/>
            </w:tcBorders>
            <w:shd w:val="clear" w:color="auto" w:fill="auto"/>
            <w:vAlign w:val="center"/>
          </w:tcPr>
          <w:p w14:paraId="34E10F95">
            <w:pPr>
              <w:keepNext w:val="0"/>
              <w:keepLines w:val="0"/>
              <w:widowControl/>
              <w:suppressLineNumbers w:val="0"/>
              <w:spacing w:line="240" w:lineRule="auto"/>
              <w:jc w:val="center"/>
              <w:textAlignment w:val="center"/>
              <w:rPr>
                <w:rFonts w:hint="default" w:ascii="Times New Roman" w:hAnsi="Times New Roman" w:cs="Times New Roman"/>
                <w:i w:val="0"/>
                <w:iCs w:val="0"/>
                <w:color w:val="FF0000"/>
                <w:kern w:val="0"/>
                <w:sz w:val="21"/>
                <w:szCs w:val="21"/>
                <w:u w:val="none"/>
                <w:lang w:val="en-US" w:eastAsia="zh-CN" w:bidi="ar"/>
              </w:rPr>
            </w:pPr>
            <w:r>
              <w:rPr>
                <w:rFonts w:hint="default" w:ascii="Times New Roman" w:hAnsi="Times New Roman" w:cs="Times New Roman"/>
                <w:i w:val="0"/>
                <w:iCs w:val="0"/>
                <w:color w:val="FF0000"/>
                <w:kern w:val="0"/>
                <w:sz w:val="21"/>
                <w:szCs w:val="21"/>
                <w:u w:val="none"/>
                <w:lang w:val="en-US" w:eastAsia="zh-CN" w:bidi="ar"/>
              </w:rPr>
              <w:t>废液化气罐（HW049）</w:t>
            </w:r>
          </w:p>
        </w:tc>
        <w:tc>
          <w:tcPr>
            <w:tcW w:w="258" w:type="pct"/>
            <w:tcBorders>
              <w:tl2br w:val="nil"/>
              <w:tr2bl w:val="nil"/>
            </w:tcBorders>
            <w:shd w:val="clear" w:color="auto" w:fill="auto"/>
            <w:vAlign w:val="center"/>
          </w:tcPr>
          <w:p w14:paraId="7BDF4DEC">
            <w:pPr>
              <w:pStyle w:val="128"/>
              <w:spacing w:line="240" w:lineRule="auto"/>
              <w:jc w:val="center"/>
              <w:rPr>
                <w:rFonts w:hint="default" w:ascii="Times New Roman" w:hAnsi="Times New Roman" w:eastAsia="宋体" w:cs="Times New Roman"/>
                <w:color w:val="FF0000"/>
                <w:sz w:val="21"/>
                <w:szCs w:val="21"/>
                <w:lang w:val="en-US" w:eastAsia="zh-CN"/>
              </w:rPr>
            </w:pPr>
            <w:r>
              <w:rPr>
                <w:rFonts w:hint="eastAsia" w:ascii="Times New Roman" w:hAnsi="Times New Roman" w:eastAsia="宋体" w:cs="Times New Roman"/>
                <w:color w:val="FF0000"/>
                <w:sz w:val="21"/>
                <w:szCs w:val="21"/>
                <w:lang w:val="en-US" w:eastAsia="zh-CN"/>
              </w:rPr>
              <w:t>0.2437%</w:t>
            </w:r>
          </w:p>
        </w:tc>
        <w:tc>
          <w:tcPr>
            <w:tcW w:w="260" w:type="pct"/>
            <w:tcBorders>
              <w:tl2br w:val="nil"/>
              <w:tr2bl w:val="nil"/>
            </w:tcBorders>
            <w:shd w:val="clear" w:color="auto" w:fill="auto"/>
            <w:vAlign w:val="center"/>
          </w:tcPr>
          <w:p w14:paraId="78CE40F1">
            <w:pPr>
              <w:pStyle w:val="128"/>
              <w:spacing w:line="240" w:lineRule="auto"/>
              <w:jc w:val="center"/>
              <w:rPr>
                <w:rFonts w:hint="default" w:ascii="Times New Roman" w:hAnsi="Times New Roman" w:eastAsia="宋体" w:cs="Times New Roman"/>
                <w:color w:val="FF0000"/>
                <w:sz w:val="21"/>
                <w:szCs w:val="21"/>
                <w:lang w:val="en-US" w:eastAsia="zh-CN"/>
              </w:rPr>
            </w:pPr>
            <w:r>
              <w:rPr>
                <w:rFonts w:hint="eastAsia" w:ascii="Times New Roman" w:hAnsi="Times New Roman" w:eastAsia="宋体" w:cs="Times New Roman"/>
                <w:color w:val="FF0000"/>
                <w:sz w:val="21"/>
                <w:szCs w:val="21"/>
                <w:lang w:val="en-US" w:eastAsia="zh-CN"/>
              </w:rPr>
              <w:t xml:space="preserve">9.28 </w:t>
            </w:r>
          </w:p>
        </w:tc>
        <w:tc>
          <w:tcPr>
            <w:tcW w:w="258" w:type="pct"/>
            <w:tcBorders>
              <w:tl2br w:val="nil"/>
              <w:tr2bl w:val="nil"/>
            </w:tcBorders>
            <w:shd w:val="clear" w:color="auto" w:fill="auto"/>
            <w:vAlign w:val="center"/>
          </w:tcPr>
          <w:p w14:paraId="56ED5A4F">
            <w:pPr>
              <w:pStyle w:val="128"/>
              <w:spacing w:line="240" w:lineRule="auto"/>
              <w:jc w:val="center"/>
              <w:rPr>
                <w:rFonts w:hint="eastAsia" w:ascii="Times New Roman" w:hAnsi="Times New Roman" w:eastAsia="宋体" w:cs="Times New Roman"/>
                <w:color w:val="FF0000"/>
                <w:sz w:val="21"/>
                <w:szCs w:val="21"/>
                <w:lang w:val="en-US" w:eastAsia="zh-CN"/>
              </w:rPr>
            </w:pPr>
            <w:r>
              <w:rPr>
                <w:rFonts w:hint="default" w:ascii="Times New Roman" w:hAnsi="Times New Roman" w:eastAsia="宋体" w:cs="Times New Roman"/>
                <w:color w:val="FF0000"/>
                <w:sz w:val="21"/>
                <w:szCs w:val="21"/>
                <w:lang w:val="en-US" w:eastAsia="zh-CN"/>
              </w:rPr>
              <w:t>0.3255%</w:t>
            </w:r>
          </w:p>
        </w:tc>
        <w:tc>
          <w:tcPr>
            <w:tcW w:w="258" w:type="pct"/>
            <w:tcBorders>
              <w:tl2br w:val="nil"/>
              <w:tr2bl w:val="nil"/>
            </w:tcBorders>
            <w:shd w:val="clear" w:color="auto" w:fill="auto"/>
            <w:vAlign w:val="center"/>
          </w:tcPr>
          <w:p w14:paraId="74757308">
            <w:pPr>
              <w:pStyle w:val="128"/>
              <w:spacing w:line="240" w:lineRule="auto"/>
              <w:jc w:val="center"/>
              <w:rPr>
                <w:rFonts w:hint="default" w:ascii="Times New Roman" w:hAnsi="Times New Roman" w:eastAsia="宋体" w:cs="Times New Roman"/>
                <w:color w:val="FF0000"/>
                <w:sz w:val="21"/>
                <w:szCs w:val="21"/>
                <w:lang w:val="en-US" w:eastAsia="zh-CN"/>
              </w:rPr>
            </w:pPr>
            <w:r>
              <w:rPr>
                <w:rFonts w:hint="default" w:ascii="Times New Roman" w:hAnsi="Times New Roman" w:eastAsia="宋体" w:cs="Times New Roman"/>
                <w:color w:val="FF0000"/>
                <w:sz w:val="21"/>
                <w:szCs w:val="21"/>
                <w:lang w:val="en-US" w:eastAsia="zh-CN"/>
              </w:rPr>
              <w:t xml:space="preserve">65.43 </w:t>
            </w:r>
          </w:p>
        </w:tc>
        <w:tc>
          <w:tcPr>
            <w:tcW w:w="260" w:type="pct"/>
            <w:tcBorders>
              <w:tl2br w:val="nil"/>
              <w:tr2bl w:val="nil"/>
            </w:tcBorders>
            <w:shd w:val="clear" w:color="auto" w:fill="auto"/>
            <w:vAlign w:val="center"/>
          </w:tcPr>
          <w:p w14:paraId="1F0A2E46">
            <w:pPr>
              <w:pStyle w:val="128"/>
              <w:spacing w:line="240" w:lineRule="auto"/>
              <w:jc w:val="center"/>
              <w:rPr>
                <w:rFonts w:hint="eastAsia" w:ascii="Times New Roman" w:hAnsi="Times New Roman" w:eastAsia="宋体" w:cs="Times New Roman"/>
                <w:color w:val="FF0000"/>
                <w:sz w:val="21"/>
                <w:szCs w:val="21"/>
                <w:lang w:val="en-US" w:eastAsia="zh-CN"/>
              </w:rPr>
            </w:pPr>
            <w:r>
              <w:rPr>
                <w:rFonts w:hint="default" w:ascii="Times New Roman" w:hAnsi="Times New Roman" w:eastAsia="宋体" w:cs="Times New Roman"/>
                <w:color w:val="FF0000"/>
                <w:sz w:val="21"/>
                <w:szCs w:val="21"/>
                <w:lang w:val="en-US" w:eastAsia="zh-CN"/>
              </w:rPr>
              <w:t>0.0000%</w:t>
            </w:r>
          </w:p>
        </w:tc>
        <w:tc>
          <w:tcPr>
            <w:tcW w:w="263" w:type="pct"/>
            <w:tcBorders>
              <w:tl2br w:val="nil"/>
              <w:tr2bl w:val="nil"/>
            </w:tcBorders>
            <w:shd w:val="clear" w:color="auto" w:fill="auto"/>
            <w:vAlign w:val="center"/>
          </w:tcPr>
          <w:p w14:paraId="275AF1A3">
            <w:pPr>
              <w:pStyle w:val="128"/>
              <w:spacing w:line="240" w:lineRule="auto"/>
              <w:jc w:val="center"/>
              <w:rPr>
                <w:rFonts w:hint="eastAsia" w:ascii="Times New Roman" w:hAnsi="Times New Roman" w:eastAsia="宋体" w:cs="Times New Roman"/>
                <w:color w:val="FF0000"/>
                <w:sz w:val="21"/>
                <w:szCs w:val="21"/>
                <w:lang w:val="en-US" w:eastAsia="zh-CN"/>
              </w:rPr>
            </w:pPr>
            <w:r>
              <w:rPr>
                <w:rFonts w:hint="default" w:ascii="Times New Roman" w:hAnsi="Times New Roman" w:eastAsia="宋体" w:cs="Times New Roman"/>
                <w:color w:val="FF0000"/>
                <w:sz w:val="21"/>
                <w:szCs w:val="21"/>
                <w:lang w:val="en-US" w:eastAsia="zh-CN"/>
              </w:rPr>
              <w:t xml:space="preserve">0.00 </w:t>
            </w:r>
          </w:p>
        </w:tc>
        <w:tc>
          <w:tcPr>
            <w:tcW w:w="260" w:type="pct"/>
            <w:tcBorders>
              <w:tl2br w:val="nil"/>
              <w:tr2bl w:val="nil"/>
            </w:tcBorders>
            <w:shd w:val="clear" w:color="auto" w:fill="auto"/>
            <w:vAlign w:val="center"/>
          </w:tcPr>
          <w:p w14:paraId="4DD447B7">
            <w:pPr>
              <w:pStyle w:val="128"/>
              <w:spacing w:line="240" w:lineRule="auto"/>
              <w:jc w:val="center"/>
              <w:rPr>
                <w:rFonts w:hint="eastAsia" w:ascii="Times New Roman" w:hAnsi="Times New Roman" w:eastAsia="宋体" w:cs="Times New Roman"/>
                <w:color w:val="FF0000"/>
                <w:sz w:val="21"/>
                <w:szCs w:val="21"/>
                <w:lang w:val="en-US" w:eastAsia="zh-CN"/>
              </w:rPr>
            </w:pPr>
            <w:r>
              <w:rPr>
                <w:rFonts w:hint="default" w:ascii="Times New Roman" w:hAnsi="Times New Roman" w:eastAsia="宋体" w:cs="Times New Roman"/>
                <w:color w:val="FF0000"/>
                <w:sz w:val="21"/>
                <w:szCs w:val="21"/>
                <w:lang w:val="en-US" w:eastAsia="zh-CN"/>
              </w:rPr>
              <w:t>0.0000%</w:t>
            </w:r>
          </w:p>
        </w:tc>
        <w:tc>
          <w:tcPr>
            <w:tcW w:w="263" w:type="pct"/>
            <w:tcBorders>
              <w:tl2br w:val="nil"/>
              <w:tr2bl w:val="nil"/>
            </w:tcBorders>
            <w:shd w:val="clear" w:color="auto" w:fill="auto"/>
            <w:vAlign w:val="center"/>
          </w:tcPr>
          <w:p w14:paraId="4DF82829">
            <w:pPr>
              <w:pStyle w:val="128"/>
              <w:spacing w:line="240" w:lineRule="auto"/>
              <w:jc w:val="center"/>
              <w:rPr>
                <w:rFonts w:hint="eastAsia" w:ascii="Times New Roman" w:hAnsi="Times New Roman" w:eastAsia="宋体" w:cs="Times New Roman"/>
                <w:color w:val="FF0000"/>
                <w:sz w:val="21"/>
                <w:szCs w:val="21"/>
                <w:lang w:val="en-US" w:eastAsia="zh-CN"/>
              </w:rPr>
            </w:pPr>
            <w:r>
              <w:rPr>
                <w:rFonts w:hint="default" w:ascii="Times New Roman" w:hAnsi="Times New Roman" w:eastAsia="宋体" w:cs="Times New Roman"/>
                <w:color w:val="FF0000"/>
                <w:sz w:val="21"/>
                <w:szCs w:val="21"/>
                <w:lang w:val="en-US" w:eastAsia="zh-CN"/>
              </w:rPr>
              <w:t xml:space="preserve">0.00 </w:t>
            </w:r>
          </w:p>
        </w:tc>
        <w:tc>
          <w:tcPr>
            <w:tcW w:w="1075" w:type="dxa"/>
            <w:tcBorders>
              <w:tl2br w:val="nil"/>
              <w:tr2bl w:val="nil"/>
            </w:tcBorders>
            <w:shd w:val="clear" w:color="auto" w:fill="auto"/>
            <w:vAlign w:val="center"/>
          </w:tcPr>
          <w:p w14:paraId="6A751FB8">
            <w:pPr>
              <w:pStyle w:val="128"/>
              <w:spacing w:line="240" w:lineRule="auto"/>
              <w:jc w:val="center"/>
              <w:rPr>
                <w:rFonts w:hint="default" w:ascii="Times New Roman" w:hAnsi="Times New Roman" w:eastAsia="宋体" w:cs="Times New Roman"/>
                <w:color w:val="FF0000"/>
                <w:sz w:val="21"/>
                <w:szCs w:val="21"/>
                <w:lang w:val="en-US" w:eastAsia="zh-CN"/>
              </w:rPr>
            </w:pPr>
            <w:r>
              <w:rPr>
                <w:rFonts w:hint="eastAsia" w:ascii="Times New Roman" w:hAnsi="Times New Roman" w:eastAsia="宋体" w:cs="Times New Roman"/>
                <w:color w:val="FF0000"/>
                <w:sz w:val="21"/>
                <w:szCs w:val="21"/>
                <w:lang w:val="en-US" w:eastAsia="zh-CN"/>
              </w:rPr>
              <w:t>74.71</w:t>
            </w:r>
          </w:p>
        </w:tc>
        <w:tc>
          <w:tcPr>
            <w:tcW w:w="1929" w:type="pct"/>
            <w:tcBorders>
              <w:tl2br w:val="nil"/>
              <w:tr2bl w:val="nil"/>
            </w:tcBorders>
            <w:shd w:val="clear" w:color="auto" w:fill="auto"/>
            <w:vAlign w:val="center"/>
          </w:tcPr>
          <w:p w14:paraId="13C28A17">
            <w:pPr>
              <w:keepNext w:val="0"/>
              <w:keepLines w:val="0"/>
              <w:widowControl/>
              <w:suppressLineNumbers w:val="0"/>
              <w:spacing w:line="240" w:lineRule="auto"/>
              <w:jc w:val="center"/>
              <w:textAlignment w:val="center"/>
              <w:rPr>
                <w:rFonts w:hint="eastAsia" w:ascii="宋体" w:hAnsi="宋体" w:cs="宋体"/>
                <w:i w:val="0"/>
                <w:iCs w:val="0"/>
                <w:color w:val="FF0000"/>
                <w:kern w:val="0"/>
                <w:sz w:val="21"/>
                <w:szCs w:val="21"/>
                <w:u w:val="none"/>
                <w:lang w:val="en-US" w:eastAsia="zh-CN" w:bidi="ar"/>
              </w:rPr>
            </w:pPr>
            <w:r>
              <w:rPr>
                <w:rFonts w:hint="eastAsia" w:ascii="宋体" w:hAnsi="宋体" w:cs="宋体"/>
                <w:i w:val="0"/>
                <w:iCs w:val="0"/>
                <w:color w:val="FF0000"/>
                <w:kern w:val="0"/>
                <w:sz w:val="21"/>
                <w:szCs w:val="21"/>
                <w:u w:val="none"/>
                <w:lang w:val="en-US" w:eastAsia="zh-CN" w:bidi="ar"/>
              </w:rPr>
              <w:t>天然气发动机燃料汽车液化气罐</w:t>
            </w:r>
          </w:p>
        </w:tc>
      </w:tr>
      <w:tr w14:paraId="6F32F583">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 w:type="dxa"/>
            <w:bottom w:w="0" w:type="dxa"/>
            <w:right w:w="10" w:type="dxa"/>
          </w:tblCellMar>
        </w:tblPrEx>
        <w:trPr>
          <w:trHeight w:val="57" w:hRule="atLeast"/>
          <w:jc w:val="center"/>
        </w:trPr>
        <w:tc>
          <w:tcPr>
            <w:tcW w:w="726" w:type="pct"/>
            <w:tcBorders>
              <w:tl2br w:val="nil"/>
              <w:tr2bl w:val="nil"/>
            </w:tcBorders>
            <w:shd w:val="clear" w:color="auto" w:fill="auto"/>
            <w:vAlign w:val="center"/>
          </w:tcPr>
          <w:p w14:paraId="23D776E9">
            <w:pPr>
              <w:keepNext w:val="0"/>
              <w:keepLines w:val="0"/>
              <w:widowControl/>
              <w:suppressLineNumbers w:val="0"/>
              <w:spacing w:line="240" w:lineRule="auto"/>
              <w:jc w:val="center"/>
              <w:textAlignment w:val="center"/>
              <w:rPr>
                <w:rFonts w:hint="default" w:ascii="Times New Roman" w:hAnsi="Times New Roman" w:cs="Times New Roman"/>
                <w:i w:val="0"/>
                <w:iCs w:val="0"/>
                <w:color w:val="FF0000"/>
                <w:kern w:val="0"/>
                <w:sz w:val="21"/>
                <w:szCs w:val="21"/>
                <w:u w:val="none"/>
                <w:lang w:val="en-US" w:eastAsia="zh-CN" w:bidi="ar"/>
              </w:rPr>
            </w:pPr>
            <w:r>
              <w:rPr>
                <w:rFonts w:hint="default" w:ascii="Times New Roman" w:hAnsi="Times New Roman" w:cs="Times New Roman"/>
                <w:i w:val="0"/>
                <w:iCs w:val="0"/>
                <w:color w:val="FF0000"/>
                <w:kern w:val="0"/>
                <w:sz w:val="21"/>
                <w:szCs w:val="21"/>
                <w:u w:val="none"/>
                <w:lang w:val="en-US" w:eastAsia="zh-CN" w:bidi="ar"/>
              </w:rPr>
              <w:t>废制冷剂（HW049）</w:t>
            </w:r>
          </w:p>
        </w:tc>
        <w:tc>
          <w:tcPr>
            <w:tcW w:w="258" w:type="pct"/>
            <w:tcBorders>
              <w:tl2br w:val="nil"/>
              <w:tr2bl w:val="nil"/>
            </w:tcBorders>
            <w:shd w:val="clear" w:color="auto" w:fill="auto"/>
            <w:vAlign w:val="center"/>
          </w:tcPr>
          <w:p w14:paraId="1CBE1BFC">
            <w:pPr>
              <w:pStyle w:val="128"/>
              <w:spacing w:line="240" w:lineRule="auto"/>
              <w:jc w:val="center"/>
              <w:rPr>
                <w:rFonts w:hint="default" w:ascii="Times New Roman" w:hAnsi="Times New Roman" w:eastAsia="宋体" w:cs="Times New Roman"/>
                <w:color w:val="FF0000"/>
                <w:sz w:val="21"/>
                <w:szCs w:val="21"/>
                <w:lang w:val="en-US" w:eastAsia="zh-CN"/>
              </w:rPr>
            </w:pPr>
            <w:r>
              <w:rPr>
                <w:rFonts w:hint="eastAsia" w:ascii="Times New Roman" w:hAnsi="Times New Roman" w:eastAsia="宋体" w:cs="Times New Roman"/>
                <w:color w:val="FF0000"/>
                <w:sz w:val="21"/>
                <w:szCs w:val="21"/>
                <w:lang w:val="en-US" w:eastAsia="zh-CN"/>
              </w:rPr>
              <w:t>0.0146%</w:t>
            </w:r>
          </w:p>
        </w:tc>
        <w:tc>
          <w:tcPr>
            <w:tcW w:w="260" w:type="pct"/>
            <w:tcBorders>
              <w:tl2br w:val="nil"/>
              <w:tr2bl w:val="nil"/>
            </w:tcBorders>
            <w:shd w:val="clear" w:color="auto" w:fill="auto"/>
            <w:vAlign w:val="center"/>
          </w:tcPr>
          <w:p w14:paraId="5126D062">
            <w:pPr>
              <w:pStyle w:val="128"/>
              <w:spacing w:line="240" w:lineRule="auto"/>
              <w:jc w:val="center"/>
              <w:rPr>
                <w:rFonts w:hint="default" w:ascii="Times New Roman" w:hAnsi="Times New Roman" w:eastAsia="宋体" w:cs="Times New Roman"/>
                <w:color w:val="FF0000"/>
                <w:sz w:val="21"/>
                <w:szCs w:val="21"/>
                <w:lang w:val="en-US" w:eastAsia="zh-CN"/>
              </w:rPr>
            </w:pPr>
            <w:r>
              <w:rPr>
                <w:rFonts w:hint="eastAsia" w:ascii="Times New Roman" w:hAnsi="Times New Roman" w:eastAsia="宋体" w:cs="Times New Roman"/>
                <w:color w:val="FF0000"/>
                <w:sz w:val="21"/>
                <w:szCs w:val="21"/>
                <w:lang w:val="en-US" w:eastAsia="zh-CN"/>
              </w:rPr>
              <w:t xml:space="preserve">0.56 </w:t>
            </w:r>
          </w:p>
        </w:tc>
        <w:tc>
          <w:tcPr>
            <w:tcW w:w="258" w:type="pct"/>
            <w:tcBorders>
              <w:tl2br w:val="nil"/>
              <w:tr2bl w:val="nil"/>
            </w:tcBorders>
            <w:shd w:val="clear" w:color="auto" w:fill="auto"/>
            <w:vAlign w:val="center"/>
          </w:tcPr>
          <w:p w14:paraId="59D743E2">
            <w:pPr>
              <w:pStyle w:val="128"/>
              <w:spacing w:line="240" w:lineRule="auto"/>
              <w:jc w:val="center"/>
              <w:rPr>
                <w:rFonts w:hint="eastAsia" w:ascii="Times New Roman" w:hAnsi="Times New Roman" w:eastAsia="宋体" w:cs="Times New Roman"/>
                <w:color w:val="FF0000"/>
                <w:sz w:val="21"/>
                <w:szCs w:val="21"/>
                <w:lang w:val="en-US" w:eastAsia="zh-CN"/>
              </w:rPr>
            </w:pPr>
            <w:r>
              <w:rPr>
                <w:rFonts w:hint="default" w:ascii="Times New Roman" w:hAnsi="Times New Roman" w:eastAsia="宋体" w:cs="Times New Roman"/>
                <w:color w:val="FF0000"/>
                <w:sz w:val="21"/>
                <w:szCs w:val="21"/>
                <w:lang w:val="en-US" w:eastAsia="zh-CN"/>
              </w:rPr>
              <w:t>0.0043%</w:t>
            </w:r>
          </w:p>
        </w:tc>
        <w:tc>
          <w:tcPr>
            <w:tcW w:w="258" w:type="pct"/>
            <w:tcBorders>
              <w:tl2br w:val="nil"/>
              <w:tr2bl w:val="nil"/>
            </w:tcBorders>
            <w:shd w:val="clear" w:color="auto" w:fill="auto"/>
            <w:vAlign w:val="center"/>
          </w:tcPr>
          <w:p w14:paraId="6E937790">
            <w:pPr>
              <w:pStyle w:val="128"/>
              <w:spacing w:line="240" w:lineRule="auto"/>
              <w:jc w:val="center"/>
              <w:rPr>
                <w:rFonts w:hint="default" w:ascii="Times New Roman" w:hAnsi="Times New Roman" w:eastAsia="宋体" w:cs="Times New Roman"/>
                <w:color w:val="FF0000"/>
                <w:sz w:val="21"/>
                <w:szCs w:val="21"/>
                <w:lang w:val="en-US" w:eastAsia="zh-CN"/>
              </w:rPr>
            </w:pPr>
            <w:r>
              <w:rPr>
                <w:rFonts w:hint="default" w:ascii="Times New Roman" w:hAnsi="Times New Roman" w:eastAsia="宋体" w:cs="Times New Roman"/>
                <w:color w:val="FF0000"/>
                <w:sz w:val="21"/>
                <w:szCs w:val="21"/>
                <w:lang w:val="en-US" w:eastAsia="zh-CN"/>
              </w:rPr>
              <w:t xml:space="preserve">0.87 </w:t>
            </w:r>
          </w:p>
        </w:tc>
        <w:tc>
          <w:tcPr>
            <w:tcW w:w="260" w:type="pct"/>
            <w:tcBorders>
              <w:tl2br w:val="nil"/>
              <w:tr2bl w:val="nil"/>
            </w:tcBorders>
            <w:shd w:val="clear" w:color="auto" w:fill="auto"/>
            <w:vAlign w:val="center"/>
          </w:tcPr>
          <w:p w14:paraId="7D12AB2E">
            <w:pPr>
              <w:pStyle w:val="128"/>
              <w:spacing w:line="240" w:lineRule="auto"/>
              <w:jc w:val="center"/>
              <w:rPr>
                <w:rFonts w:hint="eastAsia" w:ascii="Times New Roman" w:hAnsi="Times New Roman" w:eastAsia="宋体" w:cs="Times New Roman"/>
                <w:color w:val="FF0000"/>
                <w:sz w:val="21"/>
                <w:szCs w:val="21"/>
                <w:lang w:val="en-US" w:eastAsia="zh-CN"/>
              </w:rPr>
            </w:pPr>
            <w:r>
              <w:rPr>
                <w:rFonts w:hint="default" w:ascii="Times New Roman" w:hAnsi="Times New Roman" w:eastAsia="宋体" w:cs="Times New Roman"/>
                <w:color w:val="FF0000"/>
                <w:sz w:val="21"/>
                <w:szCs w:val="21"/>
                <w:lang w:val="en-US" w:eastAsia="zh-CN"/>
              </w:rPr>
              <w:t>0.0028%</w:t>
            </w:r>
          </w:p>
        </w:tc>
        <w:tc>
          <w:tcPr>
            <w:tcW w:w="263" w:type="pct"/>
            <w:tcBorders>
              <w:tl2br w:val="nil"/>
              <w:tr2bl w:val="nil"/>
            </w:tcBorders>
            <w:shd w:val="clear" w:color="auto" w:fill="auto"/>
            <w:vAlign w:val="center"/>
          </w:tcPr>
          <w:p w14:paraId="474689F4">
            <w:pPr>
              <w:pStyle w:val="128"/>
              <w:spacing w:line="240" w:lineRule="auto"/>
              <w:jc w:val="center"/>
              <w:rPr>
                <w:rFonts w:hint="eastAsia" w:ascii="Times New Roman" w:hAnsi="Times New Roman" w:eastAsia="宋体" w:cs="Times New Roman"/>
                <w:color w:val="FF0000"/>
                <w:sz w:val="21"/>
                <w:szCs w:val="21"/>
                <w:lang w:val="en-US" w:eastAsia="zh-CN"/>
              </w:rPr>
            </w:pPr>
            <w:r>
              <w:rPr>
                <w:rFonts w:hint="default" w:ascii="Times New Roman" w:hAnsi="Times New Roman" w:eastAsia="宋体" w:cs="Times New Roman"/>
                <w:color w:val="FF0000"/>
                <w:sz w:val="21"/>
                <w:szCs w:val="21"/>
                <w:lang w:val="en-US" w:eastAsia="zh-CN"/>
              </w:rPr>
              <w:t xml:space="preserve">1.18 </w:t>
            </w:r>
          </w:p>
        </w:tc>
        <w:tc>
          <w:tcPr>
            <w:tcW w:w="1063" w:type="dxa"/>
            <w:tcBorders>
              <w:tl2br w:val="nil"/>
              <w:tr2bl w:val="nil"/>
            </w:tcBorders>
            <w:shd w:val="clear" w:color="auto" w:fill="auto"/>
            <w:vAlign w:val="center"/>
          </w:tcPr>
          <w:p w14:paraId="32740430">
            <w:pPr>
              <w:pStyle w:val="128"/>
              <w:spacing w:line="240" w:lineRule="auto"/>
              <w:jc w:val="center"/>
              <w:rPr>
                <w:rFonts w:hint="eastAsia" w:ascii="Times New Roman" w:hAnsi="Times New Roman" w:eastAsia="宋体" w:cs="Times New Roman"/>
                <w:color w:val="FF0000"/>
                <w:sz w:val="21"/>
                <w:szCs w:val="21"/>
                <w:lang w:val="en-US" w:eastAsia="zh-CN"/>
              </w:rPr>
            </w:pPr>
            <w:r>
              <w:rPr>
                <w:rFonts w:hint="default" w:ascii="Times New Roman" w:hAnsi="Times New Roman" w:eastAsia="宋体" w:cs="Times New Roman"/>
                <w:color w:val="FF0000"/>
                <w:sz w:val="21"/>
                <w:szCs w:val="21"/>
                <w:lang w:val="en-US" w:eastAsia="zh-CN"/>
              </w:rPr>
              <w:t>0.0033%</w:t>
            </w:r>
          </w:p>
        </w:tc>
        <w:tc>
          <w:tcPr>
            <w:tcW w:w="1075" w:type="dxa"/>
            <w:tcBorders>
              <w:tl2br w:val="nil"/>
              <w:tr2bl w:val="nil"/>
            </w:tcBorders>
            <w:shd w:val="clear" w:color="auto" w:fill="auto"/>
            <w:vAlign w:val="center"/>
          </w:tcPr>
          <w:p w14:paraId="068E63DA">
            <w:pPr>
              <w:pStyle w:val="128"/>
              <w:spacing w:line="240" w:lineRule="auto"/>
              <w:jc w:val="center"/>
              <w:rPr>
                <w:rFonts w:hint="eastAsia" w:ascii="Times New Roman" w:hAnsi="Times New Roman" w:eastAsia="宋体" w:cs="Times New Roman"/>
                <w:color w:val="FF0000"/>
                <w:sz w:val="21"/>
                <w:szCs w:val="21"/>
                <w:lang w:val="en-US" w:eastAsia="zh-CN"/>
              </w:rPr>
            </w:pPr>
            <w:r>
              <w:rPr>
                <w:rFonts w:hint="default" w:ascii="Times New Roman" w:hAnsi="Times New Roman" w:eastAsia="宋体" w:cs="Times New Roman"/>
                <w:color w:val="FF0000"/>
                <w:sz w:val="21"/>
                <w:szCs w:val="21"/>
                <w:lang w:val="en-US" w:eastAsia="zh-CN"/>
              </w:rPr>
              <w:t xml:space="preserve">0.17 </w:t>
            </w:r>
          </w:p>
        </w:tc>
        <w:tc>
          <w:tcPr>
            <w:tcW w:w="1075" w:type="dxa"/>
            <w:tcBorders>
              <w:tl2br w:val="nil"/>
              <w:tr2bl w:val="nil"/>
            </w:tcBorders>
            <w:shd w:val="clear" w:color="auto" w:fill="auto"/>
            <w:vAlign w:val="center"/>
          </w:tcPr>
          <w:p w14:paraId="690129D9">
            <w:pPr>
              <w:pStyle w:val="128"/>
              <w:spacing w:line="240" w:lineRule="auto"/>
              <w:jc w:val="center"/>
              <w:rPr>
                <w:rFonts w:hint="eastAsia" w:ascii="Times New Roman" w:hAnsi="Times New Roman" w:eastAsia="宋体" w:cs="Times New Roman"/>
                <w:color w:val="FF0000"/>
                <w:sz w:val="21"/>
                <w:szCs w:val="21"/>
                <w:lang w:val="en-US" w:eastAsia="zh-CN"/>
              </w:rPr>
            </w:pPr>
            <w:r>
              <w:rPr>
                <w:rFonts w:hint="eastAsia" w:ascii="Times New Roman" w:hAnsi="Times New Roman" w:eastAsia="宋体" w:cs="Times New Roman"/>
                <w:color w:val="FF0000"/>
                <w:sz w:val="21"/>
                <w:szCs w:val="21"/>
                <w:lang w:val="en-US" w:eastAsia="zh-CN"/>
              </w:rPr>
              <w:t>2.78</w:t>
            </w:r>
          </w:p>
        </w:tc>
        <w:tc>
          <w:tcPr>
            <w:tcW w:w="1929" w:type="pct"/>
            <w:tcBorders>
              <w:tl2br w:val="nil"/>
              <w:tr2bl w:val="nil"/>
            </w:tcBorders>
            <w:shd w:val="clear" w:color="auto" w:fill="auto"/>
            <w:vAlign w:val="center"/>
          </w:tcPr>
          <w:p w14:paraId="703DF1FA">
            <w:pPr>
              <w:keepNext w:val="0"/>
              <w:keepLines w:val="0"/>
              <w:widowControl/>
              <w:suppressLineNumbers w:val="0"/>
              <w:spacing w:line="240" w:lineRule="auto"/>
              <w:jc w:val="center"/>
              <w:textAlignment w:val="center"/>
              <w:rPr>
                <w:rFonts w:hint="eastAsia" w:ascii="宋体" w:hAnsi="宋体" w:cs="宋体"/>
                <w:i w:val="0"/>
                <w:iCs w:val="0"/>
                <w:color w:val="FF0000"/>
                <w:kern w:val="0"/>
                <w:sz w:val="21"/>
                <w:szCs w:val="21"/>
                <w:u w:val="none"/>
                <w:lang w:val="en-US" w:eastAsia="zh-CN" w:bidi="ar"/>
              </w:rPr>
            </w:pPr>
            <w:r>
              <w:rPr>
                <w:rFonts w:hint="eastAsia" w:ascii="宋体" w:hAnsi="宋体" w:cs="宋体"/>
                <w:i w:val="0"/>
                <w:iCs w:val="0"/>
                <w:color w:val="FF0000"/>
                <w:kern w:val="0"/>
                <w:sz w:val="21"/>
                <w:szCs w:val="21"/>
                <w:u w:val="none"/>
                <w:lang w:val="en-US" w:eastAsia="zh-CN" w:bidi="ar"/>
              </w:rPr>
              <w:t>空调制冷剂</w:t>
            </w:r>
          </w:p>
        </w:tc>
      </w:tr>
      <w:tr w14:paraId="2CF9B504">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 w:type="dxa"/>
            <w:bottom w:w="0" w:type="dxa"/>
            <w:right w:w="10" w:type="dxa"/>
          </w:tblCellMar>
        </w:tblPrEx>
        <w:trPr>
          <w:trHeight w:val="57" w:hRule="atLeast"/>
          <w:jc w:val="center"/>
        </w:trPr>
        <w:tc>
          <w:tcPr>
            <w:tcW w:w="726" w:type="pct"/>
            <w:tcBorders>
              <w:tl2br w:val="nil"/>
              <w:tr2bl w:val="nil"/>
            </w:tcBorders>
            <w:shd w:val="clear" w:color="auto" w:fill="auto"/>
            <w:vAlign w:val="center"/>
          </w:tcPr>
          <w:p w14:paraId="6303813C">
            <w:pPr>
              <w:keepNext w:val="0"/>
              <w:keepLines w:val="0"/>
              <w:widowControl/>
              <w:suppressLineNumbers w:val="0"/>
              <w:spacing w:line="240" w:lineRule="auto"/>
              <w:jc w:val="center"/>
              <w:textAlignment w:val="center"/>
              <w:rPr>
                <w:rFonts w:hint="default" w:ascii="Times New Roman" w:hAnsi="Times New Roman" w:cs="Times New Roman"/>
                <w:i w:val="0"/>
                <w:iCs w:val="0"/>
                <w:color w:val="FF0000"/>
                <w:kern w:val="0"/>
                <w:sz w:val="21"/>
                <w:szCs w:val="21"/>
                <w:u w:val="none"/>
                <w:lang w:val="en-US" w:eastAsia="zh-CN" w:bidi="ar"/>
              </w:rPr>
            </w:pPr>
            <w:r>
              <w:rPr>
                <w:rFonts w:hint="default" w:ascii="Times New Roman" w:hAnsi="Times New Roman" w:cs="Times New Roman"/>
                <w:i w:val="0"/>
                <w:iCs w:val="0"/>
                <w:color w:val="FF0000"/>
                <w:kern w:val="0"/>
                <w:sz w:val="21"/>
                <w:szCs w:val="21"/>
                <w:u w:val="none"/>
                <w:lang w:val="en-US" w:eastAsia="zh-CN" w:bidi="ar"/>
              </w:rPr>
              <w:t>废燃料油（HW08）</w:t>
            </w:r>
          </w:p>
        </w:tc>
        <w:tc>
          <w:tcPr>
            <w:tcW w:w="258" w:type="pct"/>
            <w:tcBorders>
              <w:tl2br w:val="nil"/>
              <w:tr2bl w:val="nil"/>
            </w:tcBorders>
            <w:shd w:val="clear" w:color="auto" w:fill="auto"/>
            <w:vAlign w:val="center"/>
          </w:tcPr>
          <w:p w14:paraId="33520C91">
            <w:pPr>
              <w:pStyle w:val="128"/>
              <w:spacing w:line="240" w:lineRule="auto"/>
              <w:jc w:val="center"/>
              <w:rPr>
                <w:rFonts w:hint="eastAsia" w:ascii="Times New Roman" w:hAnsi="Times New Roman" w:eastAsia="宋体" w:cs="Times New Roman"/>
                <w:color w:val="FF0000"/>
                <w:sz w:val="21"/>
                <w:szCs w:val="21"/>
                <w:lang w:val="en-US" w:eastAsia="zh-CN"/>
              </w:rPr>
            </w:pPr>
            <w:r>
              <w:rPr>
                <w:rFonts w:hint="eastAsia" w:ascii="Times New Roman" w:hAnsi="Times New Roman" w:eastAsia="宋体" w:cs="Times New Roman"/>
                <w:color w:val="FF0000"/>
                <w:sz w:val="21"/>
                <w:szCs w:val="21"/>
                <w:lang w:val="en-US" w:eastAsia="zh-CN"/>
              </w:rPr>
              <w:t>0.1462%</w:t>
            </w:r>
          </w:p>
        </w:tc>
        <w:tc>
          <w:tcPr>
            <w:tcW w:w="260" w:type="pct"/>
            <w:tcBorders>
              <w:tl2br w:val="nil"/>
              <w:tr2bl w:val="nil"/>
            </w:tcBorders>
            <w:shd w:val="clear" w:color="auto" w:fill="auto"/>
            <w:vAlign w:val="center"/>
          </w:tcPr>
          <w:p w14:paraId="61402907">
            <w:pPr>
              <w:pStyle w:val="128"/>
              <w:spacing w:line="240" w:lineRule="auto"/>
              <w:jc w:val="center"/>
              <w:rPr>
                <w:rFonts w:hint="default" w:ascii="Times New Roman" w:hAnsi="Times New Roman" w:eastAsia="宋体" w:cs="Times New Roman"/>
                <w:color w:val="FF0000"/>
                <w:sz w:val="21"/>
                <w:szCs w:val="21"/>
                <w:lang w:val="en-US" w:eastAsia="zh-CN"/>
              </w:rPr>
            </w:pPr>
            <w:r>
              <w:rPr>
                <w:rFonts w:hint="eastAsia" w:ascii="Times New Roman" w:hAnsi="Times New Roman" w:eastAsia="宋体" w:cs="Times New Roman"/>
                <w:color w:val="FF0000"/>
                <w:sz w:val="21"/>
                <w:szCs w:val="21"/>
                <w:lang w:val="en-US" w:eastAsia="zh-CN"/>
              </w:rPr>
              <w:t xml:space="preserve">5.57 </w:t>
            </w:r>
          </w:p>
        </w:tc>
        <w:tc>
          <w:tcPr>
            <w:tcW w:w="258" w:type="pct"/>
            <w:tcBorders>
              <w:tl2br w:val="nil"/>
              <w:tr2bl w:val="nil"/>
            </w:tcBorders>
            <w:shd w:val="clear" w:color="auto" w:fill="auto"/>
            <w:vAlign w:val="center"/>
          </w:tcPr>
          <w:p w14:paraId="29B1D387">
            <w:pPr>
              <w:pStyle w:val="128"/>
              <w:spacing w:line="240" w:lineRule="auto"/>
              <w:jc w:val="center"/>
              <w:rPr>
                <w:rFonts w:hint="eastAsia" w:ascii="Times New Roman" w:hAnsi="Times New Roman" w:eastAsia="宋体" w:cs="Times New Roman"/>
                <w:color w:val="FF0000"/>
                <w:sz w:val="21"/>
                <w:szCs w:val="21"/>
                <w:lang w:val="en-US" w:eastAsia="zh-CN"/>
              </w:rPr>
            </w:pPr>
            <w:r>
              <w:rPr>
                <w:rFonts w:hint="default" w:ascii="Times New Roman" w:hAnsi="Times New Roman" w:eastAsia="宋体" w:cs="Times New Roman"/>
                <w:color w:val="FF0000"/>
                <w:sz w:val="21"/>
                <w:szCs w:val="21"/>
                <w:lang w:val="en-US" w:eastAsia="zh-CN"/>
              </w:rPr>
              <w:t>0.0362%</w:t>
            </w:r>
          </w:p>
        </w:tc>
        <w:tc>
          <w:tcPr>
            <w:tcW w:w="258" w:type="pct"/>
            <w:tcBorders>
              <w:tl2br w:val="nil"/>
              <w:tr2bl w:val="nil"/>
            </w:tcBorders>
            <w:shd w:val="clear" w:color="auto" w:fill="auto"/>
            <w:vAlign w:val="center"/>
          </w:tcPr>
          <w:p w14:paraId="52DE6F52">
            <w:pPr>
              <w:pStyle w:val="128"/>
              <w:spacing w:line="240" w:lineRule="auto"/>
              <w:jc w:val="center"/>
              <w:rPr>
                <w:rFonts w:hint="default" w:ascii="Times New Roman" w:hAnsi="Times New Roman" w:eastAsia="宋体" w:cs="Times New Roman"/>
                <w:color w:val="FF0000"/>
                <w:sz w:val="21"/>
                <w:szCs w:val="21"/>
                <w:lang w:val="en-US" w:eastAsia="zh-CN"/>
              </w:rPr>
            </w:pPr>
            <w:r>
              <w:rPr>
                <w:rFonts w:hint="default" w:ascii="Times New Roman" w:hAnsi="Times New Roman" w:eastAsia="宋体" w:cs="Times New Roman"/>
                <w:color w:val="FF0000"/>
                <w:sz w:val="21"/>
                <w:szCs w:val="21"/>
                <w:lang w:val="en-US" w:eastAsia="zh-CN"/>
              </w:rPr>
              <w:t xml:space="preserve">7.27 </w:t>
            </w:r>
          </w:p>
        </w:tc>
        <w:tc>
          <w:tcPr>
            <w:tcW w:w="260" w:type="pct"/>
            <w:tcBorders>
              <w:tl2br w:val="nil"/>
              <w:tr2bl w:val="nil"/>
            </w:tcBorders>
            <w:shd w:val="clear" w:color="auto" w:fill="auto"/>
            <w:vAlign w:val="center"/>
          </w:tcPr>
          <w:p w14:paraId="58CC262F">
            <w:pPr>
              <w:pStyle w:val="128"/>
              <w:spacing w:line="240" w:lineRule="auto"/>
              <w:jc w:val="center"/>
              <w:rPr>
                <w:rFonts w:hint="eastAsia" w:ascii="Times New Roman" w:hAnsi="Times New Roman" w:eastAsia="宋体" w:cs="Times New Roman"/>
                <w:color w:val="FF0000"/>
                <w:sz w:val="21"/>
                <w:szCs w:val="21"/>
                <w:lang w:val="en-US" w:eastAsia="zh-CN"/>
              </w:rPr>
            </w:pPr>
            <w:r>
              <w:rPr>
                <w:rFonts w:hint="default" w:ascii="Times New Roman" w:hAnsi="Times New Roman" w:eastAsia="宋体" w:cs="Times New Roman"/>
                <w:color w:val="FF0000"/>
                <w:sz w:val="21"/>
                <w:szCs w:val="21"/>
                <w:lang w:val="en-US" w:eastAsia="zh-CN"/>
              </w:rPr>
              <w:t>0.0459%</w:t>
            </w:r>
          </w:p>
        </w:tc>
        <w:tc>
          <w:tcPr>
            <w:tcW w:w="263" w:type="pct"/>
            <w:tcBorders>
              <w:tl2br w:val="nil"/>
              <w:tr2bl w:val="nil"/>
            </w:tcBorders>
            <w:shd w:val="clear" w:color="auto" w:fill="auto"/>
            <w:vAlign w:val="center"/>
          </w:tcPr>
          <w:p w14:paraId="2F9B29CD">
            <w:pPr>
              <w:pStyle w:val="128"/>
              <w:spacing w:line="240" w:lineRule="auto"/>
              <w:jc w:val="center"/>
              <w:rPr>
                <w:rFonts w:hint="eastAsia" w:ascii="Times New Roman" w:hAnsi="Times New Roman" w:eastAsia="宋体" w:cs="Times New Roman"/>
                <w:color w:val="FF0000"/>
                <w:sz w:val="21"/>
                <w:szCs w:val="21"/>
                <w:lang w:val="en-US" w:eastAsia="zh-CN"/>
              </w:rPr>
            </w:pPr>
            <w:r>
              <w:rPr>
                <w:rFonts w:hint="default" w:ascii="Times New Roman" w:hAnsi="Times New Roman" w:eastAsia="宋体" w:cs="Times New Roman"/>
                <w:color w:val="FF0000"/>
                <w:sz w:val="21"/>
                <w:szCs w:val="21"/>
                <w:lang w:val="en-US" w:eastAsia="zh-CN"/>
              </w:rPr>
              <w:t xml:space="preserve">19.70 </w:t>
            </w:r>
          </w:p>
        </w:tc>
        <w:tc>
          <w:tcPr>
            <w:tcW w:w="1063" w:type="dxa"/>
            <w:tcBorders>
              <w:tl2br w:val="nil"/>
              <w:tr2bl w:val="nil"/>
            </w:tcBorders>
            <w:shd w:val="clear" w:color="auto" w:fill="auto"/>
            <w:vAlign w:val="center"/>
          </w:tcPr>
          <w:p w14:paraId="52EF2AEF">
            <w:pPr>
              <w:pStyle w:val="128"/>
              <w:spacing w:line="240" w:lineRule="auto"/>
              <w:jc w:val="center"/>
              <w:rPr>
                <w:rFonts w:hint="eastAsia" w:ascii="Times New Roman" w:hAnsi="Times New Roman" w:eastAsia="宋体" w:cs="Times New Roman"/>
                <w:color w:val="FF0000"/>
                <w:sz w:val="21"/>
                <w:szCs w:val="21"/>
                <w:lang w:val="en-US" w:eastAsia="zh-CN"/>
              </w:rPr>
            </w:pPr>
            <w:r>
              <w:rPr>
                <w:rFonts w:hint="default" w:ascii="Times New Roman" w:hAnsi="Times New Roman" w:eastAsia="宋体" w:cs="Times New Roman"/>
                <w:color w:val="FF0000"/>
                <w:sz w:val="21"/>
                <w:szCs w:val="21"/>
                <w:lang w:val="en-US" w:eastAsia="zh-CN"/>
              </w:rPr>
              <w:t>0.0274%</w:t>
            </w:r>
          </w:p>
        </w:tc>
        <w:tc>
          <w:tcPr>
            <w:tcW w:w="1075" w:type="dxa"/>
            <w:tcBorders>
              <w:tl2br w:val="nil"/>
              <w:tr2bl w:val="nil"/>
            </w:tcBorders>
            <w:shd w:val="clear" w:color="auto" w:fill="auto"/>
            <w:vAlign w:val="center"/>
          </w:tcPr>
          <w:p w14:paraId="3A146836">
            <w:pPr>
              <w:pStyle w:val="128"/>
              <w:spacing w:line="240" w:lineRule="auto"/>
              <w:jc w:val="center"/>
              <w:rPr>
                <w:rFonts w:hint="eastAsia" w:ascii="Times New Roman" w:hAnsi="Times New Roman" w:eastAsia="宋体" w:cs="Times New Roman"/>
                <w:color w:val="FF0000"/>
                <w:sz w:val="21"/>
                <w:szCs w:val="21"/>
                <w:lang w:val="en-US" w:eastAsia="zh-CN"/>
              </w:rPr>
            </w:pPr>
            <w:r>
              <w:rPr>
                <w:rFonts w:hint="default" w:ascii="Times New Roman" w:hAnsi="Times New Roman" w:eastAsia="宋体" w:cs="Times New Roman"/>
                <w:color w:val="FF0000"/>
                <w:sz w:val="21"/>
                <w:szCs w:val="21"/>
                <w:lang w:val="en-US" w:eastAsia="zh-CN"/>
              </w:rPr>
              <w:t xml:space="preserve">1.41 </w:t>
            </w:r>
          </w:p>
        </w:tc>
        <w:tc>
          <w:tcPr>
            <w:tcW w:w="1075" w:type="dxa"/>
            <w:tcBorders>
              <w:tl2br w:val="nil"/>
              <w:tr2bl w:val="nil"/>
            </w:tcBorders>
            <w:shd w:val="clear" w:color="auto" w:fill="auto"/>
            <w:vAlign w:val="center"/>
          </w:tcPr>
          <w:p w14:paraId="7389F2F9">
            <w:pPr>
              <w:pStyle w:val="128"/>
              <w:spacing w:line="240" w:lineRule="auto"/>
              <w:jc w:val="center"/>
              <w:rPr>
                <w:rFonts w:hint="eastAsia" w:ascii="Times New Roman" w:hAnsi="Times New Roman" w:eastAsia="宋体" w:cs="Times New Roman"/>
                <w:color w:val="FF0000"/>
                <w:sz w:val="21"/>
                <w:szCs w:val="21"/>
                <w:lang w:val="en-US" w:eastAsia="zh-CN"/>
              </w:rPr>
            </w:pPr>
            <w:r>
              <w:rPr>
                <w:rFonts w:hint="eastAsia" w:ascii="Times New Roman" w:hAnsi="Times New Roman" w:eastAsia="宋体" w:cs="Times New Roman"/>
                <w:color w:val="FF0000"/>
                <w:sz w:val="21"/>
                <w:szCs w:val="21"/>
                <w:lang w:val="en-US" w:eastAsia="zh-CN"/>
              </w:rPr>
              <w:t>33.95</w:t>
            </w:r>
          </w:p>
        </w:tc>
        <w:tc>
          <w:tcPr>
            <w:tcW w:w="1929" w:type="pct"/>
            <w:tcBorders>
              <w:tl2br w:val="nil"/>
              <w:tr2bl w:val="nil"/>
            </w:tcBorders>
            <w:shd w:val="clear" w:color="auto" w:fill="auto"/>
            <w:vAlign w:val="center"/>
          </w:tcPr>
          <w:p w14:paraId="7F504C48">
            <w:pPr>
              <w:keepNext w:val="0"/>
              <w:keepLines w:val="0"/>
              <w:widowControl/>
              <w:suppressLineNumbers w:val="0"/>
              <w:spacing w:line="240" w:lineRule="auto"/>
              <w:jc w:val="center"/>
              <w:textAlignment w:val="center"/>
              <w:rPr>
                <w:rFonts w:hint="eastAsia" w:ascii="宋体" w:hAnsi="宋体" w:cs="宋体"/>
                <w:i w:val="0"/>
                <w:iCs w:val="0"/>
                <w:color w:val="FF0000"/>
                <w:kern w:val="0"/>
                <w:sz w:val="21"/>
                <w:szCs w:val="21"/>
                <w:u w:val="none"/>
                <w:lang w:val="en-US" w:eastAsia="zh-CN" w:bidi="ar"/>
              </w:rPr>
            </w:pPr>
            <w:r>
              <w:rPr>
                <w:rFonts w:hint="eastAsia" w:ascii="宋体" w:hAnsi="宋体" w:cs="宋体"/>
                <w:i w:val="0"/>
                <w:iCs w:val="0"/>
                <w:color w:val="FF0000"/>
                <w:kern w:val="0"/>
                <w:sz w:val="21"/>
                <w:szCs w:val="21"/>
                <w:u w:val="none"/>
                <w:lang w:val="en-US" w:eastAsia="zh-CN" w:bidi="ar"/>
              </w:rPr>
              <w:t>汽油、柴油</w:t>
            </w:r>
          </w:p>
        </w:tc>
      </w:tr>
      <w:tr w14:paraId="6D47F7D4">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 w:type="dxa"/>
            <w:bottom w:w="0" w:type="dxa"/>
            <w:right w:w="10" w:type="dxa"/>
          </w:tblCellMar>
        </w:tblPrEx>
        <w:trPr>
          <w:trHeight w:val="57" w:hRule="atLeast"/>
          <w:jc w:val="center"/>
        </w:trPr>
        <w:tc>
          <w:tcPr>
            <w:tcW w:w="726" w:type="pct"/>
            <w:tcBorders>
              <w:tl2br w:val="nil"/>
              <w:tr2bl w:val="nil"/>
            </w:tcBorders>
            <w:shd w:val="clear" w:color="auto" w:fill="auto"/>
            <w:vAlign w:val="center"/>
          </w:tcPr>
          <w:p w14:paraId="043FCBDD">
            <w:pPr>
              <w:keepNext w:val="0"/>
              <w:keepLines w:val="0"/>
              <w:widowControl/>
              <w:suppressLineNumbers w:val="0"/>
              <w:spacing w:line="240" w:lineRule="auto"/>
              <w:jc w:val="center"/>
              <w:textAlignment w:val="center"/>
              <w:rPr>
                <w:rFonts w:hint="default" w:ascii="Times New Roman" w:hAnsi="Times New Roman" w:cs="Times New Roman"/>
                <w:i w:val="0"/>
                <w:iCs w:val="0"/>
                <w:color w:val="FF0000"/>
                <w:kern w:val="0"/>
                <w:sz w:val="21"/>
                <w:szCs w:val="21"/>
                <w:u w:val="none"/>
                <w:lang w:val="en-US" w:eastAsia="zh-CN" w:bidi="ar"/>
              </w:rPr>
            </w:pPr>
            <w:r>
              <w:rPr>
                <w:rFonts w:hint="default" w:ascii="Times New Roman" w:hAnsi="Times New Roman" w:cs="Times New Roman"/>
                <w:i w:val="0"/>
                <w:iCs w:val="0"/>
                <w:color w:val="FF0000"/>
                <w:kern w:val="0"/>
                <w:sz w:val="21"/>
                <w:szCs w:val="21"/>
                <w:u w:val="none"/>
                <w:lang w:val="en-US" w:eastAsia="zh-CN" w:bidi="ar"/>
              </w:rPr>
              <w:t>废矿物油（HW08）</w:t>
            </w:r>
          </w:p>
        </w:tc>
        <w:tc>
          <w:tcPr>
            <w:tcW w:w="258" w:type="pct"/>
            <w:tcBorders>
              <w:tl2br w:val="nil"/>
              <w:tr2bl w:val="nil"/>
            </w:tcBorders>
            <w:shd w:val="clear" w:color="auto" w:fill="auto"/>
            <w:vAlign w:val="center"/>
          </w:tcPr>
          <w:p w14:paraId="5B1DA599">
            <w:pPr>
              <w:pStyle w:val="128"/>
              <w:spacing w:line="240" w:lineRule="auto"/>
              <w:jc w:val="center"/>
              <w:rPr>
                <w:rFonts w:hint="default" w:ascii="Times New Roman" w:hAnsi="Times New Roman" w:eastAsia="宋体" w:cs="Times New Roman"/>
                <w:color w:val="FF0000"/>
                <w:sz w:val="21"/>
                <w:szCs w:val="21"/>
                <w:lang w:val="en-US" w:eastAsia="zh-CN"/>
              </w:rPr>
            </w:pPr>
            <w:r>
              <w:rPr>
                <w:rFonts w:hint="eastAsia" w:ascii="Times New Roman" w:hAnsi="Times New Roman" w:eastAsia="宋体" w:cs="Times New Roman"/>
                <w:color w:val="FF0000"/>
                <w:sz w:val="21"/>
                <w:szCs w:val="21"/>
                <w:lang w:val="en-US" w:eastAsia="zh-CN"/>
              </w:rPr>
              <w:t>0.1462%</w:t>
            </w:r>
          </w:p>
        </w:tc>
        <w:tc>
          <w:tcPr>
            <w:tcW w:w="260" w:type="pct"/>
            <w:tcBorders>
              <w:tl2br w:val="nil"/>
              <w:tr2bl w:val="nil"/>
            </w:tcBorders>
            <w:shd w:val="clear" w:color="auto" w:fill="auto"/>
            <w:vAlign w:val="center"/>
          </w:tcPr>
          <w:p w14:paraId="4A61D79D">
            <w:pPr>
              <w:pStyle w:val="128"/>
              <w:spacing w:line="240" w:lineRule="auto"/>
              <w:jc w:val="center"/>
              <w:rPr>
                <w:rFonts w:hint="default" w:ascii="Times New Roman" w:hAnsi="Times New Roman" w:eastAsia="宋体" w:cs="Times New Roman"/>
                <w:color w:val="FF0000"/>
                <w:sz w:val="21"/>
                <w:szCs w:val="21"/>
                <w:lang w:val="en-US" w:eastAsia="zh-CN"/>
              </w:rPr>
            </w:pPr>
            <w:r>
              <w:rPr>
                <w:rFonts w:hint="eastAsia" w:ascii="Times New Roman" w:hAnsi="Times New Roman" w:eastAsia="宋体" w:cs="Times New Roman"/>
                <w:color w:val="FF0000"/>
                <w:sz w:val="21"/>
                <w:szCs w:val="21"/>
                <w:lang w:val="en-US" w:eastAsia="zh-CN"/>
              </w:rPr>
              <w:t xml:space="preserve">5.57 </w:t>
            </w:r>
          </w:p>
        </w:tc>
        <w:tc>
          <w:tcPr>
            <w:tcW w:w="258" w:type="pct"/>
            <w:tcBorders>
              <w:tl2br w:val="nil"/>
              <w:tr2bl w:val="nil"/>
            </w:tcBorders>
            <w:shd w:val="clear" w:color="auto" w:fill="auto"/>
            <w:vAlign w:val="center"/>
          </w:tcPr>
          <w:p w14:paraId="637647F3">
            <w:pPr>
              <w:pStyle w:val="128"/>
              <w:spacing w:line="240" w:lineRule="auto"/>
              <w:jc w:val="center"/>
              <w:rPr>
                <w:rFonts w:hint="eastAsia" w:ascii="Times New Roman" w:hAnsi="Times New Roman" w:eastAsia="宋体" w:cs="Times New Roman"/>
                <w:color w:val="FF0000"/>
                <w:sz w:val="21"/>
                <w:szCs w:val="21"/>
                <w:lang w:val="en-US" w:eastAsia="zh-CN"/>
              </w:rPr>
            </w:pPr>
            <w:r>
              <w:rPr>
                <w:rFonts w:hint="default" w:ascii="Times New Roman" w:hAnsi="Times New Roman" w:eastAsia="宋体" w:cs="Times New Roman"/>
                <w:color w:val="FF0000"/>
                <w:sz w:val="21"/>
                <w:szCs w:val="21"/>
                <w:lang w:val="en-US" w:eastAsia="zh-CN"/>
              </w:rPr>
              <w:t>0.0362%</w:t>
            </w:r>
          </w:p>
        </w:tc>
        <w:tc>
          <w:tcPr>
            <w:tcW w:w="258" w:type="pct"/>
            <w:tcBorders>
              <w:tl2br w:val="nil"/>
              <w:tr2bl w:val="nil"/>
            </w:tcBorders>
            <w:shd w:val="clear" w:color="auto" w:fill="auto"/>
            <w:vAlign w:val="center"/>
          </w:tcPr>
          <w:p w14:paraId="304156B1">
            <w:pPr>
              <w:pStyle w:val="128"/>
              <w:spacing w:line="240" w:lineRule="auto"/>
              <w:jc w:val="center"/>
              <w:rPr>
                <w:rFonts w:hint="default" w:ascii="Times New Roman" w:hAnsi="Times New Roman" w:eastAsia="宋体" w:cs="Times New Roman"/>
                <w:color w:val="FF0000"/>
                <w:sz w:val="21"/>
                <w:szCs w:val="21"/>
                <w:lang w:val="en-US" w:eastAsia="zh-CN"/>
              </w:rPr>
            </w:pPr>
            <w:r>
              <w:rPr>
                <w:rFonts w:hint="default" w:ascii="Times New Roman" w:hAnsi="Times New Roman" w:eastAsia="宋体" w:cs="Times New Roman"/>
                <w:color w:val="FF0000"/>
                <w:sz w:val="21"/>
                <w:szCs w:val="21"/>
                <w:lang w:val="en-US" w:eastAsia="zh-CN"/>
              </w:rPr>
              <w:t xml:space="preserve">7.27 </w:t>
            </w:r>
          </w:p>
        </w:tc>
        <w:tc>
          <w:tcPr>
            <w:tcW w:w="260" w:type="pct"/>
            <w:tcBorders>
              <w:tl2br w:val="nil"/>
              <w:tr2bl w:val="nil"/>
            </w:tcBorders>
            <w:shd w:val="clear" w:color="auto" w:fill="auto"/>
            <w:vAlign w:val="center"/>
          </w:tcPr>
          <w:p w14:paraId="454CB3B7">
            <w:pPr>
              <w:pStyle w:val="128"/>
              <w:spacing w:line="240" w:lineRule="auto"/>
              <w:jc w:val="center"/>
              <w:rPr>
                <w:rFonts w:hint="eastAsia" w:ascii="Times New Roman" w:hAnsi="Times New Roman" w:eastAsia="宋体" w:cs="Times New Roman"/>
                <w:color w:val="FF0000"/>
                <w:sz w:val="21"/>
                <w:szCs w:val="21"/>
                <w:lang w:val="en-US" w:eastAsia="zh-CN"/>
              </w:rPr>
            </w:pPr>
            <w:r>
              <w:rPr>
                <w:rFonts w:hint="default" w:ascii="Times New Roman" w:hAnsi="Times New Roman" w:eastAsia="宋体" w:cs="Times New Roman"/>
                <w:color w:val="FF0000"/>
                <w:sz w:val="21"/>
                <w:szCs w:val="21"/>
                <w:lang w:val="en-US" w:eastAsia="zh-CN"/>
              </w:rPr>
              <w:t>0.0459%</w:t>
            </w:r>
          </w:p>
        </w:tc>
        <w:tc>
          <w:tcPr>
            <w:tcW w:w="263" w:type="pct"/>
            <w:tcBorders>
              <w:tl2br w:val="nil"/>
              <w:tr2bl w:val="nil"/>
            </w:tcBorders>
            <w:shd w:val="clear" w:color="auto" w:fill="auto"/>
            <w:vAlign w:val="center"/>
          </w:tcPr>
          <w:p w14:paraId="66D87E19">
            <w:pPr>
              <w:pStyle w:val="128"/>
              <w:spacing w:line="240" w:lineRule="auto"/>
              <w:jc w:val="center"/>
              <w:rPr>
                <w:rFonts w:hint="eastAsia" w:ascii="Times New Roman" w:hAnsi="Times New Roman" w:eastAsia="宋体" w:cs="Times New Roman"/>
                <w:color w:val="FF0000"/>
                <w:sz w:val="21"/>
                <w:szCs w:val="21"/>
                <w:lang w:val="en-US" w:eastAsia="zh-CN"/>
              </w:rPr>
            </w:pPr>
            <w:r>
              <w:rPr>
                <w:rFonts w:hint="default" w:ascii="Times New Roman" w:hAnsi="Times New Roman" w:eastAsia="宋体" w:cs="Times New Roman"/>
                <w:color w:val="FF0000"/>
                <w:sz w:val="21"/>
                <w:szCs w:val="21"/>
                <w:lang w:val="en-US" w:eastAsia="zh-CN"/>
              </w:rPr>
              <w:t xml:space="preserve">19.70 </w:t>
            </w:r>
          </w:p>
        </w:tc>
        <w:tc>
          <w:tcPr>
            <w:tcW w:w="1063" w:type="dxa"/>
            <w:tcBorders>
              <w:tl2br w:val="nil"/>
              <w:tr2bl w:val="nil"/>
            </w:tcBorders>
            <w:shd w:val="clear" w:color="auto" w:fill="auto"/>
            <w:vAlign w:val="center"/>
          </w:tcPr>
          <w:p w14:paraId="5E7A4482">
            <w:pPr>
              <w:pStyle w:val="128"/>
              <w:spacing w:line="240" w:lineRule="auto"/>
              <w:jc w:val="center"/>
              <w:rPr>
                <w:rFonts w:hint="eastAsia" w:ascii="Times New Roman" w:hAnsi="Times New Roman" w:eastAsia="宋体" w:cs="Times New Roman"/>
                <w:color w:val="FF0000"/>
                <w:sz w:val="21"/>
                <w:szCs w:val="21"/>
                <w:lang w:val="en-US" w:eastAsia="zh-CN"/>
              </w:rPr>
            </w:pPr>
            <w:r>
              <w:rPr>
                <w:rFonts w:hint="default" w:ascii="Times New Roman" w:hAnsi="Times New Roman" w:eastAsia="宋体" w:cs="Times New Roman"/>
                <w:color w:val="FF0000"/>
                <w:sz w:val="21"/>
                <w:szCs w:val="21"/>
                <w:lang w:val="en-US" w:eastAsia="zh-CN"/>
              </w:rPr>
              <w:t>0.0274%</w:t>
            </w:r>
          </w:p>
        </w:tc>
        <w:tc>
          <w:tcPr>
            <w:tcW w:w="1075" w:type="dxa"/>
            <w:tcBorders>
              <w:tl2br w:val="nil"/>
              <w:tr2bl w:val="nil"/>
            </w:tcBorders>
            <w:shd w:val="clear" w:color="auto" w:fill="auto"/>
            <w:vAlign w:val="center"/>
          </w:tcPr>
          <w:p w14:paraId="59E059E9">
            <w:pPr>
              <w:pStyle w:val="128"/>
              <w:spacing w:line="240" w:lineRule="auto"/>
              <w:jc w:val="center"/>
              <w:rPr>
                <w:rFonts w:hint="eastAsia" w:ascii="Times New Roman" w:hAnsi="Times New Roman" w:eastAsia="宋体" w:cs="Times New Roman"/>
                <w:color w:val="FF0000"/>
                <w:sz w:val="21"/>
                <w:szCs w:val="21"/>
                <w:lang w:val="en-US" w:eastAsia="zh-CN"/>
              </w:rPr>
            </w:pPr>
            <w:r>
              <w:rPr>
                <w:rFonts w:hint="default" w:ascii="Times New Roman" w:hAnsi="Times New Roman" w:eastAsia="宋体" w:cs="Times New Roman"/>
                <w:color w:val="FF0000"/>
                <w:sz w:val="21"/>
                <w:szCs w:val="21"/>
                <w:lang w:val="en-US" w:eastAsia="zh-CN"/>
              </w:rPr>
              <w:t xml:space="preserve">1.41 </w:t>
            </w:r>
          </w:p>
        </w:tc>
        <w:tc>
          <w:tcPr>
            <w:tcW w:w="1075" w:type="dxa"/>
            <w:tcBorders>
              <w:tl2br w:val="nil"/>
              <w:tr2bl w:val="nil"/>
            </w:tcBorders>
            <w:shd w:val="clear" w:color="auto" w:fill="auto"/>
            <w:vAlign w:val="center"/>
          </w:tcPr>
          <w:p w14:paraId="6CC77074">
            <w:pPr>
              <w:pStyle w:val="128"/>
              <w:spacing w:line="240" w:lineRule="auto"/>
              <w:jc w:val="center"/>
              <w:rPr>
                <w:rFonts w:hint="eastAsia" w:ascii="Times New Roman" w:hAnsi="Times New Roman" w:eastAsia="宋体" w:cs="Times New Roman"/>
                <w:color w:val="FF0000"/>
                <w:sz w:val="21"/>
                <w:szCs w:val="21"/>
                <w:lang w:val="en-US" w:eastAsia="zh-CN"/>
              </w:rPr>
            </w:pPr>
            <w:r>
              <w:rPr>
                <w:rFonts w:hint="eastAsia" w:ascii="Times New Roman" w:hAnsi="Times New Roman" w:eastAsia="宋体" w:cs="Times New Roman"/>
                <w:color w:val="FF0000"/>
                <w:sz w:val="21"/>
                <w:szCs w:val="21"/>
                <w:lang w:val="en-US" w:eastAsia="zh-CN"/>
              </w:rPr>
              <w:t>33.95</w:t>
            </w:r>
          </w:p>
        </w:tc>
        <w:tc>
          <w:tcPr>
            <w:tcW w:w="1929" w:type="pct"/>
            <w:tcBorders>
              <w:tl2br w:val="nil"/>
              <w:tr2bl w:val="nil"/>
            </w:tcBorders>
            <w:shd w:val="clear" w:color="auto" w:fill="auto"/>
            <w:vAlign w:val="center"/>
          </w:tcPr>
          <w:p w14:paraId="232AAEAA">
            <w:pPr>
              <w:keepNext w:val="0"/>
              <w:keepLines w:val="0"/>
              <w:widowControl/>
              <w:suppressLineNumbers w:val="0"/>
              <w:spacing w:line="240" w:lineRule="auto"/>
              <w:jc w:val="center"/>
              <w:textAlignment w:val="center"/>
              <w:rPr>
                <w:rFonts w:hint="eastAsia" w:ascii="宋体" w:hAnsi="宋体" w:cs="宋体"/>
                <w:i w:val="0"/>
                <w:iCs w:val="0"/>
                <w:color w:val="FF0000"/>
                <w:kern w:val="0"/>
                <w:sz w:val="21"/>
                <w:szCs w:val="21"/>
                <w:u w:val="none"/>
                <w:lang w:val="en-US" w:eastAsia="zh-CN" w:bidi="ar"/>
              </w:rPr>
            </w:pPr>
            <w:r>
              <w:rPr>
                <w:rFonts w:hint="eastAsia" w:ascii="宋体" w:hAnsi="宋体" w:cs="宋体"/>
                <w:i w:val="0"/>
                <w:iCs w:val="0"/>
                <w:color w:val="FF0000"/>
                <w:kern w:val="0"/>
                <w:sz w:val="21"/>
                <w:szCs w:val="21"/>
                <w:u w:val="none"/>
                <w:lang w:val="en-US" w:eastAsia="zh-CN" w:bidi="ar"/>
              </w:rPr>
              <w:t>发动机润滑油、变速箱油、助力转向油、差速器油、制动液等石油类或合成润滑剂</w:t>
            </w:r>
          </w:p>
        </w:tc>
      </w:tr>
      <w:tr w14:paraId="4C34366B">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 w:type="dxa"/>
            <w:bottom w:w="0" w:type="dxa"/>
            <w:right w:w="10" w:type="dxa"/>
          </w:tblCellMar>
        </w:tblPrEx>
        <w:trPr>
          <w:trHeight w:val="90" w:hRule="atLeast"/>
          <w:jc w:val="center"/>
        </w:trPr>
        <w:tc>
          <w:tcPr>
            <w:tcW w:w="726" w:type="pct"/>
            <w:tcBorders>
              <w:tl2br w:val="nil"/>
              <w:tr2bl w:val="nil"/>
            </w:tcBorders>
            <w:shd w:val="clear" w:color="auto" w:fill="auto"/>
            <w:vAlign w:val="center"/>
          </w:tcPr>
          <w:p w14:paraId="66B161C7">
            <w:pPr>
              <w:keepNext w:val="0"/>
              <w:keepLines w:val="0"/>
              <w:widowControl/>
              <w:suppressLineNumbers w:val="0"/>
              <w:spacing w:line="240" w:lineRule="auto"/>
              <w:jc w:val="center"/>
              <w:textAlignment w:val="center"/>
              <w:rPr>
                <w:rFonts w:hint="default" w:ascii="Times New Roman" w:hAnsi="Times New Roman" w:cs="Times New Roman"/>
                <w:i w:val="0"/>
                <w:iCs w:val="0"/>
                <w:color w:val="FF0000"/>
                <w:kern w:val="0"/>
                <w:sz w:val="21"/>
                <w:szCs w:val="21"/>
                <w:u w:val="none"/>
                <w:lang w:val="en-US" w:eastAsia="zh-CN" w:bidi="ar"/>
              </w:rPr>
            </w:pPr>
            <w:r>
              <w:rPr>
                <w:rFonts w:hint="default" w:ascii="Times New Roman" w:hAnsi="Times New Roman" w:cs="Times New Roman"/>
                <w:i w:val="0"/>
                <w:iCs w:val="0"/>
                <w:color w:val="FF0000"/>
                <w:kern w:val="0"/>
                <w:sz w:val="21"/>
                <w:szCs w:val="21"/>
                <w:u w:val="none"/>
                <w:lang w:val="en-US" w:eastAsia="zh-CN" w:bidi="ar"/>
              </w:rPr>
              <w:t>废油箱（</w:t>
            </w:r>
            <w:r>
              <w:rPr>
                <w:rFonts w:hint="default" w:ascii="Times New Roman" w:hAnsi="Times New Roman" w:cs="Times New Roman"/>
                <w:i w:val="0"/>
                <w:iCs w:val="0"/>
                <w:color w:val="FF0000"/>
                <w:kern w:val="0"/>
                <w:sz w:val="21"/>
                <w:szCs w:val="21"/>
                <w:u w:val="none"/>
                <w:lang w:val="en-US" w:eastAsia="en-US" w:bidi="ar"/>
              </w:rPr>
              <w:t>HW49）</w:t>
            </w:r>
          </w:p>
        </w:tc>
        <w:tc>
          <w:tcPr>
            <w:tcW w:w="258" w:type="pct"/>
            <w:tcBorders>
              <w:tl2br w:val="nil"/>
              <w:tr2bl w:val="nil"/>
            </w:tcBorders>
            <w:shd w:val="clear" w:color="auto" w:fill="auto"/>
            <w:vAlign w:val="center"/>
          </w:tcPr>
          <w:p w14:paraId="46ADAE13">
            <w:pPr>
              <w:pStyle w:val="128"/>
              <w:spacing w:line="240" w:lineRule="auto"/>
              <w:jc w:val="center"/>
              <w:rPr>
                <w:rFonts w:hint="default" w:ascii="Times New Roman" w:hAnsi="Times New Roman" w:eastAsia="宋体" w:cs="Times New Roman"/>
                <w:color w:val="FF0000"/>
                <w:sz w:val="21"/>
                <w:szCs w:val="21"/>
                <w:lang w:val="en-US" w:eastAsia="zh-CN"/>
              </w:rPr>
            </w:pPr>
            <w:r>
              <w:rPr>
                <w:rFonts w:hint="eastAsia" w:ascii="Times New Roman" w:hAnsi="Times New Roman" w:eastAsia="宋体" w:cs="Times New Roman"/>
                <w:color w:val="FF0000"/>
                <w:sz w:val="21"/>
                <w:szCs w:val="21"/>
                <w:lang w:val="en-US" w:eastAsia="zh-CN"/>
              </w:rPr>
              <w:t>0.1462%</w:t>
            </w:r>
          </w:p>
        </w:tc>
        <w:tc>
          <w:tcPr>
            <w:tcW w:w="260" w:type="pct"/>
            <w:tcBorders>
              <w:tl2br w:val="nil"/>
              <w:tr2bl w:val="nil"/>
            </w:tcBorders>
            <w:shd w:val="clear" w:color="auto" w:fill="auto"/>
            <w:vAlign w:val="center"/>
          </w:tcPr>
          <w:p w14:paraId="3BC4D19F">
            <w:pPr>
              <w:pStyle w:val="128"/>
              <w:spacing w:line="240" w:lineRule="auto"/>
              <w:jc w:val="center"/>
              <w:rPr>
                <w:rFonts w:hint="default" w:ascii="Times New Roman" w:hAnsi="Times New Roman" w:eastAsia="宋体" w:cs="Times New Roman"/>
                <w:color w:val="FF0000"/>
                <w:sz w:val="21"/>
                <w:szCs w:val="21"/>
                <w:lang w:val="en-US" w:eastAsia="zh-CN"/>
              </w:rPr>
            </w:pPr>
            <w:r>
              <w:rPr>
                <w:rFonts w:hint="eastAsia" w:ascii="Times New Roman" w:hAnsi="Times New Roman" w:eastAsia="宋体" w:cs="Times New Roman"/>
                <w:color w:val="FF0000"/>
                <w:sz w:val="21"/>
                <w:szCs w:val="21"/>
                <w:lang w:val="en-US" w:eastAsia="zh-CN"/>
              </w:rPr>
              <w:t xml:space="preserve">5.57 </w:t>
            </w:r>
          </w:p>
        </w:tc>
        <w:tc>
          <w:tcPr>
            <w:tcW w:w="258" w:type="pct"/>
            <w:tcBorders>
              <w:tl2br w:val="nil"/>
              <w:tr2bl w:val="nil"/>
            </w:tcBorders>
            <w:shd w:val="clear" w:color="auto" w:fill="auto"/>
            <w:vAlign w:val="center"/>
          </w:tcPr>
          <w:p w14:paraId="42B16691">
            <w:pPr>
              <w:pStyle w:val="128"/>
              <w:spacing w:line="240" w:lineRule="auto"/>
              <w:jc w:val="center"/>
              <w:rPr>
                <w:rFonts w:hint="eastAsia" w:ascii="Times New Roman" w:hAnsi="Times New Roman" w:eastAsia="宋体" w:cs="Times New Roman"/>
                <w:color w:val="FF0000"/>
                <w:sz w:val="21"/>
                <w:szCs w:val="21"/>
                <w:lang w:val="en-US" w:eastAsia="zh-CN"/>
              </w:rPr>
            </w:pPr>
            <w:r>
              <w:rPr>
                <w:rFonts w:hint="default" w:ascii="Times New Roman" w:hAnsi="Times New Roman" w:eastAsia="宋体" w:cs="Times New Roman"/>
                <w:color w:val="FF0000"/>
                <w:sz w:val="21"/>
                <w:szCs w:val="21"/>
                <w:lang w:val="en-US" w:eastAsia="zh-CN"/>
              </w:rPr>
              <w:t>0.0579%</w:t>
            </w:r>
          </w:p>
        </w:tc>
        <w:tc>
          <w:tcPr>
            <w:tcW w:w="258" w:type="pct"/>
            <w:tcBorders>
              <w:tl2br w:val="nil"/>
              <w:tr2bl w:val="nil"/>
            </w:tcBorders>
            <w:shd w:val="clear" w:color="auto" w:fill="auto"/>
            <w:vAlign w:val="center"/>
          </w:tcPr>
          <w:p w14:paraId="05CFC7DC">
            <w:pPr>
              <w:pStyle w:val="128"/>
              <w:spacing w:line="240" w:lineRule="auto"/>
              <w:jc w:val="center"/>
              <w:rPr>
                <w:rFonts w:hint="default" w:ascii="Times New Roman" w:hAnsi="Times New Roman" w:eastAsia="宋体" w:cs="Times New Roman"/>
                <w:color w:val="FF0000"/>
                <w:sz w:val="21"/>
                <w:szCs w:val="21"/>
                <w:lang w:val="en-US" w:eastAsia="zh-CN"/>
              </w:rPr>
            </w:pPr>
            <w:r>
              <w:rPr>
                <w:rFonts w:hint="default" w:ascii="Times New Roman" w:hAnsi="Times New Roman" w:eastAsia="宋体" w:cs="Times New Roman"/>
                <w:color w:val="FF0000"/>
                <w:sz w:val="21"/>
                <w:szCs w:val="21"/>
                <w:lang w:val="en-US" w:eastAsia="zh-CN"/>
              </w:rPr>
              <w:t xml:space="preserve">11.63 </w:t>
            </w:r>
          </w:p>
        </w:tc>
        <w:tc>
          <w:tcPr>
            <w:tcW w:w="260" w:type="pct"/>
            <w:tcBorders>
              <w:tl2br w:val="nil"/>
              <w:tr2bl w:val="nil"/>
            </w:tcBorders>
            <w:shd w:val="clear" w:color="auto" w:fill="auto"/>
            <w:vAlign w:val="center"/>
          </w:tcPr>
          <w:p w14:paraId="1A1F8618">
            <w:pPr>
              <w:pStyle w:val="128"/>
              <w:spacing w:line="240" w:lineRule="auto"/>
              <w:jc w:val="center"/>
              <w:rPr>
                <w:rFonts w:hint="eastAsia" w:ascii="Times New Roman" w:hAnsi="Times New Roman" w:eastAsia="宋体" w:cs="Times New Roman"/>
                <w:color w:val="FF0000"/>
                <w:sz w:val="21"/>
                <w:szCs w:val="21"/>
                <w:lang w:val="en-US" w:eastAsia="zh-CN"/>
              </w:rPr>
            </w:pPr>
            <w:r>
              <w:rPr>
                <w:rFonts w:hint="default" w:ascii="Times New Roman" w:hAnsi="Times New Roman" w:eastAsia="宋体" w:cs="Times New Roman"/>
                <w:color w:val="FF0000"/>
                <w:sz w:val="21"/>
                <w:szCs w:val="21"/>
                <w:lang w:val="en-US" w:eastAsia="zh-CN"/>
              </w:rPr>
              <w:t>0.1835%</w:t>
            </w:r>
          </w:p>
        </w:tc>
        <w:tc>
          <w:tcPr>
            <w:tcW w:w="263" w:type="pct"/>
            <w:tcBorders>
              <w:tl2br w:val="nil"/>
              <w:tr2bl w:val="nil"/>
            </w:tcBorders>
            <w:shd w:val="clear" w:color="auto" w:fill="auto"/>
            <w:vAlign w:val="center"/>
          </w:tcPr>
          <w:p w14:paraId="33BC3A30">
            <w:pPr>
              <w:pStyle w:val="128"/>
              <w:spacing w:line="240" w:lineRule="auto"/>
              <w:jc w:val="center"/>
              <w:rPr>
                <w:rFonts w:hint="eastAsia" w:ascii="Times New Roman" w:hAnsi="Times New Roman" w:eastAsia="宋体" w:cs="Times New Roman"/>
                <w:color w:val="FF0000"/>
                <w:sz w:val="21"/>
                <w:szCs w:val="21"/>
                <w:lang w:val="en-US" w:eastAsia="zh-CN"/>
              </w:rPr>
            </w:pPr>
            <w:r>
              <w:rPr>
                <w:rFonts w:hint="default" w:ascii="Times New Roman" w:hAnsi="Times New Roman" w:eastAsia="宋体" w:cs="Times New Roman"/>
                <w:color w:val="FF0000"/>
                <w:sz w:val="21"/>
                <w:szCs w:val="21"/>
                <w:lang w:val="en-US" w:eastAsia="zh-CN"/>
              </w:rPr>
              <w:t xml:space="preserve">78.80 </w:t>
            </w:r>
          </w:p>
        </w:tc>
        <w:tc>
          <w:tcPr>
            <w:tcW w:w="1063" w:type="dxa"/>
            <w:tcBorders>
              <w:tl2br w:val="nil"/>
              <w:tr2bl w:val="nil"/>
            </w:tcBorders>
            <w:shd w:val="clear" w:color="auto" w:fill="auto"/>
            <w:vAlign w:val="center"/>
          </w:tcPr>
          <w:p w14:paraId="1B59BE25">
            <w:pPr>
              <w:pStyle w:val="128"/>
              <w:spacing w:line="240" w:lineRule="auto"/>
              <w:jc w:val="center"/>
              <w:rPr>
                <w:rFonts w:hint="eastAsia" w:ascii="Times New Roman" w:hAnsi="Times New Roman" w:eastAsia="宋体" w:cs="Times New Roman"/>
                <w:color w:val="FF0000"/>
                <w:sz w:val="21"/>
                <w:szCs w:val="21"/>
                <w:lang w:val="en-US" w:eastAsia="zh-CN"/>
              </w:rPr>
            </w:pPr>
            <w:r>
              <w:rPr>
                <w:rFonts w:hint="default" w:ascii="Times New Roman" w:hAnsi="Times New Roman" w:eastAsia="宋体" w:cs="Times New Roman"/>
                <w:color w:val="FF0000"/>
                <w:sz w:val="21"/>
                <w:szCs w:val="21"/>
                <w:lang w:val="en-US" w:eastAsia="zh-CN"/>
              </w:rPr>
              <w:t>0.1096%</w:t>
            </w:r>
          </w:p>
        </w:tc>
        <w:tc>
          <w:tcPr>
            <w:tcW w:w="1075" w:type="dxa"/>
            <w:tcBorders>
              <w:tl2br w:val="nil"/>
              <w:tr2bl w:val="nil"/>
            </w:tcBorders>
            <w:shd w:val="clear" w:color="auto" w:fill="auto"/>
            <w:vAlign w:val="center"/>
          </w:tcPr>
          <w:p w14:paraId="5F120CC3">
            <w:pPr>
              <w:pStyle w:val="128"/>
              <w:spacing w:line="240" w:lineRule="auto"/>
              <w:jc w:val="center"/>
              <w:rPr>
                <w:rFonts w:hint="eastAsia" w:ascii="Times New Roman" w:hAnsi="Times New Roman" w:eastAsia="宋体" w:cs="Times New Roman"/>
                <w:color w:val="FF0000"/>
                <w:sz w:val="21"/>
                <w:szCs w:val="21"/>
                <w:lang w:val="en-US" w:eastAsia="zh-CN"/>
              </w:rPr>
            </w:pPr>
            <w:r>
              <w:rPr>
                <w:rFonts w:hint="default" w:ascii="Times New Roman" w:hAnsi="Times New Roman" w:eastAsia="宋体" w:cs="Times New Roman"/>
                <w:color w:val="FF0000"/>
                <w:sz w:val="21"/>
                <w:szCs w:val="21"/>
                <w:lang w:val="en-US" w:eastAsia="zh-CN"/>
              </w:rPr>
              <w:t xml:space="preserve">5.63 </w:t>
            </w:r>
          </w:p>
        </w:tc>
        <w:tc>
          <w:tcPr>
            <w:tcW w:w="1075" w:type="dxa"/>
            <w:tcBorders>
              <w:tl2br w:val="nil"/>
              <w:tr2bl w:val="nil"/>
            </w:tcBorders>
            <w:shd w:val="clear" w:color="auto" w:fill="auto"/>
            <w:vAlign w:val="center"/>
          </w:tcPr>
          <w:p w14:paraId="1CEC97A0">
            <w:pPr>
              <w:pStyle w:val="128"/>
              <w:spacing w:line="240" w:lineRule="auto"/>
              <w:jc w:val="center"/>
              <w:rPr>
                <w:rFonts w:hint="eastAsia" w:ascii="Times New Roman" w:hAnsi="Times New Roman" w:eastAsia="宋体" w:cs="Times New Roman"/>
                <w:color w:val="FF0000"/>
                <w:sz w:val="21"/>
                <w:szCs w:val="21"/>
                <w:lang w:val="en-US" w:eastAsia="zh-CN"/>
              </w:rPr>
            </w:pPr>
            <w:r>
              <w:rPr>
                <w:rFonts w:hint="eastAsia" w:ascii="Times New Roman" w:hAnsi="Times New Roman" w:eastAsia="宋体" w:cs="Times New Roman"/>
                <w:color w:val="FF0000"/>
                <w:sz w:val="21"/>
                <w:szCs w:val="21"/>
                <w:lang w:val="en-US" w:eastAsia="zh-CN"/>
              </w:rPr>
              <w:t>101.63</w:t>
            </w:r>
          </w:p>
        </w:tc>
        <w:tc>
          <w:tcPr>
            <w:tcW w:w="1929" w:type="pct"/>
            <w:tcBorders>
              <w:tl2br w:val="nil"/>
              <w:tr2bl w:val="nil"/>
            </w:tcBorders>
            <w:shd w:val="clear" w:color="auto" w:fill="auto"/>
            <w:vAlign w:val="center"/>
          </w:tcPr>
          <w:p w14:paraId="7D88E075">
            <w:pPr>
              <w:keepNext w:val="0"/>
              <w:keepLines w:val="0"/>
              <w:widowControl/>
              <w:suppressLineNumbers w:val="0"/>
              <w:spacing w:line="240" w:lineRule="auto"/>
              <w:jc w:val="center"/>
              <w:textAlignment w:val="center"/>
              <w:rPr>
                <w:rFonts w:hint="default" w:ascii="宋体" w:hAnsi="宋体" w:cs="宋体"/>
                <w:i w:val="0"/>
                <w:iCs w:val="0"/>
                <w:color w:val="FF0000"/>
                <w:kern w:val="0"/>
                <w:sz w:val="21"/>
                <w:szCs w:val="21"/>
                <w:u w:val="none"/>
                <w:lang w:val="en-US" w:eastAsia="zh-CN" w:bidi="ar"/>
              </w:rPr>
            </w:pPr>
            <w:r>
              <w:rPr>
                <w:rFonts w:hint="eastAsia" w:ascii="宋体" w:hAnsi="宋体" w:cs="宋体"/>
                <w:i w:val="0"/>
                <w:iCs w:val="0"/>
                <w:color w:val="FF0000"/>
                <w:kern w:val="0"/>
                <w:sz w:val="21"/>
                <w:szCs w:val="21"/>
                <w:u w:val="none"/>
                <w:lang w:val="en-US" w:eastAsia="zh-CN" w:bidi="ar"/>
              </w:rPr>
              <w:t>油箱与油管</w:t>
            </w:r>
          </w:p>
        </w:tc>
      </w:tr>
      <w:tr w14:paraId="240855C1">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 w:type="dxa"/>
            <w:bottom w:w="0" w:type="dxa"/>
            <w:right w:w="10" w:type="dxa"/>
          </w:tblCellMar>
        </w:tblPrEx>
        <w:trPr>
          <w:trHeight w:val="57" w:hRule="atLeast"/>
          <w:jc w:val="center"/>
        </w:trPr>
        <w:tc>
          <w:tcPr>
            <w:tcW w:w="726" w:type="pct"/>
            <w:tcBorders>
              <w:tl2br w:val="nil"/>
              <w:tr2bl w:val="nil"/>
            </w:tcBorders>
            <w:shd w:val="clear" w:color="auto" w:fill="auto"/>
            <w:vAlign w:val="center"/>
          </w:tcPr>
          <w:p w14:paraId="46D7B10C">
            <w:pPr>
              <w:keepNext w:val="0"/>
              <w:keepLines w:val="0"/>
              <w:widowControl/>
              <w:suppressLineNumbers w:val="0"/>
              <w:spacing w:line="240" w:lineRule="auto"/>
              <w:jc w:val="center"/>
              <w:textAlignment w:val="center"/>
              <w:rPr>
                <w:rFonts w:hint="default" w:ascii="Times New Roman" w:hAnsi="Times New Roman" w:cs="Times New Roman"/>
                <w:i w:val="0"/>
                <w:iCs w:val="0"/>
                <w:color w:val="FF0000"/>
                <w:kern w:val="0"/>
                <w:sz w:val="21"/>
                <w:szCs w:val="21"/>
                <w:u w:val="none"/>
                <w:lang w:val="en-US" w:eastAsia="zh-CN" w:bidi="ar"/>
              </w:rPr>
            </w:pPr>
            <w:r>
              <w:rPr>
                <w:rFonts w:hint="default" w:ascii="Times New Roman" w:hAnsi="Times New Roman" w:cs="Times New Roman"/>
                <w:i w:val="0"/>
                <w:iCs w:val="0"/>
                <w:color w:val="FF0000"/>
                <w:kern w:val="0"/>
                <w:sz w:val="21"/>
                <w:szCs w:val="21"/>
                <w:u w:val="none"/>
                <w:lang w:val="en-US" w:eastAsia="zh-CN" w:bidi="ar"/>
              </w:rPr>
              <w:t>铅酸蓄电池（</w:t>
            </w:r>
            <w:r>
              <w:rPr>
                <w:rFonts w:hint="default" w:ascii="Times New Roman" w:hAnsi="Times New Roman" w:cs="Times New Roman"/>
                <w:i w:val="0"/>
                <w:iCs w:val="0"/>
                <w:color w:val="FF0000"/>
                <w:kern w:val="0"/>
                <w:sz w:val="21"/>
                <w:szCs w:val="21"/>
                <w:u w:val="none"/>
                <w:lang w:val="en-US" w:eastAsia="en-US" w:bidi="ar"/>
              </w:rPr>
              <w:t>HW49）</w:t>
            </w:r>
          </w:p>
        </w:tc>
        <w:tc>
          <w:tcPr>
            <w:tcW w:w="258" w:type="pct"/>
            <w:tcBorders>
              <w:tl2br w:val="nil"/>
              <w:tr2bl w:val="nil"/>
            </w:tcBorders>
            <w:shd w:val="clear" w:color="auto" w:fill="auto"/>
            <w:vAlign w:val="center"/>
          </w:tcPr>
          <w:p w14:paraId="5306E2AE">
            <w:pPr>
              <w:pStyle w:val="128"/>
              <w:spacing w:line="240" w:lineRule="auto"/>
              <w:jc w:val="center"/>
              <w:rPr>
                <w:rFonts w:hint="default" w:ascii="Times New Roman" w:hAnsi="Times New Roman" w:eastAsia="宋体" w:cs="Times New Roman"/>
                <w:color w:val="FF0000"/>
                <w:sz w:val="21"/>
                <w:szCs w:val="21"/>
                <w:lang w:val="en-US" w:eastAsia="zh-CN"/>
              </w:rPr>
            </w:pPr>
            <w:r>
              <w:rPr>
                <w:rFonts w:hint="eastAsia" w:ascii="Times New Roman" w:hAnsi="Times New Roman" w:eastAsia="宋体" w:cs="Times New Roman"/>
                <w:color w:val="FF0000"/>
                <w:sz w:val="21"/>
                <w:szCs w:val="21"/>
                <w:lang w:val="en-US" w:eastAsia="zh-CN"/>
              </w:rPr>
              <w:t>0.7311%</w:t>
            </w:r>
          </w:p>
        </w:tc>
        <w:tc>
          <w:tcPr>
            <w:tcW w:w="260" w:type="pct"/>
            <w:tcBorders>
              <w:tl2br w:val="nil"/>
              <w:tr2bl w:val="nil"/>
            </w:tcBorders>
            <w:shd w:val="clear" w:color="auto" w:fill="auto"/>
            <w:vAlign w:val="center"/>
          </w:tcPr>
          <w:p w14:paraId="6ECDCE21">
            <w:pPr>
              <w:pStyle w:val="128"/>
              <w:spacing w:line="240" w:lineRule="auto"/>
              <w:jc w:val="center"/>
              <w:rPr>
                <w:rFonts w:hint="default" w:ascii="Times New Roman" w:hAnsi="Times New Roman" w:eastAsia="宋体" w:cs="Times New Roman"/>
                <w:color w:val="FF0000"/>
                <w:sz w:val="21"/>
                <w:szCs w:val="21"/>
                <w:lang w:val="en-US" w:eastAsia="zh-CN"/>
              </w:rPr>
            </w:pPr>
            <w:r>
              <w:rPr>
                <w:rFonts w:hint="eastAsia" w:ascii="Times New Roman" w:hAnsi="Times New Roman" w:eastAsia="宋体" w:cs="Times New Roman"/>
                <w:color w:val="FF0000"/>
                <w:sz w:val="21"/>
                <w:szCs w:val="21"/>
                <w:lang w:val="en-US" w:eastAsia="zh-CN"/>
              </w:rPr>
              <w:t xml:space="preserve">27.85 </w:t>
            </w:r>
          </w:p>
        </w:tc>
        <w:tc>
          <w:tcPr>
            <w:tcW w:w="258" w:type="pct"/>
            <w:tcBorders>
              <w:tl2br w:val="nil"/>
              <w:tr2bl w:val="nil"/>
            </w:tcBorders>
            <w:shd w:val="clear" w:color="auto" w:fill="auto"/>
            <w:vAlign w:val="center"/>
          </w:tcPr>
          <w:p w14:paraId="7A26897B">
            <w:pPr>
              <w:pStyle w:val="128"/>
              <w:spacing w:line="240" w:lineRule="auto"/>
              <w:jc w:val="center"/>
              <w:rPr>
                <w:rFonts w:hint="eastAsia" w:ascii="Times New Roman" w:hAnsi="Times New Roman" w:eastAsia="宋体" w:cs="Times New Roman"/>
                <w:color w:val="FF0000"/>
                <w:sz w:val="21"/>
                <w:szCs w:val="21"/>
                <w:lang w:val="en-US" w:eastAsia="zh-CN"/>
              </w:rPr>
            </w:pPr>
            <w:r>
              <w:rPr>
                <w:rFonts w:hint="default" w:ascii="Times New Roman" w:hAnsi="Times New Roman" w:eastAsia="宋体" w:cs="Times New Roman"/>
                <w:color w:val="FF0000"/>
                <w:sz w:val="21"/>
                <w:szCs w:val="21"/>
                <w:lang w:val="en-US" w:eastAsia="zh-CN"/>
              </w:rPr>
              <w:t>1.4467%</w:t>
            </w:r>
          </w:p>
        </w:tc>
        <w:tc>
          <w:tcPr>
            <w:tcW w:w="258" w:type="pct"/>
            <w:tcBorders>
              <w:tl2br w:val="nil"/>
              <w:tr2bl w:val="nil"/>
            </w:tcBorders>
            <w:shd w:val="clear" w:color="auto" w:fill="auto"/>
            <w:vAlign w:val="center"/>
          </w:tcPr>
          <w:p w14:paraId="75F07562">
            <w:pPr>
              <w:pStyle w:val="128"/>
              <w:spacing w:line="240" w:lineRule="auto"/>
              <w:jc w:val="center"/>
              <w:rPr>
                <w:rFonts w:hint="default" w:ascii="Times New Roman" w:hAnsi="Times New Roman" w:eastAsia="宋体" w:cs="Times New Roman"/>
                <w:color w:val="FF0000"/>
                <w:sz w:val="21"/>
                <w:szCs w:val="21"/>
                <w:lang w:val="en-US" w:eastAsia="zh-CN"/>
              </w:rPr>
            </w:pPr>
            <w:r>
              <w:rPr>
                <w:rFonts w:hint="default" w:ascii="Times New Roman" w:hAnsi="Times New Roman" w:eastAsia="宋体" w:cs="Times New Roman"/>
                <w:color w:val="FF0000"/>
                <w:sz w:val="21"/>
                <w:szCs w:val="21"/>
                <w:lang w:val="en-US" w:eastAsia="zh-CN"/>
              </w:rPr>
              <w:t xml:space="preserve">290.79 </w:t>
            </w:r>
          </w:p>
        </w:tc>
        <w:tc>
          <w:tcPr>
            <w:tcW w:w="260" w:type="pct"/>
            <w:tcBorders>
              <w:tl2br w:val="nil"/>
              <w:tr2bl w:val="nil"/>
            </w:tcBorders>
            <w:shd w:val="clear" w:color="auto" w:fill="auto"/>
            <w:vAlign w:val="center"/>
          </w:tcPr>
          <w:p w14:paraId="50759266">
            <w:pPr>
              <w:pStyle w:val="128"/>
              <w:spacing w:line="240" w:lineRule="auto"/>
              <w:jc w:val="center"/>
              <w:rPr>
                <w:rFonts w:hint="eastAsia" w:ascii="Times New Roman" w:hAnsi="Times New Roman" w:eastAsia="宋体" w:cs="Times New Roman"/>
                <w:color w:val="FF0000"/>
                <w:sz w:val="21"/>
                <w:szCs w:val="21"/>
                <w:lang w:val="en-US" w:eastAsia="zh-CN"/>
              </w:rPr>
            </w:pPr>
            <w:r>
              <w:rPr>
                <w:rFonts w:hint="default" w:ascii="Times New Roman" w:hAnsi="Times New Roman" w:eastAsia="宋体" w:cs="Times New Roman"/>
                <w:color w:val="FF0000"/>
                <w:sz w:val="21"/>
                <w:szCs w:val="21"/>
                <w:lang w:val="en-US" w:eastAsia="zh-CN"/>
              </w:rPr>
              <w:t>0.8256%</w:t>
            </w:r>
          </w:p>
        </w:tc>
        <w:tc>
          <w:tcPr>
            <w:tcW w:w="263" w:type="pct"/>
            <w:tcBorders>
              <w:tl2br w:val="nil"/>
              <w:tr2bl w:val="nil"/>
            </w:tcBorders>
            <w:shd w:val="clear" w:color="auto" w:fill="auto"/>
            <w:vAlign w:val="center"/>
          </w:tcPr>
          <w:p w14:paraId="54A6062D">
            <w:pPr>
              <w:pStyle w:val="128"/>
              <w:spacing w:line="240" w:lineRule="auto"/>
              <w:jc w:val="center"/>
              <w:rPr>
                <w:rFonts w:hint="default" w:ascii="Times New Roman" w:hAnsi="Times New Roman" w:eastAsia="宋体" w:cs="Times New Roman"/>
                <w:color w:val="FF0000"/>
                <w:sz w:val="21"/>
                <w:szCs w:val="21"/>
                <w:lang w:val="en-US" w:eastAsia="zh-CN"/>
              </w:rPr>
            </w:pPr>
            <w:r>
              <w:rPr>
                <w:rFonts w:hint="default" w:ascii="Times New Roman" w:hAnsi="Times New Roman" w:eastAsia="宋体" w:cs="Times New Roman"/>
                <w:color w:val="FF0000"/>
                <w:sz w:val="21"/>
                <w:szCs w:val="21"/>
                <w:lang w:val="en-US" w:eastAsia="zh-CN"/>
              </w:rPr>
              <w:t xml:space="preserve">354.61 </w:t>
            </w:r>
          </w:p>
        </w:tc>
        <w:tc>
          <w:tcPr>
            <w:tcW w:w="1063" w:type="dxa"/>
            <w:tcBorders>
              <w:tl2br w:val="nil"/>
              <w:tr2bl w:val="nil"/>
            </w:tcBorders>
            <w:shd w:val="clear" w:color="auto" w:fill="auto"/>
            <w:vAlign w:val="center"/>
          </w:tcPr>
          <w:p w14:paraId="20D21F0F">
            <w:pPr>
              <w:keepNext w:val="0"/>
              <w:keepLines w:val="0"/>
              <w:widowControl/>
              <w:suppressLineNumbers w:val="0"/>
              <w:jc w:val="center"/>
              <w:textAlignment w:val="center"/>
              <w:rPr>
                <w:rFonts w:hint="eastAsia" w:ascii="Times New Roman" w:hAnsi="Times New Roman" w:eastAsia="宋体" w:cs="Times New Roman"/>
                <w:color w:val="FF0000"/>
                <w:sz w:val="21"/>
                <w:szCs w:val="21"/>
                <w:lang w:val="en-US" w:eastAsia="zh-CN"/>
              </w:rPr>
            </w:pPr>
            <w:r>
              <w:rPr>
                <w:rFonts w:hint="default" w:ascii="Times New Roman" w:hAnsi="Times New Roman" w:eastAsia="宋体" w:cs="Times New Roman"/>
                <w:i w:val="0"/>
                <w:iCs w:val="0"/>
                <w:color w:val="FF0000"/>
                <w:kern w:val="0"/>
                <w:sz w:val="21"/>
                <w:szCs w:val="21"/>
                <w:u w:val="none"/>
                <w:lang w:val="en-US" w:eastAsia="zh-CN" w:bidi="ar"/>
              </w:rPr>
              <w:t>16.4384%</w:t>
            </w:r>
          </w:p>
        </w:tc>
        <w:tc>
          <w:tcPr>
            <w:tcW w:w="1075" w:type="dxa"/>
            <w:tcBorders>
              <w:tl2br w:val="nil"/>
              <w:tr2bl w:val="nil"/>
            </w:tcBorders>
            <w:shd w:val="clear" w:color="auto" w:fill="auto"/>
            <w:vAlign w:val="center"/>
          </w:tcPr>
          <w:p w14:paraId="1115A6B8">
            <w:pPr>
              <w:keepNext w:val="0"/>
              <w:keepLines w:val="0"/>
              <w:widowControl/>
              <w:suppressLineNumbers w:val="0"/>
              <w:jc w:val="center"/>
              <w:textAlignment w:val="center"/>
              <w:rPr>
                <w:rFonts w:hint="eastAsia" w:ascii="Times New Roman" w:hAnsi="Times New Roman" w:eastAsia="宋体" w:cs="Times New Roman"/>
                <w:color w:val="FF0000"/>
                <w:sz w:val="21"/>
                <w:szCs w:val="21"/>
                <w:lang w:val="en-US" w:eastAsia="zh-CN"/>
              </w:rPr>
            </w:pPr>
            <w:r>
              <w:rPr>
                <w:rFonts w:hint="default" w:ascii="Times New Roman" w:hAnsi="Times New Roman" w:eastAsia="宋体" w:cs="Times New Roman"/>
                <w:i w:val="0"/>
                <w:iCs w:val="0"/>
                <w:color w:val="FF0000"/>
                <w:kern w:val="0"/>
                <w:sz w:val="21"/>
                <w:szCs w:val="21"/>
                <w:u w:val="none"/>
                <w:lang w:val="en-US" w:eastAsia="zh-CN" w:bidi="ar"/>
              </w:rPr>
              <w:t xml:space="preserve">844.93 </w:t>
            </w:r>
          </w:p>
        </w:tc>
        <w:tc>
          <w:tcPr>
            <w:tcW w:w="1075" w:type="dxa"/>
            <w:tcBorders>
              <w:tl2br w:val="nil"/>
              <w:tr2bl w:val="nil"/>
            </w:tcBorders>
            <w:shd w:val="clear" w:color="auto" w:fill="auto"/>
            <w:vAlign w:val="center"/>
          </w:tcPr>
          <w:p w14:paraId="28EC2635">
            <w:pPr>
              <w:pStyle w:val="128"/>
              <w:spacing w:line="240" w:lineRule="auto"/>
              <w:jc w:val="center"/>
              <w:rPr>
                <w:rFonts w:hint="eastAsia" w:ascii="Times New Roman" w:hAnsi="Times New Roman" w:eastAsia="宋体" w:cs="Times New Roman"/>
                <w:color w:val="FF0000"/>
                <w:sz w:val="21"/>
                <w:szCs w:val="21"/>
                <w:lang w:val="en-US" w:eastAsia="zh-CN"/>
              </w:rPr>
            </w:pPr>
            <w:r>
              <w:rPr>
                <w:rFonts w:hint="eastAsia" w:ascii="Times New Roman" w:hAnsi="Times New Roman" w:eastAsia="宋体" w:cs="Times New Roman"/>
                <w:color w:val="FF0000"/>
                <w:sz w:val="21"/>
                <w:szCs w:val="21"/>
                <w:lang w:val="en-US" w:eastAsia="zh-CN"/>
              </w:rPr>
              <w:t>1518.18</w:t>
            </w:r>
          </w:p>
        </w:tc>
        <w:tc>
          <w:tcPr>
            <w:tcW w:w="1929" w:type="pct"/>
            <w:tcBorders>
              <w:tl2br w:val="nil"/>
              <w:tr2bl w:val="nil"/>
            </w:tcBorders>
            <w:shd w:val="clear" w:color="auto" w:fill="auto"/>
            <w:vAlign w:val="center"/>
          </w:tcPr>
          <w:p w14:paraId="7B14D521">
            <w:pPr>
              <w:keepNext w:val="0"/>
              <w:keepLines w:val="0"/>
              <w:widowControl/>
              <w:suppressLineNumbers w:val="0"/>
              <w:spacing w:line="240" w:lineRule="auto"/>
              <w:jc w:val="center"/>
              <w:textAlignment w:val="center"/>
              <w:rPr>
                <w:rFonts w:hint="eastAsia" w:ascii="宋体" w:hAnsi="宋体" w:cs="宋体"/>
                <w:i w:val="0"/>
                <w:iCs w:val="0"/>
                <w:color w:val="FF0000"/>
                <w:kern w:val="0"/>
                <w:sz w:val="21"/>
                <w:szCs w:val="21"/>
                <w:u w:val="none"/>
                <w:lang w:val="en-US" w:eastAsia="zh-CN" w:bidi="ar"/>
              </w:rPr>
            </w:pPr>
            <w:r>
              <w:rPr>
                <w:rFonts w:hint="eastAsia" w:ascii="宋体" w:hAnsi="宋体" w:cs="宋体"/>
                <w:i w:val="0"/>
                <w:iCs w:val="0"/>
                <w:color w:val="FF0000"/>
                <w:kern w:val="0"/>
                <w:sz w:val="21"/>
                <w:szCs w:val="21"/>
                <w:u w:val="none"/>
                <w:lang w:val="en-US" w:eastAsia="zh-CN" w:bidi="ar"/>
              </w:rPr>
              <w:t>铅酸蓄电池</w:t>
            </w:r>
          </w:p>
        </w:tc>
      </w:tr>
      <w:tr w14:paraId="0146AA7F">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 w:type="dxa"/>
            <w:bottom w:w="0" w:type="dxa"/>
            <w:right w:w="10" w:type="dxa"/>
          </w:tblCellMar>
        </w:tblPrEx>
        <w:trPr>
          <w:trHeight w:val="57" w:hRule="atLeast"/>
          <w:jc w:val="center"/>
        </w:trPr>
        <w:tc>
          <w:tcPr>
            <w:tcW w:w="726" w:type="pct"/>
            <w:tcBorders>
              <w:tl2br w:val="nil"/>
              <w:tr2bl w:val="nil"/>
            </w:tcBorders>
            <w:shd w:val="clear" w:color="auto" w:fill="auto"/>
            <w:vAlign w:val="center"/>
          </w:tcPr>
          <w:p w14:paraId="12717217">
            <w:pPr>
              <w:keepNext w:val="0"/>
              <w:keepLines w:val="0"/>
              <w:widowControl/>
              <w:suppressLineNumbers w:val="0"/>
              <w:spacing w:line="240" w:lineRule="auto"/>
              <w:jc w:val="center"/>
              <w:textAlignment w:val="center"/>
              <w:rPr>
                <w:rFonts w:hint="default" w:ascii="Times New Roman" w:hAnsi="Times New Roman" w:cs="Times New Roman"/>
                <w:i w:val="0"/>
                <w:iCs w:val="0"/>
                <w:color w:val="FF0000"/>
                <w:kern w:val="0"/>
                <w:sz w:val="21"/>
                <w:szCs w:val="21"/>
                <w:u w:val="none"/>
                <w:lang w:val="en-US" w:eastAsia="zh-CN" w:bidi="ar"/>
              </w:rPr>
            </w:pPr>
            <w:r>
              <w:rPr>
                <w:rFonts w:hint="default" w:ascii="Times New Roman" w:hAnsi="Times New Roman" w:cs="Times New Roman"/>
                <w:i w:val="0"/>
                <w:iCs w:val="0"/>
                <w:color w:val="FF0000"/>
                <w:kern w:val="0"/>
                <w:sz w:val="21"/>
                <w:szCs w:val="21"/>
                <w:u w:val="none"/>
                <w:lang w:val="en-US" w:eastAsia="zh-CN" w:bidi="ar"/>
              </w:rPr>
              <w:t>废滤清器（</w:t>
            </w:r>
            <w:r>
              <w:rPr>
                <w:rFonts w:hint="default" w:ascii="Times New Roman" w:hAnsi="Times New Roman" w:cs="Times New Roman"/>
                <w:i w:val="0"/>
                <w:iCs w:val="0"/>
                <w:color w:val="FF0000"/>
                <w:kern w:val="0"/>
                <w:sz w:val="21"/>
                <w:szCs w:val="21"/>
                <w:u w:val="none"/>
                <w:lang w:val="en-US" w:eastAsia="en-US" w:bidi="ar"/>
              </w:rPr>
              <w:t>HW49）</w:t>
            </w:r>
          </w:p>
        </w:tc>
        <w:tc>
          <w:tcPr>
            <w:tcW w:w="258" w:type="pct"/>
            <w:tcBorders>
              <w:tl2br w:val="nil"/>
              <w:tr2bl w:val="nil"/>
            </w:tcBorders>
            <w:shd w:val="clear" w:color="auto" w:fill="auto"/>
            <w:vAlign w:val="center"/>
          </w:tcPr>
          <w:p w14:paraId="70EB22D5">
            <w:pPr>
              <w:pStyle w:val="128"/>
              <w:spacing w:line="240" w:lineRule="auto"/>
              <w:jc w:val="center"/>
              <w:rPr>
                <w:rFonts w:hint="default" w:ascii="Times New Roman" w:hAnsi="Times New Roman" w:eastAsia="宋体" w:cs="Times New Roman"/>
                <w:color w:val="FF0000"/>
                <w:sz w:val="21"/>
                <w:szCs w:val="21"/>
                <w:lang w:val="en-US" w:eastAsia="zh-CN"/>
              </w:rPr>
            </w:pPr>
            <w:r>
              <w:rPr>
                <w:rFonts w:hint="eastAsia" w:ascii="Times New Roman" w:hAnsi="Times New Roman" w:eastAsia="宋体" w:cs="Times New Roman"/>
                <w:color w:val="FF0000"/>
                <w:sz w:val="21"/>
                <w:szCs w:val="21"/>
                <w:lang w:val="en-US" w:eastAsia="zh-CN"/>
              </w:rPr>
              <w:t>0.0731%</w:t>
            </w:r>
          </w:p>
        </w:tc>
        <w:tc>
          <w:tcPr>
            <w:tcW w:w="260" w:type="pct"/>
            <w:tcBorders>
              <w:tl2br w:val="nil"/>
              <w:tr2bl w:val="nil"/>
            </w:tcBorders>
            <w:shd w:val="clear" w:color="auto" w:fill="auto"/>
            <w:vAlign w:val="center"/>
          </w:tcPr>
          <w:p w14:paraId="69132BF4">
            <w:pPr>
              <w:pStyle w:val="128"/>
              <w:spacing w:line="240" w:lineRule="auto"/>
              <w:jc w:val="center"/>
              <w:rPr>
                <w:rFonts w:hint="default" w:ascii="Times New Roman" w:hAnsi="Times New Roman" w:eastAsia="宋体" w:cs="Times New Roman"/>
                <w:color w:val="FF0000"/>
                <w:sz w:val="21"/>
                <w:szCs w:val="21"/>
                <w:lang w:val="en-US" w:eastAsia="zh-CN"/>
              </w:rPr>
            </w:pPr>
            <w:r>
              <w:rPr>
                <w:rFonts w:hint="eastAsia" w:ascii="Times New Roman" w:hAnsi="Times New Roman" w:eastAsia="宋体" w:cs="Times New Roman"/>
                <w:color w:val="FF0000"/>
                <w:sz w:val="21"/>
                <w:szCs w:val="21"/>
                <w:lang w:val="en-US" w:eastAsia="zh-CN"/>
              </w:rPr>
              <w:t xml:space="preserve">2.79 </w:t>
            </w:r>
          </w:p>
        </w:tc>
        <w:tc>
          <w:tcPr>
            <w:tcW w:w="258" w:type="pct"/>
            <w:tcBorders>
              <w:tl2br w:val="nil"/>
              <w:tr2bl w:val="nil"/>
            </w:tcBorders>
            <w:shd w:val="clear" w:color="auto" w:fill="auto"/>
            <w:vAlign w:val="center"/>
          </w:tcPr>
          <w:p w14:paraId="632F3F5C">
            <w:pPr>
              <w:pStyle w:val="128"/>
              <w:spacing w:line="240" w:lineRule="auto"/>
              <w:jc w:val="center"/>
              <w:rPr>
                <w:rFonts w:hint="eastAsia" w:ascii="Times New Roman" w:hAnsi="Times New Roman" w:eastAsia="宋体" w:cs="Times New Roman"/>
                <w:color w:val="FF0000"/>
                <w:sz w:val="21"/>
                <w:szCs w:val="21"/>
                <w:lang w:val="en-US" w:eastAsia="zh-CN"/>
              </w:rPr>
            </w:pPr>
            <w:r>
              <w:rPr>
                <w:rFonts w:hint="default" w:ascii="Times New Roman" w:hAnsi="Times New Roman" w:eastAsia="宋体" w:cs="Times New Roman"/>
                <w:color w:val="FF0000"/>
                <w:sz w:val="21"/>
                <w:szCs w:val="21"/>
                <w:lang w:val="en-US" w:eastAsia="zh-CN"/>
              </w:rPr>
              <w:t>0.0362%</w:t>
            </w:r>
          </w:p>
        </w:tc>
        <w:tc>
          <w:tcPr>
            <w:tcW w:w="258" w:type="pct"/>
            <w:tcBorders>
              <w:tl2br w:val="nil"/>
              <w:tr2bl w:val="nil"/>
            </w:tcBorders>
            <w:shd w:val="clear" w:color="auto" w:fill="auto"/>
            <w:vAlign w:val="center"/>
          </w:tcPr>
          <w:p w14:paraId="32703CC2">
            <w:pPr>
              <w:pStyle w:val="128"/>
              <w:spacing w:line="240" w:lineRule="auto"/>
              <w:jc w:val="center"/>
              <w:rPr>
                <w:rFonts w:hint="eastAsia" w:ascii="Times New Roman" w:hAnsi="Times New Roman" w:eastAsia="宋体" w:cs="Times New Roman"/>
                <w:color w:val="FF0000"/>
                <w:sz w:val="21"/>
                <w:szCs w:val="21"/>
                <w:lang w:val="en-US" w:eastAsia="zh-CN"/>
              </w:rPr>
            </w:pPr>
            <w:r>
              <w:rPr>
                <w:rFonts w:hint="default" w:ascii="Times New Roman" w:hAnsi="Times New Roman" w:eastAsia="宋体" w:cs="Times New Roman"/>
                <w:color w:val="FF0000"/>
                <w:sz w:val="21"/>
                <w:szCs w:val="21"/>
                <w:lang w:val="en-US" w:eastAsia="zh-CN"/>
              </w:rPr>
              <w:t xml:space="preserve">7.27 </w:t>
            </w:r>
          </w:p>
        </w:tc>
        <w:tc>
          <w:tcPr>
            <w:tcW w:w="260" w:type="pct"/>
            <w:tcBorders>
              <w:tl2br w:val="nil"/>
              <w:tr2bl w:val="nil"/>
            </w:tcBorders>
            <w:shd w:val="clear" w:color="auto" w:fill="auto"/>
            <w:vAlign w:val="center"/>
          </w:tcPr>
          <w:p w14:paraId="179CCCB8">
            <w:pPr>
              <w:pStyle w:val="128"/>
              <w:spacing w:line="240" w:lineRule="auto"/>
              <w:jc w:val="center"/>
              <w:rPr>
                <w:rFonts w:hint="eastAsia" w:ascii="Times New Roman" w:hAnsi="Times New Roman" w:eastAsia="宋体" w:cs="Times New Roman"/>
                <w:color w:val="FF0000"/>
                <w:sz w:val="21"/>
                <w:szCs w:val="21"/>
                <w:lang w:val="en-US" w:eastAsia="zh-CN"/>
              </w:rPr>
            </w:pPr>
            <w:r>
              <w:rPr>
                <w:rFonts w:hint="default" w:ascii="Times New Roman" w:hAnsi="Times New Roman" w:eastAsia="宋体" w:cs="Times New Roman"/>
                <w:color w:val="FF0000"/>
                <w:sz w:val="21"/>
                <w:szCs w:val="21"/>
                <w:lang w:val="en-US" w:eastAsia="zh-CN"/>
              </w:rPr>
              <w:t>0.0367%</w:t>
            </w:r>
          </w:p>
        </w:tc>
        <w:tc>
          <w:tcPr>
            <w:tcW w:w="263" w:type="pct"/>
            <w:tcBorders>
              <w:tl2br w:val="nil"/>
              <w:tr2bl w:val="nil"/>
            </w:tcBorders>
            <w:shd w:val="clear" w:color="auto" w:fill="auto"/>
            <w:vAlign w:val="center"/>
          </w:tcPr>
          <w:p w14:paraId="40D8B70B">
            <w:pPr>
              <w:pStyle w:val="128"/>
              <w:spacing w:line="240" w:lineRule="auto"/>
              <w:jc w:val="center"/>
              <w:rPr>
                <w:rFonts w:hint="eastAsia" w:ascii="Times New Roman" w:hAnsi="Times New Roman" w:eastAsia="宋体" w:cs="Times New Roman"/>
                <w:color w:val="FF0000"/>
                <w:sz w:val="21"/>
                <w:szCs w:val="21"/>
                <w:lang w:val="en-US" w:eastAsia="zh-CN"/>
              </w:rPr>
            </w:pPr>
            <w:r>
              <w:rPr>
                <w:rFonts w:hint="default" w:ascii="Times New Roman" w:hAnsi="Times New Roman" w:eastAsia="宋体" w:cs="Times New Roman"/>
                <w:color w:val="FF0000"/>
                <w:sz w:val="21"/>
                <w:szCs w:val="21"/>
                <w:lang w:val="en-US" w:eastAsia="zh-CN"/>
              </w:rPr>
              <w:t xml:space="preserve">15.76 </w:t>
            </w:r>
          </w:p>
        </w:tc>
        <w:tc>
          <w:tcPr>
            <w:tcW w:w="1063" w:type="dxa"/>
            <w:tcBorders>
              <w:tl2br w:val="nil"/>
              <w:tr2bl w:val="nil"/>
            </w:tcBorders>
            <w:shd w:val="clear" w:color="auto" w:fill="auto"/>
            <w:vAlign w:val="center"/>
          </w:tcPr>
          <w:p w14:paraId="3B8F075A">
            <w:pPr>
              <w:keepNext w:val="0"/>
              <w:keepLines w:val="0"/>
              <w:widowControl/>
              <w:suppressLineNumbers w:val="0"/>
              <w:jc w:val="center"/>
              <w:textAlignment w:val="center"/>
              <w:rPr>
                <w:rFonts w:hint="eastAsia" w:ascii="Times New Roman" w:hAnsi="Times New Roman" w:eastAsia="宋体" w:cs="Times New Roman"/>
                <w:color w:val="FF0000"/>
                <w:sz w:val="21"/>
                <w:szCs w:val="21"/>
                <w:lang w:val="en-US" w:eastAsia="zh-CN"/>
              </w:rPr>
            </w:pPr>
            <w:r>
              <w:rPr>
                <w:rFonts w:hint="default" w:ascii="Times New Roman" w:hAnsi="Times New Roman" w:eastAsia="宋体" w:cs="Times New Roman"/>
                <w:i w:val="0"/>
                <w:iCs w:val="0"/>
                <w:color w:val="FF0000"/>
                <w:kern w:val="0"/>
                <w:sz w:val="21"/>
                <w:szCs w:val="21"/>
                <w:u w:val="none"/>
                <w:lang w:val="en-US" w:eastAsia="zh-CN" w:bidi="ar"/>
              </w:rPr>
              <w:t>0.0219%</w:t>
            </w:r>
          </w:p>
        </w:tc>
        <w:tc>
          <w:tcPr>
            <w:tcW w:w="1075" w:type="dxa"/>
            <w:tcBorders>
              <w:tl2br w:val="nil"/>
              <w:tr2bl w:val="nil"/>
            </w:tcBorders>
            <w:shd w:val="clear" w:color="auto" w:fill="auto"/>
            <w:vAlign w:val="center"/>
          </w:tcPr>
          <w:p w14:paraId="329DD70F">
            <w:pPr>
              <w:keepNext w:val="0"/>
              <w:keepLines w:val="0"/>
              <w:widowControl/>
              <w:suppressLineNumbers w:val="0"/>
              <w:jc w:val="center"/>
              <w:textAlignment w:val="center"/>
              <w:rPr>
                <w:rFonts w:hint="eastAsia" w:ascii="Times New Roman" w:hAnsi="Times New Roman" w:eastAsia="宋体" w:cs="Times New Roman"/>
                <w:color w:val="FF0000"/>
                <w:sz w:val="21"/>
                <w:szCs w:val="21"/>
                <w:lang w:val="en-US" w:eastAsia="zh-CN"/>
              </w:rPr>
            </w:pPr>
            <w:r>
              <w:rPr>
                <w:rFonts w:hint="default" w:ascii="Times New Roman" w:hAnsi="Times New Roman" w:eastAsia="宋体" w:cs="Times New Roman"/>
                <w:i w:val="0"/>
                <w:iCs w:val="0"/>
                <w:color w:val="FF0000"/>
                <w:kern w:val="0"/>
                <w:sz w:val="21"/>
                <w:szCs w:val="21"/>
                <w:u w:val="none"/>
                <w:lang w:val="en-US" w:eastAsia="zh-CN" w:bidi="ar"/>
              </w:rPr>
              <w:t xml:space="preserve">1.13 </w:t>
            </w:r>
          </w:p>
        </w:tc>
        <w:tc>
          <w:tcPr>
            <w:tcW w:w="1075" w:type="dxa"/>
            <w:tcBorders>
              <w:tl2br w:val="nil"/>
              <w:tr2bl w:val="nil"/>
            </w:tcBorders>
            <w:shd w:val="clear" w:color="auto" w:fill="auto"/>
            <w:vAlign w:val="center"/>
          </w:tcPr>
          <w:p w14:paraId="2EF8EB2F">
            <w:pPr>
              <w:pStyle w:val="128"/>
              <w:spacing w:line="240" w:lineRule="auto"/>
              <w:jc w:val="center"/>
              <w:rPr>
                <w:rFonts w:hint="eastAsia" w:ascii="Times New Roman" w:hAnsi="Times New Roman" w:eastAsia="宋体" w:cs="Times New Roman"/>
                <w:color w:val="FF0000"/>
                <w:sz w:val="21"/>
                <w:szCs w:val="21"/>
                <w:lang w:val="en-US" w:eastAsia="zh-CN"/>
              </w:rPr>
            </w:pPr>
            <w:r>
              <w:rPr>
                <w:rFonts w:hint="eastAsia" w:ascii="Times New Roman" w:hAnsi="Times New Roman" w:eastAsia="宋体" w:cs="Times New Roman"/>
                <w:color w:val="FF0000"/>
                <w:sz w:val="21"/>
                <w:szCs w:val="21"/>
                <w:lang w:val="en-US" w:eastAsia="zh-CN"/>
              </w:rPr>
              <w:t>26.95</w:t>
            </w:r>
          </w:p>
        </w:tc>
        <w:tc>
          <w:tcPr>
            <w:tcW w:w="1929" w:type="pct"/>
            <w:tcBorders>
              <w:tl2br w:val="nil"/>
              <w:tr2bl w:val="nil"/>
            </w:tcBorders>
            <w:shd w:val="clear" w:color="auto" w:fill="auto"/>
            <w:vAlign w:val="center"/>
          </w:tcPr>
          <w:p w14:paraId="37C91ABB">
            <w:pPr>
              <w:keepNext w:val="0"/>
              <w:keepLines w:val="0"/>
              <w:widowControl/>
              <w:suppressLineNumbers w:val="0"/>
              <w:spacing w:line="240" w:lineRule="auto"/>
              <w:jc w:val="center"/>
              <w:textAlignment w:val="center"/>
              <w:rPr>
                <w:rFonts w:hint="eastAsia" w:ascii="宋体" w:hAnsi="宋体" w:cs="宋体"/>
                <w:i w:val="0"/>
                <w:iCs w:val="0"/>
                <w:color w:val="FF0000"/>
                <w:kern w:val="0"/>
                <w:sz w:val="21"/>
                <w:szCs w:val="21"/>
                <w:u w:val="none"/>
                <w:lang w:val="en-US" w:eastAsia="zh-CN" w:bidi="ar"/>
              </w:rPr>
            </w:pPr>
            <w:r>
              <w:rPr>
                <w:rFonts w:hint="eastAsia" w:ascii="宋体" w:hAnsi="宋体" w:cs="宋体"/>
                <w:i w:val="0"/>
                <w:iCs w:val="0"/>
                <w:color w:val="FF0000"/>
                <w:kern w:val="0"/>
                <w:sz w:val="21"/>
                <w:szCs w:val="21"/>
                <w:u w:val="none"/>
                <w:lang w:val="en-US" w:eastAsia="zh-CN" w:bidi="ar"/>
              </w:rPr>
              <w:t>发动机滤清器</w:t>
            </w:r>
          </w:p>
        </w:tc>
      </w:tr>
      <w:tr w14:paraId="0BA3BF91">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 w:type="dxa"/>
            <w:bottom w:w="0" w:type="dxa"/>
            <w:right w:w="10" w:type="dxa"/>
          </w:tblCellMar>
        </w:tblPrEx>
        <w:trPr>
          <w:trHeight w:val="57" w:hRule="atLeast"/>
          <w:jc w:val="center"/>
        </w:trPr>
        <w:tc>
          <w:tcPr>
            <w:tcW w:w="726" w:type="pct"/>
            <w:tcBorders>
              <w:tl2br w:val="nil"/>
              <w:tr2bl w:val="nil"/>
            </w:tcBorders>
            <w:shd w:val="clear" w:color="auto" w:fill="auto"/>
            <w:vAlign w:val="center"/>
          </w:tcPr>
          <w:p w14:paraId="24AB94AA">
            <w:pPr>
              <w:keepNext w:val="0"/>
              <w:keepLines w:val="0"/>
              <w:widowControl/>
              <w:suppressLineNumbers w:val="0"/>
              <w:spacing w:line="240" w:lineRule="auto"/>
              <w:jc w:val="center"/>
              <w:textAlignment w:val="center"/>
              <w:rPr>
                <w:rFonts w:hint="default" w:ascii="Times New Roman" w:hAnsi="Times New Roman" w:cs="Times New Roman"/>
                <w:i w:val="0"/>
                <w:iCs w:val="0"/>
                <w:color w:val="FF0000"/>
                <w:kern w:val="0"/>
                <w:sz w:val="21"/>
                <w:szCs w:val="21"/>
                <w:u w:val="none"/>
                <w:lang w:val="en-US" w:eastAsia="zh-CN" w:bidi="ar"/>
              </w:rPr>
            </w:pPr>
            <w:r>
              <w:rPr>
                <w:rFonts w:hint="default" w:ascii="Times New Roman" w:hAnsi="Times New Roman" w:cs="Times New Roman"/>
                <w:i w:val="0"/>
                <w:iCs w:val="0"/>
                <w:color w:val="FF0000"/>
                <w:kern w:val="0"/>
                <w:sz w:val="21"/>
                <w:szCs w:val="21"/>
                <w:u w:val="none"/>
                <w:lang w:val="en-US" w:eastAsia="zh-CN" w:bidi="ar"/>
              </w:rPr>
              <w:t>尾气净化装置及催化剂（HW50）</w:t>
            </w:r>
          </w:p>
        </w:tc>
        <w:tc>
          <w:tcPr>
            <w:tcW w:w="258" w:type="pct"/>
            <w:tcBorders>
              <w:tl2br w:val="nil"/>
              <w:tr2bl w:val="nil"/>
            </w:tcBorders>
            <w:shd w:val="clear" w:color="auto" w:fill="auto"/>
            <w:vAlign w:val="center"/>
          </w:tcPr>
          <w:p w14:paraId="0F366E3D">
            <w:pPr>
              <w:pStyle w:val="128"/>
              <w:spacing w:line="240" w:lineRule="auto"/>
              <w:jc w:val="center"/>
              <w:rPr>
                <w:rFonts w:hint="default" w:ascii="Times New Roman" w:hAnsi="Times New Roman" w:eastAsia="宋体" w:cs="Times New Roman"/>
                <w:color w:val="FF0000"/>
                <w:sz w:val="21"/>
                <w:szCs w:val="21"/>
                <w:lang w:val="en-US" w:eastAsia="zh-CN"/>
              </w:rPr>
            </w:pPr>
            <w:r>
              <w:rPr>
                <w:rFonts w:hint="eastAsia" w:ascii="Times New Roman" w:hAnsi="Times New Roman" w:eastAsia="宋体" w:cs="Times New Roman"/>
                <w:color w:val="FF0000"/>
                <w:sz w:val="21"/>
                <w:szCs w:val="21"/>
                <w:lang w:val="en-US" w:eastAsia="zh-CN"/>
              </w:rPr>
              <w:t>0.0487%</w:t>
            </w:r>
          </w:p>
        </w:tc>
        <w:tc>
          <w:tcPr>
            <w:tcW w:w="260" w:type="pct"/>
            <w:tcBorders>
              <w:tl2br w:val="nil"/>
              <w:tr2bl w:val="nil"/>
            </w:tcBorders>
            <w:shd w:val="clear" w:color="auto" w:fill="auto"/>
            <w:vAlign w:val="center"/>
          </w:tcPr>
          <w:p w14:paraId="47538253">
            <w:pPr>
              <w:pStyle w:val="128"/>
              <w:spacing w:line="240" w:lineRule="auto"/>
              <w:jc w:val="center"/>
              <w:rPr>
                <w:rFonts w:hint="default" w:ascii="Times New Roman" w:hAnsi="Times New Roman" w:eastAsia="宋体" w:cs="Times New Roman"/>
                <w:color w:val="FF0000"/>
                <w:sz w:val="21"/>
                <w:szCs w:val="21"/>
                <w:lang w:val="en-US" w:eastAsia="zh-CN"/>
              </w:rPr>
            </w:pPr>
            <w:r>
              <w:rPr>
                <w:rFonts w:hint="eastAsia" w:ascii="Times New Roman" w:hAnsi="Times New Roman" w:eastAsia="宋体" w:cs="Times New Roman"/>
                <w:color w:val="FF0000"/>
                <w:sz w:val="21"/>
                <w:szCs w:val="21"/>
                <w:lang w:val="en-US" w:eastAsia="zh-CN"/>
              </w:rPr>
              <w:t xml:space="preserve">1.86 </w:t>
            </w:r>
          </w:p>
        </w:tc>
        <w:tc>
          <w:tcPr>
            <w:tcW w:w="258" w:type="pct"/>
            <w:tcBorders>
              <w:tl2br w:val="nil"/>
              <w:tr2bl w:val="nil"/>
            </w:tcBorders>
            <w:shd w:val="clear" w:color="auto" w:fill="auto"/>
            <w:vAlign w:val="center"/>
          </w:tcPr>
          <w:p w14:paraId="3F4396C0">
            <w:pPr>
              <w:pStyle w:val="128"/>
              <w:spacing w:line="240" w:lineRule="auto"/>
              <w:jc w:val="center"/>
              <w:rPr>
                <w:rFonts w:hint="eastAsia" w:ascii="Times New Roman" w:hAnsi="Times New Roman" w:eastAsia="宋体" w:cs="Times New Roman"/>
                <w:color w:val="FF0000"/>
                <w:sz w:val="21"/>
                <w:szCs w:val="21"/>
                <w:lang w:val="en-US" w:eastAsia="zh-CN"/>
              </w:rPr>
            </w:pPr>
            <w:r>
              <w:rPr>
                <w:rFonts w:hint="default" w:ascii="Times New Roman" w:hAnsi="Times New Roman" w:eastAsia="宋体" w:cs="Times New Roman"/>
                <w:color w:val="FF0000"/>
                <w:sz w:val="21"/>
                <w:szCs w:val="21"/>
                <w:lang w:val="en-US" w:eastAsia="zh-CN"/>
              </w:rPr>
              <w:t>0.0109%</w:t>
            </w:r>
          </w:p>
        </w:tc>
        <w:tc>
          <w:tcPr>
            <w:tcW w:w="258" w:type="pct"/>
            <w:tcBorders>
              <w:tl2br w:val="nil"/>
              <w:tr2bl w:val="nil"/>
            </w:tcBorders>
            <w:shd w:val="clear" w:color="auto" w:fill="auto"/>
            <w:vAlign w:val="center"/>
          </w:tcPr>
          <w:p w14:paraId="2B38758B">
            <w:pPr>
              <w:pStyle w:val="128"/>
              <w:spacing w:line="240" w:lineRule="auto"/>
              <w:jc w:val="center"/>
              <w:rPr>
                <w:rFonts w:hint="eastAsia" w:ascii="Times New Roman" w:hAnsi="Times New Roman" w:eastAsia="宋体" w:cs="Times New Roman"/>
                <w:color w:val="FF0000"/>
                <w:sz w:val="21"/>
                <w:szCs w:val="21"/>
                <w:lang w:val="en-US" w:eastAsia="zh-CN"/>
              </w:rPr>
            </w:pPr>
            <w:r>
              <w:rPr>
                <w:rFonts w:hint="default" w:ascii="Times New Roman" w:hAnsi="Times New Roman" w:eastAsia="宋体" w:cs="Times New Roman"/>
                <w:color w:val="FF0000"/>
                <w:sz w:val="21"/>
                <w:szCs w:val="21"/>
                <w:lang w:val="en-US" w:eastAsia="zh-CN"/>
              </w:rPr>
              <w:t xml:space="preserve">2.18 </w:t>
            </w:r>
          </w:p>
        </w:tc>
        <w:tc>
          <w:tcPr>
            <w:tcW w:w="260" w:type="pct"/>
            <w:tcBorders>
              <w:tl2br w:val="nil"/>
              <w:tr2bl w:val="nil"/>
            </w:tcBorders>
            <w:shd w:val="clear" w:color="auto" w:fill="auto"/>
            <w:vAlign w:val="center"/>
          </w:tcPr>
          <w:p w14:paraId="4ACDEC70">
            <w:pPr>
              <w:pStyle w:val="128"/>
              <w:spacing w:line="240" w:lineRule="auto"/>
              <w:jc w:val="center"/>
              <w:rPr>
                <w:rFonts w:hint="eastAsia" w:ascii="Times New Roman" w:hAnsi="Times New Roman" w:eastAsia="宋体" w:cs="Times New Roman"/>
                <w:color w:val="FF0000"/>
                <w:sz w:val="21"/>
                <w:szCs w:val="21"/>
                <w:lang w:val="en-US" w:eastAsia="zh-CN"/>
              </w:rPr>
            </w:pPr>
            <w:r>
              <w:rPr>
                <w:rFonts w:hint="default" w:ascii="Times New Roman" w:hAnsi="Times New Roman" w:eastAsia="宋体" w:cs="Times New Roman"/>
                <w:color w:val="FF0000"/>
                <w:sz w:val="21"/>
                <w:szCs w:val="21"/>
                <w:lang w:val="en-US" w:eastAsia="zh-CN"/>
              </w:rPr>
              <w:t>0.0183%</w:t>
            </w:r>
          </w:p>
        </w:tc>
        <w:tc>
          <w:tcPr>
            <w:tcW w:w="263" w:type="pct"/>
            <w:tcBorders>
              <w:tl2br w:val="nil"/>
              <w:tr2bl w:val="nil"/>
            </w:tcBorders>
            <w:shd w:val="clear" w:color="auto" w:fill="auto"/>
            <w:vAlign w:val="center"/>
          </w:tcPr>
          <w:p w14:paraId="5CE191B0">
            <w:pPr>
              <w:pStyle w:val="128"/>
              <w:spacing w:line="240" w:lineRule="auto"/>
              <w:jc w:val="center"/>
              <w:rPr>
                <w:rFonts w:hint="eastAsia" w:ascii="Times New Roman" w:hAnsi="Times New Roman" w:eastAsia="宋体" w:cs="Times New Roman"/>
                <w:color w:val="FF0000"/>
                <w:sz w:val="21"/>
                <w:szCs w:val="21"/>
                <w:lang w:val="en-US" w:eastAsia="zh-CN"/>
              </w:rPr>
            </w:pPr>
            <w:r>
              <w:rPr>
                <w:rFonts w:hint="default" w:ascii="Times New Roman" w:hAnsi="Times New Roman" w:eastAsia="宋体" w:cs="Times New Roman"/>
                <w:color w:val="FF0000"/>
                <w:sz w:val="21"/>
                <w:szCs w:val="21"/>
                <w:lang w:val="en-US" w:eastAsia="zh-CN"/>
              </w:rPr>
              <w:t xml:space="preserve">7.88 </w:t>
            </w:r>
          </w:p>
        </w:tc>
        <w:tc>
          <w:tcPr>
            <w:tcW w:w="1063" w:type="dxa"/>
            <w:tcBorders>
              <w:tl2br w:val="nil"/>
              <w:tr2bl w:val="nil"/>
            </w:tcBorders>
            <w:shd w:val="clear" w:color="auto" w:fill="auto"/>
            <w:vAlign w:val="center"/>
          </w:tcPr>
          <w:p w14:paraId="2F0DC0C3">
            <w:pPr>
              <w:keepNext w:val="0"/>
              <w:keepLines w:val="0"/>
              <w:widowControl/>
              <w:suppressLineNumbers w:val="0"/>
              <w:jc w:val="center"/>
              <w:textAlignment w:val="center"/>
              <w:rPr>
                <w:rFonts w:hint="eastAsia" w:ascii="Times New Roman" w:hAnsi="Times New Roman" w:eastAsia="宋体" w:cs="Times New Roman"/>
                <w:color w:val="FF0000"/>
                <w:sz w:val="21"/>
                <w:szCs w:val="21"/>
                <w:lang w:val="en-US" w:eastAsia="zh-CN"/>
              </w:rPr>
            </w:pPr>
            <w:r>
              <w:rPr>
                <w:rFonts w:hint="default" w:ascii="Times New Roman" w:hAnsi="Times New Roman" w:eastAsia="宋体" w:cs="Times New Roman"/>
                <w:i w:val="0"/>
                <w:iCs w:val="0"/>
                <w:color w:val="FF0000"/>
                <w:kern w:val="0"/>
                <w:sz w:val="21"/>
                <w:szCs w:val="21"/>
                <w:u w:val="none"/>
                <w:lang w:val="en-US" w:eastAsia="zh-CN" w:bidi="ar"/>
              </w:rPr>
              <w:t>0.0000%</w:t>
            </w:r>
          </w:p>
        </w:tc>
        <w:tc>
          <w:tcPr>
            <w:tcW w:w="1075" w:type="dxa"/>
            <w:tcBorders>
              <w:tl2br w:val="nil"/>
              <w:tr2bl w:val="nil"/>
            </w:tcBorders>
            <w:shd w:val="clear" w:color="auto" w:fill="auto"/>
            <w:vAlign w:val="center"/>
          </w:tcPr>
          <w:p w14:paraId="202EDBB1">
            <w:pPr>
              <w:keepNext w:val="0"/>
              <w:keepLines w:val="0"/>
              <w:widowControl/>
              <w:suppressLineNumbers w:val="0"/>
              <w:jc w:val="center"/>
              <w:textAlignment w:val="center"/>
              <w:rPr>
                <w:rFonts w:hint="eastAsia" w:ascii="Times New Roman" w:hAnsi="Times New Roman" w:eastAsia="宋体" w:cs="Times New Roman"/>
                <w:color w:val="FF0000"/>
                <w:sz w:val="21"/>
                <w:szCs w:val="21"/>
                <w:lang w:val="en-US" w:eastAsia="zh-CN"/>
              </w:rPr>
            </w:pPr>
            <w:r>
              <w:rPr>
                <w:rFonts w:hint="default" w:ascii="Times New Roman" w:hAnsi="Times New Roman" w:eastAsia="宋体" w:cs="Times New Roman"/>
                <w:i w:val="0"/>
                <w:iCs w:val="0"/>
                <w:color w:val="FF0000"/>
                <w:kern w:val="0"/>
                <w:sz w:val="21"/>
                <w:szCs w:val="21"/>
                <w:u w:val="none"/>
                <w:lang w:val="en-US" w:eastAsia="zh-CN" w:bidi="ar"/>
              </w:rPr>
              <w:t xml:space="preserve">0.00 </w:t>
            </w:r>
          </w:p>
        </w:tc>
        <w:tc>
          <w:tcPr>
            <w:tcW w:w="1075" w:type="dxa"/>
            <w:tcBorders>
              <w:tl2br w:val="nil"/>
              <w:tr2bl w:val="nil"/>
            </w:tcBorders>
            <w:shd w:val="clear" w:color="auto" w:fill="auto"/>
            <w:vAlign w:val="center"/>
          </w:tcPr>
          <w:p w14:paraId="6CB38DE1">
            <w:pPr>
              <w:pStyle w:val="128"/>
              <w:spacing w:line="240" w:lineRule="auto"/>
              <w:jc w:val="center"/>
              <w:rPr>
                <w:rFonts w:hint="eastAsia" w:ascii="Times New Roman" w:hAnsi="Times New Roman" w:eastAsia="宋体" w:cs="Times New Roman"/>
                <w:color w:val="FF0000"/>
                <w:sz w:val="21"/>
                <w:szCs w:val="21"/>
                <w:lang w:val="en-US" w:eastAsia="zh-CN"/>
              </w:rPr>
            </w:pPr>
            <w:r>
              <w:rPr>
                <w:rFonts w:hint="eastAsia" w:ascii="Times New Roman" w:hAnsi="Times New Roman" w:eastAsia="宋体" w:cs="Times New Roman"/>
                <w:color w:val="FF0000"/>
                <w:sz w:val="21"/>
                <w:szCs w:val="21"/>
                <w:lang w:val="en-US" w:eastAsia="zh-CN"/>
              </w:rPr>
              <w:t>11.92</w:t>
            </w:r>
          </w:p>
        </w:tc>
        <w:tc>
          <w:tcPr>
            <w:tcW w:w="1929" w:type="pct"/>
            <w:tcBorders>
              <w:tl2br w:val="nil"/>
              <w:tr2bl w:val="nil"/>
            </w:tcBorders>
            <w:shd w:val="clear" w:color="auto" w:fill="auto"/>
            <w:vAlign w:val="center"/>
          </w:tcPr>
          <w:p w14:paraId="0194858F">
            <w:pPr>
              <w:keepNext w:val="0"/>
              <w:keepLines w:val="0"/>
              <w:widowControl/>
              <w:suppressLineNumbers w:val="0"/>
              <w:spacing w:line="240" w:lineRule="auto"/>
              <w:jc w:val="center"/>
              <w:textAlignment w:val="center"/>
              <w:rPr>
                <w:rFonts w:hint="eastAsia" w:ascii="宋体" w:hAnsi="宋体" w:cs="宋体"/>
                <w:i w:val="0"/>
                <w:iCs w:val="0"/>
                <w:color w:val="FF0000"/>
                <w:kern w:val="0"/>
                <w:sz w:val="21"/>
                <w:szCs w:val="21"/>
                <w:u w:val="none"/>
                <w:lang w:val="en-US" w:eastAsia="zh-CN" w:bidi="ar"/>
              </w:rPr>
            </w:pPr>
            <w:r>
              <w:rPr>
                <w:rFonts w:hint="eastAsia" w:ascii="宋体" w:hAnsi="宋体" w:cs="宋体"/>
                <w:i w:val="0"/>
                <w:iCs w:val="0"/>
                <w:color w:val="FF0000"/>
                <w:kern w:val="0"/>
                <w:sz w:val="21"/>
                <w:szCs w:val="21"/>
                <w:u w:val="none"/>
                <w:lang w:val="en-US" w:eastAsia="zh-CN" w:bidi="ar"/>
              </w:rPr>
              <w:t>尾气净化装置三元催化器</w:t>
            </w:r>
          </w:p>
        </w:tc>
      </w:tr>
      <w:tr w14:paraId="0BBF66F2">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 w:type="dxa"/>
            <w:bottom w:w="0" w:type="dxa"/>
            <w:right w:w="10" w:type="dxa"/>
          </w:tblCellMar>
        </w:tblPrEx>
        <w:trPr>
          <w:trHeight w:val="90" w:hRule="atLeast"/>
          <w:jc w:val="center"/>
        </w:trPr>
        <w:tc>
          <w:tcPr>
            <w:tcW w:w="726" w:type="pct"/>
            <w:tcBorders>
              <w:tl2br w:val="nil"/>
              <w:tr2bl w:val="nil"/>
            </w:tcBorders>
            <w:shd w:val="clear" w:color="auto" w:fill="auto"/>
            <w:vAlign w:val="center"/>
          </w:tcPr>
          <w:p w14:paraId="59877674">
            <w:pPr>
              <w:keepNext w:val="0"/>
              <w:keepLines w:val="0"/>
              <w:widowControl/>
              <w:suppressLineNumbers w:val="0"/>
              <w:spacing w:line="240" w:lineRule="auto"/>
              <w:jc w:val="center"/>
              <w:textAlignment w:val="center"/>
              <w:rPr>
                <w:rFonts w:hint="default" w:ascii="Times New Roman" w:hAnsi="Times New Roman" w:cs="Times New Roman"/>
                <w:i w:val="0"/>
                <w:iCs w:val="0"/>
                <w:color w:val="FF0000"/>
                <w:kern w:val="0"/>
                <w:sz w:val="21"/>
                <w:szCs w:val="21"/>
                <w:u w:val="none"/>
                <w:lang w:val="en-US" w:eastAsia="zh-CN" w:bidi="ar"/>
              </w:rPr>
            </w:pPr>
            <w:r>
              <w:rPr>
                <w:rFonts w:hint="default" w:ascii="Times New Roman" w:hAnsi="Times New Roman" w:cs="Times New Roman"/>
                <w:i w:val="0"/>
                <w:iCs w:val="0"/>
                <w:color w:val="FF0000"/>
                <w:kern w:val="0"/>
                <w:sz w:val="21"/>
                <w:szCs w:val="21"/>
                <w:u w:val="none"/>
                <w:lang w:val="en-US" w:eastAsia="zh-CN" w:bidi="ar"/>
              </w:rPr>
              <w:t>废电路板及电子元件（HW49）</w:t>
            </w:r>
          </w:p>
        </w:tc>
        <w:tc>
          <w:tcPr>
            <w:tcW w:w="258" w:type="pct"/>
            <w:tcBorders>
              <w:tl2br w:val="nil"/>
              <w:tr2bl w:val="nil"/>
            </w:tcBorders>
            <w:shd w:val="clear" w:color="auto" w:fill="auto"/>
            <w:vAlign w:val="center"/>
          </w:tcPr>
          <w:p w14:paraId="4DC0ED08">
            <w:pPr>
              <w:pStyle w:val="128"/>
              <w:spacing w:line="240" w:lineRule="auto"/>
              <w:jc w:val="center"/>
              <w:rPr>
                <w:rFonts w:hint="default" w:ascii="Times New Roman" w:hAnsi="Times New Roman" w:eastAsia="宋体" w:cs="Times New Roman"/>
                <w:color w:val="FF0000"/>
                <w:sz w:val="21"/>
                <w:szCs w:val="21"/>
                <w:lang w:val="en-US" w:eastAsia="zh-CN"/>
              </w:rPr>
            </w:pPr>
            <w:r>
              <w:rPr>
                <w:rFonts w:hint="eastAsia" w:ascii="Times New Roman" w:hAnsi="Times New Roman" w:eastAsia="宋体" w:cs="Times New Roman"/>
                <w:color w:val="FF0000"/>
                <w:sz w:val="21"/>
                <w:szCs w:val="21"/>
                <w:lang w:val="en-US" w:eastAsia="zh-CN"/>
              </w:rPr>
              <w:t>0.3899%</w:t>
            </w:r>
          </w:p>
        </w:tc>
        <w:tc>
          <w:tcPr>
            <w:tcW w:w="260" w:type="pct"/>
            <w:tcBorders>
              <w:tl2br w:val="nil"/>
              <w:tr2bl w:val="nil"/>
            </w:tcBorders>
            <w:shd w:val="clear" w:color="auto" w:fill="auto"/>
            <w:vAlign w:val="center"/>
          </w:tcPr>
          <w:p w14:paraId="476CC125">
            <w:pPr>
              <w:pStyle w:val="128"/>
              <w:spacing w:line="240" w:lineRule="auto"/>
              <w:jc w:val="center"/>
              <w:rPr>
                <w:rFonts w:hint="default" w:ascii="Times New Roman" w:hAnsi="Times New Roman" w:eastAsia="宋体" w:cs="Times New Roman"/>
                <w:color w:val="FF0000"/>
                <w:sz w:val="21"/>
                <w:szCs w:val="21"/>
                <w:lang w:val="en-US" w:eastAsia="zh-CN"/>
              </w:rPr>
            </w:pPr>
            <w:r>
              <w:rPr>
                <w:rFonts w:hint="eastAsia" w:ascii="Times New Roman" w:hAnsi="Times New Roman" w:eastAsia="宋体" w:cs="Times New Roman"/>
                <w:color w:val="FF0000"/>
                <w:sz w:val="21"/>
                <w:szCs w:val="21"/>
                <w:lang w:val="en-US" w:eastAsia="zh-CN"/>
              </w:rPr>
              <w:t xml:space="preserve">14.86 </w:t>
            </w:r>
          </w:p>
        </w:tc>
        <w:tc>
          <w:tcPr>
            <w:tcW w:w="258" w:type="pct"/>
            <w:tcBorders>
              <w:tl2br w:val="nil"/>
              <w:tr2bl w:val="nil"/>
            </w:tcBorders>
            <w:shd w:val="clear" w:color="auto" w:fill="auto"/>
            <w:vAlign w:val="center"/>
          </w:tcPr>
          <w:p w14:paraId="4C26DACE">
            <w:pPr>
              <w:pStyle w:val="128"/>
              <w:spacing w:line="240" w:lineRule="auto"/>
              <w:jc w:val="center"/>
              <w:rPr>
                <w:rFonts w:hint="eastAsia" w:ascii="Times New Roman" w:hAnsi="Times New Roman" w:eastAsia="宋体" w:cs="Times New Roman"/>
                <w:color w:val="FF0000"/>
                <w:sz w:val="21"/>
                <w:szCs w:val="21"/>
                <w:lang w:val="en-US" w:eastAsia="zh-CN"/>
              </w:rPr>
            </w:pPr>
            <w:r>
              <w:rPr>
                <w:rFonts w:hint="default" w:ascii="Times New Roman" w:hAnsi="Times New Roman" w:eastAsia="宋体" w:cs="Times New Roman"/>
                <w:color w:val="FF0000"/>
                <w:sz w:val="21"/>
                <w:szCs w:val="21"/>
                <w:lang w:val="en-US" w:eastAsia="zh-CN"/>
              </w:rPr>
              <w:t>0.1085%</w:t>
            </w:r>
          </w:p>
        </w:tc>
        <w:tc>
          <w:tcPr>
            <w:tcW w:w="258" w:type="pct"/>
            <w:tcBorders>
              <w:tl2br w:val="nil"/>
              <w:tr2bl w:val="nil"/>
            </w:tcBorders>
            <w:shd w:val="clear" w:color="auto" w:fill="auto"/>
            <w:vAlign w:val="center"/>
          </w:tcPr>
          <w:p w14:paraId="307566B6">
            <w:pPr>
              <w:pStyle w:val="128"/>
              <w:spacing w:line="240" w:lineRule="auto"/>
              <w:jc w:val="center"/>
              <w:rPr>
                <w:rFonts w:hint="eastAsia" w:ascii="Times New Roman" w:hAnsi="Times New Roman" w:eastAsia="宋体" w:cs="Times New Roman"/>
                <w:color w:val="FF0000"/>
                <w:sz w:val="21"/>
                <w:szCs w:val="21"/>
                <w:lang w:val="en-US" w:eastAsia="zh-CN"/>
              </w:rPr>
            </w:pPr>
            <w:r>
              <w:rPr>
                <w:rFonts w:hint="default" w:ascii="Times New Roman" w:hAnsi="Times New Roman" w:eastAsia="宋体" w:cs="Times New Roman"/>
                <w:color w:val="FF0000"/>
                <w:sz w:val="21"/>
                <w:szCs w:val="21"/>
                <w:lang w:val="en-US" w:eastAsia="zh-CN"/>
              </w:rPr>
              <w:t xml:space="preserve">21.81 </w:t>
            </w:r>
          </w:p>
        </w:tc>
        <w:tc>
          <w:tcPr>
            <w:tcW w:w="260" w:type="pct"/>
            <w:tcBorders>
              <w:tl2br w:val="nil"/>
              <w:tr2bl w:val="nil"/>
            </w:tcBorders>
            <w:shd w:val="clear" w:color="auto" w:fill="auto"/>
            <w:vAlign w:val="center"/>
          </w:tcPr>
          <w:p w14:paraId="555EE247">
            <w:pPr>
              <w:pStyle w:val="128"/>
              <w:spacing w:line="240" w:lineRule="auto"/>
              <w:jc w:val="center"/>
              <w:rPr>
                <w:rFonts w:hint="eastAsia" w:ascii="Times New Roman" w:hAnsi="Times New Roman" w:eastAsia="宋体" w:cs="Times New Roman"/>
                <w:color w:val="FF0000"/>
                <w:sz w:val="21"/>
                <w:szCs w:val="21"/>
                <w:lang w:val="en-US" w:eastAsia="zh-CN"/>
              </w:rPr>
            </w:pPr>
            <w:r>
              <w:rPr>
                <w:rFonts w:hint="default" w:ascii="Times New Roman" w:hAnsi="Times New Roman" w:eastAsia="宋体" w:cs="Times New Roman"/>
                <w:color w:val="FF0000"/>
                <w:sz w:val="21"/>
                <w:szCs w:val="21"/>
                <w:lang w:val="en-US" w:eastAsia="zh-CN"/>
              </w:rPr>
              <w:t>0.0459%</w:t>
            </w:r>
          </w:p>
        </w:tc>
        <w:tc>
          <w:tcPr>
            <w:tcW w:w="263" w:type="pct"/>
            <w:tcBorders>
              <w:tl2br w:val="nil"/>
              <w:tr2bl w:val="nil"/>
            </w:tcBorders>
            <w:shd w:val="clear" w:color="auto" w:fill="auto"/>
            <w:vAlign w:val="center"/>
          </w:tcPr>
          <w:p w14:paraId="24BA5F98">
            <w:pPr>
              <w:pStyle w:val="128"/>
              <w:spacing w:line="240" w:lineRule="auto"/>
              <w:jc w:val="center"/>
              <w:rPr>
                <w:rFonts w:hint="eastAsia" w:ascii="Times New Roman" w:hAnsi="Times New Roman" w:eastAsia="宋体" w:cs="Times New Roman"/>
                <w:color w:val="FF0000"/>
                <w:sz w:val="21"/>
                <w:szCs w:val="21"/>
                <w:lang w:val="en-US" w:eastAsia="zh-CN"/>
              </w:rPr>
            </w:pPr>
            <w:r>
              <w:rPr>
                <w:rFonts w:hint="default" w:ascii="Times New Roman" w:hAnsi="Times New Roman" w:eastAsia="宋体" w:cs="Times New Roman"/>
                <w:color w:val="FF0000"/>
                <w:sz w:val="21"/>
                <w:szCs w:val="21"/>
                <w:lang w:val="en-US" w:eastAsia="zh-CN"/>
              </w:rPr>
              <w:t xml:space="preserve">19.70 </w:t>
            </w:r>
          </w:p>
        </w:tc>
        <w:tc>
          <w:tcPr>
            <w:tcW w:w="1063" w:type="dxa"/>
            <w:tcBorders>
              <w:tl2br w:val="nil"/>
              <w:tr2bl w:val="nil"/>
            </w:tcBorders>
            <w:shd w:val="clear" w:color="auto" w:fill="auto"/>
            <w:vAlign w:val="center"/>
          </w:tcPr>
          <w:p w14:paraId="7B1FF50F">
            <w:pPr>
              <w:keepNext w:val="0"/>
              <w:keepLines w:val="0"/>
              <w:widowControl/>
              <w:suppressLineNumbers w:val="0"/>
              <w:jc w:val="center"/>
              <w:textAlignment w:val="center"/>
              <w:rPr>
                <w:rFonts w:hint="eastAsia" w:ascii="Times New Roman" w:hAnsi="Times New Roman" w:eastAsia="宋体" w:cs="Times New Roman"/>
                <w:color w:val="FF0000"/>
                <w:sz w:val="21"/>
                <w:szCs w:val="21"/>
                <w:lang w:val="en-US" w:eastAsia="zh-CN"/>
              </w:rPr>
            </w:pPr>
            <w:r>
              <w:rPr>
                <w:rFonts w:hint="default" w:ascii="Times New Roman" w:hAnsi="Times New Roman" w:eastAsia="宋体" w:cs="Times New Roman"/>
                <w:i w:val="0"/>
                <w:iCs w:val="0"/>
                <w:color w:val="FF0000"/>
                <w:kern w:val="0"/>
                <w:sz w:val="21"/>
                <w:szCs w:val="21"/>
                <w:u w:val="none"/>
                <w:lang w:val="en-US" w:eastAsia="zh-CN" w:bidi="ar"/>
              </w:rPr>
              <w:t>0.0822%</w:t>
            </w:r>
          </w:p>
        </w:tc>
        <w:tc>
          <w:tcPr>
            <w:tcW w:w="1075" w:type="dxa"/>
            <w:tcBorders>
              <w:tl2br w:val="nil"/>
              <w:tr2bl w:val="nil"/>
            </w:tcBorders>
            <w:shd w:val="clear" w:color="auto" w:fill="auto"/>
            <w:vAlign w:val="center"/>
          </w:tcPr>
          <w:p w14:paraId="098F8EC9">
            <w:pPr>
              <w:keepNext w:val="0"/>
              <w:keepLines w:val="0"/>
              <w:widowControl/>
              <w:suppressLineNumbers w:val="0"/>
              <w:jc w:val="center"/>
              <w:textAlignment w:val="center"/>
              <w:rPr>
                <w:rFonts w:hint="eastAsia" w:ascii="Times New Roman" w:hAnsi="Times New Roman" w:eastAsia="宋体" w:cs="Times New Roman"/>
                <w:color w:val="FF0000"/>
                <w:sz w:val="21"/>
                <w:szCs w:val="21"/>
                <w:lang w:val="en-US" w:eastAsia="zh-CN"/>
              </w:rPr>
            </w:pPr>
            <w:r>
              <w:rPr>
                <w:rFonts w:hint="default" w:ascii="Times New Roman" w:hAnsi="Times New Roman" w:eastAsia="宋体" w:cs="Times New Roman"/>
                <w:i w:val="0"/>
                <w:iCs w:val="0"/>
                <w:color w:val="FF0000"/>
                <w:kern w:val="0"/>
                <w:sz w:val="21"/>
                <w:szCs w:val="21"/>
                <w:u w:val="none"/>
                <w:lang w:val="en-US" w:eastAsia="zh-CN" w:bidi="ar"/>
              </w:rPr>
              <w:t xml:space="preserve">4.22 </w:t>
            </w:r>
          </w:p>
        </w:tc>
        <w:tc>
          <w:tcPr>
            <w:tcW w:w="1075" w:type="dxa"/>
            <w:tcBorders>
              <w:tl2br w:val="nil"/>
              <w:tr2bl w:val="nil"/>
            </w:tcBorders>
            <w:shd w:val="clear" w:color="auto" w:fill="auto"/>
            <w:vAlign w:val="center"/>
          </w:tcPr>
          <w:p w14:paraId="2F0F96EA">
            <w:pPr>
              <w:pStyle w:val="128"/>
              <w:spacing w:line="240" w:lineRule="auto"/>
              <w:jc w:val="center"/>
              <w:rPr>
                <w:rFonts w:hint="eastAsia" w:ascii="Times New Roman" w:hAnsi="Times New Roman" w:eastAsia="宋体" w:cs="Times New Roman"/>
                <w:color w:val="FF0000"/>
                <w:sz w:val="21"/>
                <w:szCs w:val="21"/>
                <w:lang w:val="en-US" w:eastAsia="zh-CN"/>
              </w:rPr>
            </w:pPr>
            <w:r>
              <w:rPr>
                <w:rFonts w:hint="eastAsia" w:ascii="Times New Roman" w:hAnsi="Times New Roman" w:eastAsia="宋体" w:cs="Times New Roman"/>
                <w:color w:val="FF0000"/>
                <w:sz w:val="21"/>
                <w:szCs w:val="21"/>
                <w:lang w:val="en-US" w:eastAsia="zh-CN"/>
              </w:rPr>
              <w:t>60.59</w:t>
            </w:r>
          </w:p>
        </w:tc>
        <w:tc>
          <w:tcPr>
            <w:tcW w:w="1929" w:type="pct"/>
            <w:tcBorders>
              <w:tl2br w:val="nil"/>
              <w:tr2bl w:val="nil"/>
            </w:tcBorders>
            <w:shd w:val="clear" w:color="auto" w:fill="auto"/>
            <w:vAlign w:val="center"/>
          </w:tcPr>
          <w:p w14:paraId="64927E86">
            <w:pPr>
              <w:keepNext w:val="0"/>
              <w:keepLines w:val="0"/>
              <w:widowControl/>
              <w:suppressLineNumbers w:val="0"/>
              <w:spacing w:line="240" w:lineRule="auto"/>
              <w:jc w:val="center"/>
              <w:textAlignment w:val="center"/>
              <w:rPr>
                <w:rFonts w:hint="eastAsia" w:ascii="宋体" w:hAnsi="宋体" w:cs="宋体"/>
                <w:i w:val="0"/>
                <w:iCs w:val="0"/>
                <w:color w:val="FF0000"/>
                <w:kern w:val="0"/>
                <w:sz w:val="21"/>
                <w:szCs w:val="21"/>
                <w:u w:val="none"/>
                <w:lang w:val="en-US" w:eastAsia="zh-CN" w:bidi="ar"/>
              </w:rPr>
            </w:pPr>
            <w:r>
              <w:rPr>
                <w:rFonts w:hint="eastAsia" w:ascii="宋体" w:hAnsi="宋体" w:cs="宋体"/>
                <w:i w:val="0"/>
                <w:iCs w:val="0"/>
                <w:color w:val="FF0000"/>
                <w:kern w:val="0"/>
                <w:sz w:val="21"/>
                <w:szCs w:val="21"/>
                <w:u w:val="none"/>
                <w:lang w:val="en-US" w:eastAsia="zh-CN" w:bidi="ar"/>
              </w:rPr>
              <w:t>中控台内部</w:t>
            </w:r>
          </w:p>
        </w:tc>
      </w:tr>
      <w:tr w14:paraId="51D15A77">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 w:type="dxa"/>
            <w:bottom w:w="0" w:type="dxa"/>
            <w:right w:w="10" w:type="dxa"/>
          </w:tblCellMar>
        </w:tblPrEx>
        <w:trPr>
          <w:trHeight w:val="57" w:hRule="atLeast"/>
          <w:jc w:val="center"/>
        </w:trPr>
        <w:tc>
          <w:tcPr>
            <w:tcW w:w="726" w:type="pct"/>
            <w:tcBorders>
              <w:tl2br w:val="nil"/>
              <w:tr2bl w:val="nil"/>
            </w:tcBorders>
            <w:shd w:val="clear" w:color="auto" w:fill="auto"/>
            <w:vAlign w:val="center"/>
          </w:tcPr>
          <w:p w14:paraId="35F65089">
            <w:pPr>
              <w:keepNext w:val="0"/>
              <w:keepLines w:val="0"/>
              <w:widowControl/>
              <w:suppressLineNumbers w:val="0"/>
              <w:spacing w:line="240" w:lineRule="auto"/>
              <w:jc w:val="center"/>
              <w:textAlignment w:val="center"/>
              <w:rPr>
                <w:rFonts w:hint="default" w:ascii="Times New Roman" w:hAnsi="Times New Roman" w:cs="Times New Roman"/>
                <w:i w:val="0"/>
                <w:iCs w:val="0"/>
                <w:color w:val="FF0000"/>
                <w:kern w:val="0"/>
                <w:sz w:val="21"/>
                <w:szCs w:val="21"/>
                <w:u w:val="none"/>
                <w:lang w:val="en-US" w:eastAsia="zh-CN" w:bidi="ar"/>
              </w:rPr>
            </w:pPr>
            <w:r>
              <w:rPr>
                <w:rFonts w:hint="default" w:ascii="Times New Roman" w:hAnsi="Times New Roman" w:cs="Times New Roman"/>
                <w:i w:val="0"/>
                <w:iCs w:val="0"/>
                <w:color w:val="FF0000"/>
                <w:kern w:val="0"/>
                <w:sz w:val="21"/>
                <w:szCs w:val="21"/>
                <w:u w:val="none"/>
                <w:lang w:val="en-US" w:eastAsia="zh-CN" w:bidi="ar"/>
              </w:rPr>
              <w:t>含汞部件（</w:t>
            </w:r>
            <w:r>
              <w:rPr>
                <w:rFonts w:hint="default" w:ascii="Times New Roman" w:hAnsi="Times New Roman" w:cs="Times New Roman"/>
                <w:i w:val="0"/>
                <w:iCs w:val="0"/>
                <w:color w:val="FF0000"/>
                <w:kern w:val="0"/>
                <w:sz w:val="21"/>
                <w:szCs w:val="21"/>
                <w:u w:val="none"/>
                <w:lang w:val="en-US" w:eastAsia="en-US" w:bidi="ar"/>
              </w:rPr>
              <w:t>HW49）</w:t>
            </w:r>
          </w:p>
        </w:tc>
        <w:tc>
          <w:tcPr>
            <w:tcW w:w="258" w:type="pct"/>
            <w:tcBorders>
              <w:tl2br w:val="nil"/>
              <w:tr2bl w:val="nil"/>
            </w:tcBorders>
            <w:shd w:val="clear" w:color="auto" w:fill="auto"/>
            <w:vAlign w:val="center"/>
          </w:tcPr>
          <w:p w14:paraId="7357F9BE">
            <w:pPr>
              <w:pStyle w:val="128"/>
              <w:spacing w:line="240" w:lineRule="auto"/>
              <w:jc w:val="center"/>
              <w:rPr>
                <w:rFonts w:hint="eastAsia" w:ascii="Times New Roman" w:hAnsi="Times New Roman" w:eastAsia="宋体" w:cs="Times New Roman"/>
                <w:color w:val="FF0000"/>
                <w:sz w:val="21"/>
                <w:szCs w:val="21"/>
                <w:lang w:val="en-US" w:eastAsia="zh-CN"/>
              </w:rPr>
            </w:pPr>
            <w:r>
              <w:rPr>
                <w:rFonts w:hint="eastAsia" w:ascii="Times New Roman" w:hAnsi="Times New Roman" w:eastAsia="宋体" w:cs="Times New Roman"/>
                <w:color w:val="FF0000"/>
                <w:sz w:val="21"/>
                <w:szCs w:val="21"/>
                <w:lang w:val="en-US" w:eastAsia="zh-CN"/>
              </w:rPr>
              <w:t>0.0024%</w:t>
            </w:r>
          </w:p>
        </w:tc>
        <w:tc>
          <w:tcPr>
            <w:tcW w:w="260" w:type="pct"/>
            <w:tcBorders>
              <w:tl2br w:val="nil"/>
              <w:tr2bl w:val="nil"/>
            </w:tcBorders>
            <w:shd w:val="clear" w:color="auto" w:fill="auto"/>
            <w:vAlign w:val="center"/>
          </w:tcPr>
          <w:p w14:paraId="012446E3">
            <w:pPr>
              <w:pStyle w:val="128"/>
              <w:spacing w:line="240" w:lineRule="auto"/>
              <w:jc w:val="center"/>
              <w:rPr>
                <w:rFonts w:hint="default" w:ascii="Times New Roman" w:hAnsi="Times New Roman" w:eastAsia="宋体" w:cs="Times New Roman"/>
                <w:color w:val="FF0000"/>
                <w:sz w:val="21"/>
                <w:szCs w:val="21"/>
                <w:lang w:val="en-US" w:eastAsia="zh-CN"/>
              </w:rPr>
            </w:pPr>
            <w:r>
              <w:rPr>
                <w:rFonts w:hint="eastAsia" w:ascii="Times New Roman" w:hAnsi="Times New Roman" w:eastAsia="宋体" w:cs="Times New Roman"/>
                <w:color w:val="FF0000"/>
                <w:sz w:val="21"/>
                <w:szCs w:val="21"/>
                <w:lang w:val="en-US" w:eastAsia="zh-CN"/>
              </w:rPr>
              <w:t xml:space="preserve">0.09 </w:t>
            </w:r>
          </w:p>
        </w:tc>
        <w:tc>
          <w:tcPr>
            <w:tcW w:w="258" w:type="pct"/>
            <w:tcBorders>
              <w:tl2br w:val="nil"/>
              <w:tr2bl w:val="nil"/>
            </w:tcBorders>
            <w:shd w:val="clear" w:color="auto" w:fill="auto"/>
            <w:vAlign w:val="center"/>
          </w:tcPr>
          <w:p w14:paraId="3C53785C">
            <w:pPr>
              <w:pStyle w:val="128"/>
              <w:spacing w:line="240" w:lineRule="auto"/>
              <w:jc w:val="center"/>
              <w:rPr>
                <w:rFonts w:hint="eastAsia" w:ascii="Times New Roman" w:hAnsi="Times New Roman" w:eastAsia="宋体" w:cs="Times New Roman"/>
                <w:color w:val="FF0000"/>
                <w:sz w:val="21"/>
                <w:szCs w:val="21"/>
                <w:lang w:val="en-US" w:eastAsia="zh-CN"/>
              </w:rPr>
            </w:pPr>
            <w:r>
              <w:rPr>
                <w:rFonts w:hint="default" w:ascii="Times New Roman" w:hAnsi="Times New Roman" w:eastAsia="宋体" w:cs="Times New Roman"/>
                <w:color w:val="FF0000"/>
                <w:sz w:val="21"/>
                <w:szCs w:val="21"/>
                <w:lang w:val="en-US" w:eastAsia="zh-CN"/>
              </w:rPr>
              <w:t>0.0001%</w:t>
            </w:r>
          </w:p>
        </w:tc>
        <w:tc>
          <w:tcPr>
            <w:tcW w:w="258" w:type="pct"/>
            <w:tcBorders>
              <w:tl2br w:val="nil"/>
              <w:tr2bl w:val="nil"/>
            </w:tcBorders>
            <w:shd w:val="clear" w:color="auto" w:fill="auto"/>
            <w:vAlign w:val="center"/>
          </w:tcPr>
          <w:p w14:paraId="3A1C4878">
            <w:pPr>
              <w:pStyle w:val="128"/>
              <w:spacing w:line="240" w:lineRule="auto"/>
              <w:jc w:val="center"/>
              <w:rPr>
                <w:rFonts w:hint="eastAsia" w:ascii="Times New Roman" w:hAnsi="Times New Roman" w:eastAsia="宋体" w:cs="Times New Roman"/>
                <w:color w:val="FF0000"/>
                <w:sz w:val="21"/>
                <w:szCs w:val="21"/>
                <w:lang w:val="en-US" w:eastAsia="zh-CN"/>
              </w:rPr>
            </w:pPr>
            <w:r>
              <w:rPr>
                <w:rFonts w:hint="default" w:ascii="Times New Roman" w:hAnsi="Times New Roman" w:eastAsia="宋体" w:cs="Times New Roman"/>
                <w:color w:val="FF0000"/>
                <w:sz w:val="21"/>
                <w:szCs w:val="21"/>
                <w:lang w:val="en-US" w:eastAsia="zh-CN"/>
              </w:rPr>
              <w:t xml:space="preserve">0.03 </w:t>
            </w:r>
          </w:p>
        </w:tc>
        <w:tc>
          <w:tcPr>
            <w:tcW w:w="260" w:type="pct"/>
            <w:tcBorders>
              <w:tl2br w:val="nil"/>
              <w:tr2bl w:val="nil"/>
            </w:tcBorders>
            <w:shd w:val="clear" w:color="auto" w:fill="auto"/>
            <w:vAlign w:val="center"/>
          </w:tcPr>
          <w:p w14:paraId="058D3735">
            <w:pPr>
              <w:pStyle w:val="128"/>
              <w:spacing w:line="240" w:lineRule="auto"/>
              <w:jc w:val="center"/>
              <w:rPr>
                <w:rFonts w:hint="eastAsia" w:ascii="Times New Roman" w:hAnsi="Times New Roman" w:eastAsia="宋体" w:cs="Times New Roman"/>
                <w:color w:val="FF0000"/>
                <w:sz w:val="21"/>
                <w:szCs w:val="21"/>
                <w:lang w:val="en-US" w:eastAsia="zh-CN"/>
              </w:rPr>
            </w:pPr>
            <w:r>
              <w:rPr>
                <w:rFonts w:hint="default" w:ascii="Times New Roman" w:hAnsi="Times New Roman" w:eastAsia="宋体" w:cs="Times New Roman"/>
                <w:color w:val="FF0000"/>
                <w:sz w:val="21"/>
                <w:szCs w:val="21"/>
                <w:lang w:val="en-US" w:eastAsia="zh-CN"/>
              </w:rPr>
              <w:t>0.0003%</w:t>
            </w:r>
          </w:p>
        </w:tc>
        <w:tc>
          <w:tcPr>
            <w:tcW w:w="263" w:type="pct"/>
            <w:tcBorders>
              <w:tl2br w:val="nil"/>
              <w:tr2bl w:val="nil"/>
            </w:tcBorders>
            <w:shd w:val="clear" w:color="auto" w:fill="auto"/>
            <w:vAlign w:val="center"/>
          </w:tcPr>
          <w:p w14:paraId="02C8E041">
            <w:pPr>
              <w:pStyle w:val="128"/>
              <w:spacing w:line="240" w:lineRule="auto"/>
              <w:jc w:val="center"/>
              <w:rPr>
                <w:rFonts w:hint="eastAsia" w:ascii="Times New Roman" w:hAnsi="Times New Roman" w:eastAsia="宋体" w:cs="Times New Roman"/>
                <w:color w:val="FF0000"/>
                <w:sz w:val="21"/>
                <w:szCs w:val="21"/>
                <w:lang w:val="en-US" w:eastAsia="zh-CN"/>
              </w:rPr>
            </w:pPr>
            <w:r>
              <w:rPr>
                <w:rFonts w:hint="default" w:ascii="Times New Roman" w:hAnsi="Times New Roman" w:eastAsia="宋体" w:cs="Times New Roman"/>
                <w:color w:val="FF0000"/>
                <w:sz w:val="21"/>
                <w:szCs w:val="21"/>
                <w:lang w:val="en-US" w:eastAsia="zh-CN"/>
              </w:rPr>
              <w:t xml:space="preserve">0.12 </w:t>
            </w:r>
          </w:p>
        </w:tc>
        <w:tc>
          <w:tcPr>
            <w:tcW w:w="1063" w:type="dxa"/>
            <w:tcBorders>
              <w:tl2br w:val="nil"/>
              <w:tr2bl w:val="nil"/>
            </w:tcBorders>
            <w:shd w:val="clear" w:color="auto" w:fill="auto"/>
            <w:vAlign w:val="center"/>
          </w:tcPr>
          <w:p w14:paraId="544B248A">
            <w:pPr>
              <w:keepNext w:val="0"/>
              <w:keepLines w:val="0"/>
              <w:widowControl/>
              <w:suppressLineNumbers w:val="0"/>
              <w:jc w:val="center"/>
              <w:textAlignment w:val="center"/>
              <w:rPr>
                <w:rFonts w:hint="eastAsia" w:ascii="Times New Roman" w:hAnsi="Times New Roman" w:eastAsia="宋体" w:cs="Times New Roman"/>
                <w:color w:val="FF0000"/>
                <w:sz w:val="21"/>
                <w:szCs w:val="21"/>
                <w:lang w:val="en-US" w:eastAsia="zh-CN"/>
              </w:rPr>
            </w:pPr>
            <w:r>
              <w:rPr>
                <w:rFonts w:hint="default" w:ascii="Times New Roman" w:hAnsi="Times New Roman" w:eastAsia="宋体" w:cs="Times New Roman"/>
                <w:i w:val="0"/>
                <w:iCs w:val="0"/>
                <w:color w:val="FF0000"/>
                <w:kern w:val="0"/>
                <w:sz w:val="21"/>
                <w:szCs w:val="21"/>
                <w:u w:val="none"/>
                <w:lang w:val="en-US" w:eastAsia="zh-CN" w:bidi="ar"/>
              </w:rPr>
              <w:t>0.0001%</w:t>
            </w:r>
          </w:p>
        </w:tc>
        <w:tc>
          <w:tcPr>
            <w:tcW w:w="1075" w:type="dxa"/>
            <w:tcBorders>
              <w:tl2br w:val="nil"/>
              <w:tr2bl w:val="nil"/>
            </w:tcBorders>
            <w:shd w:val="clear" w:color="auto" w:fill="auto"/>
            <w:vAlign w:val="center"/>
          </w:tcPr>
          <w:p w14:paraId="2F6CD97D">
            <w:pPr>
              <w:keepNext w:val="0"/>
              <w:keepLines w:val="0"/>
              <w:widowControl/>
              <w:suppressLineNumbers w:val="0"/>
              <w:jc w:val="center"/>
              <w:textAlignment w:val="center"/>
              <w:rPr>
                <w:rFonts w:hint="eastAsia" w:ascii="Times New Roman" w:hAnsi="Times New Roman" w:eastAsia="宋体" w:cs="Times New Roman"/>
                <w:color w:val="FF0000"/>
                <w:sz w:val="21"/>
                <w:szCs w:val="21"/>
                <w:lang w:val="en-US" w:eastAsia="zh-CN"/>
              </w:rPr>
            </w:pPr>
            <w:r>
              <w:rPr>
                <w:rFonts w:hint="default" w:ascii="Times New Roman" w:hAnsi="Times New Roman" w:eastAsia="宋体" w:cs="Times New Roman"/>
                <w:i w:val="0"/>
                <w:iCs w:val="0"/>
                <w:color w:val="FF0000"/>
                <w:kern w:val="0"/>
                <w:sz w:val="21"/>
                <w:szCs w:val="21"/>
                <w:u w:val="none"/>
                <w:lang w:val="en-US" w:eastAsia="zh-CN" w:bidi="ar"/>
              </w:rPr>
              <w:t xml:space="preserve">0.01 </w:t>
            </w:r>
          </w:p>
        </w:tc>
        <w:tc>
          <w:tcPr>
            <w:tcW w:w="1075" w:type="dxa"/>
            <w:tcBorders>
              <w:tl2br w:val="nil"/>
              <w:tr2bl w:val="nil"/>
            </w:tcBorders>
            <w:shd w:val="clear" w:color="auto" w:fill="auto"/>
            <w:vAlign w:val="center"/>
          </w:tcPr>
          <w:p w14:paraId="463B36AB">
            <w:pPr>
              <w:pStyle w:val="128"/>
              <w:spacing w:line="240" w:lineRule="auto"/>
              <w:jc w:val="center"/>
              <w:rPr>
                <w:rFonts w:hint="eastAsia" w:ascii="Times New Roman" w:hAnsi="Times New Roman" w:eastAsia="宋体" w:cs="Times New Roman"/>
                <w:color w:val="FF0000"/>
                <w:sz w:val="21"/>
                <w:szCs w:val="21"/>
                <w:lang w:val="en-US" w:eastAsia="zh-CN"/>
              </w:rPr>
            </w:pPr>
            <w:r>
              <w:rPr>
                <w:rFonts w:hint="eastAsia" w:ascii="Times New Roman" w:hAnsi="Times New Roman" w:eastAsia="宋体" w:cs="Times New Roman"/>
                <w:color w:val="FF0000"/>
                <w:sz w:val="21"/>
                <w:szCs w:val="21"/>
                <w:lang w:val="en-US" w:eastAsia="zh-CN"/>
              </w:rPr>
              <w:t>0.25</w:t>
            </w:r>
          </w:p>
        </w:tc>
        <w:tc>
          <w:tcPr>
            <w:tcW w:w="1929" w:type="pct"/>
            <w:tcBorders>
              <w:tl2br w:val="nil"/>
              <w:tr2bl w:val="nil"/>
            </w:tcBorders>
            <w:shd w:val="clear" w:color="auto" w:fill="auto"/>
            <w:vAlign w:val="center"/>
          </w:tcPr>
          <w:p w14:paraId="75EAC16B">
            <w:pPr>
              <w:keepNext w:val="0"/>
              <w:keepLines w:val="0"/>
              <w:widowControl/>
              <w:suppressLineNumbers w:val="0"/>
              <w:spacing w:line="240" w:lineRule="auto"/>
              <w:jc w:val="center"/>
              <w:textAlignment w:val="center"/>
              <w:rPr>
                <w:rFonts w:hint="eastAsia" w:ascii="宋体" w:hAnsi="宋体" w:cs="宋体"/>
                <w:i w:val="0"/>
                <w:iCs w:val="0"/>
                <w:color w:val="FF0000"/>
                <w:kern w:val="0"/>
                <w:sz w:val="21"/>
                <w:szCs w:val="21"/>
                <w:u w:val="none"/>
                <w:lang w:val="en-US" w:eastAsia="zh-CN" w:bidi="ar"/>
              </w:rPr>
            </w:pPr>
            <w:r>
              <w:rPr>
                <w:rFonts w:hint="eastAsia" w:ascii="宋体" w:hAnsi="宋体" w:cs="宋体"/>
                <w:i w:val="0"/>
                <w:iCs w:val="0"/>
                <w:color w:val="FF0000"/>
                <w:kern w:val="0"/>
                <w:sz w:val="21"/>
                <w:szCs w:val="21"/>
                <w:u w:val="none"/>
                <w:lang w:val="en-US" w:eastAsia="zh-CN" w:bidi="ar"/>
              </w:rPr>
              <w:t>各类含汞开关</w:t>
            </w:r>
          </w:p>
        </w:tc>
      </w:tr>
      <w:tr w14:paraId="2D31F5C6">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 w:type="dxa"/>
            <w:bottom w:w="0" w:type="dxa"/>
            <w:right w:w="10" w:type="dxa"/>
          </w:tblCellMar>
        </w:tblPrEx>
        <w:trPr>
          <w:trHeight w:val="57" w:hRule="atLeast"/>
          <w:jc w:val="center"/>
        </w:trPr>
        <w:tc>
          <w:tcPr>
            <w:tcW w:w="726" w:type="pct"/>
            <w:tcBorders>
              <w:tl2br w:val="nil"/>
              <w:tr2bl w:val="nil"/>
            </w:tcBorders>
            <w:shd w:val="clear" w:color="auto" w:fill="auto"/>
            <w:vAlign w:val="center"/>
          </w:tcPr>
          <w:p w14:paraId="6FEB1240">
            <w:pPr>
              <w:keepNext w:val="0"/>
              <w:keepLines w:val="0"/>
              <w:widowControl/>
              <w:suppressLineNumbers w:val="0"/>
              <w:spacing w:line="240" w:lineRule="auto"/>
              <w:jc w:val="center"/>
              <w:textAlignment w:val="center"/>
              <w:rPr>
                <w:rFonts w:hint="default" w:ascii="Times New Roman" w:hAnsi="Times New Roman" w:cs="Times New Roman"/>
                <w:i w:val="0"/>
                <w:iCs w:val="0"/>
                <w:color w:val="FF0000"/>
                <w:kern w:val="0"/>
                <w:sz w:val="21"/>
                <w:szCs w:val="21"/>
                <w:u w:val="none"/>
                <w:lang w:val="en-US" w:eastAsia="zh-CN" w:bidi="ar"/>
              </w:rPr>
            </w:pPr>
            <w:r>
              <w:rPr>
                <w:rFonts w:hint="default" w:ascii="Times New Roman" w:hAnsi="Times New Roman" w:cs="Times New Roman"/>
                <w:i w:val="0"/>
                <w:iCs w:val="0"/>
                <w:color w:val="FF0000"/>
                <w:kern w:val="0"/>
                <w:sz w:val="21"/>
                <w:szCs w:val="21"/>
                <w:u w:val="none"/>
                <w:lang w:val="en-US" w:eastAsia="zh-CN" w:bidi="ar"/>
              </w:rPr>
              <w:t>含铅部件（</w:t>
            </w:r>
            <w:r>
              <w:rPr>
                <w:rFonts w:hint="default" w:ascii="Times New Roman" w:hAnsi="Times New Roman" w:cs="Times New Roman"/>
                <w:i w:val="0"/>
                <w:iCs w:val="0"/>
                <w:color w:val="FF0000"/>
                <w:kern w:val="0"/>
                <w:sz w:val="21"/>
                <w:szCs w:val="21"/>
                <w:u w:val="none"/>
                <w:lang w:val="en-US" w:eastAsia="en-US" w:bidi="ar"/>
              </w:rPr>
              <w:t>HW49）</w:t>
            </w:r>
          </w:p>
        </w:tc>
        <w:tc>
          <w:tcPr>
            <w:tcW w:w="258" w:type="pct"/>
            <w:tcBorders>
              <w:tl2br w:val="nil"/>
              <w:tr2bl w:val="nil"/>
            </w:tcBorders>
            <w:shd w:val="clear" w:color="auto" w:fill="auto"/>
            <w:vAlign w:val="center"/>
          </w:tcPr>
          <w:p w14:paraId="0F8D4623">
            <w:pPr>
              <w:pStyle w:val="128"/>
              <w:spacing w:line="240" w:lineRule="auto"/>
              <w:jc w:val="center"/>
              <w:rPr>
                <w:rFonts w:hint="default" w:ascii="Times New Roman" w:hAnsi="Times New Roman" w:eastAsia="宋体" w:cs="Times New Roman"/>
                <w:color w:val="FF0000"/>
                <w:sz w:val="21"/>
                <w:szCs w:val="21"/>
                <w:lang w:val="en-US" w:eastAsia="zh-CN"/>
              </w:rPr>
            </w:pPr>
            <w:r>
              <w:rPr>
                <w:rFonts w:hint="eastAsia" w:ascii="Times New Roman" w:hAnsi="Times New Roman" w:eastAsia="宋体" w:cs="Times New Roman"/>
                <w:color w:val="FF0000"/>
                <w:sz w:val="21"/>
                <w:szCs w:val="21"/>
                <w:lang w:val="en-US" w:eastAsia="zh-CN"/>
              </w:rPr>
              <w:t>0.0146%</w:t>
            </w:r>
          </w:p>
        </w:tc>
        <w:tc>
          <w:tcPr>
            <w:tcW w:w="260" w:type="pct"/>
            <w:tcBorders>
              <w:tl2br w:val="nil"/>
              <w:tr2bl w:val="nil"/>
            </w:tcBorders>
            <w:shd w:val="clear" w:color="auto" w:fill="auto"/>
            <w:vAlign w:val="center"/>
          </w:tcPr>
          <w:p w14:paraId="2765FF51">
            <w:pPr>
              <w:pStyle w:val="128"/>
              <w:spacing w:line="240" w:lineRule="auto"/>
              <w:jc w:val="center"/>
              <w:rPr>
                <w:rFonts w:hint="default" w:ascii="Times New Roman" w:hAnsi="Times New Roman" w:eastAsia="宋体" w:cs="Times New Roman"/>
                <w:color w:val="FF0000"/>
                <w:sz w:val="21"/>
                <w:szCs w:val="21"/>
                <w:lang w:val="en-US" w:eastAsia="zh-CN"/>
              </w:rPr>
            </w:pPr>
            <w:r>
              <w:rPr>
                <w:rFonts w:hint="eastAsia" w:ascii="Times New Roman" w:hAnsi="Times New Roman" w:eastAsia="宋体" w:cs="Times New Roman"/>
                <w:color w:val="FF0000"/>
                <w:sz w:val="21"/>
                <w:szCs w:val="21"/>
                <w:lang w:val="en-US" w:eastAsia="zh-CN"/>
              </w:rPr>
              <w:t xml:space="preserve">0.56 </w:t>
            </w:r>
          </w:p>
        </w:tc>
        <w:tc>
          <w:tcPr>
            <w:tcW w:w="258" w:type="pct"/>
            <w:tcBorders>
              <w:tl2br w:val="nil"/>
              <w:tr2bl w:val="nil"/>
            </w:tcBorders>
            <w:shd w:val="clear" w:color="auto" w:fill="auto"/>
            <w:vAlign w:val="center"/>
          </w:tcPr>
          <w:p w14:paraId="775E2EF8">
            <w:pPr>
              <w:pStyle w:val="128"/>
              <w:spacing w:line="240" w:lineRule="auto"/>
              <w:jc w:val="center"/>
              <w:rPr>
                <w:rFonts w:hint="eastAsia" w:ascii="Times New Roman" w:hAnsi="Times New Roman" w:eastAsia="宋体" w:cs="Times New Roman"/>
                <w:color w:val="FF0000"/>
                <w:sz w:val="21"/>
                <w:szCs w:val="21"/>
                <w:lang w:val="en-US" w:eastAsia="zh-CN"/>
              </w:rPr>
            </w:pPr>
            <w:r>
              <w:rPr>
                <w:rFonts w:hint="default" w:ascii="Times New Roman" w:hAnsi="Times New Roman" w:eastAsia="宋体" w:cs="Times New Roman"/>
                <w:color w:val="FF0000"/>
                <w:sz w:val="21"/>
                <w:szCs w:val="21"/>
                <w:lang w:val="en-US" w:eastAsia="zh-CN"/>
              </w:rPr>
              <w:t>0.0022%</w:t>
            </w:r>
          </w:p>
        </w:tc>
        <w:tc>
          <w:tcPr>
            <w:tcW w:w="258" w:type="pct"/>
            <w:tcBorders>
              <w:tl2br w:val="nil"/>
              <w:tr2bl w:val="nil"/>
            </w:tcBorders>
            <w:shd w:val="clear" w:color="auto" w:fill="auto"/>
            <w:vAlign w:val="center"/>
          </w:tcPr>
          <w:p w14:paraId="02AD01D8">
            <w:pPr>
              <w:pStyle w:val="128"/>
              <w:spacing w:line="240" w:lineRule="auto"/>
              <w:jc w:val="center"/>
              <w:rPr>
                <w:rFonts w:hint="eastAsia" w:ascii="Times New Roman" w:hAnsi="Times New Roman" w:eastAsia="宋体" w:cs="Times New Roman"/>
                <w:color w:val="FF0000"/>
                <w:sz w:val="21"/>
                <w:szCs w:val="21"/>
                <w:lang w:val="en-US" w:eastAsia="zh-CN"/>
              </w:rPr>
            </w:pPr>
            <w:r>
              <w:rPr>
                <w:rFonts w:hint="default" w:ascii="Times New Roman" w:hAnsi="Times New Roman" w:eastAsia="宋体" w:cs="Times New Roman"/>
                <w:color w:val="FF0000"/>
                <w:sz w:val="21"/>
                <w:szCs w:val="21"/>
                <w:lang w:val="en-US" w:eastAsia="zh-CN"/>
              </w:rPr>
              <w:t xml:space="preserve">0.44 </w:t>
            </w:r>
          </w:p>
        </w:tc>
        <w:tc>
          <w:tcPr>
            <w:tcW w:w="260" w:type="pct"/>
            <w:tcBorders>
              <w:tl2br w:val="nil"/>
              <w:tr2bl w:val="nil"/>
            </w:tcBorders>
            <w:shd w:val="clear" w:color="auto" w:fill="auto"/>
            <w:vAlign w:val="center"/>
          </w:tcPr>
          <w:p w14:paraId="0F770AD7">
            <w:pPr>
              <w:pStyle w:val="128"/>
              <w:spacing w:line="240" w:lineRule="auto"/>
              <w:jc w:val="center"/>
              <w:rPr>
                <w:rFonts w:hint="eastAsia" w:ascii="Times New Roman" w:hAnsi="Times New Roman" w:eastAsia="宋体" w:cs="Times New Roman"/>
                <w:color w:val="FF0000"/>
                <w:sz w:val="21"/>
                <w:szCs w:val="21"/>
                <w:lang w:val="en-US" w:eastAsia="zh-CN"/>
              </w:rPr>
            </w:pPr>
            <w:r>
              <w:rPr>
                <w:rFonts w:hint="default" w:ascii="Times New Roman" w:hAnsi="Times New Roman" w:eastAsia="宋体" w:cs="Times New Roman"/>
                <w:color w:val="FF0000"/>
                <w:sz w:val="21"/>
                <w:szCs w:val="21"/>
                <w:lang w:val="en-US" w:eastAsia="zh-CN"/>
              </w:rPr>
              <w:t>0.0028%</w:t>
            </w:r>
          </w:p>
        </w:tc>
        <w:tc>
          <w:tcPr>
            <w:tcW w:w="263" w:type="pct"/>
            <w:tcBorders>
              <w:tl2br w:val="nil"/>
              <w:tr2bl w:val="nil"/>
            </w:tcBorders>
            <w:shd w:val="clear" w:color="auto" w:fill="auto"/>
            <w:vAlign w:val="center"/>
          </w:tcPr>
          <w:p w14:paraId="49028FCC">
            <w:pPr>
              <w:pStyle w:val="128"/>
              <w:spacing w:line="240" w:lineRule="auto"/>
              <w:jc w:val="center"/>
              <w:rPr>
                <w:rFonts w:hint="eastAsia" w:ascii="Times New Roman" w:hAnsi="Times New Roman" w:eastAsia="宋体" w:cs="Times New Roman"/>
                <w:color w:val="FF0000"/>
                <w:sz w:val="21"/>
                <w:szCs w:val="21"/>
                <w:lang w:val="en-US" w:eastAsia="zh-CN"/>
              </w:rPr>
            </w:pPr>
            <w:r>
              <w:rPr>
                <w:rFonts w:hint="default" w:ascii="Times New Roman" w:hAnsi="Times New Roman" w:eastAsia="宋体" w:cs="Times New Roman"/>
                <w:color w:val="FF0000"/>
                <w:sz w:val="21"/>
                <w:szCs w:val="21"/>
                <w:lang w:val="en-US" w:eastAsia="zh-CN"/>
              </w:rPr>
              <w:t xml:space="preserve">1.18 </w:t>
            </w:r>
          </w:p>
        </w:tc>
        <w:tc>
          <w:tcPr>
            <w:tcW w:w="1063" w:type="dxa"/>
            <w:tcBorders>
              <w:tl2br w:val="nil"/>
              <w:tr2bl w:val="nil"/>
            </w:tcBorders>
            <w:shd w:val="clear" w:color="auto" w:fill="auto"/>
            <w:vAlign w:val="center"/>
          </w:tcPr>
          <w:p w14:paraId="14C43BBC">
            <w:pPr>
              <w:keepNext w:val="0"/>
              <w:keepLines w:val="0"/>
              <w:widowControl/>
              <w:suppressLineNumbers w:val="0"/>
              <w:jc w:val="center"/>
              <w:textAlignment w:val="center"/>
              <w:rPr>
                <w:rFonts w:hint="eastAsia" w:ascii="Times New Roman" w:hAnsi="Times New Roman" w:eastAsia="宋体" w:cs="Times New Roman"/>
                <w:color w:val="FF0000"/>
                <w:sz w:val="21"/>
                <w:szCs w:val="21"/>
                <w:lang w:val="en-US" w:eastAsia="zh-CN"/>
              </w:rPr>
            </w:pPr>
            <w:r>
              <w:rPr>
                <w:rFonts w:hint="default" w:ascii="Times New Roman" w:hAnsi="Times New Roman" w:eastAsia="宋体" w:cs="Times New Roman"/>
                <w:i w:val="0"/>
                <w:iCs w:val="0"/>
                <w:color w:val="FF0000"/>
                <w:kern w:val="0"/>
                <w:sz w:val="21"/>
                <w:szCs w:val="21"/>
                <w:u w:val="none"/>
                <w:lang w:val="en-US" w:eastAsia="zh-CN" w:bidi="ar"/>
              </w:rPr>
              <w:t>0.0016%</w:t>
            </w:r>
          </w:p>
        </w:tc>
        <w:tc>
          <w:tcPr>
            <w:tcW w:w="1075" w:type="dxa"/>
            <w:tcBorders>
              <w:tl2br w:val="nil"/>
              <w:tr2bl w:val="nil"/>
            </w:tcBorders>
            <w:shd w:val="clear" w:color="auto" w:fill="auto"/>
            <w:vAlign w:val="center"/>
          </w:tcPr>
          <w:p w14:paraId="4A9B58CA">
            <w:pPr>
              <w:keepNext w:val="0"/>
              <w:keepLines w:val="0"/>
              <w:widowControl/>
              <w:suppressLineNumbers w:val="0"/>
              <w:jc w:val="center"/>
              <w:textAlignment w:val="center"/>
              <w:rPr>
                <w:rFonts w:hint="eastAsia" w:ascii="Times New Roman" w:hAnsi="Times New Roman" w:eastAsia="宋体" w:cs="Times New Roman"/>
                <w:color w:val="FF0000"/>
                <w:sz w:val="21"/>
                <w:szCs w:val="21"/>
                <w:lang w:val="en-US" w:eastAsia="zh-CN"/>
              </w:rPr>
            </w:pPr>
            <w:r>
              <w:rPr>
                <w:rFonts w:hint="default" w:ascii="Times New Roman" w:hAnsi="Times New Roman" w:eastAsia="宋体" w:cs="Times New Roman"/>
                <w:i w:val="0"/>
                <w:iCs w:val="0"/>
                <w:color w:val="FF0000"/>
                <w:kern w:val="0"/>
                <w:sz w:val="21"/>
                <w:szCs w:val="21"/>
                <w:u w:val="none"/>
                <w:lang w:val="en-US" w:eastAsia="zh-CN" w:bidi="ar"/>
              </w:rPr>
              <w:t xml:space="preserve">0.08 </w:t>
            </w:r>
          </w:p>
        </w:tc>
        <w:tc>
          <w:tcPr>
            <w:tcW w:w="1075" w:type="dxa"/>
            <w:tcBorders>
              <w:tl2br w:val="nil"/>
              <w:tr2bl w:val="nil"/>
            </w:tcBorders>
            <w:shd w:val="clear" w:color="auto" w:fill="auto"/>
            <w:vAlign w:val="center"/>
          </w:tcPr>
          <w:p w14:paraId="2EB008F7">
            <w:pPr>
              <w:pStyle w:val="128"/>
              <w:spacing w:line="240" w:lineRule="auto"/>
              <w:jc w:val="center"/>
              <w:rPr>
                <w:rFonts w:hint="eastAsia" w:ascii="Times New Roman" w:hAnsi="Times New Roman" w:eastAsia="宋体" w:cs="Times New Roman"/>
                <w:color w:val="FF0000"/>
                <w:sz w:val="21"/>
                <w:szCs w:val="21"/>
                <w:lang w:val="en-US" w:eastAsia="zh-CN"/>
              </w:rPr>
            </w:pPr>
            <w:r>
              <w:rPr>
                <w:rFonts w:hint="eastAsia" w:ascii="Times New Roman" w:hAnsi="Times New Roman" w:eastAsia="宋体" w:cs="Times New Roman"/>
                <w:color w:val="FF0000"/>
                <w:sz w:val="21"/>
                <w:szCs w:val="21"/>
                <w:lang w:val="en-US" w:eastAsia="zh-CN"/>
              </w:rPr>
              <w:t>2.26</w:t>
            </w:r>
          </w:p>
        </w:tc>
        <w:tc>
          <w:tcPr>
            <w:tcW w:w="1929" w:type="pct"/>
            <w:tcBorders>
              <w:tl2br w:val="nil"/>
              <w:tr2bl w:val="nil"/>
            </w:tcBorders>
            <w:shd w:val="clear" w:color="auto" w:fill="auto"/>
            <w:vAlign w:val="center"/>
          </w:tcPr>
          <w:p w14:paraId="44B6B07B">
            <w:pPr>
              <w:keepNext w:val="0"/>
              <w:keepLines w:val="0"/>
              <w:widowControl/>
              <w:suppressLineNumbers w:val="0"/>
              <w:spacing w:line="240" w:lineRule="auto"/>
              <w:jc w:val="center"/>
              <w:textAlignment w:val="center"/>
              <w:rPr>
                <w:rFonts w:hint="eastAsia" w:ascii="宋体" w:hAnsi="宋体" w:cs="宋体"/>
                <w:i w:val="0"/>
                <w:iCs w:val="0"/>
                <w:color w:val="FF0000"/>
                <w:kern w:val="0"/>
                <w:sz w:val="21"/>
                <w:szCs w:val="21"/>
                <w:u w:val="none"/>
                <w:lang w:val="en-US" w:eastAsia="zh-CN" w:bidi="ar"/>
              </w:rPr>
            </w:pPr>
            <w:r>
              <w:rPr>
                <w:rFonts w:hint="eastAsia" w:ascii="宋体" w:hAnsi="宋体" w:cs="宋体"/>
                <w:i w:val="0"/>
                <w:iCs w:val="0"/>
                <w:color w:val="FF0000"/>
                <w:kern w:val="0"/>
                <w:sz w:val="21"/>
                <w:szCs w:val="21"/>
                <w:u w:val="none"/>
                <w:lang w:val="en-US" w:eastAsia="zh-CN" w:bidi="ar"/>
              </w:rPr>
              <w:t>火花塞、油管、密封垫、驾驶室门车锁等</w:t>
            </w:r>
          </w:p>
        </w:tc>
      </w:tr>
      <w:tr w14:paraId="5E1AE474">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 w:type="dxa"/>
            <w:bottom w:w="0" w:type="dxa"/>
            <w:right w:w="10" w:type="dxa"/>
          </w:tblCellMar>
        </w:tblPrEx>
        <w:trPr>
          <w:trHeight w:val="57" w:hRule="atLeast"/>
          <w:jc w:val="center"/>
        </w:trPr>
        <w:tc>
          <w:tcPr>
            <w:tcW w:w="726" w:type="pct"/>
            <w:tcBorders>
              <w:tl2br w:val="nil"/>
              <w:tr2bl w:val="nil"/>
            </w:tcBorders>
            <w:shd w:val="clear" w:color="auto" w:fill="auto"/>
            <w:vAlign w:val="center"/>
          </w:tcPr>
          <w:p w14:paraId="1DA2DF94">
            <w:pPr>
              <w:keepNext w:val="0"/>
              <w:keepLines w:val="0"/>
              <w:widowControl/>
              <w:suppressLineNumbers w:val="0"/>
              <w:spacing w:line="240" w:lineRule="auto"/>
              <w:jc w:val="center"/>
              <w:textAlignment w:val="center"/>
              <w:rPr>
                <w:rFonts w:hint="default" w:ascii="Times New Roman" w:hAnsi="Times New Roman" w:cs="Times New Roman"/>
                <w:i w:val="0"/>
                <w:iCs w:val="0"/>
                <w:color w:val="FF0000"/>
                <w:kern w:val="0"/>
                <w:sz w:val="21"/>
                <w:szCs w:val="21"/>
                <w:u w:val="none"/>
                <w:lang w:val="en-US" w:eastAsia="zh-CN" w:bidi="ar"/>
              </w:rPr>
            </w:pPr>
            <w:r>
              <w:rPr>
                <w:rFonts w:hint="default" w:ascii="Times New Roman" w:hAnsi="Times New Roman" w:cs="Times New Roman"/>
                <w:i w:val="0"/>
                <w:iCs w:val="0"/>
                <w:color w:val="FF0000"/>
                <w:kern w:val="0"/>
                <w:sz w:val="21"/>
                <w:szCs w:val="21"/>
                <w:u w:val="none"/>
                <w:lang w:val="en-US" w:eastAsia="zh-CN" w:bidi="ar"/>
              </w:rPr>
              <w:t>多氯联苯废电容器（</w:t>
            </w:r>
            <w:r>
              <w:rPr>
                <w:rFonts w:hint="default" w:ascii="Times New Roman" w:hAnsi="Times New Roman" w:cs="Times New Roman"/>
                <w:i w:val="0"/>
                <w:iCs w:val="0"/>
                <w:color w:val="FF0000"/>
                <w:kern w:val="0"/>
                <w:sz w:val="21"/>
                <w:szCs w:val="21"/>
                <w:u w:val="none"/>
                <w:lang w:val="en-US" w:eastAsia="en-US" w:bidi="ar"/>
              </w:rPr>
              <w:t>HW10）</w:t>
            </w:r>
          </w:p>
        </w:tc>
        <w:tc>
          <w:tcPr>
            <w:tcW w:w="258" w:type="pct"/>
            <w:tcBorders>
              <w:tl2br w:val="nil"/>
              <w:tr2bl w:val="nil"/>
            </w:tcBorders>
            <w:shd w:val="clear" w:color="auto" w:fill="auto"/>
            <w:vAlign w:val="center"/>
          </w:tcPr>
          <w:p w14:paraId="67368B15">
            <w:pPr>
              <w:pStyle w:val="128"/>
              <w:spacing w:line="240" w:lineRule="auto"/>
              <w:jc w:val="center"/>
              <w:rPr>
                <w:rFonts w:hint="default" w:ascii="Times New Roman" w:hAnsi="Times New Roman" w:eastAsia="宋体" w:cs="Times New Roman"/>
                <w:color w:val="FF0000"/>
                <w:sz w:val="21"/>
                <w:szCs w:val="21"/>
                <w:lang w:val="en-US" w:eastAsia="zh-CN"/>
              </w:rPr>
            </w:pPr>
            <w:r>
              <w:rPr>
                <w:rFonts w:hint="eastAsia" w:ascii="Times New Roman" w:hAnsi="Times New Roman" w:eastAsia="宋体" w:cs="Times New Roman"/>
                <w:color w:val="FF0000"/>
                <w:sz w:val="21"/>
                <w:szCs w:val="21"/>
                <w:lang w:val="en-US" w:eastAsia="zh-CN"/>
              </w:rPr>
              <w:t>0.0005%</w:t>
            </w:r>
          </w:p>
        </w:tc>
        <w:tc>
          <w:tcPr>
            <w:tcW w:w="260" w:type="pct"/>
            <w:tcBorders>
              <w:tl2br w:val="nil"/>
              <w:tr2bl w:val="nil"/>
            </w:tcBorders>
            <w:shd w:val="clear" w:color="auto" w:fill="auto"/>
            <w:vAlign w:val="center"/>
          </w:tcPr>
          <w:p w14:paraId="19DD4223">
            <w:pPr>
              <w:pStyle w:val="128"/>
              <w:spacing w:line="240" w:lineRule="auto"/>
              <w:jc w:val="center"/>
              <w:rPr>
                <w:rFonts w:hint="default" w:ascii="Times New Roman" w:hAnsi="Times New Roman" w:eastAsia="宋体" w:cs="Times New Roman"/>
                <w:color w:val="FF0000"/>
                <w:sz w:val="21"/>
                <w:szCs w:val="21"/>
                <w:lang w:val="en-US" w:eastAsia="zh-CN"/>
              </w:rPr>
            </w:pPr>
            <w:r>
              <w:rPr>
                <w:rFonts w:hint="eastAsia" w:ascii="Times New Roman" w:hAnsi="Times New Roman" w:eastAsia="宋体" w:cs="Times New Roman"/>
                <w:color w:val="FF0000"/>
                <w:sz w:val="21"/>
                <w:szCs w:val="21"/>
                <w:lang w:val="en-US" w:eastAsia="zh-CN"/>
              </w:rPr>
              <w:t xml:space="preserve">0.02 </w:t>
            </w:r>
          </w:p>
        </w:tc>
        <w:tc>
          <w:tcPr>
            <w:tcW w:w="258" w:type="pct"/>
            <w:tcBorders>
              <w:tl2br w:val="nil"/>
              <w:tr2bl w:val="nil"/>
            </w:tcBorders>
            <w:shd w:val="clear" w:color="auto" w:fill="auto"/>
            <w:vAlign w:val="center"/>
          </w:tcPr>
          <w:p w14:paraId="4250F4ED">
            <w:pPr>
              <w:pStyle w:val="128"/>
              <w:spacing w:line="240" w:lineRule="auto"/>
              <w:jc w:val="center"/>
              <w:rPr>
                <w:rFonts w:hint="eastAsia" w:ascii="Times New Roman" w:hAnsi="Times New Roman" w:eastAsia="宋体" w:cs="Times New Roman"/>
                <w:color w:val="FF0000"/>
                <w:sz w:val="21"/>
                <w:szCs w:val="21"/>
                <w:lang w:val="en-US" w:eastAsia="zh-CN"/>
              </w:rPr>
            </w:pPr>
            <w:r>
              <w:rPr>
                <w:rFonts w:hint="default" w:ascii="Times New Roman" w:hAnsi="Times New Roman" w:eastAsia="宋体" w:cs="Times New Roman"/>
                <w:color w:val="FF0000"/>
                <w:sz w:val="21"/>
                <w:szCs w:val="21"/>
                <w:lang w:val="en-US" w:eastAsia="zh-CN"/>
              </w:rPr>
              <w:t>0.0001%</w:t>
            </w:r>
          </w:p>
        </w:tc>
        <w:tc>
          <w:tcPr>
            <w:tcW w:w="258" w:type="pct"/>
            <w:tcBorders>
              <w:tl2br w:val="nil"/>
              <w:tr2bl w:val="nil"/>
            </w:tcBorders>
            <w:shd w:val="clear" w:color="auto" w:fill="auto"/>
            <w:vAlign w:val="center"/>
          </w:tcPr>
          <w:p w14:paraId="54BB1FD1">
            <w:pPr>
              <w:pStyle w:val="128"/>
              <w:spacing w:line="240" w:lineRule="auto"/>
              <w:jc w:val="center"/>
              <w:rPr>
                <w:rFonts w:hint="eastAsia" w:ascii="Times New Roman" w:hAnsi="Times New Roman" w:eastAsia="宋体" w:cs="Times New Roman"/>
                <w:color w:val="FF0000"/>
                <w:sz w:val="21"/>
                <w:szCs w:val="21"/>
                <w:lang w:val="en-US" w:eastAsia="zh-CN"/>
              </w:rPr>
            </w:pPr>
            <w:r>
              <w:rPr>
                <w:rFonts w:hint="default" w:ascii="Times New Roman" w:hAnsi="Times New Roman" w:eastAsia="宋体" w:cs="Times New Roman"/>
                <w:color w:val="FF0000"/>
                <w:sz w:val="21"/>
                <w:szCs w:val="21"/>
                <w:lang w:val="en-US" w:eastAsia="zh-CN"/>
              </w:rPr>
              <w:t xml:space="preserve">0.01 </w:t>
            </w:r>
          </w:p>
        </w:tc>
        <w:tc>
          <w:tcPr>
            <w:tcW w:w="260" w:type="pct"/>
            <w:tcBorders>
              <w:tl2br w:val="nil"/>
              <w:tr2bl w:val="nil"/>
            </w:tcBorders>
            <w:shd w:val="clear" w:color="auto" w:fill="auto"/>
            <w:vAlign w:val="center"/>
          </w:tcPr>
          <w:p w14:paraId="7F2FDE7B">
            <w:pPr>
              <w:pStyle w:val="128"/>
              <w:spacing w:line="240" w:lineRule="auto"/>
              <w:jc w:val="center"/>
              <w:rPr>
                <w:rFonts w:hint="eastAsia" w:ascii="Times New Roman" w:hAnsi="Times New Roman" w:eastAsia="宋体" w:cs="Times New Roman"/>
                <w:color w:val="FF0000"/>
                <w:sz w:val="21"/>
                <w:szCs w:val="21"/>
                <w:lang w:val="en-US" w:eastAsia="zh-CN"/>
              </w:rPr>
            </w:pPr>
            <w:r>
              <w:rPr>
                <w:rFonts w:hint="default" w:ascii="Times New Roman" w:hAnsi="Times New Roman" w:eastAsia="宋体" w:cs="Times New Roman"/>
                <w:color w:val="FF0000"/>
                <w:sz w:val="21"/>
                <w:szCs w:val="21"/>
                <w:lang w:val="en-US" w:eastAsia="zh-CN"/>
              </w:rPr>
              <w:t>0.0001%</w:t>
            </w:r>
          </w:p>
        </w:tc>
        <w:tc>
          <w:tcPr>
            <w:tcW w:w="263" w:type="pct"/>
            <w:tcBorders>
              <w:tl2br w:val="nil"/>
              <w:tr2bl w:val="nil"/>
            </w:tcBorders>
            <w:shd w:val="clear" w:color="auto" w:fill="auto"/>
            <w:vAlign w:val="center"/>
          </w:tcPr>
          <w:p w14:paraId="7636DA19">
            <w:pPr>
              <w:pStyle w:val="128"/>
              <w:spacing w:line="240" w:lineRule="auto"/>
              <w:jc w:val="center"/>
              <w:rPr>
                <w:rFonts w:hint="eastAsia" w:ascii="Times New Roman" w:hAnsi="Times New Roman" w:eastAsia="宋体" w:cs="Times New Roman"/>
                <w:color w:val="FF0000"/>
                <w:sz w:val="21"/>
                <w:szCs w:val="21"/>
                <w:lang w:val="en-US" w:eastAsia="zh-CN"/>
              </w:rPr>
            </w:pPr>
            <w:r>
              <w:rPr>
                <w:rFonts w:hint="default" w:ascii="Times New Roman" w:hAnsi="Times New Roman" w:eastAsia="宋体" w:cs="Times New Roman"/>
                <w:color w:val="FF0000"/>
                <w:sz w:val="21"/>
                <w:szCs w:val="21"/>
                <w:lang w:val="en-US" w:eastAsia="zh-CN"/>
              </w:rPr>
              <w:t xml:space="preserve">0.04 </w:t>
            </w:r>
          </w:p>
        </w:tc>
        <w:tc>
          <w:tcPr>
            <w:tcW w:w="1063" w:type="dxa"/>
            <w:tcBorders>
              <w:tl2br w:val="nil"/>
              <w:tr2bl w:val="nil"/>
            </w:tcBorders>
            <w:shd w:val="clear" w:color="auto" w:fill="auto"/>
            <w:vAlign w:val="center"/>
          </w:tcPr>
          <w:p w14:paraId="0FABB78A">
            <w:pPr>
              <w:keepNext w:val="0"/>
              <w:keepLines w:val="0"/>
              <w:widowControl/>
              <w:suppressLineNumbers w:val="0"/>
              <w:jc w:val="center"/>
              <w:textAlignment w:val="center"/>
              <w:rPr>
                <w:rFonts w:hint="eastAsia" w:ascii="Times New Roman" w:hAnsi="Times New Roman" w:eastAsia="宋体" w:cs="Times New Roman"/>
                <w:color w:val="FF0000"/>
                <w:sz w:val="21"/>
                <w:szCs w:val="21"/>
                <w:lang w:val="en-US" w:eastAsia="zh-CN"/>
              </w:rPr>
            </w:pPr>
            <w:r>
              <w:rPr>
                <w:rFonts w:hint="default" w:ascii="Times New Roman" w:hAnsi="Times New Roman" w:eastAsia="宋体" w:cs="Times New Roman"/>
                <w:i w:val="0"/>
                <w:iCs w:val="0"/>
                <w:color w:val="FF0000"/>
                <w:kern w:val="0"/>
                <w:sz w:val="21"/>
                <w:szCs w:val="21"/>
                <w:u w:val="none"/>
                <w:lang w:val="en-US" w:eastAsia="zh-CN" w:bidi="ar"/>
              </w:rPr>
              <w:t>0.0001%</w:t>
            </w:r>
          </w:p>
        </w:tc>
        <w:tc>
          <w:tcPr>
            <w:tcW w:w="1075" w:type="dxa"/>
            <w:tcBorders>
              <w:tl2br w:val="nil"/>
              <w:tr2bl w:val="nil"/>
            </w:tcBorders>
            <w:shd w:val="clear" w:color="auto" w:fill="auto"/>
            <w:vAlign w:val="center"/>
          </w:tcPr>
          <w:p w14:paraId="16D889E8">
            <w:pPr>
              <w:keepNext w:val="0"/>
              <w:keepLines w:val="0"/>
              <w:widowControl/>
              <w:suppressLineNumbers w:val="0"/>
              <w:jc w:val="center"/>
              <w:textAlignment w:val="center"/>
              <w:rPr>
                <w:rFonts w:hint="eastAsia" w:ascii="Times New Roman" w:hAnsi="Times New Roman" w:eastAsia="宋体" w:cs="Times New Roman"/>
                <w:color w:val="FF0000"/>
                <w:sz w:val="21"/>
                <w:szCs w:val="21"/>
                <w:lang w:val="en-US" w:eastAsia="zh-CN"/>
              </w:rPr>
            </w:pPr>
            <w:r>
              <w:rPr>
                <w:rFonts w:hint="default" w:ascii="Times New Roman" w:hAnsi="Times New Roman" w:eastAsia="宋体" w:cs="Times New Roman"/>
                <w:i w:val="0"/>
                <w:iCs w:val="0"/>
                <w:color w:val="FF0000"/>
                <w:kern w:val="0"/>
                <w:sz w:val="21"/>
                <w:szCs w:val="21"/>
                <w:u w:val="none"/>
                <w:lang w:val="en-US" w:eastAsia="zh-CN" w:bidi="ar"/>
              </w:rPr>
              <w:t xml:space="preserve">0.00 </w:t>
            </w:r>
          </w:p>
        </w:tc>
        <w:tc>
          <w:tcPr>
            <w:tcW w:w="1075" w:type="dxa"/>
            <w:tcBorders>
              <w:tl2br w:val="nil"/>
              <w:tr2bl w:val="nil"/>
            </w:tcBorders>
            <w:shd w:val="clear" w:color="auto" w:fill="auto"/>
            <w:vAlign w:val="center"/>
          </w:tcPr>
          <w:p w14:paraId="508A0D8D">
            <w:pPr>
              <w:pStyle w:val="128"/>
              <w:spacing w:line="240" w:lineRule="auto"/>
              <w:jc w:val="center"/>
              <w:rPr>
                <w:rFonts w:hint="eastAsia" w:ascii="Times New Roman" w:hAnsi="Times New Roman" w:eastAsia="宋体" w:cs="Times New Roman"/>
                <w:color w:val="FF0000"/>
                <w:sz w:val="21"/>
                <w:szCs w:val="21"/>
                <w:lang w:val="en-US" w:eastAsia="zh-CN"/>
              </w:rPr>
            </w:pPr>
            <w:r>
              <w:rPr>
                <w:rFonts w:hint="eastAsia" w:ascii="Times New Roman" w:hAnsi="Times New Roman" w:eastAsia="宋体" w:cs="Times New Roman"/>
                <w:color w:val="FF0000"/>
                <w:sz w:val="21"/>
                <w:szCs w:val="21"/>
                <w:lang w:val="en-US" w:eastAsia="zh-CN"/>
              </w:rPr>
              <w:t>0.07</w:t>
            </w:r>
          </w:p>
        </w:tc>
        <w:tc>
          <w:tcPr>
            <w:tcW w:w="1929" w:type="pct"/>
            <w:tcBorders>
              <w:tl2br w:val="nil"/>
              <w:tr2bl w:val="nil"/>
            </w:tcBorders>
            <w:shd w:val="clear" w:color="auto" w:fill="auto"/>
            <w:vAlign w:val="center"/>
          </w:tcPr>
          <w:p w14:paraId="44142D25">
            <w:pPr>
              <w:keepNext w:val="0"/>
              <w:keepLines w:val="0"/>
              <w:widowControl/>
              <w:suppressLineNumbers w:val="0"/>
              <w:spacing w:line="240" w:lineRule="auto"/>
              <w:jc w:val="center"/>
              <w:textAlignment w:val="center"/>
              <w:rPr>
                <w:rFonts w:hint="eastAsia" w:ascii="宋体" w:hAnsi="宋体" w:cs="宋体"/>
                <w:i w:val="0"/>
                <w:iCs w:val="0"/>
                <w:color w:val="FF0000"/>
                <w:kern w:val="0"/>
                <w:sz w:val="21"/>
                <w:szCs w:val="21"/>
                <w:u w:val="none"/>
                <w:lang w:val="en-US" w:eastAsia="zh-CN" w:bidi="ar"/>
              </w:rPr>
            </w:pPr>
            <w:r>
              <w:rPr>
                <w:rFonts w:hint="eastAsia" w:ascii="宋体" w:hAnsi="宋体" w:cs="宋体"/>
                <w:i w:val="0"/>
                <w:iCs w:val="0"/>
                <w:color w:val="FF0000"/>
                <w:kern w:val="0"/>
                <w:sz w:val="21"/>
                <w:szCs w:val="21"/>
                <w:u w:val="none"/>
                <w:lang w:val="en-US" w:eastAsia="zh-CN" w:bidi="ar"/>
              </w:rPr>
              <w:t>含多氯联苯的废电容器</w:t>
            </w:r>
          </w:p>
        </w:tc>
      </w:tr>
      <w:tr w14:paraId="19E762FF">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 w:type="dxa"/>
            <w:bottom w:w="0" w:type="dxa"/>
            <w:right w:w="10" w:type="dxa"/>
          </w:tblCellMar>
        </w:tblPrEx>
        <w:trPr>
          <w:trHeight w:val="57" w:hRule="atLeast"/>
          <w:jc w:val="center"/>
        </w:trPr>
        <w:tc>
          <w:tcPr>
            <w:tcW w:w="726" w:type="pct"/>
            <w:tcBorders>
              <w:tl2br w:val="nil"/>
              <w:tr2bl w:val="nil"/>
            </w:tcBorders>
            <w:shd w:val="clear" w:color="auto" w:fill="auto"/>
            <w:vAlign w:val="center"/>
          </w:tcPr>
          <w:p w14:paraId="30E39395">
            <w:pPr>
              <w:keepNext w:val="0"/>
              <w:keepLines w:val="0"/>
              <w:widowControl/>
              <w:suppressLineNumbers w:val="0"/>
              <w:jc w:val="center"/>
              <w:textAlignment w:val="center"/>
              <w:rPr>
                <w:rFonts w:hint="default" w:ascii="Times New Roman" w:hAnsi="Times New Roman" w:cs="Times New Roman"/>
                <w:i w:val="0"/>
                <w:iCs w:val="0"/>
                <w:color w:val="FF0000"/>
                <w:kern w:val="0"/>
                <w:sz w:val="21"/>
                <w:szCs w:val="21"/>
                <w:u w:val="none"/>
                <w:lang w:val="en-US" w:eastAsia="zh-CN" w:bidi="ar"/>
              </w:rPr>
            </w:pPr>
            <w:r>
              <w:rPr>
                <w:rFonts w:hint="default" w:ascii="Times New Roman" w:hAnsi="Times New Roman" w:eastAsia="宋体" w:cs="Times New Roman"/>
                <w:i w:val="0"/>
                <w:iCs w:val="0"/>
                <w:color w:val="FF0000"/>
                <w:kern w:val="0"/>
                <w:sz w:val="21"/>
                <w:szCs w:val="21"/>
                <w:u w:val="none"/>
                <w:lang w:val="en-US" w:eastAsia="zh-CN" w:bidi="ar"/>
              </w:rPr>
              <w:t>废有机溶剂</w:t>
            </w:r>
            <w:r>
              <w:rPr>
                <w:rFonts w:hint="default" w:ascii="Times New Roman" w:hAnsi="Times New Roman" w:cs="Times New Roman"/>
                <w:i w:val="0"/>
                <w:iCs w:val="0"/>
                <w:color w:val="FF0000"/>
                <w:kern w:val="0"/>
                <w:sz w:val="21"/>
                <w:szCs w:val="21"/>
                <w:u w:val="none"/>
                <w:lang w:val="en-US" w:eastAsia="zh-CN" w:bidi="ar"/>
              </w:rPr>
              <w:t>（</w:t>
            </w:r>
            <w:r>
              <w:rPr>
                <w:rFonts w:hint="default" w:ascii="Times New Roman" w:hAnsi="Times New Roman" w:cs="Times New Roman"/>
                <w:i w:val="0"/>
                <w:iCs w:val="0"/>
                <w:color w:val="FF0000"/>
                <w:kern w:val="0"/>
                <w:sz w:val="21"/>
                <w:szCs w:val="21"/>
                <w:u w:val="none"/>
                <w:lang w:val="en-US" w:eastAsia="en-US" w:bidi="ar"/>
              </w:rPr>
              <w:t>HW</w:t>
            </w:r>
            <w:r>
              <w:rPr>
                <w:rFonts w:hint="default" w:ascii="Times New Roman" w:hAnsi="Times New Roman" w:cs="Times New Roman"/>
                <w:i w:val="0"/>
                <w:iCs w:val="0"/>
                <w:color w:val="FF0000"/>
                <w:kern w:val="0"/>
                <w:sz w:val="21"/>
                <w:szCs w:val="21"/>
                <w:u w:val="none"/>
                <w:lang w:val="en-US" w:eastAsia="zh-CN" w:bidi="ar"/>
              </w:rPr>
              <w:t>06</w:t>
            </w:r>
            <w:r>
              <w:rPr>
                <w:rFonts w:hint="default" w:ascii="Times New Roman" w:hAnsi="Times New Roman" w:cs="Times New Roman"/>
                <w:i w:val="0"/>
                <w:iCs w:val="0"/>
                <w:color w:val="FF0000"/>
                <w:kern w:val="0"/>
                <w:sz w:val="21"/>
                <w:szCs w:val="21"/>
                <w:u w:val="none"/>
                <w:lang w:val="en-US" w:eastAsia="en-US" w:bidi="ar"/>
              </w:rPr>
              <w:t>）</w:t>
            </w:r>
          </w:p>
        </w:tc>
        <w:tc>
          <w:tcPr>
            <w:tcW w:w="258" w:type="pct"/>
            <w:tcBorders>
              <w:tl2br w:val="nil"/>
              <w:tr2bl w:val="nil"/>
            </w:tcBorders>
            <w:shd w:val="clear" w:color="auto" w:fill="auto"/>
            <w:vAlign w:val="center"/>
          </w:tcPr>
          <w:p w14:paraId="75626594">
            <w:pPr>
              <w:pStyle w:val="128"/>
              <w:spacing w:line="240" w:lineRule="auto"/>
              <w:jc w:val="center"/>
              <w:rPr>
                <w:rFonts w:hint="eastAsia" w:ascii="Times New Roman" w:hAnsi="Times New Roman" w:eastAsia="宋体" w:cs="Times New Roman"/>
                <w:color w:val="FF0000"/>
                <w:sz w:val="21"/>
                <w:szCs w:val="21"/>
                <w:lang w:val="en-US" w:eastAsia="zh-CN"/>
              </w:rPr>
            </w:pPr>
            <w:r>
              <w:rPr>
                <w:rFonts w:hint="default" w:ascii="Times New Roman" w:hAnsi="Times New Roman" w:eastAsia="宋体" w:cs="Times New Roman"/>
                <w:color w:val="FF0000"/>
                <w:sz w:val="21"/>
                <w:szCs w:val="21"/>
                <w:lang w:val="en-US" w:eastAsia="zh-CN"/>
              </w:rPr>
              <w:t>0.68</w:t>
            </w:r>
            <w:r>
              <w:rPr>
                <w:rFonts w:hint="eastAsia" w:ascii="Times New Roman" w:hAnsi="Times New Roman" w:eastAsia="宋体" w:cs="Times New Roman"/>
                <w:color w:val="FF0000"/>
                <w:sz w:val="21"/>
                <w:szCs w:val="21"/>
                <w:lang w:val="en-US" w:eastAsia="zh-CN"/>
              </w:rPr>
              <w:t>23</w:t>
            </w:r>
            <w:r>
              <w:rPr>
                <w:rFonts w:hint="default" w:ascii="Times New Roman" w:hAnsi="Times New Roman" w:eastAsia="宋体" w:cs="Times New Roman"/>
                <w:color w:val="FF0000"/>
                <w:sz w:val="21"/>
                <w:szCs w:val="21"/>
                <w:lang w:val="en-US" w:eastAsia="zh-CN"/>
              </w:rPr>
              <w:t>%</w:t>
            </w:r>
          </w:p>
        </w:tc>
        <w:tc>
          <w:tcPr>
            <w:tcW w:w="260" w:type="pct"/>
            <w:tcBorders>
              <w:tl2br w:val="nil"/>
              <w:tr2bl w:val="nil"/>
            </w:tcBorders>
            <w:shd w:val="clear" w:color="auto" w:fill="auto"/>
            <w:vAlign w:val="center"/>
          </w:tcPr>
          <w:p w14:paraId="180132D8">
            <w:pPr>
              <w:pStyle w:val="128"/>
              <w:spacing w:line="240" w:lineRule="auto"/>
              <w:jc w:val="center"/>
              <w:rPr>
                <w:rFonts w:hint="default" w:ascii="Times New Roman" w:hAnsi="Times New Roman" w:eastAsia="宋体" w:cs="Times New Roman"/>
                <w:color w:val="FF0000"/>
                <w:sz w:val="21"/>
                <w:szCs w:val="21"/>
                <w:lang w:val="en-US" w:eastAsia="zh-CN"/>
              </w:rPr>
            </w:pPr>
            <w:r>
              <w:rPr>
                <w:rFonts w:hint="eastAsia" w:ascii="Times New Roman" w:hAnsi="Times New Roman" w:eastAsia="宋体" w:cs="Times New Roman"/>
                <w:color w:val="FF0000"/>
                <w:sz w:val="21"/>
                <w:szCs w:val="21"/>
                <w:lang w:val="en-US" w:eastAsia="zh-CN"/>
              </w:rPr>
              <w:t xml:space="preserve">26.00 </w:t>
            </w:r>
          </w:p>
        </w:tc>
        <w:tc>
          <w:tcPr>
            <w:tcW w:w="258" w:type="pct"/>
            <w:tcBorders>
              <w:tl2br w:val="nil"/>
              <w:tr2bl w:val="nil"/>
            </w:tcBorders>
            <w:shd w:val="clear" w:color="auto" w:fill="auto"/>
            <w:vAlign w:val="center"/>
          </w:tcPr>
          <w:p w14:paraId="0EFB044A">
            <w:pPr>
              <w:pStyle w:val="128"/>
              <w:spacing w:line="240" w:lineRule="auto"/>
              <w:jc w:val="center"/>
              <w:rPr>
                <w:rFonts w:hint="eastAsia" w:ascii="Times New Roman" w:hAnsi="Times New Roman" w:eastAsia="宋体" w:cs="Times New Roman"/>
                <w:color w:val="FF0000"/>
                <w:sz w:val="21"/>
                <w:szCs w:val="21"/>
                <w:lang w:val="en-US" w:eastAsia="zh-CN"/>
              </w:rPr>
            </w:pPr>
            <w:r>
              <w:rPr>
                <w:rFonts w:hint="default" w:ascii="Times New Roman" w:hAnsi="Times New Roman" w:eastAsia="宋体" w:cs="Times New Roman"/>
                <w:color w:val="FF0000"/>
                <w:sz w:val="21"/>
                <w:szCs w:val="21"/>
                <w:lang w:val="en-US" w:eastAsia="zh-CN"/>
              </w:rPr>
              <w:t>0.2170%</w:t>
            </w:r>
          </w:p>
        </w:tc>
        <w:tc>
          <w:tcPr>
            <w:tcW w:w="258" w:type="pct"/>
            <w:tcBorders>
              <w:tl2br w:val="nil"/>
              <w:tr2bl w:val="nil"/>
            </w:tcBorders>
            <w:shd w:val="clear" w:color="auto" w:fill="auto"/>
            <w:vAlign w:val="center"/>
          </w:tcPr>
          <w:p w14:paraId="19FA55F9">
            <w:pPr>
              <w:pStyle w:val="128"/>
              <w:spacing w:line="240" w:lineRule="auto"/>
              <w:jc w:val="center"/>
              <w:rPr>
                <w:rFonts w:hint="eastAsia" w:ascii="Times New Roman" w:hAnsi="Times New Roman" w:eastAsia="宋体" w:cs="Times New Roman"/>
                <w:color w:val="FF0000"/>
                <w:sz w:val="21"/>
                <w:szCs w:val="21"/>
                <w:lang w:val="en-US" w:eastAsia="zh-CN"/>
              </w:rPr>
            </w:pPr>
            <w:r>
              <w:rPr>
                <w:rFonts w:hint="default" w:ascii="Times New Roman" w:hAnsi="Times New Roman" w:eastAsia="宋体" w:cs="Times New Roman"/>
                <w:color w:val="FF0000"/>
                <w:sz w:val="21"/>
                <w:szCs w:val="21"/>
                <w:lang w:val="en-US" w:eastAsia="zh-CN"/>
              </w:rPr>
              <w:t xml:space="preserve">43.62 </w:t>
            </w:r>
          </w:p>
        </w:tc>
        <w:tc>
          <w:tcPr>
            <w:tcW w:w="260" w:type="pct"/>
            <w:tcBorders>
              <w:tl2br w:val="nil"/>
              <w:tr2bl w:val="nil"/>
            </w:tcBorders>
            <w:shd w:val="clear" w:color="auto" w:fill="auto"/>
            <w:vAlign w:val="center"/>
          </w:tcPr>
          <w:p w14:paraId="5FF06979">
            <w:pPr>
              <w:pStyle w:val="128"/>
              <w:spacing w:line="240" w:lineRule="auto"/>
              <w:jc w:val="center"/>
              <w:rPr>
                <w:rFonts w:hint="eastAsia" w:ascii="Times New Roman" w:hAnsi="Times New Roman" w:eastAsia="宋体" w:cs="Times New Roman"/>
                <w:color w:val="FF0000"/>
                <w:sz w:val="21"/>
                <w:szCs w:val="21"/>
                <w:lang w:val="en-US" w:eastAsia="zh-CN"/>
              </w:rPr>
            </w:pPr>
            <w:r>
              <w:rPr>
                <w:rFonts w:hint="default" w:ascii="Times New Roman" w:hAnsi="Times New Roman" w:eastAsia="宋体" w:cs="Times New Roman"/>
                <w:color w:val="FF0000"/>
                <w:sz w:val="21"/>
                <w:szCs w:val="21"/>
                <w:lang w:val="en-US" w:eastAsia="zh-CN"/>
              </w:rPr>
              <w:t>0.4128%</w:t>
            </w:r>
          </w:p>
        </w:tc>
        <w:tc>
          <w:tcPr>
            <w:tcW w:w="263" w:type="pct"/>
            <w:tcBorders>
              <w:tl2br w:val="nil"/>
              <w:tr2bl w:val="nil"/>
            </w:tcBorders>
            <w:shd w:val="clear" w:color="auto" w:fill="auto"/>
            <w:vAlign w:val="center"/>
          </w:tcPr>
          <w:p w14:paraId="63B8DEBB">
            <w:pPr>
              <w:pStyle w:val="128"/>
              <w:spacing w:line="240" w:lineRule="auto"/>
              <w:jc w:val="center"/>
              <w:rPr>
                <w:rFonts w:hint="eastAsia" w:ascii="Times New Roman" w:hAnsi="Times New Roman" w:eastAsia="宋体" w:cs="Times New Roman"/>
                <w:color w:val="FF0000"/>
                <w:sz w:val="21"/>
                <w:szCs w:val="21"/>
                <w:lang w:val="en-US" w:eastAsia="zh-CN"/>
              </w:rPr>
            </w:pPr>
            <w:r>
              <w:rPr>
                <w:rFonts w:hint="default" w:ascii="Times New Roman" w:hAnsi="Times New Roman" w:eastAsia="宋体" w:cs="Times New Roman"/>
                <w:color w:val="FF0000"/>
                <w:sz w:val="21"/>
                <w:szCs w:val="21"/>
                <w:lang w:val="en-US" w:eastAsia="zh-CN"/>
              </w:rPr>
              <w:t xml:space="preserve">177.31 </w:t>
            </w:r>
          </w:p>
        </w:tc>
        <w:tc>
          <w:tcPr>
            <w:tcW w:w="1063" w:type="dxa"/>
            <w:tcBorders>
              <w:tl2br w:val="nil"/>
              <w:tr2bl w:val="nil"/>
            </w:tcBorders>
            <w:shd w:val="clear" w:color="auto" w:fill="auto"/>
            <w:vAlign w:val="center"/>
          </w:tcPr>
          <w:p w14:paraId="01BAFFEB">
            <w:pPr>
              <w:keepNext w:val="0"/>
              <w:keepLines w:val="0"/>
              <w:widowControl/>
              <w:suppressLineNumbers w:val="0"/>
              <w:jc w:val="center"/>
              <w:textAlignment w:val="center"/>
              <w:rPr>
                <w:rFonts w:hint="eastAsia" w:ascii="Times New Roman" w:hAnsi="Times New Roman" w:eastAsia="宋体" w:cs="Times New Roman"/>
                <w:color w:val="FF0000"/>
                <w:sz w:val="21"/>
                <w:szCs w:val="21"/>
                <w:lang w:val="en-US" w:eastAsia="zh-CN"/>
              </w:rPr>
            </w:pPr>
            <w:r>
              <w:rPr>
                <w:rFonts w:hint="default" w:ascii="Times New Roman" w:hAnsi="Times New Roman" w:eastAsia="宋体" w:cs="Times New Roman"/>
                <w:i w:val="0"/>
                <w:iCs w:val="0"/>
                <w:color w:val="FF0000"/>
                <w:kern w:val="0"/>
                <w:sz w:val="21"/>
                <w:szCs w:val="21"/>
                <w:u w:val="none"/>
                <w:lang w:val="en-US" w:eastAsia="zh-CN" w:bidi="ar"/>
              </w:rPr>
              <w:t>0.0658%</w:t>
            </w:r>
          </w:p>
        </w:tc>
        <w:tc>
          <w:tcPr>
            <w:tcW w:w="1075" w:type="dxa"/>
            <w:tcBorders>
              <w:tl2br w:val="nil"/>
              <w:tr2bl w:val="nil"/>
            </w:tcBorders>
            <w:shd w:val="clear" w:color="auto" w:fill="auto"/>
            <w:vAlign w:val="center"/>
          </w:tcPr>
          <w:p w14:paraId="7A023073">
            <w:pPr>
              <w:keepNext w:val="0"/>
              <w:keepLines w:val="0"/>
              <w:widowControl/>
              <w:suppressLineNumbers w:val="0"/>
              <w:jc w:val="center"/>
              <w:textAlignment w:val="center"/>
              <w:rPr>
                <w:rFonts w:hint="eastAsia" w:ascii="Times New Roman" w:hAnsi="Times New Roman" w:eastAsia="宋体" w:cs="Times New Roman"/>
                <w:color w:val="FF0000"/>
                <w:sz w:val="21"/>
                <w:szCs w:val="21"/>
                <w:lang w:val="en-US" w:eastAsia="zh-CN"/>
              </w:rPr>
            </w:pPr>
            <w:r>
              <w:rPr>
                <w:rFonts w:hint="default" w:ascii="Times New Roman" w:hAnsi="Times New Roman" w:eastAsia="宋体" w:cs="Times New Roman"/>
                <w:i w:val="0"/>
                <w:iCs w:val="0"/>
                <w:color w:val="FF0000"/>
                <w:kern w:val="0"/>
                <w:sz w:val="21"/>
                <w:szCs w:val="21"/>
                <w:u w:val="none"/>
                <w:lang w:val="en-US" w:eastAsia="zh-CN" w:bidi="ar"/>
              </w:rPr>
              <w:t xml:space="preserve">3.38 </w:t>
            </w:r>
          </w:p>
        </w:tc>
        <w:tc>
          <w:tcPr>
            <w:tcW w:w="1075" w:type="dxa"/>
            <w:tcBorders>
              <w:tl2br w:val="nil"/>
              <w:tr2bl w:val="nil"/>
            </w:tcBorders>
            <w:shd w:val="clear" w:color="auto" w:fill="auto"/>
            <w:vAlign w:val="center"/>
          </w:tcPr>
          <w:p w14:paraId="0B04578E">
            <w:pPr>
              <w:pStyle w:val="128"/>
              <w:spacing w:line="240" w:lineRule="auto"/>
              <w:jc w:val="center"/>
              <w:rPr>
                <w:rFonts w:hint="eastAsia" w:ascii="Times New Roman" w:hAnsi="Times New Roman" w:eastAsia="宋体" w:cs="Times New Roman"/>
                <w:color w:val="FF0000"/>
                <w:sz w:val="21"/>
                <w:szCs w:val="21"/>
                <w:lang w:val="en-US" w:eastAsia="zh-CN"/>
              </w:rPr>
            </w:pPr>
            <w:r>
              <w:rPr>
                <w:rFonts w:hint="eastAsia" w:ascii="Times New Roman" w:hAnsi="Times New Roman" w:eastAsia="宋体" w:cs="Times New Roman"/>
                <w:color w:val="FF0000"/>
                <w:sz w:val="21"/>
                <w:szCs w:val="21"/>
                <w:lang w:val="en-US" w:eastAsia="zh-CN"/>
              </w:rPr>
              <w:t>250.31</w:t>
            </w:r>
          </w:p>
        </w:tc>
        <w:tc>
          <w:tcPr>
            <w:tcW w:w="1929" w:type="pct"/>
            <w:tcBorders>
              <w:tl2br w:val="nil"/>
              <w:tr2bl w:val="nil"/>
            </w:tcBorders>
            <w:shd w:val="clear" w:color="auto" w:fill="auto"/>
            <w:vAlign w:val="center"/>
          </w:tcPr>
          <w:p w14:paraId="13A8156E">
            <w:pPr>
              <w:keepNext w:val="0"/>
              <w:keepLines w:val="0"/>
              <w:widowControl/>
              <w:suppressLineNumbers w:val="0"/>
              <w:spacing w:line="240" w:lineRule="auto"/>
              <w:jc w:val="center"/>
              <w:textAlignment w:val="center"/>
              <w:rPr>
                <w:rFonts w:hint="eastAsia" w:ascii="宋体" w:hAnsi="宋体" w:cs="宋体"/>
                <w:i w:val="0"/>
                <w:iCs w:val="0"/>
                <w:color w:val="FF0000"/>
                <w:kern w:val="0"/>
                <w:sz w:val="21"/>
                <w:szCs w:val="21"/>
                <w:u w:val="none"/>
                <w:lang w:val="en-US" w:eastAsia="zh-CN" w:bidi="ar"/>
              </w:rPr>
            </w:pPr>
            <w:r>
              <w:rPr>
                <w:rFonts w:hint="default" w:ascii="Times New Roman" w:hAnsi="Times New Roman" w:cs="Times New Roman"/>
                <w:color w:val="FF0000"/>
                <w:sz w:val="21"/>
                <w:szCs w:val="21"/>
              </w:rPr>
              <w:t>专用清洗剂、防冻液</w:t>
            </w:r>
            <w:r>
              <w:rPr>
                <w:rFonts w:hint="default" w:ascii="Times New Roman" w:hAnsi="Times New Roman" w:cs="Times New Roman"/>
                <w:color w:val="FF0000"/>
                <w:sz w:val="21"/>
                <w:szCs w:val="21"/>
                <w:lang w:eastAsia="zh-CN"/>
              </w:rPr>
              <w:t>、</w:t>
            </w:r>
            <w:r>
              <w:rPr>
                <w:rFonts w:hint="default" w:ascii="Times New Roman" w:hAnsi="Times New Roman" w:cs="Times New Roman"/>
                <w:color w:val="FF0000"/>
                <w:sz w:val="21"/>
                <w:szCs w:val="21"/>
              </w:rPr>
              <w:t>动力电池冷却液</w:t>
            </w:r>
          </w:p>
        </w:tc>
      </w:tr>
      <w:tr w14:paraId="6065772B">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 w:type="dxa"/>
            <w:bottom w:w="0" w:type="dxa"/>
            <w:right w:w="10" w:type="dxa"/>
          </w:tblCellMar>
        </w:tblPrEx>
        <w:trPr>
          <w:trHeight w:val="57" w:hRule="atLeast"/>
          <w:jc w:val="center"/>
        </w:trPr>
        <w:tc>
          <w:tcPr>
            <w:tcW w:w="726" w:type="pct"/>
            <w:tcBorders>
              <w:tl2br w:val="nil"/>
              <w:tr2bl w:val="nil"/>
            </w:tcBorders>
            <w:shd w:val="clear" w:color="auto" w:fill="auto"/>
            <w:vAlign w:val="center"/>
          </w:tcPr>
          <w:p w14:paraId="0320EE55">
            <w:pPr>
              <w:keepNext w:val="0"/>
              <w:keepLines w:val="0"/>
              <w:widowControl/>
              <w:suppressLineNumbers w:val="0"/>
              <w:jc w:val="center"/>
              <w:textAlignment w:val="center"/>
              <w:rPr>
                <w:rFonts w:hint="default" w:ascii="Times New Roman" w:hAnsi="Times New Roman" w:cs="Times New Roman"/>
                <w:i w:val="0"/>
                <w:iCs w:val="0"/>
                <w:color w:val="FF0000"/>
                <w:kern w:val="0"/>
                <w:sz w:val="21"/>
                <w:szCs w:val="21"/>
                <w:u w:val="none"/>
                <w:lang w:val="en-US" w:eastAsia="zh-CN" w:bidi="ar"/>
              </w:rPr>
            </w:pPr>
            <w:r>
              <w:rPr>
                <w:rFonts w:hint="default" w:ascii="Times New Roman" w:hAnsi="Times New Roman" w:eastAsia="宋体" w:cs="Times New Roman"/>
                <w:i w:val="0"/>
                <w:iCs w:val="0"/>
                <w:color w:val="FF0000"/>
                <w:kern w:val="0"/>
                <w:sz w:val="21"/>
                <w:szCs w:val="21"/>
                <w:u w:val="none"/>
                <w:lang w:val="en-US" w:eastAsia="zh-CN" w:bidi="ar"/>
              </w:rPr>
              <w:t>石棉废物</w:t>
            </w:r>
            <w:r>
              <w:rPr>
                <w:rFonts w:hint="default" w:ascii="Times New Roman" w:hAnsi="Times New Roman" w:cs="Times New Roman"/>
                <w:i w:val="0"/>
                <w:iCs w:val="0"/>
                <w:color w:val="FF0000"/>
                <w:kern w:val="0"/>
                <w:sz w:val="21"/>
                <w:szCs w:val="21"/>
                <w:u w:val="none"/>
                <w:lang w:val="en-US" w:eastAsia="zh-CN" w:bidi="ar"/>
              </w:rPr>
              <w:t>（</w:t>
            </w:r>
            <w:r>
              <w:rPr>
                <w:rFonts w:hint="default" w:ascii="Times New Roman" w:hAnsi="Times New Roman" w:cs="Times New Roman"/>
                <w:i w:val="0"/>
                <w:iCs w:val="0"/>
                <w:color w:val="FF0000"/>
                <w:kern w:val="0"/>
                <w:sz w:val="21"/>
                <w:szCs w:val="21"/>
                <w:u w:val="none"/>
                <w:lang w:val="en-US" w:eastAsia="en-US" w:bidi="ar"/>
              </w:rPr>
              <w:t>HW</w:t>
            </w:r>
            <w:r>
              <w:rPr>
                <w:rFonts w:hint="default" w:ascii="Times New Roman" w:hAnsi="Times New Roman" w:cs="Times New Roman"/>
                <w:i w:val="0"/>
                <w:iCs w:val="0"/>
                <w:color w:val="FF0000"/>
                <w:kern w:val="0"/>
                <w:sz w:val="21"/>
                <w:szCs w:val="21"/>
                <w:u w:val="none"/>
                <w:lang w:val="en-US" w:eastAsia="zh-CN" w:bidi="ar"/>
              </w:rPr>
              <w:t>36</w:t>
            </w:r>
            <w:r>
              <w:rPr>
                <w:rFonts w:hint="default" w:ascii="Times New Roman" w:hAnsi="Times New Roman" w:cs="Times New Roman"/>
                <w:i w:val="0"/>
                <w:iCs w:val="0"/>
                <w:color w:val="FF0000"/>
                <w:kern w:val="0"/>
                <w:sz w:val="21"/>
                <w:szCs w:val="21"/>
                <w:u w:val="none"/>
                <w:lang w:val="en-US" w:eastAsia="en-US" w:bidi="ar"/>
              </w:rPr>
              <w:t>）</w:t>
            </w:r>
          </w:p>
        </w:tc>
        <w:tc>
          <w:tcPr>
            <w:tcW w:w="258" w:type="pct"/>
            <w:tcBorders>
              <w:tl2br w:val="nil"/>
              <w:tr2bl w:val="nil"/>
            </w:tcBorders>
            <w:shd w:val="clear" w:color="auto" w:fill="auto"/>
            <w:vAlign w:val="center"/>
          </w:tcPr>
          <w:p w14:paraId="524B2CC0">
            <w:pPr>
              <w:pStyle w:val="128"/>
              <w:spacing w:line="240" w:lineRule="auto"/>
              <w:jc w:val="center"/>
              <w:rPr>
                <w:rFonts w:hint="eastAsia" w:ascii="Times New Roman" w:hAnsi="Times New Roman" w:eastAsia="宋体" w:cs="Times New Roman"/>
                <w:color w:val="FF0000"/>
                <w:sz w:val="21"/>
                <w:szCs w:val="21"/>
                <w:lang w:val="en-US" w:eastAsia="zh-CN"/>
              </w:rPr>
            </w:pPr>
            <w:r>
              <w:rPr>
                <w:rFonts w:hint="default" w:ascii="Times New Roman" w:hAnsi="Times New Roman" w:eastAsia="宋体" w:cs="Times New Roman"/>
                <w:color w:val="FF0000"/>
                <w:sz w:val="21"/>
                <w:szCs w:val="21"/>
                <w:lang w:val="en-US" w:eastAsia="zh-CN"/>
              </w:rPr>
              <w:t>0.0</w:t>
            </w:r>
            <w:r>
              <w:rPr>
                <w:rFonts w:hint="eastAsia" w:ascii="Times New Roman" w:hAnsi="Times New Roman" w:eastAsia="宋体" w:cs="Times New Roman"/>
                <w:color w:val="FF0000"/>
                <w:sz w:val="21"/>
                <w:szCs w:val="21"/>
                <w:lang w:val="en-US" w:eastAsia="zh-CN"/>
              </w:rPr>
              <w:t>78</w:t>
            </w:r>
            <w:r>
              <w:rPr>
                <w:rFonts w:hint="default" w:ascii="Times New Roman" w:hAnsi="Times New Roman" w:eastAsia="宋体" w:cs="Times New Roman"/>
                <w:color w:val="FF0000"/>
                <w:sz w:val="21"/>
                <w:szCs w:val="21"/>
                <w:lang w:val="en-US" w:eastAsia="zh-CN"/>
              </w:rPr>
              <w:t>%</w:t>
            </w:r>
          </w:p>
        </w:tc>
        <w:tc>
          <w:tcPr>
            <w:tcW w:w="260" w:type="pct"/>
            <w:tcBorders>
              <w:tl2br w:val="nil"/>
              <w:tr2bl w:val="nil"/>
            </w:tcBorders>
            <w:shd w:val="clear" w:color="auto" w:fill="auto"/>
            <w:vAlign w:val="center"/>
          </w:tcPr>
          <w:p w14:paraId="017476CF">
            <w:pPr>
              <w:pStyle w:val="128"/>
              <w:spacing w:line="240" w:lineRule="auto"/>
              <w:jc w:val="center"/>
              <w:rPr>
                <w:rFonts w:hint="default" w:ascii="Times New Roman" w:hAnsi="Times New Roman" w:eastAsia="宋体" w:cs="Times New Roman"/>
                <w:color w:val="FF0000"/>
                <w:sz w:val="21"/>
                <w:szCs w:val="21"/>
                <w:lang w:val="en-US" w:eastAsia="zh-CN"/>
              </w:rPr>
            </w:pPr>
            <w:r>
              <w:rPr>
                <w:rFonts w:hint="eastAsia" w:ascii="Times New Roman" w:hAnsi="Times New Roman" w:eastAsia="宋体" w:cs="Times New Roman"/>
                <w:color w:val="FF0000"/>
                <w:sz w:val="21"/>
                <w:szCs w:val="21"/>
                <w:lang w:val="en-US" w:eastAsia="zh-CN"/>
              </w:rPr>
              <w:t xml:space="preserve">2.97 </w:t>
            </w:r>
          </w:p>
        </w:tc>
        <w:tc>
          <w:tcPr>
            <w:tcW w:w="258" w:type="pct"/>
            <w:tcBorders>
              <w:tl2br w:val="nil"/>
              <w:tr2bl w:val="nil"/>
            </w:tcBorders>
            <w:shd w:val="clear" w:color="auto" w:fill="auto"/>
            <w:vAlign w:val="center"/>
          </w:tcPr>
          <w:p w14:paraId="66814871">
            <w:pPr>
              <w:pStyle w:val="128"/>
              <w:spacing w:line="240" w:lineRule="auto"/>
              <w:jc w:val="center"/>
              <w:rPr>
                <w:rFonts w:hint="eastAsia" w:ascii="Times New Roman" w:hAnsi="Times New Roman" w:eastAsia="宋体" w:cs="Times New Roman"/>
                <w:color w:val="FF0000"/>
                <w:sz w:val="21"/>
                <w:szCs w:val="21"/>
                <w:lang w:val="en-US" w:eastAsia="zh-CN"/>
              </w:rPr>
            </w:pPr>
            <w:r>
              <w:rPr>
                <w:rFonts w:hint="default" w:ascii="Times New Roman" w:hAnsi="Times New Roman" w:eastAsia="宋体" w:cs="Times New Roman"/>
                <w:color w:val="FF0000"/>
                <w:sz w:val="21"/>
                <w:szCs w:val="21"/>
                <w:lang w:val="en-US" w:eastAsia="zh-CN"/>
              </w:rPr>
              <w:t>0.0289%</w:t>
            </w:r>
          </w:p>
        </w:tc>
        <w:tc>
          <w:tcPr>
            <w:tcW w:w="258" w:type="pct"/>
            <w:tcBorders>
              <w:tl2br w:val="nil"/>
              <w:tr2bl w:val="nil"/>
            </w:tcBorders>
            <w:shd w:val="clear" w:color="auto" w:fill="auto"/>
            <w:vAlign w:val="center"/>
          </w:tcPr>
          <w:p w14:paraId="779E76F3">
            <w:pPr>
              <w:pStyle w:val="128"/>
              <w:spacing w:line="240" w:lineRule="auto"/>
              <w:jc w:val="center"/>
              <w:rPr>
                <w:rFonts w:hint="default" w:ascii="Times New Roman" w:hAnsi="Times New Roman" w:eastAsia="宋体" w:cs="Times New Roman"/>
                <w:color w:val="FF0000"/>
                <w:sz w:val="21"/>
                <w:szCs w:val="21"/>
                <w:lang w:val="en-US" w:eastAsia="zh-CN"/>
              </w:rPr>
            </w:pPr>
            <w:r>
              <w:rPr>
                <w:rFonts w:hint="default" w:ascii="Times New Roman" w:hAnsi="Times New Roman" w:eastAsia="宋体" w:cs="Times New Roman"/>
                <w:color w:val="FF0000"/>
                <w:sz w:val="21"/>
                <w:szCs w:val="21"/>
                <w:lang w:val="en-US" w:eastAsia="zh-CN"/>
              </w:rPr>
              <w:t xml:space="preserve">5.82 </w:t>
            </w:r>
          </w:p>
        </w:tc>
        <w:tc>
          <w:tcPr>
            <w:tcW w:w="260" w:type="pct"/>
            <w:tcBorders>
              <w:tl2br w:val="nil"/>
              <w:tr2bl w:val="nil"/>
            </w:tcBorders>
            <w:shd w:val="clear" w:color="auto" w:fill="auto"/>
            <w:vAlign w:val="center"/>
          </w:tcPr>
          <w:p w14:paraId="7D9E96BD">
            <w:pPr>
              <w:pStyle w:val="128"/>
              <w:spacing w:line="240" w:lineRule="auto"/>
              <w:jc w:val="center"/>
              <w:rPr>
                <w:rFonts w:hint="eastAsia" w:ascii="Times New Roman" w:hAnsi="Times New Roman" w:eastAsia="宋体" w:cs="Times New Roman"/>
                <w:color w:val="FF0000"/>
                <w:sz w:val="21"/>
                <w:szCs w:val="21"/>
                <w:lang w:val="en-US" w:eastAsia="zh-CN"/>
              </w:rPr>
            </w:pPr>
            <w:r>
              <w:rPr>
                <w:rFonts w:hint="default" w:ascii="Times New Roman" w:hAnsi="Times New Roman" w:eastAsia="宋体" w:cs="Times New Roman"/>
                <w:color w:val="FF0000"/>
                <w:sz w:val="21"/>
                <w:szCs w:val="21"/>
                <w:lang w:val="en-US" w:eastAsia="zh-CN"/>
              </w:rPr>
              <w:t>0.1101%</w:t>
            </w:r>
          </w:p>
        </w:tc>
        <w:tc>
          <w:tcPr>
            <w:tcW w:w="263" w:type="pct"/>
            <w:tcBorders>
              <w:tl2br w:val="nil"/>
              <w:tr2bl w:val="nil"/>
            </w:tcBorders>
            <w:shd w:val="clear" w:color="auto" w:fill="auto"/>
            <w:vAlign w:val="center"/>
          </w:tcPr>
          <w:p w14:paraId="4E6E600D">
            <w:pPr>
              <w:pStyle w:val="128"/>
              <w:spacing w:line="240" w:lineRule="auto"/>
              <w:jc w:val="center"/>
              <w:rPr>
                <w:rFonts w:hint="eastAsia" w:ascii="Times New Roman" w:hAnsi="Times New Roman" w:eastAsia="宋体" w:cs="Times New Roman"/>
                <w:color w:val="FF0000"/>
                <w:sz w:val="21"/>
                <w:szCs w:val="21"/>
                <w:lang w:val="en-US" w:eastAsia="zh-CN"/>
              </w:rPr>
            </w:pPr>
            <w:r>
              <w:rPr>
                <w:rFonts w:hint="default" w:ascii="Times New Roman" w:hAnsi="Times New Roman" w:eastAsia="宋体" w:cs="Times New Roman"/>
                <w:color w:val="FF0000"/>
                <w:sz w:val="21"/>
                <w:szCs w:val="21"/>
                <w:lang w:val="en-US" w:eastAsia="zh-CN"/>
              </w:rPr>
              <w:t xml:space="preserve">47.28 </w:t>
            </w:r>
          </w:p>
        </w:tc>
        <w:tc>
          <w:tcPr>
            <w:tcW w:w="1063" w:type="dxa"/>
            <w:tcBorders>
              <w:tl2br w:val="nil"/>
              <w:tr2bl w:val="nil"/>
            </w:tcBorders>
            <w:shd w:val="clear" w:color="auto" w:fill="auto"/>
            <w:vAlign w:val="center"/>
          </w:tcPr>
          <w:p w14:paraId="43E702E3">
            <w:pPr>
              <w:keepNext w:val="0"/>
              <w:keepLines w:val="0"/>
              <w:widowControl/>
              <w:suppressLineNumbers w:val="0"/>
              <w:jc w:val="center"/>
              <w:textAlignment w:val="center"/>
              <w:rPr>
                <w:rFonts w:hint="eastAsia" w:ascii="Times New Roman" w:hAnsi="Times New Roman" w:eastAsia="宋体" w:cs="Times New Roman"/>
                <w:color w:val="FF0000"/>
                <w:sz w:val="21"/>
                <w:szCs w:val="21"/>
                <w:lang w:val="en-US" w:eastAsia="zh-CN"/>
              </w:rPr>
            </w:pPr>
            <w:r>
              <w:rPr>
                <w:rFonts w:hint="default" w:ascii="Times New Roman" w:hAnsi="Times New Roman" w:eastAsia="宋体" w:cs="Times New Roman"/>
                <w:i w:val="0"/>
                <w:iCs w:val="0"/>
                <w:color w:val="FF0000"/>
                <w:kern w:val="0"/>
                <w:sz w:val="21"/>
                <w:szCs w:val="21"/>
                <w:u w:val="none"/>
                <w:lang w:val="en-US" w:eastAsia="zh-CN" w:bidi="ar"/>
              </w:rPr>
              <w:t>0.0000%</w:t>
            </w:r>
          </w:p>
        </w:tc>
        <w:tc>
          <w:tcPr>
            <w:tcW w:w="1075" w:type="dxa"/>
            <w:tcBorders>
              <w:tl2br w:val="nil"/>
              <w:tr2bl w:val="nil"/>
            </w:tcBorders>
            <w:shd w:val="clear" w:color="auto" w:fill="auto"/>
            <w:vAlign w:val="center"/>
          </w:tcPr>
          <w:p w14:paraId="611B9F5C">
            <w:pPr>
              <w:keepNext w:val="0"/>
              <w:keepLines w:val="0"/>
              <w:widowControl/>
              <w:suppressLineNumbers w:val="0"/>
              <w:jc w:val="center"/>
              <w:textAlignment w:val="center"/>
              <w:rPr>
                <w:rFonts w:hint="eastAsia" w:ascii="Times New Roman" w:hAnsi="Times New Roman" w:eastAsia="宋体" w:cs="Times New Roman"/>
                <w:color w:val="FF0000"/>
                <w:sz w:val="21"/>
                <w:szCs w:val="21"/>
                <w:lang w:val="en-US" w:eastAsia="zh-CN"/>
              </w:rPr>
            </w:pPr>
            <w:r>
              <w:rPr>
                <w:rFonts w:hint="default" w:ascii="Times New Roman" w:hAnsi="Times New Roman" w:eastAsia="宋体" w:cs="Times New Roman"/>
                <w:i w:val="0"/>
                <w:iCs w:val="0"/>
                <w:color w:val="FF0000"/>
                <w:kern w:val="0"/>
                <w:sz w:val="21"/>
                <w:szCs w:val="21"/>
                <w:u w:val="none"/>
                <w:lang w:val="en-US" w:eastAsia="zh-CN" w:bidi="ar"/>
              </w:rPr>
              <w:t xml:space="preserve">0.00 </w:t>
            </w:r>
          </w:p>
        </w:tc>
        <w:tc>
          <w:tcPr>
            <w:tcW w:w="1075" w:type="dxa"/>
            <w:tcBorders>
              <w:tl2br w:val="nil"/>
              <w:tr2bl w:val="nil"/>
            </w:tcBorders>
            <w:shd w:val="clear" w:color="auto" w:fill="auto"/>
            <w:vAlign w:val="center"/>
          </w:tcPr>
          <w:p w14:paraId="3FD8150F">
            <w:pPr>
              <w:pStyle w:val="128"/>
              <w:spacing w:line="240" w:lineRule="auto"/>
              <w:jc w:val="center"/>
              <w:rPr>
                <w:rFonts w:hint="default" w:ascii="Times New Roman" w:hAnsi="Times New Roman" w:eastAsia="宋体" w:cs="Times New Roman"/>
                <w:color w:val="FF0000"/>
                <w:sz w:val="21"/>
                <w:szCs w:val="21"/>
                <w:lang w:val="en-US" w:eastAsia="zh-CN"/>
              </w:rPr>
            </w:pPr>
            <w:r>
              <w:rPr>
                <w:rFonts w:hint="eastAsia" w:ascii="Times New Roman" w:hAnsi="Times New Roman" w:eastAsia="宋体" w:cs="Times New Roman"/>
                <w:color w:val="FF0000"/>
                <w:sz w:val="21"/>
                <w:szCs w:val="21"/>
                <w:lang w:val="en-US" w:eastAsia="zh-CN"/>
              </w:rPr>
              <w:t>56.07</w:t>
            </w:r>
          </w:p>
        </w:tc>
        <w:tc>
          <w:tcPr>
            <w:tcW w:w="1929" w:type="pct"/>
            <w:tcBorders>
              <w:tl2br w:val="nil"/>
              <w:tr2bl w:val="nil"/>
            </w:tcBorders>
            <w:shd w:val="clear" w:color="auto" w:fill="auto"/>
            <w:vAlign w:val="center"/>
          </w:tcPr>
          <w:p w14:paraId="13F898BF">
            <w:pPr>
              <w:keepNext w:val="0"/>
              <w:keepLines w:val="0"/>
              <w:widowControl/>
              <w:suppressLineNumbers w:val="0"/>
              <w:spacing w:line="240" w:lineRule="auto"/>
              <w:jc w:val="center"/>
              <w:textAlignment w:val="center"/>
              <w:rPr>
                <w:rFonts w:hint="eastAsia" w:ascii="宋体" w:hAnsi="宋体" w:cs="宋体"/>
                <w:i w:val="0"/>
                <w:iCs w:val="0"/>
                <w:color w:val="FF0000"/>
                <w:kern w:val="0"/>
                <w:sz w:val="21"/>
                <w:szCs w:val="21"/>
                <w:u w:val="none"/>
                <w:lang w:val="en-US" w:eastAsia="zh-CN" w:bidi="ar"/>
              </w:rPr>
            </w:pPr>
            <w:r>
              <w:rPr>
                <w:rFonts w:hint="default" w:ascii="Times New Roman" w:hAnsi="Times New Roman" w:cs="Times New Roman"/>
                <w:color w:val="FF0000"/>
                <w:sz w:val="21"/>
                <w:szCs w:val="21"/>
              </w:rPr>
              <w:t>制动器衬片</w:t>
            </w:r>
          </w:p>
        </w:tc>
      </w:tr>
      <w:tr w14:paraId="5CF76214">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 w:type="dxa"/>
            <w:bottom w:w="0" w:type="dxa"/>
            <w:right w:w="10" w:type="dxa"/>
          </w:tblCellMar>
        </w:tblPrEx>
        <w:trPr>
          <w:trHeight w:val="90" w:hRule="atLeast"/>
          <w:jc w:val="center"/>
        </w:trPr>
        <w:tc>
          <w:tcPr>
            <w:tcW w:w="726" w:type="pct"/>
            <w:tcBorders>
              <w:tl2br w:val="nil"/>
              <w:tr2bl w:val="nil"/>
            </w:tcBorders>
            <w:shd w:val="clear" w:color="auto" w:fill="auto"/>
            <w:vAlign w:val="center"/>
          </w:tcPr>
          <w:p w14:paraId="19895F66">
            <w:pPr>
              <w:keepNext w:val="0"/>
              <w:keepLines w:val="0"/>
              <w:widowControl/>
              <w:suppressLineNumbers w:val="0"/>
              <w:spacing w:line="240" w:lineRule="auto"/>
              <w:jc w:val="center"/>
              <w:textAlignment w:val="center"/>
              <w:rPr>
                <w:rFonts w:hint="eastAsia" w:ascii="宋体" w:hAnsi="宋体" w:cs="宋体"/>
                <w:i w:val="0"/>
                <w:iCs w:val="0"/>
                <w:color w:val="FF0000"/>
                <w:kern w:val="0"/>
                <w:sz w:val="21"/>
                <w:szCs w:val="21"/>
                <w:u w:val="none"/>
                <w:lang w:val="en-US" w:eastAsia="zh-CN" w:bidi="ar"/>
              </w:rPr>
            </w:pPr>
            <w:r>
              <w:rPr>
                <w:rFonts w:hint="eastAsia" w:ascii="宋体" w:hAnsi="宋体" w:cs="宋体"/>
                <w:i w:val="0"/>
                <w:iCs w:val="0"/>
                <w:color w:val="FF0000"/>
                <w:kern w:val="0"/>
                <w:sz w:val="21"/>
                <w:szCs w:val="21"/>
                <w:u w:val="none"/>
                <w:lang w:val="en-US" w:eastAsia="zh-CN" w:bidi="ar"/>
              </w:rPr>
              <w:t>/</w:t>
            </w:r>
          </w:p>
        </w:tc>
        <w:tc>
          <w:tcPr>
            <w:tcW w:w="258" w:type="pct"/>
            <w:tcBorders>
              <w:tl2br w:val="nil"/>
              <w:tr2bl w:val="nil"/>
            </w:tcBorders>
            <w:shd w:val="clear" w:color="auto" w:fill="auto"/>
            <w:vAlign w:val="center"/>
          </w:tcPr>
          <w:p w14:paraId="3C6FC7F9">
            <w:pPr>
              <w:pStyle w:val="128"/>
              <w:spacing w:line="240" w:lineRule="auto"/>
              <w:jc w:val="center"/>
              <w:rPr>
                <w:rFonts w:hint="default" w:ascii="Times New Roman" w:hAnsi="Times New Roman" w:eastAsia="宋体" w:cs="Times New Roman"/>
                <w:color w:val="FF0000"/>
                <w:sz w:val="21"/>
                <w:szCs w:val="21"/>
                <w:lang w:val="en-US" w:eastAsia="zh-CN"/>
              </w:rPr>
            </w:pPr>
            <w:r>
              <w:rPr>
                <w:rFonts w:hint="default" w:ascii="Times New Roman" w:hAnsi="Times New Roman" w:eastAsia="宋体" w:cs="Times New Roman"/>
                <w:color w:val="FF0000"/>
                <w:sz w:val="21"/>
                <w:szCs w:val="21"/>
                <w:lang w:val="en-US" w:eastAsia="zh-CN"/>
              </w:rPr>
              <w:t>100.00%</w:t>
            </w:r>
          </w:p>
        </w:tc>
        <w:tc>
          <w:tcPr>
            <w:tcW w:w="260" w:type="pct"/>
            <w:tcBorders>
              <w:tl2br w:val="nil"/>
              <w:tr2bl w:val="nil"/>
            </w:tcBorders>
            <w:shd w:val="clear" w:color="auto" w:fill="auto"/>
            <w:vAlign w:val="center"/>
          </w:tcPr>
          <w:p w14:paraId="0C2D34B6">
            <w:pPr>
              <w:pStyle w:val="128"/>
              <w:spacing w:line="240" w:lineRule="auto"/>
              <w:jc w:val="center"/>
              <w:rPr>
                <w:rFonts w:hint="default" w:ascii="Times New Roman" w:hAnsi="Times New Roman" w:eastAsia="宋体" w:cs="Times New Roman"/>
                <w:color w:val="FF0000"/>
                <w:sz w:val="21"/>
                <w:szCs w:val="21"/>
                <w:lang w:val="en-US" w:eastAsia="zh-CN"/>
              </w:rPr>
            </w:pPr>
            <w:r>
              <w:rPr>
                <w:rFonts w:hint="default" w:ascii="Times New Roman" w:hAnsi="Times New Roman" w:eastAsia="宋体" w:cs="Times New Roman"/>
                <w:color w:val="FF0000"/>
                <w:sz w:val="21"/>
                <w:szCs w:val="21"/>
                <w:lang w:val="en-US" w:eastAsia="zh-CN"/>
              </w:rPr>
              <w:t>3810</w:t>
            </w:r>
          </w:p>
        </w:tc>
        <w:tc>
          <w:tcPr>
            <w:tcW w:w="258" w:type="pct"/>
            <w:tcBorders>
              <w:tl2br w:val="nil"/>
              <w:tr2bl w:val="nil"/>
            </w:tcBorders>
            <w:shd w:val="clear" w:color="auto" w:fill="auto"/>
            <w:vAlign w:val="center"/>
          </w:tcPr>
          <w:p w14:paraId="58378378">
            <w:pPr>
              <w:pStyle w:val="128"/>
              <w:spacing w:line="240" w:lineRule="auto"/>
              <w:jc w:val="center"/>
              <w:rPr>
                <w:rFonts w:hint="eastAsia" w:ascii="Times New Roman" w:hAnsi="Times New Roman" w:eastAsia="宋体" w:cs="Times New Roman"/>
                <w:color w:val="FF0000"/>
                <w:sz w:val="21"/>
                <w:szCs w:val="21"/>
                <w:lang w:val="en-US" w:eastAsia="zh-CN"/>
              </w:rPr>
            </w:pPr>
            <w:r>
              <w:rPr>
                <w:rFonts w:hint="default" w:ascii="Times New Roman" w:hAnsi="Times New Roman" w:eastAsia="宋体" w:cs="Times New Roman"/>
                <w:color w:val="FF0000"/>
                <w:sz w:val="21"/>
                <w:szCs w:val="21"/>
                <w:lang w:val="en-US" w:eastAsia="zh-CN"/>
              </w:rPr>
              <w:t>100.00%</w:t>
            </w:r>
          </w:p>
        </w:tc>
        <w:tc>
          <w:tcPr>
            <w:tcW w:w="258" w:type="pct"/>
            <w:tcBorders>
              <w:tl2br w:val="nil"/>
              <w:tr2bl w:val="nil"/>
            </w:tcBorders>
            <w:shd w:val="clear" w:color="auto" w:fill="auto"/>
            <w:vAlign w:val="center"/>
          </w:tcPr>
          <w:p w14:paraId="5090F2B4">
            <w:pPr>
              <w:pStyle w:val="128"/>
              <w:spacing w:line="240" w:lineRule="auto"/>
              <w:jc w:val="center"/>
              <w:rPr>
                <w:rFonts w:hint="eastAsia" w:ascii="Times New Roman" w:hAnsi="Times New Roman" w:eastAsia="宋体" w:cs="Times New Roman"/>
                <w:color w:val="FF0000"/>
                <w:sz w:val="21"/>
                <w:szCs w:val="21"/>
                <w:lang w:val="en-US" w:eastAsia="zh-CN"/>
              </w:rPr>
            </w:pPr>
            <w:r>
              <w:rPr>
                <w:rFonts w:hint="default" w:ascii="Times New Roman" w:hAnsi="Times New Roman" w:eastAsia="宋体" w:cs="Times New Roman"/>
                <w:color w:val="FF0000"/>
                <w:sz w:val="21"/>
                <w:szCs w:val="21"/>
                <w:lang w:val="en-US" w:eastAsia="zh-CN"/>
              </w:rPr>
              <w:t>20100</w:t>
            </w:r>
          </w:p>
        </w:tc>
        <w:tc>
          <w:tcPr>
            <w:tcW w:w="260" w:type="pct"/>
            <w:tcBorders>
              <w:tl2br w:val="nil"/>
              <w:tr2bl w:val="nil"/>
            </w:tcBorders>
            <w:shd w:val="clear" w:color="auto" w:fill="auto"/>
            <w:vAlign w:val="center"/>
          </w:tcPr>
          <w:p w14:paraId="00D6BCD6">
            <w:pPr>
              <w:pStyle w:val="128"/>
              <w:spacing w:line="240" w:lineRule="auto"/>
              <w:jc w:val="center"/>
              <w:rPr>
                <w:rFonts w:hint="eastAsia" w:ascii="Times New Roman" w:hAnsi="Times New Roman" w:eastAsia="宋体" w:cs="Times New Roman"/>
                <w:color w:val="FF0000"/>
                <w:sz w:val="21"/>
                <w:szCs w:val="21"/>
                <w:lang w:val="en-US" w:eastAsia="zh-CN"/>
              </w:rPr>
            </w:pPr>
            <w:r>
              <w:rPr>
                <w:rFonts w:hint="default" w:ascii="Times New Roman" w:hAnsi="Times New Roman" w:eastAsia="宋体" w:cs="Times New Roman"/>
                <w:color w:val="FF0000"/>
                <w:sz w:val="21"/>
                <w:szCs w:val="21"/>
                <w:lang w:val="en-US" w:eastAsia="zh-CN"/>
              </w:rPr>
              <w:t>100.00%</w:t>
            </w:r>
          </w:p>
        </w:tc>
        <w:tc>
          <w:tcPr>
            <w:tcW w:w="263" w:type="pct"/>
            <w:tcBorders>
              <w:tl2br w:val="nil"/>
              <w:tr2bl w:val="nil"/>
            </w:tcBorders>
            <w:shd w:val="clear" w:color="auto" w:fill="auto"/>
            <w:vAlign w:val="center"/>
          </w:tcPr>
          <w:p w14:paraId="536EF7CA">
            <w:pPr>
              <w:pStyle w:val="128"/>
              <w:spacing w:line="240" w:lineRule="auto"/>
              <w:jc w:val="center"/>
              <w:rPr>
                <w:rFonts w:hint="eastAsia" w:ascii="Times New Roman" w:hAnsi="Times New Roman" w:eastAsia="宋体" w:cs="Times New Roman"/>
                <w:color w:val="FF0000"/>
                <w:sz w:val="21"/>
                <w:szCs w:val="21"/>
                <w:lang w:val="en-US" w:eastAsia="zh-CN"/>
              </w:rPr>
            </w:pPr>
            <w:r>
              <w:rPr>
                <w:rFonts w:hint="default" w:ascii="Times New Roman" w:hAnsi="Times New Roman" w:eastAsia="宋体" w:cs="Times New Roman"/>
                <w:color w:val="FF0000"/>
                <w:sz w:val="21"/>
                <w:szCs w:val="21"/>
                <w:lang w:val="en-US" w:eastAsia="zh-CN"/>
              </w:rPr>
              <w:t>42950</w:t>
            </w:r>
          </w:p>
        </w:tc>
        <w:tc>
          <w:tcPr>
            <w:tcW w:w="260" w:type="pct"/>
            <w:tcBorders>
              <w:tl2br w:val="nil"/>
              <w:tr2bl w:val="nil"/>
            </w:tcBorders>
            <w:shd w:val="clear" w:color="auto" w:fill="auto"/>
            <w:vAlign w:val="center"/>
          </w:tcPr>
          <w:p w14:paraId="34BAC1E5">
            <w:pPr>
              <w:pStyle w:val="128"/>
              <w:spacing w:line="240" w:lineRule="auto"/>
              <w:jc w:val="center"/>
              <w:rPr>
                <w:rFonts w:hint="eastAsia" w:ascii="Times New Roman" w:hAnsi="Times New Roman" w:eastAsia="宋体" w:cs="Times New Roman"/>
                <w:color w:val="FF0000"/>
                <w:sz w:val="21"/>
                <w:szCs w:val="21"/>
                <w:lang w:val="en-US" w:eastAsia="zh-CN"/>
              </w:rPr>
            </w:pPr>
            <w:r>
              <w:rPr>
                <w:rFonts w:hint="default" w:ascii="Times New Roman" w:hAnsi="Times New Roman" w:eastAsia="宋体" w:cs="Times New Roman"/>
                <w:color w:val="FF0000"/>
                <w:sz w:val="21"/>
                <w:szCs w:val="21"/>
                <w:lang w:val="en-US" w:eastAsia="zh-CN"/>
              </w:rPr>
              <w:t>100.00%</w:t>
            </w:r>
          </w:p>
        </w:tc>
        <w:tc>
          <w:tcPr>
            <w:tcW w:w="263" w:type="pct"/>
            <w:tcBorders>
              <w:tl2br w:val="nil"/>
              <w:tr2bl w:val="nil"/>
            </w:tcBorders>
            <w:shd w:val="clear" w:color="auto" w:fill="auto"/>
            <w:vAlign w:val="center"/>
          </w:tcPr>
          <w:p w14:paraId="3C2DC6C3">
            <w:pPr>
              <w:pStyle w:val="128"/>
              <w:spacing w:line="240" w:lineRule="auto"/>
              <w:jc w:val="center"/>
              <w:rPr>
                <w:rFonts w:hint="eastAsia" w:ascii="Times New Roman" w:hAnsi="Times New Roman" w:eastAsia="宋体" w:cs="Times New Roman"/>
                <w:color w:val="FF0000"/>
                <w:sz w:val="21"/>
                <w:szCs w:val="21"/>
                <w:lang w:val="en-US" w:eastAsia="zh-CN"/>
              </w:rPr>
            </w:pPr>
            <w:r>
              <w:rPr>
                <w:rFonts w:hint="default" w:ascii="Times New Roman" w:hAnsi="Times New Roman" w:eastAsia="宋体" w:cs="Times New Roman"/>
                <w:color w:val="FF0000"/>
                <w:sz w:val="21"/>
                <w:szCs w:val="21"/>
                <w:lang w:val="en-US" w:eastAsia="zh-CN"/>
              </w:rPr>
              <w:t>5140</w:t>
            </w:r>
          </w:p>
        </w:tc>
        <w:tc>
          <w:tcPr>
            <w:tcW w:w="263" w:type="pct"/>
            <w:tcBorders>
              <w:tl2br w:val="nil"/>
              <w:tr2bl w:val="nil"/>
            </w:tcBorders>
            <w:shd w:val="clear" w:color="auto" w:fill="auto"/>
            <w:vAlign w:val="center"/>
          </w:tcPr>
          <w:p w14:paraId="1D212BEB">
            <w:pPr>
              <w:pStyle w:val="128"/>
              <w:spacing w:line="240" w:lineRule="auto"/>
              <w:jc w:val="center"/>
              <w:rPr>
                <w:rFonts w:hint="eastAsia" w:ascii="Times New Roman" w:hAnsi="Times New Roman" w:eastAsia="宋体" w:cs="Times New Roman"/>
                <w:color w:val="FF0000"/>
                <w:sz w:val="21"/>
                <w:szCs w:val="21"/>
                <w:lang w:val="en-US" w:eastAsia="zh-CN"/>
              </w:rPr>
            </w:pPr>
            <w:r>
              <w:rPr>
                <w:rFonts w:hint="default" w:ascii="Times New Roman" w:hAnsi="Times New Roman" w:eastAsia="宋体" w:cs="Times New Roman"/>
                <w:color w:val="FF0000"/>
                <w:sz w:val="21"/>
                <w:szCs w:val="21"/>
                <w:lang w:val="en-US" w:eastAsia="zh-CN"/>
              </w:rPr>
              <w:t>72000</w:t>
            </w:r>
          </w:p>
        </w:tc>
        <w:tc>
          <w:tcPr>
            <w:tcW w:w="1929" w:type="pct"/>
            <w:tcBorders>
              <w:tl2br w:val="nil"/>
              <w:tr2bl w:val="nil"/>
            </w:tcBorders>
            <w:shd w:val="clear" w:color="auto" w:fill="auto"/>
            <w:vAlign w:val="center"/>
          </w:tcPr>
          <w:p w14:paraId="2110F794">
            <w:pPr>
              <w:keepNext w:val="0"/>
              <w:keepLines w:val="0"/>
              <w:widowControl/>
              <w:suppressLineNumbers w:val="0"/>
              <w:spacing w:line="240" w:lineRule="auto"/>
              <w:jc w:val="center"/>
              <w:textAlignment w:val="center"/>
              <w:rPr>
                <w:rFonts w:hint="eastAsia" w:ascii="宋体" w:hAnsi="宋体" w:cs="宋体"/>
                <w:i w:val="0"/>
                <w:iCs w:val="0"/>
                <w:color w:val="FF0000"/>
                <w:kern w:val="0"/>
                <w:sz w:val="21"/>
                <w:szCs w:val="21"/>
                <w:u w:val="none"/>
                <w:lang w:val="en-US" w:eastAsia="zh-CN" w:bidi="ar"/>
              </w:rPr>
            </w:pPr>
            <w:r>
              <w:rPr>
                <w:rFonts w:hint="eastAsia" w:ascii="宋体" w:hAnsi="宋体" w:cs="宋体"/>
                <w:i w:val="0"/>
                <w:iCs w:val="0"/>
                <w:color w:val="FF0000"/>
                <w:kern w:val="0"/>
                <w:sz w:val="21"/>
                <w:szCs w:val="21"/>
                <w:u w:val="none"/>
                <w:lang w:val="en-US" w:eastAsia="zh-CN" w:bidi="ar"/>
              </w:rPr>
              <w:t>/</w:t>
            </w:r>
          </w:p>
        </w:tc>
      </w:tr>
    </w:tbl>
    <w:p w14:paraId="582934E2">
      <w:pPr>
        <w:pStyle w:val="30"/>
        <w:jc w:val="center"/>
        <w:rPr>
          <w:rFonts w:hint="eastAsia" w:ascii="黑体" w:hAnsi="黑体" w:eastAsia="黑体"/>
          <w:snapToGrid w:val="0"/>
          <w:sz w:val="36"/>
          <w:szCs w:val="36"/>
        </w:rPr>
        <w:sectPr>
          <w:pgSz w:w="23811" w:h="16838" w:orient="landscape"/>
          <w:pgMar w:top="1531" w:right="1701" w:bottom="1531" w:left="1701" w:header="851" w:footer="851" w:gutter="0"/>
          <w:pgBorders>
            <w:top w:val="none" w:sz="0" w:space="0"/>
            <w:left w:val="none" w:sz="0" w:space="0"/>
            <w:bottom w:val="none" w:sz="0" w:space="0"/>
            <w:right w:val="none" w:sz="0" w:space="0"/>
          </w:pgBorders>
          <w:pgNumType w:fmt="numberInDash"/>
          <w:cols w:space="720" w:num="1"/>
          <w:docGrid w:linePitch="312" w:charSpace="0"/>
        </w:sectPr>
      </w:pPr>
    </w:p>
    <w:tbl>
      <w:tblPr>
        <w:tblStyle w:val="35"/>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11"/>
        <w:gridCol w:w="8649"/>
      </w:tblGrid>
      <w:tr w14:paraId="422811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67" w:type="dxa"/>
            <w:vAlign w:val="center"/>
          </w:tcPr>
          <w:p w14:paraId="398E95FD">
            <w:pPr>
              <w:pStyle w:val="30"/>
              <w:jc w:val="center"/>
              <w:rPr>
                <w:rFonts w:hint="eastAsia" w:ascii="黑体" w:hAnsi="黑体" w:eastAsia="黑体"/>
                <w:snapToGrid w:val="0"/>
                <w:sz w:val="36"/>
                <w:szCs w:val="36"/>
                <w:vertAlign w:val="baseline"/>
              </w:rPr>
            </w:pPr>
            <w:r>
              <w:rPr>
                <w:rFonts w:hint="eastAsia" w:cs="宋体"/>
                <w:color w:val="000000" w:themeColor="text1"/>
                <w:sz w:val="21"/>
                <w:szCs w:val="21"/>
                <w14:textFill>
                  <w14:solidFill>
                    <w14:schemeClr w14:val="tx1"/>
                  </w14:solidFill>
                </w14:textFill>
              </w:rPr>
              <w:t>建设内容</w:t>
            </w:r>
          </w:p>
        </w:tc>
        <w:tc>
          <w:tcPr>
            <w:tcW w:w="8293" w:type="dxa"/>
            <w:vAlign w:val="top"/>
          </w:tcPr>
          <w:p w14:paraId="2EA8CA27">
            <w:pPr>
              <w:spacing w:line="360" w:lineRule="auto"/>
              <w:rPr>
                <w:color w:val="000000"/>
                <w:sz w:val="24"/>
              </w:rPr>
            </w:pPr>
            <w:r>
              <w:rPr>
                <w:rFonts w:hint="eastAsia"/>
                <w:b/>
                <w:color w:val="000000"/>
                <w:sz w:val="24"/>
              </w:rPr>
              <w:t>5.</w:t>
            </w:r>
            <w:r>
              <w:rPr>
                <w:b/>
                <w:color w:val="000000"/>
                <w:sz w:val="24"/>
              </w:rPr>
              <w:t>主要生产设备</w:t>
            </w:r>
          </w:p>
          <w:p w14:paraId="4ABAD67F">
            <w:pPr>
              <w:spacing w:line="360" w:lineRule="auto"/>
              <w:ind w:firstLine="480" w:firstLineChars="200"/>
              <w:rPr>
                <w:color w:val="000000"/>
                <w:sz w:val="24"/>
              </w:rPr>
            </w:pPr>
            <w:r>
              <w:rPr>
                <w:color w:val="000000"/>
                <w:sz w:val="24"/>
              </w:rPr>
              <w:t>建设项目主要生产设备见表2-</w:t>
            </w:r>
            <w:r>
              <w:rPr>
                <w:rFonts w:hint="eastAsia"/>
                <w:color w:val="000000"/>
                <w:sz w:val="24"/>
              </w:rPr>
              <w:t>5</w:t>
            </w:r>
            <w:r>
              <w:rPr>
                <w:color w:val="000000"/>
                <w:sz w:val="24"/>
              </w:rPr>
              <w:t>。</w:t>
            </w:r>
          </w:p>
          <w:p w14:paraId="63DFE5DF">
            <w:pPr>
              <w:jc w:val="center"/>
              <w:rPr>
                <w:color w:val="FF0000"/>
                <w:sz w:val="24"/>
              </w:rPr>
            </w:pPr>
            <w:r>
              <w:rPr>
                <w:b/>
                <w:color w:val="FF0000"/>
                <w:szCs w:val="21"/>
              </w:rPr>
              <w:t>表2-</w:t>
            </w:r>
            <w:r>
              <w:rPr>
                <w:rFonts w:hint="eastAsia"/>
                <w:b/>
                <w:color w:val="FF0000"/>
                <w:szCs w:val="21"/>
              </w:rPr>
              <w:t>5</w:t>
            </w:r>
            <w:r>
              <w:rPr>
                <w:b/>
                <w:color w:val="FF0000"/>
                <w:szCs w:val="21"/>
              </w:rPr>
              <w:t xml:space="preserve">  建设项目主要生产设备一览表</w:t>
            </w:r>
          </w:p>
          <w:tbl>
            <w:tblPr>
              <w:tblStyle w:val="34"/>
              <w:tblW w:w="5000" w:type="pct"/>
              <w:tblInd w:w="0" w:type="dxa"/>
              <w:tblBorders>
                <w:top w:val="double" w:color="auto" w:sz="4" w:space="0"/>
                <w:left w:val="none" w:color="auto" w:sz="0" w:space="0"/>
                <w:bottom w:val="double" w:color="auto" w:sz="4" w:space="0"/>
                <w:right w:val="none" w:color="auto" w:sz="0" w:space="0"/>
                <w:insideH w:val="single" w:color="auto" w:sz="4" w:space="0"/>
                <w:insideV w:val="single" w:color="auto" w:sz="4" w:space="0"/>
              </w:tblBorders>
              <w:shd w:val="clear" w:color="auto" w:fill="auto"/>
              <w:tblLayout w:type="autofit"/>
              <w:tblCellMar>
                <w:top w:w="15" w:type="dxa"/>
                <w:left w:w="15" w:type="dxa"/>
                <w:bottom w:w="15" w:type="dxa"/>
                <w:right w:w="15" w:type="dxa"/>
              </w:tblCellMar>
            </w:tblPr>
            <w:tblGrid>
              <w:gridCol w:w="660"/>
              <w:gridCol w:w="1595"/>
              <w:gridCol w:w="2688"/>
              <w:gridCol w:w="2059"/>
              <w:gridCol w:w="714"/>
              <w:gridCol w:w="717"/>
            </w:tblGrid>
            <w:tr w14:paraId="20AFA824">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15" w:type="dxa"/>
                  <w:left w:w="15" w:type="dxa"/>
                  <w:bottom w:w="15" w:type="dxa"/>
                  <w:right w:w="15" w:type="dxa"/>
                </w:tblCellMar>
              </w:tblPrEx>
              <w:trPr>
                <w:trHeight w:val="23" w:hRule="atLeast"/>
                <w:tblHeader/>
              </w:trPr>
              <w:tc>
                <w:tcPr>
                  <w:tcW w:w="391" w:type="pct"/>
                  <w:tcBorders>
                    <w:tl2br w:val="nil"/>
                    <w:tr2bl w:val="nil"/>
                  </w:tcBorders>
                  <w:shd w:val="clear" w:color="auto" w:fill="auto"/>
                  <w:tcMar>
                    <w:top w:w="150" w:type="dxa"/>
                    <w:left w:w="0" w:type="dxa"/>
                    <w:bottom w:w="150" w:type="dxa"/>
                    <w:right w:w="150" w:type="dxa"/>
                  </w:tcMar>
                  <w:vAlign w:val="center"/>
                </w:tcPr>
                <w:p w14:paraId="1FC5C4C7">
                  <w:pPr>
                    <w:keepNext w:val="0"/>
                    <w:keepLines w:val="0"/>
                    <w:widowControl/>
                    <w:suppressLineNumbers w:val="0"/>
                    <w:spacing w:line="240" w:lineRule="auto"/>
                    <w:jc w:val="center"/>
                    <w:rPr>
                      <w:rFonts w:hint="default" w:ascii="Times New Roman" w:hAnsi="Times New Roman" w:eastAsia="宋体" w:cs="Times New Roman"/>
                      <w:b/>
                      <w:bCs/>
                      <w:i w:val="0"/>
                      <w:iCs w:val="0"/>
                      <w:caps w:val="0"/>
                      <w:color w:val="FF0000"/>
                      <w:spacing w:val="0"/>
                      <w:sz w:val="21"/>
                      <w:szCs w:val="21"/>
                    </w:rPr>
                  </w:pPr>
                  <w:r>
                    <w:rPr>
                      <w:rFonts w:hint="default" w:ascii="Times New Roman" w:hAnsi="Times New Roman" w:eastAsia="宋体" w:cs="Times New Roman"/>
                      <w:b/>
                      <w:bCs/>
                      <w:i w:val="0"/>
                      <w:iCs w:val="0"/>
                      <w:caps w:val="0"/>
                      <w:color w:val="FF0000"/>
                      <w:spacing w:val="0"/>
                      <w:kern w:val="0"/>
                      <w:sz w:val="21"/>
                      <w:szCs w:val="21"/>
                      <w:lang w:val="en-US" w:eastAsia="zh-CN" w:bidi="ar"/>
                    </w:rPr>
                    <w:t>序号</w:t>
                  </w:r>
                </w:p>
              </w:tc>
              <w:tc>
                <w:tcPr>
                  <w:tcW w:w="945" w:type="pct"/>
                  <w:tcBorders>
                    <w:tl2br w:val="nil"/>
                    <w:tr2bl w:val="nil"/>
                  </w:tcBorders>
                  <w:shd w:val="clear" w:color="auto" w:fill="auto"/>
                  <w:tcMar>
                    <w:top w:w="150" w:type="dxa"/>
                    <w:left w:w="150" w:type="dxa"/>
                    <w:bottom w:w="150" w:type="dxa"/>
                    <w:right w:w="150" w:type="dxa"/>
                  </w:tcMar>
                  <w:vAlign w:val="center"/>
                </w:tcPr>
                <w:p w14:paraId="1A54119C">
                  <w:pPr>
                    <w:keepNext w:val="0"/>
                    <w:keepLines w:val="0"/>
                    <w:widowControl/>
                    <w:suppressLineNumbers w:val="0"/>
                    <w:spacing w:line="240" w:lineRule="auto"/>
                    <w:jc w:val="center"/>
                    <w:rPr>
                      <w:rFonts w:hint="default" w:ascii="Times New Roman" w:hAnsi="Times New Roman" w:eastAsia="宋体" w:cs="Times New Roman"/>
                      <w:b/>
                      <w:bCs/>
                      <w:i w:val="0"/>
                      <w:iCs w:val="0"/>
                      <w:caps w:val="0"/>
                      <w:color w:val="FF0000"/>
                      <w:spacing w:val="0"/>
                      <w:sz w:val="21"/>
                      <w:szCs w:val="21"/>
                    </w:rPr>
                  </w:pPr>
                  <w:r>
                    <w:rPr>
                      <w:rStyle w:val="37"/>
                      <w:rFonts w:hint="default" w:ascii="Times New Roman" w:hAnsi="Times New Roman" w:eastAsia="宋体" w:cs="Times New Roman"/>
                      <w:b/>
                      <w:bCs/>
                      <w:i w:val="0"/>
                      <w:iCs w:val="0"/>
                      <w:caps w:val="0"/>
                      <w:color w:val="FF0000"/>
                      <w:spacing w:val="0"/>
                      <w:kern w:val="0"/>
                      <w:sz w:val="21"/>
                      <w:szCs w:val="21"/>
                      <w:lang w:val="en-US" w:eastAsia="zh-CN" w:bidi="ar"/>
                    </w:rPr>
                    <w:t>新设备类型</w:t>
                  </w:r>
                </w:p>
              </w:tc>
              <w:tc>
                <w:tcPr>
                  <w:tcW w:w="1593" w:type="pct"/>
                  <w:tcBorders>
                    <w:tl2br w:val="nil"/>
                    <w:tr2bl w:val="nil"/>
                  </w:tcBorders>
                  <w:shd w:val="clear" w:color="auto" w:fill="auto"/>
                  <w:tcMar>
                    <w:top w:w="150" w:type="dxa"/>
                    <w:left w:w="150" w:type="dxa"/>
                    <w:bottom w:w="150" w:type="dxa"/>
                    <w:right w:w="150" w:type="dxa"/>
                  </w:tcMar>
                  <w:vAlign w:val="center"/>
                </w:tcPr>
                <w:p w14:paraId="0C55D173">
                  <w:pPr>
                    <w:keepNext w:val="0"/>
                    <w:keepLines w:val="0"/>
                    <w:widowControl/>
                    <w:suppressLineNumbers w:val="0"/>
                    <w:spacing w:line="240" w:lineRule="auto"/>
                    <w:jc w:val="center"/>
                    <w:rPr>
                      <w:rFonts w:hint="default" w:ascii="Times New Roman" w:hAnsi="Times New Roman" w:eastAsia="宋体" w:cs="Times New Roman"/>
                      <w:b/>
                      <w:bCs/>
                      <w:i w:val="0"/>
                      <w:iCs w:val="0"/>
                      <w:caps w:val="0"/>
                      <w:color w:val="FF0000"/>
                      <w:spacing w:val="0"/>
                      <w:sz w:val="21"/>
                      <w:szCs w:val="21"/>
                    </w:rPr>
                  </w:pPr>
                  <w:r>
                    <w:rPr>
                      <w:rStyle w:val="37"/>
                      <w:rFonts w:hint="default" w:ascii="Times New Roman" w:hAnsi="Times New Roman" w:eastAsia="宋体" w:cs="Times New Roman"/>
                      <w:b/>
                      <w:bCs/>
                      <w:i w:val="0"/>
                      <w:iCs w:val="0"/>
                      <w:caps w:val="0"/>
                      <w:color w:val="FF0000"/>
                      <w:spacing w:val="0"/>
                      <w:kern w:val="0"/>
                      <w:sz w:val="21"/>
                      <w:szCs w:val="21"/>
                      <w:lang w:val="en-US" w:eastAsia="zh-CN" w:bidi="ar"/>
                    </w:rPr>
                    <w:t>设备名称</w:t>
                  </w:r>
                </w:p>
              </w:tc>
              <w:tc>
                <w:tcPr>
                  <w:tcW w:w="1220" w:type="pct"/>
                  <w:tcBorders>
                    <w:tl2br w:val="nil"/>
                    <w:tr2bl w:val="nil"/>
                  </w:tcBorders>
                  <w:shd w:val="clear" w:color="auto" w:fill="auto"/>
                  <w:tcMar>
                    <w:top w:w="150" w:type="dxa"/>
                    <w:left w:w="150" w:type="dxa"/>
                    <w:bottom w:w="150" w:type="dxa"/>
                    <w:right w:w="150" w:type="dxa"/>
                  </w:tcMar>
                  <w:vAlign w:val="center"/>
                </w:tcPr>
                <w:p w14:paraId="6B979612">
                  <w:pPr>
                    <w:keepNext w:val="0"/>
                    <w:keepLines w:val="0"/>
                    <w:widowControl/>
                    <w:suppressLineNumbers w:val="0"/>
                    <w:spacing w:line="240" w:lineRule="auto"/>
                    <w:jc w:val="center"/>
                    <w:rPr>
                      <w:rFonts w:hint="default" w:ascii="Times New Roman" w:hAnsi="Times New Roman" w:eastAsia="宋体" w:cs="Times New Roman"/>
                      <w:b/>
                      <w:bCs/>
                      <w:i w:val="0"/>
                      <w:iCs w:val="0"/>
                      <w:caps w:val="0"/>
                      <w:color w:val="FF0000"/>
                      <w:spacing w:val="0"/>
                      <w:sz w:val="21"/>
                      <w:szCs w:val="21"/>
                    </w:rPr>
                  </w:pPr>
                  <w:r>
                    <w:rPr>
                      <w:rFonts w:hint="default" w:ascii="Times New Roman" w:hAnsi="Times New Roman" w:eastAsia="宋体" w:cs="Times New Roman"/>
                      <w:b/>
                      <w:bCs/>
                      <w:i w:val="0"/>
                      <w:iCs w:val="0"/>
                      <w:caps w:val="0"/>
                      <w:color w:val="FF0000"/>
                      <w:spacing w:val="0"/>
                      <w:kern w:val="0"/>
                      <w:sz w:val="21"/>
                      <w:szCs w:val="21"/>
                      <w:lang w:val="en-US" w:eastAsia="zh-CN" w:bidi="ar"/>
                    </w:rPr>
                    <w:t>型号</w:t>
                  </w:r>
                </w:p>
              </w:tc>
              <w:tc>
                <w:tcPr>
                  <w:tcW w:w="423" w:type="pct"/>
                  <w:tcBorders>
                    <w:tl2br w:val="nil"/>
                    <w:tr2bl w:val="nil"/>
                  </w:tcBorders>
                  <w:shd w:val="clear" w:color="auto" w:fill="auto"/>
                  <w:tcMar>
                    <w:top w:w="150" w:type="dxa"/>
                    <w:left w:w="150" w:type="dxa"/>
                    <w:bottom w:w="150" w:type="dxa"/>
                    <w:right w:w="150" w:type="dxa"/>
                  </w:tcMar>
                  <w:vAlign w:val="center"/>
                </w:tcPr>
                <w:p w14:paraId="336B8730">
                  <w:pPr>
                    <w:keepNext w:val="0"/>
                    <w:keepLines w:val="0"/>
                    <w:widowControl/>
                    <w:suppressLineNumbers w:val="0"/>
                    <w:spacing w:line="240" w:lineRule="auto"/>
                    <w:jc w:val="center"/>
                    <w:rPr>
                      <w:rFonts w:hint="default" w:ascii="Times New Roman" w:hAnsi="Times New Roman" w:eastAsia="宋体" w:cs="Times New Roman"/>
                      <w:b/>
                      <w:bCs/>
                      <w:i w:val="0"/>
                      <w:iCs w:val="0"/>
                      <w:caps w:val="0"/>
                      <w:color w:val="FF0000"/>
                      <w:spacing w:val="0"/>
                      <w:sz w:val="21"/>
                      <w:szCs w:val="21"/>
                    </w:rPr>
                  </w:pPr>
                  <w:r>
                    <w:rPr>
                      <w:rFonts w:hint="default" w:ascii="Times New Roman" w:hAnsi="Times New Roman" w:eastAsia="宋体" w:cs="Times New Roman"/>
                      <w:b/>
                      <w:bCs/>
                      <w:i w:val="0"/>
                      <w:iCs w:val="0"/>
                      <w:caps w:val="0"/>
                      <w:color w:val="FF0000"/>
                      <w:spacing w:val="0"/>
                      <w:kern w:val="0"/>
                      <w:sz w:val="21"/>
                      <w:szCs w:val="21"/>
                      <w:lang w:val="en-US" w:eastAsia="zh-CN" w:bidi="ar"/>
                    </w:rPr>
                    <w:t>单位</w:t>
                  </w:r>
                </w:p>
              </w:tc>
              <w:tc>
                <w:tcPr>
                  <w:tcW w:w="425" w:type="pct"/>
                  <w:tcBorders>
                    <w:tl2br w:val="nil"/>
                    <w:tr2bl w:val="nil"/>
                  </w:tcBorders>
                  <w:shd w:val="clear" w:color="auto" w:fill="auto"/>
                  <w:tcMar>
                    <w:top w:w="150" w:type="dxa"/>
                    <w:left w:w="150" w:type="dxa"/>
                    <w:bottom w:w="150" w:type="dxa"/>
                    <w:right w:w="150" w:type="dxa"/>
                  </w:tcMar>
                  <w:vAlign w:val="center"/>
                </w:tcPr>
                <w:p w14:paraId="2C9DFC19">
                  <w:pPr>
                    <w:keepNext w:val="0"/>
                    <w:keepLines w:val="0"/>
                    <w:widowControl/>
                    <w:suppressLineNumbers w:val="0"/>
                    <w:spacing w:line="240" w:lineRule="auto"/>
                    <w:jc w:val="center"/>
                    <w:rPr>
                      <w:rFonts w:hint="default" w:ascii="Times New Roman" w:hAnsi="Times New Roman" w:eastAsia="宋体" w:cs="Times New Roman"/>
                      <w:b/>
                      <w:bCs/>
                      <w:i w:val="0"/>
                      <w:iCs w:val="0"/>
                      <w:caps w:val="0"/>
                      <w:color w:val="FF0000"/>
                      <w:spacing w:val="0"/>
                      <w:sz w:val="21"/>
                      <w:szCs w:val="21"/>
                    </w:rPr>
                  </w:pPr>
                  <w:r>
                    <w:rPr>
                      <w:rFonts w:hint="default" w:ascii="Times New Roman" w:hAnsi="Times New Roman" w:eastAsia="宋体" w:cs="Times New Roman"/>
                      <w:b/>
                      <w:bCs/>
                      <w:i w:val="0"/>
                      <w:iCs w:val="0"/>
                      <w:caps w:val="0"/>
                      <w:color w:val="FF0000"/>
                      <w:spacing w:val="0"/>
                      <w:kern w:val="0"/>
                      <w:sz w:val="21"/>
                      <w:szCs w:val="21"/>
                      <w:lang w:val="en-US" w:eastAsia="zh-CN" w:bidi="ar"/>
                    </w:rPr>
                    <w:t>数量</w:t>
                  </w:r>
                </w:p>
              </w:tc>
            </w:tr>
            <w:tr w14:paraId="326F8340">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shd w:val="clear" w:color="auto" w:fill="auto"/>
                <w:tblCellMar>
                  <w:top w:w="15" w:type="dxa"/>
                  <w:left w:w="15" w:type="dxa"/>
                  <w:bottom w:w="15" w:type="dxa"/>
                  <w:right w:w="15" w:type="dxa"/>
                </w:tblCellMar>
              </w:tblPrEx>
              <w:trPr>
                <w:trHeight w:val="23" w:hRule="atLeast"/>
                <w:tblHeader/>
              </w:trPr>
              <w:tc>
                <w:tcPr>
                  <w:tcW w:w="391" w:type="pct"/>
                  <w:tcBorders>
                    <w:tl2br w:val="nil"/>
                    <w:tr2bl w:val="nil"/>
                  </w:tcBorders>
                  <w:shd w:val="clear" w:color="auto" w:fill="auto"/>
                  <w:tcMar>
                    <w:top w:w="150" w:type="dxa"/>
                    <w:left w:w="0" w:type="dxa"/>
                    <w:bottom w:w="150" w:type="dxa"/>
                    <w:right w:w="150" w:type="dxa"/>
                  </w:tcMar>
                  <w:vAlign w:val="center"/>
                </w:tcPr>
                <w:p w14:paraId="339D300E">
                  <w:pPr>
                    <w:keepNext w:val="0"/>
                    <w:keepLines w:val="0"/>
                    <w:widowControl/>
                    <w:suppressLineNumbers w:val="0"/>
                    <w:spacing w:line="240" w:lineRule="auto"/>
                    <w:jc w:val="center"/>
                    <w:rPr>
                      <w:rFonts w:hint="default" w:ascii="Times New Roman" w:hAnsi="Times New Roman" w:eastAsia="宋体" w:cs="Times New Roman"/>
                      <w:i w:val="0"/>
                      <w:iCs w:val="0"/>
                      <w:caps w:val="0"/>
                      <w:color w:val="FF0000"/>
                      <w:spacing w:val="0"/>
                      <w:sz w:val="21"/>
                      <w:szCs w:val="21"/>
                    </w:rPr>
                  </w:pPr>
                  <w:r>
                    <w:rPr>
                      <w:rFonts w:hint="default" w:ascii="Times New Roman" w:hAnsi="Times New Roman" w:eastAsia="宋体" w:cs="Times New Roman"/>
                      <w:i w:val="0"/>
                      <w:iCs w:val="0"/>
                      <w:caps w:val="0"/>
                      <w:color w:val="FF0000"/>
                      <w:spacing w:val="0"/>
                      <w:kern w:val="0"/>
                      <w:sz w:val="21"/>
                      <w:szCs w:val="21"/>
                      <w:lang w:val="en-US" w:eastAsia="zh-CN" w:bidi="ar"/>
                    </w:rPr>
                    <w:t>1</w:t>
                  </w:r>
                </w:p>
              </w:tc>
              <w:tc>
                <w:tcPr>
                  <w:tcW w:w="945" w:type="pct"/>
                  <w:tcBorders>
                    <w:tl2br w:val="nil"/>
                    <w:tr2bl w:val="nil"/>
                  </w:tcBorders>
                  <w:shd w:val="clear" w:color="auto" w:fill="auto"/>
                  <w:tcMar>
                    <w:top w:w="150" w:type="dxa"/>
                    <w:left w:w="150" w:type="dxa"/>
                    <w:bottom w:w="150" w:type="dxa"/>
                    <w:right w:w="150" w:type="dxa"/>
                  </w:tcMar>
                  <w:vAlign w:val="center"/>
                </w:tcPr>
                <w:p w14:paraId="2979DA2A">
                  <w:pPr>
                    <w:keepNext w:val="0"/>
                    <w:keepLines w:val="0"/>
                    <w:widowControl/>
                    <w:suppressLineNumbers w:val="0"/>
                    <w:spacing w:line="240" w:lineRule="auto"/>
                    <w:jc w:val="center"/>
                    <w:rPr>
                      <w:rFonts w:hint="default" w:ascii="Times New Roman" w:hAnsi="Times New Roman" w:eastAsia="宋体" w:cs="Times New Roman"/>
                      <w:i w:val="0"/>
                      <w:iCs w:val="0"/>
                      <w:caps w:val="0"/>
                      <w:color w:val="FF0000"/>
                      <w:spacing w:val="0"/>
                      <w:sz w:val="21"/>
                      <w:szCs w:val="21"/>
                    </w:rPr>
                  </w:pPr>
                  <w:r>
                    <w:rPr>
                      <w:rStyle w:val="37"/>
                      <w:rFonts w:hint="default" w:ascii="Times New Roman" w:hAnsi="Times New Roman" w:eastAsia="宋体" w:cs="Times New Roman"/>
                      <w:b/>
                      <w:bCs/>
                      <w:i w:val="0"/>
                      <w:iCs w:val="0"/>
                      <w:caps w:val="0"/>
                      <w:color w:val="FF0000"/>
                      <w:spacing w:val="0"/>
                      <w:kern w:val="0"/>
                      <w:sz w:val="21"/>
                      <w:szCs w:val="21"/>
                      <w:lang w:val="en-US" w:eastAsia="zh-CN" w:bidi="ar"/>
                    </w:rPr>
                    <w:t>进场管理设备</w:t>
                  </w:r>
                </w:p>
              </w:tc>
              <w:tc>
                <w:tcPr>
                  <w:tcW w:w="1593" w:type="pct"/>
                  <w:tcBorders>
                    <w:tl2br w:val="nil"/>
                    <w:tr2bl w:val="nil"/>
                  </w:tcBorders>
                  <w:shd w:val="clear" w:color="auto" w:fill="auto"/>
                  <w:tcMar>
                    <w:top w:w="150" w:type="dxa"/>
                    <w:left w:w="150" w:type="dxa"/>
                    <w:bottom w:w="150" w:type="dxa"/>
                    <w:right w:w="150" w:type="dxa"/>
                  </w:tcMar>
                  <w:vAlign w:val="center"/>
                </w:tcPr>
                <w:p w14:paraId="7C6F63DD">
                  <w:pPr>
                    <w:keepNext w:val="0"/>
                    <w:keepLines w:val="0"/>
                    <w:widowControl/>
                    <w:suppressLineNumbers w:val="0"/>
                    <w:spacing w:line="240" w:lineRule="auto"/>
                    <w:jc w:val="center"/>
                    <w:rPr>
                      <w:rFonts w:hint="default" w:ascii="Times New Roman" w:hAnsi="Times New Roman" w:eastAsia="宋体" w:cs="Times New Roman"/>
                      <w:i w:val="0"/>
                      <w:iCs w:val="0"/>
                      <w:caps w:val="0"/>
                      <w:color w:val="FF0000"/>
                      <w:spacing w:val="0"/>
                      <w:sz w:val="21"/>
                      <w:szCs w:val="21"/>
                    </w:rPr>
                  </w:pPr>
                  <w:r>
                    <w:rPr>
                      <w:rFonts w:hint="default" w:ascii="Times New Roman" w:hAnsi="Times New Roman" w:eastAsia="宋体" w:cs="Times New Roman"/>
                      <w:i w:val="0"/>
                      <w:iCs w:val="0"/>
                      <w:caps w:val="0"/>
                      <w:color w:val="FF0000"/>
                      <w:spacing w:val="0"/>
                      <w:kern w:val="0"/>
                      <w:sz w:val="21"/>
                      <w:szCs w:val="21"/>
                      <w:lang w:val="en-US" w:eastAsia="zh-CN" w:bidi="ar"/>
                    </w:rPr>
                    <w:t>小地磅</w:t>
                  </w:r>
                </w:p>
              </w:tc>
              <w:tc>
                <w:tcPr>
                  <w:tcW w:w="1220" w:type="pct"/>
                  <w:tcBorders>
                    <w:tl2br w:val="nil"/>
                    <w:tr2bl w:val="nil"/>
                  </w:tcBorders>
                  <w:shd w:val="clear" w:color="auto" w:fill="auto"/>
                  <w:tcMar>
                    <w:top w:w="150" w:type="dxa"/>
                    <w:left w:w="150" w:type="dxa"/>
                    <w:bottom w:w="150" w:type="dxa"/>
                    <w:right w:w="150" w:type="dxa"/>
                  </w:tcMar>
                  <w:vAlign w:val="center"/>
                </w:tcPr>
                <w:p w14:paraId="18E0B4E8">
                  <w:pPr>
                    <w:keepNext w:val="0"/>
                    <w:keepLines w:val="0"/>
                    <w:widowControl/>
                    <w:suppressLineNumbers w:val="0"/>
                    <w:spacing w:line="240" w:lineRule="auto"/>
                    <w:jc w:val="center"/>
                    <w:rPr>
                      <w:rFonts w:hint="default" w:ascii="Times New Roman" w:hAnsi="Times New Roman" w:eastAsia="宋体" w:cs="Times New Roman"/>
                      <w:i w:val="0"/>
                      <w:iCs w:val="0"/>
                      <w:caps w:val="0"/>
                      <w:color w:val="FF0000"/>
                      <w:spacing w:val="0"/>
                      <w:sz w:val="21"/>
                      <w:szCs w:val="21"/>
                    </w:rPr>
                  </w:pPr>
                  <w:r>
                    <w:rPr>
                      <w:rFonts w:hint="default" w:ascii="Times New Roman" w:hAnsi="Times New Roman" w:eastAsia="宋体" w:cs="Times New Roman"/>
                      <w:i w:val="0"/>
                      <w:iCs w:val="0"/>
                      <w:caps w:val="0"/>
                      <w:color w:val="FF0000"/>
                      <w:spacing w:val="0"/>
                      <w:kern w:val="0"/>
                      <w:sz w:val="21"/>
                      <w:szCs w:val="21"/>
                      <w:lang w:val="en-US" w:eastAsia="zh-CN" w:bidi="ar"/>
                    </w:rPr>
                    <w:t>2吨</w:t>
                  </w:r>
                </w:p>
              </w:tc>
              <w:tc>
                <w:tcPr>
                  <w:tcW w:w="423" w:type="pct"/>
                  <w:tcBorders>
                    <w:tl2br w:val="nil"/>
                    <w:tr2bl w:val="nil"/>
                  </w:tcBorders>
                  <w:shd w:val="clear" w:color="auto" w:fill="auto"/>
                  <w:tcMar>
                    <w:top w:w="150" w:type="dxa"/>
                    <w:left w:w="150" w:type="dxa"/>
                    <w:bottom w:w="150" w:type="dxa"/>
                    <w:right w:w="150" w:type="dxa"/>
                  </w:tcMar>
                  <w:vAlign w:val="center"/>
                </w:tcPr>
                <w:p w14:paraId="5AFE46C8">
                  <w:pPr>
                    <w:keepNext w:val="0"/>
                    <w:keepLines w:val="0"/>
                    <w:widowControl/>
                    <w:suppressLineNumbers w:val="0"/>
                    <w:spacing w:line="240" w:lineRule="auto"/>
                    <w:jc w:val="center"/>
                    <w:rPr>
                      <w:rFonts w:hint="default" w:ascii="Times New Roman" w:hAnsi="Times New Roman" w:eastAsia="宋体" w:cs="Times New Roman"/>
                      <w:i w:val="0"/>
                      <w:iCs w:val="0"/>
                      <w:caps w:val="0"/>
                      <w:color w:val="FF0000"/>
                      <w:spacing w:val="0"/>
                      <w:sz w:val="21"/>
                      <w:szCs w:val="21"/>
                    </w:rPr>
                  </w:pPr>
                  <w:r>
                    <w:rPr>
                      <w:rFonts w:hint="default" w:ascii="Times New Roman" w:hAnsi="Times New Roman" w:eastAsia="宋体" w:cs="Times New Roman"/>
                      <w:i w:val="0"/>
                      <w:iCs w:val="0"/>
                      <w:caps w:val="0"/>
                      <w:color w:val="FF0000"/>
                      <w:spacing w:val="0"/>
                      <w:kern w:val="0"/>
                      <w:sz w:val="21"/>
                      <w:szCs w:val="21"/>
                      <w:lang w:val="en-US" w:eastAsia="zh-CN" w:bidi="ar"/>
                    </w:rPr>
                    <w:t>台</w:t>
                  </w:r>
                </w:p>
              </w:tc>
              <w:tc>
                <w:tcPr>
                  <w:tcW w:w="425" w:type="pct"/>
                  <w:tcBorders>
                    <w:tl2br w:val="nil"/>
                    <w:tr2bl w:val="nil"/>
                  </w:tcBorders>
                  <w:shd w:val="clear" w:color="auto" w:fill="auto"/>
                  <w:tcMar>
                    <w:top w:w="150" w:type="dxa"/>
                    <w:left w:w="150" w:type="dxa"/>
                    <w:bottom w:w="150" w:type="dxa"/>
                    <w:right w:w="150" w:type="dxa"/>
                  </w:tcMar>
                  <w:vAlign w:val="center"/>
                </w:tcPr>
                <w:p w14:paraId="27E3F6AF">
                  <w:pPr>
                    <w:keepNext w:val="0"/>
                    <w:keepLines w:val="0"/>
                    <w:widowControl/>
                    <w:suppressLineNumbers w:val="0"/>
                    <w:spacing w:line="240" w:lineRule="auto"/>
                    <w:jc w:val="center"/>
                    <w:rPr>
                      <w:rFonts w:hint="default" w:ascii="Times New Roman" w:hAnsi="Times New Roman" w:eastAsia="宋体" w:cs="Times New Roman"/>
                      <w:i w:val="0"/>
                      <w:iCs w:val="0"/>
                      <w:caps w:val="0"/>
                      <w:color w:val="FF0000"/>
                      <w:spacing w:val="0"/>
                      <w:sz w:val="21"/>
                      <w:szCs w:val="21"/>
                    </w:rPr>
                  </w:pPr>
                  <w:r>
                    <w:rPr>
                      <w:rFonts w:hint="default" w:ascii="Times New Roman" w:hAnsi="Times New Roman" w:eastAsia="宋体" w:cs="Times New Roman"/>
                      <w:i w:val="0"/>
                      <w:iCs w:val="0"/>
                      <w:caps w:val="0"/>
                      <w:color w:val="FF0000"/>
                      <w:spacing w:val="0"/>
                      <w:kern w:val="0"/>
                      <w:sz w:val="21"/>
                      <w:szCs w:val="21"/>
                      <w:lang w:val="en-US" w:eastAsia="zh-CN" w:bidi="ar"/>
                    </w:rPr>
                    <w:t>1</w:t>
                  </w:r>
                </w:p>
              </w:tc>
            </w:tr>
            <w:tr w14:paraId="3E842317">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shd w:val="clear" w:color="auto" w:fill="auto"/>
                <w:tblCellMar>
                  <w:top w:w="15" w:type="dxa"/>
                  <w:left w:w="15" w:type="dxa"/>
                  <w:bottom w:w="15" w:type="dxa"/>
                  <w:right w:w="15" w:type="dxa"/>
                </w:tblCellMar>
              </w:tblPrEx>
              <w:trPr>
                <w:trHeight w:val="23" w:hRule="atLeast"/>
                <w:tblHeader/>
              </w:trPr>
              <w:tc>
                <w:tcPr>
                  <w:tcW w:w="391" w:type="pct"/>
                  <w:tcBorders>
                    <w:tl2br w:val="nil"/>
                    <w:tr2bl w:val="nil"/>
                  </w:tcBorders>
                  <w:shd w:val="clear" w:color="auto" w:fill="auto"/>
                  <w:tcMar>
                    <w:top w:w="150" w:type="dxa"/>
                    <w:left w:w="0" w:type="dxa"/>
                    <w:bottom w:w="150" w:type="dxa"/>
                    <w:right w:w="150" w:type="dxa"/>
                  </w:tcMar>
                  <w:vAlign w:val="center"/>
                </w:tcPr>
                <w:p w14:paraId="52F702AF">
                  <w:pPr>
                    <w:keepNext w:val="0"/>
                    <w:keepLines w:val="0"/>
                    <w:widowControl/>
                    <w:suppressLineNumbers w:val="0"/>
                    <w:spacing w:line="240" w:lineRule="auto"/>
                    <w:jc w:val="center"/>
                    <w:rPr>
                      <w:rFonts w:hint="default" w:ascii="Times New Roman" w:hAnsi="Times New Roman" w:eastAsia="宋体" w:cs="Times New Roman"/>
                      <w:i w:val="0"/>
                      <w:iCs w:val="0"/>
                      <w:caps w:val="0"/>
                      <w:color w:val="FF0000"/>
                      <w:spacing w:val="0"/>
                      <w:sz w:val="21"/>
                      <w:szCs w:val="21"/>
                    </w:rPr>
                  </w:pPr>
                  <w:r>
                    <w:rPr>
                      <w:rFonts w:hint="default" w:ascii="Times New Roman" w:hAnsi="Times New Roman" w:eastAsia="宋体" w:cs="Times New Roman"/>
                      <w:i w:val="0"/>
                      <w:iCs w:val="0"/>
                      <w:caps w:val="0"/>
                      <w:color w:val="FF0000"/>
                      <w:spacing w:val="0"/>
                      <w:kern w:val="0"/>
                      <w:sz w:val="21"/>
                      <w:szCs w:val="21"/>
                      <w:lang w:val="en-US" w:eastAsia="zh-CN" w:bidi="ar"/>
                    </w:rPr>
                    <w:t>2</w:t>
                  </w:r>
                </w:p>
              </w:tc>
              <w:tc>
                <w:tcPr>
                  <w:tcW w:w="945" w:type="pct"/>
                  <w:tcBorders>
                    <w:tl2br w:val="nil"/>
                    <w:tr2bl w:val="nil"/>
                  </w:tcBorders>
                  <w:shd w:val="clear" w:color="auto" w:fill="auto"/>
                  <w:tcMar>
                    <w:top w:w="150" w:type="dxa"/>
                    <w:left w:w="150" w:type="dxa"/>
                    <w:bottom w:w="150" w:type="dxa"/>
                    <w:right w:w="150" w:type="dxa"/>
                  </w:tcMar>
                  <w:vAlign w:val="center"/>
                </w:tcPr>
                <w:p w14:paraId="62EA7B96">
                  <w:pPr>
                    <w:spacing w:line="240" w:lineRule="auto"/>
                    <w:jc w:val="center"/>
                    <w:rPr>
                      <w:rFonts w:hint="default" w:ascii="Times New Roman" w:hAnsi="Times New Roman" w:eastAsia="宋体" w:cs="Times New Roman"/>
                      <w:i w:val="0"/>
                      <w:iCs w:val="0"/>
                      <w:caps w:val="0"/>
                      <w:color w:val="FF0000"/>
                      <w:spacing w:val="0"/>
                      <w:sz w:val="21"/>
                      <w:szCs w:val="21"/>
                    </w:rPr>
                  </w:pPr>
                </w:p>
              </w:tc>
              <w:tc>
                <w:tcPr>
                  <w:tcW w:w="1593" w:type="pct"/>
                  <w:tcBorders>
                    <w:tl2br w:val="nil"/>
                    <w:tr2bl w:val="nil"/>
                  </w:tcBorders>
                  <w:shd w:val="clear" w:color="auto" w:fill="auto"/>
                  <w:tcMar>
                    <w:top w:w="150" w:type="dxa"/>
                    <w:left w:w="150" w:type="dxa"/>
                    <w:bottom w:w="150" w:type="dxa"/>
                    <w:right w:w="150" w:type="dxa"/>
                  </w:tcMar>
                  <w:vAlign w:val="center"/>
                </w:tcPr>
                <w:p w14:paraId="1B7A7529">
                  <w:pPr>
                    <w:keepNext w:val="0"/>
                    <w:keepLines w:val="0"/>
                    <w:widowControl/>
                    <w:suppressLineNumbers w:val="0"/>
                    <w:spacing w:line="240" w:lineRule="auto"/>
                    <w:jc w:val="center"/>
                    <w:rPr>
                      <w:rFonts w:hint="default" w:ascii="Times New Roman" w:hAnsi="Times New Roman" w:eastAsia="宋体" w:cs="Times New Roman"/>
                      <w:i w:val="0"/>
                      <w:iCs w:val="0"/>
                      <w:caps w:val="0"/>
                      <w:color w:val="FF0000"/>
                      <w:spacing w:val="0"/>
                      <w:sz w:val="21"/>
                      <w:szCs w:val="21"/>
                    </w:rPr>
                  </w:pPr>
                  <w:r>
                    <w:rPr>
                      <w:rFonts w:hint="default" w:ascii="Times New Roman" w:hAnsi="Times New Roman" w:eastAsia="宋体" w:cs="Times New Roman"/>
                      <w:i w:val="0"/>
                      <w:iCs w:val="0"/>
                      <w:caps w:val="0"/>
                      <w:color w:val="FF0000"/>
                      <w:spacing w:val="0"/>
                      <w:kern w:val="0"/>
                      <w:sz w:val="21"/>
                      <w:szCs w:val="21"/>
                      <w:lang w:val="en-US" w:eastAsia="zh-CN" w:bidi="ar"/>
                    </w:rPr>
                    <w:t>大地磅</w:t>
                  </w:r>
                </w:p>
              </w:tc>
              <w:tc>
                <w:tcPr>
                  <w:tcW w:w="1220" w:type="pct"/>
                  <w:tcBorders>
                    <w:tl2br w:val="nil"/>
                    <w:tr2bl w:val="nil"/>
                  </w:tcBorders>
                  <w:shd w:val="clear" w:color="auto" w:fill="auto"/>
                  <w:tcMar>
                    <w:top w:w="150" w:type="dxa"/>
                    <w:left w:w="150" w:type="dxa"/>
                    <w:bottom w:w="150" w:type="dxa"/>
                    <w:right w:w="150" w:type="dxa"/>
                  </w:tcMar>
                  <w:vAlign w:val="center"/>
                </w:tcPr>
                <w:p w14:paraId="297D2E79">
                  <w:pPr>
                    <w:keepNext w:val="0"/>
                    <w:keepLines w:val="0"/>
                    <w:widowControl/>
                    <w:suppressLineNumbers w:val="0"/>
                    <w:spacing w:line="240" w:lineRule="auto"/>
                    <w:jc w:val="center"/>
                    <w:rPr>
                      <w:rFonts w:hint="default" w:ascii="Times New Roman" w:hAnsi="Times New Roman" w:eastAsia="宋体" w:cs="Times New Roman"/>
                      <w:i w:val="0"/>
                      <w:iCs w:val="0"/>
                      <w:caps w:val="0"/>
                      <w:color w:val="FF0000"/>
                      <w:spacing w:val="0"/>
                      <w:sz w:val="21"/>
                      <w:szCs w:val="21"/>
                    </w:rPr>
                  </w:pPr>
                  <w:r>
                    <w:rPr>
                      <w:rFonts w:hint="default" w:ascii="Times New Roman" w:hAnsi="Times New Roman" w:eastAsia="宋体" w:cs="Times New Roman"/>
                      <w:i w:val="0"/>
                      <w:iCs w:val="0"/>
                      <w:caps w:val="0"/>
                      <w:color w:val="FF0000"/>
                      <w:spacing w:val="0"/>
                      <w:kern w:val="0"/>
                      <w:sz w:val="21"/>
                      <w:szCs w:val="21"/>
                      <w:lang w:val="en-US" w:eastAsia="zh-CN" w:bidi="ar"/>
                    </w:rPr>
                    <w:t>100吨</w:t>
                  </w:r>
                </w:p>
              </w:tc>
              <w:tc>
                <w:tcPr>
                  <w:tcW w:w="423" w:type="pct"/>
                  <w:tcBorders>
                    <w:tl2br w:val="nil"/>
                    <w:tr2bl w:val="nil"/>
                  </w:tcBorders>
                  <w:shd w:val="clear" w:color="auto" w:fill="auto"/>
                  <w:tcMar>
                    <w:top w:w="150" w:type="dxa"/>
                    <w:left w:w="150" w:type="dxa"/>
                    <w:bottom w:w="150" w:type="dxa"/>
                    <w:right w:w="150" w:type="dxa"/>
                  </w:tcMar>
                  <w:vAlign w:val="center"/>
                </w:tcPr>
                <w:p w14:paraId="397F6F55">
                  <w:pPr>
                    <w:keepNext w:val="0"/>
                    <w:keepLines w:val="0"/>
                    <w:widowControl/>
                    <w:suppressLineNumbers w:val="0"/>
                    <w:spacing w:line="240" w:lineRule="auto"/>
                    <w:jc w:val="center"/>
                    <w:rPr>
                      <w:rFonts w:hint="default" w:ascii="Times New Roman" w:hAnsi="Times New Roman" w:eastAsia="宋体" w:cs="Times New Roman"/>
                      <w:i w:val="0"/>
                      <w:iCs w:val="0"/>
                      <w:caps w:val="0"/>
                      <w:color w:val="FF0000"/>
                      <w:spacing w:val="0"/>
                      <w:sz w:val="21"/>
                      <w:szCs w:val="21"/>
                    </w:rPr>
                  </w:pPr>
                  <w:r>
                    <w:rPr>
                      <w:rFonts w:hint="default" w:ascii="Times New Roman" w:hAnsi="Times New Roman" w:eastAsia="宋体" w:cs="Times New Roman"/>
                      <w:i w:val="0"/>
                      <w:iCs w:val="0"/>
                      <w:caps w:val="0"/>
                      <w:color w:val="FF0000"/>
                      <w:spacing w:val="0"/>
                      <w:kern w:val="0"/>
                      <w:sz w:val="21"/>
                      <w:szCs w:val="21"/>
                      <w:lang w:val="en-US" w:eastAsia="zh-CN" w:bidi="ar"/>
                    </w:rPr>
                    <w:t>台</w:t>
                  </w:r>
                </w:p>
              </w:tc>
              <w:tc>
                <w:tcPr>
                  <w:tcW w:w="425" w:type="pct"/>
                  <w:tcBorders>
                    <w:tl2br w:val="nil"/>
                    <w:tr2bl w:val="nil"/>
                  </w:tcBorders>
                  <w:shd w:val="clear" w:color="auto" w:fill="auto"/>
                  <w:tcMar>
                    <w:top w:w="150" w:type="dxa"/>
                    <w:left w:w="150" w:type="dxa"/>
                    <w:bottom w:w="150" w:type="dxa"/>
                    <w:right w:w="150" w:type="dxa"/>
                  </w:tcMar>
                  <w:vAlign w:val="center"/>
                </w:tcPr>
                <w:p w14:paraId="7143CD37">
                  <w:pPr>
                    <w:keepNext w:val="0"/>
                    <w:keepLines w:val="0"/>
                    <w:widowControl/>
                    <w:suppressLineNumbers w:val="0"/>
                    <w:spacing w:line="240" w:lineRule="auto"/>
                    <w:jc w:val="center"/>
                    <w:rPr>
                      <w:rFonts w:hint="default" w:ascii="Times New Roman" w:hAnsi="Times New Roman" w:eastAsia="宋体" w:cs="Times New Roman"/>
                      <w:i w:val="0"/>
                      <w:iCs w:val="0"/>
                      <w:caps w:val="0"/>
                      <w:color w:val="FF0000"/>
                      <w:spacing w:val="0"/>
                      <w:sz w:val="21"/>
                      <w:szCs w:val="21"/>
                    </w:rPr>
                  </w:pPr>
                  <w:r>
                    <w:rPr>
                      <w:rFonts w:hint="default" w:ascii="Times New Roman" w:hAnsi="Times New Roman" w:eastAsia="宋体" w:cs="Times New Roman"/>
                      <w:i w:val="0"/>
                      <w:iCs w:val="0"/>
                      <w:caps w:val="0"/>
                      <w:color w:val="FF0000"/>
                      <w:spacing w:val="0"/>
                      <w:kern w:val="0"/>
                      <w:sz w:val="21"/>
                      <w:szCs w:val="21"/>
                      <w:lang w:val="en-US" w:eastAsia="zh-CN" w:bidi="ar"/>
                    </w:rPr>
                    <w:t>1</w:t>
                  </w:r>
                </w:p>
              </w:tc>
            </w:tr>
            <w:tr w14:paraId="0944E183">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shd w:val="clear" w:color="auto" w:fill="auto"/>
                <w:tblCellMar>
                  <w:top w:w="15" w:type="dxa"/>
                  <w:left w:w="15" w:type="dxa"/>
                  <w:bottom w:w="15" w:type="dxa"/>
                  <w:right w:w="15" w:type="dxa"/>
                </w:tblCellMar>
              </w:tblPrEx>
              <w:trPr>
                <w:trHeight w:val="23" w:hRule="atLeast"/>
                <w:tblHeader/>
              </w:trPr>
              <w:tc>
                <w:tcPr>
                  <w:tcW w:w="391" w:type="pct"/>
                  <w:tcBorders>
                    <w:tl2br w:val="nil"/>
                    <w:tr2bl w:val="nil"/>
                  </w:tcBorders>
                  <w:shd w:val="clear" w:color="auto" w:fill="auto"/>
                  <w:tcMar>
                    <w:top w:w="150" w:type="dxa"/>
                    <w:left w:w="0" w:type="dxa"/>
                    <w:bottom w:w="150" w:type="dxa"/>
                    <w:right w:w="150" w:type="dxa"/>
                  </w:tcMar>
                  <w:vAlign w:val="center"/>
                </w:tcPr>
                <w:p w14:paraId="6E3CE151">
                  <w:pPr>
                    <w:keepNext w:val="0"/>
                    <w:keepLines w:val="0"/>
                    <w:widowControl/>
                    <w:suppressLineNumbers w:val="0"/>
                    <w:spacing w:line="240" w:lineRule="auto"/>
                    <w:jc w:val="center"/>
                    <w:rPr>
                      <w:rFonts w:hint="default" w:ascii="Times New Roman" w:hAnsi="Times New Roman" w:eastAsia="宋体" w:cs="Times New Roman"/>
                      <w:i w:val="0"/>
                      <w:iCs w:val="0"/>
                      <w:caps w:val="0"/>
                      <w:color w:val="FF0000"/>
                      <w:spacing w:val="0"/>
                      <w:sz w:val="21"/>
                      <w:szCs w:val="21"/>
                    </w:rPr>
                  </w:pPr>
                  <w:r>
                    <w:rPr>
                      <w:rFonts w:hint="default" w:ascii="Times New Roman" w:hAnsi="Times New Roman" w:eastAsia="宋体" w:cs="Times New Roman"/>
                      <w:i w:val="0"/>
                      <w:iCs w:val="0"/>
                      <w:caps w:val="0"/>
                      <w:color w:val="FF0000"/>
                      <w:spacing w:val="0"/>
                      <w:kern w:val="0"/>
                      <w:sz w:val="21"/>
                      <w:szCs w:val="21"/>
                      <w:lang w:val="en-US" w:eastAsia="zh-CN" w:bidi="ar"/>
                    </w:rPr>
                    <w:t>3</w:t>
                  </w:r>
                </w:p>
              </w:tc>
              <w:tc>
                <w:tcPr>
                  <w:tcW w:w="945" w:type="pct"/>
                  <w:tcBorders>
                    <w:tl2br w:val="nil"/>
                    <w:tr2bl w:val="nil"/>
                  </w:tcBorders>
                  <w:shd w:val="clear" w:color="auto" w:fill="auto"/>
                  <w:tcMar>
                    <w:top w:w="150" w:type="dxa"/>
                    <w:left w:w="150" w:type="dxa"/>
                    <w:bottom w:w="150" w:type="dxa"/>
                    <w:right w:w="150" w:type="dxa"/>
                  </w:tcMar>
                  <w:vAlign w:val="center"/>
                </w:tcPr>
                <w:p w14:paraId="59C1F55A">
                  <w:pPr>
                    <w:keepNext w:val="0"/>
                    <w:keepLines w:val="0"/>
                    <w:widowControl/>
                    <w:suppressLineNumbers w:val="0"/>
                    <w:spacing w:line="240" w:lineRule="auto"/>
                    <w:jc w:val="center"/>
                    <w:rPr>
                      <w:rFonts w:hint="default" w:ascii="Times New Roman" w:hAnsi="Times New Roman" w:eastAsia="宋体" w:cs="Times New Roman"/>
                      <w:i w:val="0"/>
                      <w:iCs w:val="0"/>
                      <w:caps w:val="0"/>
                      <w:color w:val="FF0000"/>
                      <w:spacing w:val="0"/>
                      <w:sz w:val="21"/>
                      <w:szCs w:val="21"/>
                    </w:rPr>
                  </w:pPr>
                  <w:r>
                    <w:rPr>
                      <w:rStyle w:val="37"/>
                      <w:rFonts w:hint="default" w:ascii="Times New Roman" w:hAnsi="Times New Roman" w:eastAsia="宋体" w:cs="Times New Roman"/>
                      <w:b/>
                      <w:bCs/>
                      <w:i w:val="0"/>
                      <w:iCs w:val="0"/>
                      <w:caps w:val="0"/>
                      <w:color w:val="FF0000"/>
                      <w:spacing w:val="0"/>
                      <w:kern w:val="0"/>
                      <w:sz w:val="21"/>
                      <w:szCs w:val="21"/>
                      <w:lang w:val="en-US" w:eastAsia="zh-CN" w:bidi="ar"/>
                    </w:rPr>
                    <w:t>预处理设备</w:t>
                  </w:r>
                </w:p>
              </w:tc>
              <w:tc>
                <w:tcPr>
                  <w:tcW w:w="1593" w:type="pct"/>
                  <w:tcBorders>
                    <w:tl2br w:val="nil"/>
                    <w:tr2bl w:val="nil"/>
                  </w:tcBorders>
                  <w:shd w:val="clear" w:color="auto" w:fill="auto"/>
                  <w:tcMar>
                    <w:top w:w="150" w:type="dxa"/>
                    <w:left w:w="150" w:type="dxa"/>
                    <w:bottom w:w="150" w:type="dxa"/>
                    <w:right w:w="150" w:type="dxa"/>
                  </w:tcMar>
                  <w:vAlign w:val="center"/>
                </w:tcPr>
                <w:p w14:paraId="26CD289D">
                  <w:pPr>
                    <w:keepNext w:val="0"/>
                    <w:keepLines w:val="0"/>
                    <w:widowControl/>
                    <w:suppressLineNumbers w:val="0"/>
                    <w:spacing w:line="240" w:lineRule="auto"/>
                    <w:jc w:val="center"/>
                    <w:rPr>
                      <w:rFonts w:hint="default" w:ascii="Times New Roman" w:hAnsi="Times New Roman" w:eastAsia="宋体" w:cs="Times New Roman"/>
                      <w:i w:val="0"/>
                      <w:iCs w:val="0"/>
                      <w:caps w:val="0"/>
                      <w:color w:val="FF0000"/>
                      <w:spacing w:val="0"/>
                      <w:sz w:val="21"/>
                      <w:szCs w:val="21"/>
                    </w:rPr>
                  </w:pPr>
                  <w:r>
                    <w:rPr>
                      <w:rFonts w:hint="default" w:ascii="Times New Roman" w:hAnsi="Times New Roman" w:eastAsia="宋体" w:cs="Times New Roman"/>
                      <w:i w:val="0"/>
                      <w:iCs w:val="0"/>
                      <w:caps w:val="0"/>
                      <w:color w:val="FF0000"/>
                      <w:spacing w:val="0"/>
                      <w:kern w:val="0"/>
                      <w:sz w:val="21"/>
                      <w:szCs w:val="21"/>
                      <w:lang w:val="en-US" w:eastAsia="zh-CN" w:bidi="ar"/>
                    </w:rPr>
                    <w:t>汽车拆解流水线</w:t>
                  </w:r>
                </w:p>
              </w:tc>
              <w:tc>
                <w:tcPr>
                  <w:tcW w:w="1220" w:type="pct"/>
                  <w:tcBorders>
                    <w:tl2br w:val="nil"/>
                    <w:tr2bl w:val="nil"/>
                  </w:tcBorders>
                  <w:shd w:val="clear" w:color="auto" w:fill="auto"/>
                  <w:tcMar>
                    <w:top w:w="150" w:type="dxa"/>
                    <w:left w:w="150" w:type="dxa"/>
                    <w:bottom w:w="150" w:type="dxa"/>
                    <w:right w:w="150" w:type="dxa"/>
                  </w:tcMar>
                  <w:vAlign w:val="center"/>
                </w:tcPr>
                <w:p w14:paraId="2F7B2F56">
                  <w:pPr>
                    <w:keepNext w:val="0"/>
                    <w:keepLines w:val="0"/>
                    <w:widowControl/>
                    <w:suppressLineNumbers w:val="0"/>
                    <w:spacing w:line="240" w:lineRule="auto"/>
                    <w:jc w:val="center"/>
                    <w:rPr>
                      <w:rFonts w:hint="default" w:ascii="Times New Roman" w:hAnsi="Times New Roman" w:eastAsia="宋体" w:cs="Times New Roman"/>
                      <w:i w:val="0"/>
                      <w:iCs w:val="0"/>
                      <w:caps w:val="0"/>
                      <w:color w:val="FF0000"/>
                      <w:spacing w:val="0"/>
                      <w:sz w:val="21"/>
                      <w:szCs w:val="21"/>
                    </w:rPr>
                  </w:pPr>
                  <w:r>
                    <w:rPr>
                      <w:rFonts w:hint="default" w:ascii="Times New Roman" w:hAnsi="Times New Roman" w:eastAsia="宋体" w:cs="Times New Roman"/>
                      <w:i w:val="0"/>
                      <w:iCs w:val="0"/>
                      <w:caps w:val="0"/>
                      <w:color w:val="FF0000"/>
                      <w:spacing w:val="0"/>
                      <w:kern w:val="0"/>
                      <w:sz w:val="21"/>
                      <w:szCs w:val="21"/>
                      <w:lang w:val="en-US" w:eastAsia="zh-CN" w:bidi="ar"/>
                    </w:rPr>
                    <w:t>/</w:t>
                  </w:r>
                </w:p>
              </w:tc>
              <w:tc>
                <w:tcPr>
                  <w:tcW w:w="423" w:type="pct"/>
                  <w:tcBorders>
                    <w:tl2br w:val="nil"/>
                    <w:tr2bl w:val="nil"/>
                  </w:tcBorders>
                  <w:shd w:val="clear" w:color="auto" w:fill="auto"/>
                  <w:tcMar>
                    <w:top w:w="150" w:type="dxa"/>
                    <w:left w:w="150" w:type="dxa"/>
                    <w:bottom w:w="150" w:type="dxa"/>
                    <w:right w:w="150" w:type="dxa"/>
                  </w:tcMar>
                  <w:vAlign w:val="center"/>
                </w:tcPr>
                <w:p w14:paraId="3A1E0222">
                  <w:pPr>
                    <w:keepNext w:val="0"/>
                    <w:keepLines w:val="0"/>
                    <w:widowControl/>
                    <w:suppressLineNumbers w:val="0"/>
                    <w:spacing w:line="240" w:lineRule="auto"/>
                    <w:jc w:val="center"/>
                    <w:rPr>
                      <w:rFonts w:hint="default" w:ascii="Times New Roman" w:hAnsi="Times New Roman" w:eastAsia="宋体" w:cs="Times New Roman"/>
                      <w:i w:val="0"/>
                      <w:iCs w:val="0"/>
                      <w:caps w:val="0"/>
                      <w:color w:val="FF0000"/>
                      <w:spacing w:val="0"/>
                      <w:sz w:val="21"/>
                      <w:szCs w:val="21"/>
                    </w:rPr>
                  </w:pPr>
                  <w:r>
                    <w:rPr>
                      <w:rFonts w:hint="default" w:ascii="Times New Roman" w:hAnsi="Times New Roman" w:eastAsia="宋体" w:cs="Times New Roman"/>
                      <w:i w:val="0"/>
                      <w:iCs w:val="0"/>
                      <w:caps w:val="0"/>
                      <w:color w:val="FF0000"/>
                      <w:spacing w:val="0"/>
                      <w:kern w:val="0"/>
                      <w:sz w:val="21"/>
                      <w:szCs w:val="21"/>
                      <w:lang w:val="en-US" w:eastAsia="zh-CN" w:bidi="ar"/>
                    </w:rPr>
                    <w:t>套</w:t>
                  </w:r>
                </w:p>
              </w:tc>
              <w:tc>
                <w:tcPr>
                  <w:tcW w:w="425" w:type="pct"/>
                  <w:tcBorders>
                    <w:tl2br w:val="nil"/>
                    <w:tr2bl w:val="nil"/>
                  </w:tcBorders>
                  <w:shd w:val="clear" w:color="auto" w:fill="auto"/>
                  <w:tcMar>
                    <w:top w:w="150" w:type="dxa"/>
                    <w:left w:w="150" w:type="dxa"/>
                    <w:bottom w:w="150" w:type="dxa"/>
                    <w:right w:w="150" w:type="dxa"/>
                  </w:tcMar>
                  <w:vAlign w:val="center"/>
                </w:tcPr>
                <w:p w14:paraId="714A3530">
                  <w:pPr>
                    <w:keepNext w:val="0"/>
                    <w:keepLines w:val="0"/>
                    <w:widowControl/>
                    <w:suppressLineNumbers w:val="0"/>
                    <w:spacing w:line="240" w:lineRule="auto"/>
                    <w:jc w:val="center"/>
                    <w:rPr>
                      <w:rFonts w:hint="default" w:ascii="Times New Roman" w:hAnsi="Times New Roman" w:eastAsia="宋体" w:cs="Times New Roman"/>
                      <w:i w:val="0"/>
                      <w:iCs w:val="0"/>
                      <w:caps w:val="0"/>
                      <w:color w:val="FF0000"/>
                      <w:spacing w:val="0"/>
                      <w:sz w:val="21"/>
                      <w:szCs w:val="21"/>
                    </w:rPr>
                  </w:pPr>
                  <w:r>
                    <w:rPr>
                      <w:rFonts w:hint="default" w:ascii="Times New Roman" w:hAnsi="Times New Roman" w:eastAsia="宋体" w:cs="Times New Roman"/>
                      <w:i w:val="0"/>
                      <w:iCs w:val="0"/>
                      <w:caps w:val="0"/>
                      <w:color w:val="FF0000"/>
                      <w:spacing w:val="0"/>
                      <w:kern w:val="0"/>
                      <w:sz w:val="21"/>
                      <w:szCs w:val="21"/>
                      <w:lang w:val="en-US" w:eastAsia="zh-CN" w:bidi="ar"/>
                    </w:rPr>
                    <w:t>2</w:t>
                  </w:r>
                </w:p>
              </w:tc>
            </w:tr>
            <w:tr w14:paraId="6D6F0D2C">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15" w:type="dxa"/>
                  <w:left w:w="15" w:type="dxa"/>
                  <w:bottom w:w="15" w:type="dxa"/>
                  <w:right w:w="15" w:type="dxa"/>
                </w:tblCellMar>
              </w:tblPrEx>
              <w:trPr>
                <w:trHeight w:val="23" w:hRule="atLeast"/>
                <w:tblHeader/>
              </w:trPr>
              <w:tc>
                <w:tcPr>
                  <w:tcW w:w="391" w:type="pct"/>
                  <w:tcBorders>
                    <w:tl2br w:val="nil"/>
                    <w:tr2bl w:val="nil"/>
                  </w:tcBorders>
                  <w:shd w:val="clear" w:color="auto" w:fill="auto"/>
                  <w:tcMar>
                    <w:top w:w="150" w:type="dxa"/>
                    <w:left w:w="0" w:type="dxa"/>
                    <w:bottom w:w="150" w:type="dxa"/>
                    <w:right w:w="150" w:type="dxa"/>
                  </w:tcMar>
                  <w:vAlign w:val="center"/>
                </w:tcPr>
                <w:p w14:paraId="68770C49">
                  <w:pPr>
                    <w:keepNext w:val="0"/>
                    <w:keepLines w:val="0"/>
                    <w:widowControl/>
                    <w:suppressLineNumbers w:val="0"/>
                    <w:spacing w:line="240" w:lineRule="auto"/>
                    <w:jc w:val="center"/>
                    <w:rPr>
                      <w:rFonts w:hint="default" w:ascii="Times New Roman" w:hAnsi="Times New Roman" w:eastAsia="宋体" w:cs="Times New Roman"/>
                      <w:i w:val="0"/>
                      <w:iCs w:val="0"/>
                      <w:caps w:val="0"/>
                      <w:color w:val="FF0000"/>
                      <w:spacing w:val="0"/>
                      <w:sz w:val="21"/>
                      <w:szCs w:val="21"/>
                    </w:rPr>
                  </w:pPr>
                  <w:r>
                    <w:rPr>
                      <w:rFonts w:hint="default" w:ascii="Times New Roman" w:hAnsi="Times New Roman" w:eastAsia="宋体" w:cs="Times New Roman"/>
                      <w:i w:val="0"/>
                      <w:iCs w:val="0"/>
                      <w:caps w:val="0"/>
                      <w:color w:val="FF0000"/>
                      <w:spacing w:val="0"/>
                      <w:kern w:val="0"/>
                      <w:sz w:val="21"/>
                      <w:szCs w:val="21"/>
                      <w:lang w:val="en-US" w:eastAsia="zh-CN" w:bidi="ar"/>
                    </w:rPr>
                    <w:t>4</w:t>
                  </w:r>
                </w:p>
              </w:tc>
              <w:tc>
                <w:tcPr>
                  <w:tcW w:w="945" w:type="pct"/>
                  <w:tcBorders>
                    <w:tl2br w:val="nil"/>
                    <w:tr2bl w:val="nil"/>
                  </w:tcBorders>
                  <w:shd w:val="clear" w:color="auto" w:fill="auto"/>
                  <w:tcMar>
                    <w:top w:w="150" w:type="dxa"/>
                    <w:left w:w="150" w:type="dxa"/>
                    <w:bottom w:w="150" w:type="dxa"/>
                    <w:right w:w="150" w:type="dxa"/>
                  </w:tcMar>
                  <w:vAlign w:val="center"/>
                </w:tcPr>
                <w:p w14:paraId="3260A3BB">
                  <w:pPr>
                    <w:spacing w:line="240" w:lineRule="auto"/>
                    <w:jc w:val="center"/>
                    <w:rPr>
                      <w:rFonts w:hint="default" w:ascii="Times New Roman" w:hAnsi="Times New Roman" w:eastAsia="宋体" w:cs="Times New Roman"/>
                      <w:i w:val="0"/>
                      <w:iCs w:val="0"/>
                      <w:caps w:val="0"/>
                      <w:color w:val="FF0000"/>
                      <w:spacing w:val="0"/>
                      <w:sz w:val="21"/>
                      <w:szCs w:val="21"/>
                    </w:rPr>
                  </w:pPr>
                </w:p>
              </w:tc>
              <w:tc>
                <w:tcPr>
                  <w:tcW w:w="1593" w:type="pct"/>
                  <w:tcBorders>
                    <w:tl2br w:val="nil"/>
                    <w:tr2bl w:val="nil"/>
                  </w:tcBorders>
                  <w:shd w:val="clear" w:color="auto" w:fill="auto"/>
                  <w:tcMar>
                    <w:top w:w="150" w:type="dxa"/>
                    <w:left w:w="150" w:type="dxa"/>
                    <w:bottom w:w="150" w:type="dxa"/>
                    <w:right w:w="150" w:type="dxa"/>
                  </w:tcMar>
                  <w:vAlign w:val="center"/>
                </w:tcPr>
                <w:p w14:paraId="63716237">
                  <w:pPr>
                    <w:keepNext w:val="0"/>
                    <w:keepLines w:val="0"/>
                    <w:widowControl/>
                    <w:suppressLineNumbers w:val="0"/>
                    <w:spacing w:line="240" w:lineRule="auto"/>
                    <w:jc w:val="center"/>
                    <w:rPr>
                      <w:rFonts w:hint="default" w:ascii="Times New Roman" w:hAnsi="Times New Roman" w:eastAsia="宋体" w:cs="Times New Roman"/>
                      <w:i w:val="0"/>
                      <w:iCs w:val="0"/>
                      <w:caps w:val="0"/>
                      <w:color w:val="FF0000"/>
                      <w:spacing w:val="0"/>
                      <w:sz w:val="21"/>
                      <w:szCs w:val="21"/>
                    </w:rPr>
                  </w:pPr>
                  <w:r>
                    <w:rPr>
                      <w:rFonts w:hint="default" w:ascii="Times New Roman" w:hAnsi="Times New Roman" w:eastAsia="宋体" w:cs="Times New Roman"/>
                      <w:i w:val="0"/>
                      <w:iCs w:val="0"/>
                      <w:caps w:val="0"/>
                      <w:color w:val="FF0000"/>
                      <w:spacing w:val="0"/>
                      <w:kern w:val="0"/>
                      <w:sz w:val="21"/>
                      <w:szCs w:val="21"/>
                      <w:lang w:val="en-US" w:eastAsia="zh-CN" w:bidi="ar"/>
                    </w:rPr>
                    <w:t>四柱举升机</w:t>
                  </w:r>
                </w:p>
              </w:tc>
              <w:tc>
                <w:tcPr>
                  <w:tcW w:w="1220" w:type="pct"/>
                  <w:tcBorders>
                    <w:tl2br w:val="nil"/>
                    <w:tr2bl w:val="nil"/>
                  </w:tcBorders>
                  <w:shd w:val="clear" w:color="auto" w:fill="auto"/>
                  <w:tcMar>
                    <w:top w:w="150" w:type="dxa"/>
                    <w:left w:w="150" w:type="dxa"/>
                    <w:bottom w:w="150" w:type="dxa"/>
                    <w:right w:w="150" w:type="dxa"/>
                  </w:tcMar>
                  <w:vAlign w:val="center"/>
                </w:tcPr>
                <w:p w14:paraId="652895E0">
                  <w:pPr>
                    <w:keepNext w:val="0"/>
                    <w:keepLines w:val="0"/>
                    <w:widowControl/>
                    <w:suppressLineNumbers w:val="0"/>
                    <w:spacing w:line="240" w:lineRule="auto"/>
                    <w:jc w:val="center"/>
                    <w:rPr>
                      <w:rFonts w:hint="default" w:ascii="Times New Roman" w:hAnsi="Times New Roman" w:eastAsia="宋体" w:cs="Times New Roman"/>
                      <w:i w:val="0"/>
                      <w:iCs w:val="0"/>
                      <w:caps w:val="0"/>
                      <w:color w:val="FF0000"/>
                      <w:spacing w:val="0"/>
                      <w:sz w:val="21"/>
                      <w:szCs w:val="21"/>
                    </w:rPr>
                  </w:pPr>
                  <w:r>
                    <w:rPr>
                      <w:rFonts w:hint="default" w:ascii="Times New Roman" w:hAnsi="Times New Roman" w:eastAsia="宋体" w:cs="Times New Roman"/>
                      <w:i w:val="0"/>
                      <w:iCs w:val="0"/>
                      <w:caps w:val="0"/>
                      <w:color w:val="FF0000"/>
                      <w:spacing w:val="0"/>
                      <w:kern w:val="0"/>
                      <w:sz w:val="21"/>
                      <w:szCs w:val="21"/>
                      <w:lang w:val="en-US" w:eastAsia="zh-CN" w:bidi="ar"/>
                    </w:rPr>
                    <w:t>JS3000-4s</w:t>
                  </w:r>
                </w:p>
              </w:tc>
              <w:tc>
                <w:tcPr>
                  <w:tcW w:w="423" w:type="pct"/>
                  <w:tcBorders>
                    <w:tl2br w:val="nil"/>
                    <w:tr2bl w:val="nil"/>
                  </w:tcBorders>
                  <w:shd w:val="clear" w:color="auto" w:fill="auto"/>
                  <w:tcMar>
                    <w:top w:w="150" w:type="dxa"/>
                    <w:left w:w="150" w:type="dxa"/>
                    <w:bottom w:w="150" w:type="dxa"/>
                    <w:right w:w="150" w:type="dxa"/>
                  </w:tcMar>
                  <w:vAlign w:val="center"/>
                </w:tcPr>
                <w:p w14:paraId="60C9F8BF">
                  <w:pPr>
                    <w:keepNext w:val="0"/>
                    <w:keepLines w:val="0"/>
                    <w:widowControl/>
                    <w:suppressLineNumbers w:val="0"/>
                    <w:spacing w:line="240" w:lineRule="auto"/>
                    <w:jc w:val="center"/>
                    <w:rPr>
                      <w:rFonts w:hint="default" w:ascii="Times New Roman" w:hAnsi="Times New Roman" w:eastAsia="宋体" w:cs="Times New Roman"/>
                      <w:i w:val="0"/>
                      <w:iCs w:val="0"/>
                      <w:caps w:val="0"/>
                      <w:color w:val="FF0000"/>
                      <w:spacing w:val="0"/>
                      <w:sz w:val="21"/>
                      <w:szCs w:val="21"/>
                    </w:rPr>
                  </w:pPr>
                  <w:r>
                    <w:rPr>
                      <w:rFonts w:hint="default" w:ascii="Times New Roman" w:hAnsi="Times New Roman" w:eastAsia="宋体" w:cs="Times New Roman"/>
                      <w:i w:val="0"/>
                      <w:iCs w:val="0"/>
                      <w:caps w:val="0"/>
                      <w:color w:val="FF0000"/>
                      <w:spacing w:val="0"/>
                      <w:kern w:val="0"/>
                      <w:sz w:val="21"/>
                      <w:szCs w:val="21"/>
                      <w:lang w:val="en-US" w:eastAsia="zh-CN" w:bidi="ar"/>
                    </w:rPr>
                    <w:t>台</w:t>
                  </w:r>
                </w:p>
              </w:tc>
              <w:tc>
                <w:tcPr>
                  <w:tcW w:w="425" w:type="pct"/>
                  <w:tcBorders>
                    <w:tl2br w:val="nil"/>
                    <w:tr2bl w:val="nil"/>
                  </w:tcBorders>
                  <w:shd w:val="clear" w:color="auto" w:fill="auto"/>
                  <w:tcMar>
                    <w:top w:w="150" w:type="dxa"/>
                    <w:left w:w="150" w:type="dxa"/>
                    <w:bottom w:w="150" w:type="dxa"/>
                    <w:right w:w="150" w:type="dxa"/>
                  </w:tcMar>
                  <w:vAlign w:val="center"/>
                </w:tcPr>
                <w:p w14:paraId="673E442B">
                  <w:pPr>
                    <w:keepNext w:val="0"/>
                    <w:keepLines w:val="0"/>
                    <w:widowControl/>
                    <w:suppressLineNumbers w:val="0"/>
                    <w:spacing w:line="240" w:lineRule="auto"/>
                    <w:jc w:val="center"/>
                    <w:rPr>
                      <w:rFonts w:hint="default" w:ascii="Times New Roman" w:hAnsi="Times New Roman" w:eastAsia="宋体" w:cs="Times New Roman"/>
                      <w:i w:val="0"/>
                      <w:iCs w:val="0"/>
                      <w:caps w:val="0"/>
                      <w:color w:val="FF0000"/>
                      <w:spacing w:val="0"/>
                      <w:sz w:val="21"/>
                      <w:szCs w:val="21"/>
                    </w:rPr>
                  </w:pPr>
                  <w:r>
                    <w:rPr>
                      <w:rFonts w:hint="default" w:ascii="Times New Roman" w:hAnsi="Times New Roman" w:eastAsia="宋体" w:cs="Times New Roman"/>
                      <w:i w:val="0"/>
                      <w:iCs w:val="0"/>
                      <w:caps w:val="0"/>
                      <w:color w:val="FF0000"/>
                      <w:spacing w:val="0"/>
                      <w:kern w:val="0"/>
                      <w:sz w:val="21"/>
                      <w:szCs w:val="21"/>
                      <w:lang w:val="en-US" w:eastAsia="zh-CN" w:bidi="ar"/>
                    </w:rPr>
                    <w:t>2</w:t>
                  </w:r>
                </w:p>
              </w:tc>
            </w:tr>
            <w:tr w14:paraId="00711FF4">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15" w:type="dxa"/>
                  <w:left w:w="15" w:type="dxa"/>
                  <w:bottom w:w="15" w:type="dxa"/>
                  <w:right w:w="15" w:type="dxa"/>
                </w:tblCellMar>
              </w:tblPrEx>
              <w:trPr>
                <w:trHeight w:val="23" w:hRule="atLeast"/>
                <w:tblHeader/>
              </w:trPr>
              <w:tc>
                <w:tcPr>
                  <w:tcW w:w="391" w:type="pct"/>
                  <w:tcBorders>
                    <w:tl2br w:val="nil"/>
                    <w:tr2bl w:val="nil"/>
                  </w:tcBorders>
                  <w:shd w:val="clear" w:color="auto" w:fill="auto"/>
                  <w:tcMar>
                    <w:top w:w="150" w:type="dxa"/>
                    <w:left w:w="0" w:type="dxa"/>
                    <w:bottom w:w="150" w:type="dxa"/>
                    <w:right w:w="150" w:type="dxa"/>
                  </w:tcMar>
                  <w:vAlign w:val="center"/>
                </w:tcPr>
                <w:p w14:paraId="4D1B2BB5">
                  <w:pPr>
                    <w:keepNext w:val="0"/>
                    <w:keepLines w:val="0"/>
                    <w:widowControl/>
                    <w:suppressLineNumbers w:val="0"/>
                    <w:spacing w:line="240" w:lineRule="auto"/>
                    <w:jc w:val="center"/>
                    <w:rPr>
                      <w:rFonts w:hint="default" w:ascii="Times New Roman" w:hAnsi="Times New Roman" w:eastAsia="宋体" w:cs="Times New Roman"/>
                      <w:i w:val="0"/>
                      <w:iCs w:val="0"/>
                      <w:caps w:val="0"/>
                      <w:color w:val="FF0000"/>
                      <w:spacing w:val="0"/>
                      <w:sz w:val="21"/>
                      <w:szCs w:val="21"/>
                    </w:rPr>
                  </w:pPr>
                  <w:r>
                    <w:rPr>
                      <w:rFonts w:hint="default" w:ascii="Times New Roman" w:hAnsi="Times New Roman" w:eastAsia="宋体" w:cs="Times New Roman"/>
                      <w:i w:val="0"/>
                      <w:iCs w:val="0"/>
                      <w:caps w:val="0"/>
                      <w:color w:val="FF0000"/>
                      <w:spacing w:val="0"/>
                      <w:kern w:val="0"/>
                      <w:sz w:val="21"/>
                      <w:szCs w:val="21"/>
                      <w:lang w:val="en-US" w:eastAsia="zh-CN" w:bidi="ar"/>
                    </w:rPr>
                    <w:t>5</w:t>
                  </w:r>
                </w:p>
              </w:tc>
              <w:tc>
                <w:tcPr>
                  <w:tcW w:w="945" w:type="pct"/>
                  <w:tcBorders>
                    <w:tl2br w:val="nil"/>
                    <w:tr2bl w:val="nil"/>
                  </w:tcBorders>
                  <w:shd w:val="clear" w:color="auto" w:fill="auto"/>
                  <w:tcMar>
                    <w:top w:w="150" w:type="dxa"/>
                    <w:left w:w="150" w:type="dxa"/>
                    <w:bottom w:w="150" w:type="dxa"/>
                    <w:right w:w="150" w:type="dxa"/>
                  </w:tcMar>
                  <w:vAlign w:val="center"/>
                </w:tcPr>
                <w:p w14:paraId="5B681E72">
                  <w:pPr>
                    <w:spacing w:line="240" w:lineRule="auto"/>
                    <w:jc w:val="center"/>
                    <w:rPr>
                      <w:rFonts w:hint="default" w:ascii="Times New Roman" w:hAnsi="Times New Roman" w:eastAsia="宋体" w:cs="Times New Roman"/>
                      <w:i w:val="0"/>
                      <w:iCs w:val="0"/>
                      <w:caps w:val="0"/>
                      <w:color w:val="FF0000"/>
                      <w:spacing w:val="0"/>
                      <w:sz w:val="21"/>
                      <w:szCs w:val="21"/>
                    </w:rPr>
                  </w:pPr>
                </w:p>
              </w:tc>
              <w:tc>
                <w:tcPr>
                  <w:tcW w:w="1593" w:type="pct"/>
                  <w:tcBorders>
                    <w:tl2br w:val="nil"/>
                    <w:tr2bl w:val="nil"/>
                  </w:tcBorders>
                  <w:shd w:val="clear" w:color="auto" w:fill="auto"/>
                  <w:tcMar>
                    <w:top w:w="150" w:type="dxa"/>
                    <w:left w:w="150" w:type="dxa"/>
                    <w:bottom w:w="150" w:type="dxa"/>
                    <w:right w:w="150" w:type="dxa"/>
                  </w:tcMar>
                  <w:vAlign w:val="center"/>
                </w:tcPr>
                <w:p w14:paraId="51602CCB">
                  <w:pPr>
                    <w:keepNext w:val="0"/>
                    <w:keepLines w:val="0"/>
                    <w:widowControl/>
                    <w:suppressLineNumbers w:val="0"/>
                    <w:spacing w:line="240" w:lineRule="auto"/>
                    <w:jc w:val="center"/>
                    <w:rPr>
                      <w:rFonts w:hint="default" w:ascii="Times New Roman" w:hAnsi="Times New Roman" w:eastAsia="宋体" w:cs="Times New Roman"/>
                      <w:i w:val="0"/>
                      <w:iCs w:val="0"/>
                      <w:caps w:val="0"/>
                      <w:color w:val="FF0000"/>
                      <w:spacing w:val="0"/>
                      <w:sz w:val="21"/>
                      <w:szCs w:val="21"/>
                    </w:rPr>
                  </w:pPr>
                  <w:r>
                    <w:rPr>
                      <w:rFonts w:hint="default" w:ascii="Times New Roman" w:hAnsi="Times New Roman" w:eastAsia="宋体" w:cs="Times New Roman"/>
                      <w:i w:val="0"/>
                      <w:iCs w:val="0"/>
                      <w:caps w:val="0"/>
                      <w:color w:val="FF0000"/>
                      <w:spacing w:val="0"/>
                      <w:kern w:val="0"/>
                      <w:sz w:val="21"/>
                      <w:szCs w:val="21"/>
                      <w:lang w:val="en-US" w:eastAsia="zh-CN" w:bidi="ar"/>
                    </w:rPr>
                    <w:t>预处理举升机</w:t>
                  </w:r>
                </w:p>
              </w:tc>
              <w:tc>
                <w:tcPr>
                  <w:tcW w:w="1220" w:type="pct"/>
                  <w:tcBorders>
                    <w:tl2br w:val="nil"/>
                    <w:tr2bl w:val="nil"/>
                  </w:tcBorders>
                  <w:shd w:val="clear" w:color="auto" w:fill="auto"/>
                  <w:tcMar>
                    <w:top w:w="150" w:type="dxa"/>
                    <w:left w:w="150" w:type="dxa"/>
                    <w:bottom w:w="150" w:type="dxa"/>
                    <w:right w:w="150" w:type="dxa"/>
                  </w:tcMar>
                  <w:vAlign w:val="center"/>
                </w:tcPr>
                <w:p w14:paraId="36717D0F">
                  <w:pPr>
                    <w:keepNext w:val="0"/>
                    <w:keepLines w:val="0"/>
                    <w:widowControl/>
                    <w:suppressLineNumbers w:val="0"/>
                    <w:spacing w:line="240" w:lineRule="auto"/>
                    <w:jc w:val="center"/>
                    <w:rPr>
                      <w:rFonts w:hint="default" w:ascii="Times New Roman" w:hAnsi="Times New Roman" w:eastAsia="宋体" w:cs="Times New Roman"/>
                      <w:i w:val="0"/>
                      <w:iCs w:val="0"/>
                      <w:caps w:val="0"/>
                      <w:color w:val="FF0000"/>
                      <w:spacing w:val="0"/>
                      <w:sz w:val="21"/>
                      <w:szCs w:val="21"/>
                    </w:rPr>
                  </w:pPr>
                  <w:r>
                    <w:rPr>
                      <w:rFonts w:hint="default" w:ascii="Times New Roman" w:hAnsi="Times New Roman" w:eastAsia="宋体" w:cs="Times New Roman"/>
                      <w:i w:val="0"/>
                      <w:iCs w:val="0"/>
                      <w:caps w:val="0"/>
                      <w:color w:val="FF0000"/>
                      <w:spacing w:val="0"/>
                      <w:kern w:val="0"/>
                      <w:sz w:val="21"/>
                      <w:szCs w:val="21"/>
                      <w:lang w:val="en-US" w:eastAsia="zh-CN" w:bidi="ar"/>
                    </w:rPr>
                    <w:t>/</w:t>
                  </w:r>
                </w:p>
              </w:tc>
              <w:tc>
                <w:tcPr>
                  <w:tcW w:w="423" w:type="pct"/>
                  <w:tcBorders>
                    <w:tl2br w:val="nil"/>
                    <w:tr2bl w:val="nil"/>
                  </w:tcBorders>
                  <w:shd w:val="clear" w:color="auto" w:fill="auto"/>
                  <w:tcMar>
                    <w:top w:w="150" w:type="dxa"/>
                    <w:left w:w="150" w:type="dxa"/>
                    <w:bottom w:w="150" w:type="dxa"/>
                    <w:right w:w="150" w:type="dxa"/>
                  </w:tcMar>
                  <w:vAlign w:val="center"/>
                </w:tcPr>
                <w:p w14:paraId="22493499">
                  <w:pPr>
                    <w:keepNext w:val="0"/>
                    <w:keepLines w:val="0"/>
                    <w:widowControl/>
                    <w:suppressLineNumbers w:val="0"/>
                    <w:spacing w:line="240" w:lineRule="auto"/>
                    <w:jc w:val="center"/>
                    <w:rPr>
                      <w:rFonts w:hint="default" w:ascii="Times New Roman" w:hAnsi="Times New Roman" w:eastAsia="宋体" w:cs="Times New Roman"/>
                      <w:i w:val="0"/>
                      <w:iCs w:val="0"/>
                      <w:caps w:val="0"/>
                      <w:color w:val="FF0000"/>
                      <w:spacing w:val="0"/>
                      <w:sz w:val="21"/>
                      <w:szCs w:val="21"/>
                    </w:rPr>
                  </w:pPr>
                  <w:r>
                    <w:rPr>
                      <w:rFonts w:hint="default" w:ascii="Times New Roman" w:hAnsi="Times New Roman" w:eastAsia="宋体" w:cs="Times New Roman"/>
                      <w:i w:val="0"/>
                      <w:iCs w:val="0"/>
                      <w:caps w:val="0"/>
                      <w:color w:val="FF0000"/>
                      <w:spacing w:val="0"/>
                      <w:kern w:val="0"/>
                      <w:sz w:val="21"/>
                      <w:szCs w:val="21"/>
                      <w:lang w:val="en-US" w:eastAsia="zh-CN" w:bidi="ar"/>
                    </w:rPr>
                    <w:t>台</w:t>
                  </w:r>
                </w:p>
              </w:tc>
              <w:tc>
                <w:tcPr>
                  <w:tcW w:w="425" w:type="pct"/>
                  <w:tcBorders>
                    <w:tl2br w:val="nil"/>
                    <w:tr2bl w:val="nil"/>
                  </w:tcBorders>
                  <w:shd w:val="clear" w:color="auto" w:fill="auto"/>
                  <w:tcMar>
                    <w:top w:w="150" w:type="dxa"/>
                    <w:left w:w="150" w:type="dxa"/>
                    <w:bottom w:w="150" w:type="dxa"/>
                    <w:right w:w="150" w:type="dxa"/>
                  </w:tcMar>
                  <w:vAlign w:val="center"/>
                </w:tcPr>
                <w:p w14:paraId="3B14F2AE">
                  <w:pPr>
                    <w:keepNext w:val="0"/>
                    <w:keepLines w:val="0"/>
                    <w:widowControl/>
                    <w:suppressLineNumbers w:val="0"/>
                    <w:spacing w:line="240" w:lineRule="auto"/>
                    <w:jc w:val="center"/>
                    <w:rPr>
                      <w:rFonts w:hint="default" w:ascii="Times New Roman" w:hAnsi="Times New Roman" w:eastAsia="宋体" w:cs="Times New Roman"/>
                      <w:i w:val="0"/>
                      <w:iCs w:val="0"/>
                      <w:caps w:val="0"/>
                      <w:color w:val="FF0000"/>
                      <w:spacing w:val="0"/>
                      <w:sz w:val="21"/>
                      <w:szCs w:val="21"/>
                    </w:rPr>
                  </w:pPr>
                  <w:r>
                    <w:rPr>
                      <w:rFonts w:hint="default" w:ascii="Times New Roman" w:hAnsi="Times New Roman" w:eastAsia="宋体" w:cs="Times New Roman"/>
                      <w:i w:val="0"/>
                      <w:iCs w:val="0"/>
                      <w:caps w:val="0"/>
                      <w:color w:val="FF0000"/>
                      <w:spacing w:val="0"/>
                      <w:kern w:val="0"/>
                      <w:sz w:val="21"/>
                      <w:szCs w:val="21"/>
                      <w:lang w:val="en-US" w:eastAsia="zh-CN" w:bidi="ar"/>
                    </w:rPr>
                    <w:t>2</w:t>
                  </w:r>
                </w:p>
              </w:tc>
            </w:tr>
            <w:tr w14:paraId="36C1467D">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shd w:val="clear" w:color="auto" w:fill="auto"/>
                <w:tblCellMar>
                  <w:top w:w="15" w:type="dxa"/>
                  <w:left w:w="15" w:type="dxa"/>
                  <w:bottom w:w="15" w:type="dxa"/>
                  <w:right w:w="15" w:type="dxa"/>
                </w:tblCellMar>
              </w:tblPrEx>
              <w:trPr>
                <w:trHeight w:val="23" w:hRule="atLeast"/>
                <w:tblHeader/>
              </w:trPr>
              <w:tc>
                <w:tcPr>
                  <w:tcW w:w="391" w:type="pct"/>
                  <w:tcBorders>
                    <w:tl2br w:val="nil"/>
                    <w:tr2bl w:val="nil"/>
                  </w:tcBorders>
                  <w:shd w:val="clear" w:color="auto" w:fill="auto"/>
                  <w:tcMar>
                    <w:top w:w="150" w:type="dxa"/>
                    <w:left w:w="0" w:type="dxa"/>
                    <w:bottom w:w="150" w:type="dxa"/>
                    <w:right w:w="150" w:type="dxa"/>
                  </w:tcMar>
                  <w:vAlign w:val="center"/>
                </w:tcPr>
                <w:p w14:paraId="096C3097">
                  <w:pPr>
                    <w:keepNext w:val="0"/>
                    <w:keepLines w:val="0"/>
                    <w:widowControl/>
                    <w:suppressLineNumbers w:val="0"/>
                    <w:spacing w:line="240" w:lineRule="auto"/>
                    <w:jc w:val="center"/>
                    <w:rPr>
                      <w:rFonts w:hint="default" w:ascii="Times New Roman" w:hAnsi="Times New Roman" w:eastAsia="宋体" w:cs="Times New Roman"/>
                      <w:i w:val="0"/>
                      <w:iCs w:val="0"/>
                      <w:caps w:val="0"/>
                      <w:color w:val="FF0000"/>
                      <w:spacing w:val="0"/>
                      <w:sz w:val="21"/>
                      <w:szCs w:val="21"/>
                    </w:rPr>
                  </w:pPr>
                  <w:r>
                    <w:rPr>
                      <w:rFonts w:hint="default" w:ascii="Times New Roman" w:hAnsi="Times New Roman" w:eastAsia="宋体" w:cs="Times New Roman"/>
                      <w:i w:val="0"/>
                      <w:iCs w:val="0"/>
                      <w:caps w:val="0"/>
                      <w:color w:val="FF0000"/>
                      <w:spacing w:val="0"/>
                      <w:kern w:val="0"/>
                      <w:sz w:val="21"/>
                      <w:szCs w:val="21"/>
                      <w:lang w:val="en-US" w:eastAsia="zh-CN" w:bidi="ar"/>
                    </w:rPr>
                    <w:t>6</w:t>
                  </w:r>
                </w:p>
              </w:tc>
              <w:tc>
                <w:tcPr>
                  <w:tcW w:w="945" w:type="pct"/>
                  <w:tcBorders>
                    <w:tl2br w:val="nil"/>
                    <w:tr2bl w:val="nil"/>
                  </w:tcBorders>
                  <w:shd w:val="clear" w:color="auto" w:fill="auto"/>
                  <w:tcMar>
                    <w:top w:w="150" w:type="dxa"/>
                    <w:left w:w="150" w:type="dxa"/>
                    <w:bottom w:w="150" w:type="dxa"/>
                    <w:right w:w="150" w:type="dxa"/>
                  </w:tcMar>
                  <w:vAlign w:val="center"/>
                </w:tcPr>
                <w:p w14:paraId="3C59EB90">
                  <w:pPr>
                    <w:spacing w:line="240" w:lineRule="auto"/>
                    <w:jc w:val="center"/>
                    <w:rPr>
                      <w:rFonts w:hint="default" w:ascii="Times New Roman" w:hAnsi="Times New Roman" w:eastAsia="宋体" w:cs="Times New Roman"/>
                      <w:i w:val="0"/>
                      <w:iCs w:val="0"/>
                      <w:caps w:val="0"/>
                      <w:color w:val="FF0000"/>
                      <w:spacing w:val="0"/>
                      <w:sz w:val="21"/>
                      <w:szCs w:val="21"/>
                    </w:rPr>
                  </w:pPr>
                </w:p>
              </w:tc>
              <w:tc>
                <w:tcPr>
                  <w:tcW w:w="1593" w:type="pct"/>
                  <w:tcBorders>
                    <w:tl2br w:val="nil"/>
                    <w:tr2bl w:val="nil"/>
                  </w:tcBorders>
                  <w:shd w:val="clear" w:color="auto" w:fill="auto"/>
                  <w:tcMar>
                    <w:top w:w="150" w:type="dxa"/>
                    <w:left w:w="150" w:type="dxa"/>
                    <w:bottom w:w="150" w:type="dxa"/>
                    <w:right w:w="150" w:type="dxa"/>
                  </w:tcMar>
                  <w:vAlign w:val="center"/>
                </w:tcPr>
                <w:p w14:paraId="5A7E93A3">
                  <w:pPr>
                    <w:keepNext w:val="0"/>
                    <w:keepLines w:val="0"/>
                    <w:widowControl/>
                    <w:suppressLineNumbers w:val="0"/>
                    <w:spacing w:line="240" w:lineRule="auto"/>
                    <w:jc w:val="center"/>
                    <w:rPr>
                      <w:rFonts w:hint="default" w:ascii="Times New Roman" w:hAnsi="Times New Roman" w:eastAsia="宋体" w:cs="Times New Roman"/>
                      <w:i w:val="0"/>
                      <w:iCs w:val="0"/>
                      <w:caps w:val="0"/>
                      <w:color w:val="FF0000"/>
                      <w:spacing w:val="0"/>
                      <w:sz w:val="21"/>
                      <w:szCs w:val="21"/>
                    </w:rPr>
                  </w:pPr>
                  <w:r>
                    <w:rPr>
                      <w:rFonts w:hint="default" w:ascii="Times New Roman" w:hAnsi="Times New Roman" w:eastAsia="宋体" w:cs="Times New Roman"/>
                      <w:i w:val="0"/>
                      <w:iCs w:val="0"/>
                      <w:caps w:val="0"/>
                      <w:color w:val="FF0000"/>
                      <w:spacing w:val="0"/>
                      <w:kern w:val="0"/>
                      <w:sz w:val="21"/>
                      <w:szCs w:val="21"/>
                      <w:lang w:val="en-US" w:eastAsia="zh-CN" w:bidi="ar"/>
                    </w:rPr>
                    <w:t>安全气囊引爆器</w:t>
                  </w:r>
                </w:p>
              </w:tc>
              <w:tc>
                <w:tcPr>
                  <w:tcW w:w="1220" w:type="pct"/>
                  <w:tcBorders>
                    <w:tl2br w:val="nil"/>
                    <w:tr2bl w:val="nil"/>
                  </w:tcBorders>
                  <w:shd w:val="clear" w:color="auto" w:fill="auto"/>
                  <w:tcMar>
                    <w:top w:w="150" w:type="dxa"/>
                    <w:left w:w="150" w:type="dxa"/>
                    <w:bottom w:w="150" w:type="dxa"/>
                    <w:right w:w="150" w:type="dxa"/>
                  </w:tcMar>
                  <w:vAlign w:val="center"/>
                </w:tcPr>
                <w:p w14:paraId="6C63C419">
                  <w:pPr>
                    <w:keepNext w:val="0"/>
                    <w:keepLines w:val="0"/>
                    <w:widowControl/>
                    <w:suppressLineNumbers w:val="0"/>
                    <w:spacing w:line="240" w:lineRule="auto"/>
                    <w:jc w:val="center"/>
                    <w:rPr>
                      <w:rFonts w:hint="default" w:ascii="Times New Roman" w:hAnsi="Times New Roman" w:eastAsia="宋体" w:cs="Times New Roman"/>
                      <w:i w:val="0"/>
                      <w:iCs w:val="0"/>
                      <w:caps w:val="0"/>
                      <w:color w:val="FF0000"/>
                      <w:spacing w:val="0"/>
                      <w:sz w:val="21"/>
                      <w:szCs w:val="21"/>
                    </w:rPr>
                  </w:pPr>
                  <w:r>
                    <w:rPr>
                      <w:rFonts w:hint="default" w:ascii="Times New Roman" w:hAnsi="Times New Roman" w:eastAsia="宋体" w:cs="Times New Roman"/>
                      <w:i w:val="0"/>
                      <w:iCs w:val="0"/>
                      <w:caps w:val="0"/>
                      <w:color w:val="FF0000"/>
                      <w:spacing w:val="0"/>
                      <w:kern w:val="0"/>
                      <w:sz w:val="21"/>
                      <w:szCs w:val="21"/>
                      <w:lang w:val="en-US" w:eastAsia="zh-CN" w:bidi="ar"/>
                    </w:rPr>
                    <w:t>QY</w:t>
                  </w:r>
                </w:p>
              </w:tc>
              <w:tc>
                <w:tcPr>
                  <w:tcW w:w="423" w:type="pct"/>
                  <w:tcBorders>
                    <w:tl2br w:val="nil"/>
                    <w:tr2bl w:val="nil"/>
                  </w:tcBorders>
                  <w:shd w:val="clear" w:color="auto" w:fill="auto"/>
                  <w:tcMar>
                    <w:top w:w="150" w:type="dxa"/>
                    <w:left w:w="150" w:type="dxa"/>
                    <w:bottom w:w="150" w:type="dxa"/>
                    <w:right w:w="150" w:type="dxa"/>
                  </w:tcMar>
                  <w:vAlign w:val="center"/>
                </w:tcPr>
                <w:p w14:paraId="338FE705">
                  <w:pPr>
                    <w:keepNext w:val="0"/>
                    <w:keepLines w:val="0"/>
                    <w:widowControl/>
                    <w:suppressLineNumbers w:val="0"/>
                    <w:spacing w:line="240" w:lineRule="auto"/>
                    <w:jc w:val="center"/>
                    <w:rPr>
                      <w:rFonts w:hint="default" w:ascii="Times New Roman" w:hAnsi="Times New Roman" w:eastAsia="宋体" w:cs="Times New Roman"/>
                      <w:i w:val="0"/>
                      <w:iCs w:val="0"/>
                      <w:caps w:val="0"/>
                      <w:color w:val="FF0000"/>
                      <w:spacing w:val="0"/>
                      <w:sz w:val="21"/>
                      <w:szCs w:val="21"/>
                    </w:rPr>
                  </w:pPr>
                  <w:r>
                    <w:rPr>
                      <w:rFonts w:hint="default" w:ascii="Times New Roman" w:hAnsi="Times New Roman" w:eastAsia="宋体" w:cs="Times New Roman"/>
                      <w:i w:val="0"/>
                      <w:iCs w:val="0"/>
                      <w:caps w:val="0"/>
                      <w:color w:val="FF0000"/>
                      <w:spacing w:val="0"/>
                      <w:kern w:val="0"/>
                      <w:sz w:val="21"/>
                      <w:szCs w:val="21"/>
                      <w:lang w:val="en-US" w:eastAsia="zh-CN" w:bidi="ar"/>
                    </w:rPr>
                    <w:t>台</w:t>
                  </w:r>
                </w:p>
              </w:tc>
              <w:tc>
                <w:tcPr>
                  <w:tcW w:w="425" w:type="pct"/>
                  <w:tcBorders>
                    <w:tl2br w:val="nil"/>
                    <w:tr2bl w:val="nil"/>
                  </w:tcBorders>
                  <w:shd w:val="clear" w:color="auto" w:fill="auto"/>
                  <w:tcMar>
                    <w:top w:w="150" w:type="dxa"/>
                    <w:left w:w="150" w:type="dxa"/>
                    <w:bottom w:w="150" w:type="dxa"/>
                    <w:right w:w="150" w:type="dxa"/>
                  </w:tcMar>
                  <w:vAlign w:val="center"/>
                </w:tcPr>
                <w:p w14:paraId="083872CC">
                  <w:pPr>
                    <w:keepNext w:val="0"/>
                    <w:keepLines w:val="0"/>
                    <w:widowControl/>
                    <w:suppressLineNumbers w:val="0"/>
                    <w:spacing w:line="240" w:lineRule="auto"/>
                    <w:jc w:val="center"/>
                    <w:rPr>
                      <w:rFonts w:hint="default" w:ascii="Times New Roman" w:hAnsi="Times New Roman" w:eastAsia="宋体" w:cs="Times New Roman"/>
                      <w:i w:val="0"/>
                      <w:iCs w:val="0"/>
                      <w:caps w:val="0"/>
                      <w:color w:val="FF0000"/>
                      <w:spacing w:val="0"/>
                      <w:sz w:val="21"/>
                      <w:szCs w:val="21"/>
                    </w:rPr>
                  </w:pPr>
                  <w:r>
                    <w:rPr>
                      <w:rFonts w:hint="default" w:ascii="Times New Roman" w:hAnsi="Times New Roman" w:eastAsia="宋体" w:cs="Times New Roman"/>
                      <w:i w:val="0"/>
                      <w:iCs w:val="0"/>
                      <w:caps w:val="0"/>
                      <w:color w:val="FF0000"/>
                      <w:spacing w:val="0"/>
                      <w:kern w:val="0"/>
                      <w:sz w:val="21"/>
                      <w:szCs w:val="21"/>
                      <w:lang w:val="en-US" w:eastAsia="zh-CN" w:bidi="ar"/>
                    </w:rPr>
                    <w:t>2</w:t>
                  </w:r>
                </w:p>
              </w:tc>
            </w:tr>
            <w:tr w14:paraId="7D62DF58">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shd w:val="clear" w:color="auto" w:fill="auto"/>
                <w:tblCellMar>
                  <w:top w:w="15" w:type="dxa"/>
                  <w:left w:w="15" w:type="dxa"/>
                  <w:bottom w:w="15" w:type="dxa"/>
                  <w:right w:w="15" w:type="dxa"/>
                </w:tblCellMar>
              </w:tblPrEx>
              <w:trPr>
                <w:trHeight w:val="23" w:hRule="atLeast"/>
                <w:tblHeader/>
              </w:trPr>
              <w:tc>
                <w:tcPr>
                  <w:tcW w:w="391" w:type="pct"/>
                  <w:tcBorders>
                    <w:tl2br w:val="nil"/>
                    <w:tr2bl w:val="nil"/>
                  </w:tcBorders>
                  <w:shd w:val="clear" w:color="auto" w:fill="auto"/>
                  <w:tcMar>
                    <w:top w:w="150" w:type="dxa"/>
                    <w:left w:w="0" w:type="dxa"/>
                    <w:bottom w:w="150" w:type="dxa"/>
                    <w:right w:w="150" w:type="dxa"/>
                  </w:tcMar>
                  <w:vAlign w:val="center"/>
                </w:tcPr>
                <w:p w14:paraId="6696A1B5">
                  <w:pPr>
                    <w:keepNext w:val="0"/>
                    <w:keepLines w:val="0"/>
                    <w:widowControl/>
                    <w:suppressLineNumbers w:val="0"/>
                    <w:spacing w:line="240" w:lineRule="auto"/>
                    <w:jc w:val="center"/>
                    <w:rPr>
                      <w:rFonts w:hint="default" w:ascii="Times New Roman" w:hAnsi="Times New Roman" w:eastAsia="宋体" w:cs="Times New Roman"/>
                      <w:i w:val="0"/>
                      <w:iCs w:val="0"/>
                      <w:caps w:val="0"/>
                      <w:color w:val="FF0000"/>
                      <w:spacing w:val="0"/>
                      <w:sz w:val="21"/>
                      <w:szCs w:val="21"/>
                    </w:rPr>
                  </w:pPr>
                  <w:r>
                    <w:rPr>
                      <w:rFonts w:hint="default" w:ascii="Times New Roman" w:hAnsi="Times New Roman" w:eastAsia="宋体" w:cs="Times New Roman"/>
                      <w:i w:val="0"/>
                      <w:iCs w:val="0"/>
                      <w:caps w:val="0"/>
                      <w:color w:val="FF0000"/>
                      <w:spacing w:val="0"/>
                      <w:kern w:val="0"/>
                      <w:sz w:val="21"/>
                      <w:szCs w:val="21"/>
                      <w:lang w:val="en-US" w:eastAsia="zh-CN" w:bidi="ar"/>
                    </w:rPr>
                    <w:t>7</w:t>
                  </w:r>
                </w:p>
              </w:tc>
              <w:tc>
                <w:tcPr>
                  <w:tcW w:w="945" w:type="pct"/>
                  <w:tcBorders>
                    <w:tl2br w:val="nil"/>
                    <w:tr2bl w:val="nil"/>
                  </w:tcBorders>
                  <w:shd w:val="clear" w:color="auto" w:fill="auto"/>
                  <w:tcMar>
                    <w:top w:w="150" w:type="dxa"/>
                    <w:left w:w="150" w:type="dxa"/>
                    <w:bottom w:w="150" w:type="dxa"/>
                    <w:right w:w="150" w:type="dxa"/>
                  </w:tcMar>
                  <w:vAlign w:val="center"/>
                </w:tcPr>
                <w:p w14:paraId="4E1EEDFF">
                  <w:pPr>
                    <w:keepNext w:val="0"/>
                    <w:keepLines w:val="0"/>
                    <w:widowControl/>
                    <w:suppressLineNumbers w:val="0"/>
                    <w:spacing w:line="240" w:lineRule="auto"/>
                    <w:jc w:val="center"/>
                    <w:rPr>
                      <w:rFonts w:hint="default" w:ascii="Times New Roman" w:hAnsi="Times New Roman" w:eastAsia="宋体" w:cs="Times New Roman"/>
                      <w:i w:val="0"/>
                      <w:iCs w:val="0"/>
                      <w:caps w:val="0"/>
                      <w:color w:val="FF0000"/>
                      <w:spacing w:val="0"/>
                      <w:sz w:val="21"/>
                      <w:szCs w:val="21"/>
                    </w:rPr>
                  </w:pPr>
                  <w:r>
                    <w:rPr>
                      <w:rStyle w:val="37"/>
                      <w:rFonts w:hint="default" w:ascii="Times New Roman" w:hAnsi="Times New Roman" w:eastAsia="宋体" w:cs="Times New Roman"/>
                      <w:b/>
                      <w:bCs/>
                      <w:i w:val="0"/>
                      <w:iCs w:val="0"/>
                      <w:caps w:val="0"/>
                      <w:color w:val="FF0000"/>
                      <w:spacing w:val="0"/>
                      <w:kern w:val="0"/>
                      <w:sz w:val="21"/>
                      <w:szCs w:val="21"/>
                      <w:lang w:val="en-US" w:eastAsia="zh-CN" w:bidi="ar"/>
                    </w:rPr>
                    <w:t>油液处理系统</w:t>
                  </w:r>
                </w:p>
              </w:tc>
              <w:tc>
                <w:tcPr>
                  <w:tcW w:w="1593" w:type="pct"/>
                  <w:tcBorders>
                    <w:tl2br w:val="nil"/>
                    <w:tr2bl w:val="nil"/>
                  </w:tcBorders>
                  <w:shd w:val="clear" w:color="auto" w:fill="auto"/>
                  <w:tcMar>
                    <w:top w:w="150" w:type="dxa"/>
                    <w:left w:w="150" w:type="dxa"/>
                    <w:bottom w:w="150" w:type="dxa"/>
                    <w:right w:w="150" w:type="dxa"/>
                  </w:tcMar>
                  <w:vAlign w:val="center"/>
                </w:tcPr>
                <w:p w14:paraId="019ECF23">
                  <w:pPr>
                    <w:keepNext w:val="0"/>
                    <w:keepLines w:val="0"/>
                    <w:widowControl/>
                    <w:suppressLineNumbers w:val="0"/>
                    <w:spacing w:line="240" w:lineRule="auto"/>
                    <w:jc w:val="center"/>
                    <w:rPr>
                      <w:rFonts w:hint="default" w:ascii="Times New Roman" w:hAnsi="Times New Roman" w:eastAsia="宋体" w:cs="Times New Roman"/>
                      <w:i w:val="0"/>
                      <w:iCs w:val="0"/>
                      <w:caps w:val="0"/>
                      <w:color w:val="FF0000"/>
                      <w:spacing w:val="0"/>
                      <w:sz w:val="21"/>
                      <w:szCs w:val="21"/>
                    </w:rPr>
                  </w:pPr>
                  <w:r>
                    <w:rPr>
                      <w:rFonts w:hint="default" w:ascii="Times New Roman" w:hAnsi="Times New Roman" w:eastAsia="宋体" w:cs="Times New Roman"/>
                      <w:i w:val="0"/>
                      <w:iCs w:val="0"/>
                      <w:caps w:val="0"/>
                      <w:color w:val="FF0000"/>
                      <w:spacing w:val="0"/>
                      <w:kern w:val="0"/>
                      <w:sz w:val="21"/>
                      <w:szCs w:val="21"/>
                      <w:lang w:val="en-US" w:eastAsia="zh-CN" w:bidi="ar"/>
                    </w:rPr>
                    <w:t>移动气动戳孔放油机</w:t>
                  </w:r>
                </w:p>
              </w:tc>
              <w:tc>
                <w:tcPr>
                  <w:tcW w:w="1220" w:type="pct"/>
                  <w:tcBorders>
                    <w:tl2br w:val="nil"/>
                    <w:tr2bl w:val="nil"/>
                  </w:tcBorders>
                  <w:shd w:val="clear" w:color="auto" w:fill="auto"/>
                  <w:tcMar>
                    <w:top w:w="150" w:type="dxa"/>
                    <w:left w:w="150" w:type="dxa"/>
                    <w:bottom w:w="150" w:type="dxa"/>
                    <w:right w:w="150" w:type="dxa"/>
                  </w:tcMar>
                  <w:vAlign w:val="center"/>
                </w:tcPr>
                <w:p w14:paraId="16BEAFB5">
                  <w:pPr>
                    <w:keepNext w:val="0"/>
                    <w:keepLines w:val="0"/>
                    <w:widowControl/>
                    <w:suppressLineNumbers w:val="0"/>
                    <w:spacing w:line="240" w:lineRule="auto"/>
                    <w:jc w:val="center"/>
                    <w:rPr>
                      <w:rFonts w:hint="default" w:ascii="Times New Roman" w:hAnsi="Times New Roman" w:eastAsia="宋体" w:cs="Times New Roman"/>
                      <w:i w:val="0"/>
                      <w:iCs w:val="0"/>
                      <w:caps w:val="0"/>
                      <w:color w:val="FF0000"/>
                      <w:spacing w:val="0"/>
                      <w:sz w:val="21"/>
                      <w:szCs w:val="21"/>
                    </w:rPr>
                  </w:pPr>
                  <w:r>
                    <w:rPr>
                      <w:rFonts w:hint="default" w:ascii="Times New Roman" w:hAnsi="Times New Roman" w:eastAsia="宋体" w:cs="Times New Roman"/>
                      <w:i w:val="0"/>
                      <w:iCs w:val="0"/>
                      <w:caps w:val="0"/>
                      <w:color w:val="FF0000"/>
                      <w:spacing w:val="0"/>
                      <w:kern w:val="0"/>
                      <w:sz w:val="21"/>
                      <w:szCs w:val="21"/>
                      <w:lang w:val="en-US" w:eastAsia="zh-CN" w:bidi="ar"/>
                    </w:rPr>
                    <w:t>CK</w:t>
                  </w:r>
                </w:p>
              </w:tc>
              <w:tc>
                <w:tcPr>
                  <w:tcW w:w="423" w:type="pct"/>
                  <w:tcBorders>
                    <w:tl2br w:val="nil"/>
                    <w:tr2bl w:val="nil"/>
                  </w:tcBorders>
                  <w:shd w:val="clear" w:color="auto" w:fill="auto"/>
                  <w:tcMar>
                    <w:top w:w="150" w:type="dxa"/>
                    <w:left w:w="150" w:type="dxa"/>
                    <w:bottom w:w="150" w:type="dxa"/>
                    <w:right w:w="150" w:type="dxa"/>
                  </w:tcMar>
                  <w:vAlign w:val="center"/>
                </w:tcPr>
                <w:p w14:paraId="53C6BED1">
                  <w:pPr>
                    <w:keepNext w:val="0"/>
                    <w:keepLines w:val="0"/>
                    <w:widowControl/>
                    <w:suppressLineNumbers w:val="0"/>
                    <w:spacing w:line="240" w:lineRule="auto"/>
                    <w:jc w:val="center"/>
                    <w:rPr>
                      <w:rFonts w:hint="default" w:ascii="Times New Roman" w:hAnsi="Times New Roman" w:eastAsia="宋体" w:cs="Times New Roman"/>
                      <w:i w:val="0"/>
                      <w:iCs w:val="0"/>
                      <w:caps w:val="0"/>
                      <w:color w:val="FF0000"/>
                      <w:spacing w:val="0"/>
                      <w:sz w:val="21"/>
                      <w:szCs w:val="21"/>
                    </w:rPr>
                  </w:pPr>
                  <w:r>
                    <w:rPr>
                      <w:rFonts w:hint="default" w:ascii="Times New Roman" w:hAnsi="Times New Roman" w:eastAsia="宋体" w:cs="Times New Roman"/>
                      <w:i w:val="0"/>
                      <w:iCs w:val="0"/>
                      <w:caps w:val="0"/>
                      <w:color w:val="FF0000"/>
                      <w:spacing w:val="0"/>
                      <w:kern w:val="0"/>
                      <w:sz w:val="21"/>
                      <w:szCs w:val="21"/>
                      <w:lang w:val="en-US" w:eastAsia="zh-CN" w:bidi="ar"/>
                    </w:rPr>
                    <w:t>台</w:t>
                  </w:r>
                </w:p>
              </w:tc>
              <w:tc>
                <w:tcPr>
                  <w:tcW w:w="425" w:type="pct"/>
                  <w:tcBorders>
                    <w:tl2br w:val="nil"/>
                    <w:tr2bl w:val="nil"/>
                  </w:tcBorders>
                  <w:shd w:val="clear" w:color="auto" w:fill="auto"/>
                  <w:tcMar>
                    <w:top w:w="150" w:type="dxa"/>
                    <w:left w:w="150" w:type="dxa"/>
                    <w:bottom w:w="150" w:type="dxa"/>
                    <w:right w:w="150" w:type="dxa"/>
                  </w:tcMar>
                  <w:vAlign w:val="center"/>
                </w:tcPr>
                <w:p w14:paraId="559BA305">
                  <w:pPr>
                    <w:keepNext w:val="0"/>
                    <w:keepLines w:val="0"/>
                    <w:widowControl/>
                    <w:suppressLineNumbers w:val="0"/>
                    <w:spacing w:line="240" w:lineRule="auto"/>
                    <w:jc w:val="center"/>
                    <w:rPr>
                      <w:rFonts w:hint="default" w:ascii="Times New Roman" w:hAnsi="Times New Roman" w:eastAsia="宋体" w:cs="Times New Roman"/>
                      <w:i w:val="0"/>
                      <w:iCs w:val="0"/>
                      <w:caps w:val="0"/>
                      <w:color w:val="FF0000"/>
                      <w:spacing w:val="0"/>
                      <w:sz w:val="21"/>
                      <w:szCs w:val="21"/>
                    </w:rPr>
                  </w:pPr>
                  <w:r>
                    <w:rPr>
                      <w:rFonts w:hint="default" w:ascii="Times New Roman" w:hAnsi="Times New Roman" w:eastAsia="宋体" w:cs="Times New Roman"/>
                      <w:i w:val="0"/>
                      <w:iCs w:val="0"/>
                      <w:caps w:val="0"/>
                      <w:color w:val="FF0000"/>
                      <w:spacing w:val="0"/>
                      <w:kern w:val="0"/>
                      <w:sz w:val="21"/>
                      <w:szCs w:val="21"/>
                      <w:lang w:val="en-US" w:eastAsia="zh-CN" w:bidi="ar"/>
                    </w:rPr>
                    <w:t>2</w:t>
                  </w:r>
                </w:p>
              </w:tc>
            </w:tr>
            <w:tr w14:paraId="0303C360">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15" w:type="dxa"/>
                  <w:left w:w="15" w:type="dxa"/>
                  <w:bottom w:w="15" w:type="dxa"/>
                  <w:right w:w="15" w:type="dxa"/>
                </w:tblCellMar>
              </w:tblPrEx>
              <w:trPr>
                <w:trHeight w:val="23" w:hRule="atLeast"/>
                <w:tblHeader/>
              </w:trPr>
              <w:tc>
                <w:tcPr>
                  <w:tcW w:w="391" w:type="pct"/>
                  <w:tcBorders>
                    <w:tl2br w:val="nil"/>
                    <w:tr2bl w:val="nil"/>
                  </w:tcBorders>
                  <w:shd w:val="clear" w:color="auto" w:fill="auto"/>
                  <w:tcMar>
                    <w:top w:w="150" w:type="dxa"/>
                    <w:left w:w="0" w:type="dxa"/>
                    <w:bottom w:w="150" w:type="dxa"/>
                    <w:right w:w="150" w:type="dxa"/>
                  </w:tcMar>
                  <w:vAlign w:val="center"/>
                </w:tcPr>
                <w:p w14:paraId="13AB133D">
                  <w:pPr>
                    <w:keepNext w:val="0"/>
                    <w:keepLines w:val="0"/>
                    <w:widowControl/>
                    <w:suppressLineNumbers w:val="0"/>
                    <w:spacing w:line="240" w:lineRule="auto"/>
                    <w:jc w:val="center"/>
                    <w:rPr>
                      <w:rFonts w:hint="default" w:ascii="Times New Roman" w:hAnsi="Times New Roman" w:eastAsia="宋体" w:cs="Times New Roman"/>
                      <w:i w:val="0"/>
                      <w:iCs w:val="0"/>
                      <w:caps w:val="0"/>
                      <w:color w:val="FF0000"/>
                      <w:spacing w:val="0"/>
                      <w:sz w:val="21"/>
                      <w:szCs w:val="21"/>
                    </w:rPr>
                  </w:pPr>
                  <w:r>
                    <w:rPr>
                      <w:rFonts w:hint="default" w:ascii="Times New Roman" w:hAnsi="Times New Roman" w:eastAsia="宋体" w:cs="Times New Roman"/>
                      <w:i w:val="0"/>
                      <w:iCs w:val="0"/>
                      <w:caps w:val="0"/>
                      <w:color w:val="FF0000"/>
                      <w:spacing w:val="0"/>
                      <w:kern w:val="0"/>
                      <w:sz w:val="21"/>
                      <w:szCs w:val="21"/>
                      <w:lang w:val="en-US" w:eastAsia="zh-CN" w:bidi="ar"/>
                    </w:rPr>
                    <w:t>8</w:t>
                  </w:r>
                </w:p>
              </w:tc>
              <w:tc>
                <w:tcPr>
                  <w:tcW w:w="945" w:type="pct"/>
                  <w:tcBorders>
                    <w:tl2br w:val="nil"/>
                    <w:tr2bl w:val="nil"/>
                  </w:tcBorders>
                  <w:shd w:val="clear" w:color="auto" w:fill="auto"/>
                  <w:tcMar>
                    <w:top w:w="150" w:type="dxa"/>
                    <w:left w:w="150" w:type="dxa"/>
                    <w:bottom w:w="150" w:type="dxa"/>
                    <w:right w:w="150" w:type="dxa"/>
                  </w:tcMar>
                  <w:vAlign w:val="center"/>
                </w:tcPr>
                <w:p w14:paraId="7B8AB885">
                  <w:pPr>
                    <w:spacing w:line="240" w:lineRule="auto"/>
                    <w:jc w:val="center"/>
                    <w:rPr>
                      <w:rFonts w:hint="default" w:ascii="Times New Roman" w:hAnsi="Times New Roman" w:eastAsia="宋体" w:cs="Times New Roman"/>
                      <w:i w:val="0"/>
                      <w:iCs w:val="0"/>
                      <w:caps w:val="0"/>
                      <w:color w:val="FF0000"/>
                      <w:spacing w:val="0"/>
                      <w:sz w:val="21"/>
                      <w:szCs w:val="21"/>
                    </w:rPr>
                  </w:pPr>
                </w:p>
              </w:tc>
              <w:tc>
                <w:tcPr>
                  <w:tcW w:w="1593" w:type="pct"/>
                  <w:tcBorders>
                    <w:tl2br w:val="nil"/>
                    <w:tr2bl w:val="nil"/>
                  </w:tcBorders>
                  <w:shd w:val="clear" w:color="auto" w:fill="auto"/>
                  <w:tcMar>
                    <w:top w:w="150" w:type="dxa"/>
                    <w:left w:w="150" w:type="dxa"/>
                    <w:bottom w:w="150" w:type="dxa"/>
                    <w:right w:w="150" w:type="dxa"/>
                  </w:tcMar>
                  <w:vAlign w:val="center"/>
                </w:tcPr>
                <w:p w14:paraId="44B47160">
                  <w:pPr>
                    <w:keepNext w:val="0"/>
                    <w:keepLines w:val="0"/>
                    <w:widowControl/>
                    <w:suppressLineNumbers w:val="0"/>
                    <w:spacing w:line="240" w:lineRule="auto"/>
                    <w:jc w:val="center"/>
                    <w:rPr>
                      <w:rFonts w:hint="default" w:ascii="Times New Roman" w:hAnsi="Times New Roman" w:eastAsia="宋体" w:cs="Times New Roman"/>
                      <w:i w:val="0"/>
                      <w:iCs w:val="0"/>
                      <w:caps w:val="0"/>
                      <w:color w:val="FF0000"/>
                      <w:spacing w:val="0"/>
                      <w:sz w:val="21"/>
                      <w:szCs w:val="21"/>
                    </w:rPr>
                  </w:pPr>
                  <w:r>
                    <w:rPr>
                      <w:rFonts w:hint="default" w:ascii="Times New Roman" w:hAnsi="Times New Roman" w:eastAsia="宋体" w:cs="Times New Roman"/>
                      <w:i w:val="0"/>
                      <w:iCs w:val="0"/>
                      <w:caps w:val="0"/>
                      <w:color w:val="FF0000"/>
                      <w:spacing w:val="0"/>
                      <w:kern w:val="0"/>
                      <w:sz w:val="21"/>
                      <w:szCs w:val="21"/>
                      <w:lang w:val="en-US" w:eastAsia="zh-CN" w:bidi="ar"/>
                    </w:rPr>
                    <w:t>油液排放系统</w:t>
                  </w:r>
                </w:p>
              </w:tc>
              <w:tc>
                <w:tcPr>
                  <w:tcW w:w="1220" w:type="pct"/>
                  <w:tcBorders>
                    <w:tl2br w:val="nil"/>
                    <w:tr2bl w:val="nil"/>
                  </w:tcBorders>
                  <w:shd w:val="clear" w:color="auto" w:fill="auto"/>
                  <w:tcMar>
                    <w:top w:w="150" w:type="dxa"/>
                    <w:left w:w="150" w:type="dxa"/>
                    <w:bottom w:w="150" w:type="dxa"/>
                    <w:right w:w="150" w:type="dxa"/>
                  </w:tcMar>
                  <w:vAlign w:val="center"/>
                </w:tcPr>
                <w:p w14:paraId="60A95892">
                  <w:pPr>
                    <w:keepNext w:val="0"/>
                    <w:keepLines w:val="0"/>
                    <w:widowControl/>
                    <w:suppressLineNumbers w:val="0"/>
                    <w:spacing w:line="240" w:lineRule="auto"/>
                    <w:jc w:val="center"/>
                    <w:rPr>
                      <w:rFonts w:hint="default" w:ascii="Times New Roman" w:hAnsi="Times New Roman" w:eastAsia="宋体" w:cs="Times New Roman"/>
                      <w:i w:val="0"/>
                      <w:iCs w:val="0"/>
                      <w:caps w:val="0"/>
                      <w:color w:val="FF0000"/>
                      <w:spacing w:val="0"/>
                      <w:sz w:val="21"/>
                      <w:szCs w:val="21"/>
                    </w:rPr>
                  </w:pPr>
                  <w:r>
                    <w:rPr>
                      <w:rFonts w:hint="default" w:ascii="Times New Roman" w:hAnsi="Times New Roman" w:eastAsia="宋体" w:cs="Times New Roman"/>
                      <w:i w:val="0"/>
                      <w:iCs w:val="0"/>
                      <w:caps w:val="0"/>
                      <w:color w:val="FF0000"/>
                      <w:spacing w:val="0"/>
                      <w:kern w:val="0"/>
                      <w:sz w:val="21"/>
                      <w:szCs w:val="21"/>
                      <w:lang w:val="en-US" w:eastAsia="zh-CN" w:bidi="ar"/>
                    </w:rPr>
                    <w:t>YP5</w:t>
                  </w:r>
                </w:p>
              </w:tc>
              <w:tc>
                <w:tcPr>
                  <w:tcW w:w="423" w:type="pct"/>
                  <w:tcBorders>
                    <w:tl2br w:val="nil"/>
                    <w:tr2bl w:val="nil"/>
                  </w:tcBorders>
                  <w:shd w:val="clear" w:color="auto" w:fill="auto"/>
                  <w:tcMar>
                    <w:top w:w="150" w:type="dxa"/>
                    <w:left w:w="150" w:type="dxa"/>
                    <w:bottom w:w="150" w:type="dxa"/>
                    <w:right w:w="150" w:type="dxa"/>
                  </w:tcMar>
                  <w:vAlign w:val="center"/>
                </w:tcPr>
                <w:p w14:paraId="01AE03ED">
                  <w:pPr>
                    <w:keepNext w:val="0"/>
                    <w:keepLines w:val="0"/>
                    <w:widowControl/>
                    <w:suppressLineNumbers w:val="0"/>
                    <w:spacing w:line="240" w:lineRule="auto"/>
                    <w:jc w:val="center"/>
                    <w:rPr>
                      <w:rFonts w:hint="default" w:ascii="Times New Roman" w:hAnsi="Times New Roman" w:eastAsia="宋体" w:cs="Times New Roman"/>
                      <w:i w:val="0"/>
                      <w:iCs w:val="0"/>
                      <w:caps w:val="0"/>
                      <w:color w:val="FF0000"/>
                      <w:spacing w:val="0"/>
                      <w:sz w:val="21"/>
                      <w:szCs w:val="21"/>
                    </w:rPr>
                  </w:pPr>
                  <w:r>
                    <w:rPr>
                      <w:rFonts w:hint="default" w:ascii="Times New Roman" w:hAnsi="Times New Roman" w:eastAsia="宋体" w:cs="Times New Roman"/>
                      <w:i w:val="0"/>
                      <w:iCs w:val="0"/>
                      <w:caps w:val="0"/>
                      <w:color w:val="FF0000"/>
                      <w:spacing w:val="0"/>
                      <w:kern w:val="0"/>
                      <w:sz w:val="21"/>
                      <w:szCs w:val="21"/>
                      <w:lang w:val="en-US" w:eastAsia="zh-CN" w:bidi="ar"/>
                    </w:rPr>
                    <w:t>台</w:t>
                  </w:r>
                </w:p>
              </w:tc>
              <w:tc>
                <w:tcPr>
                  <w:tcW w:w="425" w:type="pct"/>
                  <w:tcBorders>
                    <w:tl2br w:val="nil"/>
                    <w:tr2bl w:val="nil"/>
                  </w:tcBorders>
                  <w:shd w:val="clear" w:color="auto" w:fill="auto"/>
                  <w:tcMar>
                    <w:top w:w="150" w:type="dxa"/>
                    <w:left w:w="150" w:type="dxa"/>
                    <w:bottom w:w="150" w:type="dxa"/>
                    <w:right w:w="150" w:type="dxa"/>
                  </w:tcMar>
                  <w:vAlign w:val="center"/>
                </w:tcPr>
                <w:p w14:paraId="105A8D88">
                  <w:pPr>
                    <w:keepNext w:val="0"/>
                    <w:keepLines w:val="0"/>
                    <w:widowControl/>
                    <w:suppressLineNumbers w:val="0"/>
                    <w:spacing w:line="240" w:lineRule="auto"/>
                    <w:jc w:val="center"/>
                    <w:rPr>
                      <w:rFonts w:hint="default" w:ascii="Times New Roman" w:hAnsi="Times New Roman" w:eastAsia="宋体" w:cs="Times New Roman"/>
                      <w:i w:val="0"/>
                      <w:iCs w:val="0"/>
                      <w:caps w:val="0"/>
                      <w:color w:val="FF0000"/>
                      <w:spacing w:val="0"/>
                      <w:sz w:val="21"/>
                      <w:szCs w:val="21"/>
                    </w:rPr>
                  </w:pPr>
                  <w:r>
                    <w:rPr>
                      <w:rFonts w:hint="default" w:ascii="Times New Roman" w:hAnsi="Times New Roman" w:eastAsia="宋体" w:cs="Times New Roman"/>
                      <w:i w:val="0"/>
                      <w:iCs w:val="0"/>
                      <w:caps w:val="0"/>
                      <w:color w:val="FF0000"/>
                      <w:spacing w:val="0"/>
                      <w:kern w:val="0"/>
                      <w:sz w:val="21"/>
                      <w:szCs w:val="21"/>
                      <w:lang w:val="en-US" w:eastAsia="zh-CN" w:bidi="ar"/>
                    </w:rPr>
                    <w:t>2</w:t>
                  </w:r>
                </w:p>
              </w:tc>
            </w:tr>
            <w:tr w14:paraId="6E321215">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shd w:val="clear" w:color="auto" w:fill="auto"/>
                <w:tblCellMar>
                  <w:top w:w="15" w:type="dxa"/>
                  <w:left w:w="15" w:type="dxa"/>
                  <w:bottom w:w="15" w:type="dxa"/>
                  <w:right w:w="15" w:type="dxa"/>
                </w:tblCellMar>
              </w:tblPrEx>
              <w:trPr>
                <w:trHeight w:val="23" w:hRule="atLeast"/>
                <w:tblHeader/>
              </w:trPr>
              <w:tc>
                <w:tcPr>
                  <w:tcW w:w="391" w:type="pct"/>
                  <w:tcBorders>
                    <w:tl2br w:val="nil"/>
                    <w:tr2bl w:val="nil"/>
                  </w:tcBorders>
                  <w:shd w:val="clear" w:color="auto" w:fill="auto"/>
                  <w:tcMar>
                    <w:top w:w="150" w:type="dxa"/>
                    <w:left w:w="0" w:type="dxa"/>
                    <w:bottom w:w="150" w:type="dxa"/>
                    <w:right w:w="150" w:type="dxa"/>
                  </w:tcMar>
                  <w:vAlign w:val="center"/>
                </w:tcPr>
                <w:p w14:paraId="44E7070A">
                  <w:pPr>
                    <w:keepNext w:val="0"/>
                    <w:keepLines w:val="0"/>
                    <w:widowControl/>
                    <w:suppressLineNumbers w:val="0"/>
                    <w:spacing w:line="240" w:lineRule="auto"/>
                    <w:jc w:val="center"/>
                    <w:rPr>
                      <w:rFonts w:hint="default" w:ascii="Times New Roman" w:hAnsi="Times New Roman" w:eastAsia="宋体" w:cs="Times New Roman"/>
                      <w:i w:val="0"/>
                      <w:iCs w:val="0"/>
                      <w:caps w:val="0"/>
                      <w:color w:val="FF0000"/>
                      <w:spacing w:val="0"/>
                      <w:sz w:val="21"/>
                      <w:szCs w:val="21"/>
                    </w:rPr>
                  </w:pPr>
                  <w:r>
                    <w:rPr>
                      <w:rFonts w:hint="default" w:ascii="Times New Roman" w:hAnsi="Times New Roman" w:eastAsia="宋体" w:cs="Times New Roman"/>
                      <w:i w:val="0"/>
                      <w:iCs w:val="0"/>
                      <w:caps w:val="0"/>
                      <w:color w:val="FF0000"/>
                      <w:spacing w:val="0"/>
                      <w:kern w:val="0"/>
                      <w:sz w:val="21"/>
                      <w:szCs w:val="21"/>
                      <w:lang w:val="en-US" w:eastAsia="zh-CN" w:bidi="ar"/>
                    </w:rPr>
                    <w:t>9</w:t>
                  </w:r>
                </w:p>
              </w:tc>
              <w:tc>
                <w:tcPr>
                  <w:tcW w:w="945" w:type="pct"/>
                  <w:tcBorders>
                    <w:tl2br w:val="nil"/>
                    <w:tr2bl w:val="nil"/>
                  </w:tcBorders>
                  <w:shd w:val="clear" w:color="auto" w:fill="auto"/>
                  <w:tcMar>
                    <w:top w:w="150" w:type="dxa"/>
                    <w:left w:w="150" w:type="dxa"/>
                    <w:bottom w:w="150" w:type="dxa"/>
                    <w:right w:w="150" w:type="dxa"/>
                  </w:tcMar>
                  <w:vAlign w:val="center"/>
                </w:tcPr>
                <w:p w14:paraId="2450D019">
                  <w:pPr>
                    <w:spacing w:line="240" w:lineRule="auto"/>
                    <w:jc w:val="center"/>
                    <w:rPr>
                      <w:rFonts w:hint="default" w:ascii="Times New Roman" w:hAnsi="Times New Roman" w:eastAsia="宋体" w:cs="Times New Roman"/>
                      <w:i w:val="0"/>
                      <w:iCs w:val="0"/>
                      <w:caps w:val="0"/>
                      <w:color w:val="FF0000"/>
                      <w:spacing w:val="0"/>
                      <w:sz w:val="21"/>
                      <w:szCs w:val="21"/>
                    </w:rPr>
                  </w:pPr>
                </w:p>
              </w:tc>
              <w:tc>
                <w:tcPr>
                  <w:tcW w:w="1593" w:type="pct"/>
                  <w:tcBorders>
                    <w:tl2br w:val="nil"/>
                    <w:tr2bl w:val="nil"/>
                  </w:tcBorders>
                  <w:shd w:val="clear" w:color="auto" w:fill="auto"/>
                  <w:tcMar>
                    <w:top w:w="150" w:type="dxa"/>
                    <w:left w:w="150" w:type="dxa"/>
                    <w:bottom w:w="150" w:type="dxa"/>
                    <w:right w:w="150" w:type="dxa"/>
                  </w:tcMar>
                  <w:vAlign w:val="center"/>
                </w:tcPr>
                <w:p w14:paraId="2E566511">
                  <w:pPr>
                    <w:keepNext w:val="0"/>
                    <w:keepLines w:val="0"/>
                    <w:widowControl/>
                    <w:suppressLineNumbers w:val="0"/>
                    <w:spacing w:line="240" w:lineRule="auto"/>
                    <w:jc w:val="center"/>
                    <w:rPr>
                      <w:rFonts w:hint="default" w:ascii="Times New Roman" w:hAnsi="Times New Roman" w:eastAsia="宋体" w:cs="Times New Roman"/>
                      <w:i w:val="0"/>
                      <w:iCs w:val="0"/>
                      <w:caps w:val="0"/>
                      <w:color w:val="FF0000"/>
                      <w:spacing w:val="0"/>
                      <w:sz w:val="21"/>
                      <w:szCs w:val="21"/>
                    </w:rPr>
                  </w:pPr>
                  <w:r>
                    <w:rPr>
                      <w:rFonts w:hint="default" w:ascii="Times New Roman" w:hAnsi="Times New Roman" w:eastAsia="宋体" w:cs="Times New Roman"/>
                      <w:i w:val="0"/>
                      <w:iCs w:val="0"/>
                      <w:caps w:val="0"/>
                      <w:color w:val="FF0000"/>
                      <w:spacing w:val="0"/>
                      <w:kern w:val="0"/>
                      <w:sz w:val="21"/>
                      <w:szCs w:val="21"/>
                      <w:lang w:val="en-US" w:eastAsia="zh-CN" w:bidi="ar"/>
                    </w:rPr>
                    <w:t>冷媒回收机</w:t>
                  </w:r>
                </w:p>
              </w:tc>
              <w:tc>
                <w:tcPr>
                  <w:tcW w:w="1220" w:type="pct"/>
                  <w:tcBorders>
                    <w:tl2br w:val="nil"/>
                    <w:tr2bl w:val="nil"/>
                  </w:tcBorders>
                  <w:shd w:val="clear" w:color="auto" w:fill="auto"/>
                  <w:tcMar>
                    <w:top w:w="150" w:type="dxa"/>
                    <w:left w:w="150" w:type="dxa"/>
                    <w:bottom w:w="150" w:type="dxa"/>
                    <w:right w:w="150" w:type="dxa"/>
                  </w:tcMar>
                  <w:vAlign w:val="center"/>
                </w:tcPr>
                <w:p w14:paraId="5566E9DE">
                  <w:pPr>
                    <w:keepNext w:val="0"/>
                    <w:keepLines w:val="0"/>
                    <w:widowControl/>
                    <w:suppressLineNumbers w:val="0"/>
                    <w:spacing w:line="240" w:lineRule="auto"/>
                    <w:jc w:val="center"/>
                    <w:rPr>
                      <w:rFonts w:hint="default" w:ascii="Times New Roman" w:hAnsi="Times New Roman" w:eastAsia="宋体" w:cs="Times New Roman"/>
                      <w:i w:val="0"/>
                      <w:iCs w:val="0"/>
                      <w:caps w:val="0"/>
                      <w:color w:val="FF0000"/>
                      <w:spacing w:val="0"/>
                      <w:sz w:val="21"/>
                      <w:szCs w:val="21"/>
                    </w:rPr>
                  </w:pPr>
                  <w:r>
                    <w:rPr>
                      <w:rFonts w:hint="default" w:ascii="Times New Roman" w:hAnsi="Times New Roman" w:eastAsia="宋体" w:cs="Times New Roman"/>
                      <w:i w:val="0"/>
                      <w:iCs w:val="0"/>
                      <w:caps w:val="0"/>
                      <w:color w:val="FF0000"/>
                      <w:spacing w:val="0"/>
                      <w:kern w:val="0"/>
                      <w:sz w:val="21"/>
                      <w:szCs w:val="21"/>
                      <w:lang w:val="en-US" w:eastAsia="zh-CN" w:bidi="ar"/>
                    </w:rPr>
                    <w:t>F05</w:t>
                  </w:r>
                </w:p>
              </w:tc>
              <w:tc>
                <w:tcPr>
                  <w:tcW w:w="423" w:type="pct"/>
                  <w:tcBorders>
                    <w:tl2br w:val="nil"/>
                    <w:tr2bl w:val="nil"/>
                  </w:tcBorders>
                  <w:shd w:val="clear" w:color="auto" w:fill="auto"/>
                  <w:tcMar>
                    <w:top w:w="150" w:type="dxa"/>
                    <w:left w:w="150" w:type="dxa"/>
                    <w:bottom w:w="150" w:type="dxa"/>
                    <w:right w:w="150" w:type="dxa"/>
                  </w:tcMar>
                  <w:vAlign w:val="center"/>
                </w:tcPr>
                <w:p w14:paraId="7BF42D8C">
                  <w:pPr>
                    <w:keepNext w:val="0"/>
                    <w:keepLines w:val="0"/>
                    <w:widowControl/>
                    <w:suppressLineNumbers w:val="0"/>
                    <w:spacing w:line="240" w:lineRule="auto"/>
                    <w:jc w:val="center"/>
                    <w:rPr>
                      <w:rFonts w:hint="default" w:ascii="Times New Roman" w:hAnsi="Times New Roman" w:eastAsia="宋体" w:cs="Times New Roman"/>
                      <w:i w:val="0"/>
                      <w:iCs w:val="0"/>
                      <w:caps w:val="0"/>
                      <w:color w:val="FF0000"/>
                      <w:spacing w:val="0"/>
                      <w:sz w:val="21"/>
                      <w:szCs w:val="21"/>
                    </w:rPr>
                  </w:pPr>
                  <w:r>
                    <w:rPr>
                      <w:rFonts w:hint="default" w:ascii="Times New Roman" w:hAnsi="Times New Roman" w:eastAsia="宋体" w:cs="Times New Roman"/>
                      <w:i w:val="0"/>
                      <w:iCs w:val="0"/>
                      <w:caps w:val="0"/>
                      <w:color w:val="FF0000"/>
                      <w:spacing w:val="0"/>
                      <w:kern w:val="0"/>
                      <w:sz w:val="21"/>
                      <w:szCs w:val="21"/>
                      <w:lang w:val="en-US" w:eastAsia="zh-CN" w:bidi="ar"/>
                    </w:rPr>
                    <w:t>台</w:t>
                  </w:r>
                </w:p>
              </w:tc>
              <w:tc>
                <w:tcPr>
                  <w:tcW w:w="425" w:type="pct"/>
                  <w:tcBorders>
                    <w:tl2br w:val="nil"/>
                    <w:tr2bl w:val="nil"/>
                  </w:tcBorders>
                  <w:shd w:val="clear" w:color="auto" w:fill="auto"/>
                  <w:tcMar>
                    <w:top w:w="150" w:type="dxa"/>
                    <w:left w:w="150" w:type="dxa"/>
                    <w:bottom w:w="150" w:type="dxa"/>
                    <w:right w:w="150" w:type="dxa"/>
                  </w:tcMar>
                  <w:vAlign w:val="center"/>
                </w:tcPr>
                <w:p w14:paraId="3942DC04">
                  <w:pPr>
                    <w:keepNext w:val="0"/>
                    <w:keepLines w:val="0"/>
                    <w:widowControl/>
                    <w:suppressLineNumbers w:val="0"/>
                    <w:spacing w:line="240" w:lineRule="auto"/>
                    <w:jc w:val="center"/>
                    <w:rPr>
                      <w:rFonts w:hint="default" w:ascii="Times New Roman" w:hAnsi="Times New Roman" w:eastAsia="宋体" w:cs="Times New Roman"/>
                      <w:i w:val="0"/>
                      <w:iCs w:val="0"/>
                      <w:caps w:val="0"/>
                      <w:color w:val="FF0000"/>
                      <w:spacing w:val="0"/>
                      <w:sz w:val="21"/>
                      <w:szCs w:val="21"/>
                    </w:rPr>
                  </w:pPr>
                  <w:r>
                    <w:rPr>
                      <w:rFonts w:hint="eastAsia" w:cs="Times New Roman"/>
                      <w:i w:val="0"/>
                      <w:iCs w:val="0"/>
                      <w:caps w:val="0"/>
                      <w:color w:val="FF0000"/>
                      <w:spacing w:val="0"/>
                      <w:kern w:val="0"/>
                      <w:sz w:val="21"/>
                      <w:szCs w:val="21"/>
                      <w:lang w:val="en-US" w:eastAsia="zh-CN" w:bidi="ar"/>
                    </w:rPr>
                    <w:t>2</w:t>
                  </w:r>
                </w:p>
              </w:tc>
            </w:tr>
            <w:tr w14:paraId="5AF20247">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shd w:val="clear" w:color="auto" w:fill="auto"/>
                <w:tblCellMar>
                  <w:top w:w="15" w:type="dxa"/>
                  <w:left w:w="15" w:type="dxa"/>
                  <w:bottom w:w="15" w:type="dxa"/>
                  <w:right w:w="15" w:type="dxa"/>
                </w:tblCellMar>
              </w:tblPrEx>
              <w:trPr>
                <w:trHeight w:val="23" w:hRule="atLeast"/>
                <w:tblHeader/>
              </w:trPr>
              <w:tc>
                <w:tcPr>
                  <w:tcW w:w="391" w:type="pct"/>
                  <w:tcBorders>
                    <w:tl2br w:val="nil"/>
                    <w:tr2bl w:val="nil"/>
                  </w:tcBorders>
                  <w:shd w:val="clear" w:color="auto" w:fill="auto"/>
                  <w:tcMar>
                    <w:top w:w="150" w:type="dxa"/>
                    <w:left w:w="0" w:type="dxa"/>
                    <w:bottom w:w="150" w:type="dxa"/>
                    <w:right w:w="150" w:type="dxa"/>
                  </w:tcMar>
                  <w:vAlign w:val="center"/>
                </w:tcPr>
                <w:p w14:paraId="58D0B314">
                  <w:pPr>
                    <w:keepNext w:val="0"/>
                    <w:keepLines w:val="0"/>
                    <w:widowControl/>
                    <w:suppressLineNumbers w:val="0"/>
                    <w:spacing w:line="240" w:lineRule="auto"/>
                    <w:jc w:val="center"/>
                    <w:rPr>
                      <w:rFonts w:hint="default" w:ascii="Times New Roman" w:hAnsi="Times New Roman" w:eastAsia="宋体" w:cs="Times New Roman"/>
                      <w:i w:val="0"/>
                      <w:iCs w:val="0"/>
                      <w:caps w:val="0"/>
                      <w:color w:val="FF0000"/>
                      <w:spacing w:val="0"/>
                      <w:sz w:val="21"/>
                      <w:szCs w:val="21"/>
                    </w:rPr>
                  </w:pPr>
                  <w:r>
                    <w:rPr>
                      <w:rFonts w:hint="default" w:ascii="Times New Roman" w:hAnsi="Times New Roman" w:eastAsia="宋体" w:cs="Times New Roman"/>
                      <w:i w:val="0"/>
                      <w:iCs w:val="0"/>
                      <w:caps w:val="0"/>
                      <w:color w:val="FF0000"/>
                      <w:spacing w:val="0"/>
                      <w:kern w:val="0"/>
                      <w:sz w:val="21"/>
                      <w:szCs w:val="21"/>
                      <w:lang w:val="en-US" w:eastAsia="zh-CN" w:bidi="ar"/>
                    </w:rPr>
                    <w:t>10</w:t>
                  </w:r>
                </w:p>
              </w:tc>
              <w:tc>
                <w:tcPr>
                  <w:tcW w:w="945" w:type="pct"/>
                  <w:tcBorders>
                    <w:tl2br w:val="nil"/>
                    <w:tr2bl w:val="nil"/>
                  </w:tcBorders>
                  <w:shd w:val="clear" w:color="auto" w:fill="auto"/>
                  <w:tcMar>
                    <w:top w:w="150" w:type="dxa"/>
                    <w:left w:w="150" w:type="dxa"/>
                    <w:bottom w:w="150" w:type="dxa"/>
                    <w:right w:w="150" w:type="dxa"/>
                  </w:tcMar>
                  <w:vAlign w:val="center"/>
                </w:tcPr>
                <w:p w14:paraId="2BFBBB4A">
                  <w:pPr>
                    <w:spacing w:line="240" w:lineRule="auto"/>
                    <w:jc w:val="center"/>
                    <w:rPr>
                      <w:rFonts w:hint="default" w:ascii="Times New Roman" w:hAnsi="Times New Roman" w:eastAsia="宋体" w:cs="Times New Roman"/>
                      <w:i w:val="0"/>
                      <w:iCs w:val="0"/>
                      <w:caps w:val="0"/>
                      <w:color w:val="FF0000"/>
                      <w:spacing w:val="0"/>
                      <w:sz w:val="21"/>
                      <w:szCs w:val="21"/>
                    </w:rPr>
                  </w:pPr>
                </w:p>
              </w:tc>
              <w:tc>
                <w:tcPr>
                  <w:tcW w:w="1593" w:type="pct"/>
                  <w:tcBorders>
                    <w:tl2br w:val="nil"/>
                    <w:tr2bl w:val="nil"/>
                  </w:tcBorders>
                  <w:shd w:val="clear" w:color="auto" w:fill="auto"/>
                  <w:tcMar>
                    <w:top w:w="150" w:type="dxa"/>
                    <w:left w:w="150" w:type="dxa"/>
                    <w:bottom w:w="150" w:type="dxa"/>
                    <w:right w:w="150" w:type="dxa"/>
                  </w:tcMar>
                  <w:vAlign w:val="center"/>
                </w:tcPr>
                <w:p w14:paraId="3283D961">
                  <w:pPr>
                    <w:keepNext w:val="0"/>
                    <w:keepLines w:val="0"/>
                    <w:widowControl/>
                    <w:suppressLineNumbers w:val="0"/>
                    <w:spacing w:line="240" w:lineRule="auto"/>
                    <w:jc w:val="center"/>
                    <w:rPr>
                      <w:rFonts w:hint="default" w:ascii="Times New Roman" w:hAnsi="Times New Roman" w:eastAsia="宋体" w:cs="Times New Roman"/>
                      <w:i w:val="0"/>
                      <w:iCs w:val="0"/>
                      <w:caps w:val="0"/>
                      <w:color w:val="FF0000"/>
                      <w:spacing w:val="0"/>
                      <w:sz w:val="21"/>
                      <w:szCs w:val="21"/>
                    </w:rPr>
                  </w:pPr>
                  <w:r>
                    <w:rPr>
                      <w:rFonts w:hint="default" w:ascii="Times New Roman" w:hAnsi="Times New Roman" w:eastAsia="宋体" w:cs="Times New Roman"/>
                      <w:i w:val="0"/>
                      <w:iCs w:val="0"/>
                      <w:caps w:val="0"/>
                      <w:color w:val="FF0000"/>
                      <w:spacing w:val="0"/>
                      <w:kern w:val="0"/>
                      <w:sz w:val="21"/>
                      <w:szCs w:val="21"/>
                      <w:lang w:val="en-US" w:eastAsia="zh-CN" w:bidi="ar"/>
                    </w:rPr>
                    <w:t>接油机</w:t>
                  </w:r>
                </w:p>
              </w:tc>
              <w:tc>
                <w:tcPr>
                  <w:tcW w:w="1220" w:type="pct"/>
                  <w:tcBorders>
                    <w:tl2br w:val="nil"/>
                    <w:tr2bl w:val="nil"/>
                  </w:tcBorders>
                  <w:shd w:val="clear" w:color="auto" w:fill="auto"/>
                  <w:tcMar>
                    <w:top w:w="150" w:type="dxa"/>
                    <w:left w:w="150" w:type="dxa"/>
                    <w:bottom w:w="150" w:type="dxa"/>
                    <w:right w:w="150" w:type="dxa"/>
                  </w:tcMar>
                  <w:vAlign w:val="center"/>
                </w:tcPr>
                <w:p w14:paraId="1D337F18">
                  <w:pPr>
                    <w:keepNext w:val="0"/>
                    <w:keepLines w:val="0"/>
                    <w:widowControl/>
                    <w:suppressLineNumbers w:val="0"/>
                    <w:spacing w:line="240" w:lineRule="auto"/>
                    <w:jc w:val="center"/>
                    <w:rPr>
                      <w:rFonts w:hint="default" w:ascii="Times New Roman" w:hAnsi="Times New Roman" w:eastAsia="宋体" w:cs="Times New Roman"/>
                      <w:i w:val="0"/>
                      <w:iCs w:val="0"/>
                      <w:caps w:val="0"/>
                      <w:color w:val="FF0000"/>
                      <w:spacing w:val="0"/>
                      <w:sz w:val="21"/>
                      <w:szCs w:val="21"/>
                    </w:rPr>
                  </w:pPr>
                  <w:r>
                    <w:rPr>
                      <w:rFonts w:hint="default" w:ascii="Times New Roman" w:hAnsi="Times New Roman" w:eastAsia="宋体" w:cs="Times New Roman"/>
                      <w:i w:val="0"/>
                      <w:iCs w:val="0"/>
                      <w:caps w:val="0"/>
                      <w:color w:val="FF0000"/>
                      <w:spacing w:val="0"/>
                      <w:kern w:val="0"/>
                      <w:sz w:val="21"/>
                      <w:szCs w:val="21"/>
                      <w:lang w:val="en-US" w:eastAsia="zh-CN" w:bidi="ar"/>
                    </w:rPr>
                    <w:t>独立式</w:t>
                  </w:r>
                </w:p>
              </w:tc>
              <w:tc>
                <w:tcPr>
                  <w:tcW w:w="423" w:type="pct"/>
                  <w:tcBorders>
                    <w:tl2br w:val="nil"/>
                    <w:tr2bl w:val="nil"/>
                  </w:tcBorders>
                  <w:shd w:val="clear" w:color="auto" w:fill="auto"/>
                  <w:tcMar>
                    <w:top w:w="150" w:type="dxa"/>
                    <w:left w:w="150" w:type="dxa"/>
                    <w:bottom w:w="150" w:type="dxa"/>
                    <w:right w:w="150" w:type="dxa"/>
                  </w:tcMar>
                  <w:vAlign w:val="center"/>
                </w:tcPr>
                <w:p w14:paraId="48601157">
                  <w:pPr>
                    <w:keepNext w:val="0"/>
                    <w:keepLines w:val="0"/>
                    <w:widowControl/>
                    <w:suppressLineNumbers w:val="0"/>
                    <w:spacing w:line="240" w:lineRule="auto"/>
                    <w:jc w:val="center"/>
                    <w:rPr>
                      <w:rFonts w:hint="default" w:ascii="Times New Roman" w:hAnsi="Times New Roman" w:eastAsia="宋体" w:cs="Times New Roman"/>
                      <w:i w:val="0"/>
                      <w:iCs w:val="0"/>
                      <w:caps w:val="0"/>
                      <w:color w:val="FF0000"/>
                      <w:spacing w:val="0"/>
                      <w:sz w:val="21"/>
                      <w:szCs w:val="21"/>
                    </w:rPr>
                  </w:pPr>
                  <w:r>
                    <w:rPr>
                      <w:rFonts w:hint="default" w:ascii="Times New Roman" w:hAnsi="Times New Roman" w:eastAsia="宋体" w:cs="Times New Roman"/>
                      <w:i w:val="0"/>
                      <w:iCs w:val="0"/>
                      <w:caps w:val="0"/>
                      <w:color w:val="FF0000"/>
                      <w:spacing w:val="0"/>
                      <w:kern w:val="0"/>
                      <w:sz w:val="21"/>
                      <w:szCs w:val="21"/>
                      <w:lang w:val="en-US" w:eastAsia="zh-CN" w:bidi="ar"/>
                    </w:rPr>
                    <w:t>台</w:t>
                  </w:r>
                </w:p>
              </w:tc>
              <w:tc>
                <w:tcPr>
                  <w:tcW w:w="425" w:type="pct"/>
                  <w:tcBorders>
                    <w:tl2br w:val="nil"/>
                    <w:tr2bl w:val="nil"/>
                  </w:tcBorders>
                  <w:shd w:val="clear" w:color="auto" w:fill="auto"/>
                  <w:tcMar>
                    <w:top w:w="150" w:type="dxa"/>
                    <w:left w:w="150" w:type="dxa"/>
                    <w:bottom w:w="150" w:type="dxa"/>
                    <w:right w:w="150" w:type="dxa"/>
                  </w:tcMar>
                  <w:vAlign w:val="center"/>
                </w:tcPr>
                <w:p w14:paraId="7555D8A6">
                  <w:pPr>
                    <w:keepNext w:val="0"/>
                    <w:keepLines w:val="0"/>
                    <w:widowControl/>
                    <w:suppressLineNumbers w:val="0"/>
                    <w:spacing w:line="240" w:lineRule="auto"/>
                    <w:jc w:val="center"/>
                    <w:rPr>
                      <w:rFonts w:hint="default" w:ascii="Times New Roman" w:hAnsi="Times New Roman" w:eastAsia="宋体" w:cs="Times New Roman"/>
                      <w:i w:val="0"/>
                      <w:iCs w:val="0"/>
                      <w:caps w:val="0"/>
                      <w:color w:val="FF0000"/>
                      <w:spacing w:val="0"/>
                      <w:sz w:val="21"/>
                      <w:szCs w:val="21"/>
                    </w:rPr>
                  </w:pPr>
                  <w:r>
                    <w:rPr>
                      <w:rFonts w:hint="eastAsia" w:cs="Times New Roman"/>
                      <w:i w:val="0"/>
                      <w:iCs w:val="0"/>
                      <w:caps w:val="0"/>
                      <w:color w:val="FF0000"/>
                      <w:spacing w:val="0"/>
                      <w:kern w:val="0"/>
                      <w:sz w:val="21"/>
                      <w:szCs w:val="21"/>
                      <w:lang w:val="en-US" w:eastAsia="zh-CN" w:bidi="ar"/>
                    </w:rPr>
                    <w:t>2</w:t>
                  </w:r>
                </w:p>
              </w:tc>
            </w:tr>
            <w:tr w14:paraId="5AED1AD8">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15" w:type="dxa"/>
                  <w:left w:w="15" w:type="dxa"/>
                  <w:bottom w:w="15" w:type="dxa"/>
                  <w:right w:w="15" w:type="dxa"/>
                </w:tblCellMar>
              </w:tblPrEx>
              <w:trPr>
                <w:trHeight w:val="23" w:hRule="atLeast"/>
                <w:tblHeader/>
              </w:trPr>
              <w:tc>
                <w:tcPr>
                  <w:tcW w:w="391" w:type="pct"/>
                  <w:tcBorders>
                    <w:tl2br w:val="nil"/>
                    <w:tr2bl w:val="nil"/>
                  </w:tcBorders>
                  <w:shd w:val="clear" w:color="auto" w:fill="auto"/>
                  <w:tcMar>
                    <w:top w:w="150" w:type="dxa"/>
                    <w:left w:w="0" w:type="dxa"/>
                    <w:bottom w:w="150" w:type="dxa"/>
                    <w:right w:w="150" w:type="dxa"/>
                  </w:tcMar>
                  <w:vAlign w:val="center"/>
                </w:tcPr>
                <w:p w14:paraId="5ED44410">
                  <w:pPr>
                    <w:keepNext w:val="0"/>
                    <w:keepLines w:val="0"/>
                    <w:widowControl/>
                    <w:suppressLineNumbers w:val="0"/>
                    <w:spacing w:line="240" w:lineRule="auto"/>
                    <w:jc w:val="center"/>
                    <w:rPr>
                      <w:rFonts w:hint="default" w:ascii="Times New Roman" w:hAnsi="Times New Roman" w:eastAsia="宋体" w:cs="Times New Roman"/>
                      <w:i w:val="0"/>
                      <w:iCs w:val="0"/>
                      <w:caps w:val="0"/>
                      <w:color w:val="FF0000"/>
                      <w:spacing w:val="0"/>
                      <w:kern w:val="2"/>
                      <w:sz w:val="21"/>
                      <w:szCs w:val="21"/>
                      <w:lang w:val="en-US" w:eastAsia="zh-CN" w:bidi="ar-SA"/>
                    </w:rPr>
                  </w:pPr>
                  <w:r>
                    <w:rPr>
                      <w:rFonts w:hint="default" w:ascii="Times New Roman" w:hAnsi="Times New Roman" w:eastAsia="宋体" w:cs="Times New Roman"/>
                      <w:i w:val="0"/>
                      <w:iCs w:val="0"/>
                      <w:caps w:val="0"/>
                      <w:color w:val="FF0000"/>
                      <w:spacing w:val="0"/>
                      <w:kern w:val="0"/>
                      <w:sz w:val="21"/>
                      <w:szCs w:val="21"/>
                      <w:lang w:val="en-US" w:eastAsia="zh-CN" w:bidi="ar"/>
                    </w:rPr>
                    <w:t>11</w:t>
                  </w:r>
                </w:p>
              </w:tc>
              <w:tc>
                <w:tcPr>
                  <w:tcW w:w="945" w:type="pct"/>
                  <w:tcBorders>
                    <w:tl2br w:val="nil"/>
                    <w:tr2bl w:val="nil"/>
                  </w:tcBorders>
                  <w:shd w:val="clear" w:color="auto" w:fill="auto"/>
                  <w:tcMar>
                    <w:top w:w="150" w:type="dxa"/>
                    <w:left w:w="150" w:type="dxa"/>
                    <w:bottom w:w="150" w:type="dxa"/>
                    <w:right w:w="150" w:type="dxa"/>
                  </w:tcMar>
                  <w:vAlign w:val="center"/>
                </w:tcPr>
                <w:p w14:paraId="08624783">
                  <w:pPr>
                    <w:keepNext w:val="0"/>
                    <w:keepLines w:val="0"/>
                    <w:widowControl/>
                    <w:suppressLineNumbers w:val="0"/>
                    <w:spacing w:line="240" w:lineRule="auto"/>
                    <w:jc w:val="center"/>
                    <w:rPr>
                      <w:rFonts w:hint="default" w:ascii="Times New Roman" w:hAnsi="Times New Roman" w:eastAsia="宋体" w:cs="Times New Roman"/>
                      <w:i w:val="0"/>
                      <w:iCs w:val="0"/>
                      <w:caps w:val="0"/>
                      <w:color w:val="FF0000"/>
                      <w:spacing w:val="0"/>
                      <w:sz w:val="21"/>
                      <w:szCs w:val="21"/>
                    </w:rPr>
                  </w:pPr>
                  <w:r>
                    <w:rPr>
                      <w:rStyle w:val="37"/>
                      <w:rFonts w:hint="default" w:ascii="Times New Roman" w:hAnsi="Times New Roman" w:eastAsia="宋体" w:cs="Times New Roman"/>
                      <w:b/>
                      <w:bCs/>
                      <w:i w:val="0"/>
                      <w:iCs w:val="0"/>
                      <w:caps w:val="0"/>
                      <w:color w:val="FF0000"/>
                      <w:spacing w:val="0"/>
                      <w:kern w:val="0"/>
                      <w:sz w:val="21"/>
                      <w:szCs w:val="21"/>
                      <w:lang w:val="en-US" w:eastAsia="zh-CN" w:bidi="ar"/>
                    </w:rPr>
                    <w:t>拆解作业设备</w:t>
                  </w:r>
                </w:p>
              </w:tc>
              <w:tc>
                <w:tcPr>
                  <w:tcW w:w="1593" w:type="pct"/>
                  <w:tcBorders>
                    <w:tl2br w:val="nil"/>
                    <w:tr2bl w:val="nil"/>
                  </w:tcBorders>
                  <w:shd w:val="clear" w:color="auto" w:fill="auto"/>
                  <w:tcMar>
                    <w:top w:w="150" w:type="dxa"/>
                    <w:left w:w="150" w:type="dxa"/>
                    <w:bottom w:w="150" w:type="dxa"/>
                    <w:right w:w="150" w:type="dxa"/>
                  </w:tcMar>
                  <w:vAlign w:val="center"/>
                </w:tcPr>
                <w:p w14:paraId="4C56B212">
                  <w:pPr>
                    <w:keepNext w:val="0"/>
                    <w:keepLines w:val="0"/>
                    <w:widowControl/>
                    <w:suppressLineNumbers w:val="0"/>
                    <w:spacing w:line="240" w:lineRule="auto"/>
                    <w:jc w:val="center"/>
                    <w:rPr>
                      <w:rFonts w:hint="default" w:ascii="Times New Roman" w:hAnsi="Times New Roman" w:eastAsia="宋体" w:cs="Times New Roman"/>
                      <w:i w:val="0"/>
                      <w:iCs w:val="0"/>
                      <w:caps w:val="0"/>
                      <w:color w:val="FF0000"/>
                      <w:spacing w:val="0"/>
                      <w:sz w:val="21"/>
                      <w:szCs w:val="21"/>
                    </w:rPr>
                  </w:pPr>
                  <w:r>
                    <w:rPr>
                      <w:rFonts w:hint="default" w:ascii="Times New Roman" w:hAnsi="Times New Roman" w:eastAsia="宋体" w:cs="Times New Roman"/>
                      <w:i w:val="0"/>
                      <w:iCs w:val="0"/>
                      <w:caps w:val="0"/>
                      <w:color w:val="FF0000"/>
                      <w:spacing w:val="0"/>
                      <w:kern w:val="0"/>
                      <w:sz w:val="21"/>
                      <w:szCs w:val="21"/>
                      <w:lang w:val="en-US" w:eastAsia="zh-CN" w:bidi="ar"/>
                    </w:rPr>
                    <w:t>汽车拆解机</w:t>
                  </w:r>
                </w:p>
              </w:tc>
              <w:tc>
                <w:tcPr>
                  <w:tcW w:w="1220" w:type="pct"/>
                  <w:tcBorders>
                    <w:tl2br w:val="nil"/>
                    <w:tr2bl w:val="nil"/>
                  </w:tcBorders>
                  <w:shd w:val="clear" w:color="auto" w:fill="auto"/>
                  <w:tcMar>
                    <w:top w:w="150" w:type="dxa"/>
                    <w:left w:w="150" w:type="dxa"/>
                    <w:bottom w:w="150" w:type="dxa"/>
                    <w:right w:w="150" w:type="dxa"/>
                  </w:tcMar>
                  <w:vAlign w:val="center"/>
                </w:tcPr>
                <w:p w14:paraId="162A8D2A">
                  <w:pPr>
                    <w:keepNext w:val="0"/>
                    <w:keepLines w:val="0"/>
                    <w:widowControl/>
                    <w:suppressLineNumbers w:val="0"/>
                    <w:spacing w:line="240" w:lineRule="auto"/>
                    <w:jc w:val="center"/>
                    <w:rPr>
                      <w:rFonts w:hint="default" w:ascii="Times New Roman" w:hAnsi="Times New Roman" w:eastAsia="宋体" w:cs="Times New Roman"/>
                      <w:i w:val="0"/>
                      <w:iCs w:val="0"/>
                      <w:caps w:val="0"/>
                      <w:color w:val="FF0000"/>
                      <w:spacing w:val="0"/>
                      <w:sz w:val="21"/>
                      <w:szCs w:val="21"/>
                    </w:rPr>
                  </w:pPr>
                  <w:r>
                    <w:rPr>
                      <w:rFonts w:hint="default" w:ascii="Times New Roman" w:hAnsi="Times New Roman" w:eastAsia="宋体" w:cs="Times New Roman"/>
                      <w:i w:val="0"/>
                      <w:iCs w:val="0"/>
                      <w:caps w:val="0"/>
                      <w:color w:val="FF0000"/>
                      <w:spacing w:val="0"/>
                      <w:kern w:val="0"/>
                      <w:sz w:val="21"/>
                      <w:szCs w:val="21"/>
                      <w:lang w:val="en-US" w:eastAsia="zh-CN" w:bidi="ar"/>
                    </w:rPr>
                    <w:t>/</w:t>
                  </w:r>
                </w:p>
              </w:tc>
              <w:tc>
                <w:tcPr>
                  <w:tcW w:w="423" w:type="pct"/>
                  <w:tcBorders>
                    <w:tl2br w:val="nil"/>
                    <w:tr2bl w:val="nil"/>
                  </w:tcBorders>
                  <w:shd w:val="clear" w:color="auto" w:fill="auto"/>
                  <w:tcMar>
                    <w:top w:w="150" w:type="dxa"/>
                    <w:left w:w="150" w:type="dxa"/>
                    <w:bottom w:w="150" w:type="dxa"/>
                    <w:right w:w="150" w:type="dxa"/>
                  </w:tcMar>
                  <w:vAlign w:val="center"/>
                </w:tcPr>
                <w:p w14:paraId="7CEFF837">
                  <w:pPr>
                    <w:keepNext w:val="0"/>
                    <w:keepLines w:val="0"/>
                    <w:widowControl/>
                    <w:suppressLineNumbers w:val="0"/>
                    <w:spacing w:line="240" w:lineRule="auto"/>
                    <w:jc w:val="center"/>
                    <w:rPr>
                      <w:rFonts w:hint="default" w:ascii="Times New Roman" w:hAnsi="Times New Roman" w:eastAsia="宋体" w:cs="Times New Roman"/>
                      <w:i w:val="0"/>
                      <w:iCs w:val="0"/>
                      <w:caps w:val="0"/>
                      <w:color w:val="FF0000"/>
                      <w:spacing w:val="0"/>
                      <w:sz w:val="21"/>
                      <w:szCs w:val="21"/>
                    </w:rPr>
                  </w:pPr>
                  <w:r>
                    <w:rPr>
                      <w:rFonts w:hint="default" w:ascii="Times New Roman" w:hAnsi="Times New Roman" w:eastAsia="宋体" w:cs="Times New Roman"/>
                      <w:i w:val="0"/>
                      <w:iCs w:val="0"/>
                      <w:caps w:val="0"/>
                      <w:color w:val="FF0000"/>
                      <w:spacing w:val="0"/>
                      <w:kern w:val="0"/>
                      <w:sz w:val="21"/>
                      <w:szCs w:val="21"/>
                      <w:lang w:val="en-US" w:eastAsia="zh-CN" w:bidi="ar"/>
                    </w:rPr>
                    <w:t>台</w:t>
                  </w:r>
                </w:p>
              </w:tc>
              <w:tc>
                <w:tcPr>
                  <w:tcW w:w="425" w:type="pct"/>
                  <w:tcBorders>
                    <w:tl2br w:val="nil"/>
                    <w:tr2bl w:val="nil"/>
                  </w:tcBorders>
                  <w:shd w:val="clear" w:color="auto" w:fill="auto"/>
                  <w:tcMar>
                    <w:top w:w="150" w:type="dxa"/>
                    <w:left w:w="150" w:type="dxa"/>
                    <w:bottom w:w="150" w:type="dxa"/>
                    <w:right w:w="150" w:type="dxa"/>
                  </w:tcMar>
                  <w:vAlign w:val="center"/>
                </w:tcPr>
                <w:p w14:paraId="1ED09D20">
                  <w:pPr>
                    <w:keepNext w:val="0"/>
                    <w:keepLines w:val="0"/>
                    <w:widowControl/>
                    <w:suppressLineNumbers w:val="0"/>
                    <w:spacing w:line="240" w:lineRule="auto"/>
                    <w:jc w:val="center"/>
                    <w:rPr>
                      <w:rFonts w:hint="default" w:ascii="Times New Roman" w:hAnsi="Times New Roman" w:eastAsia="宋体" w:cs="Times New Roman"/>
                      <w:i w:val="0"/>
                      <w:iCs w:val="0"/>
                      <w:caps w:val="0"/>
                      <w:color w:val="FF0000"/>
                      <w:spacing w:val="0"/>
                      <w:sz w:val="21"/>
                      <w:szCs w:val="21"/>
                    </w:rPr>
                  </w:pPr>
                  <w:r>
                    <w:rPr>
                      <w:rFonts w:hint="eastAsia" w:cs="Times New Roman"/>
                      <w:i w:val="0"/>
                      <w:iCs w:val="0"/>
                      <w:caps w:val="0"/>
                      <w:color w:val="FF0000"/>
                      <w:spacing w:val="0"/>
                      <w:kern w:val="0"/>
                      <w:sz w:val="21"/>
                      <w:szCs w:val="21"/>
                      <w:lang w:val="en-US" w:eastAsia="zh-CN" w:bidi="ar"/>
                    </w:rPr>
                    <w:t>6</w:t>
                  </w:r>
                </w:p>
              </w:tc>
            </w:tr>
            <w:tr w14:paraId="796F9B25">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15" w:type="dxa"/>
                  <w:left w:w="15" w:type="dxa"/>
                  <w:bottom w:w="15" w:type="dxa"/>
                  <w:right w:w="15" w:type="dxa"/>
                </w:tblCellMar>
              </w:tblPrEx>
              <w:trPr>
                <w:trHeight w:val="23" w:hRule="atLeast"/>
                <w:tblHeader/>
              </w:trPr>
              <w:tc>
                <w:tcPr>
                  <w:tcW w:w="391" w:type="pct"/>
                  <w:tcBorders>
                    <w:tl2br w:val="nil"/>
                    <w:tr2bl w:val="nil"/>
                  </w:tcBorders>
                  <w:shd w:val="clear" w:color="auto" w:fill="auto"/>
                  <w:tcMar>
                    <w:top w:w="150" w:type="dxa"/>
                    <w:left w:w="0" w:type="dxa"/>
                    <w:bottom w:w="150" w:type="dxa"/>
                    <w:right w:w="150" w:type="dxa"/>
                  </w:tcMar>
                  <w:vAlign w:val="center"/>
                </w:tcPr>
                <w:p w14:paraId="66AB10B6">
                  <w:pPr>
                    <w:keepNext w:val="0"/>
                    <w:keepLines w:val="0"/>
                    <w:widowControl/>
                    <w:suppressLineNumbers w:val="0"/>
                    <w:spacing w:line="240" w:lineRule="auto"/>
                    <w:jc w:val="center"/>
                    <w:rPr>
                      <w:rFonts w:hint="default" w:ascii="Times New Roman" w:hAnsi="Times New Roman" w:eastAsia="宋体" w:cs="Times New Roman"/>
                      <w:i w:val="0"/>
                      <w:iCs w:val="0"/>
                      <w:caps w:val="0"/>
                      <w:color w:val="FF0000"/>
                      <w:spacing w:val="0"/>
                      <w:kern w:val="2"/>
                      <w:sz w:val="21"/>
                      <w:szCs w:val="21"/>
                      <w:lang w:val="en-US" w:eastAsia="zh-CN" w:bidi="ar-SA"/>
                    </w:rPr>
                  </w:pPr>
                  <w:r>
                    <w:rPr>
                      <w:rFonts w:hint="default" w:ascii="Times New Roman" w:hAnsi="Times New Roman" w:eastAsia="宋体" w:cs="Times New Roman"/>
                      <w:i w:val="0"/>
                      <w:iCs w:val="0"/>
                      <w:caps w:val="0"/>
                      <w:color w:val="FF0000"/>
                      <w:spacing w:val="0"/>
                      <w:kern w:val="0"/>
                      <w:sz w:val="21"/>
                      <w:szCs w:val="21"/>
                      <w:lang w:val="en-US" w:eastAsia="zh-CN" w:bidi="ar"/>
                    </w:rPr>
                    <w:t>12</w:t>
                  </w:r>
                </w:p>
              </w:tc>
              <w:tc>
                <w:tcPr>
                  <w:tcW w:w="945" w:type="pct"/>
                  <w:tcBorders>
                    <w:tl2br w:val="nil"/>
                    <w:tr2bl w:val="nil"/>
                  </w:tcBorders>
                  <w:shd w:val="clear" w:color="auto" w:fill="auto"/>
                  <w:tcMar>
                    <w:top w:w="150" w:type="dxa"/>
                    <w:left w:w="150" w:type="dxa"/>
                    <w:bottom w:w="150" w:type="dxa"/>
                    <w:right w:w="150" w:type="dxa"/>
                  </w:tcMar>
                  <w:vAlign w:val="center"/>
                </w:tcPr>
                <w:p w14:paraId="65A85891">
                  <w:pPr>
                    <w:spacing w:line="240" w:lineRule="auto"/>
                    <w:jc w:val="center"/>
                    <w:rPr>
                      <w:rFonts w:hint="default" w:ascii="Times New Roman" w:hAnsi="Times New Roman" w:eastAsia="宋体" w:cs="Times New Roman"/>
                      <w:i w:val="0"/>
                      <w:iCs w:val="0"/>
                      <w:caps w:val="0"/>
                      <w:color w:val="FF0000"/>
                      <w:spacing w:val="0"/>
                      <w:sz w:val="21"/>
                      <w:szCs w:val="21"/>
                    </w:rPr>
                  </w:pPr>
                </w:p>
              </w:tc>
              <w:tc>
                <w:tcPr>
                  <w:tcW w:w="1593" w:type="pct"/>
                  <w:tcBorders>
                    <w:tl2br w:val="nil"/>
                    <w:tr2bl w:val="nil"/>
                  </w:tcBorders>
                  <w:shd w:val="clear" w:color="auto" w:fill="auto"/>
                  <w:tcMar>
                    <w:top w:w="150" w:type="dxa"/>
                    <w:left w:w="150" w:type="dxa"/>
                    <w:bottom w:w="150" w:type="dxa"/>
                    <w:right w:w="150" w:type="dxa"/>
                  </w:tcMar>
                  <w:vAlign w:val="center"/>
                </w:tcPr>
                <w:p w14:paraId="2976E6A5">
                  <w:pPr>
                    <w:keepNext w:val="0"/>
                    <w:keepLines w:val="0"/>
                    <w:widowControl/>
                    <w:suppressLineNumbers w:val="0"/>
                    <w:spacing w:line="240" w:lineRule="auto"/>
                    <w:jc w:val="center"/>
                    <w:rPr>
                      <w:rFonts w:hint="default" w:ascii="Times New Roman" w:hAnsi="Times New Roman" w:eastAsia="宋体" w:cs="Times New Roman"/>
                      <w:i w:val="0"/>
                      <w:iCs w:val="0"/>
                      <w:caps w:val="0"/>
                      <w:color w:val="FF0000"/>
                      <w:spacing w:val="0"/>
                      <w:sz w:val="21"/>
                      <w:szCs w:val="21"/>
                    </w:rPr>
                  </w:pPr>
                  <w:r>
                    <w:rPr>
                      <w:rFonts w:hint="default" w:ascii="Times New Roman" w:hAnsi="Times New Roman" w:eastAsia="宋体" w:cs="Times New Roman"/>
                      <w:i w:val="0"/>
                      <w:iCs w:val="0"/>
                      <w:caps w:val="0"/>
                      <w:color w:val="FF0000"/>
                      <w:spacing w:val="0"/>
                      <w:kern w:val="0"/>
                      <w:sz w:val="21"/>
                      <w:szCs w:val="21"/>
                      <w:lang w:val="en-US" w:eastAsia="zh-CN" w:bidi="ar"/>
                    </w:rPr>
                    <w:t>移动式液压剪</w:t>
                  </w:r>
                </w:p>
              </w:tc>
              <w:tc>
                <w:tcPr>
                  <w:tcW w:w="1220" w:type="pct"/>
                  <w:tcBorders>
                    <w:tl2br w:val="nil"/>
                    <w:tr2bl w:val="nil"/>
                  </w:tcBorders>
                  <w:shd w:val="clear" w:color="auto" w:fill="auto"/>
                  <w:tcMar>
                    <w:top w:w="150" w:type="dxa"/>
                    <w:left w:w="150" w:type="dxa"/>
                    <w:bottom w:w="150" w:type="dxa"/>
                    <w:right w:w="150" w:type="dxa"/>
                  </w:tcMar>
                  <w:vAlign w:val="center"/>
                </w:tcPr>
                <w:p w14:paraId="67DD587E">
                  <w:pPr>
                    <w:keepNext w:val="0"/>
                    <w:keepLines w:val="0"/>
                    <w:widowControl/>
                    <w:suppressLineNumbers w:val="0"/>
                    <w:spacing w:line="240" w:lineRule="auto"/>
                    <w:jc w:val="center"/>
                    <w:rPr>
                      <w:rFonts w:hint="default" w:ascii="Times New Roman" w:hAnsi="Times New Roman" w:eastAsia="宋体" w:cs="Times New Roman"/>
                      <w:i w:val="0"/>
                      <w:iCs w:val="0"/>
                      <w:caps w:val="0"/>
                      <w:color w:val="FF0000"/>
                      <w:spacing w:val="0"/>
                      <w:sz w:val="21"/>
                      <w:szCs w:val="21"/>
                    </w:rPr>
                  </w:pPr>
                  <w:r>
                    <w:rPr>
                      <w:rFonts w:hint="default" w:ascii="Times New Roman" w:hAnsi="Times New Roman" w:eastAsia="宋体" w:cs="Times New Roman"/>
                      <w:i w:val="0"/>
                      <w:iCs w:val="0"/>
                      <w:caps w:val="0"/>
                      <w:color w:val="FF0000"/>
                      <w:spacing w:val="0"/>
                      <w:kern w:val="0"/>
                      <w:sz w:val="21"/>
                      <w:szCs w:val="21"/>
                      <w:lang w:val="en-US" w:eastAsia="zh-CN" w:bidi="ar"/>
                    </w:rPr>
                    <w:t>10A30/IPU-M12W</w:t>
                  </w:r>
                </w:p>
              </w:tc>
              <w:tc>
                <w:tcPr>
                  <w:tcW w:w="423" w:type="pct"/>
                  <w:tcBorders>
                    <w:tl2br w:val="nil"/>
                    <w:tr2bl w:val="nil"/>
                  </w:tcBorders>
                  <w:shd w:val="clear" w:color="auto" w:fill="auto"/>
                  <w:tcMar>
                    <w:top w:w="150" w:type="dxa"/>
                    <w:left w:w="150" w:type="dxa"/>
                    <w:bottom w:w="150" w:type="dxa"/>
                    <w:right w:w="150" w:type="dxa"/>
                  </w:tcMar>
                  <w:vAlign w:val="center"/>
                </w:tcPr>
                <w:p w14:paraId="1FFBA458">
                  <w:pPr>
                    <w:keepNext w:val="0"/>
                    <w:keepLines w:val="0"/>
                    <w:widowControl/>
                    <w:suppressLineNumbers w:val="0"/>
                    <w:spacing w:line="240" w:lineRule="auto"/>
                    <w:jc w:val="center"/>
                    <w:rPr>
                      <w:rFonts w:hint="default" w:ascii="Times New Roman" w:hAnsi="Times New Roman" w:eastAsia="宋体" w:cs="Times New Roman"/>
                      <w:i w:val="0"/>
                      <w:iCs w:val="0"/>
                      <w:caps w:val="0"/>
                      <w:color w:val="FF0000"/>
                      <w:spacing w:val="0"/>
                      <w:sz w:val="21"/>
                      <w:szCs w:val="21"/>
                    </w:rPr>
                  </w:pPr>
                  <w:r>
                    <w:rPr>
                      <w:rFonts w:hint="default" w:ascii="Times New Roman" w:hAnsi="Times New Roman" w:eastAsia="宋体" w:cs="Times New Roman"/>
                      <w:i w:val="0"/>
                      <w:iCs w:val="0"/>
                      <w:caps w:val="0"/>
                      <w:color w:val="FF0000"/>
                      <w:spacing w:val="0"/>
                      <w:kern w:val="0"/>
                      <w:sz w:val="21"/>
                      <w:szCs w:val="21"/>
                      <w:lang w:val="en-US" w:eastAsia="zh-CN" w:bidi="ar"/>
                    </w:rPr>
                    <w:t>台</w:t>
                  </w:r>
                </w:p>
              </w:tc>
              <w:tc>
                <w:tcPr>
                  <w:tcW w:w="425" w:type="pct"/>
                  <w:tcBorders>
                    <w:tl2br w:val="nil"/>
                    <w:tr2bl w:val="nil"/>
                  </w:tcBorders>
                  <w:shd w:val="clear" w:color="auto" w:fill="auto"/>
                  <w:tcMar>
                    <w:top w:w="150" w:type="dxa"/>
                    <w:left w:w="150" w:type="dxa"/>
                    <w:bottom w:w="150" w:type="dxa"/>
                    <w:right w:w="150" w:type="dxa"/>
                  </w:tcMar>
                  <w:vAlign w:val="center"/>
                </w:tcPr>
                <w:p w14:paraId="7E86DCE8">
                  <w:pPr>
                    <w:keepNext w:val="0"/>
                    <w:keepLines w:val="0"/>
                    <w:widowControl/>
                    <w:suppressLineNumbers w:val="0"/>
                    <w:spacing w:line="240" w:lineRule="auto"/>
                    <w:jc w:val="center"/>
                    <w:rPr>
                      <w:rFonts w:hint="default" w:ascii="Times New Roman" w:hAnsi="Times New Roman" w:eastAsia="宋体" w:cs="Times New Roman"/>
                      <w:i w:val="0"/>
                      <w:iCs w:val="0"/>
                      <w:caps w:val="0"/>
                      <w:color w:val="FF0000"/>
                      <w:spacing w:val="0"/>
                      <w:sz w:val="21"/>
                      <w:szCs w:val="21"/>
                    </w:rPr>
                  </w:pPr>
                  <w:r>
                    <w:rPr>
                      <w:rFonts w:hint="eastAsia" w:cs="Times New Roman"/>
                      <w:i w:val="0"/>
                      <w:iCs w:val="0"/>
                      <w:caps w:val="0"/>
                      <w:color w:val="FF0000"/>
                      <w:spacing w:val="0"/>
                      <w:kern w:val="0"/>
                      <w:sz w:val="21"/>
                      <w:szCs w:val="21"/>
                      <w:lang w:val="en-US" w:eastAsia="zh-CN" w:bidi="ar"/>
                    </w:rPr>
                    <w:t>6</w:t>
                  </w:r>
                </w:p>
              </w:tc>
            </w:tr>
            <w:tr w14:paraId="30439626">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shd w:val="clear" w:color="auto" w:fill="auto"/>
                <w:tblCellMar>
                  <w:top w:w="15" w:type="dxa"/>
                  <w:left w:w="15" w:type="dxa"/>
                  <w:bottom w:w="15" w:type="dxa"/>
                  <w:right w:w="15" w:type="dxa"/>
                </w:tblCellMar>
              </w:tblPrEx>
              <w:trPr>
                <w:trHeight w:val="23" w:hRule="atLeast"/>
                <w:tblHeader/>
              </w:trPr>
              <w:tc>
                <w:tcPr>
                  <w:tcW w:w="391" w:type="pct"/>
                  <w:tcBorders>
                    <w:tl2br w:val="nil"/>
                    <w:tr2bl w:val="nil"/>
                  </w:tcBorders>
                  <w:shd w:val="clear" w:color="auto" w:fill="auto"/>
                  <w:tcMar>
                    <w:top w:w="150" w:type="dxa"/>
                    <w:left w:w="0" w:type="dxa"/>
                    <w:bottom w:w="150" w:type="dxa"/>
                    <w:right w:w="150" w:type="dxa"/>
                  </w:tcMar>
                  <w:vAlign w:val="center"/>
                </w:tcPr>
                <w:p w14:paraId="0FCCD247">
                  <w:pPr>
                    <w:keepNext w:val="0"/>
                    <w:keepLines w:val="0"/>
                    <w:widowControl/>
                    <w:suppressLineNumbers w:val="0"/>
                    <w:spacing w:line="240" w:lineRule="auto"/>
                    <w:jc w:val="center"/>
                    <w:rPr>
                      <w:rFonts w:hint="default" w:ascii="Times New Roman" w:hAnsi="Times New Roman" w:eastAsia="宋体" w:cs="Times New Roman"/>
                      <w:i w:val="0"/>
                      <w:iCs w:val="0"/>
                      <w:caps w:val="0"/>
                      <w:color w:val="FF0000"/>
                      <w:spacing w:val="0"/>
                      <w:kern w:val="2"/>
                      <w:sz w:val="21"/>
                      <w:szCs w:val="21"/>
                      <w:lang w:val="en-US" w:eastAsia="zh-CN" w:bidi="ar-SA"/>
                    </w:rPr>
                  </w:pPr>
                  <w:r>
                    <w:rPr>
                      <w:rFonts w:hint="default" w:ascii="Times New Roman" w:hAnsi="Times New Roman" w:eastAsia="宋体" w:cs="Times New Roman"/>
                      <w:i w:val="0"/>
                      <w:iCs w:val="0"/>
                      <w:caps w:val="0"/>
                      <w:color w:val="FF0000"/>
                      <w:spacing w:val="0"/>
                      <w:kern w:val="0"/>
                      <w:sz w:val="21"/>
                      <w:szCs w:val="21"/>
                      <w:lang w:val="en-US" w:eastAsia="zh-CN" w:bidi="ar"/>
                    </w:rPr>
                    <w:t>13</w:t>
                  </w:r>
                </w:p>
              </w:tc>
              <w:tc>
                <w:tcPr>
                  <w:tcW w:w="945" w:type="pct"/>
                  <w:tcBorders>
                    <w:tl2br w:val="nil"/>
                    <w:tr2bl w:val="nil"/>
                  </w:tcBorders>
                  <w:shd w:val="clear" w:color="auto" w:fill="auto"/>
                  <w:tcMar>
                    <w:top w:w="150" w:type="dxa"/>
                    <w:left w:w="150" w:type="dxa"/>
                    <w:bottom w:w="150" w:type="dxa"/>
                    <w:right w:w="150" w:type="dxa"/>
                  </w:tcMar>
                  <w:vAlign w:val="center"/>
                </w:tcPr>
                <w:p w14:paraId="48613AB9">
                  <w:pPr>
                    <w:spacing w:line="240" w:lineRule="auto"/>
                    <w:jc w:val="center"/>
                    <w:rPr>
                      <w:rFonts w:hint="default" w:ascii="Times New Roman" w:hAnsi="Times New Roman" w:eastAsia="宋体" w:cs="Times New Roman"/>
                      <w:i w:val="0"/>
                      <w:iCs w:val="0"/>
                      <w:caps w:val="0"/>
                      <w:color w:val="FF0000"/>
                      <w:spacing w:val="0"/>
                      <w:sz w:val="21"/>
                      <w:szCs w:val="21"/>
                    </w:rPr>
                  </w:pPr>
                </w:p>
              </w:tc>
              <w:tc>
                <w:tcPr>
                  <w:tcW w:w="1593" w:type="pct"/>
                  <w:tcBorders>
                    <w:tl2br w:val="nil"/>
                    <w:tr2bl w:val="nil"/>
                  </w:tcBorders>
                  <w:shd w:val="clear" w:color="auto" w:fill="auto"/>
                  <w:tcMar>
                    <w:top w:w="150" w:type="dxa"/>
                    <w:left w:w="150" w:type="dxa"/>
                    <w:bottom w:w="150" w:type="dxa"/>
                    <w:right w:w="150" w:type="dxa"/>
                  </w:tcMar>
                  <w:vAlign w:val="center"/>
                </w:tcPr>
                <w:p w14:paraId="698699C9">
                  <w:pPr>
                    <w:keepNext w:val="0"/>
                    <w:keepLines w:val="0"/>
                    <w:widowControl/>
                    <w:suppressLineNumbers w:val="0"/>
                    <w:spacing w:line="240" w:lineRule="auto"/>
                    <w:jc w:val="center"/>
                    <w:rPr>
                      <w:rFonts w:hint="default" w:ascii="Times New Roman" w:hAnsi="Times New Roman" w:eastAsia="宋体" w:cs="Times New Roman"/>
                      <w:i w:val="0"/>
                      <w:iCs w:val="0"/>
                      <w:caps w:val="0"/>
                      <w:color w:val="FF0000"/>
                      <w:spacing w:val="0"/>
                      <w:sz w:val="21"/>
                      <w:szCs w:val="21"/>
                    </w:rPr>
                  </w:pPr>
                  <w:r>
                    <w:rPr>
                      <w:rFonts w:hint="default" w:ascii="Times New Roman" w:hAnsi="Times New Roman" w:eastAsia="宋体" w:cs="Times New Roman"/>
                      <w:i w:val="0"/>
                      <w:iCs w:val="0"/>
                      <w:caps w:val="0"/>
                      <w:color w:val="FF0000"/>
                      <w:spacing w:val="0"/>
                      <w:kern w:val="0"/>
                      <w:sz w:val="21"/>
                      <w:szCs w:val="21"/>
                      <w:lang w:val="en-US" w:eastAsia="zh-CN" w:bidi="ar"/>
                    </w:rPr>
                    <w:t>等离子切割机</w:t>
                  </w:r>
                </w:p>
              </w:tc>
              <w:tc>
                <w:tcPr>
                  <w:tcW w:w="1220" w:type="pct"/>
                  <w:tcBorders>
                    <w:tl2br w:val="nil"/>
                    <w:tr2bl w:val="nil"/>
                  </w:tcBorders>
                  <w:shd w:val="clear" w:color="auto" w:fill="auto"/>
                  <w:tcMar>
                    <w:top w:w="150" w:type="dxa"/>
                    <w:left w:w="150" w:type="dxa"/>
                    <w:bottom w:w="150" w:type="dxa"/>
                    <w:right w:w="150" w:type="dxa"/>
                  </w:tcMar>
                  <w:vAlign w:val="center"/>
                </w:tcPr>
                <w:p w14:paraId="73EE01FC">
                  <w:pPr>
                    <w:keepNext w:val="0"/>
                    <w:keepLines w:val="0"/>
                    <w:widowControl/>
                    <w:suppressLineNumbers w:val="0"/>
                    <w:spacing w:line="240" w:lineRule="auto"/>
                    <w:jc w:val="center"/>
                    <w:rPr>
                      <w:rFonts w:hint="default" w:ascii="Times New Roman" w:hAnsi="Times New Roman" w:eastAsia="宋体" w:cs="Times New Roman"/>
                      <w:i w:val="0"/>
                      <w:iCs w:val="0"/>
                      <w:caps w:val="0"/>
                      <w:color w:val="FF0000"/>
                      <w:spacing w:val="0"/>
                      <w:sz w:val="21"/>
                      <w:szCs w:val="21"/>
                    </w:rPr>
                  </w:pPr>
                  <w:r>
                    <w:rPr>
                      <w:rFonts w:hint="default" w:ascii="Times New Roman" w:hAnsi="Times New Roman" w:eastAsia="宋体" w:cs="Times New Roman"/>
                      <w:i w:val="0"/>
                      <w:iCs w:val="0"/>
                      <w:caps w:val="0"/>
                      <w:color w:val="FF0000"/>
                      <w:spacing w:val="0"/>
                      <w:kern w:val="0"/>
                      <w:sz w:val="21"/>
                      <w:szCs w:val="21"/>
                      <w:lang w:val="en-US" w:eastAsia="zh-CN" w:bidi="ar"/>
                    </w:rPr>
                    <w:t>200型</w:t>
                  </w:r>
                </w:p>
              </w:tc>
              <w:tc>
                <w:tcPr>
                  <w:tcW w:w="423" w:type="pct"/>
                  <w:tcBorders>
                    <w:tl2br w:val="nil"/>
                    <w:tr2bl w:val="nil"/>
                  </w:tcBorders>
                  <w:shd w:val="clear" w:color="auto" w:fill="auto"/>
                  <w:tcMar>
                    <w:top w:w="150" w:type="dxa"/>
                    <w:left w:w="150" w:type="dxa"/>
                    <w:bottom w:w="150" w:type="dxa"/>
                    <w:right w:w="150" w:type="dxa"/>
                  </w:tcMar>
                  <w:vAlign w:val="center"/>
                </w:tcPr>
                <w:p w14:paraId="05C60802">
                  <w:pPr>
                    <w:keepNext w:val="0"/>
                    <w:keepLines w:val="0"/>
                    <w:widowControl/>
                    <w:suppressLineNumbers w:val="0"/>
                    <w:spacing w:line="240" w:lineRule="auto"/>
                    <w:jc w:val="center"/>
                    <w:rPr>
                      <w:rFonts w:hint="default" w:ascii="Times New Roman" w:hAnsi="Times New Roman" w:eastAsia="宋体" w:cs="Times New Roman"/>
                      <w:i w:val="0"/>
                      <w:iCs w:val="0"/>
                      <w:caps w:val="0"/>
                      <w:color w:val="FF0000"/>
                      <w:spacing w:val="0"/>
                      <w:sz w:val="21"/>
                      <w:szCs w:val="21"/>
                    </w:rPr>
                  </w:pPr>
                  <w:r>
                    <w:rPr>
                      <w:rFonts w:hint="default" w:ascii="Times New Roman" w:hAnsi="Times New Roman" w:eastAsia="宋体" w:cs="Times New Roman"/>
                      <w:i w:val="0"/>
                      <w:iCs w:val="0"/>
                      <w:caps w:val="0"/>
                      <w:color w:val="FF0000"/>
                      <w:spacing w:val="0"/>
                      <w:kern w:val="0"/>
                      <w:sz w:val="21"/>
                      <w:szCs w:val="21"/>
                      <w:lang w:val="en-US" w:eastAsia="zh-CN" w:bidi="ar"/>
                    </w:rPr>
                    <w:t>台</w:t>
                  </w:r>
                </w:p>
              </w:tc>
              <w:tc>
                <w:tcPr>
                  <w:tcW w:w="425" w:type="pct"/>
                  <w:tcBorders>
                    <w:tl2br w:val="nil"/>
                    <w:tr2bl w:val="nil"/>
                  </w:tcBorders>
                  <w:shd w:val="clear" w:color="auto" w:fill="auto"/>
                  <w:tcMar>
                    <w:top w:w="150" w:type="dxa"/>
                    <w:left w:w="150" w:type="dxa"/>
                    <w:bottom w:w="150" w:type="dxa"/>
                    <w:right w:w="150" w:type="dxa"/>
                  </w:tcMar>
                  <w:vAlign w:val="center"/>
                </w:tcPr>
                <w:p w14:paraId="40EB1620">
                  <w:pPr>
                    <w:keepNext w:val="0"/>
                    <w:keepLines w:val="0"/>
                    <w:widowControl/>
                    <w:suppressLineNumbers w:val="0"/>
                    <w:spacing w:line="240" w:lineRule="auto"/>
                    <w:jc w:val="center"/>
                    <w:rPr>
                      <w:rFonts w:hint="default" w:ascii="Times New Roman" w:hAnsi="Times New Roman" w:eastAsia="宋体" w:cs="Times New Roman"/>
                      <w:i w:val="0"/>
                      <w:iCs w:val="0"/>
                      <w:caps w:val="0"/>
                      <w:color w:val="FF0000"/>
                      <w:spacing w:val="0"/>
                      <w:sz w:val="21"/>
                      <w:szCs w:val="21"/>
                    </w:rPr>
                  </w:pPr>
                  <w:r>
                    <w:rPr>
                      <w:rFonts w:hint="eastAsia" w:cs="Times New Roman"/>
                      <w:i w:val="0"/>
                      <w:iCs w:val="0"/>
                      <w:caps w:val="0"/>
                      <w:color w:val="FF0000"/>
                      <w:spacing w:val="0"/>
                      <w:kern w:val="0"/>
                      <w:sz w:val="21"/>
                      <w:szCs w:val="21"/>
                      <w:lang w:val="en-US" w:eastAsia="zh-CN" w:bidi="ar"/>
                    </w:rPr>
                    <w:t>6</w:t>
                  </w:r>
                </w:p>
              </w:tc>
            </w:tr>
            <w:tr w14:paraId="4EBA4946">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shd w:val="clear" w:color="auto" w:fill="auto"/>
                <w:tblCellMar>
                  <w:top w:w="15" w:type="dxa"/>
                  <w:left w:w="15" w:type="dxa"/>
                  <w:bottom w:w="15" w:type="dxa"/>
                  <w:right w:w="15" w:type="dxa"/>
                </w:tblCellMar>
              </w:tblPrEx>
              <w:trPr>
                <w:trHeight w:val="23" w:hRule="atLeast"/>
                <w:tblHeader/>
              </w:trPr>
              <w:tc>
                <w:tcPr>
                  <w:tcW w:w="391" w:type="pct"/>
                  <w:tcBorders>
                    <w:tl2br w:val="nil"/>
                    <w:tr2bl w:val="nil"/>
                  </w:tcBorders>
                  <w:shd w:val="clear" w:color="auto" w:fill="auto"/>
                  <w:tcMar>
                    <w:top w:w="150" w:type="dxa"/>
                    <w:left w:w="0" w:type="dxa"/>
                    <w:bottom w:w="150" w:type="dxa"/>
                    <w:right w:w="150" w:type="dxa"/>
                  </w:tcMar>
                  <w:vAlign w:val="center"/>
                </w:tcPr>
                <w:p w14:paraId="5675BFDE">
                  <w:pPr>
                    <w:keepNext w:val="0"/>
                    <w:keepLines w:val="0"/>
                    <w:widowControl/>
                    <w:suppressLineNumbers w:val="0"/>
                    <w:spacing w:line="240" w:lineRule="auto"/>
                    <w:jc w:val="center"/>
                    <w:rPr>
                      <w:rFonts w:hint="default" w:ascii="Times New Roman" w:hAnsi="Times New Roman" w:eastAsia="宋体" w:cs="Times New Roman"/>
                      <w:i w:val="0"/>
                      <w:iCs w:val="0"/>
                      <w:caps w:val="0"/>
                      <w:color w:val="FF0000"/>
                      <w:spacing w:val="0"/>
                      <w:kern w:val="2"/>
                      <w:sz w:val="21"/>
                      <w:szCs w:val="21"/>
                      <w:lang w:val="en-US" w:eastAsia="zh-CN" w:bidi="ar-SA"/>
                    </w:rPr>
                  </w:pPr>
                  <w:r>
                    <w:rPr>
                      <w:rFonts w:hint="default" w:ascii="Times New Roman" w:hAnsi="Times New Roman" w:eastAsia="宋体" w:cs="Times New Roman"/>
                      <w:i w:val="0"/>
                      <w:iCs w:val="0"/>
                      <w:caps w:val="0"/>
                      <w:color w:val="FF0000"/>
                      <w:spacing w:val="0"/>
                      <w:kern w:val="0"/>
                      <w:sz w:val="21"/>
                      <w:szCs w:val="21"/>
                      <w:lang w:val="en-US" w:eastAsia="zh-CN" w:bidi="ar"/>
                    </w:rPr>
                    <w:t>14</w:t>
                  </w:r>
                </w:p>
              </w:tc>
              <w:tc>
                <w:tcPr>
                  <w:tcW w:w="945" w:type="pct"/>
                  <w:tcBorders>
                    <w:tl2br w:val="nil"/>
                    <w:tr2bl w:val="nil"/>
                  </w:tcBorders>
                  <w:shd w:val="clear" w:color="auto" w:fill="auto"/>
                  <w:tcMar>
                    <w:top w:w="150" w:type="dxa"/>
                    <w:left w:w="150" w:type="dxa"/>
                    <w:bottom w:w="150" w:type="dxa"/>
                    <w:right w:w="150" w:type="dxa"/>
                  </w:tcMar>
                  <w:vAlign w:val="center"/>
                </w:tcPr>
                <w:p w14:paraId="2DE4D9E5">
                  <w:pPr>
                    <w:spacing w:line="240" w:lineRule="auto"/>
                    <w:jc w:val="center"/>
                    <w:rPr>
                      <w:rFonts w:hint="default" w:ascii="Times New Roman" w:hAnsi="Times New Roman" w:eastAsia="宋体" w:cs="Times New Roman"/>
                      <w:i w:val="0"/>
                      <w:iCs w:val="0"/>
                      <w:caps w:val="0"/>
                      <w:color w:val="FF0000"/>
                      <w:spacing w:val="0"/>
                      <w:sz w:val="21"/>
                      <w:szCs w:val="21"/>
                    </w:rPr>
                  </w:pPr>
                </w:p>
              </w:tc>
              <w:tc>
                <w:tcPr>
                  <w:tcW w:w="1593" w:type="pct"/>
                  <w:tcBorders>
                    <w:tl2br w:val="nil"/>
                    <w:tr2bl w:val="nil"/>
                  </w:tcBorders>
                  <w:shd w:val="clear" w:color="auto" w:fill="auto"/>
                  <w:tcMar>
                    <w:top w:w="150" w:type="dxa"/>
                    <w:left w:w="150" w:type="dxa"/>
                    <w:bottom w:w="150" w:type="dxa"/>
                    <w:right w:w="150" w:type="dxa"/>
                  </w:tcMar>
                  <w:vAlign w:val="center"/>
                </w:tcPr>
                <w:p w14:paraId="5C2637C3">
                  <w:pPr>
                    <w:keepNext w:val="0"/>
                    <w:keepLines w:val="0"/>
                    <w:widowControl/>
                    <w:suppressLineNumbers w:val="0"/>
                    <w:spacing w:line="240" w:lineRule="auto"/>
                    <w:jc w:val="center"/>
                    <w:rPr>
                      <w:rFonts w:hint="default" w:ascii="Times New Roman" w:hAnsi="Times New Roman" w:eastAsia="宋体" w:cs="Times New Roman"/>
                      <w:i w:val="0"/>
                      <w:iCs w:val="0"/>
                      <w:caps w:val="0"/>
                      <w:color w:val="FF0000"/>
                      <w:spacing w:val="0"/>
                      <w:sz w:val="21"/>
                      <w:szCs w:val="21"/>
                    </w:rPr>
                  </w:pPr>
                  <w:r>
                    <w:rPr>
                      <w:rFonts w:hint="default" w:ascii="Times New Roman" w:hAnsi="Times New Roman" w:eastAsia="宋体" w:cs="Times New Roman"/>
                      <w:i w:val="0"/>
                      <w:iCs w:val="0"/>
                      <w:caps w:val="0"/>
                      <w:color w:val="FF0000"/>
                      <w:spacing w:val="0"/>
                      <w:kern w:val="0"/>
                      <w:sz w:val="21"/>
                      <w:szCs w:val="21"/>
                      <w:lang w:val="en-US" w:eastAsia="zh-CN" w:bidi="ar"/>
                    </w:rPr>
                    <w:t>气动工具</w:t>
                  </w:r>
                </w:p>
              </w:tc>
              <w:tc>
                <w:tcPr>
                  <w:tcW w:w="1220" w:type="pct"/>
                  <w:tcBorders>
                    <w:tl2br w:val="nil"/>
                    <w:tr2bl w:val="nil"/>
                  </w:tcBorders>
                  <w:shd w:val="clear" w:color="auto" w:fill="auto"/>
                  <w:tcMar>
                    <w:top w:w="150" w:type="dxa"/>
                    <w:left w:w="150" w:type="dxa"/>
                    <w:bottom w:w="150" w:type="dxa"/>
                    <w:right w:w="150" w:type="dxa"/>
                  </w:tcMar>
                  <w:vAlign w:val="center"/>
                </w:tcPr>
                <w:p w14:paraId="04CC56A8">
                  <w:pPr>
                    <w:keepNext w:val="0"/>
                    <w:keepLines w:val="0"/>
                    <w:widowControl/>
                    <w:suppressLineNumbers w:val="0"/>
                    <w:spacing w:line="240" w:lineRule="auto"/>
                    <w:jc w:val="center"/>
                    <w:rPr>
                      <w:rFonts w:hint="default" w:ascii="Times New Roman" w:hAnsi="Times New Roman" w:eastAsia="宋体" w:cs="Times New Roman"/>
                      <w:i w:val="0"/>
                      <w:iCs w:val="0"/>
                      <w:caps w:val="0"/>
                      <w:color w:val="FF0000"/>
                      <w:spacing w:val="0"/>
                      <w:sz w:val="21"/>
                      <w:szCs w:val="21"/>
                    </w:rPr>
                  </w:pPr>
                  <w:r>
                    <w:rPr>
                      <w:rFonts w:hint="default" w:ascii="Times New Roman" w:hAnsi="Times New Roman" w:eastAsia="宋体" w:cs="Times New Roman"/>
                      <w:i w:val="0"/>
                      <w:iCs w:val="0"/>
                      <w:caps w:val="0"/>
                      <w:color w:val="FF0000"/>
                      <w:spacing w:val="0"/>
                      <w:kern w:val="0"/>
                      <w:sz w:val="21"/>
                      <w:szCs w:val="21"/>
                      <w:lang w:val="en-US" w:eastAsia="zh-CN" w:bidi="ar"/>
                    </w:rPr>
                    <w:t>/</w:t>
                  </w:r>
                </w:p>
              </w:tc>
              <w:tc>
                <w:tcPr>
                  <w:tcW w:w="423" w:type="pct"/>
                  <w:tcBorders>
                    <w:tl2br w:val="nil"/>
                    <w:tr2bl w:val="nil"/>
                  </w:tcBorders>
                  <w:shd w:val="clear" w:color="auto" w:fill="auto"/>
                  <w:tcMar>
                    <w:top w:w="150" w:type="dxa"/>
                    <w:left w:w="150" w:type="dxa"/>
                    <w:bottom w:w="150" w:type="dxa"/>
                    <w:right w:w="150" w:type="dxa"/>
                  </w:tcMar>
                  <w:vAlign w:val="center"/>
                </w:tcPr>
                <w:p w14:paraId="73ADB347">
                  <w:pPr>
                    <w:keepNext w:val="0"/>
                    <w:keepLines w:val="0"/>
                    <w:widowControl/>
                    <w:suppressLineNumbers w:val="0"/>
                    <w:spacing w:line="240" w:lineRule="auto"/>
                    <w:jc w:val="center"/>
                    <w:rPr>
                      <w:rFonts w:hint="default" w:ascii="Times New Roman" w:hAnsi="Times New Roman" w:eastAsia="宋体" w:cs="Times New Roman"/>
                      <w:i w:val="0"/>
                      <w:iCs w:val="0"/>
                      <w:caps w:val="0"/>
                      <w:color w:val="FF0000"/>
                      <w:spacing w:val="0"/>
                      <w:sz w:val="21"/>
                      <w:szCs w:val="21"/>
                    </w:rPr>
                  </w:pPr>
                  <w:r>
                    <w:rPr>
                      <w:rFonts w:hint="default" w:ascii="Times New Roman" w:hAnsi="Times New Roman" w:eastAsia="宋体" w:cs="Times New Roman"/>
                      <w:i w:val="0"/>
                      <w:iCs w:val="0"/>
                      <w:caps w:val="0"/>
                      <w:color w:val="FF0000"/>
                      <w:spacing w:val="0"/>
                      <w:kern w:val="0"/>
                      <w:sz w:val="21"/>
                      <w:szCs w:val="21"/>
                      <w:lang w:val="en-US" w:eastAsia="zh-CN" w:bidi="ar"/>
                    </w:rPr>
                    <w:t>台</w:t>
                  </w:r>
                </w:p>
              </w:tc>
              <w:tc>
                <w:tcPr>
                  <w:tcW w:w="425" w:type="pct"/>
                  <w:tcBorders>
                    <w:tl2br w:val="nil"/>
                    <w:tr2bl w:val="nil"/>
                  </w:tcBorders>
                  <w:shd w:val="clear" w:color="auto" w:fill="auto"/>
                  <w:tcMar>
                    <w:top w:w="150" w:type="dxa"/>
                    <w:left w:w="150" w:type="dxa"/>
                    <w:bottom w:w="150" w:type="dxa"/>
                    <w:right w:w="150" w:type="dxa"/>
                  </w:tcMar>
                  <w:vAlign w:val="center"/>
                </w:tcPr>
                <w:p w14:paraId="3D575564">
                  <w:pPr>
                    <w:keepNext w:val="0"/>
                    <w:keepLines w:val="0"/>
                    <w:widowControl/>
                    <w:suppressLineNumbers w:val="0"/>
                    <w:spacing w:line="240" w:lineRule="auto"/>
                    <w:jc w:val="center"/>
                    <w:rPr>
                      <w:rFonts w:hint="default" w:ascii="Times New Roman" w:hAnsi="Times New Roman" w:eastAsia="宋体" w:cs="Times New Roman"/>
                      <w:i w:val="0"/>
                      <w:iCs w:val="0"/>
                      <w:caps w:val="0"/>
                      <w:color w:val="FF0000"/>
                      <w:spacing w:val="0"/>
                      <w:sz w:val="21"/>
                      <w:szCs w:val="21"/>
                    </w:rPr>
                  </w:pPr>
                  <w:r>
                    <w:rPr>
                      <w:rFonts w:hint="eastAsia" w:cs="Times New Roman"/>
                      <w:i w:val="0"/>
                      <w:iCs w:val="0"/>
                      <w:caps w:val="0"/>
                      <w:color w:val="FF0000"/>
                      <w:spacing w:val="0"/>
                      <w:kern w:val="0"/>
                      <w:sz w:val="21"/>
                      <w:szCs w:val="21"/>
                      <w:lang w:val="en-US" w:eastAsia="zh-CN" w:bidi="ar"/>
                    </w:rPr>
                    <w:t>6</w:t>
                  </w:r>
                </w:p>
              </w:tc>
            </w:tr>
            <w:tr w14:paraId="7FB8EE21">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shd w:val="clear" w:color="auto" w:fill="auto"/>
                <w:tblCellMar>
                  <w:top w:w="15" w:type="dxa"/>
                  <w:left w:w="15" w:type="dxa"/>
                  <w:bottom w:w="15" w:type="dxa"/>
                  <w:right w:w="15" w:type="dxa"/>
                </w:tblCellMar>
              </w:tblPrEx>
              <w:trPr>
                <w:trHeight w:val="23" w:hRule="atLeast"/>
                <w:tblHeader/>
              </w:trPr>
              <w:tc>
                <w:tcPr>
                  <w:tcW w:w="391" w:type="pct"/>
                  <w:tcBorders>
                    <w:tl2br w:val="nil"/>
                    <w:tr2bl w:val="nil"/>
                  </w:tcBorders>
                  <w:shd w:val="clear" w:color="auto" w:fill="auto"/>
                  <w:tcMar>
                    <w:top w:w="150" w:type="dxa"/>
                    <w:left w:w="0" w:type="dxa"/>
                    <w:bottom w:w="150" w:type="dxa"/>
                    <w:right w:w="150" w:type="dxa"/>
                  </w:tcMar>
                  <w:vAlign w:val="center"/>
                </w:tcPr>
                <w:p w14:paraId="7C68128C">
                  <w:pPr>
                    <w:keepNext w:val="0"/>
                    <w:keepLines w:val="0"/>
                    <w:widowControl/>
                    <w:suppressLineNumbers w:val="0"/>
                    <w:spacing w:line="240" w:lineRule="auto"/>
                    <w:jc w:val="center"/>
                    <w:rPr>
                      <w:rFonts w:hint="default" w:ascii="Times New Roman" w:hAnsi="Times New Roman" w:eastAsia="宋体" w:cs="Times New Roman"/>
                      <w:i w:val="0"/>
                      <w:iCs w:val="0"/>
                      <w:caps w:val="0"/>
                      <w:color w:val="FF0000"/>
                      <w:spacing w:val="0"/>
                      <w:kern w:val="2"/>
                      <w:sz w:val="21"/>
                      <w:szCs w:val="21"/>
                      <w:lang w:val="en-US" w:eastAsia="zh-CN" w:bidi="ar-SA"/>
                    </w:rPr>
                  </w:pPr>
                  <w:r>
                    <w:rPr>
                      <w:rFonts w:hint="default" w:ascii="Times New Roman" w:hAnsi="Times New Roman" w:eastAsia="宋体" w:cs="Times New Roman"/>
                      <w:i w:val="0"/>
                      <w:iCs w:val="0"/>
                      <w:caps w:val="0"/>
                      <w:color w:val="FF0000"/>
                      <w:spacing w:val="0"/>
                      <w:kern w:val="0"/>
                      <w:sz w:val="21"/>
                      <w:szCs w:val="21"/>
                      <w:lang w:val="en-US" w:eastAsia="zh-CN" w:bidi="ar"/>
                    </w:rPr>
                    <w:t>15</w:t>
                  </w:r>
                </w:p>
              </w:tc>
              <w:tc>
                <w:tcPr>
                  <w:tcW w:w="945" w:type="pct"/>
                  <w:tcBorders>
                    <w:tl2br w:val="nil"/>
                    <w:tr2bl w:val="nil"/>
                  </w:tcBorders>
                  <w:shd w:val="clear" w:color="auto" w:fill="auto"/>
                  <w:tcMar>
                    <w:top w:w="150" w:type="dxa"/>
                    <w:left w:w="150" w:type="dxa"/>
                    <w:bottom w:w="150" w:type="dxa"/>
                    <w:right w:w="150" w:type="dxa"/>
                  </w:tcMar>
                  <w:vAlign w:val="center"/>
                </w:tcPr>
                <w:p w14:paraId="04068E63">
                  <w:pPr>
                    <w:spacing w:line="240" w:lineRule="auto"/>
                    <w:jc w:val="center"/>
                    <w:rPr>
                      <w:rFonts w:hint="default" w:ascii="Times New Roman" w:hAnsi="Times New Roman" w:eastAsia="宋体" w:cs="Times New Roman"/>
                      <w:i w:val="0"/>
                      <w:iCs w:val="0"/>
                      <w:caps w:val="0"/>
                      <w:color w:val="FF0000"/>
                      <w:spacing w:val="0"/>
                      <w:sz w:val="21"/>
                      <w:szCs w:val="21"/>
                    </w:rPr>
                  </w:pPr>
                </w:p>
              </w:tc>
              <w:tc>
                <w:tcPr>
                  <w:tcW w:w="1593" w:type="pct"/>
                  <w:tcBorders>
                    <w:tl2br w:val="nil"/>
                    <w:tr2bl w:val="nil"/>
                  </w:tcBorders>
                  <w:shd w:val="clear" w:color="auto" w:fill="auto"/>
                  <w:tcMar>
                    <w:top w:w="150" w:type="dxa"/>
                    <w:left w:w="150" w:type="dxa"/>
                    <w:bottom w:w="150" w:type="dxa"/>
                    <w:right w:w="150" w:type="dxa"/>
                  </w:tcMar>
                  <w:vAlign w:val="center"/>
                </w:tcPr>
                <w:p w14:paraId="17907B96">
                  <w:pPr>
                    <w:keepNext w:val="0"/>
                    <w:keepLines w:val="0"/>
                    <w:widowControl/>
                    <w:suppressLineNumbers w:val="0"/>
                    <w:spacing w:line="240" w:lineRule="auto"/>
                    <w:jc w:val="center"/>
                    <w:rPr>
                      <w:rFonts w:hint="default" w:ascii="Times New Roman" w:hAnsi="Times New Roman" w:eastAsia="宋体" w:cs="Times New Roman"/>
                      <w:i w:val="0"/>
                      <w:iCs w:val="0"/>
                      <w:caps w:val="0"/>
                      <w:color w:val="FF0000"/>
                      <w:spacing w:val="0"/>
                      <w:sz w:val="21"/>
                      <w:szCs w:val="21"/>
                    </w:rPr>
                  </w:pPr>
                  <w:r>
                    <w:rPr>
                      <w:rFonts w:hint="default" w:ascii="Times New Roman" w:hAnsi="Times New Roman" w:eastAsia="宋体" w:cs="Times New Roman"/>
                      <w:i w:val="0"/>
                      <w:iCs w:val="0"/>
                      <w:caps w:val="0"/>
                      <w:color w:val="FF0000"/>
                      <w:spacing w:val="0"/>
                      <w:kern w:val="0"/>
                      <w:sz w:val="21"/>
                      <w:szCs w:val="21"/>
                      <w:lang w:val="en-US" w:eastAsia="zh-CN" w:bidi="ar"/>
                    </w:rPr>
                    <w:t>风炮</w:t>
                  </w:r>
                </w:p>
              </w:tc>
              <w:tc>
                <w:tcPr>
                  <w:tcW w:w="1220" w:type="pct"/>
                  <w:tcBorders>
                    <w:tl2br w:val="nil"/>
                    <w:tr2bl w:val="nil"/>
                  </w:tcBorders>
                  <w:shd w:val="clear" w:color="auto" w:fill="auto"/>
                  <w:tcMar>
                    <w:top w:w="150" w:type="dxa"/>
                    <w:left w:w="150" w:type="dxa"/>
                    <w:bottom w:w="150" w:type="dxa"/>
                    <w:right w:w="150" w:type="dxa"/>
                  </w:tcMar>
                  <w:vAlign w:val="center"/>
                </w:tcPr>
                <w:p w14:paraId="1FBCA15B">
                  <w:pPr>
                    <w:keepNext w:val="0"/>
                    <w:keepLines w:val="0"/>
                    <w:widowControl/>
                    <w:suppressLineNumbers w:val="0"/>
                    <w:spacing w:line="240" w:lineRule="auto"/>
                    <w:jc w:val="center"/>
                    <w:rPr>
                      <w:rFonts w:hint="default" w:ascii="Times New Roman" w:hAnsi="Times New Roman" w:eastAsia="宋体" w:cs="Times New Roman"/>
                      <w:i w:val="0"/>
                      <w:iCs w:val="0"/>
                      <w:caps w:val="0"/>
                      <w:color w:val="FF0000"/>
                      <w:spacing w:val="0"/>
                      <w:sz w:val="21"/>
                      <w:szCs w:val="21"/>
                    </w:rPr>
                  </w:pPr>
                  <w:r>
                    <w:rPr>
                      <w:rFonts w:hint="default" w:ascii="Times New Roman" w:hAnsi="Times New Roman" w:eastAsia="宋体" w:cs="Times New Roman"/>
                      <w:i w:val="0"/>
                      <w:iCs w:val="0"/>
                      <w:caps w:val="0"/>
                      <w:color w:val="FF0000"/>
                      <w:spacing w:val="0"/>
                      <w:kern w:val="0"/>
                      <w:sz w:val="21"/>
                      <w:szCs w:val="21"/>
                      <w:lang w:val="en-US" w:eastAsia="zh-CN" w:bidi="ar"/>
                    </w:rPr>
                    <w:t>/</w:t>
                  </w:r>
                </w:p>
              </w:tc>
              <w:tc>
                <w:tcPr>
                  <w:tcW w:w="423" w:type="pct"/>
                  <w:tcBorders>
                    <w:tl2br w:val="nil"/>
                    <w:tr2bl w:val="nil"/>
                  </w:tcBorders>
                  <w:shd w:val="clear" w:color="auto" w:fill="auto"/>
                  <w:tcMar>
                    <w:top w:w="150" w:type="dxa"/>
                    <w:left w:w="150" w:type="dxa"/>
                    <w:bottom w:w="150" w:type="dxa"/>
                    <w:right w:w="150" w:type="dxa"/>
                  </w:tcMar>
                  <w:vAlign w:val="center"/>
                </w:tcPr>
                <w:p w14:paraId="4DB6E864">
                  <w:pPr>
                    <w:keepNext w:val="0"/>
                    <w:keepLines w:val="0"/>
                    <w:widowControl/>
                    <w:suppressLineNumbers w:val="0"/>
                    <w:spacing w:line="240" w:lineRule="auto"/>
                    <w:jc w:val="center"/>
                    <w:rPr>
                      <w:rFonts w:hint="default" w:ascii="Times New Roman" w:hAnsi="Times New Roman" w:eastAsia="宋体" w:cs="Times New Roman"/>
                      <w:i w:val="0"/>
                      <w:iCs w:val="0"/>
                      <w:caps w:val="0"/>
                      <w:color w:val="FF0000"/>
                      <w:spacing w:val="0"/>
                      <w:sz w:val="21"/>
                      <w:szCs w:val="21"/>
                    </w:rPr>
                  </w:pPr>
                  <w:r>
                    <w:rPr>
                      <w:rFonts w:hint="default" w:ascii="Times New Roman" w:hAnsi="Times New Roman" w:eastAsia="宋体" w:cs="Times New Roman"/>
                      <w:i w:val="0"/>
                      <w:iCs w:val="0"/>
                      <w:caps w:val="0"/>
                      <w:color w:val="FF0000"/>
                      <w:spacing w:val="0"/>
                      <w:kern w:val="0"/>
                      <w:sz w:val="21"/>
                      <w:szCs w:val="21"/>
                      <w:lang w:val="en-US" w:eastAsia="zh-CN" w:bidi="ar"/>
                    </w:rPr>
                    <w:t>台</w:t>
                  </w:r>
                </w:p>
              </w:tc>
              <w:tc>
                <w:tcPr>
                  <w:tcW w:w="425" w:type="pct"/>
                  <w:tcBorders>
                    <w:tl2br w:val="nil"/>
                    <w:tr2bl w:val="nil"/>
                  </w:tcBorders>
                  <w:shd w:val="clear" w:color="auto" w:fill="auto"/>
                  <w:tcMar>
                    <w:top w:w="150" w:type="dxa"/>
                    <w:left w:w="150" w:type="dxa"/>
                    <w:bottom w:w="150" w:type="dxa"/>
                    <w:right w:w="150" w:type="dxa"/>
                  </w:tcMar>
                  <w:vAlign w:val="center"/>
                </w:tcPr>
                <w:p w14:paraId="43436442">
                  <w:pPr>
                    <w:keepNext w:val="0"/>
                    <w:keepLines w:val="0"/>
                    <w:widowControl/>
                    <w:suppressLineNumbers w:val="0"/>
                    <w:spacing w:line="240" w:lineRule="auto"/>
                    <w:jc w:val="center"/>
                    <w:rPr>
                      <w:rFonts w:hint="default" w:ascii="Times New Roman" w:hAnsi="Times New Roman" w:eastAsia="宋体" w:cs="Times New Roman"/>
                      <w:i w:val="0"/>
                      <w:iCs w:val="0"/>
                      <w:caps w:val="0"/>
                      <w:color w:val="FF0000"/>
                      <w:spacing w:val="0"/>
                      <w:sz w:val="21"/>
                      <w:szCs w:val="21"/>
                    </w:rPr>
                  </w:pPr>
                  <w:r>
                    <w:rPr>
                      <w:rFonts w:hint="eastAsia" w:cs="Times New Roman"/>
                      <w:i w:val="0"/>
                      <w:iCs w:val="0"/>
                      <w:caps w:val="0"/>
                      <w:color w:val="FF0000"/>
                      <w:spacing w:val="0"/>
                      <w:kern w:val="0"/>
                      <w:sz w:val="21"/>
                      <w:szCs w:val="21"/>
                      <w:lang w:val="en-US" w:eastAsia="zh-CN" w:bidi="ar"/>
                    </w:rPr>
                    <w:t>6</w:t>
                  </w:r>
                </w:p>
              </w:tc>
            </w:tr>
            <w:tr w14:paraId="05E64AF4">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shd w:val="clear" w:color="auto" w:fill="auto"/>
                <w:tblCellMar>
                  <w:top w:w="15" w:type="dxa"/>
                  <w:left w:w="15" w:type="dxa"/>
                  <w:bottom w:w="15" w:type="dxa"/>
                  <w:right w:w="15" w:type="dxa"/>
                </w:tblCellMar>
              </w:tblPrEx>
              <w:trPr>
                <w:trHeight w:val="23" w:hRule="atLeast"/>
                <w:tblHeader/>
              </w:trPr>
              <w:tc>
                <w:tcPr>
                  <w:tcW w:w="391" w:type="pct"/>
                  <w:tcBorders>
                    <w:tl2br w:val="nil"/>
                    <w:tr2bl w:val="nil"/>
                  </w:tcBorders>
                  <w:shd w:val="clear" w:color="auto" w:fill="auto"/>
                  <w:tcMar>
                    <w:top w:w="150" w:type="dxa"/>
                    <w:left w:w="0" w:type="dxa"/>
                    <w:bottom w:w="150" w:type="dxa"/>
                    <w:right w:w="150" w:type="dxa"/>
                  </w:tcMar>
                  <w:vAlign w:val="center"/>
                </w:tcPr>
                <w:p w14:paraId="14D8CF75">
                  <w:pPr>
                    <w:keepNext w:val="0"/>
                    <w:keepLines w:val="0"/>
                    <w:widowControl/>
                    <w:suppressLineNumbers w:val="0"/>
                    <w:spacing w:line="240" w:lineRule="auto"/>
                    <w:jc w:val="center"/>
                    <w:rPr>
                      <w:rFonts w:hint="default" w:ascii="Times New Roman" w:hAnsi="Times New Roman" w:eastAsia="宋体" w:cs="Times New Roman"/>
                      <w:i w:val="0"/>
                      <w:iCs w:val="0"/>
                      <w:caps w:val="0"/>
                      <w:color w:val="FF0000"/>
                      <w:spacing w:val="0"/>
                      <w:kern w:val="2"/>
                      <w:sz w:val="21"/>
                      <w:szCs w:val="21"/>
                      <w:lang w:val="en-US" w:eastAsia="zh-CN" w:bidi="ar-SA"/>
                    </w:rPr>
                  </w:pPr>
                  <w:r>
                    <w:rPr>
                      <w:rFonts w:hint="default" w:ascii="Times New Roman" w:hAnsi="Times New Roman" w:eastAsia="宋体" w:cs="Times New Roman"/>
                      <w:i w:val="0"/>
                      <w:iCs w:val="0"/>
                      <w:caps w:val="0"/>
                      <w:color w:val="FF0000"/>
                      <w:spacing w:val="0"/>
                      <w:kern w:val="0"/>
                      <w:sz w:val="21"/>
                      <w:szCs w:val="21"/>
                      <w:lang w:val="en-US" w:eastAsia="zh-CN" w:bidi="ar"/>
                    </w:rPr>
                    <w:t>16</w:t>
                  </w:r>
                </w:p>
              </w:tc>
              <w:tc>
                <w:tcPr>
                  <w:tcW w:w="945" w:type="pct"/>
                  <w:tcBorders>
                    <w:tl2br w:val="nil"/>
                    <w:tr2bl w:val="nil"/>
                  </w:tcBorders>
                  <w:shd w:val="clear" w:color="auto" w:fill="auto"/>
                  <w:tcMar>
                    <w:top w:w="150" w:type="dxa"/>
                    <w:left w:w="150" w:type="dxa"/>
                    <w:bottom w:w="150" w:type="dxa"/>
                    <w:right w:w="150" w:type="dxa"/>
                  </w:tcMar>
                  <w:vAlign w:val="center"/>
                </w:tcPr>
                <w:p w14:paraId="4C0577FD">
                  <w:pPr>
                    <w:spacing w:line="240" w:lineRule="auto"/>
                    <w:jc w:val="center"/>
                    <w:rPr>
                      <w:rFonts w:hint="default" w:ascii="Times New Roman" w:hAnsi="Times New Roman" w:eastAsia="宋体" w:cs="Times New Roman"/>
                      <w:i w:val="0"/>
                      <w:iCs w:val="0"/>
                      <w:caps w:val="0"/>
                      <w:color w:val="FF0000"/>
                      <w:spacing w:val="0"/>
                      <w:sz w:val="21"/>
                      <w:szCs w:val="21"/>
                    </w:rPr>
                  </w:pPr>
                </w:p>
              </w:tc>
              <w:tc>
                <w:tcPr>
                  <w:tcW w:w="1593" w:type="pct"/>
                  <w:tcBorders>
                    <w:tl2br w:val="nil"/>
                    <w:tr2bl w:val="nil"/>
                  </w:tcBorders>
                  <w:shd w:val="clear" w:color="auto" w:fill="auto"/>
                  <w:tcMar>
                    <w:top w:w="150" w:type="dxa"/>
                    <w:left w:w="150" w:type="dxa"/>
                    <w:bottom w:w="150" w:type="dxa"/>
                    <w:right w:w="150" w:type="dxa"/>
                  </w:tcMar>
                  <w:vAlign w:val="center"/>
                </w:tcPr>
                <w:p w14:paraId="3E183FC0">
                  <w:pPr>
                    <w:keepNext w:val="0"/>
                    <w:keepLines w:val="0"/>
                    <w:widowControl/>
                    <w:suppressLineNumbers w:val="0"/>
                    <w:spacing w:line="240" w:lineRule="auto"/>
                    <w:jc w:val="center"/>
                    <w:rPr>
                      <w:rFonts w:hint="default" w:ascii="Times New Roman" w:hAnsi="Times New Roman" w:eastAsia="宋体" w:cs="Times New Roman"/>
                      <w:i w:val="0"/>
                      <w:iCs w:val="0"/>
                      <w:caps w:val="0"/>
                      <w:color w:val="FF0000"/>
                      <w:spacing w:val="0"/>
                      <w:sz w:val="21"/>
                      <w:szCs w:val="21"/>
                    </w:rPr>
                  </w:pPr>
                  <w:r>
                    <w:rPr>
                      <w:rFonts w:hint="default" w:ascii="Times New Roman" w:hAnsi="Times New Roman" w:eastAsia="宋体" w:cs="Times New Roman"/>
                      <w:i w:val="0"/>
                      <w:iCs w:val="0"/>
                      <w:caps w:val="0"/>
                      <w:color w:val="FF0000"/>
                      <w:spacing w:val="0"/>
                      <w:kern w:val="0"/>
                      <w:sz w:val="21"/>
                      <w:szCs w:val="21"/>
                      <w:lang w:val="en-US" w:eastAsia="zh-CN" w:bidi="ar"/>
                    </w:rPr>
                    <w:t>精拆解台</w:t>
                  </w:r>
                </w:p>
              </w:tc>
              <w:tc>
                <w:tcPr>
                  <w:tcW w:w="1220" w:type="pct"/>
                  <w:tcBorders>
                    <w:tl2br w:val="nil"/>
                    <w:tr2bl w:val="nil"/>
                  </w:tcBorders>
                  <w:shd w:val="clear" w:color="auto" w:fill="auto"/>
                  <w:tcMar>
                    <w:top w:w="150" w:type="dxa"/>
                    <w:left w:w="150" w:type="dxa"/>
                    <w:bottom w:w="150" w:type="dxa"/>
                    <w:right w:w="150" w:type="dxa"/>
                  </w:tcMar>
                  <w:vAlign w:val="center"/>
                </w:tcPr>
                <w:p w14:paraId="6D60271F">
                  <w:pPr>
                    <w:keepNext w:val="0"/>
                    <w:keepLines w:val="0"/>
                    <w:widowControl/>
                    <w:suppressLineNumbers w:val="0"/>
                    <w:spacing w:line="240" w:lineRule="auto"/>
                    <w:jc w:val="center"/>
                    <w:rPr>
                      <w:rFonts w:hint="default" w:ascii="Times New Roman" w:hAnsi="Times New Roman" w:eastAsia="宋体" w:cs="Times New Roman"/>
                      <w:i w:val="0"/>
                      <w:iCs w:val="0"/>
                      <w:caps w:val="0"/>
                      <w:color w:val="FF0000"/>
                      <w:spacing w:val="0"/>
                      <w:sz w:val="21"/>
                      <w:szCs w:val="21"/>
                    </w:rPr>
                  </w:pPr>
                  <w:r>
                    <w:rPr>
                      <w:rFonts w:hint="default" w:ascii="Times New Roman" w:hAnsi="Times New Roman" w:eastAsia="宋体" w:cs="Times New Roman"/>
                      <w:i w:val="0"/>
                      <w:iCs w:val="0"/>
                      <w:caps w:val="0"/>
                      <w:color w:val="FF0000"/>
                      <w:spacing w:val="0"/>
                      <w:kern w:val="0"/>
                      <w:sz w:val="21"/>
                      <w:szCs w:val="21"/>
                      <w:lang w:val="en-US" w:eastAsia="zh-CN" w:bidi="ar"/>
                    </w:rPr>
                    <w:t>非标</w:t>
                  </w:r>
                </w:p>
              </w:tc>
              <w:tc>
                <w:tcPr>
                  <w:tcW w:w="423" w:type="pct"/>
                  <w:tcBorders>
                    <w:tl2br w:val="nil"/>
                    <w:tr2bl w:val="nil"/>
                  </w:tcBorders>
                  <w:shd w:val="clear" w:color="auto" w:fill="auto"/>
                  <w:tcMar>
                    <w:top w:w="150" w:type="dxa"/>
                    <w:left w:w="150" w:type="dxa"/>
                    <w:bottom w:w="150" w:type="dxa"/>
                    <w:right w:w="150" w:type="dxa"/>
                  </w:tcMar>
                  <w:vAlign w:val="center"/>
                </w:tcPr>
                <w:p w14:paraId="07D7FF78">
                  <w:pPr>
                    <w:keepNext w:val="0"/>
                    <w:keepLines w:val="0"/>
                    <w:widowControl/>
                    <w:suppressLineNumbers w:val="0"/>
                    <w:spacing w:line="240" w:lineRule="auto"/>
                    <w:jc w:val="center"/>
                    <w:rPr>
                      <w:rFonts w:hint="default" w:ascii="Times New Roman" w:hAnsi="Times New Roman" w:eastAsia="宋体" w:cs="Times New Roman"/>
                      <w:i w:val="0"/>
                      <w:iCs w:val="0"/>
                      <w:caps w:val="0"/>
                      <w:color w:val="FF0000"/>
                      <w:spacing w:val="0"/>
                      <w:sz w:val="21"/>
                      <w:szCs w:val="21"/>
                    </w:rPr>
                  </w:pPr>
                  <w:r>
                    <w:rPr>
                      <w:rFonts w:hint="default" w:ascii="Times New Roman" w:hAnsi="Times New Roman" w:eastAsia="宋体" w:cs="Times New Roman"/>
                      <w:i w:val="0"/>
                      <w:iCs w:val="0"/>
                      <w:caps w:val="0"/>
                      <w:color w:val="FF0000"/>
                      <w:spacing w:val="0"/>
                      <w:kern w:val="0"/>
                      <w:sz w:val="21"/>
                      <w:szCs w:val="21"/>
                      <w:lang w:val="en-US" w:eastAsia="zh-CN" w:bidi="ar"/>
                    </w:rPr>
                    <w:t>台</w:t>
                  </w:r>
                </w:p>
              </w:tc>
              <w:tc>
                <w:tcPr>
                  <w:tcW w:w="425" w:type="pct"/>
                  <w:tcBorders>
                    <w:tl2br w:val="nil"/>
                    <w:tr2bl w:val="nil"/>
                  </w:tcBorders>
                  <w:shd w:val="clear" w:color="auto" w:fill="auto"/>
                  <w:tcMar>
                    <w:top w:w="150" w:type="dxa"/>
                    <w:left w:w="150" w:type="dxa"/>
                    <w:bottom w:w="150" w:type="dxa"/>
                    <w:right w:w="150" w:type="dxa"/>
                  </w:tcMar>
                  <w:vAlign w:val="center"/>
                </w:tcPr>
                <w:p w14:paraId="4D1C0EA7">
                  <w:pPr>
                    <w:keepNext w:val="0"/>
                    <w:keepLines w:val="0"/>
                    <w:widowControl/>
                    <w:suppressLineNumbers w:val="0"/>
                    <w:spacing w:line="240" w:lineRule="auto"/>
                    <w:jc w:val="center"/>
                    <w:rPr>
                      <w:rFonts w:hint="default" w:ascii="Times New Roman" w:hAnsi="Times New Roman" w:eastAsia="宋体" w:cs="Times New Roman"/>
                      <w:i w:val="0"/>
                      <w:iCs w:val="0"/>
                      <w:caps w:val="0"/>
                      <w:color w:val="FF0000"/>
                      <w:spacing w:val="0"/>
                      <w:sz w:val="21"/>
                      <w:szCs w:val="21"/>
                    </w:rPr>
                  </w:pPr>
                  <w:r>
                    <w:rPr>
                      <w:rFonts w:hint="default" w:ascii="Times New Roman" w:hAnsi="Times New Roman" w:eastAsia="宋体" w:cs="Times New Roman"/>
                      <w:i w:val="0"/>
                      <w:iCs w:val="0"/>
                      <w:caps w:val="0"/>
                      <w:color w:val="FF0000"/>
                      <w:spacing w:val="0"/>
                      <w:kern w:val="0"/>
                      <w:sz w:val="21"/>
                      <w:szCs w:val="21"/>
                      <w:lang w:val="en-US" w:eastAsia="zh-CN" w:bidi="ar"/>
                    </w:rPr>
                    <w:t>6</w:t>
                  </w:r>
                </w:p>
              </w:tc>
            </w:tr>
            <w:tr w14:paraId="68083085">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shd w:val="clear" w:color="auto" w:fill="auto"/>
                <w:tblCellMar>
                  <w:top w:w="15" w:type="dxa"/>
                  <w:left w:w="15" w:type="dxa"/>
                  <w:bottom w:w="15" w:type="dxa"/>
                  <w:right w:w="15" w:type="dxa"/>
                </w:tblCellMar>
              </w:tblPrEx>
              <w:trPr>
                <w:trHeight w:val="23" w:hRule="atLeast"/>
                <w:tblHeader/>
              </w:trPr>
              <w:tc>
                <w:tcPr>
                  <w:tcW w:w="391" w:type="pct"/>
                  <w:tcBorders>
                    <w:tl2br w:val="nil"/>
                    <w:tr2bl w:val="nil"/>
                  </w:tcBorders>
                  <w:shd w:val="clear" w:color="auto" w:fill="auto"/>
                  <w:tcMar>
                    <w:top w:w="150" w:type="dxa"/>
                    <w:left w:w="0" w:type="dxa"/>
                    <w:bottom w:w="150" w:type="dxa"/>
                    <w:right w:w="150" w:type="dxa"/>
                  </w:tcMar>
                  <w:vAlign w:val="center"/>
                </w:tcPr>
                <w:p w14:paraId="57C8B00F">
                  <w:pPr>
                    <w:keepNext w:val="0"/>
                    <w:keepLines w:val="0"/>
                    <w:widowControl/>
                    <w:suppressLineNumbers w:val="0"/>
                    <w:spacing w:line="240" w:lineRule="auto"/>
                    <w:jc w:val="center"/>
                    <w:rPr>
                      <w:rFonts w:hint="default" w:ascii="Times New Roman" w:hAnsi="Times New Roman" w:eastAsia="宋体" w:cs="Times New Roman"/>
                      <w:i w:val="0"/>
                      <w:iCs w:val="0"/>
                      <w:caps w:val="0"/>
                      <w:color w:val="FF0000"/>
                      <w:spacing w:val="0"/>
                      <w:kern w:val="2"/>
                      <w:sz w:val="21"/>
                      <w:szCs w:val="21"/>
                      <w:lang w:val="en-US" w:eastAsia="zh-CN" w:bidi="ar-SA"/>
                    </w:rPr>
                  </w:pPr>
                  <w:r>
                    <w:rPr>
                      <w:rFonts w:hint="default" w:ascii="Times New Roman" w:hAnsi="Times New Roman" w:eastAsia="宋体" w:cs="Times New Roman"/>
                      <w:i w:val="0"/>
                      <w:iCs w:val="0"/>
                      <w:caps w:val="0"/>
                      <w:color w:val="FF0000"/>
                      <w:spacing w:val="0"/>
                      <w:kern w:val="0"/>
                      <w:sz w:val="21"/>
                      <w:szCs w:val="21"/>
                      <w:lang w:val="en-US" w:eastAsia="zh-CN" w:bidi="ar"/>
                    </w:rPr>
                    <w:t>17</w:t>
                  </w:r>
                </w:p>
              </w:tc>
              <w:tc>
                <w:tcPr>
                  <w:tcW w:w="945" w:type="pct"/>
                  <w:tcBorders>
                    <w:tl2br w:val="nil"/>
                    <w:tr2bl w:val="nil"/>
                  </w:tcBorders>
                  <w:shd w:val="clear" w:color="auto" w:fill="auto"/>
                  <w:tcMar>
                    <w:top w:w="150" w:type="dxa"/>
                    <w:left w:w="150" w:type="dxa"/>
                    <w:bottom w:w="150" w:type="dxa"/>
                    <w:right w:w="150" w:type="dxa"/>
                  </w:tcMar>
                  <w:vAlign w:val="center"/>
                </w:tcPr>
                <w:p w14:paraId="2D61EAC9">
                  <w:pPr>
                    <w:keepNext w:val="0"/>
                    <w:keepLines w:val="0"/>
                    <w:widowControl/>
                    <w:suppressLineNumbers w:val="0"/>
                    <w:spacing w:line="240" w:lineRule="auto"/>
                    <w:jc w:val="center"/>
                    <w:rPr>
                      <w:rFonts w:hint="default" w:ascii="Times New Roman" w:hAnsi="Times New Roman" w:eastAsia="宋体" w:cs="Times New Roman"/>
                      <w:i w:val="0"/>
                      <w:iCs w:val="0"/>
                      <w:caps w:val="0"/>
                      <w:color w:val="FF0000"/>
                      <w:spacing w:val="0"/>
                      <w:sz w:val="21"/>
                      <w:szCs w:val="21"/>
                    </w:rPr>
                  </w:pPr>
                  <w:r>
                    <w:rPr>
                      <w:rStyle w:val="37"/>
                      <w:rFonts w:hint="default" w:ascii="Times New Roman" w:hAnsi="Times New Roman" w:eastAsia="宋体" w:cs="Times New Roman"/>
                      <w:b/>
                      <w:bCs/>
                      <w:i w:val="0"/>
                      <w:iCs w:val="0"/>
                      <w:caps w:val="0"/>
                      <w:color w:val="FF0000"/>
                      <w:spacing w:val="0"/>
                      <w:kern w:val="0"/>
                      <w:sz w:val="21"/>
                      <w:szCs w:val="21"/>
                      <w:lang w:val="en-US" w:eastAsia="zh-CN" w:bidi="ar"/>
                    </w:rPr>
                    <w:t>轮胎拆解设备</w:t>
                  </w:r>
                </w:p>
              </w:tc>
              <w:tc>
                <w:tcPr>
                  <w:tcW w:w="1593" w:type="pct"/>
                  <w:tcBorders>
                    <w:tl2br w:val="nil"/>
                    <w:tr2bl w:val="nil"/>
                  </w:tcBorders>
                  <w:shd w:val="clear" w:color="auto" w:fill="auto"/>
                  <w:tcMar>
                    <w:top w:w="150" w:type="dxa"/>
                    <w:left w:w="150" w:type="dxa"/>
                    <w:bottom w:w="150" w:type="dxa"/>
                    <w:right w:w="150" w:type="dxa"/>
                  </w:tcMar>
                  <w:vAlign w:val="center"/>
                </w:tcPr>
                <w:p w14:paraId="758F9622">
                  <w:pPr>
                    <w:keepNext w:val="0"/>
                    <w:keepLines w:val="0"/>
                    <w:widowControl/>
                    <w:suppressLineNumbers w:val="0"/>
                    <w:spacing w:line="240" w:lineRule="auto"/>
                    <w:jc w:val="center"/>
                    <w:rPr>
                      <w:rFonts w:hint="default" w:ascii="Times New Roman" w:hAnsi="Times New Roman" w:eastAsia="宋体" w:cs="Times New Roman"/>
                      <w:i w:val="0"/>
                      <w:iCs w:val="0"/>
                      <w:caps w:val="0"/>
                      <w:color w:val="FF0000"/>
                      <w:spacing w:val="0"/>
                      <w:sz w:val="21"/>
                      <w:szCs w:val="21"/>
                    </w:rPr>
                  </w:pPr>
                  <w:r>
                    <w:rPr>
                      <w:rFonts w:hint="default" w:ascii="Times New Roman" w:hAnsi="Times New Roman" w:eastAsia="宋体" w:cs="Times New Roman"/>
                      <w:i w:val="0"/>
                      <w:iCs w:val="0"/>
                      <w:caps w:val="0"/>
                      <w:color w:val="FF0000"/>
                      <w:spacing w:val="0"/>
                      <w:kern w:val="0"/>
                      <w:sz w:val="21"/>
                      <w:szCs w:val="21"/>
                      <w:lang w:val="en-US" w:eastAsia="zh-CN" w:bidi="ar"/>
                    </w:rPr>
                    <w:t>小车扒胎机</w:t>
                  </w:r>
                </w:p>
              </w:tc>
              <w:tc>
                <w:tcPr>
                  <w:tcW w:w="1220" w:type="pct"/>
                  <w:tcBorders>
                    <w:tl2br w:val="nil"/>
                    <w:tr2bl w:val="nil"/>
                  </w:tcBorders>
                  <w:shd w:val="clear" w:color="auto" w:fill="auto"/>
                  <w:tcMar>
                    <w:top w:w="150" w:type="dxa"/>
                    <w:left w:w="150" w:type="dxa"/>
                    <w:bottom w:w="150" w:type="dxa"/>
                    <w:right w:w="150" w:type="dxa"/>
                  </w:tcMar>
                  <w:vAlign w:val="center"/>
                </w:tcPr>
                <w:p w14:paraId="180C7509">
                  <w:pPr>
                    <w:keepNext w:val="0"/>
                    <w:keepLines w:val="0"/>
                    <w:widowControl/>
                    <w:suppressLineNumbers w:val="0"/>
                    <w:spacing w:line="240" w:lineRule="auto"/>
                    <w:jc w:val="center"/>
                    <w:rPr>
                      <w:rFonts w:hint="default" w:ascii="Times New Roman" w:hAnsi="Times New Roman" w:eastAsia="宋体" w:cs="Times New Roman"/>
                      <w:i w:val="0"/>
                      <w:iCs w:val="0"/>
                      <w:caps w:val="0"/>
                      <w:color w:val="FF0000"/>
                      <w:spacing w:val="0"/>
                      <w:sz w:val="21"/>
                      <w:szCs w:val="21"/>
                    </w:rPr>
                  </w:pPr>
                  <w:r>
                    <w:rPr>
                      <w:rFonts w:hint="default" w:ascii="Times New Roman" w:hAnsi="Times New Roman" w:eastAsia="宋体" w:cs="Times New Roman"/>
                      <w:i w:val="0"/>
                      <w:iCs w:val="0"/>
                      <w:caps w:val="0"/>
                      <w:color w:val="FF0000"/>
                      <w:spacing w:val="0"/>
                      <w:kern w:val="0"/>
                      <w:sz w:val="21"/>
                      <w:szCs w:val="21"/>
                      <w:lang w:val="en-US" w:eastAsia="zh-CN" w:bidi="ar"/>
                    </w:rPr>
                    <w:t>LTC-1040</w:t>
                  </w:r>
                </w:p>
              </w:tc>
              <w:tc>
                <w:tcPr>
                  <w:tcW w:w="423" w:type="pct"/>
                  <w:tcBorders>
                    <w:tl2br w:val="nil"/>
                    <w:tr2bl w:val="nil"/>
                  </w:tcBorders>
                  <w:shd w:val="clear" w:color="auto" w:fill="auto"/>
                  <w:tcMar>
                    <w:top w:w="150" w:type="dxa"/>
                    <w:left w:w="150" w:type="dxa"/>
                    <w:bottom w:w="150" w:type="dxa"/>
                    <w:right w:w="150" w:type="dxa"/>
                  </w:tcMar>
                  <w:vAlign w:val="center"/>
                </w:tcPr>
                <w:p w14:paraId="64C2E099">
                  <w:pPr>
                    <w:keepNext w:val="0"/>
                    <w:keepLines w:val="0"/>
                    <w:widowControl/>
                    <w:suppressLineNumbers w:val="0"/>
                    <w:spacing w:line="240" w:lineRule="auto"/>
                    <w:jc w:val="center"/>
                    <w:rPr>
                      <w:rFonts w:hint="default" w:ascii="Times New Roman" w:hAnsi="Times New Roman" w:eastAsia="宋体" w:cs="Times New Roman"/>
                      <w:i w:val="0"/>
                      <w:iCs w:val="0"/>
                      <w:caps w:val="0"/>
                      <w:color w:val="FF0000"/>
                      <w:spacing w:val="0"/>
                      <w:sz w:val="21"/>
                      <w:szCs w:val="21"/>
                    </w:rPr>
                  </w:pPr>
                  <w:r>
                    <w:rPr>
                      <w:rFonts w:hint="default" w:ascii="Times New Roman" w:hAnsi="Times New Roman" w:eastAsia="宋体" w:cs="Times New Roman"/>
                      <w:i w:val="0"/>
                      <w:iCs w:val="0"/>
                      <w:caps w:val="0"/>
                      <w:color w:val="FF0000"/>
                      <w:spacing w:val="0"/>
                      <w:kern w:val="0"/>
                      <w:sz w:val="21"/>
                      <w:szCs w:val="21"/>
                      <w:lang w:val="en-US" w:eastAsia="zh-CN" w:bidi="ar"/>
                    </w:rPr>
                    <w:t>台</w:t>
                  </w:r>
                </w:p>
              </w:tc>
              <w:tc>
                <w:tcPr>
                  <w:tcW w:w="425" w:type="pct"/>
                  <w:tcBorders>
                    <w:tl2br w:val="nil"/>
                    <w:tr2bl w:val="nil"/>
                  </w:tcBorders>
                  <w:shd w:val="clear" w:color="auto" w:fill="auto"/>
                  <w:tcMar>
                    <w:top w:w="150" w:type="dxa"/>
                    <w:left w:w="150" w:type="dxa"/>
                    <w:bottom w:w="150" w:type="dxa"/>
                    <w:right w:w="150" w:type="dxa"/>
                  </w:tcMar>
                  <w:vAlign w:val="center"/>
                </w:tcPr>
                <w:p w14:paraId="03187276">
                  <w:pPr>
                    <w:keepNext w:val="0"/>
                    <w:keepLines w:val="0"/>
                    <w:widowControl/>
                    <w:suppressLineNumbers w:val="0"/>
                    <w:spacing w:line="240" w:lineRule="auto"/>
                    <w:jc w:val="center"/>
                    <w:rPr>
                      <w:rFonts w:hint="default" w:ascii="Times New Roman" w:hAnsi="Times New Roman" w:eastAsia="宋体" w:cs="Times New Roman"/>
                      <w:i w:val="0"/>
                      <w:iCs w:val="0"/>
                      <w:caps w:val="0"/>
                      <w:color w:val="FF0000"/>
                      <w:spacing w:val="0"/>
                      <w:sz w:val="21"/>
                      <w:szCs w:val="21"/>
                    </w:rPr>
                  </w:pPr>
                  <w:r>
                    <w:rPr>
                      <w:rFonts w:hint="default" w:ascii="Times New Roman" w:hAnsi="Times New Roman" w:eastAsia="宋体" w:cs="Times New Roman"/>
                      <w:i w:val="0"/>
                      <w:iCs w:val="0"/>
                      <w:caps w:val="0"/>
                      <w:color w:val="FF0000"/>
                      <w:spacing w:val="0"/>
                      <w:kern w:val="0"/>
                      <w:sz w:val="21"/>
                      <w:szCs w:val="21"/>
                      <w:lang w:val="en-US" w:eastAsia="zh-CN" w:bidi="ar"/>
                    </w:rPr>
                    <w:t>2</w:t>
                  </w:r>
                </w:p>
              </w:tc>
            </w:tr>
            <w:tr w14:paraId="04B76E9E">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shd w:val="clear" w:color="auto" w:fill="auto"/>
                <w:tblCellMar>
                  <w:top w:w="15" w:type="dxa"/>
                  <w:left w:w="15" w:type="dxa"/>
                  <w:bottom w:w="15" w:type="dxa"/>
                  <w:right w:w="15" w:type="dxa"/>
                </w:tblCellMar>
              </w:tblPrEx>
              <w:trPr>
                <w:trHeight w:val="23" w:hRule="atLeast"/>
                <w:tblHeader/>
              </w:trPr>
              <w:tc>
                <w:tcPr>
                  <w:tcW w:w="391" w:type="pct"/>
                  <w:tcBorders>
                    <w:tl2br w:val="nil"/>
                    <w:tr2bl w:val="nil"/>
                  </w:tcBorders>
                  <w:shd w:val="clear" w:color="auto" w:fill="auto"/>
                  <w:tcMar>
                    <w:top w:w="150" w:type="dxa"/>
                    <w:left w:w="0" w:type="dxa"/>
                    <w:bottom w:w="150" w:type="dxa"/>
                    <w:right w:w="150" w:type="dxa"/>
                  </w:tcMar>
                  <w:vAlign w:val="center"/>
                </w:tcPr>
                <w:p w14:paraId="758D25E3">
                  <w:pPr>
                    <w:keepNext w:val="0"/>
                    <w:keepLines w:val="0"/>
                    <w:widowControl/>
                    <w:suppressLineNumbers w:val="0"/>
                    <w:spacing w:line="240" w:lineRule="auto"/>
                    <w:jc w:val="center"/>
                    <w:rPr>
                      <w:rFonts w:hint="default" w:ascii="Times New Roman" w:hAnsi="Times New Roman" w:eastAsia="宋体" w:cs="Times New Roman"/>
                      <w:i w:val="0"/>
                      <w:iCs w:val="0"/>
                      <w:caps w:val="0"/>
                      <w:color w:val="FF0000"/>
                      <w:spacing w:val="0"/>
                      <w:kern w:val="2"/>
                      <w:sz w:val="21"/>
                      <w:szCs w:val="21"/>
                      <w:lang w:val="en-US" w:eastAsia="zh-CN" w:bidi="ar-SA"/>
                    </w:rPr>
                  </w:pPr>
                  <w:r>
                    <w:rPr>
                      <w:rFonts w:hint="default" w:ascii="Times New Roman" w:hAnsi="Times New Roman" w:eastAsia="宋体" w:cs="Times New Roman"/>
                      <w:i w:val="0"/>
                      <w:iCs w:val="0"/>
                      <w:caps w:val="0"/>
                      <w:color w:val="FF0000"/>
                      <w:spacing w:val="0"/>
                      <w:kern w:val="0"/>
                      <w:sz w:val="21"/>
                      <w:szCs w:val="21"/>
                      <w:lang w:val="en-US" w:eastAsia="zh-CN" w:bidi="ar"/>
                    </w:rPr>
                    <w:t>18</w:t>
                  </w:r>
                </w:p>
              </w:tc>
              <w:tc>
                <w:tcPr>
                  <w:tcW w:w="945" w:type="pct"/>
                  <w:tcBorders>
                    <w:tl2br w:val="nil"/>
                    <w:tr2bl w:val="nil"/>
                  </w:tcBorders>
                  <w:shd w:val="clear" w:color="auto" w:fill="auto"/>
                  <w:tcMar>
                    <w:top w:w="150" w:type="dxa"/>
                    <w:left w:w="150" w:type="dxa"/>
                    <w:bottom w:w="150" w:type="dxa"/>
                    <w:right w:w="150" w:type="dxa"/>
                  </w:tcMar>
                  <w:vAlign w:val="center"/>
                </w:tcPr>
                <w:p w14:paraId="536F5058">
                  <w:pPr>
                    <w:keepNext w:val="0"/>
                    <w:keepLines w:val="0"/>
                    <w:widowControl/>
                    <w:suppressLineNumbers w:val="0"/>
                    <w:spacing w:line="240" w:lineRule="auto"/>
                    <w:jc w:val="center"/>
                    <w:rPr>
                      <w:rFonts w:hint="default" w:ascii="Times New Roman" w:hAnsi="Times New Roman" w:eastAsia="宋体" w:cs="Times New Roman"/>
                      <w:i w:val="0"/>
                      <w:iCs w:val="0"/>
                      <w:caps w:val="0"/>
                      <w:color w:val="FF0000"/>
                      <w:spacing w:val="0"/>
                      <w:sz w:val="21"/>
                      <w:szCs w:val="21"/>
                    </w:rPr>
                  </w:pPr>
                  <w:r>
                    <w:rPr>
                      <w:rStyle w:val="37"/>
                      <w:rFonts w:hint="default" w:ascii="Times New Roman" w:hAnsi="Times New Roman" w:eastAsia="宋体" w:cs="Times New Roman"/>
                      <w:b/>
                      <w:bCs/>
                      <w:i w:val="0"/>
                      <w:iCs w:val="0"/>
                      <w:caps w:val="0"/>
                      <w:color w:val="FF0000"/>
                      <w:spacing w:val="0"/>
                      <w:kern w:val="0"/>
                      <w:sz w:val="21"/>
                      <w:szCs w:val="21"/>
                      <w:lang w:val="en-US" w:eastAsia="zh-CN" w:bidi="ar"/>
                    </w:rPr>
                    <w:t>新能源专用设备</w:t>
                  </w:r>
                </w:p>
              </w:tc>
              <w:tc>
                <w:tcPr>
                  <w:tcW w:w="1593" w:type="pct"/>
                  <w:tcBorders>
                    <w:tl2br w:val="nil"/>
                    <w:tr2bl w:val="nil"/>
                  </w:tcBorders>
                  <w:shd w:val="clear" w:color="auto" w:fill="auto"/>
                  <w:tcMar>
                    <w:top w:w="150" w:type="dxa"/>
                    <w:left w:w="150" w:type="dxa"/>
                    <w:bottom w:w="150" w:type="dxa"/>
                    <w:right w:w="150" w:type="dxa"/>
                  </w:tcMar>
                  <w:vAlign w:val="center"/>
                </w:tcPr>
                <w:p w14:paraId="4FF9CD3C">
                  <w:pPr>
                    <w:keepNext w:val="0"/>
                    <w:keepLines w:val="0"/>
                    <w:widowControl/>
                    <w:suppressLineNumbers w:val="0"/>
                    <w:spacing w:line="240" w:lineRule="auto"/>
                    <w:jc w:val="center"/>
                    <w:rPr>
                      <w:rFonts w:hint="default" w:ascii="Times New Roman" w:hAnsi="Times New Roman" w:eastAsia="宋体" w:cs="Times New Roman"/>
                      <w:i w:val="0"/>
                      <w:iCs w:val="0"/>
                      <w:caps w:val="0"/>
                      <w:color w:val="FF0000"/>
                      <w:spacing w:val="0"/>
                      <w:sz w:val="21"/>
                      <w:szCs w:val="21"/>
                    </w:rPr>
                  </w:pPr>
                  <w:r>
                    <w:rPr>
                      <w:rFonts w:hint="default" w:ascii="Times New Roman" w:hAnsi="Times New Roman" w:eastAsia="宋体" w:cs="Times New Roman"/>
                      <w:i w:val="0"/>
                      <w:iCs w:val="0"/>
                      <w:caps w:val="0"/>
                      <w:color w:val="FF0000"/>
                      <w:spacing w:val="0"/>
                      <w:kern w:val="0"/>
                      <w:sz w:val="21"/>
                      <w:szCs w:val="21"/>
                      <w:lang w:val="en-US" w:eastAsia="zh-CN" w:bidi="ar"/>
                    </w:rPr>
                    <w:t>动力电池安全评估设备</w:t>
                  </w:r>
                </w:p>
              </w:tc>
              <w:tc>
                <w:tcPr>
                  <w:tcW w:w="1220" w:type="pct"/>
                  <w:tcBorders>
                    <w:tl2br w:val="nil"/>
                    <w:tr2bl w:val="nil"/>
                  </w:tcBorders>
                  <w:shd w:val="clear" w:color="auto" w:fill="auto"/>
                  <w:tcMar>
                    <w:top w:w="150" w:type="dxa"/>
                    <w:left w:w="150" w:type="dxa"/>
                    <w:bottom w:w="150" w:type="dxa"/>
                    <w:right w:w="150" w:type="dxa"/>
                  </w:tcMar>
                  <w:vAlign w:val="center"/>
                </w:tcPr>
                <w:p w14:paraId="171FCC1D">
                  <w:pPr>
                    <w:keepNext w:val="0"/>
                    <w:keepLines w:val="0"/>
                    <w:widowControl/>
                    <w:suppressLineNumbers w:val="0"/>
                    <w:spacing w:line="240" w:lineRule="auto"/>
                    <w:jc w:val="center"/>
                    <w:rPr>
                      <w:rFonts w:hint="default" w:ascii="Times New Roman" w:hAnsi="Times New Roman" w:eastAsia="宋体" w:cs="Times New Roman"/>
                      <w:i w:val="0"/>
                      <w:iCs w:val="0"/>
                      <w:caps w:val="0"/>
                      <w:color w:val="FF0000"/>
                      <w:spacing w:val="0"/>
                      <w:sz w:val="21"/>
                      <w:szCs w:val="21"/>
                    </w:rPr>
                  </w:pPr>
                  <w:r>
                    <w:rPr>
                      <w:rFonts w:hint="default" w:ascii="Times New Roman" w:hAnsi="Times New Roman" w:eastAsia="宋体" w:cs="Times New Roman"/>
                      <w:i w:val="0"/>
                      <w:iCs w:val="0"/>
                      <w:caps w:val="0"/>
                      <w:color w:val="FF0000"/>
                      <w:spacing w:val="0"/>
                      <w:kern w:val="0"/>
                      <w:sz w:val="21"/>
                      <w:szCs w:val="21"/>
                      <w:lang w:val="en-US" w:eastAsia="zh-CN" w:bidi="ar"/>
                    </w:rPr>
                    <w:t>非标</w:t>
                  </w:r>
                </w:p>
              </w:tc>
              <w:tc>
                <w:tcPr>
                  <w:tcW w:w="423" w:type="pct"/>
                  <w:tcBorders>
                    <w:tl2br w:val="nil"/>
                    <w:tr2bl w:val="nil"/>
                  </w:tcBorders>
                  <w:shd w:val="clear" w:color="auto" w:fill="auto"/>
                  <w:tcMar>
                    <w:top w:w="150" w:type="dxa"/>
                    <w:left w:w="150" w:type="dxa"/>
                    <w:bottom w:w="150" w:type="dxa"/>
                    <w:right w:w="150" w:type="dxa"/>
                  </w:tcMar>
                  <w:vAlign w:val="center"/>
                </w:tcPr>
                <w:p w14:paraId="118D165B">
                  <w:pPr>
                    <w:keepNext w:val="0"/>
                    <w:keepLines w:val="0"/>
                    <w:widowControl/>
                    <w:suppressLineNumbers w:val="0"/>
                    <w:spacing w:line="240" w:lineRule="auto"/>
                    <w:jc w:val="center"/>
                    <w:rPr>
                      <w:rFonts w:hint="default" w:ascii="Times New Roman" w:hAnsi="Times New Roman" w:eastAsia="宋体" w:cs="Times New Roman"/>
                      <w:i w:val="0"/>
                      <w:iCs w:val="0"/>
                      <w:caps w:val="0"/>
                      <w:color w:val="FF0000"/>
                      <w:spacing w:val="0"/>
                      <w:sz w:val="21"/>
                      <w:szCs w:val="21"/>
                    </w:rPr>
                  </w:pPr>
                  <w:r>
                    <w:rPr>
                      <w:rFonts w:hint="default" w:ascii="Times New Roman" w:hAnsi="Times New Roman" w:eastAsia="宋体" w:cs="Times New Roman"/>
                      <w:i w:val="0"/>
                      <w:iCs w:val="0"/>
                      <w:caps w:val="0"/>
                      <w:color w:val="FF0000"/>
                      <w:spacing w:val="0"/>
                      <w:kern w:val="0"/>
                      <w:sz w:val="21"/>
                      <w:szCs w:val="21"/>
                      <w:lang w:val="en-US" w:eastAsia="zh-CN" w:bidi="ar"/>
                    </w:rPr>
                    <w:t>台</w:t>
                  </w:r>
                </w:p>
              </w:tc>
              <w:tc>
                <w:tcPr>
                  <w:tcW w:w="425" w:type="pct"/>
                  <w:tcBorders>
                    <w:tl2br w:val="nil"/>
                    <w:tr2bl w:val="nil"/>
                  </w:tcBorders>
                  <w:shd w:val="clear" w:color="auto" w:fill="auto"/>
                  <w:tcMar>
                    <w:top w:w="150" w:type="dxa"/>
                    <w:left w:w="150" w:type="dxa"/>
                    <w:bottom w:w="150" w:type="dxa"/>
                    <w:right w:w="150" w:type="dxa"/>
                  </w:tcMar>
                  <w:vAlign w:val="center"/>
                </w:tcPr>
                <w:p w14:paraId="24DC7A4D">
                  <w:pPr>
                    <w:keepNext w:val="0"/>
                    <w:keepLines w:val="0"/>
                    <w:widowControl/>
                    <w:suppressLineNumbers w:val="0"/>
                    <w:spacing w:line="240" w:lineRule="auto"/>
                    <w:jc w:val="center"/>
                    <w:rPr>
                      <w:rFonts w:hint="default" w:ascii="Times New Roman" w:hAnsi="Times New Roman" w:eastAsia="宋体" w:cs="Times New Roman"/>
                      <w:i w:val="0"/>
                      <w:iCs w:val="0"/>
                      <w:caps w:val="0"/>
                      <w:color w:val="FF0000"/>
                      <w:spacing w:val="0"/>
                      <w:sz w:val="21"/>
                      <w:szCs w:val="21"/>
                    </w:rPr>
                  </w:pPr>
                  <w:r>
                    <w:rPr>
                      <w:rFonts w:hint="default" w:ascii="Times New Roman" w:hAnsi="Times New Roman" w:eastAsia="宋体" w:cs="Times New Roman"/>
                      <w:i w:val="0"/>
                      <w:iCs w:val="0"/>
                      <w:caps w:val="0"/>
                      <w:color w:val="FF0000"/>
                      <w:spacing w:val="0"/>
                      <w:kern w:val="0"/>
                      <w:sz w:val="21"/>
                      <w:szCs w:val="21"/>
                      <w:lang w:val="en-US" w:eastAsia="zh-CN" w:bidi="ar"/>
                    </w:rPr>
                    <w:t>1</w:t>
                  </w:r>
                </w:p>
              </w:tc>
            </w:tr>
            <w:tr w14:paraId="0A79C490">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15" w:type="dxa"/>
                  <w:left w:w="15" w:type="dxa"/>
                  <w:bottom w:w="15" w:type="dxa"/>
                  <w:right w:w="15" w:type="dxa"/>
                </w:tblCellMar>
              </w:tblPrEx>
              <w:trPr>
                <w:trHeight w:val="23" w:hRule="atLeast"/>
                <w:tblHeader/>
              </w:trPr>
              <w:tc>
                <w:tcPr>
                  <w:tcW w:w="391" w:type="pct"/>
                  <w:tcBorders>
                    <w:tl2br w:val="nil"/>
                    <w:tr2bl w:val="nil"/>
                  </w:tcBorders>
                  <w:shd w:val="clear" w:color="auto" w:fill="auto"/>
                  <w:tcMar>
                    <w:top w:w="150" w:type="dxa"/>
                    <w:left w:w="0" w:type="dxa"/>
                    <w:bottom w:w="150" w:type="dxa"/>
                    <w:right w:w="150" w:type="dxa"/>
                  </w:tcMar>
                  <w:vAlign w:val="center"/>
                </w:tcPr>
                <w:p w14:paraId="4B859087">
                  <w:pPr>
                    <w:keepNext w:val="0"/>
                    <w:keepLines w:val="0"/>
                    <w:widowControl/>
                    <w:suppressLineNumbers w:val="0"/>
                    <w:spacing w:line="240" w:lineRule="auto"/>
                    <w:jc w:val="center"/>
                    <w:rPr>
                      <w:rFonts w:hint="default" w:ascii="Times New Roman" w:hAnsi="Times New Roman" w:eastAsia="宋体" w:cs="Times New Roman"/>
                      <w:i w:val="0"/>
                      <w:iCs w:val="0"/>
                      <w:caps w:val="0"/>
                      <w:color w:val="FF0000"/>
                      <w:spacing w:val="0"/>
                      <w:kern w:val="2"/>
                      <w:sz w:val="21"/>
                      <w:szCs w:val="21"/>
                      <w:lang w:val="en-US" w:eastAsia="zh-CN" w:bidi="ar-SA"/>
                    </w:rPr>
                  </w:pPr>
                  <w:r>
                    <w:rPr>
                      <w:rFonts w:hint="default" w:ascii="Times New Roman" w:hAnsi="Times New Roman" w:eastAsia="宋体" w:cs="Times New Roman"/>
                      <w:i w:val="0"/>
                      <w:iCs w:val="0"/>
                      <w:caps w:val="0"/>
                      <w:color w:val="FF0000"/>
                      <w:spacing w:val="0"/>
                      <w:kern w:val="0"/>
                      <w:sz w:val="21"/>
                      <w:szCs w:val="21"/>
                      <w:lang w:val="en-US" w:eastAsia="zh-CN" w:bidi="ar"/>
                    </w:rPr>
                    <w:t>19</w:t>
                  </w:r>
                </w:p>
              </w:tc>
              <w:tc>
                <w:tcPr>
                  <w:tcW w:w="945" w:type="pct"/>
                  <w:tcBorders>
                    <w:tl2br w:val="nil"/>
                    <w:tr2bl w:val="nil"/>
                  </w:tcBorders>
                  <w:shd w:val="clear" w:color="auto" w:fill="auto"/>
                  <w:tcMar>
                    <w:top w:w="150" w:type="dxa"/>
                    <w:left w:w="150" w:type="dxa"/>
                    <w:bottom w:w="150" w:type="dxa"/>
                    <w:right w:w="150" w:type="dxa"/>
                  </w:tcMar>
                  <w:vAlign w:val="center"/>
                </w:tcPr>
                <w:p w14:paraId="4142985E">
                  <w:pPr>
                    <w:spacing w:line="240" w:lineRule="auto"/>
                    <w:jc w:val="center"/>
                    <w:rPr>
                      <w:rFonts w:hint="default" w:ascii="Times New Roman" w:hAnsi="Times New Roman" w:eastAsia="宋体" w:cs="Times New Roman"/>
                      <w:i w:val="0"/>
                      <w:iCs w:val="0"/>
                      <w:caps w:val="0"/>
                      <w:color w:val="FF0000"/>
                      <w:spacing w:val="0"/>
                      <w:sz w:val="21"/>
                      <w:szCs w:val="21"/>
                    </w:rPr>
                  </w:pPr>
                </w:p>
              </w:tc>
              <w:tc>
                <w:tcPr>
                  <w:tcW w:w="1593" w:type="pct"/>
                  <w:tcBorders>
                    <w:tl2br w:val="nil"/>
                    <w:tr2bl w:val="nil"/>
                  </w:tcBorders>
                  <w:shd w:val="clear" w:color="auto" w:fill="auto"/>
                  <w:tcMar>
                    <w:top w:w="150" w:type="dxa"/>
                    <w:left w:w="150" w:type="dxa"/>
                    <w:bottom w:w="150" w:type="dxa"/>
                    <w:right w:w="150" w:type="dxa"/>
                  </w:tcMar>
                  <w:vAlign w:val="center"/>
                </w:tcPr>
                <w:p w14:paraId="04D90A07">
                  <w:pPr>
                    <w:keepNext w:val="0"/>
                    <w:keepLines w:val="0"/>
                    <w:widowControl/>
                    <w:suppressLineNumbers w:val="0"/>
                    <w:spacing w:line="240" w:lineRule="auto"/>
                    <w:jc w:val="center"/>
                    <w:rPr>
                      <w:rFonts w:hint="default" w:ascii="Times New Roman" w:hAnsi="Times New Roman" w:eastAsia="宋体" w:cs="Times New Roman"/>
                      <w:i w:val="0"/>
                      <w:iCs w:val="0"/>
                      <w:caps w:val="0"/>
                      <w:color w:val="FF0000"/>
                      <w:spacing w:val="0"/>
                      <w:sz w:val="21"/>
                      <w:szCs w:val="21"/>
                    </w:rPr>
                  </w:pPr>
                  <w:r>
                    <w:rPr>
                      <w:rFonts w:hint="default" w:ascii="Times New Roman" w:hAnsi="Times New Roman" w:eastAsia="宋体" w:cs="Times New Roman"/>
                      <w:i w:val="0"/>
                      <w:iCs w:val="0"/>
                      <w:caps w:val="0"/>
                      <w:color w:val="FF0000"/>
                      <w:spacing w:val="0"/>
                      <w:kern w:val="0"/>
                      <w:sz w:val="21"/>
                      <w:szCs w:val="21"/>
                      <w:lang w:val="en-US" w:eastAsia="zh-CN" w:bidi="ar"/>
                    </w:rPr>
                    <w:t>安全防护及绝缘防护用具</w:t>
                  </w:r>
                </w:p>
              </w:tc>
              <w:tc>
                <w:tcPr>
                  <w:tcW w:w="1220" w:type="pct"/>
                  <w:tcBorders>
                    <w:tl2br w:val="nil"/>
                    <w:tr2bl w:val="nil"/>
                  </w:tcBorders>
                  <w:shd w:val="clear" w:color="auto" w:fill="auto"/>
                  <w:tcMar>
                    <w:top w:w="150" w:type="dxa"/>
                    <w:left w:w="150" w:type="dxa"/>
                    <w:bottom w:w="150" w:type="dxa"/>
                    <w:right w:w="150" w:type="dxa"/>
                  </w:tcMar>
                  <w:vAlign w:val="center"/>
                </w:tcPr>
                <w:p w14:paraId="2A9AC280">
                  <w:pPr>
                    <w:keepNext w:val="0"/>
                    <w:keepLines w:val="0"/>
                    <w:widowControl/>
                    <w:suppressLineNumbers w:val="0"/>
                    <w:spacing w:line="240" w:lineRule="auto"/>
                    <w:jc w:val="center"/>
                    <w:rPr>
                      <w:rFonts w:hint="default" w:ascii="Times New Roman" w:hAnsi="Times New Roman" w:eastAsia="宋体" w:cs="Times New Roman"/>
                      <w:i w:val="0"/>
                      <w:iCs w:val="0"/>
                      <w:caps w:val="0"/>
                      <w:color w:val="FF0000"/>
                      <w:spacing w:val="0"/>
                      <w:sz w:val="21"/>
                      <w:szCs w:val="21"/>
                    </w:rPr>
                  </w:pPr>
                  <w:r>
                    <w:rPr>
                      <w:rFonts w:hint="default" w:ascii="Times New Roman" w:hAnsi="Times New Roman" w:eastAsia="宋体" w:cs="Times New Roman"/>
                      <w:i w:val="0"/>
                      <w:iCs w:val="0"/>
                      <w:caps w:val="0"/>
                      <w:color w:val="FF0000"/>
                      <w:spacing w:val="0"/>
                      <w:kern w:val="0"/>
                      <w:sz w:val="21"/>
                      <w:szCs w:val="21"/>
                      <w:lang w:val="en-US" w:eastAsia="zh-CN" w:bidi="ar"/>
                    </w:rPr>
                    <w:t>非标</w:t>
                  </w:r>
                </w:p>
              </w:tc>
              <w:tc>
                <w:tcPr>
                  <w:tcW w:w="423" w:type="pct"/>
                  <w:tcBorders>
                    <w:tl2br w:val="nil"/>
                    <w:tr2bl w:val="nil"/>
                  </w:tcBorders>
                  <w:shd w:val="clear" w:color="auto" w:fill="auto"/>
                  <w:tcMar>
                    <w:top w:w="150" w:type="dxa"/>
                    <w:left w:w="150" w:type="dxa"/>
                    <w:bottom w:w="150" w:type="dxa"/>
                    <w:right w:w="150" w:type="dxa"/>
                  </w:tcMar>
                  <w:vAlign w:val="center"/>
                </w:tcPr>
                <w:p w14:paraId="3B180F8B">
                  <w:pPr>
                    <w:keepNext w:val="0"/>
                    <w:keepLines w:val="0"/>
                    <w:widowControl/>
                    <w:suppressLineNumbers w:val="0"/>
                    <w:spacing w:line="240" w:lineRule="auto"/>
                    <w:jc w:val="center"/>
                    <w:rPr>
                      <w:rFonts w:hint="default" w:ascii="Times New Roman" w:hAnsi="Times New Roman" w:eastAsia="宋体" w:cs="Times New Roman"/>
                      <w:i w:val="0"/>
                      <w:iCs w:val="0"/>
                      <w:caps w:val="0"/>
                      <w:color w:val="FF0000"/>
                      <w:spacing w:val="0"/>
                      <w:sz w:val="21"/>
                      <w:szCs w:val="21"/>
                    </w:rPr>
                  </w:pPr>
                  <w:r>
                    <w:rPr>
                      <w:rFonts w:hint="default" w:ascii="Times New Roman" w:hAnsi="Times New Roman" w:eastAsia="宋体" w:cs="Times New Roman"/>
                      <w:i w:val="0"/>
                      <w:iCs w:val="0"/>
                      <w:caps w:val="0"/>
                      <w:color w:val="FF0000"/>
                      <w:spacing w:val="0"/>
                      <w:kern w:val="0"/>
                      <w:sz w:val="21"/>
                      <w:szCs w:val="21"/>
                      <w:lang w:val="en-US" w:eastAsia="zh-CN" w:bidi="ar"/>
                    </w:rPr>
                    <w:t>台</w:t>
                  </w:r>
                </w:p>
              </w:tc>
              <w:tc>
                <w:tcPr>
                  <w:tcW w:w="425" w:type="pct"/>
                  <w:tcBorders>
                    <w:tl2br w:val="nil"/>
                    <w:tr2bl w:val="nil"/>
                  </w:tcBorders>
                  <w:shd w:val="clear" w:color="auto" w:fill="auto"/>
                  <w:tcMar>
                    <w:top w:w="150" w:type="dxa"/>
                    <w:left w:w="150" w:type="dxa"/>
                    <w:bottom w:w="150" w:type="dxa"/>
                    <w:right w:w="150" w:type="dxa"/>
                  </w:tcMar>
                  <w:vAlign w:val="center"/>
                </w:tcPr>
                <w:p w14:paraId="119A99DD">
                  <w:pPr>
                    <w:keepNext w:val="0"/>
                    <w:keepLines w:val="0"/>
                    <w:widowControl/>
                    <w:suppressLineNumbers w:val="0"/>
                    <w:spacing w:line="240" w:lineRule="auto"/>
                    <w:jc w:val="center"/>
                    <w:rPr>
                      <w:rFonts w:hint="default" w:ascii="Times New Roman" w:hAnsi="Times New Roman" w:eastAsia="宋体" w:cs="Times New Roman"/>
                      <w:i w:val="0"/>
                      <w:iCs w:val="0"/>
                      <w:caps w:val="0"/>
                      <w:color w:val="FF0000"/>
                      <w:spacing w:val="0"/>
                      <w:sz w:val="21"/>
                      <w:szCs w:val="21"/>
                    </w:rPr>
                  </w:pPr>
                  <w:r>
                    <w:rPr>
                      <w:rFonts w:hint="default" w:ascii="Times New Roman" w:hAnsi="Times New Roman" w:eastAsia="宋体" w:cs="Times New Roman"/>
                      <w:i w:val="0"/>
                      <w:iCs w:val="0"/>
                      <w:caps w:val="0"/>
                      <w:color w:val="FF0000"/>
                      <w:spacing w:val="0"/>
                      <w:kern w:val="0"/>
                      <w:sz w:val="21"/>
                      <w:szCs w:val="21"/>
                      <w:lang w:val="en-US" w:eastAsia="zh-CN" w:bidi="ar"/>
                    </w:rPr>
                    <w:t>1</w:t>
                  </w:r>
                </w:p>
              </w:tc>
            </w:tr>
            <w:tr w14:paraId="1A625402">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15" w:type="dxa"/>
                  <w:left w:w="15" w:type="dxa"/>
                  <w:bottom w:w="15" w:type="dxa"/>
                  <w:right w:w="15" w:type="dxa"/>
                </w:tblCellMar>
              </w:tblPrEx>
              <w:trPr>
                <w:trHeight w:val="23" w:hRule="atLeast"/>
                <w:tblHeader/>
              </w:trPr>
              <w:tc>
                <w:tcPr>
                  <w:tcW w:w="391" w:type="pct"/>
                  <w:tcBorders>
                    <w:tl2br w:val="nil"/>
                    <w:tr2bl w:val="nil"/>
                  </w:tcBorders>
                  <w:shd w:val="clear" w:color="auto" w:fill="auto"/>
                  <w:tcMar>
                    <w:top w:w="150" w:type="dxa"/>
                    <w:left w:w="0" w:type="dxa"/>
                    <w:bottom w:w="150" w:type="dxa"/>
                    <w:right w:w="150" w:type="dxa"/>
                  </w:tcMar>
                  <w:vAlign w:val="center"/>
                </w:tcPr>
                <w:p w14:paraId="297B62C1">
                  <w:pPr>
                    <w:keepNext w:val="0"/>
                    <w:keepLines w:val="0"/>
                    <w:widowControl/>
                    <w:suppressLineNumbers w:val="0"/>
                    <w:spacing w:line="240" w:lineRule="auto"/>
                    <w:jc w:val="center"/>
                    <w:rPr>
                      <w:rFonts w:hint="default" w:ascii="Times New Roman" w:hAnsi="Times New Roman" w:eastAsia="宋体" w:cs="Times New Roman"/>
                      <w:i w:val="0"/>
                      <w:iCs w:val="0"/>
                      <w:caps w:val="0"/>
                      <w:color w:val="FF0000"/>
                      <w:spacing w:val="0"/>
                      <w:kern w:val="2"/>
                      <w:sz w:val="21"/>
                      <w:szCs w:val="21"/>
                      <w:lang w:val="en-US" w:eastAsia="zh-CN" w:bidi="ar-SA"/>
                    </w:rPr>
                  </w:pPr>
                  <w:r>
                    <w:rPr>
                      <w:rFonts w:hint="default" w:ascii="Times New Roman" w:hAnsi="Times New Roman" w:eastAsia="宋体" w:cs="Times New Roman"/>
                      <w:i w:val="0"/>
                      <w:iCs w:val="0"/>
                      <w:caps w:val="0"/>
                      <w:color w:val="FF0000"/>
                      <w:spacing w:val="0"/>
                      <w:kern w:val="0"/>
                      <w:sz w:val="21"/>
                      <w:szCs w:val="21"/>
                      <w:lang w:val="en-US" w:eastAsia="zh-CN" w:bidi="ar"/>
                    </w:rPr>
                    <w:t>20</w:t>
                  </w:r>
                </w:p>
              </w:tc>
              <w:tc>
                <w:tcPr>
                  <w:tcW w:w="945" w:type="pct"/>
                  <w:tcBorders>
                    <w:tl2br w:val="nil"/>
                    <w:tr2bl w:val="nil"/>
                  </w:tcBorders>
                  <w:shd w:val="clear" w:color="auto" w:fill="auto"/>
                  <w:tcMar>
                    <w:top w:w="150" w:type="dxa"/>
                    <w:left w:w="150" w:type="dxa"/>
                    <w:bottom w:w="150" w:type="dxa"/>
                    <w:right w:w="150" w:type="dxa"/>
                  </w:tcMar>
                  <w:vAlign w:val="center"/>
                </w:tcPr>
                <w:p w14:paraId="3A9AA672">
                  <w:pPr>
                    <w:spacing w:line="240" w:lineRule="auto"/>
                    <w:jc w:val="center"/>
                    <w:rPr>
                      <w:rFonts w:hint="default" w:ascii="Times New Roman" w:hAnsi="Times New Roman" w:eastAsia="宋体" w:cs="Times New Roman"/>
                      <w:i w:val="0"/>
                      <w:iCs w:val="0"/>
                      <w:caps w:val="0"/>
                      <w:color w:val="FF0000"/>
                      <w:spacing w:val="0"/>
                      <w:sz w:val="21"/>
                      <w:szCs w:val="21"/>
                    </w:rPr>
                  </w:pPr>
                </w:p>
              </w:tc>
              <w:tc>
                <w:tcPr>
                  <w:tcW w:w="1593" w:type="pct"/>
                  <w:tcBorders>
                    <w:tl2br w:val="nil"/>
                    <w:tr2bl w:val="nil"/>
                  </w:tcBorders>
                  <w:shd w:val="clear" w:color="auto" w:fill="auto"/>
                  <w:tcMar>
                    <w:top w:w="150" w:type="dxa"/>
                    <w:left w:w="150" w:type="dxa"/>
                    <w:bottom w:w="150" w:type="dxa"/>
                    <w:right w:w="150" w:type="dxa"/>
                  </w:tcMar>
                  <w:vAlign w:val="center"/>
                </w:tcPr>
                <w:p w14:paraId="2091332A">
                  <w:pPr>
                    <w:keepNext w:val="0"/>
                    <w:keepLines w:val="0"/>
                    <w:widowControl/>
                    <w:suppressLineNumbers w:val="0"/>
                    <w:spacing w:line="240" w:lineRule="auto"/>
                    <w:jc w:val="center"/>
                    <w:rPr>
                      <w:rFonts w:hint="default" w:ascii="Times New Roman" w:hAnsi="Times New Roman" w:eastAsia="宋体" w:cs="Times New Roman"/>
                      <w:i w:val="0"/>
                      <w:iCs w:val="0"/>
                      <w:caps w:val="0"/>
                      <w:color w:val="FF0000"/>
                      <w:spacing w:val="0"/>
                      <w:sz w:val="21"/>
                      <w:szCs w:val="21"/>
                    </w:rPr>
                  </w:pPr>
                  <w:r>
                    <w:rPr>
                      <w:rFonts w:hint="default" w:ascii="Times New Roman" w:hAnsi="Times New Roman" w:eastAsia="宋体" w:cs="Times New Roman"/>
                      <w:i w:val="0"/>
                      <w:iCs w:val="0"/>
                      <w:caps w:val="0"/>
                      <w:color w:val="FF0000"/>
                      <w:spacing w:val="0"/>
                      <w:kern w:val="0"/>
                      <w:sz w:val="21"/>
                      <w:szCs w:val="21"/>
                      <w:lang w:val="en-US" w:eastAsia="zh-CN" w:bidi="ar"/>
                    </w:rPr>
                    <w:t>动力电池拆解设备</w:t>
                  </w:r>
                </w:p>
              </w:tc>
              <w:tc>
                <w:tcPr>
                  <w:tcW w:w="1220" w:type="pct"/>
                  <w:tcBorders>
                    <w:tl2br w:val="nil"/>
                    <w:tr2bl w:val="nil"/>
                  </w:tcBorders>
                  <w:shd w:val="clear" w:color="auto" w:fill="auto"/>
                  <w:tcMar>
                    <w:top w:w="150" w:type="dxa"/>
                    <w:left w:w="150" w:type="dxa"/>
                    <w:bottom w:w="150" w:type="dxa"/>
                    <w:right w:w="150" w:type="dxa"/>
                  </w:tcMar>
                  <w:vAlign w:val="center"/>
                </w:tcPr>
                <w:p w14:paraId="4A5C6ECD">
                  <w:pPr>
                    <w:keepNext w:val="0"/>
                    <w:keepLines w:val="0"/>
                    <w:widowControl/>
                    <w:suppressLineNumbers w:val="0"/>
                    <w:spacing w:line="240" w:lineRule="auto"/>
                    <w:jc w:val="center"/>
                    <w:rPr>
                      <w:rFonts w:hint="default" w:ascii="Times New Roman" w:hAnsi="Times New Roman" w:eastAsia="宋体" w:cs="Times New Roman"/>
                      <w:i w:val="0"/>
                      <w:iCs w:val="0"/>
                      <w:caps w:val="0"/>
                      <w:color w:val="FF0000"/>
                      <w:spacing w:val="0"/>
                      <w:sz w:val="21"/>
                      <w:szCs w:val="21"/>
                    </w:rPr>
                  </w:pPr>
                  <w:r>
                    <w:rPr>
                      <w:rFonts w:hint="default" w:ascii="Times New Roman" w:hAnsi="Times New Roman" w:eastAsia="宋体" w:cs="Times New Roman"/>
                      <w:i w:val="0"/>
                      <w:iCs w:val="0"/>
                      <w:caps w:val="0"/>
                      <w:color w:val="FF0000"/>
                      <w:spacing w:val="0"/>
                      <w:kern w:val="0"/>
                      <w:sz w:val="21"/>
                      <w:szCs w:val="21"/>
                      <w:lang w:val="en-US" w:eastAsia="zh-CN" w:bidi="ar"/>
                    </w:rPr>
                    <w:t>非标</w:t>
                  </w:r>
                </w:p>
              </w:tc>
              <w:tc>
                <w:tcPr>
                  <w:tcW w:w="423" w:type="pct"/>
                  <w:tcBorders>
                    <w:tl2br w:val="nil"/>
                    <w:tr2bl w:val="nil"/>
                  </w:tcBorders>
                  <w:shd w:val="clear" w:color="auto" w:fill="auto"/>
                  <w:tcMar>
                    <w:top w:w="150" w:type="dxa"/>
                    <w:left w:w="150" w:type="dxa"/>
                    <w:bottom w:w="150" w:type="dxa"/>
                    <w:right w:w="150" w:type="dxa"/>
                  </w:tcMar>
                  <w:vAlign w:val="center"/>
                </w:tcPr>
                <w:p w14:paraId="6E512B2F">
                  <w:pPr>
                    <w:keepNext w:val="0"/>
                    <w:keepLines w:val="0"/>
                    <w:widowControl/>
                    <w:suppressLineNumbers w:val="0"/>
                    <w:spacing w:line="240" w:lineRule="auto"/>
                    <w:jc w:val="center"/>
                    <w:rPr>
                      <w:rFonts w:hint="default" w:ascii="Times New Roman" w:hAnsi="Times New Roman" w:eastAsia="宋体" w:cs="Times New Roman"/>
                      <w:i w:val="0"/>
                      <w:iCs w:val="0"/>
                      <w:caps w:val="0"/>
                      <w:color w:val="FF0000"/>
                      <w:spacing w:val="0"/>
                      <w:sz w:val="21"/>
                      <w:szCs w:val="21"/>
                    </w:rPr>
                  </w:pPr>
                  <w:r>
                    <w:rPr>
                      <w:rFonts w:hint="default" w:ascii="Times New Roman" w:hAnsi="Times New Roman" w:eastAsia="宋体" w:cs="Times New Roman"/>
                      <w:i w:val="0"/>
                      <w:iCs w:val="0"/>
                      <w:caps w:val="0"/>
                      <w:color w:val="FF0000"/>
                      <w:spacing w:val="0"/>
                      <w:kern w:val="0"/>
                      <w:sz w:val="21"/>
                      <w:szCs w:val="21"/>
                      <w:lang w:val="en-US" w:eastAsia="zh-CN" w:bidi="ar"/>
                    </w:rPr>
                    <w:t>台</w:t>
                  </w:r>
                </w:p>
              </w:tc>
              <w:tc>
                <w:tcPr>
                  <w:tcW w:w="425" w:type="pct"/>
                  <w:tcBorders>
                    <w:tl2br w:val="nil"/>
                    <w:tr2bl w:val="nil"/>
                  </w:tcBorders>
                  <w:shd w:val="clear" w:color="auto" w:fill="auto"/>
                  <w:tcMar>
                    <w:top w:w="150" w:type="dxa"/>
                    <w:left w:w="150" w:type="dxa"/>
                    <w:bottom w:w="150" w:type="dxa"/>
                    <w:right w:w="150" w:type="dxa"/>
                  </w:tcMar>
                  <w:vAlign w:val="center"/>
                </w:tcPr>
                <w:p w14:paraId="1F1F660A">
                  <w:pPr>
                    <w:keepNext w:val="0"/>
                    <w:keepLines w:val="0"/>
                    <w:widowControl/>
                    <w:suppressLineNumbers w:val="0"/>
                    <w:spacing w:line="240" w:lineRule="auto"/>
                    <w:jc w:val="center"/>
                    <w:rPr>
                      <w:rFonts w:hint="default" w:ascii="Times New Roman" w:hAnsi="Times New Roman" w:eastAsia="宋体" w:cs="Times New Roman"/>
                      <w:i w:val="0"/>
                      <w:iCs w:val="0"/>
                      <w:caps w:val="0"/>
                      <w:color w:val="FF0000"/>
                      <w:spacing w:val="0"/>
                      <w:sz w:val="21"/>
                      <w:szCs w:val="21"/>
                    </w:rPr>
                  </w:pPr>
                  <w:r>
                    <w:rPr>
                      <w:rFonts w:hint="default" w:ascii="Times New Roman" w:hAnsi="Times New Roman" w:eastAsia="宋体" w:cs="Times New Roman"/>
                      <w:i w:val="0"/>
                      <w:iCs w:val="0"/>
                      <w:caps w:val="0"/>
                      <w:color w:val="FF0000"/>
                      <w:spacing w:val="0"/>
                      <w:kern w:val="0"/>
                      <w:sz w:val="21"/>
                      <w:szCs w:val="21"/>
                      <w:lang w:val="en-US" w:eastAsia="zh-CN" w:bidi="ar"/>
                    </w:rPr>
                    <w:t>1</w:t>
                  </w:r>
                </w:p>
              </w:tc>
            </w:tr>
            <w:tr w14:paraId="71F4DEAE">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15" w:type="dxa"/>
                  <w:left w:w="15" w:type="dxa"/>
                  <w:bottom w:w="15" w:type="dxa"/>
                  <w:right w:w="15" w:type="dxa"/>
                </w:tblCellMar>
              </w:tblPrEx>
              <w:trPr>
                <w:trHeight w:val="23" w:hRule="atLeast"/>
                <w:tblHeader/>
              </w:trPr>
              <w:tc>
                <w:tcPr>
                  <w:tcW w:w="391" w:type="pct"/>
                  <w:tcBorders>
                    <w:tl2br w:val="nil"/>
                    <w:tr2bl w:val="nil"/>
                  </w:tcBorders>
                  <w:shd w:val="clear" w:color="auto" w:fill="auto"/>
                  <w:tcMar>
                    <w:top w:w="150" w:type="dxa"/>
                    <w:left w:w="0" w:type="dxa"/>
                    <w:bottom w:w="150" w:type="dxa"/>
                    <w:right w:w="150" w:type="dxa"/>
                  </w:tcMar>
                  <w:vAlign w:val="center"/>
                </w:tcPr>
                <w:p w14:paraId="483D91B0">
                  <w:pPr>
                    <w:keepNext w:val="0"/>
                    <w:keepLines w:val="0"/>
                    <w:widowControl/>
                    <w:suppressLineNumbers w:val="0"/>
                    <w:spacing w:line="240" w:lineRule="auto"/>
                    <w:jc w:val="center"/>
                    <w:rPr>
                      <w:rFonts w:hint="default" w:ascii="Times New Roman" w:hAnsi="Times New Roman" w:eastAsia="宋体" w:cs="Times New Roman"/>
                      <w:i w:val="0"/>
                      <w:iCs w:val="0"/>
                      <w:caps w:val="0"/>
                      <w:color w:val="FF0000"/>
                      <w:spacing w:val="0"/>
                      <w:kern w:val="2"/>
                      <w:sz w:val="21"/>
                      <w:szCs w:val="21"/>
                      <w:lang w:val="en-US" w:eastAsia="zh-CN" w:bidi="ar-SA"/>
                    </w:rPr>
                  </w:pPr>
                  <w:r>
                    <w:rPr>
                      <w:rFonts w:hint="default" w:ascii="Times New Roman" w:hAnsi="Times New Roman" w:eastAsia="宋体" w:cs="Times New Roman"/>
                      <w:i w:val="0"/>
                      <w:iCs w:val="0"/>
                      <w:caps w:val="0"/>
                      <w:color w:val="FF0000"/>
                      <w:spacing w:val="0"/>
                      <w:kern w:val="0"/>
                      <w:sz w:val="21"/>
                      <w:szCs w:val="21"/>
                      <w:lang w:val="en-US" w:eastAsia="zh-CN" w:bidi="ar"/>
                    </w:rPr>
                    <w:t>21</w:t>
                  </w:r>
                </w:p>
              </w:tc>
              <w:tc>
                <w:tcPr>
                  <w:tcW w:w="945" w:type="pct"/>
                  <w:tcBorders>
                    <w:tl2br w:val="nil"/>
                    <w:tr2bl w:val="nil"/>
                  </w:tcBorders>
                  <w:shd w:val="clear" w:color="auto" w:fill="auto"/>
                  <w:tcMar>
                    <w:top w:w="150" w:type="dxa"/>
                    <w:left w:w="150" w:type="dxa"/>
                    <w:bottom w:w="150" w:type="dxa"/>
                    <w:right w:w="150" w:type="dxa"/>
                  </w:tcMar>
                  <w:vAlign w:val="center"/>
                </w:tcPr>
                <w:p w14:paraId="2C616BD6">
                  <w:pPr>
                    <w:keepNext w:val="0"/>
                    <w:keepLines w:val="0"/>
                    <w:widowControl/>
                    <w:suppressLineNumbers w:val="0"/>
                    <w:spacing w:line="240" w:lineRule="auto"/>
                    <w:jc w:val="center"/>
                    <w:rPr>
                      <w:rFonts w:hint="default" w:ascii="Times New Roman" w:hAnsi="Times New Roman" w:eastAsia="宋体" w:cs="Times New Roman"/>
                      <w:i w:val="0"/>
                      <w:iCs w:val="0"/>
                      <w:caps w:val="0"/>
                      <w:color w:val="FF0000"/>
                      <w:spacing w:val="0"/>
                      <w:sz w:val="21"/>
                      <w:szCs w:val="21"/>
                    </w:rPr>
                  </w:pPr>
                  <w:r>
                    <w:rPr>
                      <w:rStyle w:val="37"/>
                      <w:rFonts w:hint="default" w:ascii="Times New Roman" w:hAnsi="Times New Roman" w:eastAsia="宋体" w:cs="Times New Roman"/>
                      <w:b/>
                      <w:bCs/>
                      <w:i w:val="0"/>
                      <w:iCs w:val="0"/>
                      <w:caps w:val="0"/>
                      <w:color w:val="FF0000"/>
                      <w:spacing w:val="0"/>
                      <w:kern w:val="0"/>
                      <w:sz w:val="21"/>
                      <w:szCs w:val="21"/>
                      <w:lang w:val="en-US" w:eastAsia="zh-CN" w:bidi="ar"/>
                    </w:rPr>
                    <w:t>物料转运设备</w:t>
                  </w:r>
                </w:p>
              </w:tc>
              <w:tc>
                <w:tcPr>
                  <w:tcW w:w="1593" w:type="pct"/>
                  <w:tcBorders>
                    <w:tl2br w:val="nil"/>
                    <w:tr2bl w:val="nil"/>
                  </w:tcBorders>
                  <w:shd w:val="clear" w:color="auto" w:fill="auto"/>
                  <w:tcMar>
                    <w:top w:w="150" w:type="dxa"/>
                    <w:left w:w="150" w:type="dxa"/>
                    <w:bottom w:w="150" w:type="dxa"/>
                    <w:right w:w="150" w:type="dxa"/>
                  </w:tcMar>
                  <w:vAlign w:val="center"/>
                </w:tcPr>
                <w:p w14:paraId="0463397B">
                  <w:pPr>
                    <w:keepNext w:val="0"/>
                    <w:keepLines w:val="0"/>
                    <w:widowControl/>
                    <w:suppressLineNumbers w:val="0"/>
                    <w:spacing w:line="240" w:lineRule="auto"/>
                    <w:jc w:val="center"/>
                    <w:rPr>
                      <w:rFonts w:hint="default" w:ascii="Times New Roman" w:hAnsi="Times New Roman" w:eastAsia="宋体" w:cs="Times New Roman"/>
                      <w:i w:val="0"/>
                      <w:iCs w:val="0"/>
                      <w:caps w:val="0"/>
                      <w:color w:val="FF0000"/>
                      <w:spacing w:val="0"/>
                      <w:sz w:val="21"/>
                      <w:szCs w:val="21"/>
                    </w:rPr>
                  </w:pPr>
                  <w:r>
                    <w:rPr>
                      <w:rFonts w:hint="default" w:ascii="Times New Roman" w:hAnsi="Times New Roman" w:eastAsia="宋体" w:cs="Times New Roman"/>
                      <w:i w:val="0"/>
                      <w:iCs w:val="0"/>
                      <w:caps w:val="0"/>
                      <w:color w:val="FF0000"/>
                      <w:spacing w:val="0"/>
                      <w:kern w:val="0"/>
                      <w:sz w:val="21"/>
                      <w:szCs w:val="21"/>
                      <w:lang w:val="en-US" w:eastAsia="zh-CN" w:bidi="ar"/>
                    </w:rPr>
                    <w:t>中型清障车</w:t>
                  </w:r>
                </w:p>
              </w:tc>
              <w:tc>
                <w:tcPr>
                  <w:tcW w:w="1220" w:type="pct"/>
                  <w:tcBorders>
                    <w:tl2br w:val="nil"/>
                    <w:tr2bl w:val="nil"/>
                  </w:tcBorders>
                  <w:shd w:val="clear" w:color="auto" w:fill="auto"/>
                  <w:tcMar>
                    <w:top w:w="150" w:type="dxa"/>
                    <w:left w:w="150" w:type="dxa"/>
                    <w:bottom w:w="150" w:type="dxa"/>
                    <w:right w:w="150" w:type="dxa"/>
                  </w:tcMar>
                  <w:vAlign w:val="center"/>
                </w:tcPr>
                <w:p w14:paraId="665E10DC">
                  <w:pPr>
                    <w:keepNext w:val="0"/>
                    <w:keepLines w:val="0"/>
                    <w:widowControl/>
                    <w:suppressLineNumbers w:val="0"/>
                    <w:spacing w:line="240" w:lineRule="auto"/>
                    <w:jc w:val="center"/>
                    <w:rPr>
                      <w:rFonts w:hint="default" w:ascii="Times New Roman" w:hAnsi="Times New Roman" w:eastAsia="宋体" w:cs="Times New Roman"/>
                      <w:i w:val="0"/>
                      <w:iCs w:val="0"/>
                      <w:caps w:val="0"/>
                      <w:color w:val="FF0000"/>
                      <w:spacing w:val="0"/>
                      <w:sz w:val="21"/>
                      <w:szCs w:val="21"/>
                    </w:rPr>
                  </w:pPr>
                  <w:r>
                    <w:rPr>
                      <w:rFonts w:hint="default" w:ascii="Times New Roman" w:hAnsi="Times New Roman" w:eastAsia="宋体" w:cs="Times New Roman"/>
                      <w:i w:val="0"/>
                      <w:iCs w:val="0"/>
                      <w:caps w:val="0"/>
                      <w:color w:val="FF0000"/>
                      <w:spacing w:val="0"/>
                      <w:kern w:val="0"/>
                      <w:sz w:val="21"/>
                      <w:szCs w:val="21"/>
                      <w:lang w:val="en-US" w:eastAsia="zh-CN" w:bidi="ar"/>
                    </w:rPr>
                    <w:t>/</w:t>
                  </w:r>
                </w:p>
              </w:tc>
              <w:tc>
                <w:tcPr>
                  <w:tcW w:w="423" w:type="pct"/>
                  <w:tcBorders>
                    <w:tl2br w:val="nil"/>
                    <w:tr2bl w:val="nil"/>
                  </w:tcBorders>
                  <w:shd w:val="clear" w:color="auto" w:fill="auto"/>
                  <w:tcMar>
                    <w:top w:w="150" w:type="dxa"/>
                    <w:left w:w="150" w:type="dxa"/>
                    <w:bottom w:w="150" w:type="dxa"/>
                    <w:right w:w="150" w:type="dxa"/>
                  </w:tcMar>
                  <w:vAlign w:val="center"/>
                </w:tcPr>
                <w:p w14:paraId="70EC5946">
                  <w:pPr>
                    <w:keepNext w:val="0"/>
                    <w:keepLines w:val="0"/>
                    <w:widowControl/>
                    <w:suppressLineNumbers w:val="0"/>
                    <w:spacing w:line="240" w:lineRule="auto"/>
                    <w:jc w:val="center"/>
                    <w:rPr>
                      <w:rFonts w:hint="default" w:ascii="Times New Roman" w:hAnsi="Times New Roman" w:eastAsia="宋体" w:cs="Times New Roman"/>
                      <w:i w:val="0"/>
                      <w:iCs w:val="0"/>
                      <w:caps w:val="0"/>
                      <w:color w:val="FF0000"/>
                      <w:spacing w:val="0"/>
                      <w:sz w:val="21"/>
                      <w:szCs w:val="21"/>
                    </w:rPr>
                  </w:pPr>
                  <w:r>
                    <w:rPr>
                      <w:rFonts w:hint="default" w:ascii="Times New Roman" w:hAnsi="Times New Roman" w:eastAsia="宋体" w:cs="Times New Roman"/>
                      <w:i w:val="0"/>
                      <w:iCs w:val="0"/>
                      <w:caps w:val="0"/>
                      <w:color w:val="FF0000"/>
                      <w:spacing w:val="0"/>
                      <w:kern w:val="0"/>
                      <w:sz w:val="21"/>
                      <w:szCs w:val="21"/>
                      <w:lang w:val="en-US" w:eastAsia="zh-CN" w:bidi="ar"/>
                    </w:rPr>
                    <w:t>台</w:t>
                  </w:r>
                </w:p>
              </w:tc>
              <w:tc>
                <w:tcPr>
                  <w:tcW w:w="425" w:type="pct"/>
                  <w:tcBorders>
                    <w:tl2br w:val="nil"/>
                    <w:tr2bl w:val="nil"/>
                  </w:tcBorders>
                  <w:shd w:val="clear" w:color="auto" w:fill="auto"/>
                  <w:tcMar>
                    <w:top w:w="150" w:type="dxa"/>
                    <w:left w:w="150" w:type="dxa"/>
                    <w:bottom w:w="150" w:type="dxa"/>
                    <w:right w:w="150" w:type="dxa"/>
                  </w:tcMar>
                  <w:vAlign w:val="center"/>
                </w:tcPr>
                <w:p w14:paraId="79F16FDF">
                  <w:pPr>
                    <w:keepNext w:val="0"/>
                    <w:keepLines w:val="0"/>
                    <w:widowControl/>
                    <w:suppressLineNumbers w:val="0"/>
                    <w:spacing w:line="240" w:lineRule="auto"/>
                    <w:jc w:val="center"/>
                    <w:rPr>
                      <w:rFonts w:hint="default" w:ascii="Times New Roman" w:hAnsi="Times New Roman" w:eastAsia="宋体" w:cs="Times New Roman"/>
                      <w:i w:val="0"/>
                      <w:iCs w:val="0"/>
                      <w:caps w:val="0"/>
                      <w:color w:val="FF0000"/>
                      <w:spacing w:val="0"/>
                      <w:sz w:val="21"/>
                      <w:szCs w:val="21"/>
                    </w:rPr>
                  </w:pPr>
                  <w:r>
                    <w:rPr>
                      <w:rFonts w:hint="default" w:ascii="Times New Roman" w:hAnsi="Times New Roman" w:eastAsia="宋体" w:cs="Times New Roman"/>
                      <w:i w:val="0"/>
                      <w:iCs w:val="0"/>
                      <w:caps w:val="0"/>
                      <w:color w:val="FF0000"/>
                      <w:spacing w:val="0"/>
                      <w:kern w:val="0"/>
                      <w:sz w:val="21"/>
                      <w:szCs w:val="21"/>
                      <w:lang w:val="en-US" w:eastAsia="zh-CN" w:bidi="ar"/>
                    </w:rPr>
                    <w:t>1</w:t>
                  </w:r>
                </w:p>
              </w:tc>
            </w:tr>
            <w:tr w14:paraId="02FE672B">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shd w:val="clear" w:color="auto" w:fill="auto"/>
                <w:tblCellMar>
                  <w:top w:w="15" w:type="dxa"/>
                  <w:left w:w="15" w:type="dxa"/>
                  <w:bottom w:w="15" w:type="dxa"/>
                  <w:right w:w="15" w:type="dxa"/>
                </w:tblCellMar>
              </w:tblPrEx>
              <w:trPr>
                <w:trHeight w:val="23" w:hRule="atLeast"/>
                <w:tblHeader/>
              </w:trPr>
              <w:tc>
                <w:tcPr>
                  <w:tcW w:w="391" w:type="pct"/>
                  <w:tcBorders>
                    <w:tl2br w:val="nil"/>
                    <w:tr2bl w:val="nil"/>
                  </w:tcBorders>
                  <w:shd w:val="clear" w:color="auto" w:fill="auto"/>
                  <w:tcMar>
                    <w:top w:w="150" w:type="dxa"/>
                    <w:left w:w="0" w:type="dxa"/>
                    <w:bottom w:w="150" w:type="dxa"/>
                    <w:right w:w="150" w:type="dxa"/>
                  </w:tcMar>
                  <w:vAlign w:val="center"/>
                </w:tcPr>
                <w:p w14:paraId="6CD2D7C5">
                  <w:pPr>
                    <w:keepNext w:val="0"/>
                    <w:keepLines w:val="0"/>
                    <w:widowControl/>
                    <w:suppressLineNumbers w:val="0"/>
                    <w:spacing w:line="240" w:lineRule="auto"/>
                    <w:jc w:val="center"/>
                    <w:rPr>
                      <w:rFonts w:hint="default" w:ascii="Times New Roman" w:hAnsi="Times New Roman" w:eastAsia="宋体" w:cs="Times New Roman"/>
                      <w:i w:val="0"/>
                      <w:iCs w:val="0"/>
                      <w:caps w:val="0"/>
                      <w:color w:val="FF0000"/>
                      <w:spacing w:val="0"/>
                      <w:kern w:val="2"/>
                      <w:sz w:val="21"/>
                      <w:szCs w:val="21"/>
                      <w:lang w:val="en-US" w:eastAsia="zh-CN" w:bidi="ar-SA"/>
                    </w:rPr>
                  </w:pPr>
                  <w:r>
                    <w:rPr>
                      <w:rFonts w:hint="default" w:ascii="Times New Roman" w:hAnsi="Times New Roman" w:eastAsia="宋体" w:cs="Times New Roman"/>
                      <w:i w:val="0"/>
                      <w:iCs w:val="0"/>
                      <w:caps w:val="0"/>
                      <w:color w:val="FF0000"/>
                      <w:spacing w:val="0"/>
                      <w:kern w:val="0"/>
                      <w:sz w:val="21"/>
                      <w:szCs w:val="21"/>
                      <w:lang w:val="en-US" w:eastAsia="zh-CN" w:bidi="ar"/>
                    </w:rPr>
                    <w:t>22</w:t>
                  </w:r>
                </w:p>
              </w:tc>
              <w:tc>
                <w:tcPr>
                  <w:tcW w:w="945" w:type="pct"/>
                  <w:tcBorders>
                    <w:tl2br w:val="nil"/>
                    <w:tr2bl w:val="nil"/>
                  </w:tcBorders>
                  <w:shd w:val="clear" w:color="auto" w:fill="auto"/>
                  <w:tcMar>
                    <w:top w:w="150" w:type="dxa"/>
                    <w:left w:w="150" w:type="dxa"/>
                    <w:bottom w:w="150" w:type="dxa"/>
                    <w:right w:w="150" w:type="dxa"/>
                  </w:tcMar>
                  <w:vAlign w:val="center"/>
                </w:tcPr>
                <w:p w14:paraId="75A2AB98">
                  <w:pPr>
                    <w:spacing w:line="240" w:lineRule="auto"/>
                    <w:jc w:val="center"/>
                    <w:rPr>
                      <w:rFonts w:hint="default" w:ascii="Times New Roman" w:hAnsi="Times New Roman" w:eastAsia="宋体" w:cs="Times New Roman"/>
                      <w:i w:val="0"/>
                      <w:iCs w:val="0"/>
                      <w:caps w:val="0"/>
                      <w:color w:val="FF0000"/>
                      <w:spacing w:val="0"/>
                      <w:sz w:val="21"/>
                      <w:szCs w:val="21"/>
                    </w:rPr>
                  </w:pPr>
                </w:p>
              </w:tc>
              <w:tc>
                <w:tcPr>
                  <w:tcW w:w="1593" w:type="pct"/>
                  <w:tcBorders>
                    <w:tl2br w:val="nil"/>
                    <w:tr2bl w:val="nil"/>
                  </w:tcBorders>
                  <w:shd w:val="clear" w:color="auto" w:fill="auto"/>
                  <w:tcMar>
                    <w:top w:w="150" w:type="dxa"/>
                    <w:left w:w="150" w:type="dxa"/>
                    <w:bottom w:w="150" w:type="dxa"/>
                    <w:right w:w="150" w:type="dxa"/>
                  </w:tcMar>
                  <w:vAlign w:val="center"/>
                </w:tcPr>
                <w:p w14:paraId="445B4CFF">
                  <w:pPr>
                    <w:keepNext w:val="0"/>
                    <w:keepLines w:val="0"/>
                    <w:widowControl/>
                    <w:suppressLineNumbers w:val="0"/>
                    <w:spacing w:line="240" w:lineRule="auto"/>
                    <w:jc w:val="center"/>
                    <w:rPr>
                      <w:rFonts w:hint="default" w:ascii="Times New Roman" w:hAnsi="Times New Roman" w:eastAsia="宋体" w:cs="Times New Roman"/>
                      <w:i w:val="0"/>
                      <w:iCs w:val="0"/>
                      <w:caps w:val="0"/>
                      <w:color w:val="FF0000"/>
                      <w:spacing w:val="0"/>
                      <w:sz w:val="21"/>
                      <w:szCs w:val="21"/>
                    </w:rPr>
                  </w:pPr>
                  <w:r>
                    <w:rPr>
                      <w:rFonts w:hint="default" w:ascii="Times New Roman" w:hAnsi="Times New Roman" w:eastAsia="宋体" w:cs="Times New Roman"/>
                      <w:i w:val="0"/>
                      <w:iCs w:val="0"/>
                      <w:caps w:val="0"/>
                      <w:color w:val="FF0000"/>
                      <w:spacing w:val="0"/>
                      <w:kern w:val="0"/>
                      <w:sz w:val="21"/>
                      <w:szCs w:val="21"/>
                      <w:lang w:val="en-US" w:eastAsia="zh-CN" w:bidi="ar"/>
                    </w:rPr>
                    <w:t>燃油叉车</w:t>
                  </w:r>
                </w:p>
              </w:tc>
              <w:tc>
                <w:tcPr>
                  <w:tcW w:w="1220" w:type="pct"/>
                  <w:tcBorders>
                    <w:tl2br w:val="nil"/>
                    <w:tr2bl w:val="nil"/>
                  </w:tcBorders>
                  <w:shd w:val="clear" w:color="auto" w:fill="auto"/>
                  <w:tcMar>
                    <w:top w:w="150" w:type="dxa"/>
                    <w:left w:w="150" w:type="dxa"/>
                    <w:bottom w:w="150" w:type="dxa"/>
                    <w:right w:w="150" w:type="dxa"/>
                  </w:tcMar>
                  <w:vAlign w:val="center"/>
                </w:tcPr>
                <w:p w14:paraId="31145585">
                  <w:pPr>
                    <w:keepNext w:val="0"/>
                    <w:keepLines w:val="0"/>
                    <w:widowControl/>
                    <w:suppressLineNumbers w:val="0"/>
                    <w:spacing w:line="240" w:lineRule="auto"/>
                    <w:jc w:val="center"/>
                    <w:rPr>
                      <w:rFonts w:hint="default" w:ascii="Times New Roman" w:hAnsi="Times New Roman" w:eastAsia="宋体" w:cs="Times New Roman"/>
                      <w:i w:val="0"/>
                      <w:iCs w:val="0"/>
                      <w:caps w:val="0"/>
                      <w:color w:val="FF0000"/>
                      <w:spacing w:val="0"/>
                      <w:sz w:val="21"/>
                      <w:szCs w:val="21"/>
                    </w:rPr>
                  </w:pPr>
                  <w:r>
                    <w:rPr>
                      <w:rFonts w:hint="default" w:ascii="Times New Roman" w:hAnsi="Times New Roman" w:eastAsia="宋体" w:cs="Times New Roman"/>
                      <w:i w:val="0"/>
                      <w:iCs w:val="0"/>
                      <w:caps w:val="0"/>
                      <w:color w:val="FF0000"/>
                      <w:spacing w:val="0"/>
                      <w:kern w:val="0"/>
                      <w:sz w:val="21"/>
                      <w:szCs w:val="21"/>
                      <w:lang w:val="en-US" w:eastAsia="zh-CN" w:bidi="ar"/>
                    </w:rPr>
                    <w:t>CPCD100-AG58</w:t>
                  </w:r>
                </w:p>
              </w:tc>
              <w:tc>
                <w:tcPr>
                  <w:tcW w:w="423" w:type="pct"/>
                  <w:tcBorders>
                    <w:tl2br w:val="nil"/>
                    <w:tr2bl w:val="nil"/>
                  </w:tcBorders>
                  <w:shd w:val="clear" w:color="auto" w:fill="auto"/>
                  <w:tcMar>
                    <w:top w:w="150" w:type="dxa"/>
                    <w:left w:w="150" w:type="dxa"/>
                    <w:bottom w:w="150" w:type="dxa"/>
                    <w:right w:w="150" w:type="dxa"/>
                  </w:tcMar>
                  <w:vAlign w:val="center"/>
                </w:tcPr>
                <w:p w14:paraId="41921946">
                  <w:pPr>
                    <w:keepNext w:val="0"/>
                    <w:keepLines w:val="0"/>
                    <w:widowControl/>
                    <w:suppressLineNumbers w:val="0"/>
                    <w:spacing w:line="240" w:lineRule="auto"/>
                    <w:jc w:val="center"/>
                    <w:rPr>
                      <w:rFonts w:hint="default" w:ascii="Times New Roman" w:hAnsi="Times New Roman" w:eastAsia="宋体" w:cs="Times New Roman"/>
                      <w:i w:val="0"/>
                      <w:iCs w:val="0"/>
                      <w:caps w:val="0"/>
                      <w:color w:val="FF0000"/>
                      <w:spacing w:val="0"/>
                      <w:sz w:val="21"/>
                      <w:szCs w:val="21"/>
                    </w:rPr>
                  </w:pPr>
                  <w:r>
                    <w:rPr>
                      <w:rFonts w:hint="default" w:ascii="Times New Roman" w:hAnsi="Times New Roman" w:eastAsia="宋体" w:cs="Times New Roman"/>
                      <w:i w:val="0"/>
                      <w:iCs w:val="0"/>
                      <w:caps w:val="0"/>
                      <w:color w:val="FF0000"/>
                      <w:spacing w:val="0"/>
                      <w:kern w:val="0"/>
                      <w:sz w:val="21"/>
                      <w:szCs w:val="21"/>
                      <w:lang w:val="en-US" w:eastAsia="zh-CN" w:bidi="ar"/>
                    </w:rPr>
                    <w:t>台</w:t>
                  </w:r>
                </w:p>
              </w:tc>
              <w:tc>
                <w:tcPr>
                  <w:tcW w:w="425" w:type="pct"/>
                  <w:tcBorders>
                    <w:tl2br w:val="nil"/>
                    <w:tr2bl w:val="nil"/>
                  </w:tcBorders>
                  <w:shd w:val="clear" w:color="auto" w:fill="auto"/>
                  <w:tcMar>
                    <w:top w:w="150" w:type="dxa"/>
                    <w:left w:w="150" w:type="dxa"/>
                    <w:bottom w:w="150" w:type="dxa"/>
                    <w:right w:w="150" w:type="dxa"/>
                  </w:tcMar>
                  <w:vAlign w:val="center"/>
                </w:tcPr>
                <w:p w14:paraId="557F4ACE">
                  <w:pPr>
                    <w:keepNext w:val="0"/>
                    <w:keepLines w:val="0"/>
                    <w:widowControl/>
                    <w:suppressLineNumbers w:val="0"/>
                    <w:spacing w:line="240" w:lineRule="auto"/>
                    <w:jc w:val="center"/>
                    <w:rPr>
                      <w:rFonts w:hint="default" w:ascii="Times New Roman" w:hAnsi="Times New Roman" w:eastAsia="宋体" w:cs="Times New Roman"/>
                      <w:i w:val="0"/>
                      <w:iCs w:val="0"/>
                      <w:caps w:val="0"/>
                      <w:color w:val="FF0000"/>
                      <w:spacing w:val="0"/>
                      <w:sz w:val="21"/>
                      <w:szCs w:val="21"/>
                    </w:rPr>
                  </w:pPr>
                  <w:r>
                    <w:rPr>
                      <w:rFonts w:hint="default" w:ascii="Times New Roman" w:hAnsi="Times New Roman" w:eastAsia="宋体" w:cs="Times New Roman"/>
                      <w:i w:val="0"/>
                      <w:iCs w:val="0"/>
                      <w:caps w:val="0"/>
                      <w:color w:val="FF0000"/>
                      <w:spacing w:val="0"/>
                      <w:kern w:val="0"/>
                      <w:sz w:val="21"/>
                      <w:szCs w:val="21"/>
                      <w:lang w:val="en-US" w:eastAsia="zh-CN" w:bidi="ar"/>
                    </w:rPr>
                    <w:t>1</w:t>
                  </w:r>
                </w:p>
              </w:tc>
            </w:tr>
            <w:tr w14:paraId="0183EB08">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shd w:val="clear" w:color="auto" w:fill="auto"/>
                <w:tblCellMar>
                  <w:top w:w="15" w:type="dxa"/>
                  <w:left w:w="15" w:type="dxa"/>
                  <w:bottom w:w="15" w:type="dxa"/>
                  <w:right w:w="15" w:type="dxa"/>
                </w:tblCellMar>
              </w:tblPrEx>
              <w:trPr>
                <w:trHeight w:val="23" w:hRule="atLeast"/>
                <w:tblHeader/>
              </w:trPr>
              <w:tc>
                <w:tcPr>
                  <w:tcW w:w="391" w:type="pct"/>
                  <w:tcBorders>
                    <w:tl2br w:val="nil"/>
                    <w:tr2bl w:val="nil"/>
                  </w:tcBorders>
                  <w:shd w:val="clear" w:color="auto" w:fill="auto"/>
                  <w:tcMar>
                    <w:top w:w="150" w:type="dxa"/>
                    <w:left w:w="0" w:type="dxa"/>
                    <w:bottom w:w="150" w:type="dxa"/>
                    <w:right w:w="150" w:type="dxa"/>
                  </w:tcMar>
                  <w:vAlign w:val="center"/>
                </w:tcPr>
                <w:p w14:paraId="3EE7A6A3">
                  <w:pPr>
                    <w:keepNext w:val="0"/>
                    <w:keepLines w:val="0"/>
                    <w:widowControl/>
                    <w:suppressLineNumbers w:val="0"/>
                    <w:spacing w:line="240" w:lineRule="auto"/>
                    <w:jc w:val="center"/>
                    <w:rPr>
                      <w:rFonts w:hint="default" w:ascii="Times New Roman" w:hAnsi="Times New Roman" w:eastAsia="宋体" w:cs="Times New Roman"/>
                      <w:i w:val="0"/>
                      <w:iCs w:val="0"/>
                      <w:caps w:val="0"/>
                      <w:color w:val="FF0000"/>
                      <w:spacing w:val="0"/>
                      <w:kern w:val="2"/>
                      <w:sz w:val="21"/>
                      <w:szCs w:val="21"/>
                      <w:lang w:val="en-US" w:eastAsia="zh-CN" w:bidi="ar-SA"/>
                    </w:rPr>
                  </w:pPr>
                  <w:r>
                    <w:rPr>
                      <w:rFonts w:hint="default" w:ascii="Times New Roman" w:hAnsi="Times New Roman" w:eastAsia="宋体" w:cs="Times New Roman"/>
                      <w:i w:val="0"/>
                      <w:iCs w:val="0"/>
                      <w:caps w:val="0"/>
                      <w:color w:val="FF0000"/>
                      <w:spacing w:val="0"/>
                      <w:kern w:val="0"/>
                      <w:sz w:val="21"/>
                      <w:szCs w:val="21"/>
                      <w:lang w:val="en-US" w:eastAsia="zh-CN" w:bidi="ar"/>
                    </w:rPr>
                    <w:t>23</w:t>
                  </w:r>
                </w:p>
              </w:tc>
              <w:tc>
                <w:tcPr>
                  <w:tcW w:w="945" w:type="pct"/>
                  <w:tcBorders>
                    <w:tl2br w:val="nil"/>
                    <w:tr2bl w:val="nil"/>
                  </w:tcBorders>
                  <w:shd w:val="clear" w:color="auto" w:fill="auto"/>
                  <w:tcMar>
                    <w:top w:w="150" w:type="dxa"/>
                    <w:left w:w="150" w:type="dxa"/>
                    <w:bottom w:w="150" w:type="dxa"/>
                    <w:right w:w="150" w:type="dxa"/>
                  </w:tcMar>
                  <w:vAlign w:val="center"/>
                </w:tcPr>
                <w:p w14:paraId="7F34665B">
                  <w:pPr>
                    <w:spacing w:line="240" w:lineRule="auto"/>
                    <w:jc w:val="center"/>
                    <w:rPr>
                      <w:rFonts w:hint="default" w:ascii="Times New Roman" w:hAnsi="Times New Roman" w:eastAsia="宋体" w:cs="Times New Roman"/>
                      <w:i w:val="0"/>
                      <w:iCs w:val="0"/>
                      <w:caps w:val="0"/>
                      <w:color w:val="FF0000"/>
                      <w:spacing w:val="0"/>
                      <w:sz w:val="21"/>
                      <w:szCs w:val="21"/>
                    </w:rPr>
                  </w:pPr>
                </w:p>
              </w:tc>
              <w:tc>
                <w:tcPr>
                  <w:tcW w:w="1593" w:type="pct"/>
                  <w:tcBorders>
                    <w:tl2br w:val="nil"/>
                    <w:tr2bl w:val="nil"/>
                  </w:tcBorders>
                  <w:shd w:val="clear" w:color="auto" w:fill="auto"/>
                  <w:tcMar>
                    <w:top w:w="150" w:type="dxa"/>
                    <w:left w:w="150" w:type="dxa"/>
                    <w:bottom w:w="150" w:type="dxa"/>
                    <w:right w:w="150" w:type="dxa"/>
                  </w:tcMar>
                  <w:vAlign w:val="center"/>
                </w:tcPr>
                <w:p w14:paraId="1C8EDB12">
                  <w:pPr>
                    <w:keepNext w:val="0"/>
                    <w:keepLines w:val="0"/>
                    <w:widowControl/>
                    <w:suppressLineNumbers w:val="0"/>
                    <w:spacing w:line="240" w:lineRule="auto"/>
                    <w:jc w:val="center"/>
                    <w:rPr>
                      <w:rFonts w:hint="default" w:ascii="Times New Roman" w:hAnsi="Times New Roman" w:eastAsia="宋体" w:cs="Times New Roman"/>
                      <w:i w:val="0"/>
                      <w:iCs w:val="0"/>
                      <w:caps w:val="0"/>
                      <w:color w:val="FF0000"/>
                      <w:spacing w:val="0"/>
                      <w:sz w:val="21"/>
                      <w:szCs w:val="21"/>
                    </w:rPr>
                  </w:pPr>
                  <w:r>
                    <w:rPr>
                      <w:rFonts w:hint="default" w:ascii="Times New Roman" w:hAnsi="Times New Roman" w:eastAsia="宋体" w:cs="Times New Roman"/>
                      <w:i w:val="0"/>
                      <w:iCs w:val="0"/>
                      <w:caps w:val="0"/>
                      <w:color w:val="FF0000"/>
                      <w:spacing w:val="0"/>
                      <w:kern w:val="0"/>
                      <w:sz w:val="21"/>
                      <w:szCs w:val="21"/>
                      <w:lang w:val="en-US" w:eastAsia="zh-CN" w:bidi="ar"/>
                    </w:rPr>
                    <w:t>行车</w:t>
                  </w:r>
                </w:p>
              </w:tc>
              <w:tc>
                <w:tcPr>
                  <w:tcW w:w="1220" w:type="pct"/>
                  <w:tcBorders>
                    <w:tl2br w:val="nil"/>
                    <w:tr2bl w:val="nil"/>
                  </w:tcBorders>
                  <w:shd w:val="clear" w:color="auto" w:fill="auto"/>
                  <w:tcMar>
                    <w:top w:w="150" w:type="dxa"/>
                    <w:left w:w="150" w:type="dxa"/>
                    <w:bottom w:w="150" w:type="dxa"/>
                    <w:right w:w="150" w:type="dxa"/>
                  </w:tcMar>
                  <w:vAlign w:val="center"/>
                </w:tcPr>
                <w:p w14:paraId="038E48A2">
                  <w:pPr>
                    <w:keepNext w:val="0"/>
                    <w:keepLines w:val="0"/>
                    <w:widowControl/>
                    <w:suppressLineNumbers w:val="0"/>
                    <w:spacing w:line="240" w:lineRule="auto"/>
                    <w:jc w:val="center"/>
                    <w:rPr>
                      <w:rFonts w:hint="default" w:ascii="Times New Roman" w:hAnsi="Times New Roman" w:eastAsia="宋体" w:cs="Times New Roman"/>
                      <w:i w:val="0"/>
                      <w:iCs w:val="0"/>
                      <w:caps w:val="0"/>
                      <w:color w:val="FF0000"/>
                      <w:spacing w:val="0"/>
                      <w:sz w:val="21"/>
                      <w:szCs w:val="21"/>
                    </w:rPr>
                  </w:pPr>
                  <w:r>
                    <w:rPr>
                      <w:rFonts w:hint="default" w:ascii="Times New Roman" w:hAnsi="Times New Roman" w:eastAsia="宋体" w:cs="Times New Roman"/>
                      <w:i w:val="0"/>
                      <w:iCs w:val="0"/>
                      <w:caps w:val="0"/>
                      <w:color w:val="FF0000"/>
                      <w:spacing w:val="0"/>
                      <w:kern w:val="0"/>
                      <w:sz w:val="21"/>
                      <w:szCs w:val="21"/>
                      <w:lang w:val="en-US" w:eastAsia="zh-CN" w:bidi="ar"/>
                    </w:rPr>
                    <w:t>16吨</w:t>
                  </w:r>
                </w:p>
              </w:tc>
              <w:tc>
                <w:tcPr>
                  <w:tcW w:w="423" w:type="pct"/>
                  <w:tcBorders>
                    <w:tl2br w:val="nil"/>
                    <w:tr2bl w:val="nil"/>
                  </w:tcBorders>
                  <w:shd w:val="clear" w:color="auto" w:fill="auto"/>
                  <w:tcMar>
                    <w:top w:w="150" w:type="dxa"/>
                    <w:left w:w="150" w:type="dxa"/>
                    <w:bottom w:w="150" w:type="dxa"/>
                    <w:right w:w="150" w:type="dxa"/>
                  </w:tcMar>
                  <w:vAlign w:val="center"/>
                </w:tcPr>
                <w:p w14:paraId="56D0BC0E">
                  <w:pPr>
                    <w:keepNext w:val="0"/>
                    <w:keepLines w:val="0"/>
                    <w:widowControl/>
                    <w:suppressLineNumbers w:val="0"/>
                    <w:spacing w:line="240" w:lineRule="auto"/>
                    <w:jc w:val="center"/>
                    <w:rPr>
                      <w:rFonts w:hint="default" w:ascii="Times New Roman" w:hAnsi="Times New Roman" w:eastAsia="宋体" w:cs="Times New Roman"/>
                      <w:i w:val="0"/>
                      <w:iCs w:val="0"/>
                      <w:caps w:val="0"/>
                      <w:color w:val="FF0000"/>
                      <w:spacing w:val="0"/>
                      <w:sz w:val="21"/>
                      <w:szCs w:val="21"/>
                    </w:rPr>
                  </w:pPr>
                  <w:r>
                    <w:rPr>
                      <w:rFonts w:hint="default" w:ascii="Times New Roman" w:hAnsi="Times New Roman" w:eastAsia="宋体" w:cs="Times New Roman"/>
                      <w:i w:val="0"/>
                      <w:iCs w:val="0"/>
                      <w:caps w:val="0"/>
                      <w:color w:val="FF0000"/>
                      <w:spacing w:val="0"/>
                      <w:kern w:val="0"/>
                      <w:sz w:val="21"/>
                      <w:szCs w:val="21"/>
                      <w:lang w:val="en-US" w:eastAsia="zh-CN" w:bidi="ar"/>
                    </w:rPr>
                    <w:t>台</w:t>
                  </w:r>
                </w:p>
              </w:tc>
              <w:tc>
                <w:tcPr>
                  <w:tcW w:w="425" w:type="pct"/>
                  <w:tcBorders>
                    <w:tl2br w:val="nil"/>
                    <w:tr2bl w:val="nil"/>
                  </w:tcBorders>
                  <w:shd w:val="clear" w:color="auto" w:fill="auto"/>
                  <w:tcMar>
                    <w:top w:w="150" w:type="dxa"/>
                    <w:left w:w="150" w:type="dxa"/>
                    <w:bottom w:w="150" w:type="dxa"/>
                    <w:right w:w="150" w:type="dxa"/>
                  </w:tcMar>
                  <w:vAlign w:val="center"/>
                </w:tcPr>
                <w:p w14:paraId="667B6D43">
                  <w:pPr>
                    <w:keepNext w:val="0"/>
                    <w:keepLines w:val="0"/>
                    <w:widowControl/>
                    <w:suppressLineNumbers w:val="0"/>
                    <w:spacing w:line="240" w:lineRule="auto"/>
                    <w:jc w:val="center"/>
                    <w:rPr>
                      <w:rFonts w:hint="default" w:ascii="Times New Roman" w:hAnsi="Times New Roman" w:eastAsia="宋体" w:cs="Times New Roman"/>
                      <w:i w:val="0"/>
                      <w:iCs w:val="0"/>
                      <w:caps w:val="0"/>
                      <w:color w:val="FF0000"/>
                      <w:spacing w:val="0"/>
                      <w:sz w:val="21"/>
                      <w:szCs w:val="21"/>
                    </w:rPr>
                  </w:pPr>
                  <w:r>
                    <w:rPr>
                      <w:rFonts w:hint="default" w:ascii="Times New Roman" w:hAnsi="Times New Roman" w:eastAsia="宋体" w:cs="Times New Roman"/>
                      <w:i w:val="0"/>
                      <w:iCs w:val="0"/>
                      <w:caps w:val="0"/>
                      <w:color w:val="FF0000"/>
                      <w:spacing w:val="0"/>
                      <w:kern w:val="0"/>
                      <w:sz w:val="21"/>
                      <w:szCs w:val="21"/>
                      <w:lang w:val="en-US" w:eastAsia="zh-CN" w:bidi="ar"/>
                    </w:rPr>
                    <w:t>1</w:t>
                  </w:r>
                </w:p>
              </w:tc>
            </w:tr>
            <w:tr w14:paraId="013DA4F7">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15" w:type="dxa"/>
                  <w:left w:w="15" w:type="dxa"/>
                  <w:bottom w:w="15" w:type="dxa"/>
                  <w:right w:w="15" w:type="dxa"/>
                </w:tblCellMar>
              </w:tblPrEx>
              <w:trPr>
                <w:trHeight w:val="23" w:hRule="atLeast"/>
                <w:tblHeader/>
              </w:trPr>
              <w:tc>
                <w:tcPr>
                  <w:tcW w:w="391" w:type="pct"/>
                  <w:tcBorders>
                    <w:tl2br w:val="nil"/>
                    <w:tr2bl w:val="nil"/>
                  </w:tcBorders>
                  <w:shd w:val="clear" w:color="auto" w:fill="auto"/>
                  <w:tcMar>
                    <w:top w:w="150" w:type="dxa"/>
                    <w:left w:w="0" w:type="dxa"/>
                    <w:bottom w:w="150" w:type="dxa"/>
                    <w:right w:w="150" w:type="dxa"/>
                  </w:tcMar>
                  <w:vAlign w:val="center"/>
                </w:tcPr>
                <w:p w14:paraId="18BBBFA0">
                  <w:pPr>
                    <w:keepNext w:val="0"/>
                    <w:keepLines w:val="0"/>
                    <w:widowControl/>
                    <w:suppressLineNumbers w:val="0"/>
                    <w:spacing w:line="240" w:lineRule="auto"/>
                    <w:jc w:val="center"/>
                    <w:rPr>
                      <w:rFonts w:hint="default" w:ascii="Times New Roman" w:hAnsi="Times New Roman" w:eastAsia="宋体" w:cs="Times New Roman"/>
                      <w:i w:val="0"/>
                      <w:iCs w:val="0"/>
                      <w:caps w:val="0"/>
                      <w:color w:val="FF0000"/>
                      <w:spacing w:val="0"/>
                      <w:kern w:val="2"/>
                      <w:sz w:val="21"/>
                      <w:szCs w:val="21"/>
                      <w:lang w:val="en-US" w:eastAsia="zh-CN" w:bidi="ar-SA"/>
                    </w:rPr>
                  </w:pPr>
                  <w:r>
                    <w:rPr>
                      <w:rFonts w:hint="default" w:ascii="Times New Roman" w:hAnsi="Times New Roman" w:eastAsia="宋体" w:cs="Times New Roman"/>
                      <w:i w:val="0"/>
                      <w:iCs w:val="0"/>
                      <w:caps w:val="0"/>
                      <w:color w:val="FF0000"/>
                      <w:spacing w:val="0"/>
                      <w:kern w:val="0"/>
                      <w:sz w:val="21"/>
                      <w:szCs w:val="21"/>
                      <w:lang w:val="en-US" w:eastAsia="zh-CN" w:bidi="ar"/>
                    </w:rPr>
                    <w:t>24</w:t>
                  </w:r>
                </w:p>
              </w:tc>
              <w:tc>
                <w:tcPr>
                  <w:tcW w:w="945" w:type="pct"/>
                  <w:tcBorders>
                    <w:tl2br w:val="nil"/>
                    <w:tr2bl w:val="nil"/>
                  </w:tcBorders>
                  <w:shd w:val="clear" w:color="auto" w:fill="auto"/>
                  <w:tcMar>
                    <w:top w:w="150" w:type="dxa"/>
                    <w:left w:w="150" w:type="dxa"/>
                    <w:bottom w:w="150" w:type="dxa"/>
                    <w:right w:w="150" w:type="dxa"/>
                  </w:tcMar>
                  <w:vAlign w:val="center"/>
                </w:tcPr>
                <w:p w14:paraId="46569AD1">
                  <w:pPr>
                    <w:keepNext w:val="0"/>
                    <w:keepLines w:val="0"/>
                    <w:widowControl/>
                    <w:suppressLineNumbers w:val="0"/>
                    <w:spacing w:line="240" w:lineRule="auto"/>
                    <w:jc w:val="center"/>
                    <w:rPr>
                      <w:rFonts w:hint="default" w:ascii="Times New Roman" w:hAnsi="Times New Roman" w:eastAsia="宋体" w:cs="Times New Roman"/>
                      <w:i w:val="0"/>
                      <w:iCs w:val="0"/>
                      <w:caps w:val="0"/>
                      <w:color w:val="FF0000"/>
                      <w:spacing w:val="0"/>
                      <w:sz w:val="21"/>
                      <w:szCs w:val="21"/>
                    </w:rPr>
                  </w:pPr>
                  <w:r>
                    <w:rPr>
                      <w:rStyle w:val="37"/>
                      <w:rFonts w:hint="default" w:ascii="Times New Roman" w:hAnsi="Times New Roman" w:eastAsia="宋体" w:cs="Times New Roman"/>
                      <w:b/>
                      <w:bCs/>
                      <w:i w:val="0"/>
                      <w:iCs w:val="0"/>
                      <w:caps w:val="0"/>
                      <w:color w:val="FF0000"/>
                      <w:spacing w:val="0"/>
                      <w:kern w:val="0"/>
                      <w:sz w:val="21"/>
                      <w:szCs w:val="21"/>
                      <w:lang w:val="en-US" w:eastAsia="zh-CN" w:bidi="ar"/>
                    </w:rPr>
                    <w:t>破碎分选系统</w:t>
                  </w:r>
                </w:p>
              </w:tc>
              <w:tc>
                <w:tcPr>
                  <w:tcW w:w="1593" w:type="pct"/>
                  <w:tcBorders>
                    <w:tl2br w:val="nil"/>
                    <w:tr2bl w:val="nil"/>
                  </w:tcBorders>
                  <w:shd w:val="clear" w:color="auto" w:fill="auto"/>
                  <w:tcMar>
                    <w:top w:w="150" w:type="dxa"/>
                    <w:left w:w="150" w:type="dxa"/>
                    <w:bottom w:w="150" w:type="dxa"/>
                    <w:right w:w="150" w:type="dxa"/>
                  </w:tcMar>
                  <w:vAlign w:val="center"/>
                </w:tcPr>
                <w:p w14:paraId="508D46D1">
                  <w:pPr>
                    <w:keepNext w:val="0"/>
                    <w:keepLines w:val="0"/>
                    <w:widowControl/>
                    <w:suppressLineNumbers w:val="0"/>
                    <w:spacing w:line="240" w:lineRule="auto"/>
                    <w:jc w:val="center"/>
                    <w:rPr>
                      <w:rFonts w:hint="default" w:ascii="Times New Roman" w:hAnsi="Times New Roman" w:eastAsia="宋体" w:cs="Times New Roman"/>
                      <w:i w:val="0"/>
                      <w:iCs w:val="0"/>
                      <w:caps w:val="0"/>
                      <w:color w:val="FF0000"/>
                      <w:spacing w:val="0"/>
                      <w:sz w:val="21"/>
                      <w:szCs w:val="21"/>
                    </w:rPr>
                  </w:pPr>
                  <w:r>
                    <w:rPr>
                      <w:rFonts w:hint="default" w:ascii="Times New Roman" w:hAnsi="Times New Roman" w:eastAsia="宋体" w:cs="Times New Roman"/>
                      <w:i w:val="0"/>
                      <w:iCs w:val="0"/>
                      <w:caps w:val="0"/>
                      <w:color w:val="FF0000"/>
                      <w:spacing w:val="0"/>
                      <w:kern w:val="0"/>
                      <w:sz w:val="21"/>
                      <w:szCs w:val="21"/>
                      <w:lang w:val="en-US" w:eastAsia="zh-CN" w:bidi="ar"/>
                    </w:rPr>
                    <w:t>破碎机</w:t>
                  </w:r>
                </w:p>
              </w:tc>
              <w:tc>
                <w:tcPr>
                  <w:tcW w:w="1220" w:type="pct"/>
                  <w:tcBorders>
                    <w:tl2br w:val="nil"/>
                    <w:tr2bl w:val="nil"/>
                  </w:tcBorders>
                  <w:shd w:val="clear" w:color="auto" w:fill="auto"/>
                  <w:tcMar>
                    <w:top w:w="150" w:type="dxa"/>
                    <w:left w:w="150" w:type="dxa"/>
                    <w:bottom w:w="150" w:type="dxa"/>
                    <w:right w:w="150" w:type="dxa"/>
                  </w:tcMar>
                  <w:vAlign w:val="center"/>
                </w:tcPr>
                <w:p w14:paraId="04CF0431">
                  <w:pPr>
                    <w:keepNext w:val="0"/>
                    <w:keepLines w:val="0"/>
                    <w:widowControl/>
                    <w:suppressLineNumbers w:val="0"/>
                    <w:spacing w:line="240" w:lineRule="auto"/>
                    <w:jc w:val="center"/>
                    <w:rPr>
                      <w:rFonts w:hint="default" w:ascii="Times New Roman" w:hAnsi="Times New Roman" w:eastAsia="宋体" w:cs="Times New Roman"/>
                      <w:i w:val="0"/>
                      <w:iCs w:val="0"/>
                      <w:caps w:val="0"/>
                      <w:color w:val="FF0000"/>
                      <w:spacing w:val="0"/>
                      <w:sz w:val="21"/>
                      <w:szCs w:val="21"/>
                    </w:rPr>
                  </w:pPr>
                  <w:r>
                    <w:rPr>
                      <w:rFonts w:hint="default" w:ascii="Times New Roman" w:hAnsi="Times New Roman" w:eastAsia="宋体" w:cs="Times New Roman"/>
                      <w:i w:val="0"/>
                      <w:iCs w:val="0"/>
                      <w:caps w:val="0"/>
                      <w:color w:val="FF0000"/>
                      <w:spacing w:val="0"/>
                      <w:kern w:val="0"/>
                      <w:sz w:val="21"/>
                      <w:szCs w:val="21"/>
                      <w:lang w:val="en-US" w:eastAsia="zh-CN" w:bidi="ar"/>
                    </w:rPr>
                    <w:t>60TBD</w:t>
                  </w:r>
                </w:p>
              </w:tc>
              <w:tc>
                <w:tcPr>
                  <w:tcW w:w="423" w:type="pct"/>
                  <w:tcBorders>
                    <w:tl2br w:val="nil"/>
                    <w:tr2bl w:val="nil"/>
                  </w:tcBorders>
                  <w:shd w:val="clear" w:color="auto" w:fill="auto"/>
                  <w:tcMar>
                    <w:top w:w="150" w:type="dxa"/>
                    <w:left w:w="150" w:type="dxa"/>
                    <w:bottom w:w="150" w:type="dxa"/>
                    <w:right w:w="150" w:type="dxa"/>
                  </w:tcMar>
                  <w:vAlign w:val="center"/>
                </w:tcPr>
                <w:p w14:paraId="76D90767">
                  <w:pPr>
                    <w:keepNext w:val="0"/>
                    <w:keepLines w:val="0"/>
                    <w:widowControl/>
                    <w:suppressLineNumbers w:val="0"/>
                    <w:spacing w:line="240" w:lineRule="auto"/>
                    <w:jc w:val="center"/>
                    <w:rPr>
                      <w:rFonts w:hint="default" w:ascii="Times New Roman" w:hAnsi="Times New Roman" w:eastAsia="宋体" w:cs="Times New Roman"/>
                      <w:i w:val="0"/>
                      <w:iCs w:val="0"/>
                      <w:caps w:val="0"/>
                      <w:color w:val="FF0000"/>
                      <w:spacing w:val="0"/>
                      <w:sz w:val="21"/>
                      <w:szCs w:val="21"/>
                    </w:rPr>
                  </w:pPr>
                  <w:r>
                    <w:rPr>
                      <w:rFonts w:hint="default" w:ascii="Times New Roman" w:hAnsi="Times New Roman" w:eastAsia="宋体" w:cs="Times New Roman"/>
                      <w:i w:val="0"/>
                      <w:iCs w:val="0"/>
                      <w:caps w:val="0"/>
                      <w:color w:val="FF0000"/>
                      <w:spacing w:val="0"/>
                      <w:kern w:val="0"/>
                      <w:sz w:val="21"/>
                      <w:szCs w:val="21"/>
                      <w:lang w:val="en-US" w:eastAsia="zh-CN" w:bidi="ar"/>
                    </w:rPr>
                    <w:t>台</w:t>
                  </w:r>
                </w:p>
              </w:tc>
              <w:tc>
                <w:tcPr>
                  <w:tcW w:w="425" w:type="pct"/>
                  <w:tcBorders>
                    <w:tl2br w:val="nil"/>
                    <w:tr2bl w:val="nil"/>
                  </w:tcBorders>
                  <w:shd w:val="clear" w:color="auto" w:fill="auto"/>
                  <w:tcMar>
                    <w:top w:w="150" w:type="dxa"/>
                    <w:left w:w="150" w:type="dxa"/>
                    <w:bottom w:w="150" w:type="dxa"/>
                    <w:right w:w="150" w:type="dxa"/>
                  </w:tcMar>
                  <w:vAlign w:val="center"/>
                </w:tcPr>
                <w:p w14:paraId="75D22379">
                  <w:pPr>
                    <w:keepNext w:val="0"/>
                    <w:keepLines w:val="0"/>
                    <w:widowControl/>
                    <w:suppressLineNumbers w:val="0"/>
                    <w:spacing w:line="240" w:lineRule="auto"/>
                    <w:jc w:val="center"/>
                    <w:rPr>
                      <w:rFonts w:hint="default" w:ascii="Times New Roman" w:hAnsi="Times New Roman" w:eastAsia="宋体" w:cs="Times New Roman"/>
                      <w:i w:val="0"/>
                      <w:iCs w:val="0"/>
                      <w:caps w:val="0"/>
                      <w:color w:val="FF0000"/>
                      <w:spacing w:val="0"/>
                      <w:sz w:val="21"/>
                      <w:szCs w:val="21"/>
                    </w:rPr>
                  </w:pPr>
                  <w:r>
                    <w:rPr>
                      <w:rFonts w:hint="default" w:ascii="Times New Roman" w:hAnsi="Times New Roman" w:eastAsia="宋体" w:cs="Times New Roman"/>
                      <w:i w:val="0"/>
                      <w:iCs w:val="0"/>
                      <w:caps w:val="0"/>
                      <w:color w:val="FF0000"/>
                      <w:spacing w:val="0"/>
                      <w:kern w:val="0"/>
                      <w:sz w:val="21"/>
                      <w:szCs w:val="21"/>
                      <w:lang w:val="en-US" w:eastAsia="zh-CN" w:bidi="ar"/>
                    </w:rPr>
                    <w:t>2</w:t>
                  </w:r>
                </w:p>
              </w:tc>
            </w:tr>
            <w:tr w14:paraId="005C59C0">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15" w:type="dxa"/>
                  <w:left w:w="15" w:type="dxa"/>
                  <w:bottom w:w="15" w:type="dxa"/>
                  <w:right w:w="15" w:type="dxa"/>
                </w:tblCellMar>
              </w:tblPrEx>
              <w:trPr>
                <w:trHeight w:val="23" w:hRule="atLeast"/>
                <w:tblHeader/>
              </w:trPr>
              <w:tc>
                <w:tcPr>
                  <w:tcW w:w="391" w:type="pct"/>
                  <w:tcBorders>
                    <w:tl2br w:val="nil"/>
                    <w:tr2bl w:val="nil"/>
                  </w:tcBorders>
                  <w:shd w:val="clear" w:color="auto" w:fill="auto"/>
                  <w:tcMar>
                    <w:top w:w="150" w:type="dxa"/>
                    <w:left w:w="0" w:type="dxa"/>
                    <w:bottom w:w="150" w:type="dxa"/>
                    <w:right w:w="150" w:type="dxa"/>
                  </w:tcMar>
                  <w:vAlign w:val="center"/>
                </w:tcPr>
                <w:p w14:paraId="3A46EABA">
                  <w:pPr>
                    <w:keepNext w:val="0"/>
                    <w:keepLines w:val="0"/>
                    <w:widowControl/>
                    <w:suppressLineNumbers w:val="0"/>
                    <w:spacing w:line="240" w:lineRule="auto"/>
                    <w:jc w:val="center"/>
                    <w:rPr>
                      <w:rFonts w:hint="default" w:ascii="Times New Roman" w:hAnsi="Times New Roman" w:eastAsia="宋体" w:cs="Times New Roman"/>
                      <w:i w:val="0"/>
                      <w:iCs w:val="0"/>
                      <w:caps w:val="0"/>
                      <w:color w:val="FF0000"/>
                      <w:spacing w:val="0"/>
                      <w:kern w:val="2"/>
                      <w:sz w:val="21"/>
                      <w:szCs w:val="21"/>
                      <w:lang w:val="en-US" w:eastAsia="zh-CN" w:bidi="ar-SA"/>
                    </w:rPr>
                  </w:pPr>
                  <w:r>
                    <w:rPr>
                      <w:rFonts w:hint="default" w:ascii="Times New Roman" w:hAnsi="Times New Roman" w:eastAsia="宋体" w:cs="Times New Roman"/>
                      <w:i w:val="0"/>
                      <w:iCs w:val="0"/>
                      <w:caps w:val="0"/>
                      <w:color w:val="FF0000"/>
                      <w:spacing w:val="0"/>
                      <w:kern w:val="0"/>
                      <w:sz w:val="21"/>
                      <w:szCs w:val="21"/>
                      <w:lang w:val="en-US" w:eastAsia="zh-CN" w:bidi="ar"/>
                    </w:rPr>
                    <w:t>25</w:t>
                  </w:r>
                </w:p>
              </w:tc>
              <w:tc>
                <w:tcPr>
                  <w:tcW w:w="945" w:type="pct"/>
                  <w:tcBorders>
                    <w:tl2br w:val="nil"/>
                    <w:tr2bl w:val="nil"/>
                  </w:tcBorders>
                  <w:shd w:val="clear" w:color="auto" w:fill="auto"/>
                  <w:tcMar>
                    <w:top w:w="150" w:type="dxa"/>
                    <w:left w:w="150" w:type="dxa"/>
                    <w:bottom w:w="150" w:type="dxa"/>
                    <w:right w:w="150" w:type="dxa"/>
                  </w:tcMar>
                  <w:vAlign w:val="center"/>
                </w:tcPr>
                <w:p w14:paraId="0D8905C5">
                  <w:pPr>
                    <w:spacing w:line="240" w:lineRule="auto"/>
                    <w:jc w:val="center"/>
                    <w:rPr>
                      <w:rFonts w:hint="default" w:ascii="Times New Roman" w:hAnsi="Times New Roman" w:eastAsia="宋体" w:cs="Times New Roman"/>
                      <w:i w:val="0"/>
                      <w:iCs w:val="0"/>
                      <w:caps w:val="0"/>
                      <w:color w:val="FF0000"/>
                      <w:spacing w:val="0"/>
                      <w:sz w:val="21"/>
                      <w:szCs w:val="21"/>
                    </w:rPr>
                  </w:pPr>
                </w:p>
              </w:tc>
              <w:tc>
                <w:tcPr>
                  <w:tcW w:w="1593" w:type="pct"/>
                  <w:tcBorders>
                    <w:tl2br w:val="nil"/>
                    <w:tr2bl w:val="nil"/>
                  </w:tcBorders>
                  <w:shd w:val="clear" w:color="auto" w:fill="auto"/>
                  <w:tcMar>
                    <w:top w:w="150" w:type="dxa"/>
                    <w:left w:w="150" w:type="dxa"/>
                    <w:bottom w:w="150" w:type="dxa"/>
                    <w:right w:w="150" w:type="dxa"/>
                  </w:tcMar>
                  <w:vAlign w:val="center"/>
                </w:tcPr>
                <w:p w14:paraId="5EF202E1">
                  <w:pPr>
                    <w:keepNext w:val="0"/>
                    <w:keepLines w:val="0"/>
                    <w:widowControl/>
                    <w:suppressLineNumbers w:val="0"/>
                    <w:spacing w:line="240" w:lineRule="auto"/>
                    <w:jc w:val="center"/>
                    <w:rPr>
                      <w:rFonts w:hint="default" w:ascii="Times New Roman" w:hAnsi="Times New Roman" w:eastAsia="宋体" w:cs="Times New Roman"/>
                      <w:i w:val="0"/>
                      <w:iCs w:val="0"/>
                      <w:caps w:val="0"/>
                      <w:color w:val="FF0000"/>
                      <w:spacing w:val="0"/>
                      <w:sz w:val="21"/>
                      <w:szCs w:val="21"/>
                    </w:rPr>
                  </w:pPr>
                  <w:r>
                    <w:rPr>
                      <w:rFonts w:hint="default" w:ascii="Times New Roman" w:hAnsi="Times New Roman" w:eastAsia="宋体" w:cs="Times New Roman"/>
                      <w:i w:val="0"/>
                      <w:iCs w:val="0"/>
                      <w:caps w:val="0"/>
                      <w:color w:val="FF0000"/>
                      <w:spacing w:val="0"/>
                      <w:kern w:val="0"/>
                      <w:sz w:val="21"/>
                      <w:szCs w:val="21"/>
                      <w:lang w:val="en-US" w:eastAsia="zh-CN" w:bidi="ar"/>
                    </w:rPr>
                    <w:t>预碎机</w:t>
                  </w:r>
                </w:p>
              </w:tc>
              <w:tc>
                <w:tcPr>
                  <w:tcW w:w="1220" w:type="pct"/>
                  <w:tcBorders>
                    <w:tl2br w:val="nil"/>
                    <w:tr2bl w:val="nil"/>
                  </w:tcBorders>
                  <w:shd w:val="clear" w:color="auto" w:fill="auto"/>
                  <w:tcMar>
                    <w:top w:w="150" w:type="dxa"/>
                    <w:left w:w="150" w:type="dxa"/>
                    <w:bottom w:w="150" w:type="dxa"/>
                    <w:right w:w="150" w:type="dxa"/>
                  </w:tcMar>
                  <w:vAlign w:val="center"/>
                </w:tcPr>
                <w:p w14:paraId="6301D54E">
                  <w:pPr>
                    <w:keepNext w:val="0"/>
                    <w:keepLines w:val="0"/>
                    <w:widowControl/>
                    <w:suppressLineNumbers w:val="0"/>
                    <w:spacing w:line="240" w:lineRule="auto"/>
                    <w:jc w:val="center"/>
                    <w:rPr>
                      <w:rFonts w:hint="default" w:ascii="Times New Roman" w:hAnsi="Times New Roman" w:eastAsia="宋体" w:cs="Times New Roman"/>
                      <w:i w:val="0"/>
                      <w:iCs w:val="0"/>
                      <w:caps w:val="0"/>
                      <w:color w:val="FF0000"/>
                      <w:spacing w:val="0"/>
                      <w:sz w:val="21"/>
                      <w:szCs w:val="21"/>
                    </w:rPr>
                  </w:pPr>
                  <w:r>
                    <w:rPr>
                      <w:rFonts w:hint="default" w:ascii="Times New Roman" w:hAnsi="Times New Roman" w:eastAsia="宋体" w:cs="Times New Roman"/>
                      <w:i w:val="0"/>
                      <w:iCs w:val="0"/>
                      <w:caps w:val="0"/>
                      <w:color w:val="FF0000"/>
                      <w:spacing w:val="0"/>
                      <w:kern w:val="0"/>
                      <w:sz w:val="21"/>
                      <w:szCs w:val="21"/>
                      <w:lang w:val="en-US" w:eastAsia="zh-CN" w:bidi="ar"/>
                    </w:rPr>
                    <w:t>/</w:t>
                  </w:r>
                </w:p>
              </w:tc>
              <w:tc>
                <w:tcPr>
                  <w:tcW w:w="423" w:type="pct"/>
                  <w:tcBorders>
                    <w:tl2br w:val="nil"/>
                    <w:tr2bl w:val="nil"/>
                  </w:tcBorders>
                  <w:shd w:val="clear" w:color="auto" w:fill="auto"/>
                  <w:tcMar>
                    <w:top w:w="150" w:type="dxa"/>
                    <w:left w:w="150" w:type="dxa"/>
                    <w:bottom w:w="150" w:type="dxa"/>
                    <w:right w:w="150" w:type="dxa"/>
                  </w:tcMar>
                  <w:vAlign w:val="center"/>
                </w:tcPr>
                <w:p w14:paraId="31594DCE">
                  <w:pPr>
                    <w:keepNext w:val="0"/>
                    <w:keepLines w:val="0"/>
                    <w:widowControl/>
                    <w:suppressLineNumbers w:val="0"/>
                    <w:spacing w:line="240" w:lineRule="auto"/>
                    <w:jc w:val="center"/>
                    <w:rPr>
                      <w:rFonts w:hint="default" w:ascii="Times New Roman" w:hAnsi="Times New Roman" w:eastAsia="宋体" w:cs="Times New Roman"/>
                      <w:i w:val="0"/>
                      <w:iCs w:val="0"/>
                      <w:caps w:val="0"/>
                      <w:color w:val="FF0000"/>
                      <w:spacing w:val="0"/>
                      <w:sz w:val="21"/>
                      <w:szCs w:val="21"/>
                    </w:rPr>
                  </w:pPr>
                  <w:r>
                    <w:rPr>
                      <w:rFonts w:hint="default" w:ascii="Times New Roman" w:hAnsi="Times New Roman" w:eastAsia="宋体" w:cs="Times New Roman"/>
                      <w:i w:val="0"/>
                      <w:iCs w:val="0"/>
                      <w:caps w:val="0"/>
                      <w:color w:val="FF0000"/>
                      <w:spacing w:val="0"/>
                      <w:kern w:val="0"/>
                      <w:sz w:val="21"/>
                      <w:szCs w:val="21"/>
                      <w:lang w:val="en-US" w:eastAsia="zh-CN" w:bidi="ar"/>
                    </w:rPr>
                    <w:t>台</w:t>
                  </w:r>
                </w:p>
              </w:tc>
              <w:tc>
                <w:tcPr>
                  <w:tcW w:w="425" w:type="pct"/>
                  <w:tcBorders>
                    <w:tl2br w:val="nil"/>
                    <w:tr2bl w:val="nil"/>
                  </w:tcBorders>
                  <w:shd w:val="clear" w:color="auto" w:fill="auto"/>
                  <w:tcMar>
                    <w:top w:w="150" w:type="dxa"/>
                    <w:left w:w="150" w:type="dxa"/>
                    <w:bottom w:w="150" w:type="dxa"/>
                    <w:right w:w="150" w:type="dxa"/>
                  </w:tcMar>
                  <w:vAlign w:val="center"/>
                </w:tcPr>
                <w:p w14:paraId="6A55EF80">
                  <w:pPr>
                    <w:keepNext w:val="0"/>
                    <w:keepLines w:val="0"/>
                    <w:widowControl/>
                    <w:suppressLineNumbers w:val="0"/>
                    <w:spacing w:line="240" w:lineRule="auto"/>
                    <w:jc w:val="center"/>
                    <w:rPr>
                      <w:rFonts w:hint="default" w:ascii="Times New Roman" w:hAnsi="Times New Roman" w:eastAsia="宋体" w:cs="Times New Roman"/>
                      <w:i w:val="0"/>
                      <w:iCs w:val="0"/>
                      <w:caps w:val="0"/>
                      <w:color w:val="FF0000"/>
                      <w:spacing w:val="0"/>
                      <w:sz w:val="21"/>
                      <w:szCs w:val="21"/>
                    </w:rPr>
                  </w:pPr>
                  <w:r>
                    <w:rPr>
                      <w:rFonts w:hint="default" w:ascii="Times New Roman" w:hAnsi="Times New Roman" w:eastAsia="宋体" w:cs="Times New Roman"/>
                      <w:i w:val="0"/>
                      <w:iCs w:val="0"/>
                      <w:caps w:val="0"/>
                      <w:color w:val="FF0000"/>
                      <w:spacing w:val="0"/>
                      <w:kern w:val="0"/>
                      <w:sz w:val="21"/>
                      <w:szCs w:val="21"/>
                      <w:lang w:val="en-US" w:eastAsia="zh-CN" w:bidi="ar"/>
                    </w:rPr>
                    <w:t>2</w:t>
                  </w:r>
                </w:p>
              </w:tc>
            </w:tr>
            <w:tr w14:paraId="523BDD9A">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shd w:val="clear" w:color="auto" w:fill="auto"/>
                <w:tblCellMar>
                  <w:top w:w="15" w:type="dxa"/>
                  <w:left w:w="15" w:type="dxa"/>
                  <w:bottom w:w="15" w:type="dxa"/>
                  <w:right w:w="15" w:type="dxa"/>
                </w:tblCellMar>
              </w:tblPrEx>
              <w:trPr>
                <w:trHeight w:val="23" w:hRule="atLeast"/>
                <w:tblHeader/>
              </w:trPr>
              <w:tc>
                <w:tcPr>
                  <w:tcW w:w="391" w:type="pct"/>
                  <w:tcBorders>
                    <w:tl2br w:val="nil"/>
                    <w:tr2bl w:val="nil"/>
                  </w:tcBorders>
                  <w:shd w:val="clear" w:color="auto" w:fill="auto"/>
                  <w:tcMar>
                    <w:top w:w="150" w:type="dxa"/>
                    <w:left w:w="0" w:type="dxa"/>
                    <w:bottom w:w="150" w:type="dxa"/>
                    <w:right w:w="150" w:type="dxa"/>
                  </w:tcMar>
                  <w:vAlign w:val="center"/>
                </w:tcPr>
                <w:p w14:paraId="54165388">
                  <w:pPr>
                    <w:keepNext w:val="0"/>
                    <w:keepLines w:val="0"/>
                    <w:widowControl/>
                    <w:suppressLineNumbers w:val="0"/>
                    <w:spacing w:line="240" w:lineRule="auto"/>
                    <w:jc w:val="center"/>
                    <w:rPr>
                      <w:rFonts w:hint="default" w:ascii="Times New Roman" w:hAnsi="Times New Roman" w:eastAsia="宋体" w:cs="Times New Roman"/>
                      <w:i w:val="0"/>
                      <w:iCs w:val="0"/>
                      <w:caps w:val="0"/>
                      <w:color w:val="FF0000"/>
                      <w:spacing w:val="0"/>
                      <w:kern w:val="2"/>
                      <w:sz w:val="21"/>
                      <w:szCs w:val="21"/>
                      <w:lang w:val="en-US" w:eastAsia="zh-CN" w:bidi="ar-SA"/>
                    </w:rPr>
                  </w:pPr>
                  <w:r>
                    <w:rPr>
                      <w:rFonts w:hint="default" w:ascii="Times New Roman" w:hAnsi="Times New Roman" w:eastAsia="宋体" w:cs="Times New Roman"/>
                      <w:i w:val="0"/>
                      <w:iCs w:val="0"/>
                      <w:caps w:val="0"/>
                      <w:color w:val="FF0000"/>
                      <w:spacing w:val="0"/>
                      <w:kern w:val="0"/>
                      <w:sz w:val="21"/>
                      <w:szCs w:val="21"/>
                      <w:lang w:val="en-US" w:eastAsia="zh-CN" w:bidi="ar"/>
                    </w:rPr>
                    <w:t>26</w:t>
                  </w:r>
                </w:p>
              </w:tc>
              <w:tc>
                <w:tcPr>
                  <w:tcW w:w="945" w:type="pct"/>
                  <w:tcBorders>
                    <w:tl2br w:val="nil"/>
                    <w:tr2bl w:val="nil"/>
                  </w:tcBorders>
                  <w:shd w:val="clear" w:color="auto" w:fill="auto"/>
                  <w:tcMar>
                    <w:top w:w="150" w:type="dxa"/>
                    <w:left w:w="150" w:type="dxa"/>
                    <w:bottom w:w="150" w:type="dxa"/>
                    <w:right w:w="150" w:type="dxa"/>
                  </w:tcMar>
                  <w:vAlign w:val="center"/>
                </w:tcPr>
                <w:p w14:paraId="509B89DA">
                  <w:pPr>
                    <w:spacing w:line="240" w:lineRule="auto"/>
                    <w:jc w:val="center"/>
                    <w:rPr>
                      <w:rFonts w:hint="default" w:ascii="Times New Roman" w:hAnsi="Times New Roman" w:eastAsia="宋体" w:cs="Times New Roman"/>
                      <w:i w:val="0"/>
                      <w:iCs w:val="0"/>
                      <w:caps w:val="0"/>
                      <w:color w:val="FF0000"/>
                      <w:spacing w:val="0"/>
                      <w:sz w:val="21"/>
                      <w:szCs w:val="21"/>
                    </w:rPr>
                  </w:pPr>
                </w:p>
              </w:tc>
              <w:tc>
                <w:tcPr>
                  <w:tcW w:w="1593" w:type="pct"/>
                  <w:tcBorders>
                    <w:tl2br w:val="nil"/>
                    <w:tr2bl w:val="nil"/>
                  </w:tcBorders>
                  <w:shd w:val="clear" w:color="auto" w:fill="auto"/>
                  <w:tcMar>
                    <w:top w:w="150" w:type="dxa"/>
                    <w:left w:w="150" w:type="dxa"/>
                    <w:bottom w:w="150" w:type="dxa"/>
                    <w:right w:w="150" w:type="dxa"/>
                  </w:tcMar>
                  <w:vAlign w:val="center"/>
                </w:tcPr>
                <w:p w14:paraId="7223F55D">
                  <w:pPr>
                    <w:keepNext w:val="0"/>
                    <w:keepLines w:val="0"/>
                    <w:widowControl/>
                    <w:suppressLineNumbers w:val="0"/>
                    <w:spacing w:line="240" w:lineRule="auto"/>
                    <w:jc w:val="center"/>
                    <w:rPr>
                      <w:rFonts w:hint="default" w:ascii="Times New Roman" w:hAnsi="Times New Roman" w:eastAsia="宋体" w:cs="Times New Roman"/>
                      <w:i w:val="0"/>
                      <w:iCs w:val="0"/>
                      <w:caps w:val="0"/>
                      <w:color w:val="FF0000"/>
                      <w:spacing w:val="0"/>
                      <w:sz w:val="21"/>
                      <w:szCs w:val="21"/>
                    </w:rPr>
                  </w:pPr>
                  <w:r>
                    <w:rPr>
                      <w:rFonts w:hint="default" w:ascii="Times New Roman" w:hAnsi="Times New Roman" w:eastAsia="宋体" w:cs="Times New Roman"/>
                      <w:i w:val="0"/>
                      <w:iCs w:val="0"/>
                      <w:caps w:val="0"/>
                      <w:color w:val="FF0000"/>
                      <w:spacing w:val="0"/>
                      <w:kern w:val="0"/>
                      <w:sz w:val="21"/>
                      <w:szCs w:val="21"/>
                      <w:lang w:val="en-US" w:eastAsia="zh-CN" w:bidi="ar"/>
                    </w:rPr>
                    <w:t>金属分选机</w:t>
                  </w:r>
                </w:p>
              </w:tc>
              <w:tc>
                <w:tcPr>
                  <w:tcW w:w="1220" w:type="pct"/>
                  <w:tcBorders>
                    <w:tl2br w:val="nil"/>
                    <w:tr2bl w:val="nil"/>
                  </w:tcBorders>
                  <w:shd w:val="clear" w:color="auto" w:fill="auto"/>
                  <w:tcMar>
                    <w:top w:w="150" w:type="dxa"/>
                    <w:left w:w="150" w:type="dxa"/>
                    <w:bottom w:w="150" w:type="dxa"/>
                    <w:right w:w="150" w:type="dxa"/>
                  </w:tcMar>
                  <w:vAlign w:val="center"/>
                </w:tcPr>
                <w:p w14:paraId="1E85EADA">
                  <w:pPr>
                    <w:keepNext w:val="0"/>
                    <w:keepLines w:val="0"/>
                    <w:widowControl/>
                    <w:suppressLineNumbers w:val="0"/>
                    <w:spacing w:line="240" w:lineRule="auto"/>
                    <w:jc w:val="center"/>
                    <w:rPr>
                      <w:rFonts w:hint="default" w:ascii="Times New Roman" w:hAnsi="Times New Roman" w:eastAsia="宋体" w:cs="Times New Roman"/>
                      <w:i w:val="0"/>
                      <w:iCs w:val="0"/>
                      <w:caps w:val="0"/>
                      <w:color w:val="FF0000"/>
                      <w:spacing w:val="0"/>
                      <w:sz w:val="21"/>
                      <w:szCs w:val="21"/>
                    </w:rPr>
                  </w:pPr>
                  <w:r>
                    <w:rPr>
                      <w:rFonts w:hint="default" w:ascii="Times New Roman" w:hAnsi="Times New Roman" w:eastAsia="宋体" w:cs="Times New Roman"/>
                      <w:i w:val="0"/>
                      <w:iCs w:val="0"/>
                      <w:caps w:val="0"/>
                      <w:color w:val="FF0000"/>
                      <w:spacing w:val="0"/>
                      <w:kern w:val="0"/>
                      <w:sz w:val="21"/>
                      <w:szCs w:val="21"/>
                      <w:lang w:val="en-US" w:eastAsia="zh-CN" w:bidi="ar"/>
                    </w:rPr>
                    <w:t>/</w:t>
                  </w:r>
                </w:p>
              </w:tc>
              <w:tc>
                <w:tcPr>
                  <w:tcW w:w="423" w:type="pct"/>
                  <w:tcBorders>
                    <w:tl2br w:val="nil"/>
                    <w:tr2bl w:val="nil"/>
                  </w:tcBorders>
                  <w:shd w:val="clear" w:color="auto" w:fill="auto"/>
                  <w:tcMar>
                    <w:top w:w="150" w:type="dxa"/>
                    <w:left w:w="150" w:type="dxa"/>
                    <w:bottom w:w="150" w:type="dxa"/>
                    <w:right w:w="150" w:type="dxa"/>
                  </w:tcMar>
                  <w:vAlign w:val="center"/>
                </w:tcPr>
                <w:p w14:paraId="6D2916A2">
                  <w:pPr>
                    <w:keepNext w:val="0"/>
                    <w:keepLines w:val="0"/>
                    <w:widowControl/>
                    <w:suppressLineNumbers w:val="0"/>
                    <w:spacing w:line="240" w:lineRule="auto"/>
                    <w:jc w:val="center"/>
                    <w:rPr>
                      <w:rFonts w:hint="default" w:ascii="Times New Roman" w:hAnsi="Times New Roman" w:eastAsia="宋体" w:cs="Times New Roman"/>
                      <w:i w:val="0"/>
                      <w:iCs w:val="0"/>
                      <w:caps w:val="0"/>
                      <w:color w:val="FF0000"/>
                      <w:spacing w:val="0"/>
                      <w:sz w:val="21"/>
                      <w:szCs w:val="21"/>
                    </w:rPr>
                  </w:pPr>
                  <w:r>
                    <w:rPr>
                      <w:rFonts w:hint="default" w:ascii="Times New Roman" w:hAnsi="Times New Roman" w:eastAsia="宋体" w:cs="Times New Roman"/>
                      <w:i w:val="0"/>
                      <w:iCs w:val="0"/>
                      <w:caps w:val="0"/>
                      <w:color w:val="FF0000"/>
                      <w:spacing w:val="0"/>
                      <w:kern w:val="0"/>
                      <w:sz w:val="21"/>
                      <w:szCs w:val="21"/>
                      <w:lang w:val="en-US" w:eastAsia="zh-CN" w:bidi="ar"/>
                    </w:rPr>
                    <w:t>台</w:t>
                  </w:r>
                </w:p>
              </w:tc>
              <w:tc>
                <w:tcPr>
                  <w:tcW w:w="425" w:type="pct"/>
                  <w:tcBorders>
                    <w:tl2br w:val="nil"/>
                    <w:tr2bl w:val="nil"/>
                  </w:tcBorders>
                  <w:shd w:val="clear" w:color="auto" w:fill="auto"/>
                  <w:tcMar>
                    <w:top w:w="150" w:type="dxa"/>
                    <w:left w:w="150" w:type="dxa"/>
                    <w:bottom w:w="150" w:type="dxa"/>
                    <w:right w:w="150" w:type="dxa"/>
                  </w:tcMar>
                  <w:vAlign w:val="center"/>
                </w:tcPr>
                <w:p w14:paraId="49B418B3">
                  <w:pPr>
                    <w:keepNext w:val="0"/>
                    <w:keepLines w:val="0"/>
                    <w:widowControl/>
                    <w:suppressLineNumbers w:val="0"/>
                    <w:spacing w:line="240" w:lineRule="auto"/>
                    <w:jc w:val="center"/>
                    <w:rPr>
                      <w:rFonts w:hint="default" w:ascii="Times New Roman" w:hAnsi="Times New Roman" w:eastAsia="宋体" w:cs="Times New Roman"/>
                      <w:i w:val="0"/>
                      <w:iCs w:val="0"/>
                      <w:caps w:val="0"/>
                      <w:color w:val="FF0000"/>
                      <w:spacing w:val="0"/>
                      <w:sz w:val="21"/>
                      <w:szCs w:val="21"/>
                    </w:rPr>
                  </w:pPr>
                  <w:r>
                    <w:rPr>
                      <w:rFonts w:hint="default" w:ascii="Times New Roman" w:hAnsi="Times New Roman" w:eastAsia="宋体" w:cs="Times New Roman"/>
                      <w:i w:val="0"/>
                      <w:iCs w:val="0"/>
                      <w:caps w:val="0"/>
                      <w:color w:val="FF0000"/>
                      <w:spacing w:val="0"/>
                      <w:kern w:val="0"/>
                      <w:sz w:val="21"/>
                      <w:szCs w:val="21"/>
                      <w:lang w:val="en-US" w:eastAsia="zh-CN" w:bidi="ar"/>
                    </w:rPr>
                    <w:t>2</w:t>
                  </w:r>
                </w:p>
              </w:tc>
            </w:tr>
            <w:tr w14:paraId="709953B2">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shd w:val="clear" w:color="auto" w:fill="auto"/>
                <w:tblCellMar>
                  <w:top w:w="15" w:type="dxa"/>
                  <w:left w:w="15" w:type="dxa"/>
                  <w:bottom w:w="15" w:type="dxa"/>
                  <w:right w:w="15" w:type="dxa"/>
                </w:tblCellMar>
              </w:tblPrEx>
              <w:trPr>
                <w:trHeight w:val="23" w:hRule="atLeast"/>
                <w:tblHeader/>
              </w:trPr>
              <w:tc>
                <w:tcPr>
                  <w:tcW w:w="391" w:type="pct"/>
                  <w:tcBorders>
                    <w:tl2br w:val="nil"/>
                    <w:tr2bl w:val="nil"/>
                  </w:tcBorders>
                  <w:shd w:val="clear" w:color="auto" w:fill="auto"/>
                  <w:tcMar>
                    <w:top w:w="150" w:type="dxa"/>
                    <w:left w:w="0" w:type="dxa"/>
                    <w:bottom w:w="150" w:type="dxa"/>
                    <w:right w:w="150" w:type="dxa"/>
                  </w:tcMar>
                  <w:vAlign w:val="center"/>
                </w:tcPr>
                <w:p w14:paraId="0DC78B9B">
                  <w:pPr>
                    <w:keepNext w:val="0"/>
                    <w:keepLines w:val="0"/>
                    <w:widowControl/>
                    <w:suppressLineNumbers w:val="0"/>
                    <w:spacing w:line="240" w:lineRule="auto"/>
                    <w:jc w:val="center"/>
                    <w:rPr>
                      <w:rFonts w:hint="default" w:ascii="Times New Roman" w:hAnsi="Times New Roman" w:eastAsia="宋体" w:cs="Times New Roman"/>
                      <w:i w:val="0"/>
                      <w:iCs w:val="0"/>
                      <w:caps w:val="0"/>
                      <w:color w:val="FF0000"/>
                      <w:spacing w:val="0"/>
                      <w:kern w:val="2"/>
                      <w:sz w:val="21"/>
                      <w:szCs w:val="21"/>
                      <w:lang w:val="en-US" w:eastAsia="zh-CN" w:bidi="ar-SA"/>
                    </w:rPr>
                  </w:pPr>
                  <w:r>
                    <w:rPr>
                      <w:rFonts w:hint="default" w:ascii="Times New Roman" w:hAnsi="Times New Roman" w:eastAsia="宋体" w:cs="Times New Roman"/>
                      <w:i w:val="0"/>
                      <w:iCs w:val="0"/>
                      <w:caps w:val="0"/>
                      <w:color w:val="FF0000"/>
                      <w:spacing w:val="0"/>
                      <w:kern w:val="0"/>
                      <w:sz w:val="21"/>
                      <w:szCs w:val="21"/>
                      <w:lang w:val="en-US" w:eastAsia="zh-CN" w:bidi="ar"/>
                    </w:rPr>
                    <w:t>27</w:t>
                  </w:r>
                </w:p>
              </w:tc>
              <w:tc>
                <w:tcPr>
                  <w:tcW w:w="945" w:type="pct"/>
                  <w:tcBorders>
                    <w:tl2br w:val="nil"/>
                    <w:tr2bl w:val="nil"/>
                  </w:tcBorders>
                  <w:shd w:val="clear" w:color="auto" w:fill="auto"/>
                  <w:tcMar>
                    <w:top w:w="150" w:type="dxa"/>
                    <w:left w:w="150" w:type="dxa"/>
                    <w:bottom w:w="150" w:type="dxa"/>
                    <w:right w:w="150" w:type="dxa"/>
                  </w:tcMar>
                  <w:vAlign w:val="center"/>
                </w:tcPr>
                <w:p w14:paraId="7DBA88A4">
                  <w:pPr>
                    <w:keepNext w:val="0"/>
                    <w:keepLines w:val="0"/>
                    <w:widowControl/>
                    <w:suppressLineNumbers w:val="0"/>
                    <w:spacing w:line="240" w:lineRule="auto"/>
                    <w:jc w:val="center"/>
                    <w:rPr>
                      <w:rFonts w:hint="default" w:ascii="Times New Roman" w:hAnsi="Times New Roman" w:eastAsia="宋体" w:cs="Times New Roman"/>
                      <w:i w:val="0"/>
                      <w:iCs w:val="0"/>
                      <w:caps w:val="0"/>
                      <w:color w:val="FF0000"/>
                      <w:spacing w:val="0"/>
                      <w:sz w:val="21"/>
                      <w:szCs w:val="21"/>
                    </w:rPr>
                  </w:pPr>
                  <w:r>
                    <w:rPr>
                      <w:rStyle w:val="37"/>
                      <w:rFonts w:hint="default" w:ascii="Times New Roman" w:hAnsi="Times New Roman" w:eastAsia="宋体" w:cs="Times New Roman"/>
                      <w:b/>
                      <w:bCs/>
                      <w:i w:val="0"/>
                      <w:iCs w:val="0"/>
                      <w:caps w:val="0"/>
                      <w:color w:val="FF0000"/>
                      <w:spacing w:val="0"/>
                      <w:kern w:val="0"/>
                      <w:sz w:val="21"/>
                      <w:szCs w:val="21"/>
                      <w:lang w:val="en-US" w:eastAsia="zh-CN" w:bidi="ar"/>
                    </w:rPr>
                    <w:t>压缩打包设备</w:t>
                  </w:r>
                </w:p>
              </w:tc>
              <w:tc>
                <w:tcPr>
                  <w:tcW w:w="1593" w:type="pct"/>
                  <w:tcBorders>
                    <w:tl2br w:val="nil"/>
                    <w:tr2bl w:val="nil"/>
                  </w:tcBorders>
                  <w:shd w:val="clear" w:color="auto" w:fill="auto"/>
                  <w:tcMar>
                    <w:top w:w="150" w:type="dxa"/>
                    <w:left w:w="150" w:type="dxa"/>
                    <w:bottom w:w="150" w:type="dxa"/>
                    <w:right w:w="150" w:type="dxa"/>
                  </w:tcMar>
                  <w:vAlign w:val="center"/>
                </w:tcPr>
                <w:p w14:paraId="536DA979">
                  <w:pPr>
                    <w:keepNext w:val="0"/>
                    <w:keepLines w:val="0"/>
                    <w:widowControl/>
                    <w:suppressLineNumbers w:val="0"/>
                    <w:spacing w:line="240" w:lineRule="auto"/>
                    <w:jc w:val="center"/>
                    <w:rPr>
                      <w:rFonts w:hint="default" w:ascii="Times New Roman" w:hAnsi="Times New Roman" w:eastAsia="宋体" w:cs="Times New Roman"/>
                      <w:i w:val="0"/>
                      <w:iCs w:val="0"/>
                      <w:caps w:val="0"/>
                      <w:color w:val="FF0000"/>
                      <w:spacing w:val="0"/>
                      <w:sz w:val="21"/>
                      <w:szCs w:val="21"/>
                    </w:rPr>
                  </w:pPr>
                  <w:r>
                    <w:rPr>
                      <w:rFonts w:hint="default" w:ascii="Times New Roman" w:hAnsi="Times New Roman" w:eastAsia="宋体" w:cs="Times New Roman"/>
                      <w:i w:val="0"/>
                      <w:iCs w:val="0"/>
                      <w:caps w:val="0"/>
                      <w:color w:val="FF0000"/>
                      <w:spacing w:val="0"/>
                      <w:kern w:val="0"/>
                      <w:sz w:val="21"/>
                      <w:szCs w:val="21"/>
                      <w:lang w:val="en-US" w:eastAsia="zh-CN" w:bidi="ar"/>
                    </w:rPr>
                    <w:t>打包压块机</w:t>
                  </w:r>
                </w:p>
              </w:tc>
              <w:tc>
                <w:tcPr>
                  <w:tcW w:w="1220" w:type="pct"/>
                  <w:tcBorders>
                    <w:tl2br w:val="nil"/>
                    <w:tr2bl w:val="nil"/>
                  </w:tcBorders>
                  <w:shd w:val="clear" w:color="auto" w:fill="auto"/>
                  <w:tcMar>
                    <w:top w:w="150" w:type="dxa"/>
                    <w:left w:w="150" w:type="dxa"/>
                    <w:bottom w:w="150" w:type="dxa"/>
                    <w:right w:w="150" w:type="dxa"/>
                  </w:tcMar>
                  <w:vAlign w:val="center"/>
                </w:tcPr>
                <w:p w14:paraId="18E8CB83">
                  <w:pPr>
                    <w:keepNext w:val="0"/>
                    <w:keepLines w:val="0"/>
                    <w:widowControl/>
                    <w:suppressLineNumbers w:val="0"/>
                    <w:spacing w:line="240" w:lineRule="auto"/>
                    <w:jc w:val="center"/>
                    <w:rPr>
                      <w:rFonts w:hint="default" w:ascii="Times New Roman" w:hAnsi="Times New Roman" w:eastAsia="宋体" w:cs="Times New Roman"/>
                      <w:i w:val="0"/>
                      <w:iCs w:val="0"/>
                      <w:caps w:val="0"/>
                      <w:color w:val="FF0000"/>
                      <w:spacing w:val="0"/>
                      <w:sz w:val="21"/>
                      <w:szCs w:val="21"/>
                    </w:rPr>
                  </w:pPr>
                  <w:r>
                    <w:rPr>
                      <w:rFonts w:hint="default" w:ascii="Times New Roman" w:hAnsi="Times New Roman" w:eastAsia="宋体" w:cs="Times New Roman"/>
                      <w:i w:val="0"/>
                      <w:iCs w:val="0"/>
                      <w:caps w:val="0"/>
                      <w:color w:val="FF0000"/>
                      <w:spacing w:val="0"/>
                      <w:kern w:val="0"/>
                      <w:sz w:val="21"/>
                      <w:szCs w:val="21"/>
                      <w:lang w:val="en-US" w:eastAsia="zh-CN" w:bidi="ar"/>
                    </w:rPr>
                    <w:t>Y81/K-1000</w:t>
                  </w:r>
                </w:p>
              </w:tc>
              <w:tc>
                <w:tcPr>
                  <w:tcW w:w="423" w:type="pct"/>
                  <w:tcBorders>
                    <w:tl2br w:val="nil"/>
                    <w:tr2bl w:val="nil"/>
                  </w:tcBorders>
                  <w:shd w:val="clear" w:color="auto" w:fill="auto"/>
                  <w:tcMar>
                    <w:top w:w="150" w:type="dxa"/>
                    <w:left w:w="150" w:type="dxa"/>
                    <w:bottom w:w="150" w:type="dxa"/>
                    <w:right w:w="150" w:type="dxa"/>
                  </w:tcMar>
                  <w:vAlign w:val="center"/>
                </w:tcPr>
                <w:p w14:paraId="3C851FC9">
                  <w:pPr>
                    <w:keepNext w:val="0"/>
                    <w:keepLines w:val="0"/>
                    <w:widowControl/>
                    <w:suppressLineNumbers w:val="0"/>
                    <w:spacing w:line="240" w:lineRule="auto"/>
                    <w:jc w:val="center"/>
                    <w:rPr>
                      <w:rFonts w:hint="default" w:ascii="Times New Roman" w:hAnsi="Times New Roman" w:eastAsia="宋体" w:cs="Times New Roman"/>
                      <w:i w:val="0"/>
                      <w:iCs w:val="0"/>
                      <w:caps w:val="0"/>
                      <w:color w:val="FF0000"/>
                      <w:spacing w:val="0"/>
                      <w:sz w:val="21"/>
                      <w:szCs w:val="21"/>
                    </w:rPr>
                  </w:pPr>
                  <w:r>
                    <w:rPr>
                      <w:rFonts w:hint="default" w:ascii="Times New Roman" w:hAnsi="Times New Roman" w:eastAsia="宋体" w:cs="Times New Roman"/>
                      <w:i w:val="0"/>
                      <w:iCs w:val="0"/>
                      <w:caps w:val="0"/>
                      <w:color w:val="FF0000"/>
                      <w:spacing w:val="0"/>
                      <w:kern w:val="0"/>
                      <w:sz w:val="21"/>
                      <w:szCs w:val="21"/>
                      <w:lang w:val="en-US" w:eastAsia="zh-CN" w:bidi="ar"/>
                    </w:rPr>
                    <w:t>台</w:t>
                  </w:r>
                </w:p>
              </w:tc>
              <w:tc>
                <w:tcPr>
                  <w:tcW w:w="425" w:type="pct"/>
                  <w:tcBorders>
                    <w:tl2br w:val="nil"/>
                    <w:tr2bl w:val="nil"/>
                  </w:tcBorders>
                  <w:shd w:val="clear" w:color="auto" w:fill="auto"/>
                  <w:tcMar>
                    <w:top w:w="150" w:type="dxa"/>
                    <w:left w:w="150" w:type="dxa"/>
                    <w:bottom w:w="150" w:type="dxa"/>
                    <w:right w:w="150" w:type="dxa"/>
                  </w:tcMar>
                  <w:vAlign w:val="center"/>
                </w:tcPr>
                <w:p w14:paraId="0F0871A6">
                  <w:pPr>
                    <w:keepNext w:val="0"/>
                    <w:keepLines w:val="0"/>
                    <w:widowControl/>
                    <w:suppressLineNumbers w:val="0"/>
                    <w:spacing w:line="240" w:lineRule="auto"/>
                    <w:jc w:val="center"/>
                    <w:rPr>
                      <w:rFonts w:hint="default" w:ascii="Times New Roman" w:hAnsi="Times New Roman" w:eastAsia="宋体" w:cs="Times New Roman"/>
                      <w:i w:val="0"/>
                      <w:iCs w:val="0"/>
                      <w:caps w:val="0"/>
                      <w:color w:val="FF0000"/>
                      <w:spacing w:val="0"/>
                      <w:sz w:val="21"/>
                      <w:szCs w:val="21"/>
                    </w:rPr>
                  </w:pPr>
                  <w:r>
                    <w:rPr>
                      <w:rFonts w:hint="default" w:ascii="Times New Roman" w:hAnsi="Times New Roman" w:eastAsia="宋体" w:cs="Times New Roman"/>
                      <w:i w:val="0"/>
                      <w:iCs w:val="0"/>
                      <w:caps w:val="0"/>
                      <w:color w:val="FF0000"/>
                      <w:spacing w:val="0"/>
                      <w:kern w:val="0"/>
                      <w:sz w:val="21"/>
                      <w:szCs w:val="21"/>
                      <w:lang w:val="en-US" w:eastAsia="zh-CN" w:bidi="ar"/>
                    </w:rPr>
                    <w:t>2</w:t>
                  </w:r>
                </w:p>
              </w:tc>
            </w:tr>
            <w:tr w14:paraId="236D2BCD">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shd w:val="clear" w:color="auto" w:fill="auto"/>
                <w:tblCellMar>
                  <w:top w:w="15" w:type="dxa"/>
                  <w:left w:w="15" w:type="dxa"/>
                  <w:bottom w:w="15" w:type="dxa"/>
                  <w:right w:w="15" w:type="dxa"/>
                </w:tblCellMar>
              </w:tblPrEx>
              <w:trPr>
                <w:trHeight w:val="23" w:hRule="atLeast"/>
                <w:tblHeader/>
              </w:trPr>
              <w:tc>
                <w:tcPr>
                  <w:tcW w:w="391" w:type="pct"/>
                  <w:tcBorders>
                    <w:tl2br w:val="nil"/>
                    <w:tr2bl w:val="nil"/>
                  </w:tcBorders>
                  <w:shd w:val="clear" w:color="auto" w:fill="auto"/>
                  <w:tcMar>
                    <w:top w:w="150" w:type="dxa"/>
                    <w:left w:w="0" w:type="dxa"/>
                    <w:bottom w:w="150" w:type="dxa"/>
                    <w:right w:w="150" w:type="dxa"/>
                  </w:tcMar>
                  <w:vAlign w:val="center"/>
                </w:tcPr>
                <w:p w14:paraId="71CDB23C">
                  <w:pPr>
                    <w:keepNext w:val="0"/>
                    <w:keepLines w:val="0"/>
                    <w:widowControl/>
                    <w:suppressLineNumbers w:val="0"/>
                    <w:spacing w:line="240" w:lineRule="auto"/>
                    <w:jc w:val="center"/>
                    <w:rPr>
                      <w:rFonts w:hint="default" w:ascii="Times New Roman" w:hAnsi="Times New Roman" w:eastAsia="宋体" w:cs="Times New Roman"/>
                      <w:i w:val="0"/>
                      <w:iCs w:val="0"/>
                      <w:caps w:val="0"/>
                      <w:color w:val="FF0000"/>
                      <w:spacing w:val="0"/>
                      <w:kern w:val="2"/>
                      <w:sz w:val="21"/>
                      <w:szCs w:val="21"/>
                      <w:lang w:val="en-US" w:eastAsia="zh-CN" w:bidi="ar-SA"/>
                    </w:rPr>
                  </w:pPr>
                  <w:r>
                    <w:rPr>
                      <w:rFonts w:hint="default" w:ascii="Times New Roman" w:hAnsi="Times New Roman" w:eastAsia="宋体" w:cs="Times New Roman"/>
                      <w:i w:val="0"/>
                      <w:iCs w:val="0"/>
                      <w:caps w:val="0"/>
                      <w:color w:val="FF0000"/>
                      <w:spacing w:val="0"/>
                      <w:kern w:val="0"/>
                      <w:sz w:val="21"/>
                      <w:szCs w:val="21"/>
                      <w:lang w:val="en-US" w:eastAsia="zh-CN" w:bidi="ar"/>
                    </w:rPr>
                    <w:t>28</w:t>
                  </w:r>
                </w:p>
              </w:tc>
              <w:tc>
                <w:tcPr>
                  <w:tcW w:w="945" w:type="pct"/>
                  <w:tcBorders>
                    <w:tl2br w:val="nil"/>
                    <w:tr2bl w:val="nil"/>
                  </w:tcBorders>
                  <w:shd w:val="clear" w:color="auto" w:fill="auto"/>
                  <w:tcMar>
                    <w:top w:w="150" w:type="dxa"/>
                    <w:left w:w="150" w:type="dxa"/>
                    <w:bottom w:w="150" w:type="dxa"/>
                    <w:right w:w="150" w:type="dxa"/>
                  </w:tcMar>
                  <w:vAlign w:val="center"/>
                </w:tcPr>
                <w:p w14:paraId="12BCC92B">
                  <w:pPr>
                    <w:spacing w:line="240" w:lineRule="auto"/>
                    <w:jc w:val="center"/>
                    <w:rPr>
                      <w:rFonts w:hint="default" w:ascii="Times New Roman" w:hAnsi="Times New Roman" w:eastAsia="宋体" w:cs="Times New Roman"/>
                      <w:i w:val="0"/>
                      <w:iCs w:val="0"/>
                      <w:caps w:val="0"/>
                      <w:color w:val="FF0000"/>
                      <w:spacing w:val="0"/>
                      <w:sz w:val="21"/>
                      <w:szCs w:val="21"/>
                    </w:rPr>
                  </w:pPr>
                </w:p>
              </w:tc>
              <w:tc>
                <w:tcPr>
                  <w:tcW w:w="1593" w:type="pct"/>
                  <w:tcBorders>
                    <w:tl2br w:val="nil"/>
                    <w:tr2bl w:val="nil"/>
                  </w:tcBorders>
                  <w:shd w:val="clear" w:color="auto" w:fill="auto"/>
                  <w:tcMar>
                    <w:top w:w="150" w:type="dxa"/>
                    <w:left w:w="150" w:type="dxa"/>
                    <w:bottom w:w="150" w:type="dxa"/>
                    <w:right w:w="150" w:type="dxa"/>
                  </w:tcMar>
                  <w:vAlign w:val="center"/>
                </w:tcPr>
                <w:p w14:paraId="3DE9B34A">
                  <w:pPr>
                    <w:keepNext w:val="0"/>
                    <w:keepLines w:val="0"/>
                    <w:widowControl/>
                    <w:suppressLineNumbers w:val="0"/>
                    <w:spacing w:line="240" w:lineRule="auto"/>
                    <w:jc w:val="center"/>
                    <w:rPr>
                      <w:rFonts w:hint="default" w:ascii="Times New Roman" w:hAnsi="Times New Roman" w:eastAsia="宋体" w:cs="Times New Roman"/>
                      <w:i w:val="0"/>
                      <w:iCs w:val="0"/>
                      <w:caps w:val="0"/>
                      <w:color w:val="FF0000"/>
                      <w:spacing w:val="0"/>
                      <w:sz w:val="21"/>
                      <w:szCs w:val="21"/>
                    </w:rPr>
                  </w:pPr>
                  <w:r>
                    <w:rPr>
                      <w:rFonts w:hint="default" w:ascii="Times New Roman" w:hAnsi="Times New Roman" w:eastAsia="宋体" w:cs="Times New Roman"/>
                      <w:i w:val="0"/>
                      <w:iCs w:val="0"/>
                      <w:caps w:val="0"/>
                      <w:color w:val="FF0000"/>
                      <w:spacing w:val="0"/>
                      <w:kern w:val="0"/>
                      <w:sz w:val="21"/>
                      <w:szCs w:val="21"/>
                      <w:lang w:val="en-US" w:eastAsia="zh-CN" w:bidi="ar"/>
                    </w:rPr>
                    <w:t>剪切机</w:t>
                  </w:r>
                </w:p>
              </w:tc>
              <w:tc>
                <w:tcPr>
                  <w:tcW w:w="1220" w:type="pct"/>
                  <w:tcBorders>
                    <w:tl2br w:val="nil"/>
                    <w:tr2bl w:val="nil"/>
                  </w:tcBorders>
                  <w:shd w:val="clear" w:color="auto" w:fill="auto"/>
                  <w:tcMar>
                    <w:top w:w="150" w:type="dxa"/>
                    <w:left w:w="150" w:type="dxa"/>
                    <w:bottom w:w="150" w:type="dxa"/>
                    <w:right w:w="150" w:type="dxa"/>
                  </w:tcMar>
                  <w:vAlign w:val="center"/>
                </w:tcPr>
                <w:p w14:paraId="39F3D297">
                  <w:pPr>
                    <w:keepNext w:val="0"/>
                    <w:keepLines w:val="0"/>
                    <w:widowControl/>
                    <w:suppressLineNumbers w:val="0"/>
                    <w:spacing w:line="240" w:lineRule="auto"/>
                    <w:jc w:val="center"/>
                    <w:rPr>
                      <w:rFonts w:hint="default" w:ascii="Times New Roman" w:hAnsi="Times New Roman" w:eastAsia="宋体" w:cs="Times New Roman"/>
                      <w:i w:val="0"/>
                      <w:iCs w:val="0"/>
                      <w:caps w:val="0"/>
                      <w:color w:val="FF0000"/>
                      <w:spacing w:val="0"/>
                      <w:sz w:val="21"/>
                      <w:szCs w:val="21"/>
                    </w:rPr>
                  </w:pPr>
                  <w:r>
                    <w:rPr>
                      <w:rFonts w:hint="default" w:ascii="Times New Roman" w:hAnsi="Times New Roman" w:eastAsia="宋体" w:cs="Times New Roman"/>
                      <w:i w:val="0"/>
                      <w:iCs w:val="0"/>
                      <w:caps w:val="0"/>
                      <w:color w:val="FF0000"/>
                      <w:spacing w:val="0"/>
                      <w:kern w:val="0"/>
                      <w:sz w:val="21"/>
                      <w:szCs w:val="21"/>
                      <w:lang w:val="en-US" w:eastAsia="zh-CN" w:bidi="ar"/>
                    </w:rPr>
                    <w:t>630W</w:t>
                  </w:r>
                </w:p>
              </w:tc>
              <w:tc>
                <w:tcPr>
                  <w:tcW w:w="423" w:type="pct"/>
                  <w:tcBorders>
                    <w:tl2br w:val="nil"/>
                    <w:tr2bl w:val="nil"/>
                  </w:tcBorders>
                  <w:shd w:val="clear" w:color="auto" w:fill="auto"/>
                  <w:tcMar>
                    <w:top w:w="150" w:type="dxa"/>
                    <w:left w:w="150" w:type="dxa"/>
                    <w:bottom w:w="150" w:type="dxa"/>
                    <w:right w:w="150" w:type="dxa"/>
                  </w:tcMar>
                  <w:vAlign w:val="center"/>
                </w:tcPr>
                <w:p w14:paraId="4E11C624">
                  <w:pPr>
                    <w:keepNext w:val="0"/>
                    <w:keepLines w:val="0"/>
                    <w:widowControl/>
                    <w:suppressLineNumbers w:val="0"/>
                    <w:spacing w:line="240" w:lineRule="auto"/>
                    <w:jc w:val="center"/>
                    <w:rPr>
                      <w:rFonts w:hint="default" w:ascii="Times New Roman" w:hAnsi="Times New Roman" w:eastAsia="宋体" w:cs="Times New Roman"/>
                      <w:i w:val="0"/>
                      <w:iCs w:val="0"/>
                      <w:caps w:val="0"/>
                      <w:color w:val="FF0000"/>
                      <w:spacing w:val="0"/>
                      <w:sz w:val="21"/>
                      <w:szCs w:val="21"/>
                    </w:rPr>
                  </w:pPr>
                  <w:r>
                    <w:rPr>
                      <w:rFonts w:hint="default" w:ascii="Times New Roman" w:hAnsi="Times New Roman" w:eastAsia="宋体" w:cs="Times New Roman"/>
                      <w:i w:val="0"/>
                      <w:iCs w:val="0"/>
                      <w:caps w:val="0"/>
                      <w:color w:val="FF0000"/>
                      <w:spacing w:val="0"/>
                      <w:kern w:val="0"/>
                      <w:sz w:val="21"/>
                      <w:szCs w:val="21"/>
                      <w:lang w:val="en-US" w:eastAsia="zh-CN" w:bidi="ar"/>
                    </w:rPr>
                    <w:t>台</w:t>
                  </w:r>
                </w:p>
              </w:tc>
              <w:tc>
                <w:tcPr>
                  <w:tcW w:w="425" w:type="pct"/>
                  <w:tcBorders>
                    <w:tl2br w:val="nil"/>
                    <w:tr2bl w:val="nil"/>
                  </w:tcBorders>
                  <w:shd w:val="clear" w:color="auto" w:fill="auto"/>
                  <w:tcMar>
                    <w:top w:w="150" w:type="dxa"/>
                    <w:left w:w="150" w:type="dxa"/>
                    <w:bottom w:w="150" w:type="dxa"/>
                    <w:right w:w="150" w:type="dxa"/>
                  </w:tcMar>
                  <w:vAlign w:val="center"/>
                </w:tcPr>
                <w:p w14:paraId="6976732A">
                  <w:pPr>
                    <w:keepNext w:val="0"/>
                    <w:keepLines w:val="0"/>
                    <w:widowControl/>
                    <w:suppressLineNumbers w:val="0"/>
                    <w:spacing w:line="240" w:lineRule="auto"/>
                    <w:jc w:val="center"/>
                    <w:rPr>
                      <w:rFonts w:hint="default" w:ascii="Times New Roman" w:hAnsi="Times New Roman" w:eastAsia="宋体" w:cs="Times New Roman"/>
                      <w:i w:val="0"/>
                      <w:iCs w:val="0"/>
                      <w:caps w:val="0"/>
                      <w:color w:val="FF0000"/>
                      <w:spacing w:val="0"/>
                      <w:sz w:val="21"/>
                      <w:szCs w:val="21"/>
                    </w:rPr>
                  </w:pPr>
                  <w:r>
                    <w:rPr>
                      <w:rFonts w:hint="default" w:ascii="Times New Roman" w:hAnsi="Times New Roman" w:eastAsia="宋体" w:cs="Times New Roman"/>
                      <w:i w:val="0"/>
                      <w:iCs w:val="0"/>
                      <w:caps w:val="0"/>
                      <w:color w:val="FF0000"/>
                      <w:spacing w:val="0"/>
                      <w:kern w:val="0"/>
                      <w:sz w:val="21"/>
                      <w:szCs w:val="21"/>
                      <w:lang w:val="en-US" w:eastAsia="zh-CN" w:bidi="ar"/>
                    </w:rPr>
                    <w:t>2</w:t>
                  </w:r>
                </w:p>
              </w:tc>
            </w:tr>
            <w:tr w14:paraId="1BFF7E3D">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shd w:val="clear" w:color="auto" w:fill="auto"/>
                <w:tblCellMar>
                  <w:top w:w="15" w:type="dxa"/>
                  <w:left w:w="15" w:type="dxa"/>
                  <w:bottom w:w="15" w:type="dxa"/>
                  <w:right w:w="15" w:type="dxa"/>
                </w:tblCellMar>
              </w:tblPrEx>
              <w:trPr>
                <w:trHeight w:val="23" w:hRule="atLeast"/>
                <w:tblHeader/>
              </w:trPr>
              <w:tc>
                <w:tcPr>
                  <w:tcW w:w="391" w:type="pct"/>
                  <w:tcBorders>
                    <w:tl2br w:val="nil"/>
                    <w:tr2bl w:val="nil"/>
                  </w:tcBorders>
                  <w:shd w:val="clear" w:color="auto" w:fill="auto"/>
                  <w:tcMar>
                    <w:top w:w="150" w:type="dxa"/>
                    <w:left w:w="0" w:type="dxa"/>
                    <w:bottom w:w="150" w:type="dxa"/>
                    <w:right w:w="150" w:type="dxa"/>
                  </w:tcMar>
                  <w:vAlign w:val="center"/>
                </w:tcPr>
                <w:p w14:paraId="66E172D1">
                  <w:pPr>
                    <w:keepNext w:val="0"/>
                    <w:keepLines w:val="0"/>
                    <w:widowControl/>
                    <w:suppressLineNumbers w:val="0"/>
                    <w:spacing w:line="240" w:lineRule="auto"/>
                    <w:jc w:val="center"/>
                    <w:rPr>
                      <w:rFonts w:hint="default" w:ascii="Times New Roman" w:hAnsi="Times New Roman" w:eastAsia="宋体" w:cs="Times New Roman"/>
                      <w:i w:val="0"/>
                      <w:iCs w:val="0"/>
                      <w:caps w:val="0"/>
                      <w:color w:val="FF0000"/>
                      <w:spacing w:val="0"/>
                      <w:kern w:val="2"/>
                      <w:sz w:val="21"/>
                      <w:szCs w:val="21"/>
                      <w:lang w:val="en-US" w:eastAsia="zh-CN" w:bidi="ar-SA"/>
                    </w:rPr>
                  </w:pPr>
                  <w:r>
                    <w:rPr>
                      <w:rFonts w:hint="default" w:ascii="Times New Roman" w:hAnsi="Times New Roman" w:eastAsia="宋体" w:cs="Times New Roman"/>
                      <w:i w:val="0"/>
                      <w:iCs w:val="0"/>
                      <w:caps w:val="0"/>
                      <w:color w:val="FF0000"/>
                      <w:spacing w:val="0"/>
                      <w:kern w:val="0"/>
                      <w:sz w:val="21"/>
                      <w:szCs w:val="21"/>
                      <w:lang w:val="en-US" w:eastAsia="zh-CN" w:bidi="ar"/>
                    </w:rPr>
                    <w:t>29</w:t>
                  </w:r>
                </w:p>
              </w:tc>
              <w:tc>
                <w:tcPr>
                  <w:tcW w:w="945" w:type="pct"/>
                  <w:tcBorders>
                    <w:tl2br w:val="nil"/>
                    <w:tr2bl w:val="nil"/>
                  </w:tcBorders>
                  <w:shd w:val="clear" w:color="auto" w:fill="auto"/>
                  <w:tcMar>
                    <w:top w:w="150" w:type="dxa"/>
                    <w:left w:w="150" w:type="dxa"/>
                    <w:bottom w:w="150" w:type="dxa"/>
                    <w:right w:w="150" w:type="dxa"/>
                  </w:tcMar>
                  <w:vAlign w:val="center"/>
                </w:tcPr>
                <w:p w14:paraId="254D78A6">
                  <w:pPr>
                    <w:keepNext w:val="0"/>
                    <w:keepLines w:val="0"/>
                    <w:widowControl/>
                    <w:suppressLineNumbers w:val="0"/>
                    <w:spacing w:line="240" w:lineRule="auto"/>
                    <w:jc w:val="center"/>
                    <w:rPr>
                      <w:rFonts w:hint="default" w:ascii="Times New Roman" w:hAnsi="Times New Roman" w:eastAsia="宋体" w:cs="Times New Roman"/>
                      <w:i w:val="0"/>
                      <w:iCs w:val="0"/>
                      <w:caps w:val="0"/>
                      <w:color w:val="FF0000"/>
                      <w:spacing w:val="0"/>
                      <w:sz w:val="21"/>
                      <w:szCs w:val="21"/>
                    </w:rPr>
                  </w:pPr>
                  <w:r>
                    <w:rPr>
                      <w:rStyle w:val="37"/>
                      <w:rFonts w:hint="default" w:ascii="Times New Roman" w:hAnsi="Times New Roman" w:eastAsia="宋体" w:cs="Times New Roman"/>
                      <w:b/>
                      <w:bCs/>
                      <w:i w:val="0"/>
                      <w:iCs w:val="0"/>
                      <w:caps w:val="0"/>
                      <w:color w:val="FF0000"/>
                      <w:spacing w:val="0"/>
                      <w:kern w:val="0"/>
                      <w:sz w:val="21"/>
                      <w:szCs w:val="21"/>
                      <w:lang w:val="en-US" w:eastAsia="zh-CN" w:bidi="ar"/>
                    </w:rPr>
                    <w:t>辅助系统</w:t>
                  </w:r>
                </w:p>
              </w:tc>
              <w:tc>
                <w:tcPr>
                  <w:tcW w:w="1593" w:type="pct"/>
                  <w:tcBorders>
                    <w:tl2br w:val="nil"/>
                    <w:tr2bl w:val="nil"/>
                  </w:tcBorders>
                  <w:shd w:val="clear" w:color="auto" w:fill="auto"/>
                  <w:tcMar>
                    <w:top w:w="150" w:type="dxa"/>
                    <w:left w:w="150" w:type="dxa"/>
                    <w:bottom w:w="150" w:type="dxa"/>
                    <w:right w:w="150" w:type="dxa"/>
                  </w:tcMar>
                  <w:vAlign w:val="center"/>
                </w:tcPr>
                <w:p w14:paraId="793A987C">
                  <w:pPr>
                    <w:keepNext w:val="0"/>
                    <w:keepLines w:val="0"/>
                    <w:widowControl/>
                    <w:suppressLineNumbers w:val="0"/>
                    <w:spacing w:line="240" w:lineRule="auto"/>
                    <w:jc w:val="center"/>
                    <w:rPr>
                      <w:rFonts w:hint="default" w:ascii="Times New Roman" w:hAnsi="Times New Roman" w:eastAsia="宋体" w:cs="Times New Roman"/>
                      <w:i w:val="0"/>
                      <w:iCs w:val="0"/>
                      <w:caps w:val="0"/>
                      <w:color w:val="FF0000"/>
                      <w:spacing w:val="0"/>
                      <w:sz w:val="21"/>
                      <w:szCs w:val="21"/>
                    </w:rPr>
                  </w:pPr>
                  <w:r>
                    <w:rPr>
                      <w:rFonts w:hint="default" w:ascii="Times New Roman" w:hAnsi="Times New Roman" w:eastAsia="宋体" w:cs="Times New Roman"/>
                      <w:i w:val="0"/>
                      <w:iCs w:val="0"/>
                      <w:caps w:val="0"/>
                      <w:color w:val="FF0000"/>
                      <w:spacing w:val="0"/>
                      <w:kern w:val="0"/>
                      <w:sz w:val="21"/>
                      <w:szCs w:val="21"/>
                      <w:lang w:val="en-US" w:eastAsia="zh-CN" w:bidi="ar"/>
                    </w:rPr>
                    <w:t>空压机系统</w:t>
                  </w:r>
                </w:p>
              </w:tc>
              <w:tc>
                <w:tcPr>
                  <w:tcW w:w="1220" w:type="pct"/>
                  <w:tcBorders>
                    <w:tl2br w:val="nil"/>
                    <w:tr2bl w:val="nil"/>
                  </w:tcBorders>
                  <w:shd w:val="clear" w:color="auto" w:fill="auto"/>
                  <w:tcMar>
                    <w:top w:w="150" w:type="dxa"/>
                    <w:left w:w="150" w:type="dxa"/>
                    <w:bottom w:w="150" w:type="dxa"/>
                    <w:right w:w="150" w:type="dxa"/>
                  </w:tcMar>
                  <w:vAlign w:val="center"/>
                </w:tcPr>
                <w:p w14:paraId="69250B17">
                  <w:pPr>
                    <w:keepNext w:val="0"/>
                    <w:keepLines w:val="0"/>
                    <w:widowControl/>
                    <w:suppressLineNumbers w:val="0"/>
                    <w:spacing w:line="240" w:lineRule="auto"/>
                    <w:jc w:val="center"/>
                    <w:rPr>
                      <w:rFonts w:hint="default" w:ascii="Times New Roman" w:hAnsi="Times New Roman" w:eastAsia="宋体" w:cs="Times New Roman"/>
                      <w:i w:val="0"/>
                      <w:iCs w:val="0"/>
                      <w:caps w:val="0"/>
                      <w:color w:val="FF0000"/>
                      <w:spacing w:val="0"/>
                      <w:sz w:val="21"/>
                      <w:szCs w:val="21"/>
                    </w:rPr>
                  </w:pPr>
                  <w:r>
                    <w:rPr>
                      <w:rFonts w:hint="default" w:ascii="Times New Roman" w:hAnsi="Times New Roman" w:eastAsia="宋体" w:cs="Times New Roman"/>
                      <w:i w:val="0"/>
                      <w:iCs w:val="0"/>
                      <w:caps w:val="0"/>
                      <w:color w:val="FF0000"/>
                      <w:spacing w:val="0"/>
                      <w:kern w:val="0"/>
                      <w:sz w:val="21"/>
                      <w:szCs w:val="21"/>
                      <w:lang w:val="en-US" w:eastAsia="zh-CN" w:bidi="ar"/>
                    </w:rPr>
                    <w:t>/</w:t>
                  </w:r>
                </w:p>
              </w:tc>
              <w:tc>
                <w:tcPr>
                  <w:tcW w:w="423" w:type="pct"/>
                  <w:tcBorders>
                    <w:tl2br w:val="nil"/>
                    <w:tr2bl w:val="nil"/>
                  </w:tcBorders>
                  <w:shd w:val="clear" w:color="auto" w:fill="auto"/>
                  <w:tcMar>
                    <w:top w:w="150" w:type="dxa"/>
                    <w:left w:w="150" w:type="dxa"/>
                    <w:bottom w:w="150" w:type="dxa"/>
                    <w:right w:w="150" w:type="dxa"/>
                  </w:tcMar>
                  <w:vAlign w:val="center"/>
                </w:tcPr>
                <w:p w14:paraId="1D4641D3">
                  <w:pPr>
                    <w:keepNext w:val="0"/>
                    <w:keepLines w:val="0"/>
                    <w:widowControl/>
                    <w:suppressLineNumbers w:val="0"/>
                    <w:spacing w:line="240" w:lineRule="auto"/>
                    <w:jc w:val="center"/>
                    <w:rPr>
                      <w:rFonts w:hint="default" w:ascii="Times New Roman" w:hAnsi="Times New Roman" w:eastAsia="宋体" w:cs="Times New Roman"/>
                      <w:i w:val="0"/>
                      <w:iCs w:val="0"/>
                      <w:caps w:val="0"/>
                      <w:color w:val="FF0000"/>
                      <w:spacing w:val="0"/>
                      <w:sz w:val="21"/>
                      <w:szCs w:val="21"/>
                    </w:rPr>
                  </w:pPr>
                  <w:r>
                    <w:rPr>
                      <w:rFonts w:hint="default" w:ascii="Times New Roman" w:hAnsi="Times New Roman" w:eastAsia="宋体" w:cs="Times New Roman"/>
                      <w:i w:val="0"/>
                      <w:iCs w:val="0"/>
                      <w:caps w:val="0"/>
                      <w:color w:val="FF0000"/>
                      <w:spacing w:val="0"/>
                      <w:kern w:val="0"/>
                      <w:sz w:val="21"/>
                      <w:szCs w:val="21"/>
                      <w:lang w:val="en-US" w:eastAsia="zh-CN" w:bidi="ar"/>
                    </w:rPr>
                    <w:t>台</w:t>
                  </w:r>
                </w:p>
              </w:tc>
              <w:tc>
                <w:tcPr>
                  <w:tcW w:w="425" w:type="pct"/>
                  <w:tcBorders>
                    <w:tl2br w:val="nil"/>
                    <w:tr2bl w:val="nil"/>
                  </w:tcBorders>
                  <w:shd w:val="clear" w:color="auto" w:fill="auto"/>
                  <w:tcMar>
                    <w:top w:w="150" w:type="dxa"/>
                    <w:left w:w="150" w:type="dxa"/>
                    <w:bottom w:w="150" w:type="dxa"/>
                    <w:right w:w="150" w:type="dxa"/>
                  </w:tcMar>
                  <w:vAlign w:val="center"/>
                </w:tcPr>
                <w:p w14:paraId="7F043D9B">
                  <w:pPr>
                    <w:keepNext w:val="0"/>
                    <w:keepLines w:val="0"/>
                    <w:widowControl/>
                    <w:suppressLineNumbers w:val="0"/>
                    <w:spacing w:line="240" w:lineRule="auto"/>
                    <w:jc w:val="center"/>
                    <w:rPr>
                      <w:rFonts w:hint="default" w:ascii="Times New Roman" w:hAnsi="Times New Roman" w:eastAsia="宋体" w:cs="Times New Roman"/>
                      <w:i w:val="0"/>
                      <w:iCs w:val="0"/>
                      <w:caps w:val="0"/>
                      <w:color w:val="FF0000"/>
                      <w:spacing w:val="0"/>
                      <w:sz w:val="21"/>
                      <w:szCs w:val="21"/>
                    </w:rPr>
                  </w:pPr>
                  <w:r>
                    <w:rPr>
                      <w:rFonts w:hint="default" w:ascii="Times New Roman" w:hAnsi="Times New Roman" w:eastAsia="宋体" w:cs="Times New Roman"/>
                      <w:i w:val="0"/>
                      <w:iCs w:val="0"/>
                      <w:caps w:val="0"/>
                      <w:color w:val="FF0000"/>
                      <w:spacing w:val="0"/>
                      <w:kern w:val="0"/>
                      <w:sz w:val="21"/>
                      <w:szCs w:val="21"/>
                      <w:lang w:val="en-US" w:eastAsia="zh-CN" w:bidi="ar"/>
                    </w:rPr>
                    <w:t>4</w:t>
                  </w:r>
                </w:p>
              </w:tc>
            </w:tr>
            <w:tr w14:paraId="34CD5F2E">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shd w:val="clear" w:color="auto" w:fill="auto"/>
                <w:tblCellMar>
                  <w:top w:w="15" w:type="dxa"/>
                  <w:left w:w="15" w:type="dxa"/>
                  <w:bottom w:w="15" w:type="dxa"/>
                  <w:right w:w="15" w:type="dxa"/>
                </w:tblCellMar>
              </w:tblPrEx>
              <w:trPr>
                <w:trHeight w:val="23" w:hRule="atLeast"/>
                <w:tblHeader/>
              </w:trPr>
              <w:tc>
                <w:tcPr>
                  <w:tcW w:w="391" w:type="pct"/>
                  <w:tcBorders>
                    <w:tl2br w:val="nil"/>
                    <w:tr2bl w:val="nil"/>
                  </w:tcBorders>
                  <w:shd w:val="clear" w:color="auto" w:fill="auto"/>
                  <w:tcMar>
                    <w:top w:w="150" w:type="dxa"/>
                    <w:left w:w="0" w:type="dxa"/>
                    <w:bottom w:w="150" w:type="dxa"/>
                    <w:right w:w="150" w:type="dxa"/>
                  </w:tcMar>
                  <w:vAlign w:val="center"/>
                </w:tcPr>
                <w:p w14:paraId="0D488EEA">
                  <w:pPr>
                    <w:keepNext w:val="0"/>
                    <w:keepLines w:val="0"/>
                    <w:widowControl/>
                    <w:suppressLineNumbers w:val="0"/>
                    <w:spacing w:line="240" w:lineRule="auto"/>
                    <w:jc w:val="center"/>
                    <w:rPr>
                      <w:rFonts w:hint="default" w:ascii="Times New Roman" w:hAnsi="Times New Roman" w:eastAsia="宋体" w:cs="Times New Roman"/>
                      <w:i w:val="0"/>
                      <w:iCs w:val="0"/>
                      <w:caps w:val="0"/>
                      <w:color w:val="FF0000"/>
                      <w:spacing w:val="0"/>
                      <w:kern w:val="2"/>
                      <w:sz w:val="21"/>
                      <w:szCs w:val="21"/>
                      <w:lang w:val="en-US" w:eastAsia="zh-CN" w:bidi="ar-SA"/>
                    </w:rPr>
                  </w:pPr>
                  <w:r>
                    <w:rPr>
                      <w:rFonts w:hint="default" w:ascii="Times New Roman" w:hAnsi="Times New Roman" w:eastAsia="宋体" w:cs="Times New Roman"/>
                      <w:i w:val="0"/>
                      <w:iCs w:val="0"/>
                      <w:caps w:val="0"/>
                      <w:color w:val="FF0000"/>
                      <w:spacing w:val="0"/>
                      <w:kern w:val="0"/>
                      <w:sz w:val="21"/>
                      <w:szCs w:val="21"/>
                      <w:lang w:val="en-US" w:eastAsia="zh-CN" w:bidi="ar"/>
                    </w:rPr>
                    <w:t>30</w:t>
                  </w:r>
                </w:p>
              </w:tc>
              <w:tc>
                <w:tcPr>
                  <w:tcW w:w="945" w:type="pct"/>
                  <w:tcBorders>
                    <w:tl2br w:val="nil"/>
                    <w:tr2bl w:val="nil"/>
                  </w:tcBorders>
                  <w:shd w:val="clear" w:color="auto" w:fill="auto"/>
                  <w:tcMar>
                    <w:top w:w="150" w:type="dxa"/>
                    <w:left w:w="150" w:type="dxa"/>
                    <w:bottom w:w="150" w:type="dxa"/>
                    <w:right w:w="150" w:type="dxa"/>
                  </w:tcMar>
                  <w:vAlign w:val="center"/>
                </w:tcPr>
                <w:p w14:paraId="3254D8FA">
                  <w:pPr>
                    <w:spacing w:line="240" w:lineRule="auto"/>
                    <w:jc w:val="center"/>
                    <w:rPr>
                      <w:rFonts w:hint="default" w:ascii="Times New Roman" w:hAnsi="Times New Roman" w:eastAsia="宋体" w:cs="Times New Roman"/>
                      <w:i w:val="0"/>
                      <w:iCs w:val="0"/>
                      <w:caps w:val="0"/>
                      <w:color w:val="FF0000"/>
                      <w:spacing w:val="0"/>
                      <w:sz w:val="21"/>
                      <w:szCs w:val="21"/>
                    </w:rPr>
                  </w:pPr>
                </w:p>
              </w:tc>
              <w:tc>
                <w:tcPr>
                  <w:tcW w:w="1593" w:type="pct"/>
                  <w:tcBorders>
                    <w:tl2br w:val="nil"/>
                    <w:tr2bl w:val="nil"/>
                  </w:tcBorders>
                  <w:shd w:val="clear" w:color="auto" w:fill="auto"/>
                  <w:tcMar>
                    <w:top w:w="150" w:type="dxa"/>
                    <w:left w:w="150" w:type="dxa"/>
                    <w:bottom w:w="150" w:type="dxa"/>
                    <w:right w:w="150" w:type="dxa"/>
                  </w:tcMar>
                  <w:vAlign w:val="center"/>
                </w:tcPr>
                <w:p w14:paraId="1DEED145">
                  <w:pPr>
                    <w:keepNext w:val="0"/>
                    <w:keepLines w:val="0"/>
                    <w:widowControl/>
                    <w:suppressLineNumbers w:val="0"/>
                    <w:spacing w:line="240" w:lineRule="auto"/>
                    <w:jc w:val="center"/>
                    <w:rPr>
                      <w:rFonts w:hint="default" w:ascii="Times New Roman" w:hAnsi="Times New Roman" w:eastAsia="宋体" w:cs="Times New Roman"/>
                      <w:i w:val="0"/>
                      <w:iCs w:val="0"/>
                      <w:caps w:val="0"/>
                      <w:color w:val="FF0000"/>
                      <w:spacing w:val="0"/>
                      <w:sz w:val="21"/>
                      <w:szCs w:val="21"/>
                      <w:lang w:val="en-US" w:eastAsia="zh-CN"/>
                    </w:rPr>
                  </w:pPr>
                  <w:r>
                    <w:rPr>
                      <w:rFonts w:hint="eastAsia" w:cs="Times New Roman"/>
                      <w:i w:val="0"/>
                      <w:iCs w:val="0"/>
                      <w:caps w:val="0"/>
                      <w:color w:val="FF0000"/>
                      <w:spacing w:val="0"/>
                      <w:sz w:val="21"/>
                      <w:szCs w:val="21"/>
                      <w:lang w:val="en-US" w:eastAsia="zh-CN"/>
                    </w:rPr>
                    <w:t>危废暂存桶</w:t>
                  </w:r>
                </w:p>
              </w:tc>
              <w:tc>
                <w:tcPr>
                  <w:tcW w:w="1220" w:type="pct"/>
                  <w:tcBorders>
                    <w:tl2br w:val="nil"/>
                    <w:tr2bl w:val="nil"/>
                  </w:tcBorders>
                  <w:shd w:val="clear" w:color="auto" w:fill="auto"/>
                  <w:tcMar>
                    <w:top w:w="150" w:type="dxa"/>
                    <w:left w:w="150" w:type="dxa"/>
                    <w:bottom w:w="150" w:type="dxa"/>
                    <w:right w:w="150" w:type="dxa"/>
                  </w:tcMar>
                  <w:vAlign w:val="center"/>
                </w:tcPr>
                <w:p w14:paraId="7902F358">
                  <w:pPr>
                    <w:keepNext w:val="0"/>
                    <w:keepLines w:val="0"/>
                    <w:widowControl/>
                    <w:suppressLineNumbers w:val="0"/>
                    <w:spacing w:line="240" w:lineRule="auto"/>
                    <w:jc w:val="center"/>
                    <w:rPr>
                      <w:rFonts w:hint="default" w:ascii="Times New Roman" w:hAnsi="Times New Roman" w:eastAsia="宋体" w:cs="Times New Roman"/>
                      <w:i w:val="0"/>
                      <w:iCs w:val="0"/>
                      <w:caps w:val="0"/>
                      <w:color w:val="FF0000"/>
                      <w:spacing w:val="0"/>
                      <w:sz w:val="21"/>
                      <w:szCs w:val="21"/>
                    </w:rPr>
                  </w:pPr>
                  <w:r>
                    <w:rPr>
                      <w:rFonts w:hint="default" w:ascii="Times New Roman" w:hAnsi="Times New Roman" w:eastAsia="宋体" w:cs="Times New Roman"/>
                      <w:i w:val="0"/>
                      <w:iCs w:val="0"/>
                      <w:caps w:val="0"/>
                      <w:color w:val="FF0000"/>
                      <w:spacing w:val="0"/>
                      <w:kern w:val="0"/>
                      <w:sz w:val="21"/>
                      <w:szCs w:val="21"/>
                      <w:lang w:val="en-US" w:eastAsia="zh-CN" w:bidi="ar"/>
                    </w:rPr>
                    <w:t>塑料箱</w:t>
                  </w:r>
                </w:p>
              </w:tc>
              <w:tc>
                <w:tcPr>
                  <w:tcW w:w="423" w:type="pct"/>
                  <w:tcBorders>
                    <w:tl2br w:val="nil"/>
                    <w:tr2bl w:val="nil"/>
                  </w:tcBorders>
                  <w:shd w:val="clear" w:color="auto" w:fill="auto"/>
                  <w:tcMar>
                    <w:top w:w="150" w:type="dxa"/>
                    <w:left w:w="150" w:type="dxa"/>
                    <w:bottom w:w="150" w:type="dxa"/>
                    <w:right w:w="150" w:type="dxa"/>
                  </w:tcMar>
                  <w:vAlign w:val="center"/>
                </w:tcPr>
                <w:p w14:paraId="12F46F2B">
                  <w:pPr>
                    <w:keepNext w:val="0"/>
                    <w:keepLines w:val="0"/>
                    <w:widowControl/>
                    <w:suppressLineNumbers w:val="0"/>
                    <w:spacing w:line="240" w:lineRule="auto"/>
                    <w:jc w:val="center"/>
                    <w:rPr>
                      <w:rFonts w:hint="default" w:ascii="Times New Roman" w:hAnsi="Times New Roman" w:eastAsia="宋体" w:cs="Times New Roman"/>
                      <w:i w:val="0"/>
                      <w:iCs w:val="0"/>
                      <w:caps w:val="0"/>
                      <w:color w:val="FF0000"/>
                      <w:spacing w:val="0"/>
                      <w:sz w:val="21"/>
                      <w:szCs w:val="21"/>
                    </w:rPr>
                  </w:pPr>
                  <w:r>
                    <w:rPr>
                      <w:rFonts w:hint="default" w:ascii="Times New Roman" w:hAnsi="Times New Roman" w:eastAsia="宋体" w:cs="Times New Roman"/>
                      <w:i w:val="0"/>
                      <w:iCs w:val="0"/>
                      <w:caps w:val="0"/>
                      <w:color w:val="FF0000"/>
                      <w:spacing w:val="0"/>
                      <w:kern w:val="0"/>
                      <w:sz w:val="21"/>
                      <w:szCs w:val="21"/>
                      <w:lang w:val="en-US" w:eastAsia="zh-CN" w:bidi="ar"/>
                    </w:rPr>
                    <w:t>个</w:t>
                  </w:r>
                </w:p>
              </w:tc>
              <w:tc>
                <w:tcPr>
                  <w:tcW w:w="425" w:type="pct"/>
                  <w:tcBorders>
                    <w:tl2br w:val="nil"/>
                    <w:tr2bl w:val="nil"/>
                  </w:tcBorders>
                  <w:shd w:val="clear" w:color="auto" w:fill="auto"/>
                  <w:tcMar>
                    <w:top w:w="150" w:type="dxa"/>
                    <w:left w:w="150" w:type="dxa"/>
                    <w:bottom w:w="150" w:type="dxa"/>
                    <w:right w:w="150" w:type="dxa"/>
                  </w:tcMar>
                  <w:vAlign w:val="center"/>
                </w:tcPr>
                <w:p w14:paraId="21245E3D">
                  <w:pPr>
                    <w:keepNext w:val="0"/>
                    <w:keepLines w:val="0"/>
                    <w:widowControl/>
                    <w:suppressLineNumbers w:val="0"/>
                    <w:spacing w:line="240" w:lineRule="auto"/>
                    <w:jc w:val="center"/>
                    <w:rPr>
                      <w:rFonts w:hint="default" w:ascii="Times New Roman" w:hAnsi="Times New Roman" w:eastAsia="宋体" w:cs="Times New Roman"/>
                      <w:i w:val="0"/>
                      <w:iCs w:val="0"/>
                      <w:caps w:val="0"/>
                      <w:color w:val="FF0000"/>
                      <w:spacing w:val="0"/>
                      <w:sz w:val="21"/>
                      <w:szCs w:val="21"/>
                    </w:rPr>
                  </w:pPr>
                  <w:r>
                    <w:rPr>
                      <w:rFonts w:hint="default" w:ascii="Times New Roman" w:hAnsi="Times New Roman" w:eastAsia="宋体" w:cs="Times New Roman"/>
                      <w:i w:val="0"/>
                      <w:iCs w:val="0"/>
                      <w:caps w:val="0"/>
                      <w:color w:val="FF0000"/>
                      <w:spacing w:val="0"/>
                      <w:kern w:val="0"/>
                      <w:sz w:val="21"/>
                      <w:szCs w:val="21"/>
                      <w:lang w:val="en-US" w:eastAsia="zh-CN" w:bidi="ar"/>
                    </w:rPr>
                    <w:t>30</w:t>
                  </w:r>
                </w:p>
              </w:tc>
            </w:tr>
            <w:tr w14:paraId="4DEB603D">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shd w:val="clear" w:color="auto" w:fill="auto"/>
                <w:tblCellMar>
                  <w:top w:w="15" w:type="dxa"/>
                  <w:left w:w="15" w:type="dxa"/>
                  <w:bottom w:w="15" w:type="dxa"/>
                  <w:right w:w="15" w:type="dxa"/>
                </w:tblCellMar>
              </w:tblPrEx>
              <w:trPr>
                <w:trHeight w:val="23" w:hRule="atLeast"/>
                <w:tblHeader/>
              </w:trPr>
              <w:tc>
                <w:tcPr>
                  <w:tcW w:w="391" w:type="pct"/>
                  <w:tcBorders>
                    <w:tl2br w:val="nil"/>
                    <w:tr2bl w:val="nil"/>
                  </w:tcBorders>
                  <w:shd w:val="clear" w:color="auto" w:fill="auto"/>
                  <w:tcMar>
                    <w:top w:w="150" w:type="dxa"/>
                    <w:left w:w="0" w:type="dxa"/>
                    <w:bottom w:w="150" w:type="dxa"/>
                    <w:right w:w="150" w:type="dxa"/>
                  </w:tcMar>
                  <w:vAlign w:val="center"/>
                </w:tcPr>
                <w:p w14:paraId="6A2D4D82">
                  <w:pPr>
                    <w:keepNext w:val="0"/>
                    <w:keepLines w:val="0"/>
                    <w:widowControl/>
                    <w:suppressLineNumbers w:val="0"/>
                    <w:spacing w:line="240" w:lineRule="auto"/>
                    <w:jc w:val="center"/>
                    <w:rPr>
                      <w:rFonts w:hint="default" w:ascii="Times New Roman" w:hAnsi="Times New Roman" w:eastAsia="宋体" w:cs="Times New Roman"/>
                      <w:i w:val="0"/>
                      <w:iCs w:val="0"/>
                      <w:caps w:val="0"/>
                      <w:color w:val="FF0000"/>
                      <w:spacing w:val="0"/>
                      <w:kern w:val="2"/>
                      <w:sz w:val="21"/>
                      <w:szCs w:val="21"/>
                      <w:lang w:val="en-US" w:eastAsia="zh-CN" w:bidi="ar-SA"/>
                    </w:rPr>
                  </w:pPr>
                  <w:r>
                    <w:rPr>
                      <w:rFonts w:hint="default" w:ascii="Times New Roman" w:hAnsi="Times New Roman" w:eastAsia="宋体" w:cs="Times New Roman"/>
                      <w:i w:val="0"/>
                      <w:iCs w:val="0"/>
                      <w:caps w:val="0"/>
                      <w:color w:val="FF0000"/>
                      <w:spacing w:val="0"/>
                      <w:kern w:val="0"/>
                      <w:sz w:val="21"/>
                      <w:szCs w:val="21"/>
                      <w:lang w:val="en-US" w:eastAsia="zh-CN" w:bidi="ar"/>
                    </w:rPr>
                    <w:t>31</w:t>
                  </w:r>
                </w:p>
              </w:tc>
              <w:tc>
                <w:tcPr>
                  <w:tcW w:w="945" w:type="pct"/>
                  <w:tcBorders>
                    <w:tl2br w:val="nil"/>
                    <w:tr2bl w:val="nil"/>
                  </w:tcBorders>
                  <w:shd w:val="clear" w:color="auto" w:fill="auto"/>
                  <w:tcMar>
                    <w:top w:w="150" w:type="dxa"/>
                    <w:left w:w="150" w:type="dxa"/>
                    <w:bottom w:w="150" w:type="dxa"/>
                    <w:right w:w="150" w:type="dxa"/>
                  </w:tcMar>
                  <w:vAlign w:val="center"/>
                </w:tcPr>
                <w:p w14:paraId="755FA831">
                  <w:pPr>
                    <w:keepNext w:val="0"/>
                    <w:keepLines w:val="0"/>
                    <w:widowControl/>
                    <w:suppressLineNumbers w:val="0"/>
                    <w:spacing w:line="240" w:lineRule="auto"/>
                    <w:jc w:val="center"/>
                    <w:rPr>
                      <w:rFonts w:hint="default" w:ascii="Times New Roman" w:hAnsi="Times New Roman" w:eastAsia="宋体" w:cs="Times New Roman"/>
                      <w:i w:val="0"/>
                      <w:iCs w:val="0"/>
                      <w:caps w:val="0"/>
                      <w:color w:val="FF0000"/>
                      <w:spacing w:val="0"/>
                      <w:sz w:val="21"/>
                      <w:szCs w:val="21"/>
                    </w:rPr>
                  </w:pPr>
                  <w:r>
                    <w:rPr>
                      <w:rStyle w:val="37"/>
                      <w:rFonts w:hint="default" w:ascii="Times New Roman" w:hAnsi="Times New Roman" w:eastAsia="宋体" w:cs="Times New Roman"/>
                      <w:b/>
                      <w:bCs/>
                      <w:i w:val="0"/>
                      <w:iCs w:val="0"/>
                      <w:caps w:val="0"/>
                      <w:color w:val="FF0000"/>
                      <w:spacing w:val="0"/>
                      <w:kern w:val="0"/>
                      <w:sz w:val="21"/>
                      <w:szCs w:val="21"/>
                      <w:lang w:val="en-US" w:eastAsia="zh-CN" w:bidi="ar"/>
                    </w:rPr>
                    <w:t>环保处理设备</w:t>
                  </w:r>
                </w:p>
              </w:tc>
              <w:tc>
                <w:tcPr>
                  <w:tcW w:w="1593" w:type="pct"/>
                  <w:tcBorders>
                    <w:tl2br w:val="nil"/>
                    <w:tr2bl w:val="nil"/>
                  </w:tcBorders>
                  <w:shd w:val="clear" w:color="auto" w:fill="auto"/>
                  <w:tcMar>
                    <w:top w:w="150" w:type="dxa"/>
                    <w:left w:w="150" w:type="dxa"/>
                    <w:bottom w:w="150" w:type="dxa"/>
                    <w:right w:w="150" w:type="dxa"/>
                  </w:tcMar>
                  <w:vAlign w:val="center"/>
                </w:tcPr>
                <w:p w14:paraId="0A66FCF1">
                  <w:pPr>
                    <w:keepNext w:val="0"/>
                    <w:keepLines w:val="0"/>
                    <w:widowControl/>
                    <w:suppressLineNumbers w:val="0"/>
                    <w:spacing w:line="240" w:lineRule="auto"/>
                    <w:jc w:val="center"/>
                    <w:rPr>
                      <w:rFonts w:hint="default" w:ascii="Times New Roman" w:hAnsi="Times New Roman" w:eastAsia="宋体" w:cs="Times New Roman"/>
                      <w:i w:val="0"/>
                      <w:iCs w:val="0"/>
                      <w:caps w:val="0"/>
                      <w:color w:val="FF0000"/>
                      <w:spacing w:val="0"/>
                      <w:sz w:val="21"/>
                      <w:szCs w:val="21"/>
                    </w:rPr>
                  </w:pPr>
                  <w:r>
                    <w:rPr>
                      <w:rFonts w:hint="default" w:ascii="Times New Roman" w:hAnsi="Times New Roman" w:eastAsia="宋体" w:cs="Times New Roman"/>
                      <w:i w:val="0"/>
                      <w:iCs w:val="0"/>
                      <w:caps w:val="0"/>
                      <w:color w:val="FF0000"/>
                      <w:spacing w:val="0"/>
                      <w:kern w:val="0"/>
                      <w:sz w:val="21"/>
                      <w:szCs w:val="21"/>
                      <w:lang w:val="en-US" w:eastAsia="zh-CN" w:bidi="ar"/>
                    </w:rPr>
                    <w:t>袋式除尘器</w:t>
                  </w:r>
                </w:p>
              </w:tc>
              <w:tc>
                <w:tcPr>
                  <w:tcW w:w="1220" w:type="pct"/>
                  <w:tcBorders>
                    <w:tl2br w:val="nil"/>
                    <w:tr2bl w:val="nil"/>
                  </w:tcBorders>
                  <w:shd w:val="clear" w:color="auto" w:fill="auto"/>
                  <w:tcMar>
                    <w:top w:w="150" w:type="dxa"/>
                    <w:left w:w="150" w:type="dxa"/>
                    <w:bottom w:w="150" w:type="dxa"/>
                    <w:right w:w="150" w:type="dxa"/>
                  </w:tcMar>
                  <w:vAlign w:val="center"/>
                </w:tcPr>
                <w:p w14:paraId="3197CAD4">
                  <w:pPr>
                    <w:keepNext w:val="0"/>
                    <w:keepLines w:val="0"/>
                    <w:widowControl/>
                    <w:suppressLineNumbers w:val="0"/>
                    <w:spacing w:line="240" w:lineRule="auto"/>
                    <w:jc w:val="center"/>
                    <w:rPr>
                      <w:rFonts w:hint="default" w:ascii="Times New Roman" w:hAnsi="Times New Roman" w:eastAsia="宋体" w:cs="Times New Roman"/>
                      <w:i w:val="0"/>
                      <w:iCs w:val="0"/>
                      <w:caps w:val="0"/>
                      <w:color w:val="FF0000"/>
                      <w:spacing w:val="0"/>
                      <w:sz w:val="21"/>
                      <w:szCs w:val="21"/>
                    </w:rPr>
                  </w:pPr>
                  <w:r>
                    <w:rPr>
                      <w:rFonts w:hint="default" w:ascii="Times New Roman" w:hAnsi="Times New Roman" w:eastAsia="宋体" w:cs="Times New Roman"/>
                      <w:i w:val="0"/>
                      <w:iCs w:val="0"/>
                      <w:caps w:val="0"/>
                      <w:color w:val="FF0000"/>
                      <w:spacing w:val="0"/>
                      <w:kern w:val="0"/>
                      <w:sz w:val="21"/>
                      <w:szCs w:val="21"/>
                      <w:lang w:val="en-US" w:eastAsia="zh-CN" w:bidi="ar"/>
                    </w:rPr>
                    <w:t>/</w:t>
                  </w:r>
                </w:p>
              </w:tc>
              <w:tc>
                <w:tcPr>
                  <w:tcW w:w="423" w:type="pct"/>
                  <w:tcBorders>
                    <w:tl2br w:val="nil"/>
                    <w:tr2bl w:val="nil"/>
                  </w:tcBorders>
                  <w:shd w:val="clear" w:color="auto" w:fill="auto"/>
                  <w:tcMar>
                    <w:top w:w="150" w:type="dxa"/>
                    <w:left w:w="150" w:type="dxa"/>
                    <w:bottom w:w="150" w:type="dxa"/>
                    <w:right w:w="150" w:type="dxa"/>
                  </w:tcMar>
                  <w:vAlign w:val="center"/>
                </w:tcPr>
                <w:p w14:paraId="794EA90F">
                  <w:pPr>
                    <w:keepNext w:val="0"/>
                    <w:keepLines w:val="0"/>
                    <w:widowControl/>
                    <w:suppressLineNumbers w:val="0"/>
                    <w:spacing w:line="240" w:lineRule="auto"/>
                    <w:jc w:val="center"/>
                    <w:rPr>
                      <w:rFonts w:hint="default" w:ascii="Times New Roman" w:hAnsi="Times New Roman" w:eastAsia="宋体" w:cs="Times New Roman"/>
                      <w:i w:val="0"/>
                      <w:iCs w:val="0"/>
                      <w:caps w:val="0"/>
                      <w:color w:val="FF0000"/>
                      <w:spacing w:val="0"/>
                      <w:sz w:val="21"/>
                      <w:szCs w:val="21"/>
                    </w:rPr>
                  </w:pPr>
                  <w:r>
                    <w:rPr>
                      <w:rFonts w:hint="default" w:ascii="Times New Roman" w:hAnsi="Times New Roman" w:eastAsia="宋体" w:cs="Times New Roman"/>
                      <w:i w:val="0"/>
                      <w:iCs w:val="0"/>
                      <w:caps w:val="0"/>
                      <w:color w:val="FF0000"/>
                      <w:spacing w:val="0"/>
                      <w:kern w:val="0"/>
                      <w:sz w:val="21"/>
                      <w:szCs w:val="21"/>
                      <w:lang w:val="en-US" w:eastAsia="zh-CN" w:bidi="ar"/>
                    </w:rPr>
                    <w:t>套</w:t>
                  </w:r>
                </w:p>
              </w:tc>
              <w:tc>
                <w:tcPr>
                  <w:tcW w:w="425" w:type="pct"/>
                  <w:tcBorders>
                    <w:tl2br w:val="nil"/>
                    <w:tr2bl w:val="nil"/>
                  </w:tcBorders>
                  <w:shd w:val="clear" w:color="auto" w:fill="auto"/>
                  <w:tcMar>
                    <w:top w:w="150" w:type="dxa"/>
                    <w:left w:w="150" w:type="dxa"/>
                    <w:bottom w:w="150" w:type="dxa"/>
                    <w:right w:w="150" w:type="dxa"/>
                  </w:tcMar>
                  <w:vAlign w:val="center"/>
                </w:tcPr>
                <w:p w14:paraId="78084880">
                  <w:pPr>
                    <w:keepNext w:val="0"/>
                    <w:keepLines w:val="0"/>
                    <w:widowControl/>
                    <w:suppressLineNumbers w:val="0"/>
                    <w:spacing w:line="240" w:lineRule="auto"/>
                    <w:jc w:val="center"/>
                    <w:rPr>
                      <w:rFonts w:hint="default" w:ascii="Times New Roman" w:hAnsi="Times New Roman" w:eastAsia="宋体" w:cs="Times New Roman"/>
                      <w:i w:val="0"/>
                      <w:iCs w:val="0"/>
                      <w:caps w:val="0"/>
                      <w:color w:val="FF0000"/>
                      <w:spacing w:val="0"/>
                      <w:sz w:val="21"/>
                      <w:szCs w:val="21"/>
                    </w:rPr>
                  </w:pPr>
                  <w:r>
                    <w:rPr>
                      <w:rFonts w:hint="default" w:ascii="Times New Roman" w:hAnsi="Times New Roman" w:eastAsia="宋体" w:cs="Times New Roman"/>
                      <w:i w:val="0"/>
                      <w:iCs w:val="0"/>
                      <w:caps w:val="0"/>
                      <w:color w:val="FF0000"/>
                      <w:spacing w:val="0"/>
                      <w:kern w:val="0"/>
                      <w:sz w:val="21"/>
                      <w:szCs w:val="21"/>
                      <w:lang w:val="en-US" w:eastAsia="zh-CN" w:bidi="ar"/>
                    </w:rPr>
                    <w:t>4</w:t>
                  </w:r>
                </w:p>
              </w:tc>
            </w:tr>
            <w:tr w14:paraId="3544C175">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15" w:type="dxa"/>
                  <w:left w:w="15" w:type="dxa"/>
                  <w:bottom w:w="15" w:type="dxa"/>
                  <w:right w:w="15" w:type="dxa"/>
                </w:tblCellMar>
              </w:tblPrEx>
              <w:trPr>
                <w:trHeight w:val="23" w:hRule="atLeast"/>
                <w:tblHeader/>
              </w:trPr>
              <w:tc>
                <w:tcPr>
                  <w:tcW w:w="391" w:type="pct"/>
                  <w:tcBorders>
                    <w:tl2br w:val="nil"/>
                    <w:tr2bl w:val="nil"/>
                  </w:tcBorders>
                  <w:shd w:val="clear" w:color="auto" w:fill="auto"/>
                  <w:tcMar>
                    <w:top w:w="150" w:type="dxa"/>
                    <w:left w:w="0" w:type="dxa"/>
                    <w:bottom w:w="150" w:type="dxa"/>
                    <w:right w:w="150" w:type="dxa"/>
                  </w:tcMar>
                  <w:vAlign w:val="center"/>
                </w:tcPr>
                <w:p w14:paraId="15A659A1">
                  <w:pPr>
                    <w:keepNext w:val="0"/>
                    <w:keepLines w:val="0"/>
                    <w:widowControl/>
                    <w:suppressLineNumbers w:val="0"/>
                    <w:spacing w:line="240" w:lineRule="auto"/>
                    <w:jc w:val="center"/>
                    <w:rPr>
                      <w:rFonts w:hint="default" w:ascii="Times New Roman" w:hAnsi="Times New Roman" w:eastAsia="宋体" w:cs="Times New Roman"/>
                      <w:i w:val="0"/>
                      <w:iCs w:val="0"/>
                      <w:caps w:val="0"/>
                      <w:color w:val="FF0000"/>
                      <w:spacing w:val="0"/>
                      <w:kern w:val="2"/>
                      <w:sz w:val="21"/>
                      <w:szCs w:val="21"/>
                      <w:lang w:val="en-US" w:eastAsia="zh-CN" w:bidi="ar-SA"/>
                    </w:rPr>
                  </w:pPr>
                  <w:r>
                    <w:rPr>
                      <w:rFonts w:hint="default" w:ascii="Times New Roman" w:hAnsi="Times New Roman" w:eastAsia="宋体" w:cs="Times New Roman"/>
                      <w:i w:val="0"/>
                      <w:iCs w:val="0"/>
                      <w:caps w:val="0"/>
                      <w:color w:val="FF0000"/>
                      <w:spacing w:val="0"/>
                      <w:kern w:val="0"/>
                      <w:sz w:val="21"/>
                      <w:szCs w:val="21"/>
                      <w:lang w:val="en-US" w:eastAsia="zh-CN" w:bidi="ar"/>
                    </w:rPr>
                    <w:t>32</w:t>
                  </w:r>
                </w:p>
              </w:tc>
              <w:tc>
                <w:tcPr>
                  <w:tcW w:w="945" w:type="pct"/>
                  <w:tcBorders>
                    <w:tl2br w:val="nil"/>
                    <w:tr2bl w:val="nil"/>
                  </w:tcBorders>
                  <w:shd w:val="clear" w:color="auto" w:fill="auto"/>
                  <w:tcMar>
                    <w:top w:w="150" w:type="dxa"/>
                    <w:left w:w="150" w:type="dxa"/>
                    <w:bottom w:w="150" w:type="dxa"/>
                    <w:right w:w="150" w:type="dxa"/>
                  </w:tcMar>
                  <w:vAlign w:val="center"/>
                </w:tcPr>
                <w:p w14:paraId="56F4E922">
                  <w:pPr>
                    <w:spacing w:line="240" w:lineRule="auto"/>
                    <w:jc w:val="center"/>
                    <w:rPr>
                      <w:rFonts w:hint="default" w:ascii="Times New Roman" w:hAnsi="Times New Roman" w:eastAsia="宋体" w:cs="Times New Roman"/>
                      <w:i w:val="0"/>
                      <w:iCs w:val="0"/>
                      <w:caps w:val="0"/>
                      <w:color w:val="FF0000"/>
                      <w:spacing w:val="0"/>
                      <w:sz w:val="21"/>
                      <w:szCs w:val="21"/>
                    </w:rPr>
                  </w:pPr>
                </w:p>
              </w:tc>
              <w:tc>
                <w:tcPr>
                  <w:tcW w:w="1593" w:type="pct"/>
                  <w:tcBorders>
                    <w:tl2br w:val="nil"/>
                    <w:tr2bl w:val="nil"/>
                  </w:tcBorders>
                  <w:shd w:val="clear" w:color="auto" w:fill="auto"/>
                  <w:tcMar>
                    <w:top w:w="150" w:type="dxa"/>
                    <w:left w:w="150" w:type="dxa"/>
                    <w:bottom w:w="150" w:type="dxa"/>
                    <w:right w:w="150" w:type="dxa"/>
                  </w:tcMar>
                  <w:vAlign w:val="center"/>
                </w:tcPr>
                <w:p w14:paraId="2568186A">
                  <w:pPr>
                    <w:keepNext w:val="0"/>
                    <w:keepLines w:val="0"/>
                    <w:widowControl/>
                    <w:suppressLineNumbers w:val="0"/>
                    <w:spacing w:line="240" w:lineRule="auto"/>
                    <w:jc w:val="center"/>
                    <w:rPr>
                      <w:rFonts w:hint="default" w:ascii="Times New Roman" w:hAnsi="Times New Roman" w:eastAsia="宋体" w:cs="Times New Roman"/>
                      <w:i w:val="0"/>
                      <w:iCs w:val="0"/>
                      <w:caps w:val="0"/>
                      <w:color w:val="FF0000"/>
                      <w:spacing w:val="0"/>
                      <w:sz w:val="21"/>
                      <w:szCs w:val="21"/>
                    </w:rPr>
                  </w:pPr>
                  <w:r>
                    <w:rPr>
                      <w:rFonts w:hint="default" w:ascii="Times New Roman" w:hAnsi="Times New Roman" w:eastAsia="宋体" w:cs="Times New Roman"/>
                      <w:i w:val="0"/>
                      <w:iCs w:val="0"/>
                      <w:caps w:val="0"/>
                      <w:color w:val="FF0000"/>
                      <w:spacing w:val="0"/>
                      <w:kern w:val="0"/>
                      <w:sz w:val="21"/>
                      <w:szCs w:val="21"/>
                      <w:lang w:val="en-US" w:eastAsia="zh-CN" w:bidi="ar"/>
                    </w:rPr>
                    <w:t>油水分离器</w:t>
                  </w:r>
                </w:p>
              </w:tc>
              <w:tc>
                <w:tcPr>
                  <w:tcW w:w="1220" w:type="pct"/>
                  <w:tcBorders>
                    <w:tl2br w:val="nil"/>
                    <w:tr2bl w:val="nil"/>
                  </w:tcBorders>
                  <w:shd w:val="clear" w:color="auto" w:fill="auto"/>
                  <w:tcMar>
                    <w:top w:w="150" w:type="dxa"/>
                    <w:left w:w="150" w:type="dxa"/>
                    <w:bottom w:w="150" w:type="dxa"/>
                    <w:right w:w="150" w:type="dxa"/>
                  </w:tcMar>
                  <w:vAlign w:val="center"/>
                </w:tcPr>
                <w:p w14:paraId="64074BDA">
                  <w:pPr>
                    <w:keepNext w:val="0"/>
                    <w:keepLines w:val="0"/>
                    <w:widowControl/>
                    <w:suppressLineNumbers w:val="0"/>
                    <w:spacing w:line="240" w:lineRule="auto"/>
                    <w:jc w:val="center"/>
                    <w:rPr>
                      <w:rFonts w:hint="default" w:ascii="Times New Roman" w:hAnsi="Times New Roman" w:eastAsia="宋体" w:cs="Times New Roman"/>
                      <w:i w:val="0"/>
                      <w:iCs w:val="0"/>
                      <w:caps w:val="0"/>
                      <w:color w:val="FF0000"/>
                      <w:spacing w:val="0"/>
                      <w:sz w:val="21"/>
                      <w:szCs w:val="21"/>
                    </w:rPr>
                  </w:pPr>
                  <w:r>
                    <w:rPr>
                      <w:rFonts w:hint="default" w:ascii="Times New Roman" w:hAnsi="Times New Roman" w:eastAsia="宋体" w:cs="Times New Roman"/>
                      <w:i w:val="0"/>
                      <w:iCs w:val="0"/>
                      <w:caps w:val="0"/>
                      <w:color w:val="FF0000"/>
                      <w:spacing w:val="0"/>
                      <w:kern w:val="0"/>
                      <w:sz w:val="21"/>
                      <w:szCs w:val="21"/>
                      <w:lang w:val="en-US" w:eastAsia="zh-CN" w:bidi="ar"/>
                    </w:rPr>
                    <w:t>LMT-YS-3</w:t>
                  </w:r>
                </w:p>
              </w:tc>
              <w:tc>
                <w:tcPr>
                  <w:tcW w:w="423" w:type="pct"/>
                  <w:tcBorders>
                    <w:tl2br w:val="nil"/>
                    <w:tr2bl w:val="nil"/>
                  </w:tcBorders>
                  <w:shd w:val="clear" w:color="auto" w:fill="auto"/>
                  <w:tcMar>
                    <w:top w:w="150" w:type="dxa"/>
                    <w:left w:w="150" w:type="dxa"/>
                    <w:bottom w:w="150" w:type="dxa"/>
                    <w:right w:w="150" w:type="dxa"/>
                  </w:tcMar>
                  <w:vAlign w:val="center"/>
                </w:tcPr>
                <w:p w14:paraId="03E9785E">
                  <w:pPr>
                    <w:keepNext w:val="0"/>
                    <w:keepLines w:val="0"/>
                    <w:widowControl/>
                    <w:suppressLineNumbers w:val="0"/>
                    <w:spacing w:line="240" w:lineRule="auto"/>
                    <w:jc w:val="center"/>
                    <w:rPr>
                      <w:rFonts w:hint="default" w:ascii="Times New Roman" w:hAnsi="Times New Roman" w:eastAsia="宋体" w:cs="Times New Roman"/>
                      <w:i w:val="0"/>
                      <w:iCs w:val="0"/>
                      <w:caps w:val="0"/>
                      <w:color w:val="FF0000"/>
                      <w:spacing w:val="0"/>
                      <w:sz w:val="21"/>
                      <w:szCs w:val="21"/>
                    </w:rPr>
                  </w:pPr>
                  <w:r>
                    <w:rPr>
                      <w:rFonts w:hint="default" w:ascii="Times New Roman" w:hAnsi="Times New Roman" w:eastAsia="宋体" w:cs="Times New Roman"/>
                      <w:i w:val="0"/>
                      <w:iCs w:val="0"/>
                      <w:caps w:val="0"/>
                      <w:color w:val="FF0000"/>
                      <w:spacing w:val="0"/>
                      <w:kern w:val="0"/>
                      <w:sz w:val="21"/>
                      <w:szCs w:val="21"/>
                      <w:lang w:val="en-US" w:eastAsia="zh-CN" w:bidi="ar"/>
                    </w:rPr>
                    <w:t>台</w:t>
                  </w:r>
                </w:p>
              </w:tc>
              <w:tc>
                <w:tcPr>
                  <w:tcW w:w="425" w:type="pct"/>
                  <w:tcBorders>
                    <w:tl2br w:val="nil"/>
                    <w:tr2bl w:val="nil"/>
                  </w:tcBorders>
                  <w:shd w:val="clear" w:color="auto" w:fill="auto"/>
                  <w:tcMar>
                    <w:top w:w="150" w:type="dxa"/>
                    <w:left w:w="150" w:type="dxa"/>
                    <w:bottom w:w="150" w:type="dxa"/>
                    <w:right w:w="150" w:type="dxa"/>
                  </w:tcMar>
                  <w:vAlign w:val="center"/>
                </w:tcPr>
                <w:p w14:paraId="3B555D4B">
                  <w:pPr>
                    <w:keepNext w:val="0"/>
                    <w:keepLines w:val="0"/>
                    <w:widowControl/>
                    <w:suppressLineNumbers w:val="0"/>
                    <w:spacing w:line="240" w:lineRule="auto"/>
                    <w:jc w:val="center"/>
                    <w:rPr>
                      <w:rFonts w:hint="default" w:ascii="Times New Roman" w:hAnsi="Times New Roman" w:eastAsia="宋体" w:cs="Times New Roman"/>
                      <w:i w:val="0"/>
                      <w:iCs w:val="0"/>
                      <w:caps w:val="0"/>
                      <w:color w:val="FF0000"/>
                      <w:spacing w:val="0"/>
                      <w:sz w:val="21"/>
                      <w:szCs w:val="21"/>
                    </w:rPr>
                  </w:pPr>
                  <w:r>
                    <w:rPr>
                      <w:rFonts w:hint="default" w:ascii="Times New Roman" w:hAnsi="Times New Roman" w:eastAsia="宋体" w:cs="Times New Roman"/>
                      <w:i w:val="0"/>
                      <w:iCs w:val="0"/>
                      <w:caps w:val="0"/>
                      <w:color w:val="FF0000"/>
                      <w:spacing w:val="0"/>
                      <w:kern w:val="0"/>
                      <w:sz w:val="21"/>
                      <w:szCs w:val="21"/>
                      <w:lang w:val="en-US" w:eastAsia="zh-CN" w:bidi="ar"/>
                    </w:rPr>
                    <w:t>1</w:t>
                  </w:r>
                </w:p>
              </w:tc>
            </w:tr>
            <w:tr w14:paraId="3436FF91">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shd w:val="clear" w:color="auto" w:fill="auto"/>
                <w:tblCellMar>
                  <w:top w:w="15" w:type="dxa"/>
                  <w:left w:w="15" w:type="dxa"/>
                  <w:bottom w:w="15" w:type="dxa"/>
                  <w:right w:w="15" w:type="dxa"/>
                </w:tblCellMar>
              </w:tblPrEx>
              <w:trPr>
                <w:trHeight w:val="23" w:hRule="atLeast"/>
                <w:tblHeader/>
              </w:trPr>
              <w:tc>
                <w:tcPr>
                  <w:tcW w:w="391" w:type="pct"/>
                  <w:tcBorders>
                    <w:tl2br w:val="nil"/>
                    <w:tr2bl w:val="nil"/>
                  </w:tcBorders>
                  <w:shd w:val="clear" w:color="auto" w:fill="auto"/>
                  <w:tcMar>
                    <w:top w:w="150" w:type="dxa"/>
                    <w:left w:w="0" w:type="dxa"/>
                    <w:bottom w:w="150" w:type="dxa"/>
                    <w:right w:w="150" w:type="dxa"/>
                  </w:tcMar>
                  <w:vAlign w:val="center"/>
                </w:tcPr>
                <w:p w14:paraId="3BE72A88">
                  <w:pPr>
                    <w:keepNext w:val="0"/>
                    <w:keepLines w:val="0"/>
                    <w:widowControl/>
                    <w:suppressLineNumbers w:val="0"/>
                    <w:spacing w:line="240" w:lineRule="auto"/>
                    <w:jc w:val="center"/>
                    <w:rPr>
                      <w:rFonts w:hint="default" w:ascii="Times New Roman" w:hAnsi="Times New Roman" w:eastAsia="宋体" w:cs="Times New Roman"/>
                      <w:i w:val="0"/>
                      <w:iCs w:val="0"/>
                      <w:caps w:val="0"/>
                      <w:color w:val="FF0000"/>
                      <w:spacing w:val="0"/>
                      <w:kern w:val="2"/>
                      <w:sz w:val="21"/>
                      <w:szCs w:val="21"/>
                      <w:lang w:val="en-US" w:eastAsia="zh-CN" w:bidi="ar-SA"/>
                    </w:rPr>
                  </w:pPr>
                  <w:r>
                    <w:rPr>
                      <w:rFonts w:hint="default" w:ascii="Times New Roman" w:hAnsi="Times New Roman" w:eastAsia="宋体" w:cs="Times New Roman"/>
                      <w:i w:val="0"/>
                      <w:iCs w:val="0"/>
                      <w:caps w:val="0"/>
                      <w:color w:val="FF0000"/>
                      <w:spacing w:val="0"/>
                      <w:kern w:val="0"/>
                      <w:sz w:val="21"/>
                      <w:szCs w:val="21"/>
                      <w:lang w:val="en-US" w:eastAsia="zh-CN" w:bidi="ar"/>
                    </w:rPr>
                    <w:t>33</w:t>
                  </w:r>
                </w:p>
              </w:tc>
              <w:tc>
                <w:tcPr>
                  <w:tcW w:w="945" w:type="pct"/>
                  <w:tcBorders>
                    <w:tl2br w:val="nil"/>
                    <w:tr2bl w:val="nil"/>
                  </w:tcBorders>
                  <w:shd w:val="clear" w:color="auto" w:fill="auto"/>
                  <w:tcMar>
                    <w:top w:w="150" w:type="dxa"/>
                    <w:left w:w="150" w:type="dxa"/>
                    <w:bottom w:w="150" w:type="dxa"/>
                    <w:right w:w="150" w:type="dxa"/>
                  </w:tcMar>
                  <w:vAlign w:val="center"/>
                </w:tcPr>
                <w:p w14:paraId="089D7CBA">
                  <w:pPr>
                    <w:spacing w:line="240" w:lineRule="auto"/>
                    <w:jc w:val="center"/>
                    <w:rPr>
                      <w:rFonts w:hint="default" w:ascii="Times New Roman" w:hAnsi="Times New Roman" w:eastAsia="宋体" w:cs="Times New Roman"/>
                      <w:i w:val="0"/>
                      <w:iCs w:val="0"/>
                      <w:caps w:val="0"/>
                      <w:color w:val="FF0000"/>
                      <w:spacing w:val="0"/>
                      <w:sz w:val="21"/>
                      <w:szCs w:val="21"/>
                    </w:rPr>
                  </w:pPr>
                </w:p>
              </w:tc>
              <w:tc>
                <w:tcPr>
                  <w:tcW w:w="1593" w:type="pct"/>
                  <w:tcBorders>
                    <w:tl2br w:val="nil"/>
                    <w:tr2bl w:val="nil"/>
                  </w:tcBorders>
                  <w:shd w:val="clear" w:color="auto" w:fill="auto"/>
                  <w:tcMar>
                    <w:top w:w="150" w:type="dxa"/>
                    <w:left w:w="150" w:type="dxa"/>
                    <w:bottom w:w="150" w:type="dxa"/>
                    <w:right w:w="150" w:type="dxa"/>
                  </w:tcMar>
                  <w:vAlign w:val="center"/>
                </w:tcPr>
                <w:p w14:paraId="0A2ADF46">
                  <w:pPr>
                    <w:keepNext w:val="0"/>
                    <w:keepLines w:val="0"/>
                    <w:widowControl/>
                    <w:suppressLineNumbers w:val="0"/>
                    <w:spacing w:line="240" w:lineRule="auto"/>
                    <w:jc w:val="center"/>
                    <w:rPr>
                      <w:rFonts w:hint="default" w:ascii="Times New Roman" w:hAnsi="Times New Roman" w:eastAsia="宋体" w:cs="Times New Roman"/>
                      <w:i w:val="0"/>
                      <w:iCs w:val="0"/>
                      <w:caps w:val="0"/>
                      <w:color w:val="FF0000"/>
                      <w:spacing w:val="0"/>
                      <w:sz w:val="21"/>
                      <w:szCs w:val="21"/>
                    </w:rPr>
                  </w:pPr>
                  <w:r>
                    <w:rPr>
                      <w:rFonts w:hint="default" w:ascii="Times New Roman" w:hAnsi="Times New Roman" w:eastAsia="宋体" w:cs="Times New Roman"/>
                      <w:i w:val="0"/>
                      <w:iCs w:val="0"/>
                      <w:caps w:val="0"/>
                      <w:color w:val="FF0000"/>
                      <w:spacing w:val="0"/>
                      <w:kern w:val="0"/>
                      <w:sz w:val="21"/>
                      <w:szCs w:val="21"/>
                      <w:lang w:val="en-US" w:eastAsia="zh-CN" w:bidi="ar"/>
                    </w:rPr>
                    <w:t>两级活性炭吸附装置</w:t>
                  </w:r>
                </w:p>
              </w:tc>
              <w:tc>
                <w:tcPr>
                  <w:tcW w:w="1220" w:type="pct"/>
                  <w:tcBorders>
                    <w:tl2br w:val="nil"/>
                    <w:tr2bl w:val="nil"/>
                  </w:tcBorders>
                  <w:shd w:val="clear" w:color="auto" w:fill="auto"/>
                  <w:tcMar>
                    <w:top w:w="150" w:type="dxa"/>
                    <w:left w:w="150" w:type="dxa"/>
                    <w:bottom w:w="150" w:type="dxa"/>
                    <w:right w:w="150" w:type="dxa"/>
                  </w:tcMar>
                  <w:vAlign w:val="center"/>
                </w:tcPr>
                <w:p w14:paraId="24FCA651">
                  <w:pPr>
                    <w:keepNext w:val="0"/>
                    <w:keepLines w:val="0"/>
                    <w:widowControl/>
                    <w:suppressLineNumbers w:val="0"/>
                    <w:spacing w:line="240" w:lineRule="auto"/>
                    <w:jc w:val="center"/>
                    <w:rPr>
                      <w:rFonts w:hint="default" w:ascii="Times New Roman" w:hAnsi="Times New Roman" w:eastAsia="宋体" w:cs="Times New Roman"/>
                      <w:i w:val="0"/>
                      <w:iCs w:val="0"/>
                      <w:caps w:val="0"/>
                      <w:color w:val="FF0000"/>
                      <w:spacing w:val="0"/>
                      <w:sz w:val="21"/>
                      <w:szCs w:val="21"/>
                    </w:rPr>
                  </w:pPr>
                  <w:r>
                    <w:rPr>
                      <w:rFonts w:hint="default" w:ascii="Times New Roman" w:hAnsi="Times New Roman" w:eastAsia="宋体" w:cs="Times New Roman"/>
                      <w:i w:val="0"/>
                      <w:iCs w:val="0"/>
                      <w:caps w:val="0"/>
                      <w:color w:val="FF0000"/>
                      <w:spacing w:val="0"/>
                      <w:kern w:val="0"/>
                      <w:sz w:val="21"/>
                      <w:szCs w:val="21"/>
                      <w:lang w:val="en-US" w:eastAsia="zh-CN" w:bidi="ar"/>
                    </w:rPr>
                    <w:t>/</w:t>
                  </w:r>
                </w:p>
              </w:tc>
              <w:tc>
                <w:tcPr>
                  <w:tcW w:w="423" w:type="pct"/>
                  <w:tcBorders>
                    <w:tl2br w:val="nil"/>
                    <w:tr2bl w:val="nil"/>
                  </w:tcBorders>
                  <w:shd w:val="clear" w:color="auto" w:fill="auto"/>
                  <w:tcMar>
                    <w:top w:w="150" w:type="dxa"/>
                    <w:left w:w="150" w:type="dxa"/>
                    <w:bottom w:w="150" w:type="dxa"/>
                    <w:right w:w="150" w:type="dxa"/>
                  </w:tcMar>
                  <w:vAlign w:val="center"/>
                </w:tcPr>
                <w:p w14:paraId="04377EFC">
                  <w:pPr>
                    <w:keepNext w:val="0"/>
                    <w:keepLines w:val="0"/>
                    <w:widowControl/>
                    <w:suppressLineNumbers w:val="0"/>
                    <w:spacing w:line="240" w:lineRule="auto"/>
                    <w:jc w:val="center"/>
                    <w:rPr>
                      <w:rFonts w:hint="default" w:ascii="Times New Roman" w:hAnsi="Times New Roman" w:eastAsia="宋体" w:cs="Times New Roman"/>
                      <w:i w:val="0"/>
                      <w:iCs w:val="0"/>
                      <w:caps w:val="0"/>
                      <w:color w:val="FF0000"/>
                      <w:spacing w:val="0"/>
                      <w:sz w:val="21"/>
                      <w:szCs w:val="21"/>
                    </w:rPr>
                  </w:pPr>
                  <w:r>
                    <w:rPr>
                      <w:rFonts w:hint="default" w:ascii="Times New Roman" w:hAnsi="Times New Roman" w:eastAsia="宋体" w:cs="Times New Roman"/>
                      <w:i w:val="0"/>
                      <w:iCs w:val="0"/>
                      <w:caps w:val="0"/>
                      <w:color w:val="FF0000"/>
                      <w:spacing w:val="0"/>
                      <w:kern w:val="0"/>
                      <w:sz w:val="21"/>
                      <w:szCs w:val="21"/>
                      <w:lang w:val="en-US" w:eastAsia="zh-CN" w:bidi="ar"/>
                    </w:rPr>
                    <w:t>套</w:t>
                  </w:r>
                </w:p>
              </w:tc>
              <w:tc>
                <w:tcPr>
                  <w:tcW w:w="425" w:type="pct"/>
                  <w:tcBorders>
                    <w:tl2br w:val="nil"/>
                    <w:tr2bl w:val="nil"/>
                  </w:tcBorders>
                  <w:shd w:val="clear" w:color="auto" w:fill="auto"/>
                  <w:tcMar>
                    <w:top w:w="150" w:type="dxa"/>
                    <w:left w:w="150" w:type="dxa"/>
                    <w:bottom w:w="150" w:type="dxa"/>
                    <w:right w:w="150" w:type="dxa"/>
                  </w:tcMar>
                  <w:vAlign w:val="center"/>
                </w:tcPr>
                <w:p w14:paraId="2ABB5C46">
                  <w:pPr>
                    <w:keepNext w:val="0"/>
                    <w:keepLines w:val="0"/>
                    <w:widowControl/>
                    <w:suppressLineNumbers w:val="0"/>
                    <w:spacing w:line="240" w:lineRule="auto"/>
                    <w:jc w:val="center"/>
                    <w:rPr>
                      <w:rFonts w:hint="default" w:ascii="Times New Roman" w:hAnsi="Times New Roman" w:eastAsia="宋体" w:cs="Times New Roman"/>
                      <w:i w:val="0"/>
                      <w:iCs w:val="0"/>
                      <w:caps w:val="0"/>
                      <w:color w:val="FF0000"/>
                      <w:spacing w:val="0"/>
                      <w:sz w:val="21"/>
                      <w:szCs w:val="21"/>
                    </w:rPr>
                  </w:pPr>
                  <w:r>
                    <w:rPr>
                      <w:rFonts w:hint="default" w:ascii="Times New Roman" w:hAnsi="Times New Roman" w:eastAsia="宋体" w:cs="Times New Roman"/>
                      <w:i w:val="0"/>
                      <w:iCs w:val="0"/>
                      <w:caps w:val="0"/>
                      <w:color w:val="FF0000"/>
                      <w:spacing w:val="0"/>
                      <w:kern w:val="0"/>
                      <w:sz w:val="21"/>
                      <w:szCs w:val="21"/>
                      <w:lang w:val="en-US" w:eastAsia="zh-CN" w:bidi="ar"/>
                    </w:rPr>
                    <w:t>1</w:t>
                  </w:r>
                </w:p>
              </w:tc>
            </w:tr>
          </w:tbl>
          <w:p w14:paraId="0468E2E2">
            <w:pPr>
              <w:spacing w:line="360" w:lineRule="auto"/>
              <w:ind w:firstLine="420" w:firstLineChars="200"/>
              <w:rPr>
                <w:bCs/>
                <w:color w:val="000000"/>
                <w:szCs w:val="21"/>
              </w:rPr>
            </w:pPr>
            <w:r>
              <w:rPr>
                <w:bCs/>
                <w:color w:val="000000"/>
                <w:szCs w:val="21"/>
              </w:rPr>
              <w:t>备注：对照《高耗能落后机电设备（产品）淘汰目录》（第一、二、三批），本项目使用的设备不属于淘汰落后设备。</w:t>
            </w:r>
          </w:p>
          <w:p w14:paraId="2A277922">
            <w:pPr>
              <w:jc w:val="center"/>
              <w:rPr>
                <w:color w:val="FF0000"/>
                <w:sz w:val="24"/>
              </w:rPr>
            </w:pPr>
            <w:r>
              <w:rPr>
                <w:b/>
                <w:color w:val="FF0000"/>
                <w:szCs w:val="21"/>
              </w:rPr>
              <w:t>表2-</w:t>
            </w:r>
            <w:r>
              <w:rPr>
                <w:rFonts w:hint="eastAsia"/>
                <w:b/>
                <w:color w:val="FF0000"/>
                <w:szCs w:val="21"/>
                <w:lang w:val="en-US" w:eastAsia="zh-CN"/>
              </w:rPr>
              <w:t xml:space="preserve">6 </w:t>
            </w:r>
            <w:r>
              <w:rPr>
                <w:b/>
                <w:color w:val="FF0000"/>
                <w:szCs w:val="21"/>
              </w:rPr>
              <w:t xml:space="preserve"> 拆卸产物收集贮存专用容器配置表</w:t>
            </w:r>
          </w:p>
          <w:tbl>
            <w:tblPr>
              <w:tblStyle w:val="34"/>
              <w:tblW w:w="5000" w:type="pct"/>
              <w:tblInd w:w="0" w:type="dxa"/>
              <w:tblBorders>
                <w:top w:val="double" w:color="auto" w:sz="4" w:space="0"/>
                <w:left w:val="none" w:color="auto" w:sz="0" w:space="0"/>
                <w:bottom w:val="double" w:color="auto" w:sz="4" w:space="0"/>
                <w:right w:val="none" w:color="auto" w:sz="0" w:space="0"/>
                <w:insideH w:val="single" w:color="auto" w:sz="4" w:space="0"/>
                <w:insideV w:val="single" w:color="auto" w:sz="4" w:space="0"/>
              </w:tblBorders>
              <w:shd w:val="clear" w:color="auto" w:fill="auto"/>
              <w:tblLayout w:type="autofit"/>
              <w:tblCellMar>
                <w:top w:w="15" w:type="dxa"/>
                <w:left w:w="15" w:type="dxa"/>
                <w:bottom w:w="15" w:type="dxa"/>
                <w:right w:w="15" w:type="dxa"/>
              </w:tblCellMar>
            </w:tblPr>
            <w:tblGrid>
              <w:gridCol w:w="415"/>
              <w:gridCol w:w="830"/>
              <w:gridCol w:w="964"/>
              <w:gridCol w:w="1745"/>
              <w:gridCol w:w="1887"/>
              <w:gridCol w:w="721"/>
              <w:gridCol w:w="576"/>
              <w:gridCol w:w="1295"/>
            </w:tblGrid>
            <w:tr w14:paraId="174EF119">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shd w:val="clear" w:color="auto" w:fill="auto"/>
                <w:tblCellMar>
                  <w:top w:w="15" w:type="dxa"/>
                  <w:left w:w="15" w:type="dxa"/>
                  <w:bottom w:w="15" w:type="dxa"/>
                  <w:right w:w="15" w:type="dxa"/>
                </w:tblCellMar>
              </w:tblPrEx>
              <w:trPr>
                <w:tblHeader/>
              </w:trPr>
              <w:tc>
                <w:tcPr>
                  <w:tcW w:w="246" w:type="pct"/>
                  <w:tcBorders>
                    <w:tl2br w:val="nil"/>
                    <w:tr2bl w:val="nil"/>
                  </w:tcBorders>
                  <w:shd w:val="clear" w:color="auto" w:fill="auto"/>
                  <w:tcMar>
                    <w:top w:w="150" w:type="dxa"/>
                    <w:left w:w="0" w:type="dxa"/>
                    <w:bottom w:w="150" w:type="dxa"/>
                    <w:right w:w="150" w:type="dxa"/>
                  </w:tcMar>
                  <w:vAlign w:val="center"/>
                </w:tcPr>
                <w:p w14:paraId="28500246">
                  <w:pPr>
                    <w:keepNext w:val="0"/>
                    <w:keepLines w:val="0"/>
                    <w:widowControl/>
                    <w:suppressLineNumbers w:val="0"/>
                    <w:spacing w:line="26" w:lineRule="atLeast"/>
                    <w:jc w:val="center"/>
                    <w:rPr>
                      <w:b/>
                      <w:bCs/>
                      <w:color w:val="FF0000"/>
                      <w:sz w:val="21"/>
                      <w:szCs w:val="21"/>
                    </w:rPr>
                  </w:pPr>
                  <w:r>
                    <w:rPr>
                      <w:rFonts w:ascii="宋体" w:hAnsi="宋体" w:eastAsia="宋体" w:cs="宋体"/>
                      <w:b/>
                      <w:bCs/>
                      <w:color w:val="FF0000"/>
                      <w:kern w:val="0"/>
                      <w:sz w:val="21"/>
                      <w:szCs w:val="21"/>
                      <w:lang w:val="en-US" w:eastAsia="zh-CN" w:bidi="ar"/>
                    </w:rPr>
                    <w:t>序号</w:t>
                  </w:r>
                </w:p>
              </w:tc>
              <w:tc>
                <w:tcPr>
                  <w:tcW w:w="492" w:type="pct"/>
                  <w:tcBorders>
                    <w:tl2br w:val="nil"/>
                    <w:tr2bl w:val="nil"/>
                  </w:tcBorders>
                  <w:shd w:val="clear" w:color="auto" w:fill="auto"/>
                  <w:tcMar>
                    <w:top w:w="150" w:type="dxa"/>
                    <w:left w:w="150" w:type="dxa"/>
                    <w:bottom w:w="150" w:type="dxa"/>
                    <w:right w:w="150" w:type="dxa"/>
                  </w:tcMar>
                  <w:vAlign w:val="center"/>
                </w:tcPr>
                <w:p w14:paraId="187AB1E0">
                  <w:pPr>
                    <w:keepNext w:val="0"/>
                    <w:keepLines w:val="0"/>
                    <w:widowControl/>
                    <w:suppressLineNumbers w:val="0"/>
                    <w:spacing w:line="26" w:lineRule="atLeast"/>
                    <w:jc w:val="center"/>
                    <w:rPr>
                      <w:b/>
                      <w:bCs/>
                      <w:color w:val="FF0000"/>
                      <w:sz w:val="21"/>
                      <w:szCs w:val="21"/>
                    </w:rPr>
                  </w:pPr>
                  <w:r>
                    <w:rPr>
                      <w:rFonts w:ascii="宋体" w:hAnsi="宋体" w:eastAsia="宋体" w:cs="宋体"/>
                      <w:b/>
                      <w:bCs/>
                      <w:color w:val="FF0000"/>
                      <w:kern w:val="0"/>
                      <w:sz w:val="21"/>
                      <w:szCs w:val="21"/>
                      <w:lang w:val="en-US" w:eastAsia="zh-CN" w:bidi="ar"/>
                    </w:rPr>
                    <w:t>收集对象</w:t>
                  </w:r>
                </w:p>
              </w:tc>
              <w:tc>
                <w:tcPr>
                  <w:tcW w:w="571" w:type="pct"/>
                  <w:tcBorders>
                    <w:tl2br w:val="nil"/>
                    <w:tr2bl w:val="nil"/>
                  </w:tcBorders>
                  <w:shd w:val="clear" w:color="auto" w:fill="auto"/>
                  <w:tcMar>
                    <w:top w:w="150" w:type="dxa"/>
                    <w:left w:w="150" w:type="dxa"/>
                    <w:bottom w:w="150" w:type="dxa"/>
                    <w:right w:w="150" w:type="dxa"/>
                  </w:tcMar>
                  <w:vAlign w:val="center"/>
                </w:tcPr>
                <w:p w14:paraId="5A5D2AD6">
                  <w:pPr>
                    <w:keepNext w:val="0"/>
                    <w:keepLines w:val="0"/>
                    <w:widowControl/>
                    <w:suppressLineNumbers w:val="0"/>
                    <w:spacing w:line="26" w:lineRule="atLeast"/>
                    <w:jc w:val="center"/>
                    <w:rPr>
                      <w:b/>
                      <w:bCs/>
                      <w:color w:val="FF0000"/>
                      <w:sz w:val="21"/>
                      <w:szCs w:val="21"/>
                    </w:rPr>
                  </w:pPr>
                  <w:r>
                    <w:rPr>
                      <w:rFonts w:ascii="宋体" w:hAnsi="宋体" w:eastAsia="宋体" w:cs="宋体"/>
                      <w:b/>
                      <w:bCs/>
                      <w:color w:val="FF0000"/>
                      <w:kern w:val="0"/>
                      <w:sz w:val="21"/>
                      <w:szCs w:val="21"/>
                      <w:lang w:val="en-US" w:eastAsia="zh-CN" w:bidi="ar"/>
                    </w:rPr>
                    <w:t>容器类型</w:t>
                  </w:r>
                </w:p>
              </w:tc>
              <w:tc>
                <w:tcPr>
                  <w:tcW w:w="1034" w:type="pct"/>
                  <w:tcBorders>
                    <w:tl2br w:val="nil"/>
                    <w:tr2bl w:val="nil"/>
                  </w:tcBorders>
                  <w:shd w:val="clear" w:color="auto" w:fill="auto"/>
                  <w:tcMar>
                    <w:top w:w="150" w:type="dxa"/>
                    <w:left w:w="150" w:type="dxa"/>
                    <w:bottom w:w="150" w:type="dxa"/>
                    <w:right w:w="150" w:type="dxa"/>
                  </w:tcMar>
                  <w:vAlign w:val="center"/>
                </w:tcPr>
                <w:p w14:paraId="141618FC">
                  <w:pPr>
                    <w:keepNext w:val="0"/>
                    <w:keepLines w:val="0"/>
                    <w:widowControl/>
                    <w:suppressLineNumbers w:val="0"/>
                    <w:spacing w:line="26" w:lineRule="atLeast"/>
                    <w:jc w:val="center"/>
                    <w:rPr>
                      <w:b/>
                      <w:bCs/>
                      <w:color w:val="FF0000"/>
                      <w:sz w:val="21"/>
                      <w:szCs w:val="21"/>
                    </w:rPr>
                  </w:pPr>
                  <w:r>
                    <w:rPr>
                      <w:rFonts w:ascii="宋体" w:hAnsi="宋体" w:eastAsia="宋体" w:cs="宋体"/>
                      <w:b/>
                      <w:bCs/>
                      <w:color w:val="FF0000"/>
                      <w:kern w:val="0"/>
                      <w:sz w:val="21"/>
                      <w:szCs w:val="21"/>
                      <w:lang w:val="en-US" w:eastAsia="zh-CN" w:bidi="ar"/>
                    </w:rPr>
                    <w:t>材质要求</w:t>
                  </w:r>
                </w:p>
              </w:tc>
              <w:tc>
                <w:tcPr>
                  <w:tcW w:w="1118" w:type="pct"/>
                  <w:tcBorders>
                    <w:tl2br w:val="nil"/>
                    <w:tr2bl w:val="nil"/>
                  </w:tcBorders>
                  <w:shd w:val="clear" w:color="auto" w:fill="auto"/>
                  <w:tcMar>
                    <w:top w:w="150" w:type="dxa"/>
                    <w:left w:w="150" w:type="dxa"/>
                    <w:bottom w:w="150" w:type="dxa"/>
                    <w:right w:w="150" w:type="dxa"/>
                  </w:tcMar>
                  <w:vAlign w:val="center"/>
                </w:tcPr>
                <w:p w14:paraId="761AAF9C">
                  <w:pPr>
                    <w:keepNext w:val="0"/>
                    <w:keepLines w:val="0"/>
                    <w:widowControl/>
                    <w:suppressLineNumbers w:val="0"/>
                    <w:spacing w:line="26" w:lineRule="atLeast"/>
                    <w:jc w:val="center"/>
                    <w:rPr>
                      <w:b/>
                      <w:bCs/>
                      <w:color w:val="FF0000"/>
                      <w:sz w:val="21"/>
                      <w:szCs w:val="21"/>
                    </w:rPr>
                  </w:pPr>
                  <w:r>
                    <w:rPr>
                      <w:rFonts w:ascii="宋体" w:hAnsi="宋体" w:eastAsia="宋体" w:cs="宋体"/>
                      <w:b/>
                      <w:bCs/>
                      <w:color w:val="FF0000"/>
                      <w:kern w:val="0"/>
                      <w:sz w:val="21"/>
                      <w:szCs w:val="21"/>
                      <w:lang w:val="en-US" w:eastAsia="zh-CN" w:bidi="ar"/>
                    </w:rPr>
                    <w:t>结构特点</w:t>
                  </w:r>
                </w:p>
              </w:tc>
              <w:tc>
                <w:tcPr>
                  <w:tcW w:w="427" w:type="pct"/>
                  <w:tcBorders>
                    <w:tl2br w:val="nil"/>
                    <w:tr2bl w:val="nil"/>
                  </w:tcBorders>
                  <w:shd w:val="clear" w:color="auto" w:fill="auto"/>
                  <w:tcMar>
                    <w:top w:w="150" w:type="dxa"/>
                    <w:left w:w="150" w:type="dxa"/>
                    <w:bottom w:w="150" w:type="dxa"/>
                    <w:right w:w="150" w:type="dxa"/>
                  </w:tcMar>
                  <w:vAlign w:val="center"/>
                </w:tcPr>
                <w:p w14:paraId="7E7DAD14">
                  <w:pPr>
                    <w:keepNext w:val="0"/>
                    <w:keepLines w:val="0"/>
                    <w:widowControl/>
                    <w:suppressLineNumbers w:val="0"/>
                    <w:spacing w:line="26" w:lineRule="atLeast"/>
                    <w:jc w:val="center"/>
                    <w:rPr>
                      <w:b/>
                      <w:bCs/>
                      <w:color w:val="FF0000"/>
                      <w:sz w:val="21"/>
                      <w:szCs w:val="21"/>
                    </w:rPr>
                  </w:pPr>
                  <w:r>
                    <w:rPr>
                      <w:rFonts w:ascii="宋体" w:hAnsi="宋体" w:eastAsia="宋体" w:cs="宋体"/>
                      <w:b/>
                      <w:bCs/>
                      <w:color w:val="FF0000"/>
                      <w:kern w:val="0"/>
                      <w:sz w:val="21"/>
                      <w:szCs w:val="21"/>
                      <w:lang w:val="en-US" w:eastAsia="zh-CN" w:bidi="ar"/>
                    </w:rPr>
                    <w:t>容积/L</w:t>
                  </w:r>
                </w:p>
              </w:tc>
              <w:tc>
                <w:tcPr>
                  <w:tcW w:w="341" w:type="pct"/>
                  <w:tcBorders>
                    <w:tl2br w:val="nil"/>
                    <w:tr2bl w:val="nil"/>
                  </w:tcBorders>
                  <w:shd w:val="clear" w:color="auto" w:fill="auto"/>
                  <w:tcMar>
                    <w:top w:w="150" w:type="dxa"/>
                    <w:left w:w="150" w:type="dxa"/>
                    <w:bottom w:w="150" w:type="dxa"/>
                    <w:right w:w="150" w:type="dxa"/>
                  </w:tcMar>
                  <w:vAlign w:val="center"/>
                </w:tcPr>
                <w:p w14:paraId="17383AA1">
                  <w:pPr>
                    <w:keepNext w:val="0"/>
                    <w:keepLines w:val="0"/>
                    <w:widowControl/>
                    <w:suppressLineNumbers w:val="0"/>
                    <w:spacing w:line="26" w:lineRule="atLeast"/>
                    <w:jc w:val="center"/>
                    <w:rPr>
                      <w:b/>
                      <w:bCs/>
                      <w:color w:val="FF0000"/>
                      <w:sz w:val="21"/>
                      <w:szCs w:val="21"/>
                    </w:rPr>
                  </w:pPr>
                  <w:r>
                    <w:rPr>
                      <w:rFonts w:ascii="宋体" w:hAnsi="宋体" w:eastAsia="宋体" w:cs="宋体"/>
                      <w:b/>
                      <w:bCs/>
                      <w:color w:val="FF0000"/>
                      <w:kern w:val="0"/>
                      <w:sz w:val="21"/>
                      <w:szCs w:val="21"/>
                      <w:lang w:val="en-US" w:eastAsia="zh-CN" w:bidi="ar"/>
                    </w:rPr>
                    <w:t>数量</w:t>
                  </w:r>
                </w:p>
              </w:tc>
              <w:tc>
                <w:tcPr>
                  <w:tcW w:w="767" w:type="pct"/>
                  <w:tcBorders>
                    <w:tl2br w:val="nil"/>
                    <w:tr2bl w:val="nil"/>
                  </w:tcBorders>
                  <w:shd w:val="clear" w:color="auto" w:fill="auto"/>
                  <w:tcMar>
                    <w:top w:w="150" w:type="dxa"/>
                    <w:left w:w="150" w:type="dxa"/>
                    <w:bottom w:w="150" w:type="dxa"/>
                    <w:right w:w="150" w:type="dxa"/>
                  </w:tcMar>
                  <w:vAlign w:val="center"/>
                </w:tcPr>
                <w:p w14:paraId="3C0FFB9D">
                  <w:pPr>
                    <w:keepNext w:val="0"/>
                    <w:keepLines w:val="0"/>
                    <w:widowControl/>
                    <w:suppressLineNumbers w:val="0"/>
                    <w:spacing w:line="26" w:lineRule="atLeast"/>
                    <w:jc w:val="center"/>
                    <w:rPr>
                      <w:b/>
                      <w:bCs/>
                      <w:color w:val="FF0000"/>
                      <w:sz w:val="21"/>
                      <w:szCs w:val="21"/>
                    </w:rPr>
                  </w:pPr>
                  <w:r>
                    <w:rPr>
                      <w:rFonts w:ascii="宋体" w:hAnsi="宋体" w:eastAsia="宋体" w:cs="宋体"/>
                      <w:b/>
                      <w:bCs/>
                      <w:color w:val="FF0000"/>
                      <w:kern w:val="0"/>
                      <w:sz w:val="21"/>
                      <w:szCs w:val="21"/>
                      <w:lang w:val="en-US" w:eastAsia="zh-CN" w:bidi="ar"/>
                    </w:rPr>
                    <w:t>用途说明</w:t>
                  </w:r>
                </w:p>
              </w:tc>
            </w:tr>
            <w:tr w14:paraId="38F2B4A1">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shd w:val="clear" w:color="auto" w:fill="auto"/>
                <w:tblCellMar>
                  <w:top w:w="15" w:type="dxa"/>
                  <w:left w:w="15" w:type="dxa"/>
                  <w:bottom w:w="15" w:type="dxa"/>
                  <w:right w:w="15" w:type="dxa"/>
                </w:tblCellMar>
              </w:tblPrEx>
              <w:tc>
                <w:tcPr>
                  <w:tcW w:w="246" w:type="pct"/>
                  <w:tcBorders>
                    <w:tl2br w:val="nil"/>
                    <w:tr2bl w:val="nil"/>
                  </w:tcBorders>
                  <w:shd w:val="clear" w:color="auto" w:fill="auto"/>
                  <w:tcMar>
                    <w:top w:w="150" w:type="dxa"/>
                    <w:left w:w="0" w:type="dxa"/>
                    <w:bottom w:w="150" w:type="dxa"/>
                    <w:right w:w="150" w:type="dxa"/>
                  </w:tcMar>
                  <w:vAlign w:val="center"/>
                </w:tcPr>
                <w:p w14:paraId="5D2410FA">
                  <w:pPr>
                    <w:keepNext w:val="0"/>
                    <w:keepLines w:val="0"/>
                    <w:widowControl/>
                    <w:suppressLineNumbers w:val="0"/>
                    <w:spacing w:line="240" w:lineRule="auto"/>
                    <w:jc w:val="center"/>
                    <w:rPr>
                      <w:rFonts w:hint="default" w:ascii="Times New Roman" w:hAnsi="Times New Roman" w:eastAsia="宋体" w:cs="Times New Roman"/>
                      <w:i w:val="0"/>
                      <w:iCs w:val="0"/>
                      <w:caps w:val="0"/>
                      <w:color w:val="FF0000"/>
                      <w:spacing w:val="0"/>
                      <w:kern w:val="0"/>
                      <w:sz w:val="21"/>
                      <w:szCs w:val="21"/>
                      <w:lang w:val="en-US" w:eastAsia="zh-CN" w:bidi="ar"/>
                    </w:rPr>
                  </w:pPr>
                  <w:r>
                    <w:rPr>
                      <w:rFonts w:hint="default" w:ascii="Times New Roman" w:hAnsi="Times New Roman" w:eastAsia="宋体" w:cs="Times New Roman"/>
                      <w:i w:val="0"/>
                      <w:iCs w:val="0"/>
                      <w:caps w:val="0"/>
                      <w:color w:val="FF0000"/>
                      <w:spacing w:val="0"/>
                      <w:kern w:val="0"/>
                      <w:sz w:val="21"/>
                      <w:szCs w:val="21"/>
                      <w:lang w:val="en-US" w:eastAsia="zh-CN" w:bidi="ar"/>
                    </w:rPr>
                    <w:t>1</w:t>
                  </w:r>
                </w:p>
              </w:tc>
              <w:tc>
                <w:tcPr>
                  <w:tcW w:w="492" w:type="pct"/>
                  <w:tcBorders>
                    <w:tl2br w:val="nil"/>
                    <w:tr2bl w:val="nil"/>
                  </w:tcBorders>
                  <w:shd w:val="clear" w:color="auto" w:fill="auto"/>
                  <w:tcMar>
                    <w:top w:w="150" w:type="dxa"/>
                    <w:left w:w="150" w:type="dxa"/>
                    <w:bottom w:w="150" w:type="dxa"/>
                    <w:right w:w="150" w:type="dxa"/>
                  </w:tcMar>
                  <w:vAlign w:val="center"/>
                </w:tcPr>
                <w:p w14:paraId="3F168D44">
                  <w:pPr>
                    <w:keepNext w:val="0"/>
                    <w:keepLines w:val="0"/>
                    <w:widowControl/>
                    <w:suppressLineNumbers w:val="0"/>
                    <w:spacing w:line="240" w:lineRule="auto"/>
                    <w:jc w:val="center"/>
                    <w:rPr>
                      <w:rFonts w:hint="default" w:ascii="Times New Roman" w:hAnsi="Times New Roman" w:eastAsia="宋体" w:cs="Times New Roman"/>
                      <w:i w:val="0"/>
                      <w:iCs w:val="0"/>
                      <w:caps w:val="0"/>
                      <w:color w:val="FF0000"/>
                      <w:spacing w:val="0"/>
                      <w:kern w:val="0"/>
                      <w:sz w:val="21"/>
                      <w:szCs w:val="21"/>
                      <w:lang w:val="en-US" w:eastAsia="zh-CN" w:bidi="ar"/>
                    </w:rPr>
                  </w:pPr>
                  <w:r>
                    <w:rPr>
                      <w:rFonts w:hint="default" w:ascii="Times New Roman" w:hAnsi="Times New Roman" w:eastAsia="宋体" w:cs="Times New Roman"/>
                      <w:i w:val="0"/>
                      <w:iCs w:val="0"/>
                      <w:caps w:val="0"/>
                      <w:color w:val="FF0000"/>
                      <w:spacing w:val="0"/>
                      <w:kern w:val="0"/>
                      <w:sz w:val="21"/>
                      <w:szCs w:val="21"/>
                      <w:lang w:val="en-US" w:eastAsia="zh-CN" w:bidi="ar"/>
                    </w:rPr>
                    <w:t>废矿物油/燃料油</w:t>
                  </w:r>
                </w:p>
              </w:tc>
              <w:tc>
                <w:tcPr>
                  <w:tcW w:w="571" w:type="pct"/>
                  <w:tcBorders>
                    <w:tl2br w:val="nil"/>
                    <w:tr2bl w:val="nil"/>
                  </w:tcBorders>
                  <w:shd w:val="clear" w:color="auto" w:fill="auto"/>
                  <w:tcMar>
                    <w:top w:w="150" w:type="dxa"/>
                    <w:left w:w="150" w:type="dxa"/>
                    <w:bottom w:w="150" w:type="dxa"/>
                    <w:right w:w="150" w:type="dxa"/>
                  </w:tcMar>
                  <w:vAlign w:val="center"/>
                </w:tcPr>
                <w:p w14:paraId="385A09C2">
                  <w:pPr>
                    <w:keepNext w:val="0"/>
                    <w:keepLines w:val="0"/>
                    <w:widowControl/>
                    <w:suppressLineNumbers w:val="0"/>
                    <w:spacing w:line="240" w:lineRule="auto"/>
                    <w:jc w:val="center"/>
                    <w:rPr>
                      <w:rFonts w:hint="default" w:ascii="Times New Roman" w:hAnsi="Times New Roman" w:eastAsia="宋体" w:cs="Times New Roman"/>
                      <w:i w:val="0"/>
                      <w:iCs w:val="0"/>
                      <w:caps w:val="0"/>
                      <w:color w:val="FF0000"/>
                      <w:spacing w:val="0"/>
                      <w:kern w:val="0"/>
                      <w:sz w:val="21"/>
                      <w:szCs w:val="21"/>
                      <w:lang w:val="en-US" w:eastAsia="zh-CN" w:bidi="ar"/>
                    </w:rPr>
                  </w:pPr>
                  <w:r>
                    <w:rPr>
                      <w:rFonts w:hint="default" w:ascii="Times New Roman" w:hAnsi="Times New Roman" w:eastAsia="宋体" w:cs="Times New Roman"/>
                      <w:i w:val="0"/>
                      <w:iCs w:val="0"/>
                      <w:caps w:val="0"/>
                      <w:color w:val="FF0000"/>
                      <w:spacing w:val="0"/>
                      <w:kern w:val="0"/>
                      <w:sz w:val="21"/>
                      <w:szCs w:val="21"/>
                      <w:lang w:val="en-US" w:eastAsia="zh-CN" w:bidi="ar"/>
                    </w:rPr>
                    <w:t>储油桶</w:t>
                  </w:r>
                </w:p>
              </w:tc>
              <w:tc>
                <w:tcPr>
                  <w:tcW w:w="1034" w:type="pct"/>
                  <w:tcBorders>
                    <w:tl2br w:val="nil"/>
                    <w:tr2bl w:val="nil"/>
                  </w:tcBorders>
                  <w:shd w:val="clear" w:color="auto" w:fill="auto"/>
                  <w:tcMar>
                    <w:top w:w="150" w:type="dxa"/>
                    <w:left w:w="150" w:type="dxa"/>
                    <w:bottom w:w="150" w:type="dxa"/>
                    <w:right w:w="150" w:type="dxa"/>
                  </w:tcMar>
                  <w:vAlign w:val="center"/>
                </w:tcPr>
                <w:p w14:paraId="43F9E1CF">
                  <w:pPr>
                    <w:keepNext w:val="0"/>
                    <w:keepLines w:val="0"/>
                    <w:widowControl/>
                    <w:suppressLineNumbers w:val="0"/>
                    <w:spacing w:line="240" w:lineRule="auto"/>
                    <w:jc w:val="center"/>
                    <w:rPr>
                      <w:rFonts w:hint="default" w:ascii="Times New Roman" w:hAnsi="Times New Roman" w:eastAsia="宋体" w:cs="Times New Roman"/>
                      <w:i w:val="0"/>
                      <w:iCs w:val="0"/>
                      <w:caps w:val="0"/>
                      <w:color w:val="FF0000"/>
                      <w:spacing w:val="0"/>
                      <w:kern w:val="0"/>
                      <w:sz w:val="21"/>
                      <w:szCs w:val="21"/>
                      <w:lang w:val="en-US" w:eastAsia="zh-CN" w:bidi="ar"/>
                    </w:rPr>
                  </w:pPr>
                  <w:r>
                    <w:rPr>
                      <w:rFonts w:hint="default" w:ascii="Times New Roman" w:hAnsi="Times New Roman" w:eastAsia="宋体" w:cs="Times New Roman"/>
                      <w:i w:val="0"/>
                      <w:iCs w:val="0"/>
                      <w:caps w:val="0"/>
                      <w:color w:val="FF0000"/>
                      <w:spacing w:val="0"/>
                      <w:kern w:val="0"/>
                      <w:sz w:val="21"/>
                      <w:szCs w:val="21"/>
                      <w:lang w:val="en-US" w:eastAsia="zh-CN" w:bidi="ar"/>
                    </w:rPr>
                    <w:t>镀锌钢板/耐油HDPE</w:t>
                  </w:r>
                </w:p>
              </w:tc>
              <w:tc>
                <w:tcPr>
                  <w:tcW w:w="1118" w:type="pct"/>
                  <w:tcBorders>
                    <w:tl2br w:val="nil"/>
                    <w:tr2bl w:val="nil"/>
                  </w:tcBorders>
                  <w:shd w:val="clear" w:color="auto" w:fill="auto"/>
                  <w:tcMar>
                    <w:top w:w="150" w:type="dxa"/>
                    <w:left w:w="150" w:type="dxa"/>
                    <w:bottom w:w="150" w:type="dxa"/>
                    <w:right w:w="150" w:type="dxa"/>
                  </w:tcMar>
                  <w:vAlign w:val="center"/>
                </w:tcPr>
                <w:p w14:paraId="6905B11F">
                  <w:pPr>
                    <w:keepNext w:val="0"/>
                    <w:keepLines w:val="0"/>
                    <w:widowControl/>
                    <w:suppressLineNumbers w:val="0"/>
                    <w:spacing w:line="240" w:lineRule="auto"/>
                    <w:jc w:val="center"/>
                    <w:rPr>
                      <w:rFonts w:hint="default" w:ascii="Times New Roman" w:hAnsi="Times New Roman" w:eastAsia="宋体" w:cs="Times New Roman"/>
                      <w:i w:val="0"/>
                      <w:iCs w:val="0"/>
                      <w:caps w:val="0"/>
                      <w:color w:val="FF0000"/>
                      <w:spacing w:val="0"/>
                      <w:kern w:val="0"/>
                      <w:sz w:val="21"/>
                      <w:szCs w:val="21"/>
                      <w:lang w:val="en-US" w:eastAsia="zh-CN" w:bidi="ar"/>
                    </w:rPr>
                  </w:pPr>
                  <w:r>
                    <w:rPr>
                      <w:rFonts w:hint="default" w:ascii="Times New Roman" w:hAnsi="Times New Roman" w:eastAsia="宋体" w:cs="Times New Roman"/>
                      <w:i w:val="0"/>
                      <w:iCs w:val="0"/>
                      <w:caps w:val="0"/>
                      <w:color w:val="FF0000"/>
                      <w:spacing w:val="0"/>
                      <w:kern w:val="0"/>
                      <w:sz w:val="21"/>
                      <w:szCs w:val="21"/>
                      <w:lang w:val="en-US" w:eastAsia="zh-CN" w:bidi="ar"/>
                    </w:rPr>
                    <w:t>圆柱形，带密封盖、防溢流口，底部设排油阀</w:t>
                  </w:r>
                </w:p>
              </w:tc>
              <w:tc>
                <w:tcPr>
                  <w:tcW w:w="427" w:type="pct"/>
                  <w:tcBorders>
                    <w:tl2br w:val="nil"/>
                    <w:tr2bl w:val="nil"/>
                  </w:tcBorders>
                  <w:shd w:val="clear" w:color="auto" w:fill="auto"/>
                  <w:tcMar>
                    <w:top w:w="150" w:type="dxa"/>
                    <w:left w:w="150" w:type="dxa"/>
                    <w:bottom w:w="150" w:type="dxa"/>
                    <w:right w:w="150" w:type="dxa"/>
                  </w:tcMar>
                  <w:vAlign w:val="center"/>
                </w:tcPr>
                <w:p w14:paraId="72308A8A">
                  <w:pPr>
                    <w:keepNext w:val="0"/>
                    <w:keepLines w:val="0"/>
                    <w:widowControl/>
                    <w:suppressLineNumbers w:val="0"/>
                    <w:spacing w:line="240" w:lineRule="auto"/>
                    <w:jc w:val="center"/>
                    <w:rPr>
                      <w:rFonts w:hint="default" w:ascii="Times New Roman" w:hAnsi="Times New Roman" w:eastAsia="宋体" w:cs="Times New Roman"/>
                      <w:i w:val="0"/>
                      <w:iCs w:val="0"/>
                      <w:caps w:val="0"/>
                      <w:color w:val="FF0000"/>
                      <w:spacing w:val="0"/>
                      <w:kern w:val="0"/>
                      <w:sz w:val="21"/>
                      <w:szCs w:val="21"/>
                      <w:lang w:val="en-US" w:eastAsia="zh-CN" w:bidi="ar"/>
                    </w:rPr>
                  </w:pPr>
                  <w:r>
                    <w:rPr>
                      <w:rFonts w:hint="default" w:ascii="Times New Roman" w:hAnsi="Times New Roman" w:eastAsia="宋体" w:cs="Times New Roman"/>
                      <w:i w:val="0"/>
                      <w:iCs w:val="0"/>
                      <w:caps w:val="0"/>
                      <w:color w:val="FF0000"/>
                      <w:spacing w:val="0"/>
                      <w:kern w:val="0"/>
                      <w:sz w:val="21"/>
                      <w:szCs w:val="21"/>
                      <w:lang w:val="en-US" w:eastAsia="zh-CN" w:bidi="ar"/>
                    </w:rPr>
                    <w:t>200</w:t>
                  </w:r>
                </w:p>
              </w:tc>
              <w:tc>
                <w:tcPr>
                  <w:tcW w:w="341" w:type="pct"/>
                  <w:tcBorders>
                    <w:tl2br w:val="nil"/>
                    <w:tr2bl w:val="nil"/>
                  </w:tcBorders>
                  <w:shd w:val="clear" w:color="auto" w:fill="auto"/>
                  <w:tcMar>
                    <w:top w:w="150" w:type="dxa"/>
                    <w:left w:w="150" w:type="dxa"/>
                    <w:bottom w:w="150" w:type="dxa"/>
                    <w:right w:w="150" w:type="dxa"/>
                  </w:tcMar>
                  <w:vAlign w:val="center"/>
                </w:tcPr>
                <w:p w14:paraId="637BF968">
                  <w:pPr>
                    <w:keepNext w:val="0"/>
                    <w:keepLines w:val="0"/>
                    <w:widowControl/>
                    <w:suppressLineNumbers w:val="0"/>
                    <w:spacing w:line="240" w:lineRule="auto"/>
                    <w:jc w:val="center"/>
                    <w:rPr>
                      <w:rFonts w:hint="default" w:ascii="Times New Roman" w:hAnsi="Times New Roman" w:eastAsia="宋体" w:cs="Times New Roman"/>
                      <w:i w:val="0"/>
                      <w:iCs w:val="0"/>
                      <w:caps w:val="0"/>
                      <w:color w:val="FF0000"/>
                      <w:spacing w:val="0"/>
                      <w:kern w:val="0"/>
                      <w:sz w:val="21"/>
                      <w:szCs w:val="21"/>
                      <w:lang w:val="en-US" w:eastAsia="zh-CN" w:bidi="ar"/>
                    </w:rPr>
                  </w:pPr>
                  <w:r>
                    <w:rPr>
                      <w:rFonts w:hint="default" w:ascii="Times New Roman" w:hAnsi="Times New Roman" w:eastAsia="宋体" w:cs="Times New Roman"/>
                      <w:i w:val="0"/>
                      <w:iCs w:val="0"/>
                      <w:caps w:val="0"/>
                      <w:color w:val="FF0000"/>
                      <w:spacing w:val="0"/>
                      <w:kern w:val="0"/>
                      <w:sz w:val="21"/>
                      <w:szCs w:val="21"/>
                      <w:lang w:val="en-US" w:eastAsia="zh-CN" w:bidi="ar"/>
                    </w:rPr>
                    <w:t>60</w:t>
                  </w:r>
                </w:p>
              </w:tc>
              <w:tc>
                <w:tcPr>
                  <w:tcW w:w="767" w:type="pct"/>
                  <w:tcBorders>
                    <w:tl2br w:val="nil"/>
                    <w:tr2bl w:val="nil"/>
                  </w:tcBorders>
                  <w:shd w:val="clear" w:color="auto" w:fill="auto"/>
                  <w:tcMar>
                    <w:top w:w="150" w:type="dxa"/>
                    <w:left w:w="150" w:type="dxa"/>
                    <w:bottom w:w="150" w:type="dxa"/>
                    <w:right w:w="150" w:type="dxa"/>
                  </w:tcMar>
                  <w:vAlign w:val="center"/>
                </w:tcPr>
                <w:p w14:paraId="2A160F7E">
                  <w:pPr>
                    <w:keepNext w:val="0"/>
                    <w:keepLines w:val="0"/>
                    <w:widowControl/>
                    <w:suppressLineNumbers w:val="0"/>
                    <w:spacing w:line="240" w:lineRule="auto"/>
                    <w:jc w:val="center"/>
                    <w:rPr>
                      <w:rFonts w:hint="default" w:ascii="Times New Roman" w:hAnsi="Times New Roman" w:eastAsia="宋体" w:cs="Times New Roman"/>
                      <w:i w:val="0"/>
                      <w:iCs w:val="0"/>
                      <w:caps w:val="0"/>
                      <w:color w:val="FF0000"/>
                      <w:spacing w:val="0"/>
                      <w:kern w:val="0"/>
                      <w:sz w:val="21"/>
                      <w:szCs w:val="21"/>
                      <w:lang w:val="en-US" w:eastAsia="zh-CN" w:bidi="ar"/>
                    </w:rPr>
                  </w:pPr>
                  <w:r>
                    <w:rPr>
                      <w:rFonts w:hint="default" w:ascii="Times New Roman" w:hAnsi="Times New Roman" w:eastAsia="宋体" w:cs="Times New Roman"/>
                      <w:i w:val="0"/>
                      <w:iCs w:val="0"/>
                      <w:caps w:val="0"/>
                      <w:color w:val="FF0000"/>
                      <w:spacing w:val="0"/>
                      <w:kern w:val="0"/>
                      <w:sz w:val="21"/>
                      <w:szCs w:val="21"/>
                      <w:lang w:val="en-US" w:eastAsia="zh-CN" w:bidi="ar"/>
                    </w:rPr>
                    <w:t>发动机/变速箱放油、油箱抽油</w:t>
                  </w:r>
                </w:p>
              </w:tc>
            </w:tr>
            <w:tr w14:paraId="5C9905D9">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shd w:val="clear" w:color="auto" w:fill="auto"/>
                <w:tblCellMar>
                  <w:top w:w="15" w:type="dxa"/>
                  <w:left w:w="15" w:type="dxa"/>
                  <w:bottom w:w="15" w:type="dxa"/>
                  <w:right w:w="15" w:type="dxa"/>
                </w:tblCellMar>
              </w:tblPrEx>
              <w:tc>
                <w:tcPr>
                  <w:tcW w:w="246" w:type="pct"/>
                  <w:tcBorders>
                    <w:tl2br w:val="nil"/>
                    <w:tr2bl w:val="nil"/>
                  </w:tcBorders>
                  <w:shd w:val="clear" w:color="auto" w:fill="auto"/>
                  <w:tcMar>
                    <w:top w:w="150" w:type="dxa"/>
                    <w:left w:w="0" w:type="dxa"/>
                    <w:bottom w:w="150" w:type="dxa"/>
                    <w:right w:w="150" w:type="dxa"/>
                  </w:tcMar>
                  <w:vAlign w:val="center"/>
                </w:tcPr>
                <w:p w14:paraId="069FD6E0">
                  <w:pPr>
                    <w:keepNext w:val="0"/>
                    <w:keepLines w:val="0"/>
                    <w:widowControl/>
                    <w:suppressLineNumbers w:val="0"/>
                    <w:spacing w:line="240" w:lineRule="auto"/>
                    <w:jc w:val="center"/>
                    <w:rPr>
                      <w:rFonts w:hint="default" w:ascii="Times New Roman" w:hAnsi="Times New Roman" w:eastAsia="宋体" w:cs="Times New Roman"/>
                      <w:i w:val="0"/>
                      <w:iCs w:val="0"/>
                      <w:caps w:val="0"/>
                      <w:color w:val="FF0000"/>
                      <w:spacing w:val="0"/>
                      <w:kern w:val="0"/>
                      <w:sz w:val="21"/>
                      <w:szCs w:val="21"/>
                      <w:lang w:val="en-US" w:eastAsia="zh-CN" w:bidi="ar"/>
                    </w:rPr>
                  </w:pPr>
                  <w:r>
                    <w:rPr>
                      <w:rFonts w:hint="default" w:ascii="Times New Roman" w:hAnsi="Times New Roman" w:eastAsia="宋体" w:cs="Times New Roman"/>
                      <w:i w:val="0"/>
                      <w:iCs w:val="0"/>
                      <w:caps w:val="0"/>
                      <w:color w:val="FF0000"/>
                      <w:spacing w:val="0"/>
                      <w:kern w:val="0"/>
                      <w:sz w:val="21"/>
                      <w:szCs w:val="21"/>
                      <w:lang w:val="en-US" w:eastAsia="zh-CN" w:bidi="ar"/>
                    </w:rPr>
                    <w:t>2</w:t>
                  </w:r>
                </w:p>
              </w:tc>
              <w:tc>
                <w:tcPr>
                  <w:tcW w:w="492" w:type="pct"/>
                  <w:tcBorders>
                    <w:tl2br w:val="nil"/>
                    <w:tr2bl w:val="nil"/>
                  </w:tcBorders>
                  <w:shd w:val="clear" w:color="auto" w:fill="auto"/>
                  <w:tcMar>
                    <w:top w:w="150" w:type="dxa"/>
                    <w:left w:w="150" w:type="dxa"/>
                    <w:bottom w:w="150" w:type="dxa"/>
                    <w:right w:w="150" w:type="dxa"/>
                  </w:tcMar>
                  <w:vAlign w:val="center"/>
                </w:tcPr>
                <w:p w14:paraId="128FAD6C">
                  <w:pPr>
                    <w:keepNext w:val="0"/>
                    <w:keepLines w:val="0"/>
                    <w:widowControl/>
                    <w:suppressLineNumbers w:val="0"/>
                    <w:spacing w:line="240" w:lineRule="auto"/>
                    <w:jc w:val="center"/>
                    <w:rPr>
                      <w:rFonts w:hint="default" w:ascii="Times New Roman" w:hAnsi="Times New Roman" w:eastAsia="宋体" w:cs="Times New Roman"/>
                      <w:i w:val="0"/>
                      <w:iCs w:val="0"/>
                      <w:caps w:val="0"/>
                      <w:color w:val="FF0000"/>
                      <w:spacing w:val="0"/>
                      <w:kern w:val="0"/>
                      <w:sz w:val="21"/>
                      <w:szCs w:val="21"/>
                      <w:lang w:val="en-US" w:eastAsia="zh-CN" w:bidi="ar"/>
                    </w:rPr>
                  </w:pPr>
                  <w:r>
                    <w:rPr>
                      <w:rFonts w:hint="default" w:ascii="Times New Roman" w:hAnsi="Times New Roman" w:eastAsia="宋体" w:cs="Times New Roman"/>
                      <w:i w:val="0"/>
                      <w:iCs w:val="0"/>
                      <w:caps w:val="0"/>
                      <w:color w:val="FF0000"/>
                      <w:spacing w:val="0"/>
                      <w:kern w:val="0"/>
                      <w:sz w:val="21"/>
                      <w:szCs w:val="21"/>
                      <w:lang w:val="en-US" w:eastAsia="zh-CN" w:bidi="ar"/>
                    </w:rPr>
                    <w:t>废制冷剂</w:t>
                  </w:r>
                </w:p>
              </w:tc>
              <w:tc>
                <w:tcPr>
                  <w:tcW w:w="571" w:type="pct"/>
                  <w:tcBorders>
                    <w:tl2br w:val="nil"/>
                    <w:tr2bl w:val="nil"/>
                  </w:tcBorders>
                  <w:shd w:val="clear" w:color="auto" w:fill="auto"/>
                  <w:tcMar>
                    <w:top w:w="150" w:type="dxa"/>
                    <w:left w:w="150" w:type="dxa"/>
                    <w:bottom w:w="150" w:type="dxa"/>
                    <w:right w:w="150" w:type="dxa"/>
                  </w:tcMar>
                  <w:vAlign w:val="center"/>
                </w:tcPr>
                <w:p w14:paraId="56DB4481">
                  <w:pPr>
                    <w:keepNext w:val="0"/>
                    <w:keepLines w:val="0"/>
                    <w:widowControl/>
                    <w:suppressLineNumbers w:val="0"/>
                    <w:spacing w:line="240" w:lineRule="auto"/>
                    <w:jc w:val="center"/>
                    <w:rPr>
                      <w:rFonts w:hint="default" w:ascii="Times New Roman" w:hAnsi="Times New Roman" w:eastAsia="宋体" w:cs="Times New Roman"/>
                      <w:i w:val="0"/>
                      <w:iCs w:val="0"/>
                      <w:caps w:val="0"/>
                      <w:color w:val="FF0000"/>
                      <w:spacing w:val="0"/>
                      <w:kern w:val="0"/>
                      <w:sz w:val="21"/>
                      <w:szCs w:val="21"/>
                      <w:lang w:val="en-US" w:eastAsia="zh-CN" w:bidi="ar"/>
                    </w:rPr>
                  </w:pPr>
                  <w:r>
                    <w:rPr>
                      <w:rFonts w:hint="default" w:ascii="Times New Roman" w:hAnsi="Times New Roman" w:eastAsia="宋体" w:cs="Times New Roman"/>
                      <w:i w:val="0"/>
                      <w:iCs w:val="0"/>
                      <w:caps w:val="0"/>
                      <w:color w:val="FF0000"/>
                      <w:spacing w:val="0"/>
                      <w:kern w:val="0"/>
                      <w:sz w:val="21"/>
                      <w:szCs w:val="21"/>
                      <w:lang w:val="en-US" w:eastAsia="zh-CN" w:bidi="ar"/>
                    </w:rPr>
                    <w:t>高压回收钢瓶</w:t>
                  </w:r>
                </w:p>
              </w:tc>
              <w:tc>
                <w:tcPr>
                  <w:tcW w:w="1034" w:type="pct"/>
                  <w:tcBorders>
                    <w:tl2br w:val="nil"/>
                    <w:tr2bl w:val="nil"/>
                  </w:tcBorders>
                  <w:shd w:val="clear" w:color="auto" w:fill="auto"/>
                  <w:tcMar>
                    <w:top w:w="150" w:type="dxa"/>
                    <w:left w:w="150" w:type="dxa"/>
                    <w:bottom w:w="150" w:type="dxa"/>
                    <w:right w:w="150" w:type="dxa"/>
                  </w:tcMar>
                  <w:vAlign w:val="center"/>
                </w:tcPr>
                <w:p w14:paraId="6E1E00E1">
                  <w:pPr>
                    <w:keepNext w:val="0"/>
                    <w:keepLines w:val="0"/>
                    <w:widowControl/>
                    <w:suppressLineNumbers w:val="0"/>
                    <w:spacing w:line="240" w:lineRule="auto"/>
                    <w:jc w:val="center"/>
                    <w:rPr>
                      <w:rFonts w:hint="default" w:ascii="Times New Roman" w:hAnsi="Times New Roman" w:eastAsia="宋体" w:cs="Times New Roman"/>
                      <w:i w:val="0"/>
                      <w:iCs w:val="0"/>
                      <w:caps w:val="0"/>
                      <w:color w:val="FF0000"/>
                      <w:spacing w:val="0"/>
                      <w:kern w:val="0"/>
                      <w:sz w:val="21"/>
                      <w:szCs w:val="21"/>
                      <w:lang w:val="en-US" w:eastAsia="zh-CN" w:bidi="ar"/>
                    </w:rPr>
                  </w:pPr>
                  <w:r>
                    <w:rPr>
                      <w:rFonts w:hint="default" w:ascii="Times New Roman" w:hAnsi="Times New Roman" w:eastAsia="宋体" w:cs="Times New Roman"/>
                      <w:i w:val="0"/>
                      <w:iCs w:val="0"/>
                      <w:caps w:val="0"/>
                      <w:color w:val="FF0000"/>
                      <w:spacing w:val="0"/>
                      <w:kern w:val="0"/>
                      <w:sz w:val="21"/>
                      <w:szCs w:val="21"/>
                      <w:lang w:val="en-US" w:eastAsia="zh-CN" w:bidi="ar"/>
                    </w:rPr>
                    <w:t>特种钢（耐压≥3MPa）</w:t>
                  </w:r>
                </w:p>
              </w:tc>
              <w:tc>
                <w:tcPr>
                  <w:tcW w:w="1118" w:type="pct"/>
                  <w:tcBorders>
                    <w:tl2br w:val="nil"/>
                    <w:tr2bl w:val="nil"/>
                  </w:tcBorders>
                  <w:shd w:val="clear" w:color="auto" w:fill="auto"/>
                  <w:tcMar>
                    <w:top w:w="150" w:type="dxa"/>
                    <w:left w:w="150" w:type="dxa"/>
                    <w:bottom w:w="150" w:type="dxa"/>
                    <w:right w:w="150" w:type="dxa"/>
                  </w:tcMar>
                  <w:vAlign w:val="center"/>
                </w:tcPr>
                <w:p w14:paraId="080BAB05">
                  <w:pPr>
                    <w:keepNext w:val="0"/>
                    <w:keepLines w:val="0"/>
                    <w:widowControl/>
                    <w:suppressLineNumbers w:val="0"/>
                    <w:spacing w:line="240" w:lineRule="auto"/>
                    <w:jc w:val="center"/>
                    <w:rPr>
                      <w:rFonts w:hint="default" w:ascii="Times New Roman" w:hAnsi="Times New Roman" w:eastAsia="宋体" w:cs="Times New Roman"/>
                      <w:i w:val="0"/>
                      <w:iCs w:val="0"/>
                      <w:caps w:val="0"/>
                      <w:color w:val="FF0000"/>
                      <w:spacing w:val="0"/>
                      <w:kern w:val="0"/>
                      <w:sz w:val="21"/>
                      <w:szCs w:val="21"/>
                      <w:lang w:val="en-US" w:eastAsia="zh-CN" w:bidi="ar"/>
                    </w:rPr>
                  </w:pPr>
                  <w:r>
                    <w:rPr>
                      <w:rFonts w:hint="default" w:ascii="Times New Roman" w:hAnsi="Times New Roman" w:eastAsia="宋体" w:cs="Times New Roman"/>
                      <w:i w:val="0"/>
                      <w:iCs w:val="0"/>
                      <w:caps w:val="0"/>
                      <w:color w:val="FF0000"/>
                      <w:spacing w:val="0"/>
                      <w:kern w:val="0"/>
                      <w:sz w:val="21"/>
                      <w:szCs w:val="21"/>
                      <w:lang w:val="en-US" w:eastAsia="zh-CN" w:bidi="ar"/>
                    </w:rPr>
                    <w:t>配备压力表、安全阀，瓶体标注制冷剂类型</w:t>
                  </w:r>
                </w:p>
              </w:tc>
              <w:tc>
                <w:tcPr>
                  <w:tcW w:w="427" w:type="pct"/>
                  <w:tcBorders>
                    <w:tl2br w:val="nil"/>
                    <w:tr2bl w:val="nil"/>
                  </w:tcBorders>
                  <w:shd w:val="clear" w:color="auto" w:fill="auto"/>
                  <w:tcMar>
                    <w:top w:w="150" w:type="dxa"/>
                    <w:left w:w="150" w:type="dxa"/>
                    <w:bottom w:w="150" w:type="dxa"/>
                    <w:right w:w="150" w:type="dxa"/>
                  </w:tcMar>
                  <w:vAlign w:val="center"/>
                </w:tcPr>
                <w:p w14:paraId="73A27904">
                  <w:pPr>
                    <w:keepNext w:val="0"/>
                    <w:keepLines w:val="0"/>
                    <w:widowControl/>
                    <w:suppressLineNumbers w:val="0"/>
                    <w:spacing w:line="240" w:lineRule="auto"/>
                    <w:jc w:val="center"/>
                    <w:rPr>
                      <w:rFonts w:hint="default" w:ascii="Times New Roman" w:hAnsi="Times New Roman" w:eastAsia="宋体" w:cs="Times New Roman"/>
                      <w:i w:val="0"/>
                      <w:iCs w:val="0"/>
                      <w:caps w:val="0"/>
                      <w:color w:val="FF0000"/>
                      <w:spacing w:val="0"/>
                      <w:kern w:val="0"/>
                      <w:sz w:val="21"/>
                      <w:szCs w:val="21"/>
                      <w:lang w:val="en-US" w:eastAsia="zh-CN" w:bidi="ar"/>
                    </w:rPr>
                  </w:pPr>
                  <w:r>
                    <w:rPr>
                      <w:rFonts w:hint="default" w:ascii="Times New Roman" w:hAnsi="Times New Roman" w:eastAsia="宋体" w:cs="Times New Roman"/>
                      <w:i w:val="0"/>
                      <w:iCs w:val="0"/>
                      <w:caps w:val="0"/>
                      <w:color w:val="FF0000"/>
                      <w:spacing w:val="0"/>
                      <w:kern w:val="0"/>
                      <w:sz w:val="21"/>
                      <w:szCs w:val="21"/>
                      <w:lang w:val="en-US" w:eastAsia="zh-CN" w:bidi="ar"/>
                    </w:rPr>
                    <w:t>30</w:t>
                  </w:r>
                </w:p>
              </w:tc>
              <w:tc>
                <w:tcPr>
                  <w:tcW w:w="341" w:type="pct"/>
                  <w:tcBorders>
                    <w:tl2br w:val="nil"/>
                    <w:tr2bl w:val="nil"/>
                  </w:tcBorders>
                  <w:shd w:val="clear" w:color="auto" w:fill="auto"/>
                  <w:tcMar>
                    <w:top w:w="150" w:type="dxa"/>
                    <w:left w:w="150" w:type="dxa"/>
                    <w:bottom w:w="150" w:type="dxa"/>
                    <w:right w:w="150" w:type="dxa"/>
                  </w:tcMar>
                  <w:vAlign w:val="center"/>
                </w:tcPr>
                <w:p w14:paraId="7529183A">
                  <w:pPr>
                    <w:keepNext w:val="0"/>
                    <w:keepLines w:val="0"/>
                    <w:widowControl/>
                    <w:suppressLineNumbers w:val="0"/>
                    <w:spacing w:line="240" w:lineRule="auto"/>
                    <w:jc w:val="center"/>
                    <w:rPr>
                      <w:rFonts w:hint="default" w:ascii="Times New Roman" w:hAnsi="Times New Roman" w:eastAsia="宋体" w:cs="Times New Roman"/>
                      <w:i w:val="0"/>
                      <w:iCs w:val="0"/>
                      <w:caps w:val="0"/>
                      <w:color w:val="FF0000"/>
                      <w:spacing w:val="0"/>
                      <w:kern w:val="0"/>
                      <w:sz w:val="21"/>
                      <w:szCs w:val="21"/>
                      <w:lang w:val="en-US" w:eastAsia="zh-CN" w:bidi="ar"/>
                    </w:rPr>
                  </w:pPr>
                  <w:r>
                    <w:rPr>
                      <w:rFonts w:hint="default" w:ascii="Times New Roman" w:hAnsi="Times New Roman" w:eastAsia="宋体" w:cs="Times New Roman"/>
                      <w:i w:val="0"/>
                      <w:iCs w:val="0"/>
                      <w:caps w:val="0"/>
                      <w:color w:val="FF0000"/>
                      <w:spacing w:val="0"/>
                      <w:kern w:val="0"/>
                      <w:sz w:val="21"/>
                      <w:szCs w:val="21"/>
                      <w:lang w:val="en-US" w:eastAsia="zh-CN" w:bidi="ar"/>
                    </w:rPr>
                    <w:t>20</w:t>
                  </w:r>
                </w:p>
              </w:tc>
              <w:tc>
                <w:tcPr>
                  <w:tcW w:w="767" w:type="pct"/>
                  <w:tcBorders>
                    <w:tl2br w:val="nil"/>
                    <w:tr2bl w:val="nil"/>
                  </w:tcBorders>
                  <w:shd w:val="clear" w:color="auto" w:fill="auto"/>
                  <w:tcMar>
                    <w:top w:w="150" w:type="dxa"/>
                    <w:left w:w="150" w:type="dxa"/>
                    <w:bottom w:w="150" w:type="dxa"/>
                    <w:right w:w="150" w:type="dxa"/>
                  </w:tcMar>
                  <w:vAlign w:val="center"/>
                </w:tcPr>
                <w:p w14:paraId="1E9463E6">
                  <w:pPr>
                    <w:keepNext w:val="0"/>
                    <w:keepLines w:val="0"/>
                    <w:widowControl/>
                    <w:suppressLineNumbers w:val="0"/>
                    <w:spacing w:line="240" w:lineRule="auto"/>
                    <w:jc w:val="center"/>
                    <w:rPr>
                      <w:rFonts w:hint="default" w:ascii="Times New Roman" w:hAnsi="Times New Roman" w:eastAsia="宋体" w:cs="Times New Roman"/>
                      <w:i w:val="0"/>
                      <w:iCs w:val="0"/>
                      <w:caps w:val="0"/>
                      <w:color w:val="FF0000"/>
                      <w:spacing w:val="0"/>
                      <w:kern w:val="0"/>
                      <w:sz w:val="21"/>
                      <w:szCs w:val="21"/>
                      <w:lang w:val="en-US" w:eastAsia="zh-CN" w:bidi="ar"/>
                    </w:rPr>
                  </w:pPr>
                  <w:r>
                    <w:rPr>
                      <w:rFonts w:hint="default" w:ascii="Times New Roman" w:hAnsi="Times New Roman" w:eastAsia="宋体" w:cs="Times New Roman"/>
                      <w:i w:val="0"/>
                      <w:iCs w:val="0"/>
                      <w:caps w:val="0"/>
                      <w:color w:val="FF0000"/>
                      <w:spacing w:val="0"/>
                      <w:kern w:val="0"/>
                      <w:sz w:val="21"/>
                      <w:szCs w:val="21"/>
                      <w:lang w:val="en-US" w:eastAsia="zh-CN" w:bidi="ar"/>
                    </w:rPr>
                    <w:t>空调冷媒回收</w:t>
                  </w:r>
                </w:p>
              </w:tc>
            </w:tr>
            <w:tr w14:paraId="3A08FB9D">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shd w:val="clear" w:color="auto" w:fill="auto"/>
                <w:tblCellMar>
                  <w:top w:w="15" w:type="dxa"/>
                  <w:left w:w="15" w:type="dxa"/>
                  <w:bottom w:w="15" w:type="dxa"/>
                  <w:right w:w="15" w:type="dxa"/>
                </w:tblCellMar>
              </w:tblPrEx>
              <w:tc>
                <w:tcPr>
                  <w:tcW w:w="246" w:type="pct"/>
                  <w:tcBorders>
                    <w:tl2br w:val="nil"/>
                    <w:tr2bl w:val="nil"/>
                  </w:tcBorders>
                  <w:shd w:val="clear" w:color="auto" w:fill="auto"/>
                  <w:tcMar>
                    <w:top w:w="150" w:type="dxa"/>
                    <w:left w:w="0" w:type="dxa"/>
                    <w:bottom w:w="150" w:type="dxa"/>
                    <w:right w:w="150" w:type="dxa"/>
                  </w:tcMar>
                  <w:vAlign w:val="center"/>
                </w:tcPr>
                <w:p w14:paraId="3ABEAA00">
                  <w:pPr>
                    <w:keepNext w:val="0"/>
                    <w:keepLines w:val="0"/>
                    <w:widowControl/>
                    <w:suppressLineNumbers w:val="0"/>
                    <w:spacing w:line="240" w:lineRule="auto"/>
                    <w:jc w:val="center"/>
                    <w:rPr>
                      <w:rFonts w:hint="default" w:ascii="Times New Roman" w:hAnsi="Times New Roman" w:eastAsia="宋体" w:cs="Times New Roman"/>
                      <w:i w:val="0"/>
                      <w:iCs w:val="0"/>
                      <w:caps w:val="0"/>
                      <w:color w:val="FF0000"/>
                      <w:spacing w:val="0"/>
                      <w:kern w:val="0"/>
                      <w:sz w:val="21"/>
                      <w:szCs w:val="21"/>
                      <w:lang w:val="en-US" w:eastAsia="zh-CN" w:bidi="ar"/>
                    </w:rPr>
                  </w:pPr>
                  <w:r>
                    <w:rPr>
                      <w:rFonts w:hint="default" w:ascii="Times New Roman" w:hAnsi="Times New Roman" w:eastAsia="宋体" w:cs="Times New Roman"/>
                      <w:i w:val="0"/>
                      <w:iCs w:val="0"/>
                      <w:caps w:val="0"/>
                      <w:color w:val="FF0000"/>
                      <w:spacing w:val="0"/>
                      <w:kern w:val="0"/>
                      <w:sz w:val="21"/>
                      <w:szCs w:val="21"/>
                      <w:lang w:val="en-US" w:eastAsia="zh-CN" w:bidi="ar"/>
                    </w:rPr>
                    <w:t>3</w:t>
                  </w:r>
                </w:p>
              </w:tc>
              <w:tc>
                <w:tcPr>
                  <w:tcW w:w="492" w:type="pct"/>
                  <w:tcBorders>
                    <w:tl2br w:val="nil"/>
                    <w:tr2bl w:val="nil"/>
                  </w:tcBorders>
                  <w:shd w:val="clear" w:color="auto" w:fill="auto"/>
                  <w:tcMar>
                    <w:top w:w="150" w:type="dxa"/>
                    <w:left w:w="150" w:type="dxa"/>
                    <w:bottom w:w="150" w:type="dxa"/>
                    <w:right w:w="150" w:type="dxa"/>
                  </w:tcMar>
                  <w:vAlign w:val="center"/>
                </w:tcPr>
                <w:p w14:paraId="20185665">
                  <w:pPr>
                    <w:keepNext w:val="0"/>
                    <w:keepLines w:val="0"/>
                    <w:widowControl/>
                    <w:suppressLineNumbers w:val="0"/>
                    <w:spacing w:line="240" w:lineRule="auto"/>
                    <w:jc w:val="center"/>
                    <w:rPr>
                      <w:rFonts w:hint="default" w:ascii="Times New Roman" w:hAnsi="Times New Roman" w:eastAsia="宋体" w:cs="Times New Roman"/>
                      <w:i w:val="0"/>
                      <w:iCs w:val="0"/>
                      <w:caps w:val="0"/>
                      <w:color w:val="FF0000"/>
                      <w:spacing w:val="0"/>
                      <w:kern w:val="0"/>
                      <w:sz w:val="21"/>
                      <w:szCs w:val="21"/>
                      <w:lang w:val="en-US" w:eastAsia="zh-CN" w:bidi="ar"/>
                    </w:rPr>
                  </w:pPr>
                  <w:r>
                    <w:rPr>
                      <w:rFonts w:hint="default" w:ascii="Times New Roman" w:hAnsi="Times New Roman" w:eastAsia="宋体" w:cs="Times New Roman"/>
                      <w:i w:val="0"/>
                      <w:iCs w:val="0"/>
                      <w:caps w:val="0"/>
                      <w:color w:val="FF0000"/>
                      <w:spacing w:val="0"/>
                      <w:kern w:val="0"/>
                      <w:sz w:val="21"/>
                      <w:szCs w:val="21"/>
                      <w:lang w:val="en-US" w:eastAsia="zh-CN" w:bidi="ar"/>
                    </w:rPr>
                    <w:t>破损铅酸蓄电池</w:t>
                  </w:r>
                </w:p>
              </w:tc>
              <w:tc>
                <w:tcPr>
                  <w:tcW w:w="571" w:type="pct"/>
                  <w:tcBorders>
                    <w:tl2br w:val="nil"/>
                    <w:tr2bl w:val="nil"/>
                  </w:tcBorders>
                  <w:shd w:val="clear" w:color="auto" w:fill="auto"/>
                  <w:tcMar>
                    <w:top w:w="150" w:type="dxa"/>
                    <w:left w:w="150" w:type="dxa"/>
                    <w:bottom w:w="150" w:type="dxa"/>
                    <w:right w:w="150" w:type="dxa"/>
                  </w:tcMar>
                  <w:vAlign w:val="center"/>
                </w:tcPr>
                <w:p w14:paraId="708F82F0">
                  <w:pPr>
                    <w:keepNext w:val="0"/>
                    <w:keepLines w:val="0"/>
                    <w:widowControl/>
                    <w:suppressLineNumbers w:val="0"/>
                    <w:spacing w:line="240" w:lineRule="auto"/>
                    <w:jc w:val="center"/>
                    <w:rPr>
                      <w:rFonts w:hint="default" w:ascii="Times New Roman" w:hAnsi="Times New Roman" w:eastAsia="宋体" w:cs="Times New Roman"/>
                      <w:i w:val="0"/>
                      <w:iCs w:val="0"/>
                      <w:caps w:val="0"/>
                      <w:color w:val="FF0000"/>
                      <w:spacing w:val="0"/>
                      <w:kern w:val="0"/>
                      <w:sz w:val="21"/>
                      <w:szCs w:val="21"/>
                      <w:lang w:val="en-US" w:eastAsia="zh-CN" w:bidi="ar"/>
                    </w:rPr>
                  </w:pPr>
                  <w:r>
                    <w:rPr>
                      <w:rFonts w:hint="default" w:ascii="Times New Roman" w:hAnsi="Times New Roman" w:eastAsia="宋体" w:cs="Times New Roman"/>
                      <w:i w:val="0"/>
                      <w:iCs w:val="0"/>
                      <w:caps w:val="0"/>
                      <w:color w:val="FF0000"/>
                      <w:spacing w:val="0"/>
                      <w:kern w:val="0"/>
                      <w:sz w:val="21"/>
                      <w:szCs w:val="21"/>
                      <w:lang w:val="en-US" w:eastAsia="zh-CN" w:bidi="ar"/>
                    </w:rPr>
                    <w:t>耐酸密闭容器</w:t>
                  </w:r>
                </w:p>
              </w:tc>
              <w:tc>
                <w:tcPr>
                  <w:tcW w:w="1034" w:type="pct"/>
                  <w:tcBorders>
                    <w:tl2br w:val="nil"/>
                    <w:tr2bl w:val="nil"/>
                  </w:tcBorders>
                  <w:shd w:val="clear" w:color="auto" w:fill="auto"/>
                  <w:tcMar>
                    <w:top w:w="150" w:type="dxa"/>
                    <w:left w:w="150" w:type="dxa"/>
                    <w:bottom w:w="150" w:type="dxa"/>
                    <w:right w:w="150" w:type="dxa"/>
                  </w:tcMar>
                  <w:vAlign w:val="center"/>
                </w:tcPr>
                <w:p w14:paraId="554FE4F3">
                  <w:pPr>
                    <w:keepNext w:val="0"/>
                    <w:keepLines w:val="0"/>
                    <w:widowControl/>
                    <w:suppressLineNumbers w:val="0"/>
                    <w:spacing w:line="240" w:lineRule="auto"/>
                    <w:jc w:val="center"/>
                    <w:rPr>
                      <w:rFonts w:hint="default" w:ascii="Times New Roman" w:hAnsi="Times New Roman" w:eastAsia="宋体" w:cs="Times New Roman"/>
                      <w:i w:val="0"/>
                      <w:iCs w:val="0"/>
                      <w:caps w:val="0"/>
                      <w:color w:val="FF0000"/>
                      <w:spacing w:val="0"/>
                      <w:kern w:val="0"/>
                      <w:sz w:val="21"/>
                      <w:szCs w:val="21"/>
                      <w:lang w:val="en-US" w:eastAsia="zh-CN" w:bidi="ar"/>
                    </w:rPr>
                  </w:pPr>
                  <w:r>
                    <w:rPr>
                      <w:rFonts w:hint="default" w:ascii="Times New Roman" w:hAnsi="Times New Roman" w:eastAsia="宋体" w:cs="Times New Roman"/>
                      <w:i w:val="0"/>
                      <w:iCs w:val="0"/>
                      <w:caps w:val="0"/>
                      <w:color w:val="FF0000"/>
                      <w:spacing w:val="0"/>
                      <w:kern w:val="0"/>
                      <w:sz w:val="21"/>
                      <w:szCs w:val="21"/>
                      <w:lang w:val="en-US" w:eastAsia="zh-CN" w:bidi="ar"/>
                    </w:rPr>
                    <w:t>HDPE（厚度≥5mm）</w:t>
                  </w:r>
                </w:p>
              </w:tc>
              <w:tc>
                <w:tcPr>
                  <w:tcW w:w="1118" w:type="pct"/>
                  <w:tcBorders>
                    <w:tl2br w:val="nil"/>
                    <w:tr2bl w:val="nil"/>
                  </w:tcBorders>
                  <w:shd w:val="clear" w:color="auto" w:fill="auto"/>
                  <w:tcMar>
                    <w:top w:w="150" w:type="dxa"/>
                    <w:left w:w="150" w:type="dxa"/>
                    <w:bottom w:w="150" w:type="dxa"/>
                    <w:right w:w="150" w:type="dxa"/>
                  </w:tcMar>
                  <w:vAlign w:val="center"/>
                </w:tcPr>
                <w:p w14:paraId="55ACA11B">
                  <w:pPr>
                    <w:keepNext w:val="0"/>
                    <w:keepLines w:val="0"/>
                    <w:widowControl/>
                    <w:suppressLineNumbers w:val="0"/>
                    <w:spacing w:line="240" w:lineRule="auto"/>
                    <w:jc w:val="center"/>
                    <w:rPr>
                      <w:rFonts w:hint="default" w:ascii="Times New Roman" w:hAnsi="Times New Roman" w:eastAsia="宋体" w:cs="Times New Roman"/>
                      <w:i w:val="0"/>
                      <w:iCs w:val="0"/>
                      <w:caps w:val="0"/>
                      <w:color w:val="FF0000"/>
                      <w:spacing w:val="0"/>
                      <w:kern w:val="0"/>
                      <w:sz w:val="21"/>
                      <w:szCs w:val="21"/>
                      <w:lang w:val="en-US" w:eastAsia="zh-CN" w:bidi="ar"/>
                    </w:rPr>
                  </w:pPr>
                  <w:r>
                    <w:rPr>
                      <w:rFonts w:hint="default" w:ascii="Times New Roman" w:hAnsi="Times New Roman" w:eastAsia="宋体" w:cs="Times New Roman"/>
                      <w:i w:val="0"/>
                      <w:iCs w:val="0"/>
                      <w:caps w:val="0"/>
                      <w:color w:val="FF0000"/>
                      <w:spacing w:val="0"/>
                      <w:kern w:val="0"/>
                      <w:sz w:val="21"/>
                      <w:szCs w:val="21"/>
                      <w:lang w:val="en-US" w:eastAsia="zh-CN" w:bidi="ar"/>
                    </w:rPr>
                    <w:t>带内衬防漏托盘，盖体密封圈，侧壁贴“腐蚀性”标识</w:t>
                  </w:r>
                </w:p>
              </w:tc>
              <w:tc>
                <w:tcPr>
                  <w:tcW w:w="427" w:type="pct"/>
                  <w:tcBorders>
                    <w:tl2br w:val="nil"/>
                    <w:tr2bl w:val="nil"/>
                  </w:tcBorders>
                  <w:shd w:val="clear" w:color="auto" w:fill="auto"/>
                  <w:tcMar>
                    <w:top w:w="150" w:type="dxa"/>
                    <w:left w:w="150" w:type="dxa"/>
                    <w:bottom w:w="150" w:type="dxa"/>
                    <w:right w:w="150" w:type="dxa"/>
                  </w:tcMar>
                  <w:vAlign w:val="center"/>
                </w:tcPr>
                <w:p w14:paraId="59020127">
                  <w:pPr>
                    <w:keepNext w:val="0"/>
                    <w:keepLines w:val="0"/>
                    <w:widowControl/>
                    <w:suppressLineNumbers w:val="0"/>
                    <w:spacing w:line="240" w:lineRule="auto"/>
                    <w:jc w:val="center"/>
                    <w:rPr>
                      <w:rFonts w:hint="default" w:ascii="Times New Roman" w:hAnsi="Times New Roman" w:eastAsia="宋体" w:cs="Times New Roman"/>
                      <w:i w:val="0"/>
                      <w:iCs w:val="0"/>
                      <w:caps w:val="0"/>
                      <w:color w:val="FF0000"/>
                      <w:spacing w:val="0"/>
                      <w:kern w:val="0"/>
                      <w:sz w:val="21"/>
                      <w:szCs w:val="21"/>
                      <w:lang w:val="en-US" w:eastAsia="zh-CN" w:bidi="ar"/>
                    </w:rPr>
                  </w:pPr>
                  <w:r>
                    <w:rPr>
                      <w:rFonts w:hint="default" w:ascii="Times New Roman" w:hAnsi="Times New Roman" w:eastAsia="宋体" w:cs="Times New Roman"/>
                      <w:i w:val="0"/>
                      <w:iCs w:val="0"/>
                      <w:caps w:val="0"/>
                      <w:color w:val="FF0000"/>
                      <w:spacing w:val="0"/>
                      <w:kern w:val="0"/>
                      <w:sz w:val="21"/>
                      <w:szCs w:val="21"/>
                      <w:lang w:val="en-US" w:eastAsia="zh-CN" w:bidi="ar"/>
                    </w:rPr>
                    <w:t>120</w:t>
                  </w:r>
                </w:p>
              </w:tc>
              <w:tc>
                <w:tcPr>
                  <w:tcW w:w="341" w:type="pct"/>
                  <w:tcBorders>
                    <w:tl2br w:val="nil"/>
                    <w:tr2bl w:val="nil"/>
                  </w:tcBorders>
                  <w:shd w:val="clear" w:color="auto" w:fill="auto"/>
                  <w:tcMar>
                    <w:top w:w="150" w:type="dxa"/>
                    <w:left w:w="150" w:type="dxa"/>
                    <w:bottom w:w="150" w:type="dxa"/>
                    <w:right w:w="150" w:type="dxa"/>
                  </w:tcMar>
                  <w:vAlign w:val="center"/>
                </w:tcPr>
                <w:p w14:paraId="7CD62C5A">
                  <w:pPr>
                    <w:keepNext w:val="0"/>
                    <w:keepLines w:val="0"/>
                    <w:widowControl/>
                    <w:suppressLineNumbers w:val="0"/>
                    <w:spacing w:line="240" w:lineRule="auto"/>
                    <w:jc w:val="center"/>
                    <w:rPr>
                      <w:rFonts w:hint="default" w:ascii="Times New Roman" w:hAnsi="Times New Roman" w:eastAsia="宋体" w:cs="Times New Roman"/>
                      <w:i w:val="0"/>
                      <w:iCs w:val="0"/>
                      <w:caps w:val="0"/>
                      <w:color w:val="FF0000"/>
                      <w:spacing w:val="0"/>
                      <w:kern w:val="0"/>
                      <w:sz w:val="21"/>
                      <w:szCs w:val="21"/>
                      <w:lang w:val="en-US" w:eastAsia="zh-CN" w:bidi="ar"/>
                    </w:rPr>
                  </w:pPr>
                  <w:r>
                    <w:rPr>
                      <w:rFonts w:hint="default" w:ascii="Times New Roman" w:hAnsi="Times New Roman" w:eastAsia="宋体" w:cs="Times New Roman"/>
                      <w:i w:val="0"/>
                      <w:iCs w:val="0"/>
                      <w:caps w:val="0"/>
                      <w:color w:val="FF0000"/>
                      <w:spacing w:val="0"/>
                      <w:kern w:val="0"/>
                      <w:sz w:val="21"/>
                      <w:szCs w:val="21"/>
                      <w:lang w:val="en-US" w:eastAsia="zh-CN" w:bidi="ar"/>
                    </w:rPr>
                    <w:t>30</w:t>
                  </w:r>
                </w:p>
              </w:tc>
              <w:tc>
                <w:tcPr>
                  <w:tcW w:w="767" w:type="pct"/>
                  <w:tcBorders>
                    <w:tl2br w:val="nil"/>
                    <w:tr2bl w:val="nil"/>
                  </w:tcBorders>
                  <w:shd w:val="clear" w:color="auto" w:fill="auto"/>
                  <w:tcMar>
                    <w:top w:w="150" w:type="dxa"/>
                    <w:left w:w="150" w:type="dxa"/>
                    <w:bottom w:w="150" w:type="dxa"/>
                    <w:right w:w="150" w:type="dxa"/>
                  </w:tcMar>
                  <w:vAlign w:val="center"/>
                </w:tcPr>
                <w:p w14:paraId="5DAB04C6">
                  <w:pPr>
                    <w:keepNext w:val="0"/>
                    <w:keepLines w:val="0"/>
                    <w:widowControl/>
                    <w:suppressLineNumbers w:val="0"/>
                    <w:spacing w:line="240" w:lineRule="auto"/>
                    <w:jc w:val="center"/>
                    <w:rPr>
                      <w:rFonts w:hint="default" w:ascii="Times New Roman" w:hAnsi="Times New Roman" w:eastAsia="宋体" w:cs="Times New Roman"/>
                      <w:i w:val="0"/>
                      <w:iCs w:val="0"/>
                      <w:caps w:val="0"/>
                      <w:color w:val="FF0000"/>
                      <w:spacing w:val="0"/>
                      <w:kern w:val="0"/>
                      <w:sz w:val="21"/>
                      <w:szCs w:val="21"/>
                      <w:lang w:val="en-US" w:eastAsia="zh-CN" w:bidi="ar"/>
                    </w:rPr>
                  </w:pPr>
                  <w:r>
                    <w:rPr>
                      <w:rFonts w:hint="default" w:ascii="Times New Roman" w:hAnsi="Times New Roman" w:eastAsia="宋体" w:cs="Times New Roman"/>
                      <w:i w:val="0"/>
                      <w:iCs w:val="0"/>
                      <w:caps w:val="0"/>
                      <w:color w:val="FF0000"/>
                      <w:spacing w:val="0"/>
                      <w:kern w:val="0"/>
                      <w:sz w:val="21"/>
                      <w:szCs w:val="21"/>
                      <w:lang w:val="en-US" w:eastAsia="zh-CN" w:bidi="ar"/>
                    </w:rPr>
                    <w:t>电解液泄漏电池临时贮存</w:t>
                  </w:r>
                </w:p>
              </w:tc>
            </w:tr>
            <w:tr w14:paraId="7C48A412">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shd w:val="clear" w:color="auto" w:fill="auto"/>
                <w:tblCellMar>
                  <w:top w:w="15" w:type="dxa"/>
                  <w:left w:w="15" w:type="dxa"/>
                  <w:bottom w:w="15" w:type="dxa"/>
                  <w:right w:w="15" w:type="dxa"/>
                </w:tblCellMar>
              </w:tblPrEx>
              <w:tc>
                <w:tcPr>
                  <w:tcW w:w="246" w:type="pct"/>
                  <w:tcBorders>
                    <w:tl2br w:val="nil"/>
                    <w:tr2bl w:val="nil"/>
                  </w:tcBorders>
                  <w:shd w:val="clear" w:color="auto" w:fill="auto"/>
                  <w:tcMar>
                    <w:top w:w="150" w:type="dxa"/>
                    <w:left w:w="0" w:type="dxa"/>
                    <w:bottom w:w="150" w:type="dxa"/>
                    <w:right w:w="150" w:type="dxa"/>
                  </w:tcMar>
                  <w:vAlign w:val="center"/>
                </w:tcPr>
                <w:p w14:paraId="46177715">
                  <w:pPr>
                    <w:keepNext w:val="0"/>
                    <w:keepLines w:val="0"/>
                    <w:widowControl/>
                    <w:suppressLineNumbers w:val="0"/>
                    <w:spacing w:line="240" w:lineRule="auto"/>
                    <w:jc w:val="center"/>
                    <w:rPr>
                      <w:rFonts w:hint="default" w:ascii="Times New Roman" w:hAnsi="Times New Roman" w:eastAsia="宋体" w:cs="Times New Roman"/>
                      <w:i w:val="0"/>
                      <w:iCs w:val="0"/>
                      <w:caps w:val="0"/>
                      <w:color w:val="FF0000"/>
                      <w:spacing w:val="0"/>
                      <w:kern w:val="0"/>
                      <w:sz w:val="21"/>
                      <w:szCs w:val="21"/>
                      <w:lang w:val="en-US" w:eastAsia="zh-CN" w:bidi="ar"/>
                    </w:rPr>
                  </w:pPr>
                  <w:r>
                    <w:rPr>
                      <w:rFonts w:hint="default" w:ascii="Times New Roman" w:hAnsi="Times New Roman" w:eastAsia="宋体" w:cs="Times New Roman"/>
                      <w:i w:val="0"/>
                      <w:iCs w:val="0"/>
                      <w:caps w:val="0"/>
                      <w:color w:val="FF0000"/>
                      <w:spacing w:val="0"/>
                      <w:kern w:val="0"/>
                      <w:sz w:val="21"/>
                      <w:szCs w:val="21"/>
                      <w:lang w:val="en-US" w:eastAsia="zh-CN" w:bidi="ar"/>
                    </w:rPr>
                    <w:t>4</w:t>
                  </w:r>
                </w:p>
              </w:tc>
              <w:tc>
                <w:tcPr>
                  <w:tcW w:w="492" w:type="pct"/>
                  <w:tcBorders>
                    <w:tl2br w:val="nil"/>
                    <w:tr2bl w:val="nil"/>
                  </w:tcBorders>
                  <w:shd w:val="clear" w:color="auto" w:fill="auto"/>
                  <w:tcMar>
                    <w:top w:w="150" w:type="dxa"/>
                    <w:left w:w="150" w:type="dxa"/>
                    <w:bottom w:w="150" w:type="dxa"/>
                    <w:right w:w="150" w:type="dxa"/>
                  </w:tcMar>
                  <w:vAlign w:val="center"/>
                </w:tcPr>
                <w:p w14:paraId="54ECE496">
                  <w:pPr>
                    <w:keepNext w:val="0"/>
                    <w:keepLines w:val="0"/>
                    <w:widowControl/>
                    <w:suppressLineNumbers w:val="0"/>
                    <w:spacing w:line="240" w:lineRule="auto"/>
                    <w:jc w:val="center"/>
                    <w:rPr>
                      <w:rFonts w:hint="default" w:ascii="Times New Roman" w:hAnsi="Times New Roman" w:eastAsia="宋体" w:cs="Times New Roman"/>
                      <w:i w:val="0"/>
                      <w:iCs w:val="0"/>
                      <w:caps w:val="0"/>
                      <w:color w:val="FF0000"/>
                      <w:spacing w:val="0"/>
                      <w:kern w:val="0"/>
                      <w:sz w:val="21"/>
                      <w:szCs w:val="21"/>
                      <w:lang w:val="en-US" w:eastAsia="zh-CN" w:bidi="ar"/>
                    </w:rPr>
                  </w:pPr>
                  <w:r>
                    <w:rPr>
                      <w:rFonts w:hint="default" w:ascii="Times New Roman" w:hAnsi="Times New Roman" w:eastAsia="宋体" w:cs="Times New Roman"/>
                      <w:i w:val="0"/>
                      <w:iCs w:val="0"/>
                      <w:caps w:val="0"/>
                      <w:color w:val="FF0000"/>
                      <w:spacing w:val="0"/>
                      <w:kern w:val="0"/>
                      <w:sz w:val="21"/>
                      <w:szCs w:val="21"/>
                      <w:lang w:val="en-US" w:eastAsia="zh-CN" w:bidi="ar"/>
                    </w:rPr>
                    <w:t>废电解液</w:t>
                  </w:r>
                </w:p>
              </w:tc>
              <w:tc>
                <w:tcPr>
                  <w:tcW w:w="571" w:type="pct"/>
                  <w:tcBorders>
                    <w:tl2br w:val="nil"/>
                    <w:tr2bl w:val="nil"/>
                  </w:tcBorders>
                  <w:shd w:val="clear" w:color="auto" w:fill="auto"/>
                  <w:tcMar>
                    <w:top w:w="150" w:type="dxa"/>
                    <w:left w:w="150" w:type="dxa"/>
                    <w:bottom w:w="150" w:type="dxa"/>
                    <w:right w:w="150" w:type="dxa"/>
                  </w:tcMar>
                  <w:vAlign w:val="center"/>
                </w:tcPr>
                <w:p w14:paraId="5A21F107">
                  <w:pPr>
                    <w:keepNext w:val="0"/>
                    <w:keepLines w:val="0"/>
                    <w:widowControl/>
                    <w:suppressLineNumbers w:val="0"/>
                    <w:spacing w:line="240" w:lineRule="auto"/>
                    <w:jc w:val="center"/>
                    <w:rPr>
                      <w:rFonts w:hint="default" w:ascii="Times New Roman" w:hAnsi="Times New Roman" w:eastAsia="宋体" w:cs="Times New Roman"/>
                      <w:i w:val="0"/>
                      <w:iCs w:val="0"/>
                      <w:caps w:val="0"/>
                      <w:color w:val="FF0000"/>
                      <w:spacing w:val="0"/>
                      <w:kern w:val="0"/>
                      <w:sz w:val="21"/>
                      <w:szCs w:val="21"/>
                      <w:lang w:val="en-US" w:eastAsia="zh-CN" w:bidi="ar"/>
                    </w:rPr>
                  </w:pPr>
                  <w:r>
                    <w:rPr>
                      <w:rFonts w:hint="default" w:ascii="Times New Roman" w:hAnsi="Times New Roman" w:eastAsia="宋体" w:cs="Times New Roman"/>
                      <w:i w:val="0"/>
                      <w:iCs w:val="0"/>
                      <w:caps w:val="0"/>
                      <w:color w:val="FF0000"/>
                      <w:spacing w:val="0"/>
                      <w:kern w:val="0"/>
                      <w:sz w:val="21"/>
                      <w:szCs w:val="21"/>
                      <w:lang w:val="en-US" w:eastAsia="zh-CN" w:bidi="ar"/>
                    </w:rPr>
                    <w:t>防渗漏托盘+收集罐</w:t>
                  </w:r>
                </w:p>
              </w:tc>
              <w:tc>
                <w:tcPr>
                  <w:tcW w:w="1034" w:type="pct"/>
                  <w:tcBorders>
                    <w:tl2br w:val="nil"/>
                    <w:tr2bl w:val="nil"/>
                  </w:tcBorders>
                  <w:shd w:val="clear" w:color="auto" w:fill="auto"/>
                  <w:tcMar>
                    <w:top w:w="150" w:type="dxa"/>
                    <w:left w:w="150" w:type="dxa"/>
                    <w:bottom w:w="150" w:type="dxa"/>
                    <w:right w:w="150" w:type="dxa"/>
                  </w:tcMar>
                  <w:vAlign w:val="center"/>
                </w:tcPr>
                <w:p w14:paraId="6B4705E2">
                  <w:pPr>
                    <w:keepNext w:val="0"/>
                    <w:keepLines w:val="0"/>
                    <w:widowControl/>
                    <w:suppressLineNumbers w:val="0"/>
                    <w:spacing w:line="240" w:lineRule="auto"/>
                    <w:jc w:val="center"/>
                    <w:rPr>
                      <w:rFonts w:hint="default" w:ascii="Times New Roman" w:hAnsi="Times New Roman" w:eastAsia="宋体" w:cs="Times New Roman"/>
                      <w:i w:val="0"/>
                      <w:iCs w:val="0"/>
                      <w:caps w:val="0"/>
                      <w:color w:val="FF0000"/>
                      <w:spacing w:val="0"/>
                      <w:kern w:val="0"/>
                      <w:sz w:val="21"/>
                      <w:szCs w:val="21"/>
                      <w:lang w:val="en-US" w:eastAsia="zh-CN" w:bidi="ar"/>
                    </w:rPr>
                  </w:pPr>
                  <w:r>
                    <w:rPr>
                      <w:rFonts w:hint="default" w:ascii="Times New Roman" w:hAnsi="Times New Roman" w:eastAsia="宋体" w:cs="Times New Roman"/>
                      <w:i w:val="0"/>
                      <w:iCs w:val="0"/>
                      <w:caps w:val="0"/>
                      <w:color w:val="FF0000"/>
                      <w:spacing w:val="0"/>
                      <w:kern w:val="0"/>
                      <w:sz w:val="21"/>
                      <w:szCs w:val="21"/>
                      <w:lang w:val="en-US" w:eastAsia="zh-CN" w:bidi="ar"/>
                    </w:rPr>
                    <w:t>PP+玻璃钢（耐pH 1-14）</w:t>
                  </w:r>
                </w:p>
              </w:tc>
              <w:tc>
                <w:tcPr>
                  <w:tcW w:w="1118" w:type="pct"/>
                  <w:tcBorders>
                    <w:tl2br w:val="nil"/>
                    <w:tr2bl w:val="nil"/>
                  </w:tcBorders>
                  <w:shd w:val="clear" w:color="auto" w:fill="auto"/>
                  <w:tcMar>
                    <w:top w:w="150" w:type="dxa"/>
                    <w:left w:w="150" w:type="dxa"/>
                    <w:bottom w:w="150" w:type="dxa"/>
                    <w:right w:w="150" w:type="dxa"/>
                  </w:tcMar>
                  <w:vAlign w:val="center"/>
                </w:tcPr>
                <w:p w14:paraId="6F403E69">
                  <w:pPr>
                    <w:keepNext w:val="0"/>
                    <w:keepLines w:val="0"/>
                    <w:widowControl/>
                    <w:suppressLineNumbers w:val="0"/>
                    <w:spacing w:line="240" w:lineRule="auto"/>
                    <w:jc w:val="center"/>
                    <w:rPr>
                      <w:rFonts w:hint="default" w:ascii="Times New Roman" w:hAnsi="Times New Roman" w:eastAsia="宋体" w:cs="Times New Roman"/>
                      <w:i w:val="0"/>
                      <w:iCs w:val="0"/>
                      <w:caps w:val="0"/>
                      <w:color w:val="FF0000"/>
                      <w:spacing w:val="0"/>
                      <w:kern w:val="0"/>
                      <w:sz w:val="21"/>
                      <w:szCs w:val="21"/>
                      <w:lang w:val="en-US" w:eastAsia="zh-CN" w:bidi="ar"/>
                    </w:rPr>
                  </w:pPr>
                  <w:r>
                    <w:rPr>
                      <w:rFonts w:hint="default" w:ascii="Times New Roman" w:hAnsi="Times New Roman" w:eastAsia="宋体" w:cs="Times New Roman"/>
                      <w:i w:val="0"/>
                      <w:iCs w:val="0"/>
                      <w:caps w:val="0"/>
                      <w:color w:val="FF0000"/>
                      <w:spacing w:val="0"/>
                      <w:kern w:val="0"/>
                      <w:sz w:val="21"/>
                      <w:szCs w:val="21"/>
                      <w:lang w:val="en-US" w:eastAsia="zh-CN" w:bidi="ar"/>
                    </w:rPr>
                    <w:t>托盘带导流槽，收集罐设双层壁，内罐容积≥50L</w:t>
                  </w:r>
                </w:p>
              </w:tc>
              <w:tc>
                <w:tcPr>
                  <w:tcW w:w="427" w:type="pct"/>
                  <w:tcBorders>
                    <w:tl2br w:val="nil"/>
                    <w:tr2bl w:val="nil"/>
                  </w:tcBorders>
                  <w:shd w:val="clear" w:color="auto" w:fill="auto"/>
                  <w:tcMar>
                    <w:top w:w="150" w:type="dxa"/>
                    <w:left w:w="150" w:type="dxa"/>
                    <w:bottom w:w="150" w:type="dxa"/>
                    <w:right w:w="150" w:type="dxa"/>
                  </w:tcMar>
                  <w:vAlign w:val="center"/>
                </w:tcPr>
                <w:p w14:paraId="37C10290">
                  <w:pPr>
                    <w:keepNext w:val="0"/>
                    <w:keepLines w:val="0"/>
                    <w:widowControl/>
                    <w:suppressLineNumbers w:val="0"/>
                    <w:spacing w:line="240" w:lineRule="auto"/>
                    <w:jc w:val="center"/>
                    <w:rPr>
                      <w:rFonts w:hint="default" w:ascii="Times New Roman" w:hAnsi="Times New Roman" w:eastAsia="宋体" w:cs="Times New Roman"/>
                      <w:i w:val="0"/>
                      <w:iCs w:val="0"/>
                      <w:caps w:val="0"/>
                      <w:color w:val="FF0000"/>
                      <w:spacing w:val="0"/>
                      <w:kern w:val="0"/>
                      <w:sz w:val="21"/>
                      <w:szCs w:val="21"/>
                      <w:lang w:val="en-US" w:eastAsia="zh-CN" w:bidi="ar"/>
                    </w:rPr>
                  </w:pPr>
                  <w:r>
                    <w:rPr>
                      <w:rFonts w:hint="default" w:ascii="Times New Roman" w:hAnsi="Times New Roman" w:eastAsia="宋体" w:cs="Times New Roman"/>
                      <w:i w:val="0"/>
                      <w:iCs w:val="0"/>
                      <w:caps w:val="0"/>
                      <w:color w:val="FF0000"/>
                      <w:spacing w:val="0"/>
                      <w:kern w:val="0"/>
                      <w:sz w:val="21"/>
                      <w:szCs w:val="21"/>
                      <w:lang w:val="en-US" w:eastAsia="zh-CN" w:bidi="ar"/>
                    </w:rPr>
                    <w:t>50</w:t>
                  </w:r>
                </w:p>
              </w:tc>
              <w:tc>
                <w:tcPr>
                  <w:tcW w:w="341" w:type="pct"/>
                  <w:tcBorders>
                    <w:tl2br w:val="nil"/>
                    <w:tr2bl w:val="nil"/>
                  </w:tcBorders>
                  <w:shd w:val="clear" w:color="auto" w:fill="auto"/>
                  <w:tcMar>
                    <w:top w:w="150" w:type="dxa"/>
                    <w:left w:w="150" w:type="dxa"/>
                    <w:bottom w:w="150" w:type="dxa"/>
                    <w:right w:w="150" w:type="dxa"/>
                  </w:tcMar>
                  <w:vAlign w:val="center"/>
                </w:tcPr>
                <w:p w14:paraId="30B420B5">
                  <w:pPr>
                    <w:keepNext w:val="0"/>
                    <w:keepLines w:val="0"/>
                    <w:widowControl/>
                    <w:suppressLineNumbers w:val="0"/>
                    <w:spacing w:line="240" w:lineRule="auto"/>
                    <w:jc w:val="center"/>
                    <w:rPr>
                      <w:rFonts w:hint="default" w:ascii="Times New Roman" w:hAnsi="Times New Roman" w:eastAsia="宋体" w:cs="Times New Roman"/>
                      <w:i w:val="0"/>
                      <w:iCs w:val="0"/>
                      <w:caps w:val="0"/>
                      <w:color w:val="FF0000"/>
                      <w:spacing w:val="0"/>
                      <w:kern w:val="0"/>
                      <w:sz w:val="21"/>
                      <w:szCs w:val="21"/>
                      <w:lang w:val="en-US" w:eastAsia="zh-CN" w:bidi="ar"/>
                    </w:rPr>
                  </w:pPr>
                  <w:r>
                    <w:rPr>
                      <w:rFonts w:hint="default" w:ascii="Times New Roman" w:hAnsi="Times New Roman" w:eastAsia="宋体" w:cs="Times New Roman"/>
                      <w:i w:val="0"/>
                      <w:iCs w:val="0"/>
                      <w:caps w:val="0"/>
                      <w:color w:val="FF0000"/>
                      <w:spacing w:val="0"/>
                      <w:kern w:val="0"/>
                      <w:sz w:val="21"/>
                      <w:szCs w:val="21"/>
                      <w:lang w:val="en-US" w:eastAsia="zh-CN" w:bidi="ar"/>
                    </w:rPr>
                    <w:t>20套</w:t>
                  </w:r>
                </w:p>
              </w:tc>
              <w:tc>
                <w:tcPr>
                  <w:tcW w:w="767" w:type="pct"/>
                  <w:tcBorders>
                    <w:tl2br w:val="nil"/>
                    <w:tr2bl w:val="nil"/>
                  </w:tcBorders>
                  <w:shd w:val="clear" w:color="auto" w:fill="auto"/>
                  <w:tcMar>
                    <w:top w:w="150" w:type="dxa"/>
                    <w:left w:w="150" w:type="dxa"/>
                    <w:bottom w:w="150" w:type="dxa"/>
                    <w:right w:w="150" w:type="dxa"/>
                  </w:tcMar>
                  <w:vAlign w:val="center"/>
                </w:tcPr>
                <w:p w14:paraId="6259F68C">
                  <w:pPr>
                    <w:keepNext w:val="0"/>
                    <w:keepLines w:val="0"/>
                    <w:widowControl/>
                    <w:suppressLineNumbers w:val="0"/>
                    <w:spacing w:line="240" w:lineRule="auto"/>
                    <w:jc w:val="center"/>
                    <w:rPr>
                      <w:rFonts w:hint="default" w:ascii="Times New Roman" w:hAnsi="Times New Roman" w:eastAsia="宋体" w:cs="Times New Roman"/>
                      <w:i w:val="0"/>
                      <w:iCs w:val="0"/>
                      <w:caps w:val="0"/>
                      <w:color w:val="FF0000"/>
                      <w:spacing w:val="0"/>
                      <w:kern w:val="0"/>
                      <w:sz w:val="21"/>
                      <w:szCs w:val="21"/>
                      <w:lang w:val="en-US" w:eastAsia="zh-CN" w:bidi="ar"/>
                    </w:rPr>
                  </w:pPr>
                  <w:r>
                    <w:rPr>
                      <w:rFonts w:hint="default" w:ascii="Times New Roman" w:hAnsi="Times New Roman" w:eastAsia="宋体" w:cs="Times New Roman"/>
                      <w:i w:val="0"/>
                      <w:iCs w:val="0"/>
                      <w:caps w:val="0"/>
                      <w:color w:val="FF0000"/>
                      <w:spacing w:val="0"/>
                      <w:kern w:val="0"/>
                      <w:sz w:val="21"/>
                      <w:szCs w:val="21"/>
                      <w:lang w:val="en-US" w:eastAsia="zh-CN" w:bidi="ar"/>
                    </w:rPr>
                    <w:t>电池拆卸区接液装置</w:t>
                  </w:r>
                </w:p>
              </w:tc>
            </w:tr>
            <w:tr w14:paraId="4E124E53">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shd w:val="clear" w:color="auto" w:fill="auto"/>
                <w:tblCellMar>
                  <w:top w:w="15" w:type="dxa"/>
                  <w:left w:w="15" w:type="dxa"/>
                  <w:bottom w:w="15" w:type="dxa"/>
                  <w:right w:w="15" w:type="dxa"/>
                </w:tblCellMar>
              </w:tblPrEx>
              <w:tc>
                <w:tcPr>
                  <w:tcW w:w="246" w:type="pct"/>
                  <w:tcBorders>
                    <w:tl2br w:val="nil"/>
                    <w:tr2bl w:val="nil"/>
                  </w:tcBorders>
                  <w:shd w:val="clear" w:color="auto" w:fill="auto"/>
                  <w:tcMar>
                    <w:top w:w="150" w:type="dxa"/>
                    <w:left w:w="0" w:type="dxa"/>
                    <w:bottom w:w="150" w:type="dxa"/>
                    <w:right w:w="150" w:type="dxa"/>
                  </w:tcMar>
                  <w:vAlign w:val="center"/>
                </w:tcPr>
                <w:p w14:paraId="0C84611A">
                  <w:pPr>
                    <w:keepNext w:val="0"/>
                    <w:keepLines w:val="0"/>
                    <w:widowControl/>
                    <w:suppressLineNumbers w:val="0"/>
                    <w:spacing w:line="240" w:lineRule="auto"/>
                    <w:jc w:val="center"/>
                    <w:rPr>
                      <w:rFonts w:hint="default" w:ascii="Times New Roman" w:hAnsi="Times New Roman" w:eastAsia="宋体" w:cs="Times New Roman"/>
                      <w:i w:val="0"/>
                      <w:iCs w:val="0"/>
                      <w:caps w:val="0"/>
                      <w:color w:val="FF0000"/>
                      <w:spacing w:val="0"/>
                      <w:kern w:val="0"/>
                      <w:sz w:val="21"/>
                      <w:szCs w:val="21"/>
                      <w:lang w:val="en-US" w:eastAsia="zh-CN" w:bidi="ar"/>
                    </w:rPr>
                  </w:pPr>
                  <w:r>
                    <w:rPr>
                      <w:rFonts w:hint="default" w:ascii="Times New Roman" w:hAnsi="Times New Roman" w:eastAsia="宋体" w:cs="Times New Roman"/>
                      <w:i w:val="0"/>
                      <w:iCs w:val="0"/>
                      <w:caps w:val="0"/>
                      <w:color w:val="FF0000"/>
                      <w:spacing w:val="0"/>
                      <w:kern w:val="0"/>
                      <w:sz w:val="21"/>
                      <w:szCs w:val="21"/>
                      <w:lang w:val="en-US" w:eastAsia="zh-CN" w:bidi="ar"/>
                    </w:rPr>
                    <w:t>5</w:t>
                  </w:r>
                </w:p>
              </w:tc>
              <w:tc>
                <w:tcPr>
                  <w:tcW w:w="492" w:type="pct"/>
                  <w:tcBorders>
                    <w:tl2br w:val="nil"/>
                    <w:tr2bl w:val="nil"/>
                  </w:tcBorders>
                  <w:shd w:val="clear" w:color="auto" w:fill="auto"/>
                  <w:tcMar>
                    <w:top w:w="150" w:type="dxa"/>
                    <w:left w:w="150" w:type="dxa"/>
                    <w:bottom w:w="150" w:type="dxa"/>
                    <w:right w:w="150" w:type="dxa"/>
                  </w:tcMar>
                  <w:vAlign w:val="center"/>
                </w:tcPr>
                <w:p w14:paraId="65C5A957">
                  <w:pPr>
                    <w:keepNext w:val="0"/>
                    <w:keepLines w:val="0"/>
                    <w:widowControl/>
                    <w:suppressLineNumbers w:val="0"/>
                    <w:spacing w:line="240" w:lineRule="auto"/>
                    <w:jc w:val="center"/>
                    <w:rPr>
                      <w:rFonts w:hint="default" w:ascii="Times New Roman" w:hAnsi="Times New Roman" w:eastAsia="宋体" w:cs="Times New Roman"/>
                      <w:i w:val="0"/>
                      <w:iCs w:val="0"/>
                      <w:caps w:val="0"/>
                      <w:color w:val="FF0000"/>
                      <w:spacing w:val="0"/>
                      <w:kern w:val="0"/>
                      <w:sz w:val="21"/>
                      <w:szCs w:val="21"/>
                      <w:lang w:val="en-US" w:eastAsia="zh-CN" w:bidi="ar"/>
                    </w:rPr>
                  </w:pPr>
                  <w:r>
                    <w:rPr>
                      <w:rFonts w:hint="default" w:ascii="Times New Roman" w:hAnsi="Times New Roman" w:eastAsia="宋体" w:cs="Times New Roman"/>
                      <w:i w:val="0"/>
                      <w:iCs w:val="0"/>
                      <w:caps w:val="0"/>
                      <w:color w:val="FF0000"/>
                      <w:spacing w:val="0"/>
                      <w:kern w:val="0"/>
                      <w:sz w:val="21"/>
                      <w:szCs w:val="21"/>
                      <w:lang w:val="en-US" w:eastAsia="zh-CN" w:bidi="ar"/>
                    </w:rPr>
                    <w:t>废电路板</w:t>
                  </w:r>
                </w:p>
              </w:tc>
              <w:tc>
                <w:tcPr>
                  <w:tcW w:w="571" w:type="pct"/>
                  <w:tcBorders>
                    <w:tl2br w:val="nil"/>
                    <w:tr2bl w:val="nil"/>
                  </w:tcBorders>
                  <w:shd w:val="clear" w:color="auto" w:fill="auto"/>
                  <w:tcMar>
                    <w:top w:w="150" w:type="dxa"/>
                    <w:left w:w="150" w:type="dxa"/>
                    <w:bottom w:w="150" w:type="dxa"/>
                    <w:right w:w="150" w:type="dxa"/>
                  </w:tcMar>
                  <w:vAlign w:val="center"/>
                </w:tcPr>
                <w:p w14:paraId="048D6EDB">
                  <w:pPr>
                    <w:keepNext w:val="0"/>
                    <w:keepLines w:val="0"/>
                    <w:widowControl/>
                    <w:suppressLineNumbers w:val="0"/>
                    <w:spacing w:line="240" w:lineRule="auto"/>
                    <w:jc w:val="center"/>
                    <w:rPr>
                      <w:rFonts w:hint="default" w:ascii="Times New Roman" w:hAnsi="Times New Roman" w:eastAsia="宋体" w:cs="Times New Roman"/>
                      <w:i w:val="0"/>
                      <w:iCs w:val="0"/>
                      <w:caps w:val="0"/>
                      <w:color w:val="FF0000"/>
                      <w:spacing w:val="0"/>
                      <w:kern w:val="0"/>
                      <w:sz w:val="21"/>
                      <w:szCs w:val="21"/>
                      <w:lang w:val="en-US" w:eastAsia="zh-CN" w:bidi="ar"/>
                    </w:rPr>
                  </w:pPr>
                  <w:r>
                    <w:rPr>
                      <w:rFonts w:hint="default" w:ascii="Times New Roman" w:hAnsi="Times New Roman" w:eastAsia="宋体" w:cs="Times New Roman"/>
                      <w:i w:val="0"/>
                      <w:iCs w:val="0"/>
                      <w:caps w:val="0"/>
                      <w:color w:val="FF0000"/>
                      <w:spacing w:val="0"/>
                      <w:kern w:val="0"/>
                      <w:sz w:val="21"/>
                      <w:szCs w:val="21"/>
                      <w:lang w:val="en-US" w:eastAsia="zh-CN" w:bidi="ar"/>
                    </w:rPr>
                    <w:t>防静电周转箱</w:t>
                  </w:r>
                </w:p>
              </w:tc>
              <w:tc>
                <w:tcPr>
                  <w:tcW w:w="1034" w:type="pct"/>
                  <w:tcBorders>
                    <w:tl2br w:val="nil"/>
                    <w:tr2bl w:val="nil"/>
                  </w:tcBorders>
                  <w:shd w:val="clear" w:color="auto" w:fill="auto"/>
                  <w:tcMar>
                    <w:top w:w="150" w:type="dxa"/>
                    <w:left w:w="150" w:type="dxa"/>
                    <w:bottom w:w="150" w:type="dxa"/>
                    <w:right w:w="150" w:type="dxa"/>
                  </w:tcMar>
                  <w:vAlign w:val="center"/>
                </w:tcPr>
                <w:p w14:paraId="5E21C3EE">
                  <w:pPr>
                    <w:keepNext w:val="0"/>
                    <w:keepLines w:val="0"/>
                    <w:widowControl/>
                    <w:suppressLineNumbers w:val="0"/>
                    <w:spacing w:line="240" w:lineRule="auto"/>
                    <w:jc w:val="center"/>
                    <w:rPr>
                      <w:rFonts w:hint="default" w:ascii="Times New Roman" w:hAnsi="Times New Roman" w:eastAsia="宋体" w:cs="Times New Roman"/>
                      <w:i w:val="0"/>
                      <w:iCs w:val="0"/>
                      <w:caps w:val="0"/>
                      <w:color w:val="FF0000"/>
                      <w:spacing w:val="0"/>
                      <w:kern w:val="0"/>
                      <w:sz w:val="21"/>
                      <w:szCs w:val="21"/>
                      <w:lang w:val="en-US" w:eastAsia="zh-CN" w:bidi="ar"/>
                    </w:rPr>
                  </w:pPr>
                  <w:r>
                    <w:rPr>
                      <w:rFonts w:hint="default" w:ascii="Times New Roman" w:hAnsi="Times New Roman" w:eastAsia="宋体" w:cs="Times New Roman"/>
                      <w:i w:val="0"/>
                      <w:iCs w:val="0"/>
                      <w:caps w:val="0"/>
                      <w:color w:val="FF0000"/>
                      <w:spacing w:val="0"/>
                      <w:kern w:val="0"/>
                      <w:sz w:val="21"/>
                      <w:szCs w:val="21"/>
                      <w:lang w:val="en-US" w:eastAsia="zh-CN" w:bidi="ar"/>
                    </w:rPr>
                    <w:t>导电型HDPE（表面电阻≤10⁶Ω）</w:t>
                  </w:r>
                </w:p>
              </w:tc>
              <w:tc>
                <w:tcPr>
                  <w:tcW w:w="1118" w:type="pct"/>
                  <w:tcBorders>
                    <w:tl2br w:val="nil"/>
                    <w:tr2bl w:val="nil"/>
                  </w:tcBorders>
                  <w:shd w:val="clear" w:color="auto" w:fill="auto"/>
                  <w:tcMar>
                    <w:top w:w="150" w:type="dxa"/>
                    <w:left w:w="150" w:type="dxa"/>
                    <w:bottom w:w="150" w:type="dxa"/>
                    <w:right w:w="150" w:type="dxa"/>
                  </w:tcMar>
                  <w:vAlign w:val="center"/>
                </w:tcPr>
                <w:p w14:paraId="20921675">
                  <w:pPr>
                    <w:keepNext w:val="0"/>
                    <w:keepLines w:val="0"/>
                    <w:widowControl/>
                    <w:suppressLineNumbers w:val="0"/>
                    <w:spacing w:line="240" w:lineRule="auto"/>
                    <w:jc w:val="center"/>
                    <w:rPr>
                      <w:rFonts w:hint="default" w:ascii="Times New Roman" w:hAnsi="Times New Roman" w:eastAsia="宋体" w:cs="Times New Roman"/>
                      <w:i w:val="0"/>
                      <w:iCs w:val="0"/>
                      <w:caps w:val="0"/>
                      <w:color w:val="FF0000"/>
                      <w:spacing w:val="0"/>
                      <w:kern w:val="0"/>
                      <w:sz w:val="21"/>
                      <w:szCs w:val="21"/>
                      <w:lang w:val="en-US" w:eastAsia="zh-CN" w:bidi="ar"/>
                    </w:rPr>
                  </w:pPr>
                  <w:r>
                    <w:rPr>
                      <w:rFonts w:hint="default" w:ascii="Times New Roman" w:hAnsi="Times New Roman" w:eastAsia="宋体" w:cs="Times New Roman"/>
                      <w:i w:val="0"/>
                      <w:iCs w:val="0"/>
                      <w:caps w:val="0"/>
                      <w:color w:val="FF0000"/>
                      <w:spacing w:val="0"/>
                      <w:kern w:val="0"/>
                      <w:sz w:val="21"/>
                      <w:szCs w:val="21"/>
                      <w:lang w:val="en-US" w:eastAsia="zh-CN" w:bidi="ar"/>
                    </w:rPr>
                    <w:t>加盖设计，内衬防震泡沫，箱体接地端子</w:t>
                  </w:r>
                </w:p>
              </w:tc>
              <w:tc>
                <w:tcPr>
                  <w:tcW w:w="427" w:type="pct"/>
                  <w:tcBorders>
                    <w:tl2br w:val="nil"/>
                    <w:tr2bl w:val="nil"/>
                  </w:tcBorders>
                  <w:shd w:val="clear" w:color="auto" w:fill="auto"/>
                  <w:tcMar>
                    <w:top w:w="150" w:type="dxa"/>
                    <w:left w:w="150" w:type="dxa"/>
                    <w:bottom w:w="150" w:type="dxa"/>
                    <w:right w:w="150" w:type="dxa"/>
                  </w:tcMar>
                  <w:vAlign w:val="center"/>
                </w:tcPr>
                <w:p w14:paraId="1C78626F">
                  <w:pPr>
                    <w:keepNext w:val="0"/>
                    <w:keepLines w:val="0"/>
                    <w:widowControl/>
                    <w:suppressLineNumbers w:val="0"/>
                    <w:spacing w:line="240" w:lineRule="auto"/>
                    <w:jc w:val="center"/>
                    <w:rPr>
                      <w:rFonts w:hint="default" w:ascii="Times New Roman" w:hAnsi="Times New Roman" w:eastAsia="宋体" w:cs="Times New Roman"/>
                      <w:i w:val="0"/>
                      <w:iCs w:val="0"/>
                      <w:caps w:val="0"/>
                      <w:color w:val="FF0000"/>
                      <w:spacing w:val="0"/>
                      <w:kern w:val="0"/>
                      <w:sz w:val="21"/>
                      <w:szCs w:val="21"/>
                      <w:lang w:val="en-US" w:eastAsia="zh-CN" w:bidi="ar"/>
                    </w:rPr>
                  </w:pPr>
                  <w:r>
                    <w:rPr>
                      <w:rFonts w:hint="default" w:ascii="Times New Roman" w:hAnsi="Times New Roman" w:eastAsia="宋体" w:cs="Times New Roman"/>
                      <w:i w:val="0"/>
                      <w:iCs w:val="0"/>
                      <w:caps w:val="0"/>
                      <w:color w:val="FF0000"/>
                      <w:spacing w:val="0"/>
                      <w:kern w:val="0"/>
                      <w:sz w:val="21"/>
                      <w:szCs w:val="21"/>
                      <w:lang w:val="en-US" w:eastAsia="zh-CN" w:bidi="ar"/>
                    </w:rPr>
                    <w:t>60</w:t>
                  </w:r>
                </w:p>
              </w:tc>
              <w:tc>
                <w:tcPr>
                  <w:tcW w:w="341" w:type="pct"/>
                  <w:tcBorders>
                    <w:tl2br w:val="nil"/>
                    <w:tr2bl w:val="nil"/>
                  </w:tcBorders>
                  <w:shd w:val="clear" w:color="auto" w:fill="auto"/>
                  <w:tcMar>
                    <w:top w:w="150" w:type="dxa"/>
                    <w:left w:w="150" w:type="dxa"/>
                    <w:bottom w:w="150" w:type="dxa"/>
                    <w:right w:w="150" w:type="dxa"/>
                  </w:tcMar>
                  <w:vAlign w:val="center"/>
                </w:tcPr>
                <w:p w14:paraId="755133A2">
                  <w:pPr>
                    <w:keepNext w:val="0"/>
                    <w:keepLines w:val="0"/>
                    <w:widowControl/>
                    <w:suppressLineNumbers w:val="0"/>
                    <w:spacing w:line="240" w:lineRule="auto"/>
                    <w:jc w:val="center"/>
                    <w:rPr>
                      <w:rFonts w:hint="default" w:ascii="Times New Roman" w:hAnsi="Times New Roman" w:eastAsia="宋体" w:cs="Times New Roman"/>
                      <w:i w:val="0"/>
                      <w:iCs w:val="0"/>
                      <w:caps w:val="0"/>
                      <w:color w:val="FF0000"/>
                      <w:spacing w:val="0"/>
                      <w:kern w:val="0"/>
                      <w:sz w:val="21"/>
                      <w:szCs w:val="21"/>
                      <w:lang w:val="en-US" w:eastAsia="zh-CN" w:bidi="ar"/>
                    </w:rPr>
                  </w:pPr>
                  <w:r>
                    <w:rPr>
                      <w:rFonts w:hint="default" w:ascii="Times New Roman" w:hAnsi="Times New Roman" w:eastAsia="宋体" w:cs="Times New Roman"/>
                      <w:i w:val="0"/>
                      <w:iCs w:val="0"/>
                      <w:caps w:val="0"/>
                      <w:color w:val="FF0000"/>
                      <w:spacing w:val="0"/>
                      <w:kern w:val="0"/>
                      <w:sz w:val="21"/>
                      <w:szCs w:val="21"/>
                      <w:lang w:val="en-US" w:eastAsia="zh-CN" w:bidi="ar"/>
                    </w:rPr>
                    <w:t>40</w:t>
                  </w:r>
                </w:p>
              </w:tc>
              <w:tc>
                <w:tcPr>
                  <w:tcW w:w="767" w:type="pct"/>
                  <w:tcBorders>
                    <w:tl2br w:val="nil"/>
                    <w:tr2bl w:val="nil"/>
                  </w:tcBorders>
                  <w:shd w:val="clear" w:color="auto" w:fill="auto"/>
                  <w:tcMar>
                    <w:top w:w="150" w:type="dxa"/>
                    <w:left w:w="150" w:type="dxa"/>
                    <w:bottom w:w="150" w:type="dxa"/>
                    <w:right w:w="150" w:type="dxa"/>
                  </w:tcMar>
                  <w:vAlign w:val="center"/>
                </w:tcPr>
                <w:p w14:paraId="01C64056">
                  <w:pPr>
                    <w:keepNext w:val="0"/>
                    <w:keepLines w:val="0"/>
                    <w:widowControl/>
                    <w:suppressLineNumbers w:val="0"/>
                    <w:spacing w:line="240" w:lineRule="auto"/>
                    <w:jc w:val="center"/>
                    <w:rPr>
                      <w:rFonts w:hint="default" w:ascii="Times New Roman" w:hAnsi="Times New Roman" w:eastAsia="宋体" w:cs="Times New Roman"/>
                      <w:i w:val="0"/>
                      <w:iCs w:val="0"/>
                      <w:caps w:val="0"/>
                      <w:color w:val="FF0000"/>
                      <w:spacing w:val="0"/>
                      <w:kern w:val="0"/>
                      <w:sz w:val="21"/>
                      <w:szCs w:val="21"/>
                      <w:lang w:val="en-US" w:eastAsia="zh-CN" w:bidi="ar"/>
                    </w:rPr>
                  </w:pPr>
                  <w:r>
                    <w:rPr>
                      <w:rFonts w:hint="default" w:ascii="Times New Roman" w:hAnsi="Times New Roman" w:eastAsia="宋体" w:cs="Times New Roman"/>
                      <w:i w:val="0"/>
                      <w:iCs w:val="0"/>
                      <w:caps w:val="0"/>
                      <w:color w:val="FF0000"/>
                      <w:spacing w:val="0"/>
                      <w:kern w:val="0"/>
                      <w:sz w:val="21"/>
                      <w:szCs w:val="21"/>
                      <w:lang w:val="en-US" w:eastAsia="zh-CN" w:bidi="ar"/>
                    </w:rPr>
                    <w:t>电子元件拆解后暂存</w:t>
                  </w:r>
                </w:p>
              </w:tc>
            </w:tr>
            <w:tr w14:paraId="7A6DC96E">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shd w:val="clear" w:color="auto" w:fill="auto"/>
                <w:tblCellMar>
                  <w:top w:w="15" w:type="dxa"/>
                  <w:left w:w="15" w:type="dxa"/>
                  <w:bottom w:w="15" w:type="dxa"/>
                  <w:right w:w="15" w:type="dxa"/>
                </w:tblCellMar>
              </w:tblPrEx>
              <w:tc>
                <w:tcPr>
                  <w:tcW w:w="246" w:type="pct"/>
                  <w:tcBorders>
                    <w:tl2br w:val="nil"/>
                    <w:tr2bl w:val="nil"/>
                  </w:tcBorders>
                  <w:shd w:val="clear" w:color="auto" w:fill="auto"/>
                  <w:tcMar>
                    <w:top w:w="150" w:type="dxa"/>
                    <w:left w:w="0" w:type="dxa"/>
                    <w:bottom w:w="150" w:type="dxa"/>
                    <w:right w:w="150" w:type="dxa"/>
                  </w:tcMar>
                  <w:vAlign w:val="center"/>
                </w:tcPr>
                <w:p w14:paraId="04840B54">
                  <w:pPr>
                    <w:keepNext w:val="0"/>
                    <w:keepLines w:val="0"/>
                    <w:widowControl/>
                    <w:suppressLineNumbers w:val="0"/>
                    <w:spacing w:line="240" w:lineRule="auto"/>
                    <w:jc w:val="center"/>
                    <w:rPr>
                      <w:rFonts w:hint="default" w:ascii="Times New Roman" w:hAnsi="Times New Roman" w:eastAsia="宋体" w:cs="Times New Roman"/>
                      <w:i w:val="0"/>
                      <w:iCs w:val="0"/>
                      <w:caps w:val="0"/>
                      <w:color w:val="FF0000"/>
                      <w:spacing w:val="0"/>
                      <w:kern w:val="0"/>
                      <w:sz w:val="21"/>
                      <w:szCs w:val="21"/>
                      <w:lang w:val="en-US" w:eastAsia="zh-CN" w:bidi="ar"/>
                    </w:rPr>
                  </w:pPr>
                  <w:r>
                    <w:rPr>
                      <w:rFonts w:hint="default" w:ascii="Times New Roman" w:hAnsi="Times New Roman" w:eastAsia="宋体" w:cs="Times New Roman"/>
                      <w:i w:val="0"/>
                      <w:iCs w:val="0"/>
                      <w:caps w:val="0"/>
                      <w:color w:val="FF0000"/>
                      <w:spacing w:val="0"/>
                      <w:kern w:val="0"/>
                      <w:sz w:val="21"/>
                      <w:szCs w:val="21"/>
                      <w:lang w:val="en-US" w:eastAsia="zh-CN" w:bidi="ar"/>
                    </w:rPr>
                    <w:t>6</w:t>
                  </w:r>
                </w:p>
              </w:tc>
              <w:tc>
                <w:tcPr>
                  <w:tcW w:w="492" w:type="pct"/>
                  <w:tcBorders>
                    <w:tl2br w:val="nil"/>
                    <w:tr2bl w:val="nil"/>
                  </w:tcBorders>
                  <w:shd w:val="clear" w:color="auto" w:fill="auto"/>
                  <w:tcMar>
                    <w:top w:w="150" w:type="dxa"/>
                    <w:left w:w="150" w:type="dxa"/>
                    <w:bottom w:w="150" w:type="dxa"/>
                    <w:right w:w="150" w:type="dxa"/>
                  </w:tcMar>
                  <w:vAlign w:val="center"/>
                </w:tcPr>
                <w:p w14:paraId="70E575AB">
                  <w:pPr>
                    <w:keepNext w:val="0"/>
                    <w:keepLines w:val="0"/>
                    <w:widowControl/>
                    <w:suppressLineNumbers w:val="0"/>
                    <w:spacing w:line="240" w:lineRule="auto"/>
                    <w:jc w:val="center"/>
                    <w:rPr>
                      <w:rFonts w:hint="default" w:ascii="Times New Roman" w:hAnsi="Times New Roman" w:eastAsia="宋体" w:cs="Times New Roman"/>
                      <w:i w:val="0"/>
                      <w:iCs w:val="0"/>
                      <w:caps w:val="0"/>
                      <w:color w:val="FF0000"/>
                      <w:spacing w:val="0"/>
                      <w:kern w:val="0"/>
                      <w:sz w:val="21"/>
                      <w:szCs w:val="21"/>
                      <w:lang w:val="en-US" w:eastAsia="zh-CN" w:bidi="ar"/>
                    </w:rPr>
                  </w:pPr>
                  <w:r>
                    <w:rPr>
                      <w:rFonts w:hint="default" w:ascii="Times New Roman" w:hAnsi="Times New Roman" w:eastAsia="宋体" w:cs="Times New Roman"/>
                      <w:i w:val="0"/>
                      <w:iCs w:val="0"/>
                      <w:caps w:val="0"/>
                      <w:color w:val="FF0000"/>
                      <w:spacing w:val="0"/>
                      <w:kern w:val="0"/>
                      <w:sz w:val="21"/>
                      <w:szCs w:val="21"/>
                      <w:lang w:val="en-US" w:eastAsia="zh-CN" w:bidi="ar"/>
                    </w:rPr>
                    <w:t>含汞/含铅部件</w:t>
                  </w:r>
                </w:p>
              </w:tc>
              <w:tc>
                <w:tcPr>
                  <w:tcW w:w="571" w:type="pct"/>
                  <w:tcBorders>
                    <w:tl2br w:val="nil"/>
                    <w:tr2bl w:val="nil"/>
                  </w:tcBorders>
                  <w:shd w:val="clear" w:color="auto" w:fill="auto"/>
                  <w:tcMar>
                    <w:top w:w="150" w:type="dxa"/>
                    <w:left w:w="150" w:type="dxa"/>
                    <w:bottom w:w="150" w:type="dxa"/>
                    <w:right w:w="150" w:type="dxa"/>
                  </w:tcMar>
                  <w:vAlign w:val="center"/>
                </w:tcPr>
                <w:p w14:paraId="2FBF2AAB">
                  <w:pPr>
                    <w:keepNext w:val="0"/>
                    <w:keepLines w:val="0"/>
                    <w:widowControl/>
                    <w:suppressLineNumbers w:val="0"/>
                    <w:spacing w:line="240" w:lineRule="auto"/>
                    <w:jc w:val="center"/>
                    <w:rPr>
                      <w:rFonts w:hint="default" w:ascii="Times New Roman" w:hAnsi="Times New Roman" w:eastAsia="宋体" w:cs="Times New Roman"/>
                      <w:i w:val="0"/>
                      <w:iCs w:val="0"/>
                      <w:caps w:val="0"/>
                      <w:color w:val="FF0000"/>
                      <w:spacing w:val="0"/>
                      <w:kern w:val="0"/>
                      <w:sz w:val="21"/>
                      <w:szCs w:val="21"/>
                      <w:lang w:val="en-US" w:eastAsia="zh-CN" w:bidi="ar"/>
                    </w:rPr>
                  </w:pPr>
                  <w:r>
                    <w:rPr>
                      <w:rFonts w:hint="default" w:ascii="Times New Roman" w:hAnsi="Times New Roman" w:eastAsia="宋体" w:cs="Times New Roman"/>
                      <w:i w:val="0"/>
                      <w:iCs w:val="0"/>
                      <w:caps w:val="0"/>
                      <w:color w:val="FF0000"/>
                      <w:spacing w:val="0"/>
                      <w:kern w:val="0"/>
                      <w:sz w:val="21"/>
                      <w:szCs w:val="21"/>
                      <w:lang w:val="en-US" w:eastAsia="zh-CN" w:bidi="ar"/>
                    </w:rPr>
                    <w:t>专用防漏罐</w:t>
                  </w:r>
                </w:p>
              </w:tc>
              <w:tc>
                <w:tcPr>
                  <w:tcW w:w="1034" w:type="pct"/>
                  <w:tcBorders>
                    <w:tl2br w:val="nil"/>
                    <w:tr2bl w:val="nil"/>
                  </w:tcBorders>
                  <w:shd w:val="clear" w:color="auto" w:fill="auto"/>
                  <w:tcMar>
                    <w:top w:w="150" w:type="dxa"/>
                    <w:left w:w="150" w:type="dxa"/>
                    <w:bottom w:w="150" w:type="dxa"/>
                    <w:right w:w="150" w:type="dxa"/>
                  </w:tcMar>
                  <w:vAlign w:val="center"/>
                </w:tcPr>
                <w:p w14:paraId="40A9EF33">
                  <w:pPr>
                    <w:keepNext w:val="0"/>
                    <w:keepLines w:val="0"/>
                    <w:widowControl/>
                    <w:suppressLineNumbers w:val="0"/>
                    <w:spacing w:line="240" w:lineRule="auto"/>
                    <w:jc w:val="center"/>
                    <w:rPr>
                      <w:rFonts w:hint="default" w:ascii="Times New Roman" w:hAnsi="Times New Roman" w:eastAsia="宋体" w:cs="Times New Roman"/>
                      <w:i w:val="0"/>
                      <w:iCs w:val="0"/>
                      <w:caps w:val="0"/>
                      <w:color w:val="FF0000"/>
                      <w:spacing w:val="0"/>
                      <w:kern w:val="0"/>
                      <w:sz w:val="21"/>
                      <w:szCs w:val="21"/>
                      <w:lang w:val="en-US" w:eastAsia="zh-CN" w:bidi="ar"/>
                    </w:rPr>
                  </w:pPr>
                  <w:r>
                    <w:rPr>
                      <w:rFonts w:hint="default" w:ascii="Times New Roman" w:hAnsi="Times New Roman" w:eastAsia="宋体" w:cs="Times New Roman"/>
                      <w:i w:val="0"/>
                      <w:iCs w:val="0"/>
                      <w:caps w:val="0"/>
                      <w:color w:val="FF0000"/>
                      <w:spacing w:val="0"/>
                      <w:kern w:val="0"/>
                      <w:sz w:val="21"/>
                      <w:szCs w:val="21"/>
                      <w:lang w:val="en-US" w:eastAsia="zh-CN" w:bidi="ar"/>
                    </w:rPr>
                    <w:t>不锈钢304</w:t>
                  </w:r>
                </w:p>
              </w:tc>
              <w:tc>
                <w:tcPr>
                  <w:tcW w:w="1118" w:type="pct"/>
                  <w:tcBorders>
                    <w:tl2br w:val="nil"/>
                    <w:tr2bl w:val="nil"/>
                  </w:tcBorders>
                  <w:shd w:val="clear" w:color="auto" w:fill="auto"/>
                  <w:tcMar>
                    <w:top w:w="150" w:type="dxa"/>
                    <w:left w:w="150" w:type="dxa"/>
                    <w:bottom w:w="150" w:type="dxa"/>
                    <w:right w:w="150" w:type="dxa"/>
                  </w:tcMar>
                  <w:vAlign w:val="center"/>
                </w:tcPr>
                <w:p w14:paraId="7E111B3D">
                  <w:pPr>
                    <w:keepNext w:val="0"/>
                    <w:keepLines w:val="0"/>
                    <w:widowControl/>
                    <w:suppressLineNumbers w:val="0"/>
                    <w:spacing w:line="240" w:lineRule="auto"/>
                    <w:jc w:val="center"/>
                    <w:rPr>
                      <w:rFonts w:hint="default" w:ascii="Times New Roman" w:hAnsi="Times New Roman" w:eastAsia="宋体" w:cs="Times New Roman"/>
                      <w:i w:val="0"/>
                      <w:iCs w:val="0"/>
                      <w:caps w:val="0"/>
                      <w:color w:val="FF0000"/>
                      <w:spacing w:val="0"/>
                      <w:kern w:val="0"/>
                      <w:sz w:val="21"/>
                      <w:szCs w:val="21"/>
                      <w:lang w:val="en-US" w:eastAsia="zh-CN" w:bidi="ar"/>
                    </w:rPr>
                  </w:pPr>
                  <w:r>
                    <w:rPr>
                      <w:rFonts w:hint="default" w:ascii="Times New Roman" w:hAnsi="Times New Roman" w:eastAsia="宋体" w:cs="Times New Roman"/>
                      <w:i w:val="0"/>
                      <w:iCs w:val="0"/>
                      <w:caps w:val="0"/>
                      <w:color w:val="FF0000"/>
                      <w:spacing w:val="0"/>
                      <w:kern w:val="0"/>
                      <w:sz w:val="21"/>
                      <w:szCs w:val="21"/>
                      <w:lang w:val="en-US" w:eastAsia="zh-CN" w:bidi="ar"/>
                    </w:rPr>
                    <w:t>三重密封盖，内衬吸附棉（活性炭+硫磺）</w:t>
                  </w:r>
                </w:p>
              </w:tc>
              <w:tc>
                <w:tcPr>
                  <w:tcW w:w="427" w:type="pct"/>
                  <w:tcBorders>
                    <w:tl2br w:val="nil"/>
                    <w:tr2bl w:val="nil"/>
                  </w:tcBorders>
                  <w:shd w:val="clear" w:color="auto" w:fill="auto"/>
                  <w:tcMar>
                    <w:top w:w="150" w:type="dxa"/>
                    <w:left w:w="150" w:type="dxa"/>
                    <w:bottom w:w="150" w:type="dxa"/>
                    <w:right w:w="150" w:type="dxa"/>
                  </w:tcMar>
                  <w:vAlign w:val="center"/>
                </w:tcPr>
                <w:p w14:paraId="439A85EA">
                  <w:pPr>
                    <w:keepNext w:val="0"/>
                    <w:keepLines w:val="0"/>
                    <w:widowControl/>
                    <w:suppressLineNumbers w:val="0"/>
                    <w:spacing w:line="240" w:lineRule="auto"/>
                    <w:jc w:val="center"/>
                    <w:rPr>
                      <w:rFonts w:hint="default" w:ascii="Times New Roman" w:hAnsi="Times New Roman" w:eastAsia="宋体" w:cs="Times New Roman"/>
                      <w:i w:val="0"/>
                      <w:iCs w:val="0"/>
                      <w:caps w:val="0"/>
                      <w:color w:val="FF0000"/>
                      <w:spacing w:val="0"/>
                      <w:kern w:val="0"/>
                      <w:sz w:val="21"/>
                      <w:szCs w:val="21"/>
                      <w:lang w:val="en-US" w:eastAsia="zh-CN" w:bidi="ar"/>
                    </w:rPr>
                  </w:pPr>
                  <w:r>
                    <w:rPr>
                      <w:rFonts w:hint="default" w:ascii="Times New Roman" w:hAnsi="Times New Roman" w:eastAsia="宋体" w:cs="Times New Roman"/>
                      <w:i w:val="0"/>
                      <w:iCs w:val="0"/>
                      <w:caps w:val="0"/>
                      <w:color w:val="FF0000"/>
                      <w:spacing w:val="0"/>
                      <w:kern w:val="0"/>
                      <w:sz w:val="21"/>
                      <w:szCs w:val="21"/>
                      <w:lang w:val="en-US" w:eastAsia="zh-CN" w:bidi="ar"/>
                    </w:rPr>
                    <w:t>20</w:t>
                  </w:r>
                </w:p>
              </w:tc>
              <w:tc>
                <w:tcPr>
                  <w:tcW w:w="341" w:type="pct"/>
                  <w:tcBorders>
                    <w:tl2br w:val="nil"/>
                    <w:tr2bl w:val="nil"/>
                  </w:tcBorders>
                  <w:shd w:val="clear" w:color="auto" w:fill="auto"/>
                  <w:tcMar>
                    <w:top w:w="150" w:type="dxa"/>
                    <w:left w:w="150" w:type="dxa"/>
                    <w:bottom w:w="150" w:type="dxa"/>
                    <w:right w:w="150" w:type="dxa"/>
                  </w:tcMar>
                  <w:vAlign w:val="center"/>
                </w:tcPr>
                <w:p w14:paraId="5B48F574">
                  <w:pPr>
                    <w:keepNext w:val="0"/>
                    <w:keepLines w:val="0"/>
                    <w:widowControl/>
                    <w:suppressLineNumbers w:val="0"/>
                    <w:spacing w:line="240" w:lineRule="auto"/>
                    <w:jc w:val="center"/>
                    <w:rPr>
                      <w:rFonts w:hint="default" w:ascii="Times New Roman" w:hAnsi="Times New Roman" w:eastAsia="宋体" w:cs="Times New Roman"/>
                      <w:i w:val="0"/>
                      <w:iCs w:val="0"/>
                      <w:caps w:val="0"/>
                      <w:color w:val="FF0000"/>
                      <w:spacing w:val="0"/>
                      <w:kern w:val="0"/>
                      <w:sz w:val="21"/>
                      <w:szCs w:val="21"/>
                      <w:lang w:val="en-US" w:eastAsia="zh-CN" w:bidi="ar"/>
                    </w:rPr>
                  </w:pPr>
                  <w:r>
                    <w:rPr>
                      <w:rFonts w:hint="default" w:ascii="Times New Roman" w:hAnsi="Times New Roman" w:eastAsia="宋体" w:cs="Times New Roman"/>
                      <w:i w:val="0"/>
                      <w:iCs w:val="0"/>
                      <w:caps w:val="0"/>
                      <w:color w:val="FF0000"/>
                      <w:spacing w:val="0"/>
                      <w:kern w:val="0"/>
                      <w:sz w:val="21"/>
                      <w:szCs w:val="21"/>
                      <w:lang w:val="en-US" w:eastAsia="zh-CN" w:bidi="ar"/>
                    </w:rPr>
                    <w:t>30</w:t>
                  </w:r>
                </w:p>
              </w:tc>
              <w:tc>
                <w:tcPr>
                  <w:tcW w:w="767" w:type="pct"/>
                  <w:tcBorders>
                    <w:tl2br w:val="nil"/>
                    <w:tr2bl w:val="nil"/>
                  </w:tcBorders>
                  <w:shd w:val="clear" w:color="auto" w:fill="auto"/>
                  <w:tcMar>
                    <w:top w:w="150" w:type="dxa"/>
                    <w:left w:w="150" w:type="dxa"/>
                    <w:bottom w:w="150" w:type="dxa"/>
                    <w:right w:w="150" w:type="dxa"/>
                  </w:tcMar>
                  <w:vAlign w:val="center"/>
                </w:tcPr>
                <w:p w14:paraId="7CEF76C7">
                  <w:pPr>
                    <w:keepNext w:val="0"/>
                    <w:keepLines w:val="0"/>
                    <w:widowControl/>
                    <w:suppressLineNumbers w:val="0"/>
                    <w:spacing w:line="240" w:lineRule="auto"/>
                    <w:jc w:val="center"/>
                    <w:rPr>
                      <w:rFonts w:hint="default" w:ascii="Times New Roman" w:hAnsi="Times New Roman" w:eastAsia="宋体" w:cs="Times New Roman"/>
                      <w:i w:val="0"/>
                      <w:iCs w:val="0"/>
                      <w:caps w:val="0"/>
                      <w:color w:val="FF0000"/>
                      <w:spacing w:val="0"/>
                      <w:kern w:val="0"/>
                      <w:sz w:val="21"/>
                      <w:szCs w:val="21"/>
                      <w:lang w:val="en-US" w:eastAsia="zh-CN" w:bidi="ar"/>
                    </w:rPr>
                  </w:pPr>
                  <w:r>
                    <w:rPr>
                      <w:rFonts w:hint="default" w:ascii="Times New Roman" w:hAnsi="Times New Roman" w:eastAsia="宋体" w:cs="Times New Roman"/>
                      <w:i w:val="0"/>
                      <w:iCs w:val="0"/>
                      <w:caps w:val="0"/>
                      <w:color w:val="FF0000"/>
                      <w:spacing w:val="0"/>
                      <w:kern w:val="0"/>
                      <w:sz w:val="21"/>
                      <w:szCs w:val="21"/>
                      <w:lang w:val="en-US" w:eastAsia="zh-CN" w:bidi="ar"/>
                    </w:rPr>
                    <w:t>开关、传感器等含重金属部件</w:t>
                  </w:r>
                </w:p>
              </w:tc>
            </w:tr>
            <w:tr w14:paraId="7CA2A617">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shd w:val="clear" w:color="auto" w:fill="auto"/>
                <w:tblCellMar>
                  <w:top w:w="15" w:type="dxa"/>
                  <w:left w:w="15" w:type="dxa"/>
                  <w:bottom w:w="15" w:type="dxa"/>
                  <w:right w:w="15" w:type="dxa"/>
                </w:tblCellMar>
              </w:tblPrEx>
              <w:tc>
                <w:tcPr>
                  <w:tcW w:w="246" w:type="pct"/>
                  <w:tcBorders>
                    <w:tl2br w:val="nil"/>
                    <w:tr2bl w:val="nil"/>
                  </w:tcBorders>
                  <w:shd w:val="clear" w:color="auto" w:fill="auto"/>
                  <w:tcMar>
                    <w:top w:w="150" w:type="dxa"/>
                    <w:left w:w="0" w:type="dxa"/>
                    <w:bottom w:w="150" w:type="dxa"/>
                    <w:right w:w="150" w:type="dxa"/>
                  </w:tcMar>
                  <w:vAlign w:val="center"/>
                </w:tcPr>
                <w:p w14:paraId="622FB0C1">
                  <w:pPr>
                    <w:keepNext w:val="0"/>
                    <w:keepLines w:val="0"/>
                    <w:widowControl/>
                    <w:suppressLineNumbers w:val="0"/>
                    <w:spacing w:line="240" w:lineRule="auto"/>
                    <w:jc w:val="center"/>
                    <w:rPr>
                      <w:rFonts w:hint="default" w:ascii="Times New Roman" w:hAnsi="Times New Roman" w:eastAsia="宋体" w:cs="Times New Roman"/>
                      <w:i w:val="0"/>
                      <w:iCs w:val="0"/>
                      <w:caps w:val="0"/>
                      <w:color w:val="FF0000"/>
                      <w:spacing w:val="0"/>
                      <w:kern w:val="0"/>
                      <w:sz w:val="21"/>
                      <w:szCs w:val="21"/>
                      <w:lang w:val="en-US" w:eastAsia="zh-CN" w:bidi="ar"/>
                    </w:rPr>
                  </w:pPr>
                  <w:r>
                    <w:rPr>
                      <w:rFonts w:hint="default" w:ascii="Times New Roman" w:hAnsi="Times New Roman" w:eastAsia="宋体" w:cs="Times New Roman"/>
                      <w:i w:val="0"/>
                      <w:iCs w:val="0"/>
                      <w:caps w:val="0"/>
                      <w:color w:val="FF0000"/>
                      <w:spacing w:val="0"/>
                      <w:kern w:val="0"/>
                      <w:sz w:val="21"/>
                      <w:szCs w:val="21"/>
                      <w:lang w:val="en-US" w:eastAsia="zh-CN" w:bidi="ar"/>
                    </w:rPr>
                    <w:t>7</w:t>
                  </w:r>
                </w:p>
              </w:tc>
              <w:tc>
                <w:tcPr>
                  <w:tcW w:w="492" w:type="pct"/>
                  <w:tcBorders>
                    <w:tl2br w:val="nil"/>
                    <w:tr2bl w:val="nil"/>
                  </w:tcBorders>
                  <w:shd w:val="clear" w:color="auto" w:fill="auto"/>
                  <w:tcMar>
                    <w:top w:w="150" w:type="dxa"/>
                    <w:left w:w="150" w:type="dxa"/>
                    <w:bottom w:w="150" w:type="dxa"/>
                    <w:right w:w="150" w:type="dxa"/>
                  </w:tcMar>
                  <w:vAlign w:val="center"/>
                </w:tcPr>
                <w:p w14:paraId="1A880FC6">
                  <w:pPr>
                    <w:keepNext w:val="0"/>
                    <w:keepLines w:val="0"/>
                    <w:widowControl/>
                    <w:suppressLineNumbers w:val="0"/>
                    <w:spacing w:line="240" w:lineRule="auto"/>
                    <w:jc w:val="center"/>
                    <w:rPr>
                      <w:rFonts w:hint="default" w:ascii="Times New Roman" w:hAnsi="Times New Roman" w:eastAsia="宋体" w:cs="Times New Roman"/>
                      <w:i w:val="0"/>
                      <w:iCs w:val="0"/>
                      <w:caps w:val="0"/>
                      <w:color w:val="FF0000"/>
                      <w:spacing w:val="0"/>
                      <w:kern w:val="0"/>
                      <w:sz w:val="21"/>
                      <w:szCs w:val="21"/>
                      <w:lang w:val="en-US" w:eastAsia="zh-CN" w:bidi="ar"/>
                    </w:rPr>
                  </w:pPr>
                  <w:r>
                    <w:rPr>
                      <w:rFonts w:hint="default" w:ascii="Times New Roman" w:hAnsi="Times New Roman" w:eastAsia="宋体" w:cs="Times New Roman"/>
                      <w:i w:val="0"/>
                      <w:iCs w:val="0"/>
                      <w:caps w:val="0"/>
                      <w:color w:val="FF0000"/>
                      <w:spacing w:val="0"/>
                      <w:kern w:val="0"/>
                      <w:sz w:val="21"/>
                      <w:szCs w:val="21"/>
                      <w:lang w:val="en-US" w:eastAsia="zh-CN" w:bidi="ar"/>
                    </w:rPr>
                    <w:t>石棉废物</w:t>
                  </w:r>
                </w:p>
              </w:tc>
              <w:tc>
                <w:tcPr>
                  <w:tcW w:w="571" w:type="pct"/>
                  <w:tcBorders>
                    <w:tl2br w:val="nil"/>
                    <w:tr2bl w:val="nil"/>
                  </w:tcBorders>
                  <w:shd w:val="clear" w:color="auto" w:fill="auto"/>
                  <w:tcMar>
                    <w:top w:w="150" w:type="dxa"/>
                    <w:left w:w="150" w:type="dxa"/>
                    <w:bottom w:w="150" w:type="dxa"/>
                    <w:right w:w="150" w:type="dxa"/>
                  </w:tcMar>
                  <w:vAlign w:val="center"/>
                </w:tcPr>
                <w:p w14:paraId="5DAE9766">
                  <w:pPr>
                    <w:keepNext w:val="0"/>
                    <w:keepLines w:val="0"/>
                    <w:widowControl/>
                    <w:suppressLineNumbers w:val="0"/>
                    <w:spacing w:line="240" w:lineRule="auto"/>
                    <w:jc w:val="center"/>
                    <w:rPr>
                      <w:rFonts w:hint="default" w:ascii="Times New Roman" w:hAnsi="Times New Roman" w:eastAsia="宋体" w:cs="Times New Roman"/>
                      <w:i w:val="0"/>
                      <w:iCs w:val="0"/>
                      <w:caps w:val="0"/>
                      <w:color w:val="FF0000"/>
                      <w:spacing w:val="0"/>
                      <w:kern w:val="0"/>
                      <w:sz w:val="21"/>
                      <w:szCs w:val="21"/>
                      <w:lang w:val="en-US" w:eastAsia="zh-CN" w:bidi="ar"/>
                    </w:rPr>
                  </w:pPr>
                  <w:r>
                    <w:rPr>
                      <w:rFonts w:hint="default" w:ascii="Times New Roman" w:hAnsi="Times New Roman" w:eastAsia="宋体" w:cs="Times New Roman"/>
                      <w:i w:val="0"/>
                      <w:iCs w:val="0"/>
                      <w:caps w:val="0"/>
                      <w:color w:val="FF0000"/>
                      <w:spacing w:val="0"/>
                      <w:kern w:val="0"/>
                      <w:sz w:val="21"/>
                      <w:szCs w:val="21"/>
                      <w:lang w:val="en-US" w:eastAsia="zh-CN" w:bidi="ar"/>
                    </w:rPr>
                    <w:t>负压密闭容器</w:t>
                  </w:r>
                </w:p>
              </w:tc>
              <w:tc>
                <w:tcPr>
                  <w:tcW w:w="1034" w:type="pct"/>
                  <w:tcBorders>
                    <w:tl2br w:val="nil"/>
                    <w:tr2bl w:val="nil"/>
                  </w:tcBorders>
                  <w:shd w:val="clear" w:color="auto" w:fill="auto"/>
                  <w:tcMar>
                    <w:top w:w="150" w:type="dxa"/>
                    <w:left w:w="150" w:type="dxa"/>
                    <w:bottom w:w="150" w:type="dxa"/>
                    <w:right w:w="150" w:type="dxa"/>
                  </w:tcMar>
                  <w:vAlign w:val="center"/>
                </w:tcPr>
                <w:p w14:paraId="51290F65">
                  <w:pPr>
                    <w:keepNext w:val="0"/>
                    <w:keepLines w:val="0"/>
                    <w:widowControl/>
                    <w:suppressLineNumbers w:val="0"/>
                    <w:spacing w:line="240" w:lineRule="auto"/>
                    <w:jc w:val="center"/>
                    <w:rPr>
                      <w:rFonts w:hint="default" w:ascii="Times New Roman" w:hAnsi="Times New Roman" w:eastAsia="宋体" w:cs="Times New Roman"/>
                      <w:i w:val="0"/>
                      <w:iCs w:val="0"/>
                      <w:caps w:val="0"/>
                      <w:color w:val="FF0000"/>
                      <w:spacing w:val="0"/>
                      <w:kern w:val="0"/>
                      <w:sz w:val="21"/>
                      <w:szCs w:val="21"/>
                      <w:lang w:val="en-US" w:eastAsia="zh-CN" w:bidi="ar"/>
                    </w:rPr>
                  </w:pPr>
                  <w:r>
                    <w:rPr>
                      <w:rFonts w:hint="default" w:ascii="Times New Roman" w:hAnsi="Times New Roman" w:eastAsia="宋体" w:cs="Times New Roman"/>
                      <w:i w:val="0"/>
                      <w:iCs w:val="0"/>
                      <w:caps w:val="0"/>
                      <w:color w:val="FF0000"/>
                      <w:spacing w:val="0"/>
                      <w:kern w:val="0"/>
                      <w:sz w:val="21"/>
                      <w:szCs w:val="21"/>
                      <w:lang w:val="en-US" w:eastAsia="zh-CN" w:bidi="ar"/>
                    </w:rPr>
                    <w:t>钢制（内涂防腐层）</w:t>
                  </w:r>
                </w:p>
              </w:tc>
              <w:tc>
                <w:tcPr>
                  <w:tcW w:w="1118" w:type="pct"/>
                  <w:tcBorders>
                    <w:tl2br w:val="nil"/>
                    <w:tr2bl w:val="nil"/>
                  </w:tcBorders>
                  <w:shd w:val="clear" w:color="auto" w:fill="auto"/>
                  <w:tcMar>
                    <w:top w:w="150" w:type="dxa"/>
                    <w:left w:w="150" w:type="dxa"/>
                    <w:bottom w:w="150" w:type="dxa"/>
                    <w:right w:w="150" w:type="dxa"/>
                  </w:tcMar>
                  <w:vAlign w:val="center"/>
                </w:tcPr>
                <w:p w14:paraId="651A77A5">
                  <w:pPr>
                    <w:keepNext w:val="0"/>
                    <w:keepLines w:val="0"/>
                    <w:widowControl/>
                    <w:suppressLineNumbers w:val="0"/>
                    <w:spacing w:line="240" w:lineRule="auto"/>
                    <w:jc w:val="center"/>
                    <w:rPr>
                      <w:rFonts w:hint="default" w:ascii="Times New Roman" w:hAnsi="Times New Roman" w:eastAsia="宋体" w:cs="Times New Roman"/>
                      <w:i w:val="0"/>
                      <w:iCs w:val="0"/>
                      <w:caps w:val="0"/>
                      <w:color w:val="FF0000"/>
                      <w:spacing w:val="0"/>
                      <w:kern w:val="0"/>
                      <w:sz w:val="21"/>
                      <w:szCs w:val="21"/>
                      <w:lang w:val="en-US" w:eastAsia="zh-CN" w:bidi="ar"/>
                    </w:rPr>
                  </w:pPr>
                  <w:r>
                    <w:rPr>
                      <w:rFonts w:hint="default" w:ascii="Times New Roman" w:hAnsi="Times New Roman" w:eastAsia="宋体" w:cs="Times New Roman"/>
                      <w:i w:val="0"/>
                      <w:iCs w:val="0"/>
                      <w:caps w:val="0"/>
                      <w:color w:val="FF0000"/>
                      <w:spacing w:val="0"/>
                      <w:kern w:val="0"/>
                      <w:sz w:val="21"/>
                      <w:szCs w:val="21"/>
                      <w:lang w:val="en-US" w:eastAsia="zh-CN" w:bidi="ar"/>
                    </w:rPr>
                    <w:t>集成HEPA过滤排气口，操作口带手套箱</w:t>
                  </w:r>
                </w:p>
              </w:tc>
              <w:tc>
                <w:tcPr>
                  <w:tcW w:w="427" w:type="pct"/>
                  <w:tcBorders>
                    <w:tl2br w:val="nil"/>
                    <w:tr2bl w:val="nil"/>
                  </w:tcBorders>
                  <w:shd w:val="clear" w:color="auto" w:fill="auto"/>
                  <w:tcMar>
                    <w:top w:w="150" w:type="dxa"/>
                    <w:left w:w="150" w:type="dxa"/>
                    <w:bottom w:w="150" w:type="dxa"/>
                    <w:right w:w="150" w:type="dxa"/>
                  </w:tcMar>
                  <w:vAlign w:val="center"/>
                </w:tcPr>
                <w:p w14:paraId="0D7C915E">
                  <w:pPr>
                    <w:keepNext w:val="0"/>
                    <w:keepLines w:val="0"/>
                    <w:widowControl/>
                    <w:suppressLineNumbers w:val="0"/>
                    <w:spacing w:line="240" w:lineRule="auto"/>
                    <w:jc w:val="center"/>
                    <w:rPr>
                      <w:rFonts w:hint="default" w:ascii="Times New Roman" w:hAnsi="Times New Roman" w:eastAsia="宋体" w:cs="Times New Roman"/>
                      <w:i w:val="0"/>
                      <w:iCs w:val="0"/>
                      <w:caps w:val="0"/>
                      <w:color w:val="FF0000"/>
                      <w:spacing w:val="0"/>
                      <w:kern w:val="0"/>
                      <w:sz w:val="21"/>
                      <w:szCs w:val="21"/>
                      <w:lang w:val="en-US" w:eastAsia="zh-CN" w:bidi="ar"/>
                    </w:rPr>
                  </w:pPr>
                  <w:r>
                    <w:rPr>
                      <w:rFonts w:hint="default" w:ascii="Times New Roman" w:hAnsi="Times New Roman" w:eastAsia="宋体" w:cs="Times New Roman"/>
                      <w:i w:val="0"/>
                      <w:iCs w:val="0"/>
                      <w:caps w:val="0"/>
                      <w:color w:val="FF0000"/>
                      <w:spacing w:val="0"/>
                      <w:kern w:val="0"/>
                      <w:sz w:val="21"/>
                      <w:szCs w:val="21"/>
                      <w:lang w:val="en-US" w:eastAsia="zh-CN" w:bidi="ar"/>
                    </w:rPr>
                    <w:t>100</w:t>
                  </w:r>
                </w:p>
              </w:tc>
              <w:tc>
                <w:tcPr>
                  <w:tcW w:w="341" w:type="pct"/>
                  <w:tcBorders>
                    <w:tl2br w:val="nil"/>
                    <w:tr2bl w:val="nil"/>
                  </w:tcBorders>
                  <w:shd w:val="clear" w:color="auto" w:fill="auto"/>
                  <w:tcMar>
                    <w:top w:w="150" w:type="dxa"/>
                    <w:left w:w="150" w:type="dxa"/>
                    <w:bottom w:w="150" w:type="dxa"/>
                    <w:right w:w="150" w:type="dxa"/>
                  </w:tcMar>
                  <w:vAlign w:val="center"/>
                </w:tcPr>
                <w:p w14:paraId="349E83A8">
                  <w:pPr>
                    <w:keepNext w:val="0"/>
                    <w:keepLines w:val="0"/>
                    <w:widowControl/>
                    <w:suppressLineNumbers w:val="0"/>
                    <w:spacing w:line="240" w:lineRule="auto"/>
                    <w:jc w:val="center"/>
                    <w:rPr>
                      <w:rFonts w:hint="default" w:ascii="Times New Roman" w:hAnsi="Times New Roman" w:eastAsia="宋体" w:cs="Times New Roman"/>
                      <w:i w:val="0"/>
                      <w:iCs w:val="0"/>
                      <w:caps w:val="0"/>
                      <w:color w:val="FF0000"/>
                      <w:spacing w:val="0"/>
                      <w:kern w:val="0"/>
                      <w:sz w:val="21"/>
                      <w:szCs w:val="21"/>
                      <w:lang w:val="en-US" w:eastAsia="zh-CN" w:bidi="ar"/>
                    </w:rPr>
                  </w:pPr>
                  <w:r>
                    <w:rPr>
                      <w:rFonts w:hint="default" w:ascii="Times New Roman" w:hAnsi="Times New Roman" w:eastAsia="宋体" w:cs="Times New Roman"/>
                      <w:i w:val="0"/>
                      <w:iCs w:val="0"/>
                      <w:caps w:val="0"/>
                      <w:color w:val="FF0000"/>
                      <w:spacing w:val="0"/>
                      <w:kern w:val="0"/>
                      <w:sz w:val="21"/>
                      <w:szCs w:val="21"/>
                      <w:lang w:val="en-US" w:eastAsia="zh-CN" w:bidi="ar"/>
                    </w:rPr>
                    <w:t>10</w:t>
                  </w:r>
                </w:p>
              </w:tc>
              <w:tc>
                <w:tcPr>
                  <w:tcW w:w="767" w:type="pct"/>
                  <w:tcBorders>
                    <w:tl2br w:val="nil"/>
                    <w:tr2bl w:val="nil"/>
                  </w:tcBorders>
                  <w:shd w:val="clear" w:color="auto" w:fill="auto"/>
                  <w:tcMar>
                    <w:top w:w="150" w:type="dxa"/>
                    <w:left w:w="150" w:type="dxa"/>
                    <w:bottom w:w="150" w:type="dxa"/>
                    <w:right w:w="150" w:type="dxa"/>
                  </w:tcMar>
                  <w:vAlign w:val="center"/>
                </w:tcPr>
                <w:p w14:paraId="6355DF53">
                  <w:pPr>
                    <w:keepNext w:val="0"/>
                    <w:keepLines w:val="0"/>
                    <w:widowControl/>
                    <w:suppressLineNumbers w:val="0"/>
                    <w:spacing w:line="240" w:lineRule="auto"/>
                    <w:jc w:val="center"/>
                    <w:rPr>
                      <w:rFonts w:hint="default" w:ascii="Times New Roman" w:hAnsi="Times New Roman" w:eastAsia="宋体" w:cs="Times New Roman"/>
                      <w:i w:val="0"/>
                      <w:iCs w:val="0"/>
                      <w:caps w:val="0"/>
                      <w:color w:val="FF0000"/>
                      <w:spacing w:val="0"/>
                      <w:kern w:val="0"/>
                      <w:sz w:val="21"/>
                      <w:szCs w:val="21"/>
                      <w:lang w:val="en-US" w:eastAsia="zh-CN" w:bidi="ar"/>
                    </w:rPr>
                  </w:pPr>
                  <w:r>
                    <w:rPr>
                      <w:rFonts w:hint="default" w:ascii="Times New Roman" w:hAnsi="Times New Roman" w:eastAsia="宋体" w:cs="Times New Roman"/>
                      <w:i w:val="0"/>
                      <w:iCs w:val="0"/>
                      <w:caps w:val="0"/>
                      <w:color w:val="FF0000"/>
                      <w:spacing w:val="0"/>
                      <w:kern w:val="0"/>
                      <w:sz w:val="21"/>
                      <w:szCs w:val="21"/>
                      <w:lang w:val="en-US" w:eastAsia="zh-CN" w:bidi="ar"/>
                    </w:rPr>
                    <w:t>制动衬片拆解收集</w:t>
                  </w:r>
                </w:p>
              </w:tc>
            </w:tr>
            <w:tr w14:paraId="1BDC3E97">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shd w:val="clear" w:color="auto" w:fill="auto"/>
                <w:tblCellMar>
                  <w:top w:w="15" w:type="dxa"/>
                  <w:left w:w="15" w:type="dxa"/>
                  <w:bottom w:w="15" w:type="dxa"/>
                  <w:right w:w="15" w:type="dxa"/>
                </w:tblCellMar>
              </w:tblPrEx>
              <w:tc>
                <w:tcPr>
                  <w:tcW w:w="246" w:type="pct"/>
                  <w:tcBorders>
                    <w:tl2br w:val="nil"/>
                    <w:tr2bl w:val="nil"/>
                  </w:tcBorders>
                  <w:shd w:val="clear" w:color="auto" w:fill="auto"/>
                  <w:tcMar>
                    <w:top w:w="150" w:type="dxa"/>
                    <w:left w:w="0" w:type="dxa"/>
                    <w:bottom w:w="150" w:type="dxa"/>
                    <w:right w:w="150" w:type="dxa"/>
                  </w:tcMar>
                  <w:vAlign w:val="center"/>
                </w:tcPr>
                <w:p w14:paraId="6D558900">
                  <w:pPr>
                    <w:keepNext w:val="0"/>
                    <w:keepLines w:val="0"/>
                    <w:widowControl/>
                    <w:suppressLineNumbers w:val="0"/>
                    <w:spacing w:line="240" w:lineRule="auto"/>
                    <w:jc w:val="center"/>
                    <w:rPr>
                      <w:rFonts w:hint="default" w:ascii="Times New Roman" w:hAnsi="Times New Roman" w:eastAsia="宋体" w:cs="Times New Roman"/>
                      <w:i w:val="0"/>
                      <w:iCs w:val="0"/>
                      <w:caps w:val="0"/>
                      <w:color w:val="FF0000"/>
                      <w:spacing w:val="0"/>
                      <w:kern w:val="0"/>
                      <w:sz w:val="21"/>
                      <w:szCs w:val="21"/>
                      <w:lang w:val="en-US" w:eastAsia="zh-CN" w:bidi="ar"/>
                    </w:rPr>
                  </w:pPr>
                  <w:r>
                    <w:rPr>
                      <w:rFonts w:hint="default" w:ascii="Times New Roman" w:hAnsi="Times New Roman" w:eastAsia="宋体" w:cs="Times New Roman"/>
                      <w:i w:val="0"/>
                      <w:iCs w:val="0"/>
                      <w:caps w:val="0"/>
                      <w:color w:val="FF0000"/>
                      <w:spacing w:val="0"/>
                      <w:kern w:val="0"/>
                      <w:sz w:val="21"/>
                      <w:szCs w:val="21"/>
                      <w:lang w:val="en-US" w:eastAsia="zh-CN" w:bidi="ar"/>
                    </w:rPr>
                    <w:t>8</w:t>
                  </w:r>
                </w:p>
              </w:tc>
              <w:tc>
                <w:tcPr>
                  <w:tcW w:w="492" w:type="pct"/>
                  <w:tcBorders>
                    <w:tl2br w:val="nil"/>
                    <w:tr2bl w:val="nil"/>
                  </w:tcBorders>
                  <w:shd w:val="clear" w:color="auto" w:fill="auto"/>
                  <w:tcMar>
                    <w:top w:w="150" w:type="dxa"/>
                    <w:left w:w="150" w:type="dxa"/>
                    <w:bottom w:w="150" w:type="dxa"/>
                    <w:right w:w="150" w:type="dxa"/>
                  </w:tcMar>
                  <w:vAlign w:val="center"/>
                </w:tcPr>
                <w:p w14:paraId="020A72F8">
                  <w:pPr>
                    <w:keepNext w:val="0"/>
                    <w:keepLines w:val="0"/>
                    <w:widowControl/>
                    <w:suppressLineNumbers w:val="0"/>
                    <w:spacing w:line="240" w:lineRule="auto"/>
                    <w:jc w:val="center"/>
                    <w:rPr>
                      <w:rFonts w:hint="default" w:ascii="Times New Roman" w:hAnsi="Times New Roman" w:eastAsia="宋体" w:cs="Times New Roman"/>
                      <w:i w:val="0"/>
                      <w:iCs w:val="0"/>
                      <w:caps w:val="0"/>
                      <w:color w:val="FF0000"/>
                      <w:spacing w:val="0"/>
                      <w:kern w:val="0"/>
                      <w:sz w:val="21"/>
                      <w:szCs w:val="21"/>
                      <w:lang w:val="en-US" w:eastAsia="zh-CN" w:bidi="ar"/>
                    </w:rPr>
                  </w:pPr>
                  <w:r>
                    <w:rPr>
                      <w:rFonts w:hint="default" w:ascii="Times New Roman" w:hAnsi="Times New Roman" w:eastAsia="宋体" w:cs="Times New Roman"/>
                      <w:i w:val="0"/>
                      <w:iCs w:val="0"/>
                      <w:caps w:val="0"/>
                      <w:color w:val="FF0000"/>
                      <w:spacing w:val="0"/>
                      <w:kern w:val="0"/>
                      <w:sz w:val="21"/>
                      <w:szCs w:val="21"/>
                      <w:lang w:val="en-US" w:eastAsia="zh-CN" w:bidi="ar"/>
                    </w:rPr>
                    <w:t>废有机溶剂</w:t>
                  </w:r>
                </w:p>
              </w:tc>
              <w:tc>
                <w:tcPr>
                  <w:tcW w:w="571" w:type="pct"/>
                  <w:tcBorders>
                    <w:tl2br w:val="nil"/>
                    <w:tr2bl w:val="nil"/>
                  </w:tcBorders>
                  <w:shd w:val="clear" w:color="auto" w:fill="auto"/>
                  <w:tcMar>
                    <w:top w:w="150" w:type="dxa"/>
                    <w:left w:w="150" w:type="dxa"/>
                    <w:bottom w:w="150" w:type="dxa"/>
                    <w:right w:w="150" w:type="dxa"/>
                  </w:tcMar>
                  <w:vAlign w:val="center"/>
                </w:tcPr>
                <w:p w14:paraId="1E4C6D66">
                  <w:pPr>
                    <w:keepNext w:val="0"/>
                    <w:keepLines w:val="0"/>
                    <w:widowControl/>
                    <w:suppressLineNumbers w:val="0"/>
                    <w:spacing w:line="240" w:lineRule="auto"/>
                    <w:jc w:val="center"/>
                    <w:rPr>
                      <w:rFonts w:hint="default" w:ascii="Times New Roman" w:hAnsi="Times New Roman" w:eastAsia="宋体" w:cs="Times New Roman"/>
                      <w:i w:val="0"/>
                      <w:iCs w:val="0"/>
                      <w:caps w:val="0"/>
                      <w:color w:val="FF0000"/>
                      <w:spacing w:val="0"/>
                      <w:kern w:val="0"/>
                      <w:sz w:val="21"/>
                      <w:szCs w:val="21"/>
                      <w:lang w:val="en-US" w:eastAsia="zh-CN" w:bidi="ar"/>
                    </w:rPr>
                  </w:pPr>
                  <w:r>
                    <w:rPr>
                      <w:rFonts w:hint="default" w:ascii="Times New Roman" w:hAnsi="Times New Roman" w:eastAsia="宋体" w:cs="Times New Roman"/>
                      <w:i w:val="0"/>
                      <w:iCs w:val="0"/>
                      <w:caps w:val="0"/>
                      <w:color w:val="FF0000"/>
                      <w:spacing w:val="0"/>
                      <w:kern w:val="0"/>
                      <w:sz w:val="21"/>
                      <w:szCs w:val="21"/>
                      <w:lang w:val="en-US" w:eastAsia="zh-CN" w:bidi="ar"/>
                    </w:rPr>
                    <w:t>IBC吨桶</w:t>
                  </w:r>
                </w:p>
              </w:tc>
              <w:tc>
                <w:tcPr>
                  <w:tcW w:w="1034" w:type="pct"/>
                  <w:tcBorders>
                    <w:tl2br w:val="nil"/>
                    <w:tr2bl w:val="nil"/>
                  </w:tcBorders>
                  <w:shd w:val="clear" w:color="auto" w:fill="auto"/>
                  <w:tcMar>
                    <w:top w:w="150" w:type="dxa"/>
                    <w:left w:w="150" w:type="dxa"/>
                    <w:bottom w:w="150" w:type="dxa"/>
                    <w:right w:w="150" w:type="dxa"/>
                  </w:tcMar>
                  <w:vAlign w:val="center"/>
                </w:tcPr>
                <w:p w14:paraId="6DB268A3">
                  <w:pPr>
                    <w:keepNext w:val="0"/>
                    <w:keepLines w:val="0"/>
                    <w:widowControl/>
                    <w:suppressLineNumbers w:val="0"/>
                    <w:spacing w:line="240" w:lineRule="auto"/>
                    <w:jc w:val="center"/>
                    <w:rPr>
                      <w:rFonts w:hint="default" w:ascii="Times New Roman" w:hAnsi="Times New Roman" w:eastAsia="宋体" w:cs="Times New Roman"/>
                      <w:i w:val="0"/>
                      <w:iCs w:val="0"/>
                      <w:caps w:val="0"/>
                      <w:color w:val="FF0000"/>
                      <w:spacing w:val="0"/>
                      <w:kern w:val="0"/>
                      <w:sz w:val="21"/>
                      <w:szCs w:val="21"/>
                      <w:lang w:val="en-US" w:eastAsia="zh-CN" w:bidi="ar"/>
                    </w:rPr>
                  </w:pPr>
                  <w:r>
                    <w:rPr>
                      <w:rFonts w:hint="default" w:ascii="Times New Roman" w:hAnsi="Times New Roman" w:eastAsia="宋体" w:cs="Times New Roman"/>
                      <w:i w:val="0"/>
                      <w:iCs w:val="0"/>
                      <w:caps w:val="0"/>
                      <w:color w:val="FF0000"/>
                      <w:spacing w:val="0"/>
                      <w:kern w:val="0"/>
                      <w:sz w:val="21"/>
                      <w:szCs w:val="21"/>
                      <w:lang w:val="en-US" w:eastAsia="zh-CN" w:bidi="ar"/>
                    </w:rPr>
                    <w:t>高密度聚乙烯（HDPE）</w:t>
                  </w:r>
                </w:p>
              </w:tc>
              <w:tc>
                <w:tcPr>
                  <w:tcW w:w="1118" w:type="pct"/>
                  <w:tcBorders>
                    <w:tl2br w:val="nil"/>
                    <w:tr2bl w:val="nil"/>
                  </w:tcBorders>
                  <w:shd w:val="clear" w:color="auto" w:fill="auto"/>
                  <w:tcMar>
                    <w:top w:w="150" w:type="dxa"/>
                    <w:left w:w="150" w:type="dxa"/>
                    <w:bottom w:w="150" w:type="dxa"/>
                    <w:right w:w="150" w:type="dxa"/>
                  </w:tcMar>
                  <w:vAlign w:val="center"/>
                </w:tcPr>
                <w:p w14:paraId="2FF62B92">
                  <w:pPr>
                    <w:keepNext w:val="0"/>
                    <w:keepLines w:val="0"/>
                    <w:widowControl/>
                    <w:suppressLineNumbers w:val="0"/>
                    <w:spacing w:line="240" w:lineRule="auto"/>
                    <w:jc w:val="center"/>
                    <w:rPr>
                      <w:rFonts w:hint="default" w:ascii="Times New Roman" w:hAnsi="Times New Roman" w:eastAsia="宋体" w:cs="Times New Roman"/>
                      <w:i w:val="0"/>
                      <w:iCs w:val="0"/>
                      <w:caps w:val="0"/>
                      <w:color w:val="FF0000"/>
                      <w:spacing w:val="0"/>
                      <w:kern w:val="0"/>
                      <w:sz w:val="21"/>
                      <w:szCs w:val="21"/>
                      <w:lang w:val="en-US" w:eastAsia="zh-CN" w:bidi="ar"/>
                    </w:rPr>
                  </w:pPr>
                  <w:r>
                    <w:rPr>
                      <w:rFonts w:hint="default" w:ascii="Times New Roman" w:hAnsi="Times New Roman" w:eastAsia="宋体" w:cs="Times New Roman"/>
                      <w:i w:val="0"/>
                      <w:iCs w:val="0"/>
                      <w:caps w:val="0"/>
                      <w:color w:val="FF0000"/>
                      <w:spacing w:val="0"/>
                      <w:kern w:val="0"/>
                      <w:sz w:val="21"/>
                      <w:szCs w:val="21"/>
                      <w:lang w:val="en-US" w:eastAsia="zh-CN" w:bidi="ar"/>
                    </w:rPr>
                    <w:t>双层阀盖，防虹吸设计，桶体标“易燃”标识</w:t>
                  </w:r>
                </w:p>
              </w:tc>
              <w:tc>
                <w:tcPr>
                  <w:tcW w:w="427" w:type="pct"/>
                  <w:tcBorders>
                    <w:tl2br w:val="nil"/>
                    <w:tr2bl w:val="nil"/>
                  </w:tcBorders>
                  <w:shd w:val="clear" w:color="auto" w:fill="auto"/>
                  <w:tcMar>
                    <w:top w:w="150" w:type="dxa"/>
                    <w:left w:w="150" w:type="dxa"/>
                    <w:bottom w:w="150" w:type="dxa"/>
                    <w:right w:w="150" w:type="dxa"/>
                  </w:tcMar>
                  <w:vAlign w:val="center"/>
                </w:tcPr>
                <w:p w14:paraId="6436C7FC">
                  <w:pPr>
                    <w:keepNext w:val="0"/>
                    <w:keepLines w:val="0"/>
                    <w:widowControl/>
                    <w:suppressLineNumbers w:val="0"/>
                    <w:spacing w:line="240" w:lineRule="auto"/>
                    <w:jc w:val="center"/>
                    <w:rPr>
                      <w:rFonts w:hint="default" w:ascii="Times New Roman" w:hAnsi="Times New Roman" w:eastAsia="宋体" w:cs="Times New Roman"/>
                      <w:i w:val="0"/>
                      <w:iCs w:val="0"/>
                      <w:caps w:val="0"/>
                      <w:color w:val="FF0000"/>
                      <w:spacing w:val="0"/>
                      <w:kern w:val="0"/>
                      <w:sz w:val="21"/>
                      <w:szCs w:val="21"/>
                      <w:lang w:val="en-US" w:eastAsia="zh-CN" w:bidi="ar"/>
                    </w:rPr>
                  </w:pPr>
                  <w:r>
                    <w:rPr>
                      <w:rFonts w:hint="default" w:ascii="Times New Roman" w:hAnsi="Times New Roman" w:eastAsia="宋体" w:cs="Times New Roman"/>
                      <w:i w:val="0"/>
                      <w:iCs w:val="0"/>
                      <w:caps w:val="0"/>
                      <w:color w:val="FF0000"/>
                      <w:spacing w:val="0"/>
                      <w:kern w:val="0"/>
                      <w:sz w:val="21"/>
                      <w:szCs w:val="21"/>
                      <w:lang w:val="en-US" w:eastAsia="zh-CN" w:bidi="ar"/>
                    </w:rPr>
                    <w:t>1</w:t>
                  </w:r>
                  <w:r>
                    <w:rPr>
                      <w:rFonts w:hint="eastAsia" w:cs="Times New Roman"/>
                      <w:i w:val="0"/>
                      <w:iCs w:val="0"/>
                      <w:caps w:val="0"/>
                      <w:color w:val="FF0000"/>
                      <w:spacing w:val="0"/>
                      <w:kern w:val="0"/>
                      <w:sz w:val="21"/>
                      <w:szCs w:val="21"/>
                      <w:lang w:val="en-US" w:eastAsia="zh-CN" w:bidi="ar"/>
                    </w:rPr>
                    <w:t>000</w:t>
                  </w:r>
                </w:p>
              </w:tc>
              <w:tc>
                <w:tcPr>
                  <w:tcW w:w="341" w:type="pct"/>
                  <w:tcBorders>
                    <w:tl2br w:val="nil"/>
                    <w:tr2bl w:val="nil"/>
                  </w:tcBorders>
                  <w:shd w:val="clear" w:color="auto" w:fill="auto"/>
                  <w:vAlign w:val="center"/>
                </w:tcPr>
                <w:p w14:paraId="6F934EB2">
                  <w:pPr>
                    <w:keepNext w:val="0"/>
                    <w:keepLines w:val="0"/>
                    <w:widowControl/>
                    <w:suppressLineNumbers w:val="0"/>
                    <w:spacing w:line="240" w:lineRule="auto"/>
                    <w:jc w:val="center"/>
                    <w:rPr>
                      <w:rFonts w:hint="default" w:ascii="Times New Roman" w:hAnsi="Times New Roman" w:eastAsia="宋体" w:cs="Times New Roman"/>
                      <w:i w:val="0"/>
                      <w:iCs w:val="0"/>
                      <w:caps w:val="0"/>
                      <w:color w:val="FF0000"/>
                      <w:spacing w:val="0"/>
                      <w:kern w:val="0"/>
                      <w:sz w:val="21"/>
                      <w:szCs w:val="21"/>
                      <w:lang w:val="en-US" w:eastAsia="zh-CN" w:bidi="ar"/>
                    </w:rPr>
                  </w:pPr>
                  <w:r>
                    <w:rPr>
                      <w:rFonts w:hint="eastAsia" w:cs="Times New Roman"/>
                      <w:i w:val="0"/>
                      <w:iCs w:val="0"/>
                      <w:caps w:val="0"/>
                      <w:color w:val="FF0000"/>
                      <w:spacing w:val="0"/>
                      <w:kern w:val="0"/>
                      <w:sz w:val="21"/>
                      <w:szCs w:val="21"/>
                      <w:lang w:val="en-US" w:eastAsia="zh-CN" w:bidi="ar"/>
                    </w:rPr>
                    <w:t>15</w:t>
                  </w:r>
                </w:p>
              </w:tc>
              <w:tc>
                <w:tcPr>
                  <w:tcW w:w="767" w:type="pct"/>
                  <w:tcBorders>
                    <w:tl2br w:val="nil"/>
                    <w:tr2bl w:val="nil"/>
                  </w:tcBorders>
                  <w:shd w:val="clear" w:color="auto" w:fill="auto"/>
                  <w:vAlign w:val="center"/>
                </w:tcPr>
                <w:p w14:paraId="1B7EF41F">
                  <w:pPr>
                    <w:keepNext w:val="0"/>
                    <w:keepLines w:val="0"/>
                    <w:widowControl/>
                    <w:suppressLineNumbers w:val="0"/>
                    <w:spacing w:line="240" w:lineRule="auto"/>
                    <w:jc w:val="center"/>
                    <w:rPr>
                      <w:rFonts w:hint="eastAsia" w:ascii="Times New Roman" w:hAnsi="Times New Roman" w:eastAsia="宋体" w:cs="Times New Roman"/>
                      <w:i w:val="0"/>
                      <w:iCs w:val="0"/>
                      <w:caps w:val="0"/>
                      <w:color w:val="FF0000"/>
                      <w:spacing w:val="0"/>
                      <w:kern w:val="0"/>
                      <w:sz w:val="21"/>
                      <w:szCs w:val="21"/>
                      <w:lang w:val="en-US" w:eastAsia="zh-CN" w:bidi="ar"/>
                    </w:rPr>
                  </w:pPr>
                  <w:r>
                    <w:rPr>
                      <w:rFonts w:hint="eastAsia" w:ascii="Times New Roman" w:hAnsi="Times New Roman" w:eastAsia="宋体" w:cs="Times New Roman"/>
                      <w:i w:val="0"/>
                      <w:iCs w:val="0"/>
                      <w:caps w:val="0"/>
                      <w:color w:val="FF0000"/>
                      <w:spacing w:val="0"/>
                      <w:kern w:val="0"/>
                      <w:sz w:val="21"/>
                      <w:szCs w:val="21"/>
                      <w:lang w:val="en-US" w:eastAsia="zh-CN" w:bidi="ar"/>
                    </w:rPr>
                    <w:t>清洗剂、防冻液收集</w:t>
                  </w:r>
                </w:p>
              </w:tc>
            </w:tr>
          </w:tbl>
          <w:p w14:paraId="2F571D57">
            <w:pPr>
              <w:tabs>
                <w:tab w:val="left" w:pos="1668"/>
              </w:tabs>
              <w:adjustRightInd w:val="0"/>
              <w:snapToGrid w:val="0"/>
              <w:spacing w:line="360" w:lineRule="auto"/>
              <w:jc w:val="left"/>
              <w:rPr>
                <w:rFonts w:hint="eastAsia"/>
                <w:b/>
                <w:color w:val="000000" w:themeColor="text1"/>
                <w:sz w:val="24"/>
                <w14:textFill>
                  <w14:solidFill>
                    <w14:schemeClr w14:val="tx1"/>
                  </w14:solidFill>
                </w14:textFill>
              </w:rPr>
            </w:pPr>
          </w:p>
          <w:p w14:paraId="2B366CAF">
            <w:pPr>
              <w:tabs>
                <w:tab w:val="left" w:pos="1668"/>
              </w:tabs>
              <w:adjustRightInd w:val="0"/>
              <w:snapToGrid w:val="0"/>
              <w:spacing w:line="360" w:lineRule="auto"/>
              <w:jc w:val="left"/>
              <w:rPr>
                <w:b/>
                <w:color w:val="000000" w:themeColor="text1"/>
                <w:sz w:val="24"/>
                <w14:textFill>
                  <w14:solidFill>
                    <w14:schemeClr w14:val="tx1"/>
                  </w14:solidFill>
                </w14:textFill>
              </w:rPr>
            </w:pPr>
            <w:r>
              <w:rPr>
                <w:rFonts w:hint="eastAsia"/>
                <w:b/>
                <w:color w:val="000000" w:themeColor="text1"/>
                <w:sz w:val="24"/>
                <w14:textFill>
                  <w14:solidFill>
                    <w14:schemeClr w14:val="tx1"/>
                  </w14:solidFill>
                </w14:textFill>
              </w:rPr>
              <w:t>6.</w:t>
            </w:r>
            <w:r>
              <w:rPr>
                <w:b/>
                <w:color w:val="000000" w:themeColor="text1"/>
                <w:sz w:val="24"/>
                <w14:textFill>
                  <w14:solidFill>
                    <w14:schemeClr w14:val="tx1"/>
                  </w14:solidFill>
                </w14:textFill>
              </w:rPr>
              <w:t>主要原辅材料及能源消耗</w:t>
            </w:r>
          </w:p>
          <w:p w14:paraId="54666AF5">
            <w:pPr>
              <w:spacing w:line="360" w:lineRule="auto"/>
              <w:ind w:firstLine="480" w:firstLineChars="200"/>
              <w:rPr>
                <w:color w:val="000000"/>
                <w:sz w:val="24"/>
              </w:rPr>
            </w:pPr>
            <w:r>
              <w:rPr>
                <w:color w:val="000000"/>
                <w:sz w:val="24"/>
              </w:rPr>
              <w:t>建设项目主要原辅材料消耗详见表2-</w:t>
            </w:r>
            <w:r>
              <w:rPr>
                <w:rFonts w:hint="eastAsia"/>
                <w:color w:val="000000"/>
                <w:sz w:val="24"/>
              </w:rPr>
              <w:t>6</w:t>
            </w:r>
            <w:r>
              <w:rPr>
                <w:color w:val="000000"/>
                <w:sz w:val="24"/>
              </w:rPr>
              <w:t>。</w:t>
            </w:r>
          </w:p>
          <w:p w14:paraId="6A588E5C">
            <w:pPr>
              <w:jc w:val="center"/>
              <w:rPr>
                <w:b/>
                <w:color w:val="000000"/>
                <w:szCs w:val="21"/>
              </w:rPr>
            </w:pPr>
            <w:r>
              <w:rPr>
                <w:b/>
                <w:color w:val="000000"/>
                <w:szCs w:val="21"/>
              </w:rPr>
              <w:t>表2-</w:t>
            </w:r>
            <w:r>
              <w:rPr>
                <w:rFonts w:hint="eastAsia"/>
                <w:b/>
                <w:color w:val="000000"/>
                <w:szCs w:val="21"/>
                <w:lang w:val="en-US" w:eastAsia="zh-CN"/>
              </w:rPr>
              <w:t>7</w:t>
            </w:r>
            <w:r>
              <w:rPr>
                <w:b/>
                <w:color w:val="000000"/>
                <w:szCs w:val="21"/>
              </w:rPr>
              <w:t xml:space="preserve">  建设项目主要原辅材料用量一览表</w:t>
            </w:r>
          </w:p>
          <w:tbl>
            <w:tblPr>
              <w:tblStyle w:val="34"/>
              <w:tblW w:w="4998" w:type="pct"/>
              <w:jc w:val="center"/>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818"/>
              <w:gridCol w:w="737"/>
              <w:gridCol w:w="1430"/>
              <w:gridCol w:w="450"/>
              <w:gridCol w:w="2037"/>
              <w:gridCol w:w="937"/>
              <w:gridCol w:w="711"/>
              <w:gridCol w:w="1310"/>
            </w:tblGrid>
            <w:tr w14:paraId="4405E6C3">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85" w:type="pct"/>
                  <w:tcBorders>
                    <w:tl2br w:val="nil"/>
                    <w:tr2bl w:val="nil"/>
                  </w:tcBorders>
                  <w:vAlign w:val="center"/>
                </w:tcPr>
                <w:p w14:paraId="18B36926">
                  <w:pPr>
                    <w:spacing w:line="240" w:lineRule="auto"/>
                    <w:jc w:val="center"/>
                    <w:rPr>
                      <w:b/>
                      <w:color w:val="000000"/>
                      <w:szCs w:val="21"/>
                    </w:rPr>
                  </w:pPr>
                  <w:r>
                    <w:rPr>
                      <w:b/>
                      <w:color w:val="000000"/>
                      <w:szCs w:val="21"/>
                    </w:rPr>
                    <w:t>序号</w:t>
                  </w:r>
                </w:p>
              </w:tc>
              <w:tc>
                <w:tcPr>
                  <w:tcW w:w="437" w:type="pct"/>
                  <w:tcBorders>
                    <w:tl2br w:val="nil"/>
                    <w:tr2bl w:val="nil"/>
                  </w:tcBorders>
                  <w:vAlign w:val="center"/>
                </w:tcPr>
                <w:p w14:paraId="7B8DF376">
                  <w:pPr>
                    <w:spacing w:line="240" w:lineRule="auto"/>
                    <w:jc w:val="center"/>
                    <w:rPr>
                      <w:b/>
                      <w:color w:val="000000"/>
                      <w:szCs w:val="21"/>
                    </w:rPr>
                  </w:pPr>
                  <w:r>
                    <w:rPr>
                      <w:b/>
                      <w:color w:val="000000"/>
                      <w:szCs w:val="21"/>
                    </w:rPr>
                    <w:t>项目</w:t>
                  </w:r>
                </w:p>
              </w:tc>
              <w:tc>
                <w:tcPr>
                  <w:tcW w:w="2879" w:type="pct"/>
                  <w:gridSpan w:val="4"/>
                  <w:tcBorders>
                    <w:tl2br w:val="nil"/>
                    <w:tr2bl w:val="nil"/>
                  </w:tcBorders>
                  <w:vAlign w:val="center"/>
                </w:tcPr>
                <w:p w14:paraId="1E624838">
                  <w:pPr>
                    <w:spacing w:line="240" w:lineRule="auto"/>
                    <w:jc w:val="center"/>
                    <w:rPr>
                      <w:b/>
                      <w:color w:val="000000"/>
                      <w:szCs w:val="21"/>
                    </w:rPr>
                  </w:pPr>
                  <w:r>
                    <w:rPr>
                      <w:rFonts w:hint="eastAsia"/>
                      <w:b/>
                      <w:color w:val="000000"/>
                      <w:szCs w:val="21"/>
                    </w:rPr>
                    <w:t>名称</w:t>
                  </w:r>
                </w:p>
              </w:tc>
              <w:tc>
                <w:tcPr>
                  <w:tcW w:w="421" w:type="pct"/>
                  <w:tcBorders>
                    <w:tl2br w:val="nil"/>
                    <w:tr2bl w:val="nil"/>
                  </w:tcBorders>
                  <w:vAlign w:val="center"/>
                </w:tcPr>
                <w:p w14:paraId="40EE2F94">
                  <w:pPr>
                    <w:spacing w:line="240" w:lineRule="auto"/>
                    <w:jc w:val="center"/>
                    <w:rPr>
                      <w:b/>
                      <w:color w:val="000000"/>
                      <w:szCs w:val="21"/>
                    </w:rPr>
                  </w:pPr>
                  <w:r>
                    <w:rPr>
                      <w:rFonts w:hint="eastAsia"/>
                      <w:b/>
                      <w:color w:val="000000"/>
                      <w:szCs w:val="21"/>
                    </w:rPr>
                    <w:t>单位</w:t>
                  </w:r>
                </w:p>
              </w:tc>
              <w:tc>
                <w:tcPr>
                  <w:tcW w:w="776" w:type="pct"/>
                  <w:tcBorders>
                    <w:tl2br w:val="nil"/>
                    <w:tr2bl w:val="nil"/>
                  </w:tcBorders>
                  <w:vAlign w:val="center"/>
                </w:tcPr>
                <w:p w14:paraId="4F2D5976">
                  <w:pPr>
                    <w:spacing w:line="240" w:lineRule="auto"/>
                    <w:jc w:val="center"/>
                    <w:rPr>
                      <w:b/>
                      <w:color w:val="000000"/>
                      <w:spacing w:val="6"/>
                      <w:szCs w:val="21"/>
                    </w:rPr>
                  </w:pPr>
                  <w:r>
                    <w:rPr>
                      <w:b/>
                      <w:color w:val="000000"/>
                      <w:spacing w:val="6"/>
                      <w:szCs w:val="21"/>
                    </w:rPr>
                    <w:t>数</w:t>
                  </w:r>
                  <w:r>
                    <w:rPr>
                      <w:b/>
                      <w:color w:val="000000"/>
                      <w:spacing w:val="5"/>
                      <w:szCs w:val="21"/>
                    </w:rPr>
                    <w:t>量</w:t>
                  </w:r>
                </w:p>
              </w:tc>
            </w:tr>
            <w:tr w14:paraId="34FF9DE6">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85" w:type="pct"/>
                  <w:vMerge w:val="restart"/>
                  <w:tcBorders>
                    <w:tl2br w:val="nil"/>
                    <w:tr2bl w:val="nil"/>
                  </w:tcBorders>
                  <w:vAlign w:val="center"/>
                </w:tcPr>
                <w:p w14:paraId="626F0BB4">
                  <w:pPr>
                    <w:spacing w:line="240" w:lineRule="auto"/>
                    <w:jc w:val="center"/>
                    <w:rPr>
                      <w:color w:val="000000"/>
                      <w:szCs w:val="21"/>
                    </w:rPr>
                  </w:pPr>
                  <w:r>
                    <w:rPr>
                      <w:color w:val="000000"/>
                      <w:szCs w:val="21"/>
                    </w:rPr>
                    <w:t>1</w:t>
                  </w:r>
                </w:p>
              </w:tc>
              <w:tc>
                <w:tcPr>
                  <w:tcW w:w="437" w:type="pct"/>
                  <w:vMerge w:val="restart"/>
                  <w:tcBorders>
                    <w:tl2br w:val="nil"/>
                    <w:tr2bl w:val="nil"/>
                  </w:tcBorders>
                  <w:vAlign w:val="center"/>
                </w:tcPr>
                <w:p w14:paraId="52756D5B">
                  <w:pPr>
                    <w:spacing w:line="240" w:lineRule="auto"/>
                    <w:jc w:val="center"/>
                    <w:rPr>
                      <w:color w:val="000000"/>
                      <w:szCs w:val="21"/>
                    </w:rPr>
                  </w:pPr>
                  <w:r>
                    <w:rPr>
                      <w:color w:val="000000"/>
                      <w:szCs w:val="21"/>
                    </w:rPr>
                    <w:t>报废汽车</w:t>
                  </w:r>
                </w:p>
              </w:tc>
              <w:tc>
                <w:tcPr>
                  <w:tcW w:w="848" w:type="pct"/>
                  <w:vMerge w:val="restart"/>
                  <w:tcBorders>
                    <w:tl2br w:val="nil"/>
                    <w:tr2bl w:val="nil"/>
                  </w:tcBorders>
                  <w:vAlign w:val="center"/>
                </w:tcPr>
                <w:p w14:paraId="63691C5E">
                  <w:pPr>
                    <w:spacing w:line="240" w:lineRule="auto"/>
                    <w:jc w:val="center"/>
                    <w:rPr>
                      <w:color w:val="000000"/>
                      <w:szCs w:val="21"/>
                    </w:rPr>
                  </w:pPr>
                  <w:r>
                    <w:rPr>
                      <w:color w:val="000000"/>
                      <w:spacing w:val="5"/>
                      <w:szCs w:val="21"/>
                    </w:rPr>
                    <w:t>报废乘用</w:t>
                  </w:r>
                  <w:r>
                    <w:rPr>
                      <w:color w:val="000000"/>
                      <w:szCs w:val="21"/>
                    </w:rPr>
                    <w:t>车</w:t>
                  </w:r>
                </w:p>
              </w:tc>
              <w:tc>
                <w:tcPr>
                  <w:tcW w:w="2030" w:type="pct"/>
                  <w:gridSpan w:val="3"/>
                  <w:tcBorders>
                    <w:tl2br w:val="nil"/>
                    <w:tr2bl w:val="nil"/>
                  </w:tcBorders>
                  <w:vAlign w:val="center"/>
                </w:tcPr>
                <w:p w14:paraId="72438CC4">
                  <w:pPr>
                    <w:spacing w:line="240" w:lineRule="auto"/>
                    <w:jc w:val="center"/>
                    <w:rPr>
                      <w:color w:val="000000"/>
                      <w:szCs w:val="21"/>
                    </w:rPr>
                  </w:pPr>
                  <w:r>
                    <w:rPr>
                      <w:color w:val="000000"/>
                      <w:spacing w:val="10"/>
                      <w:szCs w:val="21"/>
                    </w:rPr>
                    <w:t>基</w:t>
                  </w:r>
                  <w:r>
                    <w:rPr>
                      <w:color w:val="000000"/>
                      <w:spacing w:val="8"/>
                      <w:szCs w:val="21"/>
                    </w:rPr>
                    <w:t>本型乘用车(轿车)</w:t>
                  </w:r>
                </w:p>
              </w:tc>
              <w:tc>
                <w:tcPr>
                  <w:tcW w:w="421" w:type="pct"/>
                  <w:tcBorders>
                    <w:tl2br w:val="nil"/>
                    <w:tr2bl w:val="nil"/>
                  </w:tcBorders>
                  <w:vAlign w:val="center"/>
                </w:tcPr>
                <w:p w14:paraId="44B06C28">
                  <w:pPr>
                    <w:spacing w:line="240" w:lineRule="auto"/>
                    <w:jc w:val="center"/>
                    <w:rPr>
                      <w:color w:val="000000"/>
                      <w:szCs w:val="21"/>
                    </w:rPr>
                  </w:pPr>
                  <w:r>
                    <w:rPr>
                      <w:color w:val="000000"/>
                      <w:szCs w:val="21"/>
                    </w:rPr>
                    <w:t>辆</w:t>
                  </w:r>
                </w:p>
              </w:tc>
              <w:tc>
                <w:tcPr>
                  <w:tcW w:w="776" w:type="pct"/>
                  <w:tcBorders>
                    <w:tl2br w:val="nil"/>
                    <w:tr2bl w:val="nil"/>
                  </w:tcBorders>
                  <w:vAlign w:val="center"/>
                </w:tcPr>
                <w:p w14:paraId="1DEB52EA">
                  <w:pPr>
                    <w:spacing w:line="240" w:lineRule="auto"/>
                    <w:jc w:val="center"/>
                    <w:rPr>
                      <w:color w:val="000000"/>
                      <w:spacing w:val="-6"/>
                      <w:szCs w:val="21"/>
                    </w:rPr>
                  </w:pPr>
                  <w:r>
                    <w:rPr>
                      <w:color w:val="000000"/>
                      <w:spacing w:val="-6"/>
                      <w:szCs w:val="21"/>
                    </w:rPr>
                    <w:t>1500</w:t>
                  </w:r>
                </w:p>
              </w:tc>
            </w:tr>
            <w:tr w14:paraId="17D5B439">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85" w:type="pct"/>
                  <w:vMerge w:val="continue"/>
                  <w:tcBorders>
                    <w:tl2br w:val="nil"/>
                    <w:tr2bl w:val="nil"/>
                  </w:tcBorders>
                  <w:vAlign w:val="center"/>
                </w:tcPr>
                <w:p w14:paraId="51365615">
                  <w:pPr>
                    <w:spacing w:line="240" w:lineRule="auto"/>
                    <w:jc w:val="center"/>
                    <w:rPr>
                      <w:color w:val="000000"/>
                      <w:szCs w:val="21"/>
                    </w:rPr>
                  </w:pPr>
                </w:p>
              </w:tc>
              <w:tc>
                <w:tcPr>
                  <w:tcW w:w="437" w:type="pct"/>
                  <w:vMerge w:val="continue"/>
                  <w:tcBorders>
                    <w:tl2br w:val="nil"/>
                    <w:tr2bl w:val="nil"/>
                  </w:tcBorders>
                  <w:vAlign w:val="center"/>
                </w:tcPr>
                <w:p w14:paraId="0976DB53">
                  <w:pPr>
                    <w:spacing w:line="240" w:lineRule="auto"/>
                    <w:jc w:val="center"/>
                    <w:rPr>
                      <w:color w:val="000000"/>
                      <w:szCs w:val="21"/>
                    </w:rPr>
                  </w:pPr>
                </w:p>
              </w:tc>
              <w:tc>
                <w:tcPr>
                  <w:tcW w:w="848" w:type="pct"/>
                  <w:vMerge w:val="continue"/>
                  <w:tcBorders>
                    <w:tl2br w:val="nil"/>
                    <w:tr2bl w:val="nil"/>
                  </w:tcBorders>
                  <w:vAlign w:val="center"/>
                </w:tcPr>
                <w:p w14:paraId="68C518F1">
                  <w:pPr>
                    <w:spacing w:line="240" w:lineRule="auto"/>
                    <w:jc w:val="center"/>
                    <w:rPr>
                      <w:color w:val="000000"/>
                      <w:szCs w:val="21"/>
                    </w:rPr>
                  </w:pPr>
                </w:p>
              </w:tc>
              <w:tc>
                <w:tcPr>
                  <w:tcW w:w="2030" w:type="pct"/>
                  <w:gridSpan w:val="3"/>
                  <w:tcBorders>
                    <w:tl2br w:val="nil"/>
                    <w:tr2bl w:val="nil"/>
                  </w:tcBorders>
                  <w:vAlign w:val="center"/>
                </w:tcPr>
                <w:p w14:paraId="6CC4D896">
                  <w:pPr>
                    <w:spacing w:line="240" w:lineRule="auto"/>
                    <w:jc w:val="center"/>
                    <w:rPr>
                      <w:color w:val="000000"/>
                      <w:szCs w:val="21"/>
                    </w:rPr>
                  </w:pPr>
                  <w:r>
                    <w:rPr>
                      <w:color w:val="000000"/>
                      <w:spacing w:val="15"/>
                      <w:szCs w:val="21"/>
                    </w:rPr>
                    <w:t>运</w:t>
                  </w:r>
                  <w:r>
                    <w:rPr>
                      <w:color w:val="000000"/>
                      <w:spacing w:val="10"/>
                      <w:szCs w:val="21"/>
                    </w:rPr>
                    <w:t>动型多用途车(</w:t>
                  </w:r>
                  <w:r>
                    <w:rPr>
                      <w:color w:val="000000"/>
                      <w:szCs w:val="21"/>
                    </w:rPr>
                    <w:t>SUV</w:t>
                  </w:r>
                  <w:r>
                    <w:rPr>
                      <w:color w:val="000000"/>
                      <w:spacing w:val="10"/>
                      <w:szCs w:val="21"/>
                    </w:rPr>
                    <w:t>)</w:t>
                  </w:r>
                </w:p>
              </w:tc>
              <w:tc>
                <w:tcPr>
                  <w:tcW w:w="421" w:type="pct"/>
                  <w:tcBorders>
                    <w:tl2br w:val="nil"/>
                    <w:tr2bl w:val="nil"/>
                  </w:tcBorders>
                  <w:vAlign w:val="center"/>
                </w:tcPr>
                <w:p w14:paraId="5802F2B9">
                  <w:pPr>
                    <w:spacing w:line="240" w:lineRule="auto"/>
                    <w:jc w:val="center"/>
                    <w:rPr>
                      <w:color w:val="000000"/>
                      <w:szCs w:val="21"/>
                    </w:rPr>
                  </w:pPr>
                  <w:r>
                    <w:rPr>
                      <w:color w:val="000000"/>
                      <w:szCs w:val="21"/>
                    </w:rPr>
                    <w:t>辆</w:t>
                  </w:r>
                </w:p>
              </w:tc>
              <w:tc>
                <w:tcPr>
                  <w:tcW w:w="776" w:type="pct"/>
                  <w:tcBorders>
                    <w:tl2br w:val="nil"/>
                    <w:tr2bl w:val="nil"/>
                  </w:tcBorders>
                  <w:vAlign w:val="center"/>
                </w:tcPr>
                <w:p w14:paraId="04A56C0B">
                  <w:pPr>
                    <w:spacing w:line="240" w:lineRule="auto"/>
                    <w:jc w:val="center"/>
                    <w:rPr>
                      <w:color w:val="000000"/>
                      <w:spacing w:val="-2"/>
                      <w:szCs w:val="21"/>
                    </w:rPr>
                  </w:pPr>
                  <w:r>
                    <w:rPr>
                      <w:color w:val="000000"/>
                      <w:spacing w:val="-2"/>
                      <w:szCs w:val="21"/>
                    </w:rPr>
                    <w:t>90</w:t>
                  </w:r>
                  <w:r>
                    <w:rPr>
                      <w:color w:val="000000"/>
                      <w:spacing w:val="-1"/>
                      <w:szCs w:val="21"/>
                    </w:rPr>
                    <w:t>0</w:t>
                  </w:r>
                </w:p>
              </w:tc>
            </w:tr>
            <w:tr w14:paraId="732424A7">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85" w:type="pct"/>
                  <w:vMerge w:val="continue"/>
                  <w:tcBorders>
                    <w:tl2br w:val="nil"/>
                    <w:tr2bl w:val="nil"/>
                  </w:tcBorders>
                  <w:vAlign w:val="center"/>
                </w:tcPr>
                <w:p w14:paraId="6CE061A6">
                  <w:pPr>
                    <w:spacing w:line="240" w:lineRule="auto"/>
                    <w:jc w:val="center"/>
                    <w:rPr>
                      <w:color w:val="000000"/>
                      <w:szCs w:val="21"/>
                    </w:rPr>
                  </w:pPr>
                </w:p>
              </w:tc>
              <w:tc>
                <w:tcPr>
                  <w:tcW w:w="437" w:type="pct"/>
                  <w:vMerge w:val="continue"/>
                  <w:tcBorders>
                    <w:tl2br w:val="nil"/>
                    <w:tr2bl w:val="nil"/>
                  </w:tcBorders>
                  <w:vAlign w:val="center"/>
                </w:tcPr>
                <w:p w14:paraId="6DBE1B3D">
                  <w:pPr>
                    <w:spacing w:line="240" w:lineRule="auto"/>
                    <w:jc w:val="center"/>
                    <w:rPr>
                      <w:color w:val="000000"/>
                      <w:szCs w:val="21"/>
                    </w:rPr>
                  </w:pPr>
                </w:p>
              </w:tc>
              <w:tc>
                <w:tcPr>
                  <w:tcW w:w="848" w:type="pct"/>
                  <w:vMerge w:val="continue"/>
                  <w:tcBorders>
                    <w:tl2br w:val="nil"/>
                    <w:tr2bl w:val="nil"/>
                  </w:tcBorders>
                  <w:vAlign w:val="center"/>
                </w:tcPr>
                <w:p w14:paraId="133299AD">
                  <w:pPr>
                    <w:spacing w:line="240" w:lineRule="auto"/>
                    <w:jc w:val="center"/>
                    <w:rPr>
                      <w:color w:val="000000"/>
                      <w:szCs w:val="21"/>
                    </w:rPr>
                  </w:pPr>
                </w:p>
              </w:tc>
              <w:tc>
                <w:tcPr>
                  <w:tcW w:w="2030" w:type="pct"/>
                  <w:gridSpan w:val="3"/>
                  <w:tcBorders>
                    <w:tl2br w:val="nil"/>
                    <w:tr2bl w:val="nil"/>
                  </w:tcBorders>
                  <w:vAlign w:val="center"/>
                </w:tcPr>
                <w:p w14:paraId="5A2AAA7F">
                  <w:pPr>
                    <w:spacing w:line="240" w:lineRule="auto"/>
                    <w:jc w:val="center"/>
                    <w:rPr>
                      <w:color w:val="000000"/>
                      <w:szCs w:val="21"/>
                    </w:rPr>
                  </w:pPr>
                  <w:r>
                    <w:rPr>
                      <w:color w:val="000000"/>
                      <w:spacing w:val="16"/>
                      <w:szCs w:val="21"/>
                    </w:rPr>
                    <w:t>多</w:t>
                  </w:r>
                  <w:r>
                    <w:rPr>
                      <w:color w:val="000000"/>
                      <w:spacing w:val="14"/>
                      <w:szCs w:val="21"/>
                    </w:rPr>
                    <w:t>用途车(</w:t>
                  </w:r>
                  <w:r>
                    <w:rPr>
                      <w:color w:val="000000"/>
                      <w:szCs w:val="21"/>
                    </w:rPr>
                    <w:t>MPV</w:t>
                  </w:r>
                  <w:r>
                    <w:rPr>
                      <w:color w:val="000000"/>
                      <w:spacing w:val="14"/>
                      <w:szCs w:val="21"/>
                    </w:rPr>
                    <w:t>)</w:t>
                  </w:r>
                </w:p>
              </w:tc>
              <w:tc>
                <w:tcPr>
                  <w:tcW w:w="421" w:type="pct"/>
                  <w:tcBorders>
                    <w:tl2br w:val="nil"/>
                    <w:tr2bl w:val="nil"/>
                  </w:tcBorders>
                  <w:vAlign w:val="center"/>
                </w:tcPr>
                <w:p w14:paraId="6A052489">
                  <w:pPr>
                    <w:spacing w:line="240" w:lineRule="auto"/>
                    <w:jc w:val="center"/>
                    <w:rPr>
                      <w:color w:val="000000"/>
                      <w:szCs w:val="21"/>
                    </w:rPr>
                  </w:pPr>
                  <w:r>
                    <w:rPr>
                      <w:color w:val="000000"/>
                      <w:szCs w:val="21"/>
                    </w:rPr>
                    <w:t>辆</w:t>
                  </w:r>
                </w:p>
              </w:tc>
              <w:tc>
                <w:tcPr>
                  <w:tcW w:w="776" w:type="pct"/>
                  <w:tcBorders>
                    <w:tl2br w:val="nil"/>
                    <w:tr2bl w:val="nil"/>
                  </w:tcBorders>
                  <w:vAlign w:val="center"/>
                </w:tcPr>
                <w:p w14:paraId="08EF0BB4">
                  <w:pPr>
                    <w:spacing w:line="240" w:lineRule="auto"/>
                    <w:jc w:val="center"/>
                    <w:rPr>
                      <w:color w:val="000000"/>
                      <w:spacing w:val="-3"/>
                      <w:szCs w:val="21"/>
                    </w:rPr>
                  </w:pPr>
                  <w:r>
                    <w:rPr>
                      <w:color w:val="000000"/>
                      <w:spacing w:val="-3"/>
                      <w:szCs w:val="21"/>
                    </w:rPr>
                    <w:t>600</w:t>
                  </w:r>
                </w:p>
              </w:tc>
            </w:tr>
            <w:tr w14:paraId="7B734E71">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85" w:type="pct"/>
                  <w:vMerge w:val="restart"/>
                  <w:tcBorders>
                    <w:tl2br w:val="nil"/>
                    <w:tr2bl w:val="nil"/>
                  </w:tcBorders>
                  <w:vAlign w:val="center"/>
                </w:tcPr>
                <w:p w14:paraId="59975BEC">
                  <w:pPr>
                    <w:spacing w:line="240" w:lineRule="auto"/>
                    <w:jc w:val="center"/>
                    <w:rPr>
                      <w:color w:val="000000"/>
                      <w:szCs w:val="21"/>
                    </w:rPr>
                  </w:pPr>
                  <w:r>
                    <w:rPr>
                      <w:color w:val="000000"/>
                      <w:szCs w:val="21"/>
                    </w:rPr>
                    <w:t>2</w:t>
                  </w:r>
                </w:p>
              </w:tc>
              <w:tc>
                <w:tcPr>
                  <w:tcW w:w="437" w:type="pct"/>
                  <w:vMerge w:val="continue"/>
                  <w:tcBorders>
                    <w:tl2br w:val="nil"/>
                    <w:tr2bl w:val="nil"/>
                  </w:tcBorders>
                  <w:vAlign w:val="center"/>
                </w:tcPr>
                <w:p w14:paraId="15B46089">
                  <w:pPr>
                    <w:spacing w:line="240" w:lineRule="auto"/>
                    <w:jc w:val="center"/>
                    <w:rPr>
                      <w:color w:val="000000"/>
                      <w:szCs w:val="21"/>
                    </w:rPr>
                  </w:pPr>
                </w:p>
              </w:tc>
              <w:tc>
                <w:tcPr>
                  <w:tcW w:w="848" w:type="pct"/>
                  <w:vMerge w:val="restart"/>
                  <w:tcBorders>
                    <w:tl2br w:val="nil"/>
                    <w:tr2bl w:val="nil"/>
                  </w:tcBorders>
                  <w:vAlign w:val="center"/>
                </w:tcPr>
                <w:p w14:paraId="1EE08B5C">
                  <w:pPr>
                    <w:spacing w:line="240" w:lineRule="auto"/>
                    <w:jc w:val="center"/>
                    <w:rPr>
                      <w:color w:val="000000"/>
                      <w:szCs w:val="21"/>
                    </w:rPr>
                  </w:pPr>
                  <w:r>
                    <w:rPr>
                      <w:color w:val="000000"/>
                      <w:spacing w:val="5"/>
                      <w:szCs w:val="21"/>
                    </w:rPr>
                    <w:t>报废载客</w:t>
                  </w:r>
                  <w:r>
                    <w:rPr>
                      <w:color w:val="000000"/>
                      <w:spacing w:val="3"/>
                      <w:szCs w:val="21"/>
                    </w:rPr>
                    <w:t>汽</w:t>
                  </w:r>
                  <w:r>
                    <w:rPr>
                      <w:color w:val="000000"/>
                      <w:spacing w:val="2"/>
                      <w:szCs w:val="21"/>
                    </w:rPr>
                    <w:t>车</w:t>
                  </w:r>
                </w:p>
              </w:tc>
              <w:tc>
                <w:tcPr>
                  <w:tcW w:w="2030" w:type="pct"/>
                  <w:gridSpan w:val="3"/>
                  <w:tcBorders>
                    <w:tl2br w:val="nil"/>
                    <w:tr2bl w:val="nil"/>
                  </w:tcBorders>
                  <w:vAlign w:val="center"/>
                </w:tcPr>
                <w:p w14:paraId="1EC3EFD5">
                  <w:pPr>
                    <w:spacing w:line="240" w:lineRule="auto"/>
                    <w:jc w:val="center"/>
                    <w:rPr>
                      <w:color w:val="000000"/>
                      <w:szCs w:val="21"/>
                    </w:rPr>
                  </w:pPr>
                  <w:r>
                    <w:rPr>
                      <w:color w:val="000000"/>
                      <w:spacing w:val="9"/>
                      <w:position w:val="1"/>
                      <w:szCs w:val="21"/>
                    </w:rPr>
                    <w:t>小</w:t>
                  </w:r>
                  <w:r>
                    <w:rPr>
                      <w:color w:val="000000"/>
                      <w:spacing w:val="6"/>
                      <w:position w:val="1"/>
                      <w:szCs w:val="21"/>
                    </w:rPr>
                    <w:t>型(</w:t>
                  </w:r>
                  <w:r>
                    <w:rPr>
                      <w:color w:val="000000"/>
                      <w:position w:val="1"/>
                      <w:szCs w:val="21"/>
                    </w:rPr>
                    <w:t>L</w:t>
                  </w:r>
                  <w:r>
                    <w:rPr>
                      <w:color w:val="000000"/>
                      <w:spacing w:val="6"/>
                      <w:position w:val="1"/>
                      <w:szCs w:val="21"/>
                    </w:rPr>
                    <w:t>＜6米且乘坐≤9人)</w:t>
                  </w:r>
                </w:p>
              </w:tc>
              <w:tc>
                <w:tcPr>
                  <w:tcW w:w="421" w:type="pct"/>
                  <w:tcBorders>
                    <w:tl2br w:val="nil"/>
                    <w:tr2bl w:val="nil"/>
                  </w:tcBorders>
                  <w:vAlign w:val="center"/>
                </w:tcPr>
                <w:p w14:paraId="32334DFA">
                  <w:pPr>
                    <w:spacing w:line="240" w:lineRule="auto"/>
                    <w:jc w:val="center"/>
                    <w:rPr>
                      <w:color w:val="000000"/>
                      <w:szCs w:val="21"/>
                    </w:rPr>
                  </w:pPr>
                  <w:r>
                    <w:rPr>
                      <w:color w:val="000000"/>
                      <w:szCs w:val="21"/>
                    </w:rPr>
                    <w:t>辆</w:t>
                  </w:r>
                </w:p>
              </w:tc>
              <w:tc>
                <w:tcPr>
                  <w:tcW w:w="776" w:type="pct"/>
                  <w:tcBorders>
                    <w:tl2br w:val="nil"/>
                    <w:tr2bl w:val="nil"/>
                  </w:tcBorders>
                  <w:vAlign w:val="center"/>
                </w:tcPr>
                <w:p w14:paraId="64A8E602">
                  <w:pPr>
                    <w:spacing w:line="240" w:lineRule="auto"/>
                    <w:jc w:val="center"/>
                    <w:rPr>
                      <w:color w:val="000000"/>
                      <w:spacing w:val="-3"/>
                      <w:szCs w:val="21"/>
                    </w:rPr>
                  </w:pPr>
                  <w:r>
                    <w:rPr>
                      <w:color w:val="000000"/>
                      <w:spacing w:val="-3"/>
                      <w:szCs w:val="21"/>
                    </w:rPr>
                    <w:t>600</w:t>
                  </w:r>
                </w:p>
              </w:tc>
            </w:tr>
            <w:tr w14:paraId="678ABB4D">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85" w:type="pct"/>
                  <w:vMerge w:val="continue"/>
                  <w:tcBorders>
                    <w:tl2br w:val="nil"/>
                    <w:tr2bl w:val="nil"/>
                  </w:tcBorders>
                  <w:vAlign w:val="center"/>
                </w:tcPr>
                <w:p w14:paraId="7901074D">
                  <w:pPr>
                    <w:spacing w:line="240" w:lineRule="auto"/>
                    <w:jc w:val="center"/>
                    <w:rPr>
                      <w:color w:val="000000"/>
                      <w:szCs w:val="21"/>
                    </w:rPr>
                  </w:pPr>
                </w:p>
              </w:tc>
              <w:tc>
                <w:tcPr>
                  <w:tcW w:w="437" w:type="pct"/>
                  <w:vMerge w:val="continue"/>
                  <w:tcBorders>
                    <w:tl2br w:val="nil"/>
                    <w:tr2bl w:val="nil"/>
                  </w:tcBorders>
                  <w:vAlign w:val="center"/>
                </w:tcPr>
                <w:p w14:paraId="5F5E4FED">
                  <w:pPr>
                    <w:spacing w:line="240" w:lineRule="auto"/>
                    <w:jc w:val="center"/>
                    <w:rPr>
                      <w:color w:val="000000"/>
                      <w:szCs w:val="21"/>
                    </w:rPr>
                  </w:pPr>
                </w:p>
              </w:tc>
              <w:tc>
                <w:tcPr>
                  <w:tcW w:w="848" w:type="pct"/>
                  <w:vMerge w:val="continue"/>
                  <w:tcBorders>
                    <w:tl2br w:val="nil"/>
                    <w:tr2bl w:val="nil"/>
                  </w:tcBorders>
                  <w:vAlign w:val="center"/>
                </w:tcPr>
                <w:p w14:paraId="54036BAD">
                  <w:pPr>
                    <w:spacing w:line="240" w:lineRule="auto"/>
                    <w:jc w:val="center"/>
                    <w:rPr>
                      <w:color w:val="000000"/>
                      <w:szCs w:val="21"/>
                    </w:rPr>
                  </w:pPr>
                </w:p>
              </w:tc>
              <w:tc>
                <w:tcPr>
                  <w:tcW w:w="2030" w:type="pct"/>
                  <w:gridSpan w:val="3"/>
                  <w:tcBorders>
                    <w:tl2br w:val="nil"/>
                    <w:tr2bl w:val="nil"/>
                  </w:tcBorders>
                  <w:vAlign w:val="center"/>
                </w:tcPr>
                <w:p w14:paraId="6BA83461">
                  <w:pPr>
                    <w:spacing w:line="240" w:lineRule="auto"/>
                    <w:jc w:val="center"/>
                    <w:rPr>
                      <w:color w:val="000000"/>
                      <w:szCs w:val="21"/>
                    </w:rPr>
                  </w:pPr>
                  <w:r>
                    <w:rPr>
                      <w:color w:val="000000"/>
                      <w:spacing w:val="11"/>
                      <w:szCs w:val="21"/>
                    </w:rPr>
                    <w:t>中型(</w:t>
                  </w:r>
                  <w:r>
                    <w:rPr>
                      <w:color w:val="000000"/>
                      <w:szCs w:val="21"/>
                    </w:rPr>
                    <w:t>L</w:t>
                  </w:r>
                  <w:r>
                    <w:rPr>
                      <w:color w:val="000000"/>
                      <w:spacing w:val="11"/>
                      <w:szCs w:val="21"/>
                    </w:rPr>
                    <w:t>＜6米且乘坐10~19人</w:t>
                  </w:r>
                  <w:r>
                    <w:rPr>
                      <w:color w:val="000000"/>
                      <w:spacing w:val="8"/>
                      <w:szCs w:val="21"/>
                    </w:rPr>
                    <w:t>)</w:t>
                  </w:r>
                </w:p>
              </w:tc>
              <w:tc>
                <w:tcPr>
                  <w:tcW w:w="421" w:type="pct"/>
                  <w:tcBorders>
                    <w:tl2br w:val="nil"/>
                    <w:tr2bl w:val="nil"/>
                  </w:tcBorders>
                  <w:vAlign w:val="center"/>
                </w:tcPr>
                <w:p w14:paraId="58F3DDF2">
                  <w:pPr>
                    <w:spacing w:line="240" w:lineRule="auto"/>
                    <w:jc w:val="center"/>
                    <w:rPr>
                      <w:color w:val="000000"/>
                      <w:szCs w:val="21"/>
                    </w:rPr>
                  </w:pPr>
                  <w:r>
                    <w:rPr>
                      <w:color w:val="000000"/>
                      <w:szCs w:val="21"/>
                    </w:rPr>
                    <w:t>辆</w:t>
                  </w:r>
                </w:p>
              </w:tc>
              <w:tc>
                <w:tcPr>
                  <w:tcW w:w="776" w:type="pct"/>
                  <w:tcBorders>
                    <w:tl2br w:val="nil"/>
                    <w:tr2bl w:val="nil"/>
                  </w:tcBorders>
                  <w:vAlign w:val="center"/>
                </w:tcPr>
                <w:p w14:paraId="04B9DF6F">
                  <w:pPr>
                    <w:spacing w:line="240" w:lineRule="auto"/>
                    <w:jc w:val="center"/>
                    <w:rPr>
                      <w:color w:val="000000"/>
                      <w:spacing w:val="-4"/>
                      <w:szCs w:val="21"/>
                    </w:rPr>
                  </w:pPr>
                  <w:r>
                    <w:rPr>
                      <w:color w:val="000000"/>
                      <w:spacing w:val="-4"/>
                      <w:szCs w:val="21"/>
                    </w:rPr>
                    <w:t>8</w:t>
                  </w:r>
                  <w:r>
                    <w:rPr>
                      <w:color w:val="000000"/>
                      <w:spacing w:val="-3"/>
                      <w:szCs w:val="21"/>
                    </w:rPr>
                    <w:t>00</w:t>
                  </w:r>
                </w:p>
              </w:tc>
            </w:tr>
            <w:tr w14:paraId="1D1FD4E4">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85" w:type="pct"/>
                  <w:vMerge w:val="continue"/>
                  <w:tcBorders>
                    <w:tl2br w:val="nil"/>
                    <w:tr2bl w:val="nil"/>
                  </w:tcBorders>
                  <w:vAlign w:val="center"/>
                </w:tcPr>
                <w:p w14:paraId="24BA2BA8">
                  <w:pPr>
                    <w:spacing w:line="240" w:lineRule="auto"/>
                    <w:jc w:val="center"/>
                    <w:rPr>
                      <w:color w:val="000000"/>
                      <w:szCs w:val="21"/>
                    </w:rPr>
                  </w:pPr>
                </w:p>
              </w:tc>
              <w:tc>
                <w:tcPr>
                  <w:tcW w:w="437" w:type="pct"/>
                  <w:vMerge w:val="continue"/>
                  <w:tcBorders>
                    <w:tl2br w:val="nil"/>
                    <w:tr2bl w:val="nil"/>
                  </w:tcBorders>
                  <w:vAlign w:val="center"/>
                </w:tcPr>
                <w:p w14:paraId="127AE19A">
                  <w:pPr>
                    <w:spacing w:line="240" w:lineRule="auto"/>
                    <w:jc w:val="center"/>
                    <w:rPr>
                      <w:color w:val="000000"/>
                      <w:szCs w:val="21"/>
                    </w:rPr>
                  </w:pPr>
                </w:p>
              </w:tc>
              <w:tc>
                <w:tcPr>
                  <w:tcW w:w="848" w:type="pct"/>
                  <w:vMerge w:val="continue"/>
                  <w:tcBorders>
                    <w:tl2br w:val="nil"/>
                    <w:tr2bl w:val="nil"/>
                  </w:tcBorders>
                  <w:vAlign w:val="center"/>
                </w:tcPr>
                <w:p w14:paraId="3928D584">
                  <w:pPr>
                    <w:spacing w:line="240" w:lineRule="auto"/>
                    <w:jc w:val="center"/>
                    <w:rPr>
                      <w:color w:val="000000"/>
                      <w:szCs w:val="21"/>
                    </w:rPr>
                  </w:pPr>
                </w:p>
              </w:tc>
              <w:tc>
                <w:tcPr>
                  <w:tcW w:w="2030" w:type="pct"/>
                  <w:gridSpan w:val="3"/>
                  <w:tcBorders>
                    <w:tl2br w:val="nil"/>
                    <w:tr2bl w:val="nil"/>
                  </w:tcBorders>
                  <w:vAlign w:val="center"/>
                </w:tcPr>
                <w:p w14:paraId="294DEE5A">
                  <w:pPr>
                    <w:spacing w:line="240" w:lineRule="auto"/>
                    <w:jc w:val="center"/>
                    <w:rPr>
                      <w:color w:val="000000"/>
                      <w:szCs w:val="21"/>
                    </w:rPr>
                  </w:pPr>
                  <w:r>
                    <w:rPr>
                      <w:color w:val="000000"/>
                      <w:spacing w:val="6"/>
                      <w:position w:val="1"/>
                      <w:szCs w:val="21"/>
                    </w:rPr>
                    <w:t>大型(</w:t>
                  </w:r>
                  <w:r>
                    <w:rPr>
                      <w:color w:val="000000"/>
                      <w:position w:val="1"/>
                      <w:szCs w:val="21"/>
                    </w:rPr>
                    <w:t>L</w:t>
                  </w:r>
                  <w:r>
                    <w:rPr>
                      <w:color w:val="000000"/>
                      <w:spacing w:val="6"/>
                      <w:position w:val="1"/>
                      <w:szCs w:val="21"/>
                    </w:rPr>
                    <w:t>≥6米或乘坐≥20人)</w:t>
                  </w:r>
                </w:p>
              </w:tc>
              <w:tc>
                <w:tcPr>
                  <w:tcW w:w="421" w:type="pct"/>
                  <w:tcBorders>
                    <w:tl2br w:val="nil"/>
                    <w:tr2bl w:val="nil"/>
                  </w:tcBorders>
                  <w:vAlign w:val="center"/>
                </w:tcPr>
                <w:p w14:paraId="3FC4D055">
                  <w:pPr>
                    <w:spacing w:line="240" w:lineRule="auto"/>
                    <w:jc w:val="center"/>
                    <w:rPr>
                      <w:color w:val="000000"/>
                      <w:szCs w:val="21"/>
                    </w:rPr>
                  </w:pPr>
                  <w:r>
                    <w:rPr>
                      <w:color w:val="000000"/>
                      <w:szCs w:val="21"/>
                    </w:rPr>
                    <w:t>辆</w:t>
                  </w:r>
                </w:p>
              </w:tc>
              <w:tc>
                <w:tcPr>
                  <w:tcW w:w="776" w:type="pct"/>
                  <w:tcBorders>
                    <w:tl2br w:val="nil"/>
                    <w:tr2bl w:val="nil"/>
                  </w:tcBorders>
                  <w:vAlign w:val="center"/>
                </w:tcPr>
                <w:p w14:paraId="0222873C">
                  <w:pPr>
                    <w:spacing w:line="240" w:lineRule="auto"/>
                    <w:jc w:val="center"/>
                    <w:rPr>
                      <w:color w:val="000000"/>
                      <w:spacing w:val="-1"/>
                      <w:szCs w:val="21"/>
                    </w:rPr>
                  </w:pPr>
                  <w:r>
                    <w:rPr>
                      <w:color w:val="000000"/>
                      <w:spacing w:val="-1"/>
                      <w:szCs w:val="21"/>
                    </w:rPr>
                    <w:t>1600</w:t>
                  </w:r>
                </w:p>
              </w:tc>
            </w:tr>
            <w:tr w14:paraId="7DDFAE69">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85" w:type="pct"/>
                  <w:vMerge w:val="restart"/>
                  <w:tcBorders>
                    <w:tl2br w:val="nil"/>
                    <w:tr2bl w:val="nil"/>
                  </w:tcBorders>
                  <w:vAlign w:val="center"/>
                </w:tcPr>
                <w:p w14:paraId="75B91B8B">
                  <w:pPr>
                    <w:spacing w:line="240" w:lineRule="auto"/>
                    <w:jc w:val="center"/>
                    <w:rPr>
                      <w:color w:val="000000"/>
                      <w:szCs w:val="21"/>
                    </w:rPr>
                  </w:pPr>
                  <w:r>
                    <w:rPr>
                      <w:color w:val="000000"/>
                      <w:szCs w:val="21"/>
                    </w:rPr>
                    <w:t>3</w:t>
                  </w:r>
                </w:p>
              </w:tc>
              <w:tc>
                <w:tcPr>
                  <w:tcW w:w="437" w:type="pct"/>
                  <w:vMerge w:val="continue"/>
                  <w:tcBorders>
                    <w:tl2br w:val="nil"/>
                    <w:tr2bl w:val="nil"/>
                  </w:tcBorders>
                  <w:vAlign w:val="center"/>
                </w:tcPr>
                <w:p w14:paraId="2D77CD22">
                  <w:pPr>
                    <w:spacing w:line="240" w:lineRule="auto"/>
                    <w:jc w:val="center"/>
                    <w:rPr>
                      <w:color w:val="000000"/>
                      <w:szCs w:val="21"/>
                    </w:rPr>
                  </w:pPr>
                </w:p>
              </w:tc>
              <w:tc>
                <w:tcPr>
                  <w:tcW w:w="848" w:type="pct"/>
                  <w:vMerge w:val="restart"/>
                  <w:tcBorders>
                    <w:tl2br w:val="nil"/>
                    <w:tr2bl w:val="nil"/>
                  </w:tcBorders>
                  <w:vAlign w:val="center"/>
                </w:tcPr>
                <w:p w14:paraId="2870D320">
                  <w:pPr>
                    <w:spacing w:line="240" w:lineRule="auto"/>
                    <w:jc w:val="center"/>
                    <w:rPr>
                      <w:color w:val="000000"/>
                      <w:szCs w:val="21"/>
                    </w:rPr>
                  </w:pPr>
                  <w:r>
                    <w:rPr>
                      <w:color w:val="000000"/>
                      <w:spacing w:val="5"/>
                      <w:szCs w:val="21"/>
                    </w:rPr>
                    <w:t>报废载货</w:t>
                  </w:r>
                  <w:r>
                    <w:rPr>
                      <w:color w:val="000000"/>
                      <w:spacing w:val="3"/>
                      <w:szCs w:val="21"/>
                    </w:rPr>
                    <w:t>汽</w:t>
                  </w:r>
                  <w:r>
                    <w:rPr>
                      <w:color w:val="000000"/>
                      <w:spacing w:val="2"/>
                      <w:szCs w:val="21"/>
                    </w:rPr>
                    <w:t>车</w:t>
                  </w:r>
                </w:p>
              </w:tc>
              <w:tc>
                <w:tcPr>
                  <w:tcW w:w="2030" w:type="pct"/>
                  <w:gridSpan w:val="3"/>
                  <w:tcBorders>
                    <w:tl2br w:val="nil"/>
                    <w:tr2bl w:val="nil"/>
                  </w:tcBorders>
                  <w:vAlign w:val="center"/>
                </w:tcPr>
                <w:p w14:paraId="736DF89D">
                  <w:pPr>
                    <w:spacing w:line="240" w:lineRule="auto"/>
                    <w:jc w:val="center"/>
                    <w:rPr>
                      <w:color w:val="000000"/>
                      <w:szCs w:val="21"/>
                    </w:rPr>
                  </w:pPr>
                  <w:r>
                    <w:rPr>
                      <w:color w:val="000000"/>
                      <w:spacing w:val="7"/>
                      <w:szCs w:val="21"/>
                    </w:rPr>
                    <w:t>轻型(</w:t>
                  </w:r>
                  <w:r>
                    <w:rPr>
                      <w:color w:val="000000"/>
                      <w:szCs w:val="21"/>
                    </w:rPr>
                    <w:t>L</w:t>
                  </w:r>
                  <w:r>
                    <w:rPr>
                      <w:color w:val="000000"/>
                      <w:spacing w:val="7"/>
                      <w:szCs w:val="21"/>
                    </w:rPr>
                    <w:t>＜6米且总重＜4.5</w:t>
                  </w:r>
                  <w:r>
                    <w:rPr>
                      <w:color w:val="000000"/>
                      <w:szCs w:val="21"/>
                    </w:rPr>
                    <w:t>T</w:t>
                  </w:r>
                  <w:r>
                    <w:rPr>
                      <w:color w:val="000000"/>
                      <w:spacing w:val="4"/>
                      <w:szCs w:val="21"/>
                    </w:rPr>
                    <w:t>)</w:t>
                  </w:r>
                </w:p>
              </w:tc>
              <w:tc>
                <w:tcPr>
                  <w:tcW w:w="421" w:type="pct"/>
                  <w:tcBorders>
                    <w:tl2br w:val="nil"/>
                    <w:tr2bl w:val="nil"/>
                  </w:tcBorders>
                  <w:vAlign w:val="center"/>
                </w:tcPr>
                <w:p w14:paraId="21812983">
                  <w:pPr>
                    <w:spacing w:line="240" w:lineRule="auto"/>
                    <w:jc w:val="center"/>
                    <w:rPr>
                      <w:color w:val="000000"/>
                      <w:szCs w:val="21"/>
                    </w:rPr>
                  </w:pPr>
                  <w:r>
                    <w:rPr>
                      <w:color w:val="000000"/>
                      <w:szCs w:val="21"/>
                    </w:rPr>
                    <w:t>辆</w:t>
                  </w:r>
                </w:p>
              </w:tc>
              <w:tc>
                <w:tcPr>
                  <w:tcW w:w="776" w:type="pct"/>
                  <w:tcBorders>
                    <w:tl2br w:val="nil"/>
                    <w:tr2bl w:val="nil"/>
                  </w:tcBorders>
                  <w:vAlign w:val="center"/>
                </w:tcPr>
                <w:p w14:paraId="2910D79A">
                  <w:pPr>
                    <w:spacing w:line="240" w:lineRule="auto"/>
                    <w:jc w:val="center"/>
                    <w:rPr>
                      <w:color w:val="000000"/>
                      <w:spacing w:val="-4"/>
                      <w:szCs w:val="21"/>
                    </w:rPr>
                  </w:pPr>
                  <w:r>
                    <w:rPr>
                      <w:color w:val="000000"/>
                      <w:spacing w:val="-4"/>
                      <w:szCs w:val="21"/>
                    </w:rPr>
                    <w:t>150</w:t>
                  </w:r>
                  <w:r>
                    <w:rPr>
                      <w:color w:val="000000"/>
                      <w:spacing w:val="-3"/>
                      <w:szCs w:val="21"/>
                    </w:rPr>
                    <w:t>0</w:t>
                  </w:r>
                </w:p>
              </w:tc>
            </w:tr>
            <w:tr w14:paraId="145D7924">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85" w:type="pct"/>
                  <w:vMerge w:val="continue"/>
                  <w:tcBorders>
                    <w:tl2br w:val="nil"/>
                    <w:tr2bl w:val="nil"/>
                  </w:tcBorders>
                  <w:vAlign w:val="center"/>
                </w:tcPr>
                <w:p w14:paraId="4B6ACC75">
                  <w:pPr>
                    <w:spacing w:line="240" w:lineRule="auto"/>
                    <w:jc w:val="center"/>
                    <w:rPr>
                      <w:color w:val="000000"/>
                      <w:szCs w:val="21"/>
                    </w:rPr>
                  </w:pPr>
                </w:p>
              </w:tc>
              <w:tc>
                <w:tcPr>
                  <w:tcW w:w="437" w:type="pct"/>
                  <w:vMerge w:val="continue"/>
                  <w:tcBorders>
                    <w:tl2br w:val="nil"/>
                    <w:tr2bl w:val="nil"/>
                  </w:tcBorders>
                  <w:vAlign w:val="center"/>
                </w:tcPr>
                <w:p w14:paraId="3D8D20B7">
                  <w:pPr>
                    <w:spacing w:line="240" w:lineRule="auto"/>
                    <w:jc w:val="center"/>
                    <w:rPr>
                      <w:color w:val="000000"/>
                      <w:szCs w:val="21"/>
                    </w:rPr>
                  </w:pPr>
                </w:p>
              </w:tc>
              <w:tc>
                <w:tcPr>
                  <w:tcW w:w="848" w:type="pct"/>
                  <w:vMerge w:val="continue"/>
                  <w:tcBorders>
                    <w:tl2br w:val="nil"/>
                    <w:tr2bl w:val="nil"/>
                  </w:tcBorders>
                  <w:vAlign w:val="center"/>
                </w:tcPr>
                <w:p w14:paraId="3F7A1FCB">
                  <w:pPr>
                    <w:spacing w:line="240" w:lineRule="auto"/>
                    <w:jc w:val="center"/>
                    <w:rPr>
                      <w:color w:val="000000"/>
                      <w:szCs w:val="21"/>
                    </w:rPr>
                  </w:pPr>
                </w:p>
              </w:tc>
              <w:tc>
                <w:tcPr>
                  <w:tcW w:w="2030" w:type="pct"/>
                  <w:gridSpan w:val="3"/>
                  <w:tcBorders>
                    <w:tl2br w:val="nil"/>
                    <w:tr2bl w:val="nil"/>
                  </w:tcBorders>
                  <w:vAlign w:val="center"/>
                </w:tcPr>
                <w:p w14:paraId="4CBA1E1A">
                  <w:pPr>
                    <w:spacing w:line="240" w:lineRule="auto"/>
                    <w:jc w:val="center"/>
                    <w:rPr>
                      <w:color w:val="000000"/>
                      <w:szCs w:val="21"/>
                    </w:rPr>
                  </w:pPr>
                  <w:r>
                    <w:rPr>
                      <w:color w:val="000000"/>
                      <w:spacing w:val="10"/>
                      <w:position w:val="1"/>
                      <w:szCs w:val="21"/>
                    </w:rPr>
                    <w:t>中</w:t>
                  </w:r>
                  <w:r>
                    <w:rPr>
                      <w:color w:val="000000"/>
                      <w:spacing w:val="6"/>
                      <w:position w:val="1"/>
                      <w:szCs w:val="21"/>
                    </w:rPr>
                    <w:t>型(</w:t>
                  </w:r>
                  <w:r>
                    <w:rPr>
                      <w:color w:val="000000"/>
                      <w:position w:val="1"/>
                      <w:szCs w:val="21"/>
                    </w:rPr>
                    <w:t>L</w:t>
                  </w:r>
                  <w:r>
                    <w:rPr>
                      <w:color w:val="000000"/>
                      <w:spacing w:val="6"/>
                      <w:position w:val="1"/>
                      <w:szCs w:val="21"/>
                    </w:rPr>
                    <w:t>＜6米且4.5</w:t>
                  </w:r>
                  <w:r>
                    <w:rPr>
                      <w:color w:val="000000"/>
                      <w:position w:val="1"/>
                      <w:szCs w:val="21"/>
                    </w:rPr>
                    <w:t>T</w:t>
                  </w:r>
                  <w:r>
                    <w:rPr>
                      <w:color w:val="000000"/>
                      <w:spacing w:val="6"/>
                      <w:position w:val="1"/>
                      <w:szCs w:val="21"/>
                    </w:rPr>
                    <w:t>≤总重＜12</w:t>
                  </w:r>
                  <w:r>
                    <w:rPr>
                      <w:color w:val="000000"/>
                      <w:position w:val="1"/>
                      <w:szCs w:val="21"/>
                    </w:rPr>
                    <w:t>T</w:t>
                  </w:r>
                  <w:r>
                    <w:rPr>
                      <w:color w:val="000000"/>
                      <w:spacing w:val="6"/>
                      <w:position w:val="1"/>
                      <w:szCs w:val="21"/>
                    </w:rPr>
                    <w:t>)</w:t>
                  </w:r>
                </w:p>
              </w:tc>
              <w:tc>
                <w:tcPr>
                  <w:tcW w:w="421" w:type="pct"/>
                  <w:tcBorders>
                    <w:tl2br w:val="nil"/>
                    <w:tr2bl w:val="nil"/>
                  </w:tcBorders>
                  <w:vAlign w:val="center"/>
                </w:tcPr>
                <w:p w14:paraId="232989F7">
                  <w:pPr>
                    <w:spacing w:line="240" w:lineRule="auto"/>
                    <w:jc w:val="center"/>
                    <w:rPr>
                      <w:color w:val="000000"/>
                      <w:szCs w:val="21"/>
                    </w:rPr>
                  </w:pPr>
                  <w:r>
                    <w:rPr>
                      <w:color w:val="000000"/>
                      <w:szCs w:val="21"/>
                    </w:rPr>
                    <w:t>辆</w:t>
                  </w:r>
                </w:p>
              </w:tc>
              <w:tc>
                <w:tcPr>
                  <w:tcW w:w="776" w:type="pct"/>
                  <w:tcBorders>
                    <w:tl2br w:val="nil"/>
                    <w:tr2bl w:val="nil"/>
                  </w:tcBorders>
                  <w:vAlign w:val="center"/>
                </w:tcPr>
                <w:p w14:paraId="6C296440">
                  <w:pPr>
                    <w:spacing w:line="240" w:lineRule="auto"/>
                    <w:jc w:val="center"/>
                    <w:rPr>
                      <w:color w:val="000000"/>
                      <w:spacing w:val="-3"/>
                      <w:szCs w:val="21"/>
                    </w:rPr>
                  </w:pPr>
                  <w:r>
                    <w:rPr>
                      <w:color w:val="000000"/>
                      <w:spacing w:val="-3"/>
                      <w:szCs w:val="21"/>
                    </w:rPr>
                    <w:t>2000</w:t>
                  </w:r>
                </w:p>
              </w:tc>
            </w:tr>
            <w:tr w14:paraId="5A5F3517">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85" w:type="pct"/>
                  <w:vMerge w:val="continue"/>
                  <w:tcBorders>
                    <w:tl2br w:val="nil"/>
                    <w:tr2bl w:val="nil"/>
                  </w:tcBorders>
                  <w:vAlign w:val="center"/>
                </w:tcPr>
                <w:p w14:paraId="52B8491D">
                  <w:pPr>
                    <w:spacing w:line="240" w:lineRule="auto"/>
                    <w:jc w:val="center"/>
                    <w:rPr>
                      <w:color w:val="000000"/>
                      <w:szCs w:val="21"/>
                    </w:rPr>
                  </w:pPr>
                </w:p>
              </w:tc>
              <w:tc>
                <w:tcPr>
                  <w:tcW w:w="437" w:type="pct"/>
                  <w:vMerge w:val="continue"/>
                  <w:tcBorders>
                    <w:tl2br w:val="nil"/>
                    <w:tr2bl w:val="nil"/>
                  </w:tcBorders>
                  <w:vAlign w:val="center"/>
                </w:tcPr>
                <w:p w14:paraId="40E8E824">
                  <w:pPr>
                    <w:spacing w:line="240" w:lineRule="auto"/>
                    <w:jc w:val="center"/>
                    <w:rPr>
                      <w:color w:val="000000"/>
                      <w:szCs w:val="21"/>
                    </w:rPr>
                  </w:pPr>
                </w:p>
              </w:tc>
              <w:tc>
                <w:tcPr>
                  <w:tcW w:w="848" w:type="pct"/>
                  <w:vMerge w:val="continue"/>
                  <w:tcBorders>
                    <w:tl2br w:val="nil"/>
                    <w:tr2bl w:val="nil"/>
                  </w:tcBorders>
                  <w:vAlign w:val="center"/>
                </w:tcPr>
                <w:p w14:paraId="7E633D27">
                  <w:pPr>
                    <w:spacing w:line="240" w:lineRule="auto"/>
                    <w:jc w:val="center"/>
                    <w:rPr>
                      <w:color w:val="000000"/>
                      <w:szCs w:val="21"/>
                    </w:rPr>
                  </w:pPr>
                </w:p>
              </w:tc>
              <w:tc>
                <w:tcPr>
                  <w:tcW w:w="2030" w:type="pct"/>
                  <w:gridSpan w:val="3"/>
                  <w:tcBorders>
                    <w:tl2br w:val="nil"/>
                    <w:tr2bl w:val="nil"/>
                  </w:tcBorders>
                  <w:vAlign w:val="center"/>
                </w:tcPr>
                <w:p w14:paraId="42B0C24F">
                  <w:pPr>
                    <w:spacing w:line="240" w:lineRule="auto"/>
                    <w:jc w:val="center"/>
                    <w:rPr>
                      <w:color w:val="000000"/>
                      <w:szCs w:val="21"/>
                    </w:rPr>
                  </w:pPr>
                  <w:r>
                    <w:rPr>
                      <w:color w:val="000000"/>
                      <w:spacing w:val="12"/>
                      <w:position w:val="1"/>
                      <w:szCs w:val="21"/>
                    </w:rPr>
                    <w:t>重</w:t>
                  </w:r>
                  <w:r>
                    <w:rPr>
                      <w:color w:val="000000"/>
                      <w:spacing w:val="7"/>
                      <w:position w:val="1"/>
                      <w:szCs w:val="21"/>
                    </w:rPr>
                    <w:t>型(</w:t>
                  </w:r>
                  <w:r>
                    <w:rPr>
                      <w:color w:val="000000"/>
                      <w:position w:val="1"/>
                      <w:szCs w:val="21"/>
                    </w:rPr>
                    <w:t>L</w:t>
                  </w:r>
                  <w:r>
                    <w:rPr>
                      <w:color w:val="000000"/>
                      <w:spacing w:val="7"/>
                      <w:position w:val="1"/>
                      <w:szCs w:val="21"/>
                    </w:rPr>
                    <w:t>≥6米或总重≥12</w:t>
                  </w:r>
                  <w:r>
                    <w:rPr>
                      <w:color w:val="000000"/>
                      <w:position w:val="1"/>
                      <w:szCs w:val="21"/>
                    </w:rPr>
                    <w:t>T</w:t>
                  </w:r>
                  <w:r>
                    <w:rPr>
                      <w:color w:val="000000"/>
                      <w:spacing w:val="7"/>
                      <w:position w:val="1"/>
                      <w:szCs w:val="21"/>
                    </w:rPr>
                    <w:t>)</w:t>
                  </w:r>
                </w:p>
              </w:tc>
              <w:tc>
                <w:tcPr>
                  <w:tcW w:w="421" w:type="pct"/>
                  <w:tcBorders>
                    <w:tl2br w:val="nil"/>
                    <w:tr2bl w:val="nil"/>
                  </w:tcBorders>
                  <w:vAlign w:val="center"/>
                </w:tcPr>
                <w:p w14:paraId="4CE9248F">
                  <w:pPr>
                    <w:spacing w:line="240" w:lineRule="auto"/>
                    <w:jc w:val="center"/>
                    <w:rPr>
                      <w:color w:val="000000"/>
                      <w:szCs w:val="21"/>
                    </w:rPr>
                  </w:pPr>
                  <w:r>
                    <w:rPr>
                      <w:color w:val="000000"/>
                      <w:szCs w:val="21"/>
                    </w:rPr>
                    <w:t>辆</w:t>
                  </w:r>
                </w:p>
              </w:tc>
              <w:tc>
                <w:tcPr>
                  <w:tcW w:w="776" w:type="pct"/>
                  <w:tcBorders>
                    <w:tl2br w:val="nil"/>
                    <w:tr2bl w:val="nil"/>
                  </w:tcBorders>
                  <w:vAlign w:val="center"/>
                </w:tcPr>
                <w:p w14:paraId="43C47EC5">
                  <w:pPr>
                    <w:spacing w:line="240" w:lineRule="auto"/>
                    <w:jc w:val="center"/>
                    <w:rPr>
                      <w:color w:val="000000"/>
                      <w:spacing w:val="-9"/>
                      <w:szCs w:val="21"/>
                    </w:rPr>
                  </w:pPr>
                  <w:r>
                    <w:rPr>
                      <w:rFonts w:hint="eastAsia"/>
                      <w:color w:val="000000"/>
                      <w:spacing w:val="-9"/>
                      <w:szCs w:val="21"/>
                      <w:lang w:val="en-US" w:eastAsia="zh-CN"/>
                    </w:rPr>
                    <w:t>3</w:t>
                  </w:r>
                  <w:r>
                    <w:rPr>
                      <w:color w:val="000000"/>
                      <w:spacing w:val="-8"/>
                      <w:szCs w:val="21"/>
                    </w:rPr>
                    <w:t>500</w:t>
                  </w:r>
                </w:p>
              </w:tc>
            </w:tr>
            <w:tr w14:paraId="56EC514C">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85" w:type="pct"/>
                  <w:vMerge w:val="restart"/>
                  <w:tcBorders>
                    <w:tl2br w:val="nil"/>
                    <w:tr2bl w:val="nil"/>
                  </w:tcBorders>
                  <w:vAlign w:val="center"/>
                </w:tcPr>
                <w:p w14:paraId="35F2BB5E">
                  <w:pPr>
                    <w:spacing w:line="240" w:lineRule="auto"/>
                    <w:jc w:val="center"/>
                    <w:rPr>
                      <w:color w:val="000000"/>
                      <w:szCs w:val="21"/>
                    </w:rPr>
                  </w:pPr>
                  <w:r>
                    <w:rPr>
                      <w:color w:val="000000"/>
                      <w:szCs w:val="21"/>
                    </w:rPr>
                    <w:t>4</w:t>
                  </w:r>
                </w:p>
              </w:tc>
              <w:tc>
                <w:tcPr>
                  <w:tcW w:w="437" w:type="pct"/>
                  <w:vMerge w:val="continue"/>
                  <w:tcBorders>
                    <w:tl2br w:val="nil"/>
                    <w:tr2bl w:val="nil"/>
                  </w:tcBorders>
                  <w:vAlign w:val="center"/>
                </w:tcPr>
                <w:p w14:paraId="6BA3C629">
                  <w:pPr>
                    <w:spacing w:line="240" w:lineRule="auto"/>
                    <w:jc w:val="center"/>
                    <w:rPr>
                      <w:color w:val="000000"/>
                      <w:szCs w:val="21"/>
                    </w:rPr>
                  </w:pPr>
                </w:p>
              </w:tc>
              <w:tc>
                <w:tcPr>
                  <w:tcW w:w="848" w:type="pct"/>
                  <w:vMerge w:val="restart"/>
                  <w:tcBorders>
                    <w:tl2br w:val="nil"/>
                    <w:tr2bl w:val="nil"/>
                  </w:tcBorders>
                  <w:vAlign w:val="center"/>
                </w:tcPr>
                <w:p w14:paraId="36586744">
                  <w:pPr>
                    <w:spacing w:line="240" w:lineRule="auto"/>
                    <w:jc w:val="center"/>
                    <w:rPr>
                      <w:color w:val="FF0000"/>
                      <w:szCs w:val="21"/>
                    </w:rPr>
                  </w:pPr>
                  <w:r>
                    <w:rPr>
                      <w:color w:val="FF0000"/>
                      <w:spacing w:val="5"/>
                      <w:szCs w:val="21"/>
                    </w:rPr>
                    <w:t>报废新能</w:t>
                  </w:r>
                  <w:r>
                    <w:rPr>
                      <w:color w:val="FF0000"/>
                      <w:spacing w:val="4"/>
                      <w:szCs w:val="21"/>
                    </w:rPr>
                    <w:t>源汽车</w:t>
                  </w:r>
                </w:p>
              </w:tc>
              <w:tc>
                <w:tcPr>
                  <w:tcW w:w="2030" w:type="pct"/>
                  <w:gridSpan w:val="3"/>
                  <w:tcBorders>
                    <w:tl2br w:val="nil"/>
                    <w:tr2bl w:val="nil"/>
                  </w:tcBorders>
                  <w:vAlign w:val="center"/>
                </w:tcPr>
                <w:p w14:paraId="4F5B656C">
                  <w:pPr>
                    <w:spacing w:line="240" w:lineRule="auto"/>
                    <w:jc w:val="center"/>
                    <w:rPr>
                      <w:color w:val="FF0000"/>
                      <w:szCs w:val="21"/>
                    </w:rPr>
                  </w:pPr>
                  <w:r>
                    <w:rPr>
                      <w:color w:val="FF0000"/>
                      <w:spacing w:val="-7"/>
                      <w:szCs w:val="21"/>
                    </w:rPr>
                    <w:t>电</w:t>
                  </w:r>
                  <w:r>
                    <w:rPr>
                      <w:color w:val="FF0000"/>
                      <w:spacing w:val="-5"/>
                      <w:szCs w:val="21"/>
                    </w:rPr>
                    <w:t>动乘用车</w:t>
                  </w:r>
                  <w:r>
                    <w:rPr>
                      <w:rFonts w:hint="eastAsia"/>
                      <w:color w:val="FF0000"/>
                      <w:spacing w:val="-5"/>
                      <w:szCs w:val="21"/>
                      <w:lang w:eastAsia="zh-CN"/>
                    </w:rPr>
                    <w:t>（</w:t>
                  </w:r>
                  <w:r>
                    <w:rPr>
                      <w:rFonts w:hint="eastAsia"/>
                      <w:color w:val="FF0000"/>
                      <w:spacing w:val="-5"/>
                      <w:szCs w:val="21"/>
                      <w:lang w:val="en-US" w:eastAsia="zh-CN"/>
                    </w:rPr>
                    <w:t>纯电</w:t>
                  </w:r>
                  <w:r>
                    <w:rPr>
                      <w:rFonts w:hint="eastAsia"/>
                      <w:color w:val="FF0000"/>
                      <w:spacing w:val="-5"/>
                      <w:szCs w:val="21"/>
                      <w:lang w:eastAsia="zh-CN"/>
                    </w:rPr>
                    <w:t>）</w:t>
                  </w:r>
                </w:p>
              </w:tc>
              <w:tc>
                <w:tcPr>
                  <w:tcW w:w="421" w:type="pct"/>
                  <w:tcBorders>
                    <w:tl2br w:val="nil"/>
                    <w:tr2bl w:val="nil"/>
                  </w:tcBorders>
                  <w:vAlign w:val="center"/>
                </w:tcPr>
                <w:p w14:paraId="2C8B4783">
                  <w:pPr>
                    <w:spacing w:line="240" w:lineRule="auto"/>
                    <w:jc w:val="center"/>
                    <w:rPr>
                      <w:color w:val="FF0000"/>
                      <w:szCs w:val="21"/>
                    </w:rPr>
                  </w:pPr>
                  <w:r>
                    <w:rPr>
                      <w:color w:val="FF0000"/>
                      <w:szCs w:val="21"/>
                    </w:rPr>
                    <w:t>辆</w:t>
                  </w:r>
                </w:p>
              </w:tc>
              <w:tc>
                <w:tcPr>
                  <w:tcW w:w="776" w:type="pct"/>
                  <w:tcBorders>
                    <w:tl2br w:val="nil"/>
                    <w:tr2bl w:val="nil"/>
                  </w:tcBorders>
                  <w:vAlign w:val="center"/>
                </w:tcPr>
                <w:p w14:paraId="3DBC9FC9">
                  <w:pPr>
                    <w:spacing w:line="240" w:lineRule="auto"/>
                    <w:jc w:val="center"/>
                    <w:rPr>
                      <w:color w:val="FF0000"/>
                      <w:spacing w:val="-3"/>
                      <w:szCs w:val="21"/>
                    </w:rPr>
                  </w:pPr>
                  <w:r>
                    <w:rPr>
                      <w:rFonts w:hint="eastAsia"/>
                      <w:color w:val="FF0000"/>
                      <w:spacing w:val="-3"/>
                      <w:szCs w:val="21"/>
                      <w:lang w:val="en-US" w:eastAsia="zh-CN"/>
                    </w:rPr>
                    <w:t>700</w:t>
                  </w:r>
                </w:p>
              </w:tc>
            </w:tr>
            <w:tr w14:paraId="6B9750FA">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85" w:type="pct"/>
                  <w:vMerge w:val="continue"/>
                  <w:tcBorders>
                    <w:tl2br w:val="nil"/>
                    <w:tr2bl w:val="nil"/>
                  </w:tcBorders>
                  <w:vAlign w:val="center"/>
                </w:tcPr>
                <w:p w14:paraId="0B62149E">
                  <w:pPr>
                    <w:spacing w:line="240" w:lineRule="auto"/>
                    <w:jc w:val="center"/>
                    <w:rPr>
                      <w:color w:val="000000"/>
                      <w:szCs w:val="21"/>
                    </w:rPr>
                  </w:pPr>
                </w:p>
              </w:tc>
              <w:tc>
                <w:tcPr>
                  <w:tcW w:w="437" w:type="pct"/>
                  <w:vMerge w:val="continue"/>
                  <w:tcBorders>
                    <w:tl2br w:val="nil"/>
                    <w:tr2bl w:val="nil"/>
                  </w:tcBorders>
                  <w:vAlign w:val="center"/>
                </w:tcPr>
                <w:p w14:paraId="25C33338">
                  <w:pPr>
                    <w:spacing w:line="240" w:lineRule="auto"/>
                    <w:jc w:val="center"/>
                    <w:rPr>
                      <w:color w:val="000000"/>
                      <w:szCs w:val="21"/>
                    </w:rPr>
                  </w:pPr>
                </w:p>
              </w:tc>
              <w:tc>
                <w:tcPr>
                  <w:tcW w:w="848" w:type="pct"/>
                  <w:vMerge w:val="continue"/>
                  <w:tcBorders>
                    <w:tl2br w:val="nil"/>
                    <w:tr2bl w:val="nil"/>
                  </w:tcBorders>
                  <w:vAlign w:val="center"/>
                </w:tcPr>
                <w:p w14:paraId="225854AF">
                  <w:pPr>
                    <w:spacing w:line="240" w:lineRule="auto"/>
                    <w:jc w:val="center"/>
                    <w:rPr>
                      <w:color w:val="FF0000"/>
                      <w:spacing w:val="5"/>
                      <w:szCs w:val="21"/>
                    </w:rPr>
                  </w:pPr>
                </w:p>
              </w:tc>
              <w:tc>
                <w:tcPr>
                  <w:tcW w:w="2030" w:type="pct"/>
                  <w:gridSpan w:val="3"/>
                  <w:tcBorders>
                    <w:tl2br w:val="nil"/>
                    <w:tr2bl w:val="nil"/>
                  </w:tcBorders>
                  <w:vAlign w:val="center"/>
                </w:tcPr>
                <w:p w14:paraId="72350D88">
                  <w:pPr>
                    <w:spacing w:line="240" w:lineRule="auto"/>
                    <w:jc w:val="center"/>
                    <w:rPr>
                      <w:color w:val="FF0000"/>
                      <w:spacing w:val="-7"/>
                      <w:szCs w:val="21"/>
                    </w:rPr>
                  </w:pPr>
                  <w:r>
                    <w:rPr>
                      <w:color w:val="FF0000"/>
                      <w:spacing w:val="-7"/>
                      <w:szCs w:val="21"/>
                    </w:rPr>
                    <w:t>电</w:t>
                  </w:r>
                  <w:r>
                    <w:rPr>
                      <w:color w:val="FF0000"/>
                      <w:spacing w:val="-5"/>
                      <w:szCs w:val="21"/>
                    </w:rPr>
                    <w:t>动乘用车</w:t>
                  </w:r>
                  <w:r>
                    <w:rPr>
                      <w:rFonts w:hint="eastAsia"/>
                      <w:color w:val="FF0000"/>
                      <w:spacing w:val="-5"/>
                      <w:szCs w:val="21"/>
                      <w:lang w:eastAsia="zh-CN"/>
                    </w:rPr>
                    <w:t>（</w:t>
                  </w:r>
                  <w:r>
                    <w:rPr>
                      <w:rFonts w:hint="eastAsia"/>
                      <w:color w:val="FF0000"/>
                      <w:spacing w:val="-5"/>
                      <w:szCs w:val="21"/>
                      <w:lang w:val="en-US" w:eastAsia="zh-CN"/>
                    </w:rPr>
                    <w:t>混动</w:t>
                  </w:r>
                  <w:r>
                    <w:rPr>
                      <w:rFonts w:hint="eastAsia"/>
                      <w:color w:val="FF0000"/>
                      <w:spacing w:val="-5"/>
                      <w:szCs w:val="21"/>
                      <w:lang w:eastAsia="zh-CN"/>
                    </w:rPr>
                    <w:t>）</w:t>
                  </w:r>
                </w:p>
              </w:tc>
              <w:tc>
                <w:tcPr>
                  <w:tcW w:w="421" w:type="pct"/>
                  <w:tcBorders>
                    <w:tl2br w:val="nil"/>
                    <w:tr2bl w:val="nil"/>
                  </w:tcBorders>
                  <w:vAlign w:val="center"/>
                </w:tcPr>
                <w:p w14:paraId="2CDE60A8">
                  <w:pPr>
                    <w:spacing w:line="240" w:lineRule="auto"/>
                    <w:jc w:val="center"/>
                    <w:rPr>
                      <w:color w:val="FF0000"/>
                      <w:szCs w:val="21"/>
                    </w:rPr>
                  </w:pPr>
                  <w:r>
                    <w:rPr>
                      <w:color w:val="FF0000"/>
                      <w:szCs w:val="21"/>
                    </w:rPr>
                    <w:t>辆</w:t>
                  </w:r>
                </w:p>
              </w:tc>
              <w:tc>
                <w:tcPr>
                  <w:tcW w:w="776" w:type="pct"/>
                  <w:tcBorders>
                    <w:tl2br w:val="nil"/>
                    <w:tr2bl w:val="nil"/>
                  </w:tcBorders>
                  <w:vAlign w:val="center"/>
                </w:tcPr>
                <w:p w14:paraId="6CC05C9F">
                  <w:pPr>
                    <w:spacing w:line="240" w:lineRule="auto"/>
                    <w:jc w:val="center"/>
                    <w:rPr>
                      <w:color w:val="FF0000"/>
                      <w:spacing w:val="-3"/>
                      <w:szCs w:val="21"/>
                    </w:rPr>
                  </w:pPr>
                  <w:r>
                    <w:rPr>
                      <w:rFonts w:hint="eastAsia"/>
                      <w:color w:val="FF0000"/>
                      <w:spacing w:val="-3"/>
                      <w:szCs w:val="21"/>
                      <w:lang w:val="en-US" w:eastAsia="zh-CN"/>
                    </w:rPr>
                    <w:t>700</w:t>
                  </w:r>
                </w:p>
              </w:tc>
            </w:tr>
            <w:tr w14:paraId="6B4F3BE0">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85" w:type="pct"/>
                  <w:vMerge w:val="continue"/>
                  <w:tcBorders>
                    <w:tl2br w:val="nil"/>
                    <w:tr2bl w:val="nil"/>
                  </w:tcBorders>
                  <w:vAlign w:val="center"/>
                </w:tcPr>
                <w:p w14:paraId="2C6EEF31">
                  <w:pPr>
                    <w:spacing w:line="240" w:lineRule="auto"/>
                    <w:jc w:val="center"/>
                    <w:rPr>
                      <w:color w:val="000000"/>
                      <w:szCs w:val="21"/>
                    </w:rPr>
                  </w:pPr>
                </w:p>
              </w:tc>
              <w:tc>
                <w:tcPr>
                  <w:tcW w:w="437" w:type="pct"/>
                  <w:vMerge w:val="continue"/>
                  <w:tcBorders>
                    <w:tl2br w:val="nil"/>
                    <w:tr2bl w:val="nil"/>
                  </w:tcBorders>
                  <w:vAlign w:val="center"/>
                </w:tcPr>
                <w:p w14:paraId="38805AE6">
                  <w:pPr>
                    <w:spacing w:line="240" w:lineRule="auto"/>
                    <w:jc w:val="center"/>
                    <w:rPr>
                      <w:color w:val="000000"/>
                      <w:szCs w:val="21"/>
                    </w:rPr>
                  </w:pPr>
                </w:p>
              </w:tc>
              <w:tc>
                <w:tcPr>
                  <w:tcW w:w="848" w:type="pct"/>
                  <w:vMerge w:val="continue"/>
                  <w:tcBorders>
                    <w:tl2br w:val="nil"/>
                    <w:tr2bl w:val="nil"/>
                  </w:tcBorders>
                  <w:vAlign w:val="center"/>
                </w:tcPr>
                <w:p w14:paraId="0EDA293C">
                  <w:pPr>
                    <w:spacing w:line="240" w:lineRule="auto"/>
                    <w:jc w:val="center"/>
                    <w:rPr>
                      <w:color w:val="FF0000"/>
                      <w:szCs w:val="21"/>
                    </w:rPr>
                  </w:pPr>
                </w:p>
              </w:tc>
              <w:tc>
                <w:tcPr>
                  <w:tcW w:w="2030" w:type="pct"/>
                  <w:gridSpan w:val="3"/>
                  <w:tcBorders>
                    <w:tl2br w:val="nil"/>
                    <w:tr2bl w:val="nil"/>
                  </w:tcBorders>
                  <w:vAlign w:val="center"/>
                </w:tcPr>
                <w:p w14:paraId="4CF3F043">
                  <w:pPr>
                    <w:spacing w:line="240" w:lineRule="auto"/>
                    <w:jc w:val="center"/>
                    <w:rPr>
                      <w:color w:val="FF0000"/>
                      <w:szCs w:val="21"/>
                    </w:rPr>
                  </w:pPr>
                  <w:r>
                    <w:rPr>
                      <w:color w:val="FF0000"/>
                      <w:spacing w:val="-2"/>
                      <w:szCs w:val="21"/>
                    </w:rPr>
                    <w:t>小型电动载</w:t>
                  </w:r>
                  <w:r>
                    <w:rPr>
                      <w:color w:val="FF0000"/>
                      <w:spacing w:val="-1"/>
                      <w:szCs w:val="21"/>
                    </w:rPr>
                    <w:t>客汽车</w:t>
                  </w:r>
                </w:p>
              </w:tc>
              <w:tc>
                <w:tcPr>
                  <w:tcW w:w="421" w:type="pct"/>
                  <w:tcBorders>
                    <w:tl2br w:val="nil"/>
                    <w:tr2bl w:val="nil"/>
                  </w:tcBorders>
                  <w:vAlign w:val="center"/>
                </w:tcPr>
                <w:p w14:paraId="5A865C11">
                  <w:pPr>
                    <w:spacing w:line="240" w:lineRule="auto"/>
                    <w:jc w:val="center"/>
                    <w:rPr>
                      <w:color w:val="FF0000"/>
                      <w:szCs w:val="21"/>
                    </w:rPr>
                  </w:pPr>
                  <w:r>
                    <w:rPr>
                      <w:color w:val="FF0000"/>
                      <w:szCs w:val="21"/>
                    </w:rPr>
                    <w:t>辆</w:t>
                  </w:r>
                </w:p>
              </w:tc>
              <w:tc>
                <w:tcPr>
                  <w:tcW w:w="776" w:type="pct"/>
                  <w:tcBorders>
                    <w:tl2br w:val="nil"/>
                    <w:tr2bl w:val="nil"/>
                  </w:tcBorders>
                  <w:vAlign w:val="center"/>
                </w:tcPr>
                <w:p w14:paraId="71EDFDF7">
                  <w:pPr>
                    <w:spacing w:line="240" w:lineRule="auto"/>
                    <w:jc w:val="center"/>
                    <w:rPr>
                      <w:color w:val="FF0000"/>
                      <w:spacing w:val="-3"/>
                      <w:szCs w:val="21"/>
                    </w:rPr>
                  </w:pPr>
                  <w:r>
                    <w:rPr>
                      <w:color w:val="FF0000"/>
                      <w:spacing w:val="-3"/>
                      <w:szCs w:val="21"/>
                    </w:rPr>
                    <w:t>30</w:t>
                  </w:r>
                  <w:r>
                    <w:rPr>
                      <w:color w:val="FF0000"/>
                      <w:spacing w:val="-2"/>
                      <w:szCs w:val="21"/>
                    </w:rPr>
                    <w:t>0</w:t>
                  </w:r>
                </w:p>
              </w:tc>
            </w:tr>
            <w:tr w14:paraId="51D7520A">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85" w:type="pct"/>
                  <w:vMerge w:val="continue"/>
                  <w:tcBorders>
                    <w:tl2br w:val="nil"/>
                    <w:tr2bl w:val="nil"/>
                  </w:tcBorders>
                  <w:vAlign w:val="center"/>
                </w:tcPr>
                <w:p w14:paraId="19ECF338">
                  <w:pPr>
                    <w:spacing w:line="240" w:lineRule="auto"/>
                    <w:jc w:val="center"/>
                    <w:rPr>
                      <w:color w:val="000000"/>
                      <w:szCs w:val="21"/>
                    </w:rPr>
                  </w:pPr>
                </w:p>
              </w:tc>
              <w:tc>
                <w:tcPr>
                  <w:tcW w:w="437" w:type="pct"/>
                  <w:vMerge w:val="continue"/>
                  <w:tcBorders>
                    <w:tl2br w:val="nil"/>
                    <w:tr2bl w:val="nil"/>
                  </w:tcBorders>
                  <w:vAlign w:val="center"/>
                </w:tcPr>
                <w:p w14:paraId="314EC8D2">
                  <w:pPr>
                    <w:spacing w:line="240" w:lineRule="auto"/>
                    <w:jc w:val="center"/>
                    <w:rPr>
                      <w:color w:val="000000"/>
                      <w:szCs w:val="21"/>
                    </w:rPr>
                  </w:pPr>
                </w:p>
              </w:tc>
              <w:tc>
                <w:tcPr>
                  <w:tcW w:w="848" w:type="pct"/>
                  <w:vMerge w:val="continue"/>
                  <w:tcBorders>
                    <w:tl2br w:val="nil"/>
                    <w:tr2bl w:val="nil"/>
                  </w:tcBorders>
                  <w:vAlign w:val="center"/>
                </w:tcPr>
                <w:p w14:paraId="492A6777">
                  <w:pPr>
                    <w:spacing w:line="240" w:lineRule="auto"/>
                    <w:jc w:val="center"/>
                    <w:rPr>
                      <w:color w:val="FF0000"/>
                      <w:szCs w:val="21"/>
                    </w:rPr>
                  </w:pPr>
                </w:p>
              </w:tc>
              <w:tc>
                <w:tcPr>
                  <w:tcW w:w="2030" w:type="pct"/>
                  <w:gridSpan w:val="3"/>
                  <w:tcBorders>
                    <w:tl2br w:val="nil"/>
                    <w:tr2bl w:val="nil"/>
                  </w:tcBorders>
                  <w:vAlign w:val="center"/>
                </w:tcPr>
                <w:p w14:paraId="05F4425B">
                  <w:pPr>
                    <w:spacing w:line="240" w:lineRule="auto"/>
                    <w:jc w:val="center"/>
                    <w:rPr>
                      <w:color w:val="FF0000"/>
                      <w:szCs w:val="21"/>
                    </w:rPr>
                  </w:pPr>
                  <w:r>
                    <w:rPr>
                      <w:color w:val="FF0000"/>
                      <w:spacing w:val="-4"/>
                      <w:szCs w:val="21"/>
                    </w:rPr>
                    <w:t>中</w:t>
                  </w:r>
                  <w:r>
                    <w:rPr>
                      <w:color w:val="FF0000"/>
                      <w:spacing w:val="-3"/>
                      <w:szCs w:val="21"/>
                    </w:rPr>
                    <w:t>型电动载客汽车</w:t>
                  </w:r>
                </w:p>
              </w:tc>
              <w:tc>
                <w:tcPr>
                  <w:tcW w:w="421" w:type="pct"/>
                  <w:tcBorders>
                    <w:tl2br w:val="nil"/>
                    <w:tr2bl w:val="nil"/>
                  </w:tcBorders>
                  <w:vAlign w:val="center"/>
                </w:tcPr>
                <w:p w14:paraId="28C3C006">
                  <w:pPr>
                    <w:spacing w:line="240" w:lineRule="auto"/>
                    <w:jc w:val="center"/>
                    <w:rPr>
                      <w:color w:val="FF0000"/>
                      <w:szCs w:val="21"/>
                    </w:rPr>
                  </w:pPr>
                  <w:r>
                    <w:rPr>
                      <w:color w:val="FF0000"/>
                      <w:szCs w:val="21"/>
                    </w:rPr>
                    <w:t>辆</w:t>
                  </w:r>
                </w:p>
              </w:tc>
              <w:tc>
                <w:tcPr>
                  <w:tcW w:w="776" w:type="pct"/>
                  <w:tcBorders>
                    <w:tl2br w:val="nil"/>
                    <w:tr2bl w:val="nil"/>
                  </w:tcBorders>
                  <w:vAlign w:val="center"/>
                </w:tcPr>
                <w:p w14:paraId="3FEE469B">
                  <w:pPr>
                    <w:spacing w:line="240" w:lineRule="auto"/>
                    <w:jc w:val="center"/>
                    <w:rPr>
                      <w:color w:val="FF0000"/>
                      <w:spacing w:val="-3"/>
                      <w:szCs w:val="21"/>
                    </w:rPr>
                  </w:pPr>
                  <w:r>
                    <w:rPr>
                      <w:rFonts w:hint="eastAsia"/>
                      <w:color w:val="FF0000"/>
                      <w:spacing w:val="-3"/>
                      <w:szCs w:val="21"/>
                      <w:lang w:val="en-US" w:eastAsia="zh-CN"/>
                    </w:rPr>
                    <w:t>1</w:t>
                  </w:r>
                  <w:r>
                    <w:rPr>
                      <w:color w:val="FF0000"/>
                      <w:spacing w:val="-3"/>
                      <w:szCs w:val="21"/>
                    </w:rPr>
                    <w:t>0</w:t>
                  </w:r>
                  <w:r>
                    <w:rPr>
                      <w:color w:val="FF0000"/>
                      <w:spacing w:val="-2"/>
                      <w:szCs w:val="21"/>
                    </w:rPr>
                    <w:t>0</w:t>
                  </w:r>
                </w:p>
              </w:tc>
            </w:tr>
            <w:tr w14:paraId="1921049F">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85" w:type="pct"/>
                  <w:vMerge w:val="continue"/>
                  <w:tcBorders>
                    <w:tl2br w:val="nil"/>
                    <w:tr2bl w:val="nil"/>
                  </w:tcBorders>
                  <w:vAlign w:val="center"/>
                </w:tcPr>
                <w:p w14:paraId="297EE939">
                  <w:pPr>
                    <w:spacing w:line="240" w:lineRule="auto"/>
                    <w:jc w:val="center"/>
                    <w:rPr>
                      <w:color w:val="000000"/>
                      <w:szCs w:val="21"/>
                    </w:rPr>
                  </w:pPr>
                </w:p>
              </w:tc>
              <w:tc>
                <w:tcPr>
                  <w:tcW w:w="437" w:type="pct"/>
                  <w:vMerge w:val="continue"/>
                  <w:tcBorders>
                    <w:tl2br w:val="nil"/>
                    <w:tr2bl w:val="nil"/>
                  </w:tcBorders>
                  <w:vAlign w:val="center"/>
                </w:tcPr>
                <w:p w14:paraId="1313BFE2">
                  <w:pPr>
                    <w:spacing w:line="240" w:lineRule="auto"/>
                    <w:jc w:val="center"/>
                    <w:rPr>
                      <w:color w:val="000000"/>
                      <w:szCs w:val="21"/>
                    </w:rPr>
                  </w:pPr>
                </w:p>
              </w:tc>
              <w:tc>
                <w:tcPr>
                  <w:tcW w:w="848" w:type="pct"/>
                  <w:vMerge w:val="continue"/>
                  <w:tcBorders>
                    <w:tl2br w:val="nil"/>
                    <w:tr2bl w:val="nil"/>
                  </w:tcBorders>
                  <w:vAlign w:val="center"/>
                </w:tcPr>
                <w:p w14:paraId="6AD53CF5">
                  <w:pPr>
                    <w:spacing w:line="240" w:lineRule="auto"/>
                    <w:jc w:val="center"/>
                    <w:rPr>
                      <w:color w:val="FF0000"/>
                      <w:szCs w:val="21"/>
                    </w:rPr>
                  </w:pPr>
                </w:p>
              </w:tc>
              <w:tc>
                <w:tcPr>
                  <w:tcW w:w="2030" w:type="pct"/>
                  <w:gridSpan w:val="3"/>
                  <w:tcBorders>
                    <w:tl2br w:val="nil"/>
                    <w:tr2bl w:val="nil"/>
                  </w:tcBorders>
                  <w:vAlign w:val="center"/>
                </w:tcPr>
                <w:p w14:paraId="56CAA2FE">
                  <w:pPr>
                    <w:spacing w:line="240" w:lineRule="auto"/>
                    <w:jc w:val="center"/>
                    <w:rPr>
                      <w:color w:val="FF0000"/>
                      <w:szCs w:val="21"/>
                    </w:rPr>
                  </w:pPr>
                  <w:r>
                    <w:rPr>
                      <w:color w:val="FF0000"/>
                      <w:spacing w:val="-2"/>
                      <w:szCs w:val="21"/>
                    </w:rPr>
                    <w:t>大型</w:t>
                  </w:r>
                  <w:r>
                    <w:rPr>
                      <w:color w:val="FF0000"/>
                      <w:spacing w:val="-1"/>
                      <w:szCs w:val="21"/>
                    </w:rPr>
                    <w:t>电动载客汽车</w:t>
                  </w:r>
                </w:p>
              </w:tc>
              <w:tc>
                <w:tcPr>
                  <w:tcW w:w="421" w:type="pct"/>
                  <w:tcBorders>
                    <w:tl2br w:val="nil"/>
                    <w:tr2bl w:val="nil"/>
                  </w:tcBorders>
                  <w:vAlign w:val="center"/>
                </w:tcPr>
                <w:p w14:paraId="4A74BD85">
                  <w:pPr>
                    <w:spacing w:line="240" w:lineRule="auto"/>
                    <w:jc w:val="center"/>
                    <w:rPr>
                      <w:color w:val="FF0000"/>
                      <w:szCs w:val="21"/>
                    </w:rPr>
                  </w:pPr>
                  <w:r>
                    <w:rPr>
                      <w:color w:val="FF0000"/>
                      <w:szCs w:val="21"/>
                    </w:rPr>
                    <w:t>辆</w:t>
                  </w:r>
                </w:p>
              </w:tc>
              <w:tc>
                <w:tcPr>
                  <w:tcW w:w="776" w:type="pct"/>
                  <w:tcBorders>
                    <w:tl2br w:val="nil"/>
                    <w:tr2bl w:val="nil"/>
                  </w:tcBorders>
                  <w:vAlign w:val="center"/>
                </w:tcPr>
                <w:p w14:paraId="2D03B6D1">
                  <w:pPr>
                    <w:spacing w:line="240" w:lineRule="auto"/>
                    <w:jc w:val="center"/>
                    <w:rPr>
                      <w:color w:val="FF0000"/>
                      <w:spacing w:val="-3"/>
                      <w:szCs w:val="21"/>
                    </w:rPr>
                  </w:pPr>
                  <w:r>
                    <w:rPr>
                      <w:rFonts w:hint="eastAsia"/>
                      <w:color w:val="FF0000"/>
                      <w:spacing w:val="-3"/>
                      <w:szCs w:val="21"/>
                      <w:lang w:val="en-US" w:eastAsia="zh-CN"/>
                    </w:rPr>
                    <w:t>1</w:t>
                  </w:r>
                  <w:r>
                    <w:rPr>
                      <w:color w:val="FF0000"/>
                      <w:spacing w:val="-3"/>
                      <w:szCs w:val="21"/>
                    </w:rPr>
                    <w:t>0</w:t>
                  </w:r>
                  <w:r>
                    <w:rPr>
                      <w:color w:val="FF0000"/>
                      <w:spacing w:val="-2"/>
                      <w:szCs w:val="21"/>
                    </w:rPr>
                    <w:t>0</w:t>
                  </w:r>
                </w:p>
              </w:tc>
            </w:tr>
            <w:tr w14:paraId="6A02D6CF">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85" w:type="pct"/>
                  <w:vMerge w:val="continue"/>
                  <w:tcBorders>
                    <w:tl2br w:val="nil"/>
                    <w:tr2bl w:val="nil"/>
                  </w:tcBorders>
                  <w:vAlign w:val="center"/>
                </w:tcPr>
                <w:p w14:paraId="08DCC7D6">
                  <w:pPr>
                    <w:spacing w:line="240" w:lineRule="auto"/>
                    <w:jc w:val="center"/>
                    <w:rPr>
                      <w:color w:val="000000"/>
                      <w:szCs w:val="21"/>
                    </w:rPr>
                  </w:pPr>
                </w:p>
              </w:tc>
              <w:tc>
                <w:tcPr>
                  <w:tcW w:w="437" w:type="pct"/>
                  <w:vMerge w:val="continue"/>
                  <w:tcBorders>
                    <w:tl2br w:val="nil"/>
                    <w:tr2bl w:val="nil"/>
                  </w:tcBorders>
                  <w:vAlign w:val="center"/>
                </w:tcPr>
                <w:p w14:paraId="66E00590">
                  <w:pPr>
                    <w:spacing w:line="240" w:lineRule="auto"/>
                    <w:jc w:val="center"/>
                    <w:rPr>
                      <w:color w:val="000000"/>
                      <w:szCs w:val="21"/>
                    </w:rPr>
                  </w:pPr>
                </w:p>
              </w:tc>
              <w:tc>
                <w:tcPr>
                  <w:tcW w:w="848" w:type="pct"/>
                  <w:vMerge w:val="continue"/>
                  <w:tcBorders>
                    <w:tl2br w:val="nil"/>
                    <w:tr2bl w:val="nil"/>
                  </w:tcBorders>
                  <w:vAlign w:val="center"/>
                </w:tcPr>
                <w:p w14:paraId="4787D62C">
                  <w:pPr>
                    <w:spacing w:line="240" w:lineRule="auto"/>
                    <w:jc w:val="center"/>
                    <w:rPr>
                      <w:color w:val="FF0000"/>
                      <w:szCs w:val="21"/>
                    </w:rPr>
                  </w:pPr>
                </w:p>
              </w:tc>
              <w:tc>
                <w:tcPr>
                  <w:tcW w:w="2030" w:type="pct"/>
                  <w:gridSpan w:val="3"/>
                  <w:tcBorders>
                    <w:tl2br w:val="nil"/>
                    <w:tr2bl w:val="nil"/>
                  </w:tcBorders>
                  <w:vAlign w:val="center"/>
                </w:tcPr>
                <w:p w14:paraId="4492FCBD">
                  <w:pPr>
                    <w:spacing w:line="240" w:lineRule="auto"/>
                    <w:jc w:val="center"/>
                    <w:rPr>
                      <w:color w:val="FF0000"/>
                      <w:szCs w:val="21"/>
                    </w:rPr>
                  </w:pPr>
                  <w:r>
                    <w:rPr>
                      <w:color w:val="FF0000"/>
                      <w:spacing w:val="-8"/>
                      <w:szCs w:val="21"/>
                    </w:rPr>
                    <w:t>电</w:t>
                  </w:r>
                  <w:r>
                    <w:rPr>
                      <w:color w:val="FF0000"/>
                      <w:spacing w:val="-4"/>
                      <w:szCs w:val="21"/>
                    </w:rPr>
                    <w:t>动载货汽车</w:t>
                  </w:r>
                </w:p>
              </w:tc>
              <w:tc>
                <w:tcPr>
                  <w:tcW w:w="421" w:type="pct"/>
                  <w:tcBorders>
                    <w:tl2br w:val="nil"/>
                    <w:tr2bl w:val="nil"/>
                  </w:tcBorders>
                  <w:vAlign w:val="center"/>
                </w:tcPr>
                <w:p w14:paraId="3BB74886">
                  <w:pPr>
                    <w:spacing w:line="240" w:lineRule="auto"/>
                    <w:jc w:val="center"/>
                    <w:rPr>
                      <w:color w:val="FF0000"/>
                      <w:szCs w:val="21"/>
                    </w:rPr>
                  </w:pPr>
                  <w:r>
                    <w:rPr>
                      <w:color w:val="FF0000"/>
                      <w:szCs w:val="21"/>
                    </w:rPr>
                    <w:t>辆</w:t>
                  </w:r>
                </w:p>
              </w:tc>
              <w:tc>
                <w:tcPr>
                  <w:tcW w:w="776" w:type="pct"/>
                  <w:tcBorders>
                    <w:tl2br w:val="nil"/>
                    <w:tr2bl w:val="nil"/>
                  </w:tcBorders>
                  <w:vAlign w:val="center"/>
                </w:tcPr>
                <w:p w14:paraId="58DCBF8F">
                  <w:pPr>
                    <w:spacing w:line="240" w:lineRule="auto"/>
                    <w:jc w:val="center"/>
                    <w:rPr>
                      <w:color w:val="FF0000"/>
                      <w:spacing w:val="-3"/>
                      <w:szCs w:val="21"/>
                    </w:rPr>
                  </w:pPr>
                  <w:r>
                    <w:rPr>
                      <w:rFonts w:hint="eastAsia"/>
                      <w:color w:val="FF0000"/>
                      <w:spacing w:val="-3"/>
                      <w:szCs w:val="21"/>
                      <w:lang w:val="en-US" w:eastAsia="zh-CN"/>
                    </w:rPr>
                    <w:t>1</w:t>
                  </w:r>
                  <w:r>
                    <w:rPr>
                      <w:color w:val="FF0000"/>
                      <w:spacing w:val="-3"/>
                      <w:szCs w:val="21"/>
                    </w:rPr>
                    <w:t>0</w:t>
                  </w:r>
                  <w:r>
                    <w:rPr>
                      <w:color w:val="FF0000"/>
                      <w:spacing w:val="-2"/>
                      <w:szCs w:val="21"/>
                    </w:rPr>
                    <w:t>0</w:t>
                  </w:r>
                </w:p>
              </w:tc>
            </w:tr>
            <w:tr w14:paraId="57977B62">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85" w:type="pct"/>
                  <w:tcBorders>
                    <w:tl2br w:val="nil"/>
                    <w:tr2bl w:val="nil"/>
                  </w:tcBorders>
                  <w:vAlign w:val="center"/>
                </w:tcPr>
                <w:p w14:paraId="648F335B">
                  <w:pPr>
                    <w:spacing w:line="240" w:lineRule="auto"/>
                    <w:jc w:val="center"/>
                    <w:rPr>
                      <w:color w:val="000000"/>
                      <w:szCs w:val="21"/>
                    </w:rPr>
                  </w:pPr>
                  <w:r>
                    <w:rPr>
                      <w:color w:val="000000"/>
                      <w:szCs w:val="21"/>
                    </w:rPr>
                    <w:t>5</w:t>
                  </w:r>
                </w:p>
              </w:tc>
              <w:tc>
                <w:tcPr>
                  <w:tcW w:w="3737" w:type="pct"/>
                  <w:gridSpan w:val="6"/>
                  <w:tcBorders>
                    <w:tl2br w:val="nil"/>
                    <w:tr2bl w:val="nil"/>
                  </w:tcBorders>
                  <w:vAlign w:val="center"/>
                </w:tcPr>
                <w:p w14:paraId="0F9644FE">
                  <w:pPr>
                    <w:spacing w:line="240" w:lineRule="auto"/>
                    <w:jc w:val="center"/>
                    <w:rPr>
                      <w:color w:val="000000"/>
                      <w:szCs w:val="21"/>
                    </w:rPr>
                  </w:pPr>
                  <w:r>
                    <w:rPr>
                      <w:color w:val="000000"/>
                      <w:spacing w:val="-3"/>
                      <w:szCs w:val="21"/>
                    </w:rPr>
                    <w:t>合</w:t>
                  </w:r>
                  <w:r>
                    <w:rPr>
                      <w:color w:val="000000"/>
                      <w:spacing w:val="-2"/>
                      <w:szCs w:val="21"/>
                    </w:rPr>
                    <w:t>计</w:t>
                  </w:r>
                </w:p>
              </w:tc>
              <w:tc>
                <w:tcPr>
                  <w:tcW w:w="776" w:type="pct"/>
                  <w:tcBorders>
                    <w:tl2br w:val="nil"/>
                    <w:tr2bl w:val="nil"/>
                  </w:tcBorders>
                  <w:vAlign w:val="center"/>
                </w:tcPr>
                <w:p w14:paraId="13B371A0">
                  <w:pPr>
                    <w:spacing w:line="240" w:lineRule="auto"/>
                    <w:jc w:val="center"/>
                    <w:rPr>
                      <w:color w:val="000000"/>
                      <w:spacing w:val="-4"/>
                      <w:szCs w:val="21"/>
                    </w:rPr>
                  </w:pPr>
                  <w:r>
                    <w:rPr>
                      <w:color w:val="000000"/>
                      <w:spacing w:val="-4"/>
                      <w:szCs w:val="21"/>
                    </w:rPr>
                    <w:t>15</w:t>
                  </w:r>
                  <w:r>
                    <w:rPr>
                      <w:color w:val="000000"/>
                      <w:spacing w:val="-2"/>
                      <w:szCs w:val="21"/>
                    </w:rPr>
                    <w:t>000</w:t>
                  </w:r>
                </w:p>
              </w:tc>
            </w:tr>
            <w:tr w14:paraId="05A29515">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000" w:type="pct"/>
                  <w:gridSpan w:val="8"/>
                  <w:tcBorders>
                    <w:tl2br w:val="nil"/>
                    <w:tr2bl w:val="nil"/>
                  </w:tcBorders>
                  <w:vAlign w:val="center"/>
                </w:tcPr>
                <w:p w14:paraId="04BC11C6">
                  <w:pPr>
                    <w:spacing w:line="240" w:lineRule="auto"/>
                    <w:jc w:val="center"/>
                    <w:rPr>
                      <w:color w:val="000000"/>
                      <w:spacing w:val="-4"/>
                      <w:szCs w:val="21"/>
                    </w:rPr>
                  </w:pPr>
                  <w:r>
                    <w:rPr>
                      <w:b/>
                      <w:color w:val="000000"/>
                    </w:rPr>
                    <w:t>能源</w:t>
                  </w:r>
                </w:p>
              </w:tc>
            </w:tr>
            <w:tr w14:paraId="15B03948">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PrEx>
              <w:trPr>
                <w:trHeight w:val="23" w:hRule="atLeast"/>
                <w:jc w:val="center"/>
              </w:trPr>
              <w:tc>
                <w:tcPr>
                  <w:tcW w:w="485" w:type="pct"/>
                  <w:tcBorders>
                    <w:tl2br w:val="nil"/>
                    <w:tr2bl w:val="nil"/>
                  </w:tcBorders>
                  <w:vAlign w:val="center"/>
                </w:tcPr>
                <w:p w14:paraId="2983DB83">
                  <w:pPr>
                    <w:pStyle w:val="129"/>
                    <w:spacing w:line="360" w:lineRule="exact"/>
                    <w:rPr>
                      <w:rFonts w:ascii="Times New Roman" w:hAnsi="Times New Roman" w:eastAsia="宋体" w:cs="Times New Roman"/>
                      <w:szCs w:val="21"/>
                    </w:rPr>
                  </w:pPr>
                  <w:r>
                    <w:rPr>
                      <w:rFonts w:hint="eastAsia" w:ascii="Times New Roman" w:hAnsi="Times New Roman" w:eastAsia="宋体" w:cs="Times New Roman"/>
                      <w:szCs w:val="21"/>
                    </w:rPr>
                    <w:t>6</w:t>
                  </w:r>
                </w:p>
              </w:tc>
              <w:tc>
                <w:tcPr>
                  <w:tcW w:w="1552" w:type="pct"/>
                  <w:gridSpan w:val="3"/>
                  <w:tcBorders>
                    <w:tl2br w:val="nil"/>
                    <w:tr2bl w:val="nil"/>
                  </w:tcBorders>
                  <w:vAlign w:val="center"/>
                </w:tcPr>
                <w:p w14:paraId="0648CADC">
                  <w:pPr>
                    <w:pStyle w:val="129"/>
                    <w:spacing w:line="360" w:lineRule="exact"/>
                    <w:rPr>
                      <w:rFonts w:hint="eastAsia" w:ascii="Times New Roman" w:hAnsi="Times New Roman" w:eastAsia="宋体" w:cs="Times New Roman"/>
                      <w:szCs w:val="21"/>
                    </w:rPr>
                  </w:pPr>
                  <w:r>
                    <w:rPr>
                      <w:rFonts w:ascii="Times New Roman" w:hAnsi="Times New Roman" w:eastAsia="宋体" w:cs="Times New Roman"/>
                      <w:szCs w:val="21"/>
                    </w:rPr>
                    <w:t>水</w:t>
                  </w:r>
                </w:p>
              </w:tc>
              <w:tc>
                <w:tcPr>
                  <w:tcW w:w="1208" w:type="pct"/>
                  <w:tcBorders>
                    <w:tl2br w:val="nil"/>
                    <w:tr2bl w:val="nil"/>
                  </w:tcBorders>
                  <w:vAlign w:val="center"/>
                </w:tcPr>
                <w:p w14:paraId="4C55B965">
                  <w:pPr>
                    <w:pStyle w:val="129"/>
                    <w:spacing w:line="360" w:lineRule="exact"/>
                    <w:rPr>
                      <w:rFonts w:hint="eastAsia" w:ascii="Times New Roman" w:hAnsi="Times New Roman" w:eastAsia="宋体" w:cs="Times New Roman"/>
                      <w:szCs w:val="21"/>
                    </w:rPr>
                  </w:pPr>
                  <w:r>
                    <w:rPr>
                      <w:rFonts w:ascii="Times New Roman" w:hAnsi="Times New Roman" w:eastAsia="宋体" w:cs="Times New Roman"/>
                      <w:szCs w:val="21"/>
                    </w:rPr>
                    <w:t>m</w:t>
                  </w:r>
                  <w:r>
                    <w:rPr>
                      <w:rFonts w:ascii="Times New Roman" w:hAnsi="Times New Roman" w:eastAsia="宋体" w:cs="Times New Roman"/>
                      <w:szCs w:val="21"/>
                      <w:vertAlign w:val="superscript"/>
                    </w:rPr>
                    <w:t>3</w:t>
                  </w:r>
                  <w:r>
                    <w:rPr>
                      <w:rFonts w:ascii="Times New Roman" w:hAnsi="Times New Roman" w:eastAsia="宋体" w:cs="Times New Roman"/>
                      <w:szCs w:val="21"/>
                    </w:rPr>
                    <w:t>/a</w:t>
                  </w:r>
                </w:p>
              </w:tc>
              <w:tc>
                <w:tcPr>
                  <w:tcW w:w="555" w:type="pct"/>
                  <w:tcBorders>
                    <w:tl2br w:val="nil"/>
                    <w:tr2bl w:val="nil"/>
                  </w:tcBorders>
                  <w:vAlign w:val="center"/>
                </w:tcPr>
                <w:p w14:paraId="490CDAA3">
                  <w:pPr>
                    <w:pStyle w:val="129"/>
                    <w:spacing w:line="360" w:lineRule="exact"/>
                    <w:rPr>
                      <w:rFonts w:hint="eastAsia" w:ascii="Times New Roman" w:hAnsi="Times New Roman" w:eastAsia="宋体" w:cs="Times New Roman"/>
                      <w:szCs w:val="21"/>
                    </w:rPr>
                  </w:pPr>
                  <w:r>
                    <w:rPr>
                      <w:rFonts w:hint="eastAsia" w:ascii="Times New Roman" w:hAnsi="Times New Roman" w:eastAsia="宋体" w:cs="Times New Roman"/>
                      <w:szCs w:val="21"/>
                    </w:rPr>
                    <w:t>2250</w:t>
                  </w:r>
                </w:p>
              </w:tc>
              <w:tc>
                <w:tcPr>
                  <w:tcW w:w="1198" w:type="pct"/>
                  <w:gridSpan w:val="2"/>
                  <w:tcBorders>
                    <w:tl2br w:val="nil"/>
                    <w:tr2bl w:val="nil"/>
                  </w:tcBorders>
                  <w:vAlign w:val="center"/>
                </w:tcPr>
                <w:p w14:paraId="097A523B">
                  <w:pPr>
                    <w:pStyle w:val="129"/>
                    <w:spacing w:line="360" w:lineRule="exact"/>
                    <w:rPr>
                      <w:rFonts w:ascii="Times New Roman" w:hAnsi="Times New Roman" w:eastAsia="宋体" w:cs="Times New Roman"/>
                      <w:szCs w:val="21"/>
                    </w:rPr>
                  </w:pPr>
                  <w:r>
                    <w:rPr>
                      <w:rFonts w:hint="eastAsia" w:ascii="Times New Roman" w:hAnsi="Times New Roman" w:eastAsia="宋体" w:cs="Times New Roman"/>
                      <w:szCs w:val="21"/>
                    </w:rPr>
                    <w:t>北票市</w:t>
                  </w:r>
                  <w:r>
                    <w:rPr>
                      <w:rFonts w:ascii="Times New Roman" w:hAnsi="Times New Roman" w:eastAsia="宋体" w:cs="Times New Roman"/>
                      <w:szCs w:val="21"/>
                    </w:rPr>
                    <w:t>供水管网</w:t>
                  </w:r>
                </w:p>
              </w:tc>
            </w:tr>
            <w:tr w14:paraId="02176F52">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PrEx>
              <w:trPr>
                <w:trHeight w:val="23" w:hRule="atLeast"/>
                <w:jc w:val="center"/>
              </w:trPr>
              <w:tc>
                <w:tcPr>
                  <w:tcW w:w="485" w:type="pct"/>
                  <w:tcBorders>
                    <w:tl2br w:val="nil"/>
                    <w:tr2bl w:val="nil"/>
                  </w:tcBorders>
                  <w:vAlign w:val="center"/>
                </w:tcPr>
                <w:p w14:paraId="10E40257">
                  <w:pPr>
                    <w:pStyle w:val="129"/>
                    <w:spacing w:line="360" w:lineRule="exact"/>
                    <w:rPr>
                      <w:rFonts w:ascii="Times New Roman" w:hAnsi="Times New Roman" w:eastAsia="宋体" w:cs="Times New Roman"/>
                      <w:szCs w:val="21"/>
                    </w:rPr>
                  </w:pPr>
                  <w:r>
                    <w:rPr>
                      <w:rFonts w:hint="eastAsia" w:ascii="Times New Roman" w:hAnsi="Times New Roman" w:eastAsia="宋体" w:cs="Times New Roman"/>
                      <w:szCs w:val="21"/>
                    </w:rPr>
                    <w:t>7</w:t>
                  </w:r>
                </w:p>
              </w:tc>
              <w:tc>
                <w:tcPr>
                  <w:tcW w:w="1552" w:type="pct"/>
                  <w:gridSpan w:val="3"/>
                  <w:tcBorders>
                    <w:tl2br w:val="nil"/>
                    <w:tr2bl w:val="nil"/>
                  </w:tcBorders>
                  <w:vAlign w:val="center"/>
                </w:tcPr>
                <w:p w14:paraId="659BF5EB">
                  <w:pPr>
                    <w:pStyle w:val="129"/>
                    <w:spacing w:line="360" w:lineRule="exact"/>
                    <w:rPr>
                      <w:rFonts w:ascii="Times New Roman" w:hAnsi="Times New Roman" w:eastAsia="宋体" w:cs="Times New Roman"/>
                      <w:szCs w:val="21"/>
                    </w:rPr>
                  </w:pPr>
                  <w:r>
                    <w:rPr>
                      <w:rFonts w:ascii="Times New Roman" w:hAnsi="Times New Roman" w:eastAsia="宋体" w:cs="Times New Roman"/>
                      <w:szCs w:val="21"/>
                    </w:rPr>
                    <w:t>电</w:t>
                  </w:r>
                </w:p>
              </w:tc>
              <w:tc>
                <w:tcPr>
                  <w:tcW w:w="1208" w:type="pct"/>
                  <w:tcBorders>
                    <w:tl2br w:val="nil"/>
                    <w:tr2bl w:val="nil"/>
                  </w:tcBorders>
                  <w:vAlign w:val="center"/>
                </w:tcPr>
                <w:p w14:paraId="4F947775">
                  <w:pPr>
                    <w:pStyle w:val="129"/>
                    <w:spacing w:line="360" w:lineRule="exact"/>
                    <w:rPr>
                      <w:rFonts w:ascii="Times New Roman" w:hAnsi="Times New Roman" w:eastAsia="宋体" w:cs="Times New Roman"/>
                      <w:szCs w:val="21"/>
                    </w:rPr>
                  </w:pPr>
                  <w:r>
                    <w:rPr>
                      <w:rFonts w:ascii="Times New Roman" w:hAnsi="Times New Roman" w:eastAsia="宋体" w:cs="Times New Roman"/>
                      <w:szCs w:val="21"/>
                    </w:rPr>
                    <w:t>万</w:t>
                  </w:r>
                  <w:r>
                    <w:rPr>
                      <w:rFonts w:ascii="Times New Roman" w:hAnsi="Times New Roman" w:eastAsia="宋体" w:cs="Times New Roman"/>
                      <w:szCs w:val="21"/>
                      <w:lang w:val="en-GB"/>
                    </w:rPr>
                    <w:t>Wh</w:t>
                  </w:r>
                  <w:r>
                    <w:rPr>
                      <w:rFonts w:ascii="Times New Roman" w:hAnsi="Times New Roman" w:eastAsia="宋体" w:cs="Times New Roman"/>
                      <w:szCs w:val="21"/>
                    </w:rPr>
                    <w:t>/a</w:t>
                  </w:r>
                </w:p>
              </w:tc>
              <w:tc>
                <w:tcPr>
                  <w:tcW w:w="555" w:type="pct"/>
                  <w:tcBorders>
                    <w:tl2br w:val="nil"/>
                    <w:tr2bl w:val="nil"/>
                  </w:tcBorders>
                  <w:vAlign w:val="center"/>
                </w:tcPr>
                <w:p w14:paraId="1F227FD1">
                  <w:pPr>
                    <w:pStyle w:val="129"/>
                    <w:spacing w:line="360" w:lineRule="exact"/>
                    <w:rPr>
                      <w:rFonts w:ascii="Times New Roman" w:hAnsi="Times New Roman" w:eastAsia="宋体" w:cs="Times New Roman"/>
                      <w:szCs w:val="21"/>
                    </w:rPr>
                  </w:pPr>
                  <w:r>
                    <w:rPr>
                      <w:rFonts w:ascii="Times New Roman" w:hAnsi="Times New Roman" w:eastAsia="宋体" w:cs="Times New Roman"/>
                      <w:szCs w:val="21"/>
                    </w:rPr>
                    <w:t>100</w:t>
                  </w:r>
                </w:p>
              </w:tc>
              <w:tc>
                <w:tcPr>
                  <w:tcW w:w="1198" w:type="pct"/>
                  <w:gridSpan w:val="2"/>
                  <w:tcBorders>
                    <w:tl2br w:val="nil"/>
                    <w:tr2bl w:val="nil"/>
                  </w:tcBorders>
                  <w:vAlign w:val="center"/>
                </w:tcPr>
                <w:p w14:paraId="0EF3623D">
                  <w:pPr>
                    <w:pStyle w:val="129"/>
                    <w:spacing w:line="360" w:lineRule="exact"/>
                    <w:rPr>
                      <w:rFonts w:ascii="Times New Roman" w:hAnsi="Times New Roman" w:eastAsia="宋体" w:cs="Times New Roman"/>
                      <w:szCs w:val="21"/>
                    </w:rPr>
                  </w:pPr>
                  <w:r>
                    <w:rPr>
                      <w:rFonts w:hint="eastAsia" w:ascii="Times New Roman" w:hAnsi="Times New Roman" w:eastAsia="宋体" w:cs="Times New Roman"/>
                      <w:szCs w:val="21"/>
                    </w:rPr>
                    <w:t>北票市</w:t>
                  </w:r>
                  <w:r>
                    <w:rPr>
                      <w:rFonts w:ascii="Times New Roman" w:hAnsi="Times New Roman" w:eastAsia="宋体" w:cs="Times New Roman"/>
                      <w:szCs w:val="21"/>
                    </w:rPr>
                    <w:t>供电电网</w:t>
                  </w:r>
                </w:p>
              </w:tc>
            </w:tr>
          </w:tbl>
          <w:p w14:paraId="0389AF0B">
            <w:pPr>
              <w:pStyle w:val="131"/>
              <w:spacing w:line="360" w:lineRule="auto"/>
              <w:ind w:firstLine="480" w:firstLineChars="200"/>
              <w:jc w:val="left"/>
              <w:rPr>
                <w:rFonts w:hint="eastAsia" w:ascii="Times New Roman" w:hAnsi="Times New Roman" w:eastAsia="宋体" w:cs="Times New Roman"/>
                <w:color w:val="FF0000"/>
                <w:kern w:val="2"/>
                <w:sz w:val="24"/>
                <w:szCs w:val="24"/>
                <w:lang w:val="zh-TW" w:eastAsia="zh-CN" w:bidi="zh-TW"/>
              </w:rPr>
            </w:pPr>
            <w:r>
              <w:rPr>
                <w:rFonts w:ascii="Times New Roman" w:hAnsi="Times New Roman" w:eastAsia="宋体" w:cs="Times New Roman"/>
                <w:color w:val="FF0000"/>
                <w:kern w:val="2"/>
                <w:sz w:val="24"/>
                <w:szCs w:val="24"/>
                <w:lang w:val="zh-TW" w:eastAsia="zh-TW" w:bidi="zh-TW"/>
              </w:rPr>
              <w:t>报废机动车来源及控制</w:t>
            </w:r>
            <w:r>
              <w:rPr>
                <w:rFonts w:hint="eastAsia" w:ascii="Times New Roman" w:hAnsi="Times New Roman" w:eastAsia="宋体" w:cs="Times New Roman"/>
                <w:color w:val="FF0000"/>
                <w:kern w:val="2"/>
                <w:sz w:val="24"/>
                <w:szCs w:val="24"/>
                <w:lang w:val="zh-TW" w:eastAsia="zh-CN" w:bidi="zh-TW"/>
              </w:rPr>
              <w:t>：</w:t>
            </w:r>
          </w:p>
          <w:p w14:paraId="17741AC4">
            <w:pPr>
              <w:pStyle w:val="127"/>
              <w:spacing w:line="360" w:lineRule="auto"/>
              <w:ind w:firstLine="480" w:firstLineChars="200"/>
              <w:rPr>
                <w:rFonts w:ascii="Times New Roman" w:hAnsi="Times New Roman" w:cs="Times New Roman"/>
                <w:color w:val="FF0000"/>
                <w:sz w:val="24"/>
                <w:szCs w:val="24"/>
              </w:rPr>
            </w:pPr>
            <w:r>
              <w:rPr>
                <w:rFonts w:ascii="Times New Roman" w:hAnsi="Times New Roman" w:eastAsia="宋体" w:cs="Times New Roman"/>
                <w:color w:val="FF0000"/>
                <w:kern w:val="2"/>
                <w:sz w:val="24"/>
                <w:szCs w:val="24"/>
                <w:lang w:val="zh-TW" w:eastAsia="zh-TW" w:bidi="zh-TW"/>
              </w:rPr>
              <w:t>报废机动车均从</w:t>
            </w:r>
            <w:r>
              <w:rPr>
                <w:rFonts w:hint="eastAsia" w:ascii="Times New Roman" w:hAnsi="Times New Roman" w:eastAsia="宋体" w:cs="Times New Roman"/>
                <w:color w:val="FF0000"/>
                <w:kern w:val="2"/>
                <w:sz w:val="24"/>
                <w:szCs w:val="24"/>
                <w:lang w:val="en-US" w:eastAsia="zh-CN" w:bidi="zh-TW"/>
              </w:rPr>
              <w:t>北票市</w:t>
            </w:r>
            <w:r>
              <w:rPr>
                <w:rFonts w:ascii="Times New Roman" w:hAnsi="Times New Roman" w:eastAsia="宋体" w:cs="Times New Roman"/>
                <w:color w:val="FF0000"/>
                <w:kern w:val="2"/>
                <w:sz w:val="24"/>
                <w:szCs w:val="24"/>
                <w:lang w:val="zh-TW" w:eastAsia="zh-TW" w:bidi="zh-TW"/>
              </w:rPr>
              <w:t>及周边</w:t>
            </w:r>
            <w:r>
              <w:rPr>
                <w:rFonts w:ascii="Times New Roman" w:hAnsi="Times New Roman" w:cs="Times New Roman"/>
                <w:color w:val="FF0000"/>
                <w:sz w:val="24"/>
                <w:szCs w:val="24"/>
              </w:rPr>
              <w:t>地区回收，主要来自报废机动车有单位或者个人。报废机动车是指达到国家机动车强制报废标准，或者经检验不符合国家机动车运行安全技术条件或者国家机动车污染物放标准的机动车。根据企业提供的资料，本项目设计年拆解</w:t>
            </w:r>
            <w:r>
              <w:rPr>
                <w:rFonts w:ascii="Times New Roman" w:hAnsi="Times New Roman" w:cs="Times New Roman"/>
                <w:color w:val="FF0000"/>
                <w:sz w:val="24"/>
                <w:szCs w:val="24"/>
                <w:lang w:val="en-US" w:eastAsia="zh-CN"/>
              </w:rPr>
              <w:t>15</w:t>
            </w:r>
            <w:r>
              <w:rPr>
                <w:rFonts w:ascii="Times New Roman" w:hAnsi="Times New Roman" w:cs="Times New Roman"/>
                <w:color w:val="FF0000"/>
                <w:sz w:val="24"/>
                <w:szCs w:val="24"/>
              </w:rPr>
              <w:t>000辆报废机动车。报废机动车拥有单位或者个人应当及时间公安机关办理机动车报废手续。公安机关应当于受理当日，向报废机动车拥有单位或者个人出具《机动车报废证明》，并告知其将报废机动车交售给报废机动车回收企业报废机动车拥有单位或者个人及时将报废机动车交售给报机动车回收企业。报废机动车回收企业凭《机动车报废证明》收购报废机动车，并向报废机动车拥有单位或者个人出具《报废机动车回收证明》。报废机动车拥有单位或者个人凭《报废机动车回收证明》，向汽车注册登记地的公安机关办理注销登记。</w:t>
            </w:r>
          </w:p>
          <w:p w14:paraId="444EBD3E">
            <w:pPr>
              <w:spacing w:line="360" w:lineRule="auto"/>
              <w:ind w:firstLine="480" w:firstLineChars="200"/>
              <w:rPr>
                <w:color w:val="FF0000"/>
                <w:sz w:val="24"/>
              </w:rPr>
            </w:pPr>
            <w:r>
              <w:rPr>
                <w:color w:val="FF0000"/>
                <w:sz w:val="24"/>
              </w:rPr>
              <w:t>报废机动车回收企业对回收的报废机动车应当逐车登记，发现回收的报废机动车有盗窃、抢劫或者其他犯罪嫌疑的，应当及时向公安机关报告。</w:t>
            </w:r>
          </w:p>
          <w:p w14:paraId="78C8D82D">
            <w:pPr>
              <w:tabs>
                <w:tab w:val="left" w:pos="1668"/>
              </w:tabs>
              <w:adjustRightInd w:val="0"/>
              <w:snapToGrid w:val="0"/>
              <w:spacing w:line="360" w:lineRule="auto"/>
              <w:jc w:val="left"/>
              <w:rPr>
                <w:b/>
                <w:color w:val="000000" w:themeColor="text1"/>
                <w:sz w:val="24"/>
                <w14:textFill>
                  <w14:solidFill>
                    <w14:schemeClr w14:val="tx1"/>
                  </w14:solidFill>
                </w14:textFill>
              </w:rPr>
            </w:pPr>
            <w:r>
              <w:rPr>
                <w:rFonts w:hint="eastAsia"/>
                <w:b/>
                <w:color w:val="000000" w:themeColor="text1"/>
                <w:sz w:val="24"/>
                <w14:textFill>
                  <w14:solidFill>
                    <w14:schemeClr w14:val="tx1"/>
                  </w14:solidFill>
                </w14:textFill>
              </w:rPr>
              <w:t>6.劳动定员及工作制度</w:t>
            </w:r>
          </w:p>
          <w:p w14:paraId="6C5A5CFB">
            <w:pPr>
              <w:pStyle w:val="84"/>
              <w:spacing w:line="360" w:lineRule="auto"/>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项目企业职工定员为 15 人，其中管理及工程技术人员 5 人，生产人员10 人。采用昼间 8 小时一班工作制，全年运营 300 天。</w:t>
            </w:r>
          </w:p>
          <w:p w14:paraId="3D804813">
            <w:pPr>
              <w:tabs>
                <w:tab w:val="left" w:pos="1668"/>
              </w:tabs>
              <w:adjustRightInd w:val="0"/>
              <w:snapToGrid w:val="0"/>
              <w:spacing w:line="360" w:lineRule="auto"/>
              <w:jc w:val="left"/>
              <w:rPr>
                <w:b/>
                <w:color w:val="000000" w:themeColor="text1"/>
                <w:sz w:val="24"/>
                <w14:textFill>
                  <w14:solidFill>
                    <w14:schemeClr w14:val="tx1"/>
                  </w14:solidFill>
                </w14:textFill>
              </w:rPr>
            </w:pPr>
            <w:r>
              <w:rPr>
                <w:rFonts w:hint="eastAsia"/>
                <w:b/>
                <w:color w:val="000000" w:themeColor="text1"/>
                <w:sz w:val="24"/>
                <w14:textFill>
                  <w14:solidFill>
                    <w14:schemeClr w14:val="tx1"/>
                  </w14:solidFill>
                </w14:textFill>
              </w:rPr>
              <w:t>7.公用工程</w:t>
            </w:r>
          </w:p>
          <w:p w14:paraId="3C13CE54">
            <w:pPr>
              <w:pStyle w:val="84"/>
              <w:spacing w:line="360" w:lineRule="auto"/>
              <w:ind w:firstLine="480"/>
              <w:rPr>
                <w:color w:val="000000" w:themeColor="text1"/>
                <w14:textFill>
                  <w14:solidFill>
                    <w14:schemeClr w14:val="tx1"/>
                  </w14:solidFill>
                </w14:textFill>
              </w:rPr>
            </w:pPr>
            <w:r>
              <w:rPr>
                <w:color w:val="000000" w:themeColor="text1"/>
                <w14:textFill>
                  <w14:solidFill>
                    <w14:schemeClr w14:val="tx1"/>
                  </w14:solidFill>
                </w14:textFill>
              </w:rPr>
              <w:t>（1）给、排水</w:t>
            </w:r>
          </w:p>
          <w:p w14:paraId="020521FB">
            <w:pPr>
              <w:pStyle w:val="84"/>
              <w:spacing w:line="360" w:lineRule="auto"/>
              <w:ind w:firstLine="480"/>
              <w:rPr>
                <w:color w:val="000000" w:themeColor="text1"/>
                <w14:textFill>
                  <w14:solidFill>
                    <w14:schemeClr w14:val="tx1"/>
                  </w14:solidFill>
                </w14:textFill>
              </w:rPr>
            </w:pPr>
            <w:r>
              <w:rPr>
                <w:color w:val="000000" w:themeColor="text1"/>
                <w14:textFill>
                  <w14:solidFill>
                    <w14:schemeClr w14:val="tx1"/>
                  </w14:solidFill>
                </w14:textFill>
              </w:rPr>
              <w:t>项目用水来自</w:t>
            </w:r>
            <w:r>
              <w:rPr>
                <w:rFonts w:hint="eastAsia"/>
                <w:color w:val="000000" w:themeColor="text1"/>
                <w14:textFill>
                  <w14:solidFill>
                    <w14:schemeClr w14:val="tx1"/>
                  </w14:solidFill>
                </w14:textFill>
              </w:rPr>
              <w:t>北票市供水管网供给</w:t>
            </w:r>
            <w:r>
              <w:rPr>
                <w:color w:val="000000" w:themeColor="text1"/>
                <w14:textFill>
                  <w14:solidFill>
                    <w14:schemeClr w14:val="tx1"/>
                  </w14:solidFill>
                </w14:textFill>
              </w:rPr>
              <w:t>，用水量</w:t>
            </w:r>
            <w:r>
              <w:rPr>
                <w:rFonts w:hint="eastAsia"/>
                <w:color w:val="000000" w:themeColor="text1"/>
                <w14:textFill>
                  <w14:solidFill>
                    <w14:schemeClr w14:val="tx1"/>
                  </w14:solidFill>
                </w14:textFill>
              </w:rPr>
              <w:t>为2250</w:t>
            </w:r>
            <w:r>
              <w:rPr>
                <w:color w:val="000000" w:themeColor="text1"/>
                <w14:textFill>
                  <w14:solidFill>
                    <w14:schemeClr w14:val="tx1"/>
                  </w14:solidFill>
                </w14:textFill>
              </w:rPr>
              <w:t>t/</w:t>
            </w:r>
            <w:r>
              <w:rPr>
                <w:rFonts w:hint="eastAsia"/>
                <w:color w:val="000000" w:themeColor="text1"/>
                <w14:textFill>
                  <w14:solidFill>
                    <w14:schemeClr w14:val="tx1"/>
                  </w14:solidFill>
                </w14:textFill>
              </w:rPr>
              <w:t>a；</w:t>
            </w:r>
          </w:p>
          <w:p w14:paraId="3956260C">
            <w:pPr>
              <w:pStyle w:val="84"/>
              <w:spacing w:line="360" w:lineRule="auto"/>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项目排水主要为生活污水、初期雨水及清洗废水，初期雨水及清洗废水进入厂内预污水处理站，预处理达标后，通过管网排入北票市污水处理厂，生活污水经厂区防渗化粪池处理后，通过管网排入北票市污水处理厂。</w:t>
            </w:r>
          </w:p>
          <w:p w14:paraId="05F4D4F0">
            <w:pPr>
              <w:pStyle w:val="84"/>
              <w:spacing w:line="360" w:lineRule="auto"/>
              <w:ind w:firstLine="480"/>
              <w:rPr>
                <w:color w:val="000000" w:themeColor="text1"/>
                <w14:textFill>
                  <w14:solidFill>
                    <w14:schemeClr w14:val="tx1"/>
                  </w14:solidFill>
                </w14:textFill>
              </w:rPr>
            </w:pPr>
            <w:r>
              <w:rPr>
                <w:rFonts w:hint="eastAsia" w:ascii="宋体" w:hAnsi="宋体" w:cs="宋体"/>
                <w:color w:val="000000" w:themeColor="text1"/>
                <w14:textFill>
                  <w14:solidFill>
                    <w14:schemeClr w14:val="tx1"/>
                  </w14:solidFill>
                </w14:textFill>
              </w:rPr>
              <w:t>①</w:t>
            </w:r>
            <w:r>
              <w:rPr>
                <w:color w:val="000000" w:themeColor="text1"/>
                <w14:textFill>
                  <w14:solidFill>
                    <w14:schemeClr w14:val="tx1"/>
                  </w14:solidFill>
                </w14:textFill>
              </w:rPr>
              <w:t>生活用水</w:t>
            </w:r>
          </w:p>
          <w:p w14:paraId="2D5EBE4E">
            <w:pPr>
              <w:pStyle w:val="84"/>
              <w:spacing w:line="360" w:lineRule="auto"/>
              <w:ind w:firstLine="480"/>
              <w:rPr>
                <w:color w:val="000000" w:themeColor="text1"/>
                <w14:textFill>
                  <w14:solidFill>
                    <w14:schemeClr w14:val="tx1"/>
                  </w14:solidFill>
                </w14:textFill>
              </w:rPr>
            </w:pPr>
            <w:r>
              <w:rPr>
                <w:color w:val="000000" w:themeColor="text1"/>
                <w14:textFill>
                  <w14:solidFill>
                    <w14:schemeClr w14:val="tx1"/>
                  </w14:solidFill>
                </w14:textFill>
              </w:rPr>
              <w:t>本项目职工</w:t>
            </w:r>
            <w:r>
              <w:rPr>
                <w:rFonts w:hint="eastAsia"/>
                <w:color w:val="000000" w:themeColor="text1"/>
                <w14:textFill>
                  <w14:solidFill>
                    <w14:schemeClr w14:val="tx1"/>
                  </w14:solidFill>
                </w14:textFill>
              </w:rPr>
              <w:t>15</w:t>
            </w:r>
            <w:r>
              <w:rPr>
                <w:color w:val="000000" w:themeColor="text1"/>
                <w14:textFill>
                  <w14:solidFill>
                    <w14:schemeClr w14:val="tx1"/>
                  </w14:solidFill>
                </w14:textFill>
              </w:rPr>
              <w:t>人，</w:t>
            </w:r>
            <w:r>
              <w:rPr>
                <w:rFonts w:hint="eastAsia"/>
                <w:color w:val="000000" w:themeColor="text1"/>
                <w14:textFill>
                  <w14:solidFill>
                    <w14:schemeClr w14:val="tx1"/>
                  </w14:solidFill>
                </w14:textFill>
              </w:rPr>
              <w:t>不</w:t>
            </w:r>
            <w:r>
              <w:rPr>
                <w:color w:val="000000" w:themeColor="text1"/>
                <w14:textFill>
                  <w14:solidFill>
                    <w14:schemeClr w14:val="tx1"/>
                  </w14:solidFill>
                </w14:textFill>
              </w:rPr>
              <w:t>提供住宿及食堂。根据《</w:t>
            </w:r>
            <w:r>
              <w:rPr>
                <w:rFonts w:hint="eastAsia"/>
                <w:color w:val="000000" w:themeColor="text1"/>
                <w14:textFill>
                  <w14:solidFill>
                    <w14:schemeClr w14:val="tx1"/>
                  </w14:solidFill>
                </w14:textFill>
              </w:rPr>
              <w:t>辽宁省</w:t>
            </w:r>
            <w:r>
              <w:rPr>
                <w:color w:val="000000" w:themeColor="text1"/>
                <w14:textFill>
                  <w14:solidFill>
                    <w14:schemeClr w14:val="tx1"/>
                  </w14:solidFill>
                </w14:textFill>
              </w:rPr>
              <w:t>行业用水定额》（DB21/T1237-2020），人均用水定额</w:t>
            </w:r>
            <w:r>
              <w:rPr>
                <w:rFonts w:hint="eastAsia"/>
                <w:color w:val="000000" w:themeColor="text1"/>
                <w14:textFill>
                  <w14:solidFill>
                    <w14:schemeClr w14:val="tx1"/>
                  </w14:solidFill>
                </w14:textFill>
              </w:rPr>
              <w:t>6</w:t>
            </w:r>
            <w:r>
              <w:rPr>
                <w:color w:val="000000" w:themeColor="text1"/>
                <w14:textFill>
                  <w14:solidFill>
                    <w14:schemeClr w14:val="tx1"/>
                  </w14:solidFill>
                </w14:textFill>
              </w:rPr>
              <w:t>0L/（人·d），年工作</w:t>
            </w:r>
            <w:r>
              <w:rPr>
                <w:rFonts w:hint="eastAsia"/>
                <w:color w:val="000000" w:themeColor="text1"/>
                <w14:textFill>
                  <w14:solidFill>
                    <w14:schemeClr w14:val="tx1"/>
                  </w14:solidFill>
                </w14:textFill>
              </w:rPr>
              <w:t>300天</w:t>
            </w:r>
            <w:r>
              <w:rPr>
                <w:color w:val="000000" w:themeColor="text1"/>
                <w14:textFill>
                  <w14:solidFill>
                    <w14:schemeClr w14:val="tx1"/>
                  </w14:solidFill>
                </w14:textFill>
              </w:rPr>
              <w:t>，则生活用水量</w:t>
            </w:r>
            <w:r>
              <w:rPr>
                <w:rFonts w:hint="eastAsia"/>
                <w:color w:val="000000" w:themeColor="text1"/>
                <w14:textFill>
                  <w14:solidFill>
                    <w14:schemeClr w14:val="tx1"/>
                  </w14:solidFill>
                </w14:textFill>
              </w:rPr>
              <w:t>270</w:t>
            </w:r>
            <w:r>
              <w:rPr>
                <w:color w:val="000000" w:themeColor="text1"/>
                <w14:textFill>
                  <w14:solidFill>
                    <w14:schemeClr w14:val="tx1"/>
                  </w14:solidFill>
                </w14:textFill>
              </w:rPr>
              <w:t>t/</w:t>
            </w:r>
            <w:r>
              <w:rPr>
                <w:rFonts w:hint="eastAsia"/>
                <w:color w:val="000000" w:themeColor="text1"/>
                <w14:textFill>
                  <w14:solidFill>
                    <w14:schemeClr w14:val="tx1"/>
                  </w14:solidFill>
                </w14:textFill>
              </w:rPr>
              <w:t>a</w:t>
            </w:r>
            <w:r>
              <w:rPr>
                <w:color w:val="000000" w:themeColor="text1"/>
                <w14:textFill>
                  <w14:solidFill>
                    <w14:schemeClr w14:val="tx1"/>
                  </w14:solidFill>
                </w14:textFill>
              </w:rPr>
              <w:t>。生活污水产生量按用水量的80%计，则污水产生量</w:t>
            </w:r>
            <w:r>
              <w:rPr>
                <w:rFonts w:hint="eastAsia"/>
                <w:color w:val="000000" w:themeColor="text1"/>
                <w14:textFill>
                  <w14:solidFill>
                    <w14:schemeClr w14:val="tx1"/>
                  </w14:solidFill>
                </w14:textFill>
              </w:rPr>
              <w:t>216</w:t>
            </w:r>
            <w:r>
              <w:rPr>
                <w:color w:val="000000" w:themeColor="text1"/>
                <w14:textFill>
                  <w14:solidFill>
                    <w14:schemeClr w14:val="tx1"/>
                  </w14:solidFill>
                </w14:textFill>
              </w:rPr>
              <w:t>t/</w:t>
            </w:r>
            <w:r>
              <w:rPr>
                <w:rFonts w:hint="eastAsia"/>
                <w:color w:val="000000" w:themeColor="text1"/>
                <w14:textFill>
                  <w14:solidFill>
                    <w14:schemeClr w14:val="tx1"/>
                  </w14:solidFill>
                </w14:textFill>
              </w:rPr>
              <w:t>a，损耗量为54</w:t>
            </w:r>
            <w:r>
              <w:rPr>
                <w:color w:val="000000" w:themeColor="text1"/>
                <w14:textFill>
                  <w14:solidFill>
                    <w14:schemeClr w14:val="tx1"/>
                  </w14:solidFill>
                </w14:textFill>
              </w:rPr>
              <w:t>t/</w:t>
            </w:r>
            <w:r>
              <w:rPr>
                <w:rFonts w:hint="eastAsia"/>
                <w:color w:val="000000" w:themeColor="text1"/>
                <w14:textFill>
                  <w14:solidFill>
                    <w14:schemeClr w14:val="tx1"/>
                  </w14:solidFill>
                </w14:textFill>
              </w:rPr>
              <w:t>a</w:t>
            </w:r>
            <w:r>
              <w:rPr>
                <w:color w:val="000000" w:themeColor="text1"/>
                <w14:textFill>
                  <w14:solidFill>
                    <w14:schemeClr w14:val="tx1"/>
                  </w14:solidFill>
                </w14:textFill>
              </w:rPr>
              <w:t>。</w:t>
            </w:r>
          </w:p>
          <w:p w14:paraId="78FA06D6">
            <w:pPr>
              <w:spacing w:line="360" w:lineRule="auto"/>
              <w:ind w:firstLine="480" w:firstLineChars="200"/>
              <w:rPr>
                <w:color w:val="000000"/>
                <w:sz w:val="24"/>
                <w:szCs w:val="32"/>
              </w:rPr>
            </w:pPr>
            <w:r>
              <w:rPr>
                <w:rFonts w:hint="eastAsia"/>
                <w:color w:val="000000"/>
                <w:sz w:val="24"/>
                <w:szCs w:val="32"/>
              </w:rPr>
              <w:t>②</w:t>
            </w:r>
            <w:r>
              <w:rPr>
                <w:color w:val="000000"/>
                <w:sz w:val="24"/>
                <w:szCs w:val="32"/>
              </w:rPr>
              <w:t>汽车发动机清洗用水</w:t>
            </w:r>
          </w:p>
          <w:p w14:paraId="211C5EE2">
            <w:pPr>
              <w:spacing w:line="360" w:lineRule="auto"/>
              <w:ind w:firstLine="480" w:firstLineChars="200"/>
              <w:rPr>
                <w:color w:val="000000"/>
                <w:sz w:val="24"/>
                <w:szCs w:val="32"/>
              </w:rPr>
            </w:pPr>
            <w:r>
              <w:rPr>
                <w:color w:val="000000"/>
                <w:sz w:val="24"/>
                <w:szCs w:val="32"/>
              </w:rPr>
              <w:t>报废机动车发动机在贮存拆解后需对发动机进行全面冲洗，去掉发动机内部油污，冲洗使用高压水枪，不添加任何洗涤剂。</w:t>
            </w:r>
            <w:r>
              <w:rPr>
                <w:color w:val="FF0000"/>
                <w:sz w:val="24"/>
                <w:szCs w:val="32"/>
              </w:rPr>
              <w:t>发动机清洗用水量参考《建筑给水排水设计规范</w:t>
            </w:r>
            <w:r>
              <w:rPr>
                <w:rFonts w:hint="eastAsia"/>
                <w:color w:val="FF0000"/>
                <w:sz w:val="24"/>
                <w:szCs w:val="32"/>
                <w:lang w:eastAsia="zh-CN"/>
              </w:rPr>
              <w:t>》（</w:t>
            </w:r>
            <w:r>
              <w:rPr>
                <w:color w:val="FF0000"/>
                <w:sz w:val="24"/>
                <w:szCs w:val="32"/>
              </w:rPr>
              <w:t>MGB/T50015-2003）中高压水枪冲洗水用定额：40~60L/辆•次计算</w:t>
            </w:r>
            <w:r>
              <w:rPr>
                <w:color w:val="000000"/>
                <w:sz w:val="24"/>
                <w:szCs w:val="32"/>
              </w:rPr>
              <w:t>，本项目清洗用水按60L/辆•次计，则项目机动车发动机清洗用水量为900</w:t>
            </w:r>
            <w:r>
              <w:rPr>
                <w:rFonts w:hint="eastAsia"/>
                <w:color w:val="000000"/>
                <w:sz w:val="24"/>
                <w:szCs w:val="32"/>
              </w:rPr>
              <w:t>t</w:t>
            </w:r>
            <w:r>
              <w:rPr>
                <w:color w:val="000000"/>
                <w:sz w:val="24"/>
                <w:szCs w:val="32"/>
              </w:rPr>
              <w:t>/a。</w:t>
            </w:r>
            <w:r>
              <w:rPr>
                <w:color w:val="000000"/>
                <w:sz w:val="24"/>
              </w:rPr>
              <w:t>本项目清洗废水产生系数取</w:t>
            </w:r>
            <w:r>
              <w:rPr>
                <w:color w:val="000000"/>
                <w:sz w:val="24"/>
                <w:lang w:bidi="en-US"/>
              </w:rPr>
              <w:t>0.9，</w:t>
            </w:r>
            <w:r>
              <w:rPr>
                <w:color w:val="000000"/>
                <w:sz w:val="24"/>
              </w:rPr>
              <w:t>则</w:t>
            </w:r>
            <w:r>
              <w:rPr>
                <w:color w:val="000000"/>
                <w:sz w:val="24"/>
                <w:szCs w:val="32"/>
              </w:rPr>
              <w:t>汽车发动机清洗用水</w:t>
            </w:r>
            <w:r>
              <w:rPr>
                <w:color w:val="000000"/>
                <w:sz w:val="24"/>
              </w:rPr>
              <w:t>产生</w:t>
            </w:r>
            <w:r>
              <w:rPr>
                <w:rFonts w:hint="eastAsia"/>
                <w:color w:val="000000"/>
                <w:sz w:val="24"/>
              </w:rPr>
              <w:t>量为810</w:t>
            </w:r>
            <w:r>
              <w:rPr>
                <w:rFonts w:hint="eastAsia"/>
                <w:color w:val="000000"/>
                <w:sz w:val="24"/>
                <w:szCs w:val="32"/>
              </w:rPr>
              <w:t>t</w:t>
            </w:r>
            <w:r>
              <w:rPr>
                <w:color w:val="000000"/>
                <w:sz w:val="24"/>
                <w:szCs w:val="32"/>
              </w:rPr>
              <w:t>/a</w:t>
            </w:r>
            <w:r>
              <w:rPr>
                <w:rFonts w:hint="eastAsia"/>
                <w:color w:val="000000"/>
                <w:sz w:val="24"/>
                <w:szCs w:val="32"/>
              </w:rPr>
              <w:t>，自然蒸发量为90t</w:t>
            </w:r>
            <w:r>
              <w:rPr>
                <w:color w:val="000000"/>
                <w:sz w:val="24"/>
                <w:szCs w:val="32"/>
              </w:rPr>
              <w:t>/a</w:t>
            </w:r>
            <w:r>
              <w:rPr>
                <w:rFonts w:hint="eastAsia"/>
                <w:color w:val="000000"/>
                <w:sz w:val="24"/>
                <w:szCs w:val="32"/>
              </w:rPr>
              <w:t>。</w:t>
            </w:r>
          </w:p>
          <w:p w14:paraId="497FB12D">
            <w:pPr>
              <w:spacing w:line="360" w:lineRule="auto"/>
              <w:ind w:firstLine="480" w:firstLineChars="200"/>
              <w:rPr>
                <w:color w:val="000000"/>
                <w:sz w:val="24"/>
                <w:szCs w:val="32"/>
              </w:rPr>
            </w:pPr>
            <w:bookmarkStart w:id="6" w:name="bookmark410"/>
            <w:bookmarkEnd w:id="6"/>
            <w:r>
              <w:rPr>
                <w:rFonts w:hint="eastAsia"/>
                <w:color w:val="000000"/>
                <w:sz w:val="24"/>
                <w:szCs w:val="32"/>
              </w:rPr>
              <w:t>③</w:t>
            </w:r>
            <w:r>
              <w:rPr>
                <w:color w:val="000000"/>
                <w:sz w:val="24"/>
                <w:szCs w:val="32"/>
              </w:rPr>
              <w:t>地面冲洗用水</w:t>
            </w:r>
          </w:p>
          <w:p w14:paraId="67820BD5">
            <w:pPr>
              <w:spacing w:line="360" w:lineRule="auto"/>
              <w:ind w:firstLine="480" w:firstLineChars="200"/>
              <w:rPr>
                <w:color w:val="000000"/>
                <w:sz w:val="24"/>
                <w:szCs w:val="32"/>
              </w:rPr>
            </w:pPr>
            <w:r>
              <w:rPr>
                <w:color w:val="000000"/>
                <w:sz w:val="24"/>
                <w:szCs w:val="32"/>
              </w:rPr>
              <w:t>项目作业区（包括拆解车间</w:t>
            </w:r>
            <w:r>
              <w:rPr>
                <w:rFonts w:hint="eastAsia"/>
                <w:color w:val="000000"/>
                <w:sz w:val="24"/>
                <w:szCs w:val="32"/>
                <w:lang w:val="en-US" w:eastAsia="zh-CN"/>
              </w:rPr>
              <w:t>4000</w:t>
            </w:r>
            <w:r>
              <w:rPr>
                <w:rFonts w:hint="eastAsia"/>
                <w:color w:val="000000"/>
                <w:sz w:val="24"/>
                <w:szCs w:val="32"/>
              </w:rPr>
              <w:t>m</w:t>
            </w:r>
            <w:r>
              <w:rPr>
                <w:color w:val="000000"/>
                <w:sz w:val="24"/>
                <w:szCs w:val="32"/>
                <w:vertAlign w:val="superscript"/>
              </w:rPr>
              <w:t>2</w:t>
            </w:r>
            <w:r>
              <w:rPr>
                <w:color w:val="000000"/>
                <w:sz w:val="24"/>
                <w:szCs w:val="32"/>
              </w:rPr>
              <w:t>和</w:t>
            </w:r>
            <w:r>
              <w:rPr>
                <w:rFonts w:hint="eastAsia"/>
                <w:color w:val="000000"/>
                <w:sz w:val="24"/>
                <w:szCs w:val="32"/>
                <w:lang w:val="en-US" w:eastAsia="zh-CN"/>
              </w:rPr>
              <w:t>燃油汽车</w:t>
            </w:r>
            <w:r>
              <w:rPr>
                <w:color w:val="000000"/>
                <w:sz w:val="24"/>
                <w:szCs w:val="32"/>
              </w:rPr>
              <w:t>贮存场所</w:t>
            </w:r>
            <w:r>
              <w:rPr>
                <w:rFonts w:hint="eastAsia"/>
                <w:color w:val="000000"/>
                <w:sz w:val="24"/>
                <w:szCs w:val="32"/>
                <w:lang w:val="en-US" w:eastAsia="zh-CN"/>
              </w:rPr>
              <w:t>5000</w:t>
            </w:r>
            <w:r>
              <w:rPr>
                <w:rFonts w:hint="eastAsia"/>
                <w:color w:val="000000"/>
                <w:sz w:val="24"/>
                <w:szCs w:val="32"/>
              </w:rPr>
              <w:t>m</w:t>
            </w:r>
            <w:r>
              <w:rPr>
                <w:color w:val="000000"/>
                <w:sz w:val="24"/>
                <w:szCs w:val="32"/>
                <w:vertAlign w:val="superscript"/>
              </w:rPr>
              <w:t>2</w:t>
            </w:r>
            <w:r>
              <w:rPr>
                <w:color w:val="000000"/>
                <w:sz w:val="24"/>
                <w:szCs w:val="32"/>
              </w:rPr>
              <w:t>等）存在少量油污及其他污物泄漏在地面，为保持车间清洁，需定期清洗。按每</w:t>
            </w:r>
            <w:r>
              <w:rPr>
                <w:rFonts w:hint="eastAsia"/>
                <w:color w:val="000000"/>
                <w:sz w:val="24"/>
                <w:szCs w:val="32"/>
              </w:rPr>
              <w:t>7天</w:t>
            </w:r>
            <w:r>
              <w:rPr>
                <w:color w:val="000000"/>
                <w:sz w:val="24"/>
                <w:szCs w:val="32"/>
              </w:rPr>
              <w:t>对车间清洗</w:t>
            </w:r>
            <w:r>
              <w:rPr>
                <w:rFonts w:hint="eastAsia"/>
                <w:color w:val="000000"/>
                <w:sz w:val="24"/>
                <w:szCs w:val="32"/>
              </w:rPr>
              <w:t>1次</w:t>
            </w:r>
            <w:r>
              <w:rPr>
                <w:color w:val="000000"/>
                <w:sz w:val="24"/>
                <w:szCs w:val="32"/>
              </w:rPr>
              <w:t>，</w:t>
            </w:r>
            <w:r>
              <w:rPr>
                <w:rFonts w:hint="eastAsia"/>
                <w:color w:val="000000"/>
                <w:sz w:val="24"/>
                <w:szCs w:val="32"/>
              </w:rPr>
              <w:t>全年除冬季外共清洗40次，</w:t>
            </w:r>
            <w:r>
              <w:rPr>
                <w:color w:val="000000"/>
                <w:sz w:val="24"/>
                <w:szCs w:val="32"/>
              </w:rPr>
              <w:t>冲洗水用量</w:t>
            </w:r>
            <w:r>
              <w:rPr>
                <w:rFonts w:hint="eastAsia"/>
                <w:color w:val="000000"/>
                <w:sz w:val="24"/>
                <w:szCs w:val="32"/>
              </w:rPr>
              <w:t>约</w:t>
            </w:r>
            <w:r>
              <w:rPr>
                <w:color w:val="000000"/>
                <w:sz w:val="24"/>
                <w:szCs w:val="32"/>
              </w:rPr>
              <w:t>为3L/m</w:t>
            </w:r>
            <w:r>
              <w:rPr>
                <w:color w:val="000000"/>
                <w:sz w:val="24"/>
                <w:szCs w:val="32"/>
                <w:vertAlign w:val="superscript"/>
              </w:rPr>
              <w:t>2</w:t>
            </w:r>
            <w:r>
              <w:rPr>
                <w:color w:val="000000"/>
                <w:sz w:val="24"/>
                <w:szCs w:val="32"/>
              </w:rPr>
              <w:t>•次，冲洗面积为</w:t>
            </w:r>
            <w:r>
              <w:rPr>
                <w:rFonts w:hint="eastAsia"/>
                <w:color w:val="000000"/>
                <w:sz w:val="24"/>
                <w:szCs w:val="32"/>
              </w:rPr>
              <w:t>9000m</w:t>
            </w:r>
            <w:r>
              <w:rPr>
                <w:color w:val="000000"/>
                <w:sz w:val="24"/>
                <w:szCs w:val="32"/>
                <w:vertAlign w:val="superscript"/>
              </w:rPr>
              <w:t>2</w:t>
            </w:r>
            <w:r>
              <w:rPr>
                <w:color w:val="000000"/>
                <w:sz w:val="24"/>
                <w:szCs w:val="32"/>
              </w:rPr>
              <w:t>，则项目地面冲洗用水</w:t>
            </w:r>
            <w:r>
              <w:rPr>
                <w:rFonts w:hint="eastAsia"/>
                <w:color w:val="000000"/>
                <w:sz w:val="24"/>
                <w:szCs w:val="32"/>
              </w:rPr>
              <w:t>1080t</w:t>
            </w:r>
            <w:r>
              <w:rPr>
                <w:color w:val="000000"/>
                <w:sz w:val="24"/>
                <w:szCs w:val="32"/>
              </w:rPr>
              <w:t>/a。</w:t>
            </w:r>
            <w:r>
              <w:rPr>
                <w:color w:val="000000"/>
                <w:sz w:val="24"/>
              </w:rPr>
              <w:t>本项目</w:t>
            </w:r>
            <w:r>
              <w:rPr>
                <w:color w:val="000000"/>
                <w:sz w:val="24"/>
                <w:szCs w:val="32"/>
              </w:rPr>
              <w:t>地面冲洗</w:t>
            </w:r>
            <w:r>
              <w:rPr>
                <w:color w:val="000000"/>
                <w:sz w:val="24"/>
              </w:rPr>
              <w:t>废水产生系数取</w:t>
            </w:r>
            <w:r>
              <w:rPr>
                <w:color w:val="000000"/>
                <w:sz w:val="24"/>
                <w:lang w:bidi="en-US"/>
              </w:rPr>
              <w:t>0.9，</w:t>
            </w:r>
            <w:r>
              <w:rPr>
                <w:color w:val="000000"/>
                <w:sz w:val="24"/>
              </w:rPr>
              <w:t>则</w:t>
            </w:r>
            <w:r>
              <w:rPr>
                <w:color w:val="000000"/>
                <w:sz w:val="24"/>
                <w:szCs w:val="32"/>
              </w:rPr>
              <w:t>地面</w:t>
            </w:r>
            <w:r>
              <w:rPr>
                <w:rFonts w:hint="eastAsia"/>
                <w:color w:val="000000"/>
                <w:sz w:val="24"/>
                <w:szCs w:val="32"/>
              </w:rPr>
              <w:t>冲洗废</w:t>
            </w:r>
            <w:r>
              <w:rPr>
                <w:color w:val="000000"/>
                <w:sz w:val="24"/>
                <w:szCs w:val="32"/>
              </w:rPr>
              <w:t>水</w:t>
            </w:r>
            <w:r>
              <w:rPr>
                <w:color w:val="000000"/>
                <w:sz w:val="24"/>
              </w:rPr>
              <w:t>产生</w:t>
            </w:r>
            <w:r>
              <w:rPr>
                <w:rFonts w:hint="eastAsia"/>
                <w:color w:val="000000"/>
                <w:sz w:val="24"/>
              </w:rPr>
              <w:t>量为972</w:t>
            </w:r>
            <w:r>
              <w:rPr>
                <w:rFonts w:hint="eastAsia"/>
                <w:color w:val="000000"/>
                <w:sz w:val="24"/>
                <w:szCs w:val="32"/>
              </w:rPr>
              <w:t>t</w:t>
            </w:r>
            <w:r>
              <w:rPr>
                <w:color w:val="000000"/>
                <w:sz w:val="24"/>
                <w:szCs w:val="32"/>
              </w:rPr>
              <w:t>/a</w:t>
            </w:r>
            <w:r>
              <w:rPr>
                <w:rFonts w:hint="eastAsia"/>
                <w:color w:val="000000"/>
                <w:sz w:val="24"/>
                <w:szCs w:val="32"/>
              </w:rPr>
              <w:t>，自然蒸发量为108t</w:t>
            </w:r>
            <w:r>
              <w:rPr>
                <w:color w:val="000000"/>
                <w:sz w:val="24"/>
                <w:szCs w:val="32"/>
              </w:rPr>
              <w:t>/a</w:t>
            </w:r>
            <w:r>
              <w:rPr>
                <w:rFonts w:hint="eastAsia"/>
                <w:color w:val="000000"/>
                <w:sz w:val="24"/>
                <w:szCs w:val="32"/>
              </w:rPr>
              <w:t>。</w:t>
            </w:r>
          </w:p>
          <w:p w14:paraId="34DE4356">
            <w:pPr>
              <w:spacing w:line="360" w:lineRule="auto"/>
              <w:ind w:firstLine="480" w:firstLineChars="200"/>
              <w:rPr>
                <w:color w:val="000000"/>
                <w:sz w:val="24"/>
                <w:szCs w:val="32"/>
              </w:rPr>
            </w:pPr>
            <w:r>
              <w:rPr>
                <w:rFonts w:hint="eastAsia"/>
                <w:color w:val="000000"/>
                <w:sz w:val="24"/>
                <w:szCs w:val="32"/>
              </w:rPr>
              <w:t>④初期雨水</w:t>
            </w:r>
          </w:p>
          <w:p w14:paraId="44C8BD22">
            <w:pPr>
              <w:spacing w:line="360" w:lineRule="auto"/>
              <w:ind w:firstLine="480" w:firstLineChars="200"/>
              <w:rPr>
                <w:color w:val="FF0000"/>
                <w:sz w:val="24"/>
                <w:szCs w:val="32"/>
              </w:rPr>
            </w:pPr>
            <w:r>
              <w:rPr>
                <w:rFonts w:hint="eastAsia"/>
                <w:color w:val="000000"/>
                <w:sz w:val="24"/>
                <w:szCs w:val="32"/>
              </w:rPr>
              <w:t>本项目报废车辆进厂运输过程中可能有少量油污滴落，雨水冲刷后可能对周边水环境产生影响，故对初期雨水进行收集处理。初期雨水径流（前15分钟）中所含污染物浓度较大，随后逐渐降低，在降雨后 1h 趋于平稳。</w:t>
            </w:r>
            <w:r>
              <w:rPr>
                <w:rFonts w:hint="eastAsia"/>
                <w:color w:val="FF0000"/>
                <w:sz w:val="24"/>
                <w:szCs w:val="32"/>
              </w:rPr>
              <w:t>同时，根据《报废机动车拆解企业污染控制技术规范》（HJ348-2022）中 5.</w:t>
            </w:r>
            <w:r>
              <w:rPr>
                <w:rFonts w:hint="eastAsia"/>
                <w:color w:val="FF0000"/>
                <w:sz w:val="24"/>
                <w:szCs w:val="32"/>
                <w:lang w:val="en-US" w:eastAsia="zh-CN"/>
              </w:rPr>
              <w:t>4</w:t>
            </w:r>
            <w:r>
              <w:rPr>
                <w:rFonts w:hint="eastAsia"/>
                <w:color w:val="FF0000"/>
                <w:sz w:val="24"/>
                <w:szCs w:val="32"/>
              </w:rPr>
              <w:t>条“报废机动车回收拆解企业应做到雨污分流，在作业区内产生的初期雨水、清洗水和其他非生活废水应设置专门的收集设施和污水处理设施。厂区内应按照 GB/T 50483 的要求设置初期雨水收集池。”要求建设单位对厂区初期雨水进行收集处理。</w:t>
            </w:r>
          </w:p>
          <w:p w14:paraId="26601948">
            <w:pPr>
              <w:spacing w:line="360" w:lineRule="auto"/>
              <w:ind w:firstLine="480" w:firstLineChars="200"/>
              <w:rPr>
                <w:color w:val="000000"/>
                <w:sz w:val="24"/>
                <w:szCs w:val="32"/>
              </w:rPr>
            </w:pPr>
            <w:r>
              <w:rPr>
                <w:rFonts w:hint="eastAsia"/>
                <w:color w:val="000000"/>
                <w:sz w:val="24"/>
                <w:szCs w:val="32"/>
              </w:rPr>
              <w:t>初期雨水主要污染物为 CODcr 、SS 、石油类。初期雨水暂存于初期雨水池，经厂区污水处理站处理达标后，再通过管网排入北票市污水处理</w:t>
            </w:r>
            <w:r>
              <w:rPr>
                <w:rFonts w:hint="eastAsia"/>
                <w:color w:val="000000"/>
                <w:sz w:val="24"/>
                <w:szCs w:val="32"/>
                <w:lang w:val="en-US" w:eastAsia="zh-CN"/>
              </w:rPr>
              <w:t>厂</w:t>
            </w:r>
            <w:r>
              <w:rPr>
                <w:rFonts w:hint="eastAsia"/>
                <w:color w:val="000000"/>
                <w:sz w:val="24"/>
                <w:szCs w:val="32"/>
              </w:rPr>
              <w:t>。</w:t>
            </w:r>
          </w:p>
          <w:p w14:paraId="179CDEB2">
            <w:pPr>
              <w:spacing w:line="360" w:lineRule="auto"/>
              <w:ind w:firstLine="480" w:firstLineChars="200"/>
              <w:rPr>
                <w:color w:val="000000"/>
                <w:sz w:val="24"/>
                <w:szCs w:val="32"/>
              </w:rPr>
            </w:pPr>
            <w:r>
              <w:rPr>
                <w:rFonts w:hint="eastAsia"/>
                <w:color w:val="000000"/>
                <w:sz w:val="24"/>
                <w:szCs w:val="32"/>
              </w:rPr>
              <w:t>雨水量计算采用北票市暴雨强度公式：q=</w:t>
            </w:r>
            <w:r>
              <w:rPr>
                <w:rFonts w:hint="eastAsia"/>
                <w:color w:val="000000"/>
                <w:sz w:val="24"/>
                <w:szCs w:val="32"/>
                <w:lang w:eastAsia="zh-CN"/>
              </w:rPr>
              <w:t>〔</w:t>
            </w:r>
            <w:r>
              <w:rPr>
                <w:rFonts w:hint="eastAsia"/>
                <w:color w:val="000000"/>
                <w:sz w:val="24"/>
                <w:szCs w:val="32"/>
              </w:rPr>
              <w:t>1984（1+ 0.77lgP）</w:t>
            </w:r>
            <w:r>
              <w:rPr>
                <w:rFonts w:hint="eastAsia"/>
                <w:color w:val="000000"/>
                <w:sz w:val="24"/>
                <w:szCs w:val="32"/>
                <w:lang w:eastAsia="zh-CN"/>
              </w:rPr>
              <w:t>〕</w:t>
            </w:r>
            <w:r>
              <w:rPr>
                <w:rFonts w:hint="eastAsia"/>
                <w:color w:val="000000"/>
                <w:sz w:val="24"/>
                <w:szCs w:val="32"/>
              </w:rPr>
              <w:t>÷（t+9）0.77</w:t>
            </w:r>
          </w:p>
          <w:p w14:paraId="46564438">
            <w:pPr>
              <w:spacing w:line="360" w:lineRule="auto"/>
              <w:ind w:firstLine="480" w:firstLineChars="200"/>
              <w:rPr>
                <w:color w:val="000000"/>
                <w:sz w:val="24"/>
                <w:szCs w:val="32"/>
              </w:rPr>
            </w:pPr>
            <w:r>
              <w:rPr>
                <w:rFonts w:hint="eastAsia"/>
                <w:color w:val="000000"/>
                <w:sz w:val="24"/>
                <w:szCs w:val="32"/>
              </w:rPr>
              <w:t>式中：</w:t>
            </w:r>
          </w:p>
          <w:p w14:paraId="5F2934AB">
            <w:pPr>
              <w:spacing w:line="360" w:lineRule="auto"/>
              <w:ind w:firstLine="480" w:firstLineChars="200"/>
              <w:rPr>
                <w:color w:val="000000"/>
                <w:sz w:val="24"/>
                <w:szCs w:val="32"/>
              </w:rPr>
            </w:pPr>
            <w:r>
              <w:rPr>
                <w:rFonts w:hint="eastAsia"/>
                <w:color w:val="000000"/>
                <w:sz w:val="24"/>
                <w:szCs w:val="32"/>
              </w:rPr>
              <w:t>q-设计暴雨强度（L/（s·hm</w:t>
            </w:r>
            <w:r>
              <w:rPr>
                <w:rFonts w:hint="eastAsia"/>
                <w:color w:val="000000"/>
                <w:sz w:val="24"/>
                <w:szCs w:val="32"/>
                <w:vertAlign w:val="superscript"/>
              </w:rPr>
              <w:t>2</w:t>
            </w:r>
            <w:r>
              <w:rPr>
                <w:rFonts w:hint="eastAsia"/>
                <w:color w:val="000000"/>
                <w:sz w:val="24"/>
                <w:szCs w:val="32"/>
              </w:rPr>
              <w:t>））；</w:t>
            </w:r>
          </w:p>
          <w:p w14:paraId="290AD8F8">
            <w:pPr>
              <w:spacing w:line="360" w:lineRule="auto"/>
              <w:ind w:firstLine="480" w:firstLineChars="200"/>
              <w:rPr>
                <w:color w:val="000000"/>
                <w:sz w:val="24"/>
                <w:szCs w:val="32"/>
              </w:rPr>
            </w:pPr>
            <w:r>
              <w:rPr>
                <w:rFonts w:hint="eastAsia"/>
                <w:color w:val="000000"/>
                <w:sz w:val="24"/>
                <w:szCs w:val="32"/>
              </w:rPr>
              <w:t>P-设计重现期（a）；</w:t>
            </w:r>
          </w:p>
          <w:p w14:paraId="3E9FAC88">
            <w:pPr>
              <w:spacing w:line="360" w:lineRule="auto"/>
              <w:ind w:firstLine="480" w:firstLineChars="200"/>
              <w:rPr>
                <w:color w:val="000000"/>
                <w:sz w:val="24"/>
                <w:szCs w:val="32"/>
              </w:rPr>
            </w:pPr>
            <w:r>
              <w:rPr>
                <w:rFonts w:hint="eastAsia"/>
                <w:color w:val="000000"/>
                <w:sz w:val="24"/>
                <w:szCs w:val="32"/>
              </w:rPr>
              <w:t>t-降雨历时（min）</w:t>
            </w:r>
          </w:p>
          <w:p w14:paraId="16802A01">
            <w:pPr>
              <w:spacing w:line="360" w:lineRule="auto"/>
              <w:ind w:firstLine="480" w:firstLineChars="200"/>
              <w:rPr>
                <w:color w:val="000000"/>
                <w:sz w:val="24"/>
                <w:szCs w:val="32"/>
              </w:rPr>
            </w:pPr>
            <w:r>
              <w:rPr>
                <w:rFonts w:hint="eastAsia"/>
                <w:color w:val="000000"/>
                <w:sz w:val="24"/>
                <w:szCs w:val="32"/>
              </w:rPr>
              <w:t>式中设计重现期为2年，降雨历时取15min，经计算，暴雨强度q=211.5L/s·ha。</w:t>
            </w:r>
          </w:p>
          <w:p w14:paraId="6D4148B9">
            <w:pPr>
              <w:spacing w:line="360" w:lineRule="auto"/>
              <w:ind w:firstLine="480" w:firstLineChars="200"/>
              <w:rPr>
                <w:color w:val="000000"/>
                <w:sz w:val="24"/>
                <w:szCs w:val="32"/>
              </w:rPr>
            </w:pPr>
            <w:r>
              <w:rPr>
                <w:rFonts w:hint="eastAsia"/>
                <w:color w:val="000000"/>
                <w:sz w:val="24"/>
                <w:szCs w:val="32"/>
              </w:rPr>
              <w:t>雨水设计流量采用推理公式计算：Q=ΨqF</w:t>
            </w:r>
          </w:p>
          <w:p w14:paraId="07FBD65F">
            <w:pPr>
              <w:spacing w:line="360" w:lineRule="auto"/>
              <w:ind w:firstLine="480" w:firstLineChars="200"/>
              <w:rPr>
                <w:color w:val="000000"/>
                <w:sz w:val="24"/>
                <w:szCs w:val="32"/>
              </w:rPr>
            </w:pPr>
            <w:r>
              <w:rPr>
                <w:rFonts w:hint="eastAsia"/>
                <w:color w:val="000000"/>
                <w:sz w:val="24"/>
                <w:szCs w:val="32"/>
              </w:rPr>
              <w:t>式中：</w:t>
            </w:r>
          </w:p>
          <w:p w14:paraId="4D311D93">
            <w:pPr>
              <w:spacing w:line="360" w:lineRule="auto"/>
              <w:ind w:firstLine="480" w:firstLineChars="200"/>
              <w:rPr>
                <w:color w:val="000000"/>
                <w:sz w:val="24"/>
                <w:szCs w:val="32"/>
              </w:rPr>
            </w:pPr>
            <w:r>
              <w:rPr>
                <w:rFonts w:hint="eastAsia"/>
                <w:color w:val="000000"/>
                <w:sz w:val="24"/>
                <w:szCs w:val="32"/>
              </w:rPr>
              <w:t>Q——雨水设计流量（m</w:t>
            </w:r>
            <w:r>
              <w:rPr>
                <w:rFonts w:hint="eastAsia"/>
                <w:color w:val="000000"/>
                <w:sz w:val="24"/>
                <w:szCs w:val="32"/>
                <w:vertAlign w:val="superscript"/>
              </w:rPr>
              <w:t>3</w:t>
            </w:r>
            <w:r>
              <w:rPr>
                <w:rFonts w:hint="eastAsia"/>
                <w:color w:val="000000"/>
                <w:sz w:val="24"/>
                <w:szCs w:val="32"/>
              </w:rPr>
              <w:t>/s）；</w:t>
            </w:r>
          </w:p>
          <w:p w14:paraId="26412C63">
            <w:pPr>
              <w:spacing w:line="360" w:lineRule="auto"/>
              <w:ind w:firstLine="480" w:firstLineChars="200"/>
              <w:rPr>
                <w:color w:val="000000"/>
                <w:sz w:val="24"/>
                <w:szCs w:val="32"/>
              </w:rPr>
            </w:pPr>
            <w:r>
              <w:rPr>
                <w:rFonts w:hint="eastAsia"/>
                <w:color w:val="000000"/>
                <w:sz w:val="24"/>
                <w:szCs w:val="32"/>
              </w:rPr>
              <w:t>Ψ——径流系数，取0.9；</w:t>
            </w:r>
          </w:p>
          <w:p w14:paraId="10F10CDA">
            <w:pPr>
              <w:spacing w:line="360" w:lineRule="auto"/>
              <w:ind w:firstLine="480" w:firstLineChars="200"/>
              <w:rPr>
                <w:color w:val="000000"/>
                <w:sz w:val="24"/>
                <w:szCs w:val="32"/>
              </w:rPr>
            </w:pPr>
            <w:r>
              <w:rPr>
                <w:rFonts w:hint="eastAsia"/>
                <w:color w:val="000000"/>
                <w:sz w:val="24"/>
                <w:szCs w:val="32"/>
              </w:rPr>
              <w:t>q——设计暴雨强度（m</w:t>
            </w:r>
            <w:r>
              <w:rPr>
                <w:rFonts w:hint="eastAsia"/>
                <w:color w:val="000000"/>
                <w:sz w:val="24"/>
                <w:szCs w:val="32"/>
                <w:vertAlign w:val="superscript"/>
              </w:rPr>
              <w:t>3</w:t>
            </w:r>
            <w:r>
              <w:rPr>
                <w:rFonts w:hint="eastAsia"/>
                <w:color w:val="000000"/>
                <w:sz w:val="24"/>
                <w:szCs w:val="32"/>
              </w:rPr>
              <w:t>/s ·ha）</w:t>
            </w:r>
          </w:p>
          <w:p w14:paraId="6198EED6">
            <w:pPr>
              <w:spacing w:line="360" w:lineRule="auto"/>
              <w:ind w:firstLine="480" w:firstLineChars="200"/>
              <w:rPr>
                <w:color w:val="000000"/>
                <w:sz w:val="24"/>
                <w:szCs w:val="32"/>
              </w:rPr>
            </w:pPr>
            <w:r>
              <w:rPr>
                <w:rFonts w:hint="eastAsia"/>
                <w:color w:val="000000"/>
                <w:sz w:val="24"/>
                <w:szCs w:val="32"/>
              </w:rPr>
              <w:t>F——汇水面积（ha），汇水面积主要为报废机动车贮存区。</w:t>
            </w:r>
          </w:p>
          <w:p w14:paraId="33E99929">
            <w:pPr>
              <w:spacing w:line="360" w:lineRule="auto"/>
              <w:ind w:firstLine="480" w:firstLineChars="200"/>
              <w:rPr>
                <w:color w:val="000000"/>
                <w:sz w:val="24"/>
                <w:szCs w:val="32"/>
              </w:rPr>
            </w:pPr>
            <w:r>
              <w:rPr>
                <w:rFonts w:hint="eastAsia"/>
                <w:color w:val="000000"/>
                <w:sz w:val="24"/>
                <w:szCs w:val="32"/>
              </w:rPr>
              <w:t>报废机动车贮存区面积约为</w:t>
            </w:r>
            <w:r>
              <w:rPr>
                <w:rFonts w:hint="eastAsia"/>
                <w:color w:val="000000"/>
                <w:sz w:val="24"/>
                <w:szCs w:val="32"/>
                <w:highlight w:val="none"/>
                <w:lang w:val="en-US" w:eastAsia="zh-CN"/>
              </w:rPr>
              <w:t>6</w:t>
            </w:r>
            <w:r>
              <w:rPr>
                <w:rFonts w:hint="eastAsia"/>
                <w:color w:val="000000"/>
                <w:sz w:val="24"/>
                <w:szCs w:val="32"/>
                <w:highlight w:val="none"/>
              </w:rPr>
              <w:t>000m</w:t>
            </w:r>
            <w:r>
              <w:rPr>
                <w:rFonts w:hint="eastAsia"/>
                <w:color w:val="000000"/>
                <w:sz w:val="24"/>
                <w:szCs w:val="32"/>
                <w:highlight w:val="none"/>
                <w:vertAlign w:val="superscript"/>
              </w:rPr>
              <w:t>2</w:t>
            </w:r>
            <w:r>
              <w:rPr>
                <w:rFonts w:hint="eastAsia"/>
                <w:color w:val="000000"/>
                <w:sz w:val="24"/>
                <w:szCs w:val="32"/>
                <w:highlight w:val="none"/>
              </w:rPr>
              <w:t>(0.5h</w:t>
            </w:r>
            <w:r>
              <w:rPr>
                <w:rFonts w:hint="eastAsia"/>
                <w:color w:val="000000"/>
                <w:sz w:val="24"/>
                <w:szCs w:val="32"/>
              </w:rPr>
              <w:t>m</w:t>
            </w:r>
            <w:r>
              <w:rPr>
                <w:rFonts w:hint="eastAsia"/>
                <w:color w:val="000000"/>
                <w:sz w:val="24"/>
                <w:szCs w:val="32"/>
                <w:vertAlign w:val="superscript"/>
              </w:rPr>
              <w:t>2</w:t>
            </w:r>
            <w:r>
              <w:rPr>
                <w:rFonts w:hint="eastAsia"/>
                <w:color w:val="000000"/>
                <w:sz w:val="24"/>
                <w:szCs w:val="32"/>
              </w:rPr>
              <w:t>)。则初期雨水产生量约为96m</w:t>
            </w:r>
            <w:r>
              <w:rPr>
                <w:rFonts w:hint="eastAsia"/>
                <w:color w:val="000000"/>
                <w:sz w:val="24"/>
                <w:szCs w:val="32"/>
                <w:vertAlign w:val="superscript"/>
              </w:rPr>
              <w:t>3</w:t>
            </w:r>
            <w:r>
              <w:rPr>
                <w:rFonts w:hint="eastAsia"/>
                <w:color w:val="000000"/>
                <w:sz w:val="24"/>
                <w:szCs w:val="32"/>
              </w:rPr>
              <w:t>，全年按5个暴雨天计算全年初期雨水产生量约480t/a，初期雨水收集至雨水收集池后，排入污水处理系统处理后，通过管网排入北票市污水处理站。</w:t>
            </w:r>
          </w:p>
          <w:p w14:paraId="1235A5A9">
            <w:pPr>
              <w:spacing w:line="360" w:lineRule="auto"/>
              <w:ind w:firstLine="480" w:firstLineChars="200"/>
              <w:rPr>
                <w:color w:val="000000"/>
                <w:sz w:val="24"/>
                <w:szCs w:val="32"/>
              </w:rPr>
            </w:pPr>
            <w:r>
              <w:rPr>
                <w:rFonts w:hint="eastAsia"/>
                <w:color w:val="000000"/>
                <w:sz w:val="24"/>
                <w:szCs w:val="32"/>
              </w:rPr>
              <w:t>项目建成后全厂用、排水量平衡详见表2-</w:t>
            </w:r>
            <w:r>
              <w:rPr>
                <w:rFonts w:hint="eastAsia"/>
                <w:color w:val="000000"/>
                <w:sz w:val="24"/>
                <w:szCs w:val="32"/>
                <w:lang w:val="en-US" w:eastAsia="zh-CN"/>
              </w:rPr>
              <w:t>8</w:t>
            </w:r>
            <w:r>
              <w:rPr>
                <w:rFonts w:hint="eastAsia"/>
                <w:color w:val="000000"/>
                <w:sz w:val="24"/>
                <w:szCs w:val="32"/>
              </w:rPr>
              <w:t>，水平衡图详见图2-1。</w:t>
            </w:r>
          </w:p>
          <w:p w14:paraId="7C8D5366">
            <w:pPr>
              <w:widowControl/>
              <w:jc w:val="center"/>
              <w:rPr>
                <w:b/>
                <w:color w:val="FF0000"/>
                <w:kern w:val="0"/>
                <w:sz w:val="24"/>
              </w:rPr>
            </w:pPr>
            <w:r>
              <w:rPr>
                <w:b/>
                <w:color w:val="FF0000"/>
                <w:szCs w:val="21"/>
              </w:rPr>
              <w:t>表</w:t>
            </w:r>
            <w:r>
              <w:rPr>
                <w:rFonts w:hint="eastAsia"/>
                <w:b/>
                <w:color w:val="FF0000"/>
                <w:szCs w:val="21"/>
              </w:rPr>
              <w:t>2-</w:t>
            </w:r>
            <w:r>
              <w:rPr>
                <w:rFonts w:hint="eastAsia"/>
                <w:b/>
                <w:color w:val="FF0000"/>
                <w:szCs w:val="21"/>
                <w:lang w:val="en-US" w:eastAsia="zh-CN"/>
              </w:rPr>
              <w:t>8</w:t>
            </w:r>
            <w:r>
              <w:rPr>
                <w:rFonts w:hint="eastAsia"/>
                <w:b/>
                <w:color w:val="FF0000"/>
                <w:szCs w:val="21"/>
              </w:rPr>
              <w:t xml:space="preserve"> </w:t>
            </w:r>
            <w:r>
              <w:rPr>
                <w:b/>
                <w:color w:val="FF0000"/>
                <w:szCs w:val="21"/>
              </w:rPr>
              <w:t xml:space="preserve"> 本项目水量平衡</w:t>
            </w:r>
            <w:r>
              <w:rPr>
                <w:b/>
                <w:color w:val="FF0000"/>
                <w:kern w:val="0"/>
                <w:sz w:val="24"/>
              </w:rPr>
              <w:t>一览表  单位</w:t>
            </w:r>
            <w:r>
              <w:rPr>
                <w:rFonts w:hint="eastAsia"/>
                <w:b/>
                <w:color w:val="FF0000"/>
                <w:kern w:val="0"/>
                <w:sz w:val="24"/>
              </w:rPr>
              <w:t>t</w:t>
            </w:r>
            <w:r>
              <w:rPr>
                <w:b/>
                <w:color w:val="FF0000"/>
                <w:kern w:val="0"/>
                <w:sz w:val="24"/>
              </w:rPr>
              <w:t>/</w:t>
            </w:r>
            <w:r>
              <w:rPr>
                <w:rFonts w:hint="eastAsia"/>
                <w:b/>
                <w:color w:val="FF0000"/>
                <w:kern w:val="0"/>
                <w:sz w:val="24"/>
              </w:rPr>
              <w:t>a</w:t>
            </w:r>
          </w:p>
          <w:tbl>
            <w:tblPr>
              <w:tblStyle w:val="34"/>
              <w:tblW w:w="4998" w:type="pct"/>
              <w:jc w:val="center"/>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autofit"/>
              <w:tblCellMar>
                <w:top w:w="0" w:type="dxa"/>
                <w:left w:w="0" w:type="dxa"/>
                <w:bottom w:w="0" w:type="dxa"/>
                <w:right w:w="0" w:type="dxa"/>
              </w:tblCellMar>
            </w:tblPr>
            <w:tblGrid>
              <w:gridCol w:w="2026"/>
              <w:gridCol w:w="1649"/>
              <w:gridCol w:w="2123"/>
              <w:gridCol w:w="2632"/>
            </w:tblGrid>
            <w:tr w14:paraId="65283781">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1201" w:type="pct"/>
                  <w:vAlign w:val="center"/>
                </w:tcPr>
                <w:p w14:paraId="4FF8BE58">
                  <w:pPr>
                    <w:pStyle w:val="121"/>
                    <w:spacing w:line="240" w:lineRule="auto"/>
                    <w:jc w:val="center"/>
                    <w:rPr>
                      <w:bCs w:val="0"/>
                      <w:color w:val="FF0000"/>
                      <w:sz w:val="21"/>
                      <w:szCs w:val="21"/>
                    </w:rPr>
                  </w:pPr>
                  <w:r>
                    <w:rPr>
                      <w:bCs w:val="0"/>
                      <w:color w:val="FF0000"/>
                      <w:sz w:val="21"/>
                      <w:szCs w:val="21"/>
                    </w:rPr>
                    <w:t>工序</w:t>
                  </w:r>
                </w:p>
              </w:tc>
              <w:tc>
                <w:tcPr>
                  <w:tcW w:w="978" w:type="pct"/>
                  <w:vAlign w:val="center"/>
                </w:tcPr>
                <w:p w14:paraId="21D830E4">
                  <w:pPr>
                    <w:pStyle w:val="121"/>
                    <w:spacing w:line="240" w:lineRule="auto"/>
                    <w:jc w:val="center"/>
                    <w:rPr>
                      <w:bCs w:val="0"/>
                      <w:color w:val="FF0000"/>
                      <w:sz w:val="21"/>
                      <w:szCs w:val="21"/>
                    </w:rPr>
                  </w:pPr>
                  <w:r>
                    <w:rPr>
                      <w:bCs w:val="0"/>
                      <w:color w:val="FF0000"/>
                      <w:sz w:val="21"/>
                      <w:szCs w:val="21"/>
                    </w:rPr>
                    <w:t>新鲜水量</w:t>
                  </w:r>
                </w:p>
              </w:tc>
              <w:tc>
                <w:tcPr>
                  <w:tcW w:w="1259" w:type="pct"/>
                  <w:vAlign w:val="center"/>
                </w:tcPr>
                <w:p w14:paraId="2CD83F24">
                  <w:pPr>
                    <w:pStyle w:val="121"/>
                    <w:spacing w:line="240" w:lineRule="auto"/>
                    <w:jc w:val="center"/>
                    <w:rPr>
                      <w:bCs w:val="0"/>
                      <w:color w:val="FF0000"/>
                      <w:sz w:val="21"/>
                      <w:szCs w:val="21"/>
                    </w:rPr>
                  </w:pPr>
                  <w:r>
                    <w:rPr>
                      <w:bCs w:val="0"/>
                      <w:color w:val="FF0000"/>
                      <w:sz w:val="21"/>
                      <w:szCs w:val="21"/>
                    </w:rPr>
                    <w:t>排放量</w:t>
                  </w:r>
                </w:p>
              </w:tc>
              <w:tc>
                <w:tcPr>
                  <w:tcW w:w="1560" w:type="pct"/>
                  <w:vAlign w:val="center"/>
                </w:tcPr>
                <w:p w14:paraId="616C09EF">
                  <w:pPr>
                    <w:pStyle w:val="121"/>
                    <w:spacing w:line="240" w:lineRule="auto"/>
                    <w:jc w:val="center"/>
                    <w:rPr>
                      <w:bCs w:val="0"/>
                      <w:color w:val="FF0000"/>
                      <w:sz w:val="21"/>
                      <w:szCs w:val="21"/>
                    </w:rPr>
                  </w:pPr>
                  <w:r>
                    <w:rPr>
                      <w:bCs w:val="0"/>
                      <w:color w:val="FF0000"/>
                      <w:sz w:val="21"/>
                      <w:szCs w:val="21"/>
                    </w:rPr>
                    <w:t>损失量</w:t>
                  </w:r>
                </w:p>
              </w:tc>
            </w:tr>
            <w:tr w14:paraId="5D803A58">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481" w:hRule="atLeast"/>
                <w:jc w:val="center"/>
              </w:trPr>
              <w:tc>
                <w:tcPr>
                  <w:tcW w:w="1201" w:type="pct"/>
                  <w:vAlign w:val="center"/>
                </w:tcPr>
                <w:p w14:paraId="603F2D06">
                  <w:pPr>
                    <w:pStyle w:val="121"/>
                    <w:spacing w:line="240" w:lineRule="auto"/>
                    <w:jc w:val="center"/>
                    <w:rPr>
                      <w:b w:val="0"/>
                      <w:color w:val="FF0000"/>
                      <w:sz w:val="21"/>
                      <w:szCs w:val="21"/>
                    </w:rPr>
                  </w:pPr>
                  <w:r>
                    <w:rPr>
                      <w:rFonts w:hint="eastAsia"/>
                      <w:b w:val="0"/>
                      <w:color w:val="FF0000"/>
                      <w:sz w:val="21"/>
                      <w:szCs w:val="21"/>
                    </w:rPr>
                    <w:t>生活用水</w:t>
                  </w:r>
                </w:p>
              </w:tc>
              <w:tc>
                <w:tcPr>
                  <w:tcW w:w="978" w:type="pct"/>
                  <w:vAlign w:val="center"/>
                </w:tcPr>
                <w:p w14:paraId="6FA428FD">
                  <w:pPr>
                    <w:pStyle w:val="121"/>
                    <w:spacing w:line="240" w:lineRule="auto"/>
                    <w:jc w:val="center"/>
                    <w:rPr>
                      <w:b w:val="0"/>
                      <w:color w:val="FF0000"/>
                      <w:sz w:val="21"/>
                      <w:szCs w:val="21"/>
                    </w:rPr>
                  </w:pPr>
                  <w:r>
                    <w:rPr>
                      <w:rFonts w:hint="eastAsia"/>
                      <w:b w:val="0"/>
                      <w:color w:val="FF0000"/>
                      <w:sz w:val="21"/>
                      <w:szCs w:val="21"/>
                    </w:rPr>
                    <w:t>270</w:t>
                  </w:r>
                </w:p>
              </w:tc>
              <w:tc>
                <w:tcPr>
                  <w:tcW w:w="1259" w:type="pct"/>
                  <w:vAlign w:val="center"/>
                </w:tcPr>
                <w:p w14:paraId="2B1E0A0D">
                  <w:pPr>
                    <w:pStyle w:val="121"/>
                    <w:spacing w:line="240" w:lineRule="auto"/>
                    <w:jc w:val="center"/>
                    <w:rPr>
                      <w:b w:val="0"/>
                      <w:color w:val="FF0000"/>
                      <w:sz w:val="21"/>
                      <w:szCs w:val="21"/>
                    </w:rPr>
                  </w:pPr>
                  <w:r>
                    <w:rPr>
                      <w:rFonts w:hint="eastAsia"/>
                      <w:b w:val="0"/>
                      <w:color w:val="FF0000"/>
                      <w:sz w:val="21"/>
                      <w:szCs w:val="21"/>
                    </w:rPr>
                    <w:t>216</w:t>
                  </w:r>
                </w:p>
              </w:tc>
              <w:tc>
                <w:tcPr>
                  <w:tcW w:w="1560" w:type="pct"/>
                  <w:vAlign w:val="center"/>
                </w:tcPr>
                <w:p w14:paraId="0551F99E">
                  <w:pPr>
                    <w:pStyle w:val="121"/>
                    <w:spacing w:line="240" w:lineRule="auto"/>
                    <w:jc w:val="center"/>
                    <w:rPr>
                      <w:b w:val="0"/>
                      <w:color w:val="FF0000"/>
                      <w:sz w:val="21"/>
                      <w:szCs w:val="21"/>
                    </w:rPr>
                  </w:pPr>
                  <w:r>
                    <w:rPr>
                      <w:rFonts w:hint="eastAsia"/>
                      <w:b w:val="0"/>
                      <w:color w:val="FF0000"/>
                      <w:sz w:val="21"/>
                      <w:szCs w:val="21"/>
                    </w:rPr>
                    <w:t>54</w:t>
                  </w:r>
                </w:p>
              </w:tc>
            </w:tr>
            <w:tr w14:paraId="23066FC5">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1201" w:type="pct"/>
                  <w:vAlign w:val="center"/>
                </w:tcPr>
                <w:p w14:paraId="0F5FFBC6">
                  <w:pPr>
                    <w:pStyle w:val="121"/>
                    <w:spacing w:line="240" w:lineRule="auto"/>
                    <w:jc w:val="center"/>
                    <w:rPr>
                      <w:b w:val="0"/>
                      <w:color w:val="FF0000"/>
                      <w:sz w:val="21"/>
                      <w:szCs w:val="21"/>
                    </w:rPr>
                  </w:pPr>
                  <w:r>
                    <w:rPr>
                      <w:b w:val="0"/>
                      <w:color w:val="FF0000"/>
                      <w:sz w:val="21"/>
                      <w:szCs w:val="21"/>
                    </w:rPr>
                    <w:t>汽车发动机清洗用水</w:t>
                  </w:r>
                </w:p>
              </w:tc>
              <w:tc>
                <w:tcPr>
                  <w:tcW w:w="978" w:type="pct"/>
                  <w:vAlign w:val="center"/>
                </w:tcPr>
                <w:p w14:paraId="60DCA236">
                  <w:pPr>
                    <w:pStyle w:val="121"/>
                    <w:spacing w:line="240" w:lineRule="auto"/>
                    <w:jc w:val="center"/>
                    <w:rPr>
                      <w:b w:val="0"/>
                      <w:color w:val="FF0000"/>
                      <w:sz w:val="21"/>
                      <w:szCs w:val="21"/>
                    </w:rPr>
                  </w:pPr>
                  <w:r>
                    <w:rPr>
                      <w:rFonts w:hint="eastAsia"/>
                      <w:b w:val="0"/>
                      <w:color w:val="FF0000"/>
                      <w:sz w:val="21"/>
                      <w:szCs w:val="21"/>
                    </w:rPr>
                    <w:t>900</w:t>
                  </w:r>
                </w:p>
              </w:tc>
              <w:tc>
                <w:tcPr>
                  <w:tcW w:w="1259" w:type="pct"/>
                  <w:vAlign w:val="center"/>
                </w:tcPr>
                <w:p w14:paraId="515AEF30">
                  <w:pPr>
                    <w:jc w:val="center"/>
                    <w:rPr>
                      <w:bCs/>
                      <w:color w:val="FF0000"/>
                      <w:szCs w:val="21"/>
                    </w:rPr>
                  </w:pPr>
                  <w:r>
                    <w:rPr>
                      <w:rFonts w:hint="eastAsia"/>
                      <w:bCs/>
                      <w:color w:val="FF0000"/>
                      <w:szCs w:val="21"/>
                    </w:rPr>
                    <w:t>810</w:t>
                  </w:r>
                </w:p>
              </w:tc>
              <w:tc>
                <w:tcPr>
                  <w:tcW w:w="1560" w:type="pct"/>
                  <w:vAlign w:val="center"/>
                </w:tcPr>
                <w:p w14:paraId="0B0DFE68">
                  <w:pPr>
                    <w:pStyle w:val="121"/>
                    <w:spacing w:line="240" w:lineRule="auto"/>
                    <w:jc w:val="center"/>
                    <w:rPr>
                      <w:b w:val="0"/>
                      <w:color w:val="FF0000"/>
                      <w:sz w:val="21"/>
                      <w:szCs w:val="21"/>
                    </w:rPr>
                  </w:pPr>
                  <w:r>
                    <w:rPr>
                      <w:rFonts w:hint="eastAsia"/>
                      <w:b w:val="0"/>
                      <w:color w:val="FF0000"/>
                      <w:sz w:val="21"/>
                      <w:szCs w:val="21"/>
                    </w:rPr>
                    <w:t>90</w:t>
                  </w:r>
                </w:p>
              </w:tc>
            </w:tr>
            <w:tr w14:paraId="4DC79098">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1201" w:type="pct"/>
                  <w:vAlign w:val="center"/>
                </w:tcPr>
                <w:p w14:paraId="059AACFE">
                  <w:pPr>
                    <w:pStyle w:val="121"/>
                    <w:spacing w:line="240" w:lineRule="auto"/>
                    <w:jc w:val="center"/>
                    <w:rPr>
                      <w:b w:val="0"/>
                      <w:color w:val="FF0000"/>
                      <w:sz w:val="21"/>
                      <w:szCs w:val="21"/>
                    </w:rPr>
                  </w:pPr>
                  <w:r>
                    <w:rPr>
                      <w:b w:val="0"/>
                      <w:color w:val="FF0000"/>
                      <w:sz w:val="21"/>
                      <w:szCs w:val="21"/>
                    </w:rPr>
                    <w:t>地面冲洗用水</w:t>
                  </w:r>
                </w:p>
              </w:tc>
              <w:tc>
                <w:tcPr>
                  <w:tcW w:w="978" w:type="pct"/>
                  <w:vAlign w:val="center"/>
                </w:tcPr>
                <w:p w14:paraId="13CB8848">
                  <w:pPr>
                    <w:pStyle w:val="121"/>
                    <w:spacing w:line="240" w:lineRule="auto"/>
                    <w:jc w:val="center"/>
                    <w:rPr>
                      <w:b w:val="0"/>
                      <w:color w:val="FF0000"/>
                      <w:sz w:val="21"/>
                      <w:szCs w:val="21"/>
                    </w:rPr>
                  </w:pPr>
                  <w:r>
                    <w:rPr>
                      <w:rFonts w:hint="eastAsia"/>
                      <w:b w:val="0"/>
                      <w:color w:val="FF0000"/>
                      <w:sz w:val="21"/>
                      <w:szCs w:val="21"/>
                    </w:rPr>
                    <w:t>1080</w:t>
                  </w:r>
                </w:p>
              </w:tc>
              <w:tc>
                <w:tcPr>
                  <w:tcW w:w="1259" w:type="pct"/>
                  <w:vAlign w:val="center"/>
                </w:tcPr>
                <w:p w14:paraId="1E036B06">
                  <w:pPr>
                    <w:jc w:val="center"/>
                    <w:rPr>
                      <w:bCs/>
                      <w:color w:val="FF0000"/>
                      <w:szCs w:val="21"/>
                    </w:rPr>
                  </w:pPr>
                  <w:r>
                    <w:rPr>
                      <w:rFonts w:hint="eastAsia"/>
                      <w:bCs/>
                      <w:color w:val="FF0000"/>
                      <w:szCs w:val="21"/>
                    </w:rPr>
                    <w:t>972</w:t>
                  </w:r>
                </w:p>
              </w:tc>
              <w:tc>
                <w:tcPr>
                  <w:tcW w:w="1560" w:type="pct"/>
                  <w:vAlign w:val="center"/>
                </w:tcPr>
                <w:p w14:paraId="58554B88">
                  <w:pPr>
                    <w:pStyle w:val="121"/>
                    <w:spacing w:line="240" w:lineRule="auto"/>
                    <w:jc w:val="center"/>
                    <w:rPr>
                      <w:b w:val="0"/>
                      <w:color w:val="FF0000"/>
                      <w:sz w:val="21"/>
                      <w:szCs w:val="21"/>
                    </w:rPr>
                  </w:pPr>
                  <w:r>
                    <w:rPr>
                      <w:rFonts w:hint="eastAsia"/>
                      <w:b w:val="0"/>
                      <w:color w:val="FF0000"/>
                      <w:sz w:val="21"/>
                      <w:szCs w:val="21"/>
                    </w:rPr>
                    <w:t>108</w:t>
                  </w:r>
                </w:p>
              </w:tc>
            </w:tr>
            <w:tr w14:paraId="0138E45A">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1201" w:type="pct"/>
                  <w:vAlign w:val="center"/>
                </w:tcPr>
                <w:p w14:paraId="1AC8C03E">
                  <w:pPr>
                    <w:pStyle w:val="121"/>
                    <w:spacing w:line="240" w:lineRule="auto"/>
                    <w:jc w:val="center"/>
                    <w:rPr>
                      <w:b w:val="0"/>
                      <w:color w:val="FF0000"/>
                      <w:sz w:val="21"/>
                      <w:szCs w:val="21"/>
                    </w:rPr>
                  </w:pPr>
                  <w:r>
                    <w:rPr>
                      <w:rFonts w:hint="eastAsia"/>
                      <w:b w:val="0"/>
                      <w:color w:val="FF0000"/>
                      <w:sz w:val="21"/>
                      <w:szCs w:val="21"/>
                    </w:rPr>
                    <w:t>初期雨水</w:t>
                  </w:r>
                </w:p>
              </w:tc>
              <w:tc>
                <w:tcPr>
                  <w:tcW w:w="978" w:type="pct"/>
                  <w:vAlign w:val="center"/>
                </w:tcPr>
                <w:p w14:paraId="28A7AE4A">
                  <w:pPr>
                    <w:pStyle w:val="121"/>
                    <w:spacing w:line="240" w:lineRule="auto"/>
                    <w:jc w:val="center"/>
                    <w:rPr>
                      <w:b w:val="0"/>
                      <w:color w:val="FF0000"/>
                      <w:sz w:val="21"/>
                      <w:szCs w:val="21"/>
                    </w:rPr>
                  </w:pPr>
                  <w:r>
                    <w:rPr>
                      <w:rFonts w:hint="eastAsia"/>
                      <w:b w:val="0"/>
                      <w:color w:val="FF0000"/>
                      <w:sz w:val="21"/>
                      <w:szCs w:val="21"/>
                    </w:rPr>
                    <w:t>480</w:t>
                  </w:r>
                </w:p>
              </w:tc>
              <w:tc>
                <w:tcPr>
                  <w:tcW w:w="1259" w:type="pct"/>
                  <w:vAlign w:val="center"/>
                </w:tcPr>
                <w:p w14:paraId="0619122D">
                  <w:pPr>
                    <w:pStyle w:val="121"/>
                    <w:spacing w:line="240" w:lineRule="auto"/>
                    <w:jc w:val="center"/>
                    <w:rPr>
                      <w:b w:val="0"/>
                      <w:color w:val="FF0000"/>
                      <w:sz w:val="21"/>
                      <w:szCs w:val="21"/>
                    </w:rPr>
                  </w:pPr>
                  <w:r>
                    <w:rPr>
                      <w:rFonts w:hint="eastAsia"/>
                      <w:b w:val="0"/>
                      <w:color w:val="FF0000"/>
                      <w:sz w:val="21"/>
                      <w:szCs w:val="21"/>
                    </w:rPr>
                    <w:t>480</w:t>
                  </w:r>
                </w:p>
              </w:tc>
              <w:tc>
                <w:tcPr>
                  <w:tcW w:w="1560" w:type="pct"/>
                  <w:vAlign w:val="center"/>
                </w:tcPr>
                <w:p w14:paraId="088BD366">
                  <w:pPr>
                    <w:pStyle w:val="121"/>
                    <w:spacing w:line="240" w:lineRule="auto"/>
                    <w:jc w:val="center"/>
                    <w:rPr>
                      <w:b w:val="0"/>
                      <w:color w:val="FF0000"/>
                      <w:sz w:val="21"/>
                      <w:szCs w:val="21"/>
                    </w:rPr>
                  </w:pPr>
                  <w:r>
                    <w:rPr>
                      <w:rFonts w:hint="eastAsia"/>
                      <w:b w:val="0"/>
                      <w:color w:val="FF0000"/>
                      <w:sz w:val="21"/>
                      <w:szCs w:val="21"/>
                    </w:rPr>
                    <w:t>0</w:t>
                  </w:r>
                </w:p>
              </w:tc>
            </w:tr>
            <w:tr w14:paraId="2F38C33B">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1201" w:type="pct"/>
                  <w:vAlign w:val="center"/>
                </w:tcPr>
                <w:p w14:paraId="69F5C36E">
                  <w:pPr>
                    <w:pStyle w:val="121"/>
                    <w:spacing w:line="240" w:lineRule="auto"/>
                    <w:jc w:val="center"/>
                    <w:rPr>
                      <w:b w:val="0"/>
                      <w:color w:val="FF0000"/>
                      <w:sz w:val="21"/>
                      <w:szCs w:val="21"/>
                    </w:rPr>
                  </w:pPr>
                  <w:r>
                    <w:rPr>
                      <w:b w:val="0"/>
                      <w:color w:val="FF0000"/>
                      <w:sz w:val="21"/>
                      <w:szCs w:val="21"/>
                    </w:rPr>
                    <w:t>合计</w:t>
                  </w:r>
                </w:p>
              </w:tc>
              <w:tc>
                <w:tcPr>
                  <w:tcW w:w="978" w:type="pct"/>
                  <w:vAlign w:val="center"/>
                </w:tcPr>
                <w:p w14:paraId="21ABA033">
                  <w:pPr>
                    <w:pStyle w:val="121"/>
                    <w:spacing w:line="240" w:lineRule="auto"/>
                    <w:jc w:val="center"/>
                    <w:rPr>
                      <w:b w:val="0"/>
                      <w:color w:val="FF0000"/>
                      <w:sz w:val="21"/>
                      <w:szCs w:val="21"/>
                    </w:rPr>
                  </w:pPr>
                  <w:r>
                    <w:rPr>
                      <w:b w:val="0"/>
                      <w:color w:val="FF0000"/>
                      <w:sz w:val="21"/>
                      <w:szCs w:val="21"/>
                    </w:rPr>
                    <w:fldChar w:fldCharType="begin"/>
                  </w:r>
                  <w:r>
                    <w:rPr>
                      <w:b w:val="0"/>
                      <w:color w:val="FF0000"/>
                      <w:sz w:val="21"/>
                      <w:szCs w:val="21"/>
                    </w:rPr>
                    <w:instrText xml:space="preserve"> = sum(B2:B5) \* MERGEFORMAT </w:instrText>
                  </w:r>
                  <w:r>
                    <w:rPr>
                      <w:b w:val="0"/>
                      <w:color w:val="FF0000"/>
                      <w:sz w:val="21"/>
                      <w:szCs w:val="21"/>
                    </w:rPr>
                    <w:fldChar w:fldCharType="separate"/>
                  </w:r>
                  <w:r>
                    <w:rPr>
                      <w:b w:val="0"/>
                      <w:color w:val="FF0000"/>
                      <w:sz w:val="21"/>
                      <w:szCs w:val="21"/>
                    </w:rPr>
                    <w:t>2730</w:t>
                  </w:r>
                  <w:r>
                    <w:rPr>
                      <w:b w:val="0"/>
                      <w:color w:val="FF0000"/>
                      <w:sz w:val="21"/>
                      <w:szCs w:val="21"/>
                    </w:rPr>
                    <w:fldChar w:fldCharType="end"/>
                  </w:r>
                </w:p>
              </w:tc>
              <w:tc>
                <w:tcPr>
                  <w:tcW w:w="1259" w:type="pct"/>
                  <w:vAlign w:val="center"/>
                </w:tcPr>
                <w:p w14:paraId="2BD565F5">
                  <w:pPr>
                    <w:pStyle w:val="121"/>
                    <w:spacing w:line="240" w:lineRule="auto"/>
                    <w:jc w:val="center"/>
                    <w:rPr>
                      <w:b w:val="0"/>
                      <w:color w:val="FF0000"/>
                      <w:sz w:val="21"/>
                      <w:szCs w:val="21"/>
                    </w:rPr>
                  </w:pPr>
                  <w:r>
                    <w:rPr>
                      <w:b w:val="0"/>
                      <w:color w:val="FF0000"/>
                      <w:sz w:val="21"/>
                      <w:szCs w:val="21"/>
                    </w:rPr>
                    <w:fldChar w:fldCharType="begin"/>
                  </w:r>
                  <w:r>
                    <w:rPr>
                      <w:b w:val="0"/>
                      <w:color w:val="FF0000"/>
                      <w:sz w:val="21"/>
                      <w:szCs w:val="21"/>
                    </w:rPr>
                    <w:instrText xml:space="preserve"> = sum(C2:C5) \* MERGEFORMAT </w:instrText>
                  </w:r>
                  <w:r>
                    <w:rPr>
                      <w:b w:val="0"/>
                      <w:color w:val="FF0000"/>
                      <w:sz w:val="21"/>
                      <w:szCs w:val="21"/>
                    </w:rPr>
                    <w:fldChar w:fldCharType="separate"/>
                  </w:r>
                  <w:r>
                    <w:rPr>
                      <w:b w:val="0"/>
                      <w:color w:val="FF0000"/>
                      <w:sz w:val="21"/>
                      <w:szCs w:val="21"/>
                    </w:rPr>
                    <w:t>2478</w:t>
                  </w:r>
                  <w:r>
                    <w:rPr>
                      <w:b w:val="0"/>
                      <w:color w:val="FF0000"/>
                      <w:sz w:val="21"/>
                      <w:szCs w:val="21"/>
                    </w:rPr>
                    <w:fldChar w:fldCharType="end"/>
                  </w:r>
                </w:p>
              </w:tc>
              <w:tc>
                <w:tcPr>
                  <w:tcW w:w="1560" w:type="pct"/>
                  <w:vAlign w:val="center"/>
                </w:tcPr>
                <w:p w14:paraId="0F0679FC">
                  <w:pPr>
                    <w:pStyle w:val="121"/>
                    <w:spacing w:line="240" w:lineRule="auto"/>
                    <w:jc w:val="center"/>
                    <w:rPr>
                      <w:b w:val="0"/>
                      <w:color w:val="FF0000"/>
                      <w:sz w:val="21"/>
                      <w:szCs w:val="21"/>
                    </w:rPr>
                  </w:pPr>
                  <w:r>
                    <w:rPr>
                      <w:b w:val="0"/>
                      <w:color w:val="FF0000"/>
                      <w:sz w:val="21"/>
                      <w:szCs w:val="21"/>
                    </w:rPr>
                    <w:fldChar w:fldCharType="begin"/>
                  </w:r>
                  <w:r>
                    <w:rPr>
                      <w:b w:val="0"/>
                      <w:color w:val="FF0000"/>
                      <w:sz w:val="21"/>
                      <w:szCs w:val="21"/>
                    </w:rPr>
                    <w:instrText xml:space="preserve"> = sum(D2:D5) \* MERGEFORMAT </w:instrText>
                  </w:r>
                  <w:r>
                    <w:rPr>
                      <w:b w:val="0"/>
                      <w:color w:val="FF0000"/>
                      <w:sz w:val="21"/>
                      <w:szCs w:val="21"/>
                    </w:rPr>
                    <w:fldChar w:fldCharType="separate"/>
                  </w:r>
                  <w:r>
                    <w:rPr>
                      <w:b w:val="0"/>
                      <w:color w:val="FF0000"/>
                      <w:sz w:val="21"/>
                      <w:szCs w:val="21"/>
                    </w:rPr>
                    <w:t>252</w:t>
                  </w:r>
                  <w:r>
                    <w:rPr>
                      <w:b w:val="0"/>
                      <w:color w:val="FF0000"/>
                      <w:sz w:val="21"/>
                      <w:szCs w:val="21"/>
                    </w:rPr>
                    <w:fldChar w:fldCharType="end"/>
                  </w:r>
                </w:p>
              </w:tc>
            </w:tr>
          </w:tbl>
          <w:p w14:paraId="60275C99">
            <w:pPr>
              <w:pStyle w:val="84"/>
              <w:spacing w:line="360" w:lineRule="auto"/>
              <w:ind w:firstLine="0" w:firstLineChars="0"/>
              <w:jc w:val="left"/>
              <w:rPr>
                <w:color w:val="000000" w:themeColor="text1"/>
                <w14:textFill>
                  <w14:solidFill>
                    <w14:schemeClr w14:val="tx1"/>
                  </w14:solidFill>
                </w14:textFill>
              </w:rPr>
            </w:pPr>
            <w:r>
              <w:rPr>
                <w:rFonts w:hint="eastAsia"/>
                <w:color w:val="000000" w:themeColor="text1"/>
                <w14:textFill>
                  <w14:solidFill>
                    <w14:schemeClr w14:val="tx1"/>
                  </w14:solidFill>
                </w14:textFill>
              </w:rPr>
              <w:drawing>
                <wp:inline distT="0" distB="0" distL="114300" distR="114300">
                  <wp:extent cx="5353050" cy="3262630"/>
                  <wp:effectExtent l="0" t="0" r="0" b="13970"/>
                  <wp:docPr id="5" name="ECB019B1-382A-4266-B25C-5B523AA43C14-1" descr="w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ECB019B1-382A-4266-B25C-5B523AA43C14-1" descr="wps"/>
                          <pic:cNvPicPr>
                            <a:picLocks noChangeAspect="1"/>
                          </pic:cNvPicPr>
                        </pic:nvPicPr>
                        <pic:blipFill>
                          <a:blip r:embed="rId16"/>
                          <a:stretch>
                            <a:fillRect/>
                          </a:stretch>
                        </pic:blipFill>
                        <pic:spPr>
                          <a:xfrm>
                            <a:off x="0" y="0"/>
                            <a:ext cx="5353050" cy="3262630"/>
                          </a:xfrm>
                          <a:prstGeom prst="rect">
                            <a:avLst/>
                          </a:prstGeom>
                        </pic:spPr>
                      </pic:pic>
                    </a:graphicData>
                  </a:graphic>
                </wp:inline>
              </w:drawing>
            </w:r>
          </w:p>
          <w:p w14:paraId="5DBBF397">
            <w:pPr>
              <w:pStyle w:val="65"/>
              <w:rPr>
                <w:rFonts w:ascii="Times New Roman" w:eastAsia="宋体"/>
                <w:b/>
                <w:bCs/>
                <w:color w:val="FF0000"/>
                <w:sz w:val="21"/>
                <w:szCs w:val="16"/>
              </w:rPr>
            </w:pPr>
            <w:r>
              <w:rPr>
                <w:rFonts w:ascii="Times New Roman" w:eastAsia="宋体"/>
                <w:b/>
                <w:bCs/>
                <w:color w:val="FF0000"/>
                <w:sz w:val="21"/>
                <w:szCs w:val="16"/>
              </w:rPr>
              <w:t>图2-</w:t>
            </w:r>
            <w:r>
              <w:rPr>
                <w:rFonts w:hint="eastAsia" w:ascii="Times New Roman" w:eastAsia="宋体"/>
                <w:b/>
                <w:bCs/>
                <w:color w:val="FF0000"/>
                <w:sz w:val="21"/>
                <w:szCs w:val="16"/>
              </w:rPr>
              <w:t>1</w:t>
            </w:r>
            <w:r>
              <w:rPr>
                <w:rFonts w:ascii="Times New Roman" w:eastAsia="宋体"/>
                <w:b/>
                <w:bCs/>
                <w:color w:val="FF0000"/>
                <w:sz w:val="21"/>
                <w:szCs w:val="16"/>
              </w:rPr>
              <w:t xml:space="preserve"> </w:t>
            </w:r>
            <w:r>
              <w:rPr>
                <w:rFonts w:hint="eastAsia" w:ascii="Times New Roman" w:eastAsia="宋体"/>
                <w:b/>
                <w:bCs/>
                <w:color w:val="FF0000"/>
                <w:sz w:val="21"/>
                <w:szCs w:val="16"/>
              </w:rPr>
              <w:t>水</w:t>
            </w:r>
            <w:r>
              <w:rPr>
                <w:rFonts w:ascii="Times New Roman" w:eastAsia="宋体"/>
                <w:b/>
                <w:bCs/>
                <w:color w:val="FF0000"/>
                <w:sz w:val="21"/>
                <w:szCs w:val="16"/>
              </w:rPr>
              <w:t>平衡图（单位：t/</w:t>
            </w:r>
            <w:r>
              <w:rPr>
                <w:rFonts w:hint="eastAsia" w:ascii="Times New Roman" w:eastAsia="宋体"/>
                <w:b/>
                <w:bCs/>
                <w:color w:val="FF0000"/>
                <w:sz w:val="21"/>
                <w:szCs w:val="16"/>
              </w:rPr>
              <w:t>a</w:t>
            </w:r>
            <w:r>
              <w:rPr>
                <w:rFonts w:ascii="Times New Roman" w:eastAsia="宋体"/>
                <w:b/>
                <w:bCs/>
                <w:color w:val="FF0000"/>
                <w:sz w:val="21"/>
                <w:szCs w:val="16"/>
              </w:rPr>
              <w:t>）</w:t>
            </w:r>
          </w:p>
          <w:p w14:paraId="72BFEE02">
            <w:pPr>
              <w:adjustRightInd w:val="0"/>
              <w:snapToGrid w:val="0"/>
              <w:spacing w:line="360" w:lineRule="auto"/>
              <w:ind w:firstLine="400"/>
              <w:rPr>
                <w:color w:val="000000" w:themeColor="text1"/>
                <w:sz w:val="24"/>
                <w14:textFill>
                  <w14:solidFill>
                    <w14:schemeClr w14:val="tx1"/>
                  </w14:solidFill>
                </w14:textFill>
              </w:rPr>
            </w:pPr>
            <w:r>
              <w:rPr>
                <w:color w:val="000000" w:themeColor="text1"/>
                <w:sz w:val="24"/>
                <w14:textFill>
                  <w14:solidFill>
                    <w14:schemeClr w14:val="tx1"/>
                  </w14:solidFill>
                </w14:textFill>
              </w:rPr>
              <w:t>（</w:t>
            </w:r>
            <w:r>
              <w:rPr>
                <w:rFonts w:hint="eastAsia"/>
                <w:color w:val="000000" w:themeColor="text1"/>
                <w:sz w:val="24"/>
                <w14:textFill>
                  <w14:solidFill>
                    <w14:schemeClr w14:val="tx1"/>
                  </w14:solidFill>
                </w14:textFill>
              </w:rPr>
              <w:t>2</w:t>
            </w:r>
            <w:r>
              <w:rPr>
                <w:color w:val="000000" w:themeColor="text1"/>
                <w:sz w:val="24"/>
                <w14:textFill>
                  <w14:solidFill>
                    <w14:schemeClr w14:val="tx1"/>
                  </w14:solidFill>
                </w14:textFill>
              </w:rPr>
              <w:t>）供电：</w:t>
            </w:r>
          </w:p>
          <w:p w14:paraId="7C87C415">
            <w:pPr>
              <w:adjustRightInd w:val="0"/>
              <w:snapToGrid w:val="0"/>
              <w:spacing w:line="360" w:lineRule="auto"/>
              <w:ind w:firstLine="400"/>
              <w:rPr>
                <w:color w:val="000000" w:themeColor="text1"/>
                <w:spacing w:val="-4"/>
                <w:sz w:val="24"/>
                <w14:textFill>
                  <w14:solidFill>
                    <w14:schemeClr w14:val="tx1"/>
                  </w14:solidFill>
                </w14:textFill>
              </w:rPr>
            </w:pPr>
            <w:r>
              <w:rPr>
                <w:color w:val="000000" w:themeColor="text1"/>
                <w:sz w:val="24"/>
                <w14:textFill>
                  <w14:solidFill>
                    <w14:schemeClr w14:val="tx1"/>
                  </w14:solidFill>
                </w14:textFill>
              </w:rPr>
              <w:t>项目所需电力由北票市供电电网</w:t>
            </w:r>
            <w:r>
              <w:rPr>
                <w:rFonts w:hint="eastAsia"/>
                <w:color w:val="000000" w:themeColor="text1"/>
                <w:sz w:val="24"/>
                <w14:textFill>
                  <w14:solidFill>
                    <w14:schemeClr w14:val="tx1"/>
                  </w14:solidFill>
                </w14:textFill>
              </w:rPr>
              <w:t>提供</w:t>
            </w:r>
            <w:r>
              <w:rPr>
                <w:color w:val="000000" w:themeColor="text1"/>
                <w:sz w:val="24"/>
                <w14:textFill>
                  <w14:solidFill>
                    <w14:schemeClr w14:val="tx1"/>
                  </w14:solidFill>
                </w14:textFill>
              </w:rPr>
              <w:t>，</w:t>
            </w:r>
            <w:r>
              <w:rPr>
                <w:color w:val="000000" w:themeColor="text1"/>
                <w:spacing w:val="-4"/>
                <w:sz w:val="24"/>
                <w14:textFill>
                  <w14:solidFill>
                    <w14:schemeClr w14:val="tx1"/>
                  </w14:solidFill>
                </w14:textFill>
              </w:rPr>
              <w:t>年耗电量</w:t>
            </w:r>
            <w:r>
              <w:rPr>
                <w:rFonts w:hint="eastAsia"/>
                <w:color w:val="000000" w:themeColor="text1"/>
                <w:sz w:val="24"/>
                <w14:textFill>
                  <w14:solidFill>
                    <w14:schemeClr w14:val="tx1"/>
                  </w14:solidFill>
                </w14:textFill>
              </w:rPr>
              <w:t>100</w:t>
            </w:r>
            <w:r>
              <w:rPr>
                <w:color w:val="000000" w:themeColor="text1"/>
                <w:sz w:val="24"/>
                <w14:textFill>
                  <w14:solidFill>
                    <w14:schemeClr w14:val="tx1"/>
                  </w14:solidFill>
                </w14:textFill>
              </w:rPr>
              <w:t>万kWh/a</w:t>
            </w:r>
            <w:r>
              <w:rPr>
                <w:rFonts w:hint="eastAsia"/>
                <w:color w:val="000000" w:themeColor="text1"/>
                <w:spacing w:val="-4"/>
                <w:sz w:val="24"/>
                <w14:textFill>
                  <w14:solidFill>
                    <w14:schemeClr w14:val="tx1"/>
                  </w14:solidFill>
                </w14:textFill>
              </w:rPr>
              <w:t>。</w:t>
            </w:r>
          </w:p>
          <w:p w14:paraId="0D9868FD">
            <w:pPr>
              <w:adjustRightInd w:val="0"/>
              <w:snapToGrid w:val="0"/>
              <w:spacing w:line="360" w:lineRule="auto"/>
              <w:ind w:firstLine="400"/>
              <w:rPr>
                <w:color w:val="000000" w:themeColor="text1"/>
                <w:sz w:val="24"/>
                <w14:textFill>
                  <w14:solidFill>
                    <w14:schemeClr w14:val="tx1"/>
                  </w14:solidFill>
                </w14:textFill>
              </w:rPr>
            </w:pPr>
            <w:r>
              <w:rPr>
                <w:color w:val="000000" w:themeColor="text1"/>
                <w:sz w:val="24"/>
                <w14:textFill>
                  <w14:solidFill>
                    <w14:schemeClr w14:val="tx1"/>
                  </w14:solidFill>
                </w14:textFill>
              </w:rPr>
              <w:t>（</w:t>
            </w:r>
            <w:r>
              <w:rPr>
                <w:rFonts w:hint="eastAsia"/>
                <w:color w:val="000000" w:themeColor="text1"/>
                <w:sz w:val="24"/>
                <w14:textFill>
                  <w14:solidFill>
                    <w14:schemeClr w14:val="tx1"/>
                  </w14:solidFill>
                </w14:textFill>
              </w:rPr>
              <w:t>3</w:t>
            </w:r>
            <w:r>
              <w:rPr>
                <w:color w:val="000000" w:themeColor="text1"/>
                <w:sz w:val="24"/>
                <w14:textFill>
                  <w14:solidFill>
                    <w14:schemeClr w14:val="tx1"/>
                  </w14:solidFill>
                </w14:textFill>
              </w:rPr>
              <w:t>）供</w:t>
            </w:r>
            <w:r>
              <w:rPr>
                <w:rFonts w:hint="eastAsia"/>
                <w:color w:val="000000" w:themeColor="text1"/>
                <w:sz w:val="24"/>
                <w14:textFill>
                  <w14:solidFill>
                    <w14:schemeClr w14:val="tx1"/>
                  </w14:solidFill>
                </w14:textFill>
              </w:rPr>
              <w:t>暖</w:t>
            </w:r>
            <w:r>
              <w:rPr>
                <w:color w:val="000000" w:themeColor="text1"/>
                <w:sz w:val="24"/>
                <w14:textFill>
                  <w14:solidFill>
                    <w14:schemeClr w14:val="tx1"/>
                  </w14:solidFill>
                </w14:textFill>
              </w:rPr>
              <w:t>：</w:t>
            </w:r>
          </w:p>
          <w:p w14:paraId="23CD44E1">
            <w:pPr>
              <w:adjustRightInd w:val="0"/>
              <w:snapToGrid w:val="0"/>
              <w:spacing w:line="360" w:lineRule="auto"/>
              <w:ind w:firstLine="400"/>
              <w:rPr>
                <w:rFonts w:hint="eastAsia" w:ascii="黑体" w:hAnsi="黑体" w:eastAsia="黑体"/>
                <w:snapToGrid w:val="0"/>
                <w:sz w:val="36"/>
                <w:szCs w:val="36"/>
                <w:vertAlign w:val="baseline"/>
              </w:rPr>
            </w:pPr>
            <w:r>
              <w:rPr>
                <w:color w:val="000000" w:themeColor="text1"/>
                <w:sz w:val="24"/>
                <w14:textFill>
                  <w14:solidFill>
                    <w14:schemeClr w14:val="tx1"/>
                  </w14:solidFill>
                </w14:textFill>
              </w:rPr>
              <w:t>本项目</w:t>
            </w:r>
            <w:r>
              <w:rPr>
                <w:rFonts w:hint="eastAsia"/>
                <w:color w:val="000000" w:themeColor="text1"/>
                <w:sz w:val="24"/>
                <w14:textFill>
                  <w14:solidFill>
                    <w14:schemeClr w14:val="tx1"/>
                  </w14:solidFill>
                </w14:textFill>
              </w:rPr>
              <w:t>车间</w:t>
            </w:r>
            <w:r>
              <w:rPr>
                <w:color w:val="000000" w:themeColor="text1"/>
                <w:sz w:val="24"/>
                <w14:textFill>
                  <w14:solidFill>
                    <w14:schemeClr w14:val="tx1"/>
                  </w14:solidFill>
                </w14:textFill>
              </w:rPr>
              <w:t>冬季不进行供暖</w:t>
            </w:r>
            <w:r>
              <w:rPr>
                <w:rFonts w:hint="eastAsia"/>
                <w:color w:val="000000" w:themeColor="text1"/>
                <w:sz w:val="24"/>
                <w14:textFill>
                  <w14:solidFill>
                    <w14:schemeClr w14:val="tx1"/>
                  </w14:solidFill>
                </w14:textFill>
              </w:rPr>
              <w:t>，办公室采用电取暖。</w:t>
            </w:r>
          </w:p>
        </w:tc>
      </w:tr>
      <w:tr w14:paraId="470F87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089" w:hRule="atLeast"/>
        </w:trPr>
        <w:tc>
          <w:tcPr>
            <w:tcW w:w="767" w:type="dxa"/>
          </w:tcPr>
          <w:p w14:paraId="289F3717">
            <w:pPr>
              <w:pStyle w:val="30"/>
              <w:jc w:val="center"/>
              <w:rPr>
                <w:rFonts w:hint="eastAsia" w:ascii="黑体" w:hAnsi="黑体" w:eastAsia="黑体"/>
                <w:snapToGrid w:val="0"/>
                <w:sz w:val="36"/>
                <w:szCs w:val="36"/>
                <w:vertAlign w:val="baseline"/>
              </w:rPr>
            </w:pPr>
            <w:r>
              <w:rPr>
                <w:rFonts w:hint="eastAsia" w:cs="宋体"/>
                <w:color w:val="000000" w:themeColor="text1"/>
                <w:sz w:val="21"/>
                <w:szCs w:val="21"/>
                <w14:textFill>
                  <w14:solidFill>
                    <w14:schemeClr w14:val="tx1"/>
                  </w14:solidFill>
                </w14:textFill>
              </w:rPr>
              <w:t>工艺流程和产排污环节</w:t>
            </w:r>
          </w:p>
        </w:tc>
        <w:tc>
          <w:tcPr>
            <w:tcW w:w="8293" w:type="dxa"/>
            <w:vAlign w:val="top"/>
          </w:tcPr>
          <w:p w14:paraId="6EDE462A">
            <w:pPr>
              <w:adjustRightInd w:val="0"/>
              <w:snapToGrid w:val="0"/>
              <w:spacing w:line="360" w:lineRule="auto"/>
              <w:rPr>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工艺流程简述及产排污环节：</w:t>
            </w:r>
          </w:p>
          <w:p w14:paraId="4A52000C">
            <w:pPr>
              <w:adjustRightInd w:val="0"/>
              <w:snapToGrid w:val="0"/>
              <w:spacing w:line="360" w:lineRule="auto"/>
              <w:rPr>
                <w:b/>
                <w:bCs/>
                <w:color w:val="FF0000"/>
                <w:sz w:val="24"/>
              </w:rPr>
            </w:pPr>
            <w:r>
              <w:rPr>
                <w:rFonts w:hint="eastAsia"/>
                <w:b/>
                <w:bCs/>
                <w:color w:val="FF0000"/>
                <w:sz w:val="24"/>
              </w:rPr>
              <w:t>1.施工期工艺流程及产排污节点</w:t>
            </w:r>
          </w:p>
          <w:p w14:paraId="6B02DD9C">
            <w:pPr>
              <w:adjustRightInd w:val="0"/>
              <w:snapToGrid w:val="0"/>
              <w:spacing w:line="360" w:lineRule="auto"/>
              <w:ind w:firstLine="480" w:firstLineChars="200"/>
              <w:rPr>
                <w:bCs/>
                <w:color w:val="FF0000"/>
                <w:kern w:val="10"/>
                <w:sz w:val="24"/>
              </w:rPr>
            </w:pPr>
            <w:r>
              <w:rPr>
                <w:bCs/>
                <w:color w:val="FF0000"/>
                <w:sz w:val="24"/>
              </w:rPr>
              <w:t>本项目主要进行</w:t>
            </w:r>
            <w:r>
              <w:rPr>
                <w:rFonts w:hint="eastAsia"/>
                <w:bCs/>
                <w:color w:val="FF0000"/>
                <w:sz w:val="24"/>
              </w:rPr>
              <w:t>拆解车间及办公室</w:t>
            </w:r>
            <w:r>
              <w:rPr>
                <w:bCs/>
                <w:color w:val="FF0000"/>
                <w:sz w:val="24"/>
              </w:rPr>
              <w:t>等构筑物</w:t>
            </w:r>
            <w:r>
              <w:rPr>
                <w:rFonts w:hint="eastAsia"/>
                <w:bCs/>
                <w:color w:val="FF0000"/>
                <w:sz w:val="24"/>
              </w:rPr>
              <w:t>建设修缮</w:t>
            </w:r>
            <w:r>
              <w:rPr>
                <w:rFonts w:hint="eastAsia"/>
                <w:bCs/>
                <w:color w:val="FF0000"/>
                <w:sz w:val="24"/>
                <w:lang w:val="en-US" w:eastAsia="zh-CN"/>
              </w:rPr>
              <w:t>保留原有厂房框架，内部根据生产工艺全面翻新改造，并配套建设车间防渗、收集沟、初期雨水收集池、事故池、污水处理站等辅助设施</w:t>
            </w:r>
            <w:r>
              <w:rPr>
                <w:rFonts w:hint="eastAsia"/>
                <w:bCs/>
                <w:color w:val="FF0000"/>
                <w:sz w:val="24"/>
                <w:lang w:eastAsia="zh-CN"/>
              </w:rPr>
              <w:t>，</w:t>
            </w:r>
            <w:r>
              <w:rPr>
                <w:bCs/>
                <w:color w:val="FF0000"/>
                <w:sz w:val="24"/>
              </w:rPr>
              <w:t>安装生产设备以及配套生产及环保设施，</w:t>
            </w:r>
            <w:r>
              <w:rPr>
                <w:color w:val="FF0000"/>
                <w:sz w:val="24"/>
              </w:rPr>
              <w:t>工艺流程及产物节点见下图</w:t>
            </w:r>
            <w:r>
              <w:rPr>
                <w:rFonts w:hint="eastAsia"/>
                <w:color w:val="FF0000"/>
                <w:sz w:val="24"/>
                <w:lang w:val="en-US" w:eastAsia="zh-CN"/>
              </w:rPr>
              <w:t>2-2</w:t>
            </w:r>
            <w:r>
              <w:rPr>
                <w:bCs/>
                <w:color w:val="FF0000"/>
                <w:kern w:val="10"/>
                <w:sz w:val="24"/>
              </w:rPr>
              <w:t>。</w:t>
            </w:r>
          </w:p>
          <w:p w14:paraId="7A5DFAA4">
            <w:pPr>
              <w:pStyle w:val="49"/>
              <w:spacing w:line="360" w:lineRule="auto"/>
              <w:jc w:val="center"/>
              <w:rPr>
                <w:rFonts w:eastAsia="宋体"/>
                <w:b/>
                <w:bCs/>
                <w:color w:val="000000" w:themeColor="text1"/>
                <w:spacing w:val="5"/>
                <w:kern w:val="0"/>
                <w:szCs w:val="24"/>
                <w14:textFill>
                  <w14:solidFill>
                    <w14:schemeClr w14:val="tx1"/>
                  </w14:solidFill>
                </w14:textFill>
              </w:rPr>
            </w:pPr>
            <w:r>
              <w:rPr>
                <w:rFonts w:eastAsia="宋体"/>
                <w:color w:val="000000" w:themeColor="text1"/>
                <w:kern w:val="0"/>
                <w14:textFill>
                  <w14:solidFill>
                    <w14:schemeClr w14:val="tx1"/>
                  </w14:solidFill>
                </w14:textFill>
              </w:rPr>
              <w:drawing>
                <wp:inline distT="0" distB="0" distL="114300" distR="114300">
                  <wp:extent cx="3416935" cy="4230370"/>
                  <wp:effectExtent l="0" t="0" r="12065" b="17780"/>
                  <wp:docPr id="104" name="图片 151" descr="施工期流程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151" descr="施工期流程图"/>
                          <pic:cNvPicPr>
                            <a:picLocks noChangeAspect="1"/>
                          </pic:cNvPicPr>
                        </pic:nvPicPr>
                        <pic:blipFill>
                          <a:blip r:embed="rId17"/>
                          <a:srcRect t="119"/>
                          <a:stretch>
                            <a:fillRect/>
                          </a:stretch>
                        </pic:blipFill>
                        <pic:spPr>
                          <a:xfrm>
                            <a:off x="0" y="0"/>
                            <a:ext cx="3416935" cy="4230370"/>
                          </a:xfrm>
                          <a:prstGeom prst="rect">
                            <a:avLst/>
                          </a:prstGeom>
                          <a:noFill/>
                          <a:ln>
                            <a:noFill/>
                          </a:ln>
                        </pic:spPr>
                      </pic:pic>
                    </a:graphicData>
                  </a:graphic>
                </wp:inline>
              </w:drawing>
            </w:r>
          </w:p>
          <w:p w14:paraId="5BCE37F0">
            <w:pPr>
              <w:tabs>
                <w:tab w:val="left" w:pos="7892"/>
              </w:tabs>
              <w:adjustRightInd w:val="0"/>
              <w:snapToGrid w:val="0"/>
              <w:spacing w:before="120" w:beforeLines="50"/>
              <w:jc w:val="center"/>
              <w:rPr>
                <w:b/>
                <w:color w:val="000000" w:themeColor="text1"/>
                <w:szCs w:val="21"/>
                <w14:textFill>
                  <w14:solidFill>
                    <w14:schemeClr w14:val="tx1"/>
                  </w14:solidFill>
                </w14:textFill>
              </w:rPr>
            </w:pPr>
            <w:r>
              <w:rPr>
                <w:b/>
                <w:color w:val="000000" w:themeColor="text1"/>
                <w:szCs w:val="21"/>
                <w14:textFill>
                  <w14:solidFill>
                    <w14:schemeClr w14:val="tx1"/>
                  </w14:solidFill>
                </w14:textFill>
              </w:rPr>
              <w:t>图</w:t>
            </w:r>
            <w:r>
              <w:rPr>
                <w:rFonts w:hint="eastAsia"/>
                <w:b/>
                <w:color w:val="000000" w:themeColor="text1"/>
                <w:szCs w:val="21"/>
                <w14:textFill>
                  <w14:solidFill>
                    <w14:schemeClr w14:val="tx1"/>
                  </w14:solidFill>
                </w14:textFill>
              </w:rPr>
              <w:t>2-2</w:t>
            </w:r>
            <w:r>
              <w:rPr>
                <w:b/>
                <w:color w:val="000000" w:themeColor="text1"/>
                <w:szCs w:val="21"/>
                <w14:textFill>
                  <w14:solidFill>
                    <w14:schemeClr w14:val="tx1"/>
                  </w14:solidFill>
                </w14:textFill>
              </w:rPr>
              <w:t xml:space="preserve">   施工期工艺流程及产污节点图</w:t>
            </w:r>
          </w:p>
          <w:p w14:paraId="19238E00">
            <w:pPr>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本项目施工期间的工作流程及阶段划分如下：</w:t>
            </w:r>
          </w:p>
          <w:p w14:paraId="64AF2C48">
            <w:pPr>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（1）场地平整阶段</w:t>
            </w:r>
          </w:p>
          <w:p w14:paraId="0AFAFD87">
            <w:pPr>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平整施工场地，人工挖填方。</w:t>
            </w:r>
          </w:p>
          <w:p w14:paraId="6D475E1C">
            <w:pPr>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（2）基础施工阶段</w:t>
            </w:r>
          </w:p>
          <w:p w14:paraId="5654AD97">
            <w:pPr>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基坑护壁及修建地基。</w:t>
            </w:r>
          </w:p>
          <w:p w14:paraId="770E97B8">
            <w:pPr>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（3）主体工程建设阶段</w:t>
            </w:r>
          </w:p>
          <w:p w14:paraId="08641116">
            <w:pPr>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进行主体结构施工。</w:t>
            </w:r>
          </w:p>
          <w:p w14:paraId="189480F1">
            <w:pPr>
              <w:spacing w:line="360" w:lineRule="auto"/>
              <w:ind w:firstLine="420" w:firstLineChars="200"/>
              <w:rPr>
                <w:rFonts w:hint="eastAsia" w:eastAsia="宋体"/>
                <w:color w:val="FF0000"/>
                <w:sz w:val="24"/>
                <w:lang w:eastAsia="zh-CN"/>
              </w:rPr>
            </w:pPr>
            <w:r>
              <w:rPr>
                <w:rFonts w:hint="default"/>
                <w:color w:val="FF0000"/>
              </w:rPr>
              <w:t> </w:t>
            </w:r>
            <w:r>
              <w:rPr>
                <w:rFonts w:hint="eastAsia"/>
                <w:color w:val="FF0000"/>
                <w:lang w:val="en-US" w:eastAsia="zh-CN"/>
              </w:rPr>
              <w:t>①</w:t>
            </w:r>
            <w:r>
              <w:rPr>
                <w:rFonts w:hint="default"/>
                <w:color w:val="FF0000"/>
                <w:sz w:val="24"/>
              </w:rPr>
              <w:t>防渗系统施工</w:t>
            </w:r>
            <w:r>
              <w:rPr>
                <w:rFonts w:hint="eastAsia"/>
                <w:color w:val="FF0000"/>
                <w:sz w:val="24"/>
                <w:lang w:eastAsia="zh-CN"/>
              </w:rPr>
              <w:t>：</w:t>
            </w:r>
          </w:p>
          <w:p w14:paraId="04B3A8AE">
            <w:pPr>
              <w:spacing w:line="360" w:lineRule="auto"/>
              <w:ind w:firstLine="480" w:firstLineChars="200"/>
              <w:rPr>
                <w:color w:val="FF0000"/>
                <w:sz w:val="24"/>
              </w:rPr>
            </w:pPr>
            <w:r>
              <w:rPr>
                <w:rFonts w:hint="default"/>
                <w:color w:val="FF0000"/>
                <w:sz w:val="24"/>
              </w:rPr>
              <w:t>重点防渗区域：</w:t>
            </w:r>
          </w:p>
          <w:p w14:paraId="6F910DA6">
            <w:pPr>
              <w:spacing w:line="360" w:lineRule="auto"/>
              <w:ind w:firstLine="480" w:firstLineChars="200"/>
              <w:rPr>
                <w:color w:val="FF0000"/>
                <w:sz w:val="24"/>
              </w:rPr>
            </w:pPr>
            <w:r>
              <w:rPr>
                <w:rFonts w:hint="default"/>
                <w:color w:val="FF0000"/>
                <w:sz w:val="24"/>
              </w:rPr>
              <w:t>拆解车间地面：混凝土强度≥C30，厚度≥200mm；</w:t>
            </w:r>
          </w:p>
          <w:p w14:paraId="12B63941">
            <w:pPr>
              <w:spacing w:line="360" w:lineRule="auto"/>
              <w:ind w:firstLine="480" w:firstLineChars="200"/>
              <w:rPr>
                <w:color w:val="FF0000"/>
                <w:sz w:val="24"/>
              </w:rPr>
            </w:pPr>
            <w:r>
              <w:rPr>
                <w:rFonts w:hint="default"/>
                <w:color w:val="FF0000"/>
                <w:sz w:val="24"/>
              </w:rPr>
              <w:t>防渗层：2mm厚HDPE膜（渗透系数≤10⁻¹² cm/s）+环氧树脂涂层（厚度≥1mm）。</w:t>
            </w:r>
          </w:p>
          <w:p w14:paraId="4EC55512">
            <w:pPr>
              <w:spacing w:line="360" w:lineRule="auto"/>
              <w:ind w:firstLine="480" w:firstLineChars="200"/>
              <w:rPr>
                <w:color w:val="FF0000"/>
                <w:sz w:val="24"/>
              </w:rPr>
            </w:pPr>
            <w:r>
              <w:rPr>
                <w:rFonts w:hint="default"/>
                <w:color w:val="FF0000"/>
                <w:sz w:val="24"/>
              </w:rPr>
              <w:t>电池贮存区：</w:t>
            </w:r>
          </w:p>
          <w:p w14:paraId="4CB14E10">
            <w:pPr>
              <w:spacing w:line="360" w:lineRule="auto"/>
              <w:ind w:firstLine="480" w:firstLineChars="200"/>
              <w:rPr>
                <w:color w:val="FF0000"/>
                <w:sz w:val="24"/>
              </w:rPr>
            </w:pPr>
            <w:r>
              <w:rPr>
                <w:rFonts w:hint="default"/>
                <w:color w:val="FF0000"/>
                <w:sz w:val="24"/>
              </w:rPr>
              <w:t>动力蓄电池区：环氧地坪+绝缘涂层（电阻≥10⁹Ω），墙面1.2m以下贴绝缘板；</w:t>
            </w:r>
          </w:p>
          <w:p w14:paraId="7D3B73FF">
            <w:pPr>
              <w:spacing w:line="360" w:lineRule="auto"/>
              <w:ind w:firstLine="480" w:firstLineChars="200"/>
              <w:rPr>
                <w:color w:val="FF0000"/>
              </w:rPr>
            </w:pPr>
            <w:r>
              <w:rPr>
                <w:rFonts w:hint="default"/>
                <w:color w:val="FF0000"/>
                <w:sz w:val="24"/>
              </w:rPr>
              <w:t>铅蓄电池区：地面铺设PVC卷材（耐酸防腐），坡度≥2%引流至收集井。</w:t>
            </w:r>
          </w:p>
          <w:p w14:paraId="58833BEB">
            <w:pPr>
              <w:spacing w:line="360" w:lineRule="auto"/>
              <w:ind w:firstLine="480" w:firstLineChars="200"/>
              <w:rPr>
                <w:color w:val="FF0000"/>
                <w:sz w:val="24"/>
              </w:rPr>
            </w:pPr>
            <w:r>
              <w:rPr>
                <w:rFonts w:hint="eastAsia"/>
                <w:color w:val="FF0000"/>
                <w:sz w:val="24"/>
                <w:lang w:val="en-US" w:eastAsia="zh-CN"/>
              </w:rPr>
              <w:t>②</w:t>
            </w:r>
            <w:r>
              <w:rPr>
                <w:rFonts w:hint="default"/>
                <w:color w:val="FF0000"/>
                <w:sz w:val="24"/>
              </w:rPr>
              <w:t>收集沟与导排系统</w:t>
            </w:r>
          </w:p>
          <w:p w14:paraId="010481E5">
            <w:pPr>
              <w:spacing w:line="360" w:lineRule="auto"/>
              <w:ind w:firstLine="480" w:firstLineChars="200"/>
              <w:rPr>
                <w:color w:val="FF0000"/>
                <w:sz w:val="24"/>
              </w:rPr>
            </w:pPr>
            <w:r>
              <w:rPr>
                <w:rFonts w:hint="default"/>
                <w:color w:val="FF0000"/>
                <w:sz w:val="24"/>
              </w:rPr>
              <w:t>设计规范：</w:t>
            </w:r>
          </w:p>
          <w:p w14:paraId="175487C1">
            <w:pPr>
              <w:spacing w:line="360" w:lineRule="auto"/>
              <w:ind w:firstLine="480" w:firstLineChars="200"/>
              <w:rPr>
                <w:color w:val="FF0000"/>
                <w:sz w:val="24"/>
              </w:rPr>
            </w:pPr>
            <w:r>
              <w:rPr>
                <w:rFonts w:hint="default"/>
                <w:color w:val="FF0000"/>
                <w:sz w:val="24"/>
              </w:rPr>
              <w:t>收集沟：耐酸材质（PP或HDPE），宽度≥300mm，深度≥400mm，坡度≥1%；</w:t>
            </w:r>
          </w:p>
          <w:p w14:paraId="15933CCB">
            <w:pPr>
              <w:spacing w:line="360" w:lineRule="auto"/>
              <w:ind w:firstLine="480" w:firstLineChars="200"/>
              <w:rPr>
                <w:color w:val="FF0000"/>
                <w:sz w:val="24"/>
              </w:rPr>
            </w:pPr>
            <w:r>
              <w:rPr>
                <w:rFonts w:hint="default"/>
                <w:color w:val="FF0000"/>
                <w:sz w:val="24"/>
              </w:rPr>
              <w:t>导流槽：连接至事故池/初期雨水池，接口处密封防漏。</w:t>
            </w:r>
          </w:p>
          <w:p w14:paraId="71BD7ED0">
            <w:pPr>
              <w:spacing w:line="360" w:lineRule="auto"/>
              <w:ind w:firstLine="480" w:firstLineChars="200"/>
              <w:rPr>
                <w:rFonts w:hint="default"/>
                <w:color w:val="FF0000"/>
                <w:sz w:val="24"/>
              </w:rPr>
            </w:pPr>
            <w:r>
              <w:rPr>
                <w:rFonts w:hint="eastAsia"/>
                <w:color w:val="FF0000"/>
                <w:sz w:val="24"/>
                <w:lang w:val="en-US" w:eastAsia="zh-CN"/>
              </w:rPr>
              <w:t>③</w:t>
            </w:r>
            <w:r>
              <w:rPr>
                <w:rFonts w:hint="default"/>
                <w:color w:val="FF0000"/>
                <w:sz w:val="24"/>
              </w:rPr>
              <w:t>初期雨水池</w:t>
            </w:r>
          </w:p>
          <w:p w14:paraId="74084A99">
            <w:pPr>
              <w:spacing w:line="360" w:lineRule="auto"/>
              <w:ind w:firstLine="480" w:firstLineChars="200"/>
              <w:rPr>
                <w:color w:val="FF0000"/>
                <w:sz w:val="24"/>
              </w:rPr>
            </w:pPr>
            <w:r>
              <w:rPr>
                <w:rFonts w:hint="default"/>
                <w:color w:val="FF0000"/>
                <w:sz w:val="24"/>
              </w:rPr>
              <w:t>容积计算：按最大降雨量（重现期20年）设计，有效容积≥200m³；</w:t>
            </w:r>
          </w:p>
          <w:p w14:paraId="34632958">
            <w:pPr>
              <w:spacing w:line="360" w:lineRule="auto"/>
              <w:ind w:firstLine="480" w:firstLineChars="200"/>
              <w:rPr>
                <w:color w:val="FF0000"/>
                <w:sz w:val="24"/>
              </w:rPr>
            </w:pPr>
            <w:r>
              <w:rPr>
                <w:rFonts w:hint="default"/>
                <w:color w:val="FF0000"/>
                <w:sz w:val="24"/>
              </w:rPr>
              <w:t>结构：钢筋混凝土（抗渗等级P6），内壁防腐（环氧煤沥青涂层≥500μm）；</w:t>
            </w:r>
          </w:p>
          <w:p w14:paraId="154FBCE0">
            <w:pPr>
              <w:spacing w:line="360" w:lineRule="auto"/>
              <w:ind w:firstLine="480" w:firstLineChars="200"/>
              <w:rPr>
                <w:color w:val="FF0000"/>
                <w:sz w:val="24"/>
              </w:rPr>
            </w:pPr>
            <w:r>
              <w:rPr>
                <w:rFonts w:hint="default"/>
                <w:color w:val="FF0000"/>
                <w:sz w:val="24"/>
              </w:rPr>
              <w:t>切换装置：自动阀门控制初期雨水入池，后期清净雨水直排市政管网。</w:t>
            </w:r>
          </w:p>
          <w:p w14:paraId="403BDBD4">
            <w:pPr>
              <w:spacing w:line="360" w:lineRule="auto"/>
              <w:ind w:firstLine="480" w:firstLineChars="200"/>
              <w:rPr>
                <w:rFonts w:hint="default"/>
                <w:color w:val="FF0000"/>
                <w:sz w:val="24"/>
              </w:rPr>
            </w:pPr>
            <w:r>
              <w:rPr>
                <w:rFonts w:hint="eastAsia"/>
                <w:color w:val="FF0000"/>
                <w:sz w:val="24"/>
                <w:lang w:val="en-US" w:eastAsia="zh-CN"/>
              </w:rPr>
              <w:t>④</w:t>
            </w:r>
            <w:r>
              <w:rPr>
                <w:rFonts w:hint="default"/>
                <w:color w:val="FF0000"/>
                <w:sz w:val="24"/>
              </w:rPr>
              <w:t>事故应急池</w:t>
            </w:r>
          </w:p>
          <w:p w14:paraId="2AB16673">
            <w:pPr>
              <w:spacing w:line="360" w:lineRule="auto"/>
              <w:ind w:firstLine="480" w:firstLineChars="200"/>
              <w:rPr>
                <w:color w:val="FF0000"/>
                <w:sz w:val="24"/>
              </w:rPr>
            </w:pPr>
            <w:r>
              <w:rPr>
                <w:rFonts w:hint="default"/>
                <w:color w:val="FF0000"/>
                <w:sz w:val="24"/>
              </w:rPr>
              <w:t>容积≥240m³，地下式钢筋混凝土结构；</w:t>
            </w:r>
          </w:p>
          <w:p w14:paraId="16C4A9B6">
            <w:pPr>
              <w:spacing w:line="360" w:lineRule="auto"/>
              <w:ind w:firstLine="480" w:firstLineChars="200"/>
              <w:rPr>
                <w:color w:val="FF0000"/>
                <w:sz w:val="24"/>
              </w:rPr>
            </w:pPr>
            <w:r>
              <w:rPr>
                <w:rFonts w:hint="default"/>
                <w:color w:val="FF0000"/>
                <w:sz w:val="24"/>
              </w:rPr>
              <w:t>配套设备：耐腐蚀潜水泵（2台，1用1备，Q=50m³/h，H=15m）；</w:t>
            </w:r>
          </w:p>
          <w:p w14:paraId="199A99D6">
            <w:pPr>
              <w:spacing w:line="360" w:lineRule="auto"/>
              <w:ind w:firstLine="480" w:firstLineChars="200"/>
              <w:rPr>
                <w:color w:val="FF0000"/>
                <w:sz w:val="24"/>
              </w:rPr>
            </w:pPr>
            <w:r>
              <w:rPr>
                <w:rFonts w:hint="default"/>
                <w:color w:val="FF0000"/>
                <w:sz w:val="24"/>
              </w:rPr>
              <w:t>防渗：底板+侧壁衬2mm厚HDPE膜，渗透系数≤10⁻¹² cm/s。</w:t>
            </w:r>
          </w:p>
          <w:p w14:paraId="4977E7AB">
            <w:pPr>
              <w:spacing w:line="360" w:lineRule="auto"/>
              <w:ind w:firstLine="480" w:firstLineChars="200"/>
              <w:rPr>
                <w:rFonts w:hint="default"/>
                <w:color w:val="FF0000"/>
                <w:sz w:val="24"/>
              </w:rPr>
            </w:pPr>
            <w:r>
              <w:rPr>
                <w:rFonts w:hint="eastAsia"/>
                <w:color w:val="FF0000"/>
                <w:sz w:val="24"/>
                <w:lang w:val="en-US" w:eastAsia="zh-CN"/>
              </w:rPr>
              <w:t>⑤</w:t>
            </w:r>
            <w:r>
              <w:rPr>
                <w:rFonts w:hint="default"/>
                <w:color w:val="FF0000"/>
                <w:sz w:val="24"/>
              </w:rPr>
              <w:t>污水处理站</w:t>
            </w:r>
          </w:p>
          <w:p w14:paraId="759F967C">
            <w:pPr>
              <w:spacing w:line="360" w:lineRule="auto"/>
              <w:ind w:firstLine="480" w:firstLineChars="200"/>
              <w:rPr>
                <w:color w:val="FF0000"/>
                <w:sz w:val="24"/>
              </w:rPr>
            </w:pPr>
            <w:r>
              <w:rPr>
                <w:rFonts w:hint="default"/>
                <w:color w:val="FF0000"/>
                <w:sz w:val="24"/>
              </w:rPr>
              <w:t>处理工艺：隔油池+气浮装置+生化处理；</w:t>
            </w:r>
          </w:p>
          <w:p w14:paraId="4616FF2E">
            <w:pPr>
              <w:spacing w:line="360" w:lineRule="auto"/>
              <w:ind w:firstLine="480" w:firstLineChars="200"/>
              <w:rPr>
                <w:color w:val="FF0000"/>
                <w:sz w:val="24"/>
              </w:rPr>
            </w:pPr>
            <w:r>
              <w:rPr>
                <w:rFonts w:hint="default"/>
                <w:color w:val="FF0000"/>
                <w:sz w:val="24"/>
              </w:rPr>
              <w:t>排放标准：出水COD≤50mg/L、石油类≤1mg/L。</w:t>
            </w:r>
          </w:p>
          <w:p w14:paraId="2B429418">
            <w:pPr>
              <w:spacing w:line="360" w:lineRule="auto"/>
              <w:ind w:firstLine="480" w:firstLineChars="200"/>
              <w:rPr>
                <w:color w:val="FF0000"/>
                <w:sz w:val="24"/>
              </w:rPr>
            </w:pPr>
            <w:r>
              <w:rPr>
                <w:color w:val="FF0000"/>
                <w:sz w:val="24"/>
              </w:rPr>
              <w:t>（4）设备安装阶段</w:t>
            </w:r>
          </w:p>
          <w:p w14:paraId="49F01FCE">
            <w:pPr>
              <w:spacing w:line="360" w:lineRule="auto"/>
              <w:ind w:firstLine="480" w:firstLineChars="200"/>
              <w:rPr>
                <w:color w:val="FF0000"/>
                <w:sz w:val="24"/>
              </w:rPr>
            </w:pPr>
            <w:r>
              <w:rPr>
                <w:color w:val="FF0000"/>
                <w:sz w:val="24"/>
              </w:rPr>
              <w:t>进行各种设备的安装施工，最后进行外装饰和内装修。</w:t>
            </w:r>
          </w:p>
          <w:p w14:paraId="503CD377">
            <w:pPr>
              <w:spacing w:line="360" w:lineRule="auto"/>
              <w:ind w:firstLine="480" w:firstLineChars="200"/>
              <w:rPr>
                <w:color w:val="FF0000"/>
                <w:sz w:val="24"/>
              </w:rPr>
            </w:pPr>
            <w:r>
              <w:rPr>
                <w:color w:val="FF0000"/>
                <w:sz w:val="24"/>
              </w:rPr>
              <w:t>（5）清理整治阶段</w:t>
            </w:r>
          </w:p>
          <w:p w14:paraId="606301B0">
            <w:pPr>
              <w:spacing w:line="360" w:lineRule="auto"/>
              <w:ind w:firstLine="480" w:firstLineChars="200"/>
              <w:rPr>
                <w:color w:val="FF0000"/>
                <w:sz w:val="24"/>
              </w:rPr>
            </w:pPr>
            <w:r>
              <w:rPr>
                <w:color w:val="FF0000"/>
                <w:sz w:val="24"/>
              </w:rPr>
              <w:t>对整个建筑工地进行清理，清除杂物和固废，打扫卫生、准备投入使用。</w:t>
            </w:r>
          </w:p>
          <w:p w14:paraId="57947A12">
            <w:pPr>
              <w:tabs>
                <w:tab w:val="left" w:pos="7892"/>
              </w:tabs>
              <w:adjustRightInd w:val="0"/>
              <w:snapToGrid w:val="0"/>
              <w:spacing w:before="120" w:beforeLines="50"/>
              <w:jc w:val="center"/>
              <w:rPr>
                <w:b/>
                <w:color w:val="FF0000"/>
                <w:szCs w:val="21"/>
              </w:rPr>
            </w:pPr>
            <w:r>
              <w:rPr>
                <w:rFonts w:hint="eastAsia"/>
                <w:b/>
                <w:color w:val="FF0000"/>
                <w:szCs w:val="21"/>
              </w:rPr>
              <w:t>表2-</w:t>
            </w:r>
            <w:r>
              <w:rPr>
                <w:rFonts w:hint="eastAsia"/>
                <w:b/>
                <w:color w:val="FF0000"/>
                <w:szCs w:val="21"/>
                <w:lang w:val="en-US" w:eastAsia="zh-CN"/>
              </w:rPr>
              <w:t>9</w:t>
            </w:r>
            <w:r>
              <w:rPr>
                <w:rFonts w:hint="eastAsia"/>
                <w:b/>
                <w:color w:val="FF0000"/>
                <w:szCs w:val="21"/>
              </w:rPr>
              <w:t xml:space="preserve">  施工期项目主要产污节点及产污因子</w:t>
            </w:r>
          </w:p>
          <w:tbl>
            <w:tblPr>
              <w:tblStyle w:val="34"/>
              <w:tblW w:w="4998" w:type="pct"/>
              <w:jc w:val="center"/>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autofit"/>
              <w:tblCellMar>
                <w:top w:w="0" w:type="dxa"/>
                <w:left w:w="0" w:type="dxa"/>
                <w:bottom w:w="0" w:type="dxa"/>
                <w:right w:w="0" w:type="dxa"/>
              </w:tblCellMar>
            </w:tblPr>
            <w:tblGrid>
              <w:gridCol w:w="783"/>
              <w:gridCol w:w="1034"/>
              <w:gridCol w:w="2069"/>
              <w:gridCol w:w="1381"/>
              <w:gridCol w:w="3163"/>
            </w:tblGrid>
            <w:tr w14:paraId="17F81D52">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07" w:hRule="atLeast"/>
                <w:jc w:val="center"/>
              </w:trPr>
              <w:tc>
                <w:tcPr>
                  <w:tcW w:w="464" w:type="pct"/>
                  <w:vAlign w:val="center"/>
                </w:tcPr>
                <w:p w14:paraId="09445771">
                  <w:pPr>
                    <w:pStyle w:val="112"/>
                    <w:widowControl w:val="0"/>
                    <w:spacing w:beforeLines="0" w:afterLines="0"/>
                    <w:rPr>
                      <w:color w:val="FF0000"/>
                      <w:kern w:val="2"/>
                      <w:szCs w:val="21"/>
                    </w:rPr>
                  </w:pPr>
                  <w:r>
                    <w:rPr>
                      <w:color w:val="FF0000"/>
                      <w:kern w:val="2"/>
                      <w:szCs w:val="21"/>
                    </w:rPr>
                    <w:t>工序</w:t>
                  </w:r>
                </w:p>
              </w:tc>
              <w:tc>
                <w:tcPr>
                  <w:tcW w:w="613" w:type="pct"/>
                  <w:vAlign w:val="center"/>
                </w:tcPr>
                <w:p w14:paraId="31CD8C84">
                  <w:pPr>
                    <w:pStyle w:val="112"/>
                    <w:widowControl w:val="0"/>
                    <w:spacing w:beforeLines="0" w:afterLines="0"/>
                    <w:rPr>
                      <w:color w:val="FF0000"/>
                      <w:kern w:val="2"/>
                      <w:szCs w:val="21"/>
                    </w:rPr>
                  </w:pPr>
                  <w:r>
                    <w:rPr>
                      <w:color w:val="FF0000"/>
                      <w:kern w:val="2"/>
                      <w:szCs w:val="21"/>
                    </w:rPr>
                    <w:t>污染物</w:t>
                  </w:r>
                </w:p>
              </w:tc>
              <w:tc>
                <w:tcPr>
                  <w:tcW w:w="1227" w:type="pct"/>
                  <w:vAlign w:val="center"/>
                </w:tcPr>
                <w:p w14:paraId="6848074E">
                  <w:pPr>
                    <w:pStyle w:val="112"/>
                    <w:widowControl w:val="0"/>
                    <w:spacing w:beforeLines="0" w:afterLines="0"/>
                    <w:rPr>
                      <w:color w:val="FF0000"/>
                      <w:kern w:val="2"/>
                      <w:szCs w:val="21"/>
                    </w:rPr>
                  </w:pPr>
                  <w:r>
                    <w:rPr>
                      <w:color w:val="FF0000"/>
                      <w:kern w:val="2"/>
                      <w:szCs w:val="21"/>
                    </w:rPr>
                    <w:t>污染源</w:t>
                  </w:r>
                </w:p>
              </w:tc>
              <w:tc>
                <w:tcPr>
                  <w:tcW w:w="819" w:type="pct"/>
                  <w:vAlign w:val="center"/>
                </w:tcPr>
                <w:p w14:paraId="6DA0E3C4">
                  <w:pPr>
                    <w:pStyle w:val="112"/>
                    <w:widowControl w:val="0"/>
                    <w:spacing w:beforeLines="0" w:afterLines="0"/>
                    <w:rPr>
                      <w:color w:val="FF0000"/>
                      <w:kern w:val="2"/>
                      <w:szCs w:val="21"/>
                    </w:rPr>
                  </w:pPr>
                  <w:r>
                    <w:rPr>
                      <w:color w:val="FF0000"/>
                      <w:kern w:val="2"/>
                      <w:szCs w:val="21"/>
                    </w:rPr>
                    <w:t>污染因子</w:t>
                  </w:r>
                </w:p>
              </w:tc>
              <w:tc>
                <w:tcPr>
                  <w:tcW w:w="1875" w:type="pct"/>
                  <w:vAlign w:val="center"/>
                </w:tcPr>
                <w:p w14:paraId="5CB9A699">
                  <w:pPr>
                    <w:pStyle w:val="112"/>
                    <w:widowControl w:val="0"/>
                    <w:spacing w:beforeLines="0" w:afterLines="0"/>
                    <w:rPr>
                      <w:color w:val="FF0000"/>
                      <w:kern w:val="2"/>
                      <w:szCs w:val="21"/>
                    </w:rPr>
                  </w:pPr>
                  <w:r>
                    <w:rPr>
                      <w:color w:val="FF0000"/>
                      <w:kern w:val="2"/>
                      <w:szCs w:val="21"/>
                    </w:rPr>
                    <w:t>治理措施</w:t>
                  </w:r>
                </w:p>
              </w:tc>
            </w:tr>
            <w:tr w14:paraId="5AD0A9B0">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90" w:hRule="atLeast"/>
                <w:jc w:val="center"/>
              </w:trPr>
              <w:tc>
                <w:tcPr>
                  <w:tcW w:w="464" w:type="pct"/>
                  <w:vMerge w:val="restart"/>
                  <w:vAlign w:val="center"/>
                </w:tcPr>
                <w:p w14:paraId="46EBF8F3">
                  <w:pPr>
                    <w:pStyle w:val="112"/>
                    <w:widowControl w:val="0"/>
                    <w:spacing w:beforeLines="0" w:afterLines="0"/>
                    <w:rPr>
                      <w:color w:val="FF0000"/>
                      <w:kern w:val="2"/>
                      <w:szCs w:val="21"/>
                    </w:rPr>
                  </w:pPr>
                  <w:r>
                    <w:rPr>
                      <w:color w:val="FF0000"/>
                      <w:kern w:val="2"/>
                      <w:szCs w:val="21"/>
                    </w:rPr>
                    <w:t>施工期</w:t>
                  </w:r>
                </w:p>
              </w:tc>
              <w:tc>
                <w:tcPr>
                  <w:tcW w:w="613" w:type="pct"/>
                  <w:vAlign w:val="center"/>
                </w:tcPr>
                <w:p w14:paraId="6DA75C3C">
                  <w:pPr>
                    <w:pStyle w:val="112"/>
                    <w:widowControl w:val="0"/>
                    <w:spacing w:beforeLines="0" w:afterLines="0"/>
                    <w:rPr>
                      <w:color w:val="FF0000"/>
                      <w:kern w:val="2"/>
                      <w:szCs w:val="21"/>
                    </w:rPr>
                  </w:pPr>
                  <w:r>
                    <w:rPr>
                      <w:color w:val="FF0000"/>
                      <w:kern w:val="2"/>
                      <w:szCs w:val="21"/>
                    </w:rPr>
                    <w:t>废气</w:t>
                  </w:r>
                </w:p>
              </w:tc>
              <w:tc>
                <w:tcPr>
                  <w:tcW w:w="1227" w:type="pct"/>
                  <w:vAlign w:val="center"/>
                </w:tcPr>
                <w:p w14:paraId="2D527C3C">
                  <w:pPr>
                    <w:pStyle w:val="112"/>
                    <w:widowControl w:val="0"/>
                    <w:spacing w:beforeLines="0" w:afterLines="0"/>
                    <w:rPr>
                      <w:color w:val="FF0000"/>
                      <w:kern w:val="2"/>
                      <w:szCs w:val="21"/>
                    </w:rPr>
                  </w:pPr>
                  <w:r>
                    <w:rPr>
                      <w:color w:val="FF0000"/>
                      <w:kern w:val="2"/>
                      <w:szCs w:val="21"/>
                    </w:rPr>
                    <w:t>扬尘</w:t>
                  </w:r>
                </w:p>
              </w:tc>
              <w:tc>
                <w:tcPr>
                  <w:tcW w:w="819" w:type="pct"/>
                  <w:vAlign w:val="center"/>
                </w:tcPr>
                <w:p w14:paraId="21B96373">
                  <w:pPr>
                    <w:pStyle w:val="112"/>
                    <w:widowControl w:val="0"/>
                    <w:spacing w:beforeLines="0" w:afterLines="0"/>
                    <w:rPr>
                      <w:color w:val="FF0000"/>
                      <w:kern w:val="2"/>
                      <w:szCs w:val="21"/>
                    </w:rPr>
                  </w:pPr>
                  <w:r>
                    <w:rPr>
                      <w:color w:val="FF0000"/>
                      <w:kern w:val="2"/>
                      <w:szCs w:val="21"/>
                    </w:rPr>
                    <w:t>颗粒物</w:t>
                  </w:r>
                </w:p>
              </w:tc>
              <w:tc>
                <w:tcPr>
                  <w:tcW w:w="1875" w:type="pct"/>
                  <w:vAlign w:val="center"/>
                </w:tcPr>
                <w:p w14:paraId="195E91B4">
                  <w:pPr>
                    <w:pStyle w:val="112"/>
                    <w:widowControl w:val="0"/>
                    <w:spacing w:beforeLines="0" w:afterLines="0"/>
                    <w:rPr>
                      <w:color w:val="FF0000"/>
                      <w:kern w:val="2"/>
                      <w:szCs w:val="21"/>
                    </w:rPr>
                  </w:pPr>
                  <w:r>
                    <w:rPr>
                      <w:color w:val="FF0000"/>
                      <w:kern w:val="2"/>
                      <w:szCs w:val="21"/>
                    </w:rPr>
                    <w:t>施工场地洒水工作，运输车辆加盖篷布，及时清运建筑垃圾、弃土</w:t>
                  </w:r>
                </w:p>
              </w:tc>
            </w:tr>
            <w:tr w14:paraId="0FD63860">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31" w:hRule="atLeast"/>
                <w:jc w:val="center"/>
              </w:trPr>
              <w:tc>
                <w:tcPr>
                  <w:tcW w:w="464" w:type="pct"/>
                  <w:vMerge w:val="continue"/>
                  <w:vAlign w:val="center"/>
                </w:tcPr>
                <w:p w14:paraId="584704A9">
                  <w:pPr>
                    <w:pStyle w:val="112"/>
                    <w:widowControl w:val="0"/>
                    <w:spacing w:beforeLines="0" w:afterLines="0"/>
                    <w:rPr>
                      <w:color w:val="FF0000"/>
                      <w:kern w:val="2"/>
                      <w:szCs w:val="21"/>
                    </w:rPr>
                  </w:pPr>
                </w:p>
              </w:tc>
              <w:tc>
                <w:tcPr>
                  <w:tcW w:w="613" w:type="pct"/>
                  <w:vAlign w:val="center"/>
                </w:tcPr>
                <w:p w14:paraId="03B2F901">
                  <w:pPr>
                    <w:pStyle w:val="112"/>
                    <w:widowControl w:val="0"/>
                    <w:spacing w:beforeLines="0" w:afterLines="0"/>
                    <w:rPr>
                      <w:color w:val="FF0000"/>
                      <w:kern w:val="2"/>
                      <w:szCs w:val="21"/>
                    </w:rPr>
                  </w:pPr>
                  <w:r>
                    <w:rPr>
                      <w:color w:val="FF0000"/>
                      <w:kern w:val="2"/>
                      <w:szCs w:val="21"/>
                    </w:rPr>
                    <w:t>废水</w:t>
                  </w:r>
                </w:p>
              </w:tc>
              <w:tc>
                <w:tcPr>
                  <w:tcW w:w="1227" w:type="pct"/>
                  <w:vAlign w:val="center"/>
                </w:tcPr>
                <w:p w14:paraId="172C6DAF">
                  <w:pPr>
                    <w:pStyle w:val="112"/>
                    <w:widowControl w:val="0"/>
                    <w:spacing w:beforeLines="0" w:afterLines="0"/>
                    <w:rPr>
                      <w:color w:val="FF0000"/>
                      <w:kern w:val="2"/>
                      <w:szCs w:val="21"/>
                    </w:rPr>
                  </w:pPr>
                  <w:r>
                    <w:rPr>
                      <w:color w:val="FF0000"/>
                      <w:kern w:val="2"/>
                      <w:szCs w:val="21"/>
                    </w:rPr>
                    <w:t>施工人员生活污水</w:t>
                  </w:r>
                </w:p>
              </w:tc>
              <w:tc>
                <w:tcPr>
                  <w:tcW w:w="819" w:type="pct"/>
                  <w:vAlign w:val="center"/>
                </w:tcPr>
                <w:p w14:paraId="65CF0781">
                  <w:pPr>
                    <w:pStyle w:val="112"/>
                    <w:widowControl w:val="0"/>
                    <w:spacing w:beforeLines="0" w:afterLines="0"/>
                    <w:rPr>
                      <w:color w:val="FF0000"/>
                      <w:kern w:val="2"/>
                      <w:szCs w:val="21"/>
                    </w:rPr>
                  </w:pPr>
                  <w:r>
                    <w:rPr>
                      <w:color w:val="FF0000"/>
                      <w:kern w:val="2"/>
                      <w:szCs w:val="21"/>
                    </w:rPr>
                    <w:t>COD、SS、氨氮</w:t>
                  </w:r>
                </w:p>
              </w:tc>
              <w:tc>
                <w:tcPr>
                  <w:tcW w:w="1875" w:type="pct"/>
                  <w:vAlign w:val="center"/>
                </w:tcPr>
                <w:p w14:paraId="0D7FE193">
                  <w:pPr>
                    <w:pStyle w:val="112"/>
                    <w:widowControl w:val="0"/>
                    <w:spacing w:beforeLines="0" w:afterLines="0"/>
                    <w:rPr>
                      <w:rFonts w:hint="default" w:eastAsia="宋体"/>
                      <w:color w:val="FF0000"/>
                      <w:kern w:val="2"/>
                      <w:szCs w:val="21"/>
                      <w:lang w:val="en-US" w:eastAsia="zh-CN"/>
                    </w:rPr>
                  </w:pPr>
                  <w:r>
                    <w:rPr>
                      <w:rFonts w:hint="eastAsia"/>
                      <w:color w:val="FF0000"/>
                      <w:kern w:val="2"/>
                      <w:szCs w:val="21"/>
                    </w:rPr>
                    <w:t>排入厂区防渗化粪池</w:t>
                  </w:r>
                  <w:r>
                    <w:rPr>
                      <w:rFonts w:hint="eastAsia"/>
                      <w:color w:val="FF0000"/>
                      <w:kern w:val="2"/>
                      <w:szCs w:val="21"/>
                      <w:lang w:eastAsia="zh-CN"/>
                    </w:rPr>
                    <w:t>，</w:t>
                  </w:r>
                  <w:r>
                    <w:rPr>
                      <w:rFonts w:hint="eastAsia"/>
                      <w:color w:val="FF0000"/>
                      <w:kern w:val="2"/>
                      <w:szCs w:val="21"/>
                      <w:lang w:val="en-US" w:eastAsia="zh-CN"/>
                    </w:rPr>
                    <w:t>定期清掏</w:t>
                  </w:r>
                </w:p>
              </w:tc>
            </w:tr>
            <w:tr w14:paraId="1A19662C">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171" w:hRule="atLeast"/>
                <w:jc w:val="center"/>
              </w:trPr>
              <w:tc>
                <w:tcPr>
                  <w:tcW w:w="464" w:type="pct"/>
                  <w:vMerge w:val="continue"/>
                  <w:vAlign w:val="center"/>
                </w:tcPr>
                <w:p w14:paraId="0406E984">
                  <w:pPr>
                    <w:pStyle w:val="112"/>
                    <w:widowControl w:val="0"/>
                    <w:spacing w:beforeLines="0" w:afterLines="0"/>
                    <w:rPr>
                      <w:color w:val="FF0000"/>
                      <w:kern w:val="2"/>
                      <w:szCs w:val="21"/>
                    </w:rPr>
                  </w:pPr>
                </w:p>
              </w:tc>
              <w:tc>
                <w:tcPr>
                  <w:tcW w:w="613" w:type="pct"/>
                  <w:vAlign w:val="center"/>
                </w:tcPr>
                <w:p w14:paraId="23E39F47">
                  <w:pPr>
                    <w:pStyle w:val="112"/>
                    <w:widowControl w:val="0"/>
                    <w:spacing w:beforeLines="0" w:afterLines="0"/>
                    <w:rPr>
                      <w:color w:val="FF0000"/>
                      <w:kern w:val="2"/>
                      <w:szCs w:val="21"/>
                    </w:rPr>
                  </w:pPr>
                  <w:r>
                    <w:rPr>
                      <w:color w:val="FF0000"/>
                      <w:kern w:val="2"/>
                      <w:szCs w:val="21"/>
                    </w:rPr>
                    <w:t>噪声</w:t>
                  </w:r>
                </w:p>
              </w:tc>
              <w:tc>
                <w:tcPr>
                  <w:tcW w:w="1227" w:type="pct"/>
                  <w:vAlign w:val="center"/>
                </w:tcPr>
                <w:p w14:paraId="2B35A865">
                  <w:pPr>
                    <w:pStyle w:val="112"/>
                    <w:widowControl w:val="0"/>
                    <w:spacing w:beforeLines="0" w:afterLines="0"/>
                    <w:rPr>
                      <w:color w:val="FF0000"/>
                      <w:kern w:val="2"/>
                      <w:szCs w:val="21"/>
                    </w:rPr>
                  </w:pPr>
                  <w:r>
                    <w:rPr>
                      <w:color w:val="FF0000"/>
                      <w:kern w:val="2"/>
                      <w:szCs w:val="21"/>
                    </w:rPr>
                    <w:t>车辆施工设备噪声</w:t>
                  </w:r>
                </w:p>
              </w:tc>
              <w:tc>
                <w:tcPr>
                  <w:tcW w:w="819" w:type="pct"/>
                  <w:vAlign w:val="center"/>
                </w:tcPr>
                <w:p w14:paraId="2C446C91">
                  <w:pPr>
                    <w:pStyle w:val="112"/>
                    <w:widowControl w:val="0"/>
                    <w:spacing w:beforeLines="0" w:afterLines="0"/>
                    <w:rPr>
                      <w:color w:val="FF0000"/>
                      <w:kern w:val="2"/>
                      <w:szCs w:val="21"/>
                    </w:rPr>
                  </w:pPr>
                  <w:r>
                    <w:rPr>
                      <w:color w:val="FF0000"/>
                      <w:kern w:val="2"/>
                      <w:szCs w:val="21"/>
                    </w:rPr>
                    <w:t>等效A声级</w:t>
                  </w:r>
                </w:p>
              </w:tc>
              <w:tc>
                <w:tcPr>
                  <w:tcW w:w="1875" w:type="pct"/>
                  <w:vAlign w:val="center"/>
                </w:tcPr>
                <w:p w14:paraId="17FF47D4">
                  <w:pPr>
                    <w:pStyle w:val="112"/>
                    <w:widowControl w:val="0"/>
                    <w:spacing w:beforeLines="0" w:afterLines="0"/>
                    <w:rPr>
                      <w:color w:val="FF0000"/>
                      <w:kern w:val="2"/>
                      <w:szCs w:val="21"/>
                    </w:rPr>
                  </w:pPr>
                  <w:r>
                    <w:rPr>
                      <w:color w:val="FF0000"/>
                      <w:kern w:val="2"/>
                      <w:szCs w:val="21"/>
                    </w:rPr>
                    <w:t>设置围墙隔声，距离衰减</w:t>
                  </w:r>
                </w:p>
              </w:tc>
            </w:tr>
            <w:tr w14:paraId="228E6FF6">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90" w:hRule="atLeast"/>
                <w:jc w:val="center"/>
              </w:trPr>
              <w:tc>
                <w:tcPr>
                  <w:tcW w:w="464" w:type="pct"/>
                  <w:vMerge w:val="continue"/>
                  <w:vAlign w:val="center"/>
                </w:tcPr>
                <w:p w14:paraId="120353E9">
                  <w:pPr>
                    <w:pStyle w:val="112"/>
                    <w:widowControl w:val="0"/>
                    <w:spacing w:beforeLines="0" w:afterLines="0"/>
                    <w:rPr>
                      <w:color w:val="FF0000"/>
                      <w:kern w:val="2"/>
                      <w:szCs w:val="21"/>
                    </w:rPr>
                  </w:pPr>
                </w:p>
              </w:tc>
              <w:tc>
                <w:tcPr>
                  <w:tcW w:w="613" w:type="pct"/>
                  <w:vAlign w:val="center"/>
                </w:tcPr>
                <w:p w14:paraId="685C34CE">
                  <w:pPr>
                    <w:pStyle w:val="112"/>
                    <w:widowControl w:val="0"/>
                    <w:spacing w:beforeLines="0" w:afterLines="0"/>
                    <w:rPr>
                      <w:color w:val="FF0000"/>
                      <w:kern w:val="2"/>
                      <w:szCs w:val="21"/>
                    </w:rPr>
                  </w:pPr>
                  <w:r>
                    <w:rPr>
                      <w:color w:val="FF0000"/>
                      <w:kern w:val="2"/>
                      <w:szCs w:val="21"/>
                    </w:rPr>
                    <w:t>固体废物</w:t>
                  </w:r>
                </w:p>
              </w:tc>
              <w:tc>
                <w:tcPr>
                  <w:tcW w:w="1227" w:type="pct"/>
                  <w:vAlign w:val="center"/>
                </w:tcPr>
                <w:p w14:paraId="28B47CFE">
                  <w:pPr>
                    <w:pStyle w:val="112"/>
                    <w:widowControl w:val="0"/>
                    <w:spacing w:beforeLines="0" w:afterLines="0"/>
                    <w:rPr>
                      <w:color w:val="FF0000"/>
                      <w:kern w:val="2"/>
                      <w:szCs w:val="21"/>
                    </w:rPr>
                  </w:pPr>
                  <w:r>
                    <w:rPr>
                      <w:color w:val="FF0000"/>
                      <w:kern w:val="2"/>
                      <w:szCs w:val="21"/>
                    </w:rPr>
                    <w:t>建筑垃圾、生活垃圾</w:t>
                  </w:r>
                </w:p>
              </w:tc>
              <w:tc>
                <w:tcPr>
                  <w:tcW w:w="819" w:type="pct"/>
                  <w:vAlign w:val="center"/>
                </w:tcPr>
                <w:p w14:paraId="1523AABB">
                  <w:pPr>
                    <w:pStyle w:val="112"/>
                    <w:widowControl w:val="0"/>
                    <w:spacing w:beforeLines="0" w:afterLines="0"/>
                    <w:rPr>
                      <w:color w:val="FF0000"/>
                      <w:kern w:val="2"/>
                      <w:szCs w:val="21"/>
                    </w:rPr>
                  </w:pPr>
                  <w:r>
                    <w:rPr>
                      <w:color w:val="FF0000"/>
                      <w:kern w:val="2"/>
                      <w:szCs w:val="21"/>
                    </w:rPr>
                    <w:t>/</w:t>
                  </w:r>
                  <w:r>
                    <w:rPr>
                      <w:rFonts w:hint="eastAsia"/>
                      <w:color w:val="FF0000"/>
                      <w:kern w:val="2"/>
                      <w:szCs w:val="21"/>
                    </w:rPr>
                    <w:t xml:space="preserve"> </w:t>
                  </w:r>
                </w:p>
              </w:tc>
              <w:tc>
                <w:tcPr>
                  <w:tcW w:w="1875" w:type="pct"/>
                  <w:vAlign w:val="center"/>
                </w:tcPr>
                <w:p w14:paraId="210E5E65">
                  <w:pPr>
                    <w:pStyle w:val="112"/>
                    <w:widowControl w:val="0"/>
                    <w:spacing w:beforeLines="0" w:afterLines="0"/>
                    <w:rPr>
                      <w:color w:val="FF0000"/>
                      <w:kern w:val="2"/>
                      <w:szCs w:val="21"/>
                    </w:rPr>
                  </w:pPr>
                  <w:r>
                    <w:rPr>
                      <w:color w:val="FF0000"/>
                      <w:kern w:val="2"/>
                      <w:szCs w:val="21"/>
                      <w:lang w:val="zh-CN"/>
                    </w:rPr>
                    <w:t>施工期产生的弃土与建筑垃圾一起外运，由建设单位运至相关部门指定的地点处置。施工人员生活垃圾集中处理运送至环卫部门指定地点</w:t>
                  </w:r>
                </w:p>
              </w:tc>
            </w:tr>
          </w:tbl>
          <w:p w14:paraId="3A1C6120">
            <w:pPr>
              <w:tabs>
                <w:tab w:val="left" w:pos="1668"/>
              </w:tabs>
              <w:adjustRightInd w:val="0"/>
              <w:snapToGrid w:val="0"/>
              <w:spacing w:line="360" w:lineRule="auto"/>
              <w:jc w:val="left"/>
              <w:rPr>
                <w:b/>
                <w:color w:val="000000" w:themeColor="text1"/>
                <w:sz w:val="24"/>
                <w14:textFill>
                  <w14:solidFill>
                    <w14:schemeClr w14:val="tx1"/>
                  </w14:solidFill>
                </w14:textFill>
              </w:rPr>
            </w:pPr>
            <w:r>
              <w:rPr>
                <w:rFonts w:hint="eastAsia"/>
                <w:b/>
                <w:color w:val="000000" w:themeColor="text1"/>
                <w:sz w:val="24"/>
                <w14:textFill>
                  <w14:solidFill>
                    <w14:schemeClr w14:val="tx1"/>
                  </w14:solidFill>
                </w14:textFill>
              </w:rPr>
              <w:t>2.</w:t>
            </w:r>
            <w:r>
              <w:rPr>
                <w:b/>
                <w:color w:val="000000" w:themeColor="text1"/>
                <w:sz w:val="24"/>
                <w14:textFill>
                  <w14:solidFill>
                    <w14:schemeClr w14:val="tx1"/>
                  </w14:solidFill>
                </w14:textFill>
              </w:rPr>
              <w:t>运营期工艺流程</w:t>
            </w:r>
            <w:r>
              <w:rPr>
                <w:rFonts w:hint="eastAsia"/>
                <w:b/>
                <w:bCs/>
                <w:color w:val="000000" w:themeColor="text1"/>
                <w:sz w:val="24"/>
                <w14:textFill>
                  <w14:solidFill>
                    <w14:schemeClr w14:val="tx1"/>
                  </w14:solidFill>
                </w14:textFill>
              </w:rPr>
              <w:t>及产排污节点</w:t>
            </w:r>
          </w:p>
          <w:p w14:paraId="25AA12E4">
            <w:pPr>
              <w:spacing w:line="360" w:lineRule="auto"/>
              <w:ind w:firstLine="480" w:firstLineChars="200"/>
              <w:jc w:val="left"/>
              <w:rPr>
                <w:color w:val="000000"/>
                <w:sz w:val="24"/>
              </w:rPr>
            </w:pPr>
            <w:r>
              <w:rPr>
                <w:color w:val="000000"/>
                <w:sz w:val="24"/>
              </w:rPr>
              <w:t>建设项目主要从事报废汽车拆解的生产活动，具体分析如下：</w:t>
            </w:r>
          </w:p>
          <w:p w14:paraId="42DF79E2">
            <w:pPr>
              <w:spacing w:line="360" w:lineRule="auto"/>
              <w:ind w:firstLine="482" w:firstLineChars="200"/>
              <w:rPr>
                <w:b/>
                <w:bCs/>
                <w:color w:val="000000"/>
                <w:sz w:val="24"/>
              </w:rPr>
            </w:pPr>
            <w:r>
              <w:rPr>
                <w:rFonts w:hint="eastAsia"/>
                <w:b/>
                <w:bCs/>
                <w:color w:val="000000"/>
                <w:sz w:val="24"/>
              </w:rPr>
              <w:t>2.1</w:t>
            </w:r>
            <w:r>
              <w:rPr>
                <w:b/>
                <w:bCs/>
                <w:color w:val="000000"/>
                <w:sz w:val="24"/>
              </w:rPr>
              <w:t>报废汽车回收程序</w:t>
            </w:r>
          </w:p>
          <w:p w14:paraId="29FA5644">
            <w:pPr>
              <w:spacing w:line="360" w:lineRule="auto"/>
              <w:ind w:firstLine="480" w:firstLineChars="200"/>
              <w:rPr>
                <w:color w:val="000000" w:themeColor="text1"/>
                <w:sz w:val="24"/>
                <w14:textFill>
                  <w14:solidFill>
                    <w14:schemeClr w14:val="tx1"/>
                  </w14:solidFill>
                </w14:textFill>
              </w:rPr>
            </w:pPr>
            <w:r>
              <w:rPr>
                <w:color w:val="000000"/>
                <w:sz w:val="24"/>
              </w:rPr>
              <w:t>根据《道路车辆可再利用性及可回收利用性计算方法》（GB/T19515-2004）及《汽车回收利用术语》（GB/T26989-2011）规定，车辆材料主要分为：金属、聚合物（不包括橡胶）、橡胶、玻璃、液体、经过改良的有机天然材料及其他（如化合物、电子部件、电</w:t>
            </w:r>
            <w:r>
              <w:rPr>
                <w:color w:val="000000" w:themeColor="text1"/>
                <w:sz w:val="24"/>
                <w14:textFill>
                  <w14:solidFill>
                    <w14:schemeClr w14:val="tx1"/>
                  </w14:solidFill>
                </w14:textFill>
              </w:rPr>
              <w:t>器设备）。</w:t>
            </w:r>
          </w:p>
          <w:p w14:paraId="5CBE13C2">
            <w:pPr>
              <w:spacing w:line="360" w:lineRule="auto"/>
              <w:ind w:firstLine="480" w:firstLineChars="200"/>
              <w:rPr>
                <w:color w:val="000000"/>
                <w:sz w:val="24"/>
              </w:rPr>
            </w:pPr>
            <w:r>
              <w:rPr>
                <w:color w:val="000000" w:themeColor="text1"/>
                <w:sz w:val="24"/>
                <w14:textFill>
                  <w14:solidFill>
                    <w14:schemeClr w14:val="tx1"/>
                  </w14:solidFill>
                </w14:textFill>
              </w:rPr>
              <w:t>《汽车产品回收利用技术政策》（2006年9号）指出：要综合考虑汽车产品生产、维修、拆解等环节的材料再利用，鼓励汽车制造过程中使用</w:t>
            </w:r>
            <w:r>
              <w:rPr>
                <w:color w:val="000000"/>
                <w:sz w:val="24"/>
              </w:rPr>
              <w:t>可再生材料，鼓励维修时使用再利用零部件，提高材料的循环利用率。报废汽车回收程序见图2-</w:t>
            </w:r>
            <w:r>
              <w:rPr>
                <w:rFonts w:hint="eastAsia"/>
                <w:color w:val="000000"/>
                <w:sz w:val="24"/>
                <w:lang w:val="en-US" w:eastAsia="zh-CN"/>
              </w:rPr>
              <w:t>3</w:t>
            </w:r>
            <w:r>
              <w:rPr>
                <w:color w:val="000000"/>
                <w:sz w:val="24"/>
              </w:rPr>
              <w:t>。</w:t>
            </w:r>
          </w:p>
          <w:p w14:paraId="46BB61AA">
            <w:pPr>
              <w:spacing w:line="360" w:lineRule="auto"/>
              <w:rPr>
                <w:color w:val="000000"/>
                <w:sz w:val="24"/>
              </w:rPr>
            </w:pPr>
            <w:r>
              <w:rPr>
                <w:color w:val="000000"/>
              </w:rPr>
              <w:drawing>
                <wp:inline distT="0" distB="0" distL="114300" distR="114300">
                  <wp:extent cx="5320030" cy="3886835"/>
                  <wp:effectExtent l="0" t="0" r="13970" b="18415"/>
                  <wp:docPr id="7"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4"/>
                          <pic:cNvPicPr>
                            <a:picLocks noChangeAspect="1"/>
                          </pic:cNvPicPr>
                        </pic:nvPicPr>
                        <pic:blipFill>
                          <a:blip r:embed="rId18"/>
                          <a:srcRect l="4724" t="1660" r="2660"/>
                          <a:stretch>
                            <a:fillRect/>
                          </a:stretch>
                        </pic:blipFill>
                        <pic:spPr>
                          <a:xfrm>
                            <a:off x="0" y="0"/>
                            <a:ext cx="5320030" cy="3886835"/>
                          </a:xfrm>
                          <a:prstGeom prst="rect">
                            <a:avLst/>
                          </a:prstGeom>
                          <a:noFill/>
                          <a:ln>
                            <a:noFill/>
                          </a:ln>
                        </pic:spPr>
                      </pic:pic>
                    </a:graphicData>
                  </a:graphic>
                </wp:inline>
              </w:drawing>
            </w:r>
          </w:p>
          <w:p w14:paraId="791AEABD">
            <w:pPr>
              <w:spacing w:line="360" w:lineRule="auto"/>
              <w:jc w:val="center"/>
              <w:rPr>
                <w:b/>
                <w:color w:val="000000"/>
                <w:szCs w:val="21"/>
              </w:rPr>
            </w:pPr>
            <w:r>
              <w:rPr>
                <w:b/>
                <w:color w:val="000000"/>
                <w:szCs w:val="21"/>
              </w:rPr>
              <w:t>图2-</w:t>
            </w:r>
            <w:r>
              <w:rPr>
                <w:rFonts w:hint="eastAsia"/>
                <w:b/>
                <w:color w:val="000000"/>
                <w:szCs w:val="21"/>
              </w:rPr>
              <w:t>3</w:t>
            </w:r>
            <w:r>
              <w:rPr>
                <w:b/>
                <w:color w:val="000000"/>
                <w:szCs w:val="21"/>
              </w:rPr>
              <w:t xml:space="preserve">  国家规定的报废汽车回收程序</w:t>
            </w:r>
          </w:p>
          <w:p w14:paraId="13143F50">
            <w:pPr>
              <w:spacing w:line="360" w:lineRule="auto"/>
              <w:ind w:firstLine="482" w:firstLineChars="200"/>
              <w:rPr>
                <w:b/>
                <w:bCs/>
                <w:color w:val="000000"/>
                <w:sz w:val="24"/>
              </w:rPr>
            </w:pPr>
            <w:r>
              <w:rPr>
                <w:rFonts w:hint="eastAsia"/>
                <w:b/>
                <w:bCs/>
                <w:color w:val="000000"/>
                <w:sz w:val="24"/>
              </w:rPr>
              <w:t>2.2报废机动车拆解工艺</w:t>
            </w:r>
          </w:p>
          <w:p w14:paraId="3C86DD89">
            <w:pPr>
              <w:spacing w:line="360" w:lineRule="auto"/>
              <w:ind w:firstLine="480" w:firstLineChars="200"/>
              <w:rPr>
                <w:color w:val="000000"/>
                <w:sz w:val="24"/>
              </w:rPr>
            </w:pPr>
            <w:r>
              <w:rPr>
                <w:color w:val="000000"/>
                <w:sz w:val="24"/>
              </w:rPr>
              <w:t>工艺流程简述：外运回来的报废机动车进场登记后进行预处理，在拆解车间的预处理区</w:t>
            </w:r>
            <w:r>
              <w:rPr>
                <w:rFonts w:hint="eastAsia"/>
                <w:color w:val="000000"/>
                <w:sz w:val="24"/>
                <w:lang w:val="en-US" w:eastAsia="zh-CN"/>
              </w:rPr>
              <w:t>及电池拆卸区</w:t>
            </w:r>
            <w:r>
              <w:rPr>
                <w:color w:val="000000"/>
                <w:sz w:val="24"/>
              </w:rPr>
              <w:t>将废油液抽取、电池拆卸、气囊移出引爆后将车辆暂存在</w:t>
            </w:r>
            <w:r>
              <w:rPr>
                <w:rFonts w:hint="eastAsia"/>
                <w:color w:val="000000"/>
                <w:sz w:val="24"/>
              </w:rPr>
              <w:t>报废车辆暂存区</w:t>
            </w:r>
            <w:r>
              <w:rPr>
                <w:color w:val="000000"/>
                <w:sz w:val="24"/>
              </w:rPr>
              <w:t>。报废机动车在拆解车间的拆解区进行总成的拆解，并由人工进行零部件（不包括铅蓄电池、含汞开关等属危险废物的零部件）的拆解，拆解下来的零部件分类暂存。车身、车架</w:t>
            </w:r>
            <w:r>
              <w:rPr>
                <w:rFonts w:hint="eastAsia"/>
                <w:color w:val="000000"/>
                <w:sz w:val="24"/>
              </w:rPr>
              <w:t>、发动机</w:t>
            </w:r>
            <w:r>
              <w:rPr>
                <w:color w:val="000000"/>
                <w:sz w:val="24"/>
              </w:rPr>
              <w:t>等较大钢铁部件则进入破碎车间进行破碎，破碎分选得到钢铁、有色金属和碎屑物。各类物品进行分类暂存，可利用物出售给相关企业回收，危险废物交由具有相对应危险废物处理资质的单位处理，其余一般废物交物资回收企业回收处理。</w:t>
            </w:r>
          </w:p>
          <w:p w14:paraId="0B071D81">
            <w:pPr>
              <w:spacing w:line="360" w:lineRule="auto"/>
              <w:ind w:firstLine="480" w:firstLineChars="200"/>
              <w:rPr>
                <w:color w:val="000000"/>
                <w:sz w:val="24"/>
              </w:rPr>
            </w:pPr>
            <w:r>
              <w:rPr>
                <w:color w:val="000000"/>
                <w:sz w:val="24"/>
              </w:rPr>
              <w:t>除切割、剪切以及破碎、分选系统为机械设备，其余工序均以人工操作为主。</w:t>
            </w:r>
          </w:p>
          <w:p w14:paraId="4FCE0C9E">
            <w:pPr>
              <w:spacing w:line="360" w:lineRule="auto"/>
              <w:ind w:firstLine="480" w:firstLineChars="200"/>
            </w:pPr>
            <w:r>
              <w:rPr>
                <w:rFonts w:hint="eastAsia"/>
                <w:color w:val="000000"/>
                <w:sz w:val="24"/>
              </w:rPr>
              <w:t>事故报废车辆相比普通报废车辆具有优先级，即进场后不储存，直接进行拆解。事故车辆一般伴随油液的泄漏、安全气囊的炸开，故事故报废车辆进场后先进性废油液的抽取收集，随后与普通报废车辆一样进行报废拆解，安全气囊不用再进行引爆。</w:t>
            </w:r>
          </w:p>
          <w:p w14:paraId="24CA0004">
            <w:pPr>
              <w:adjustRightInd w:val="0"/>
              <w:snapToGrid w:val="0"/>
              <w:spacing w:line="360" w:lineRule="auto"/>
              <w:jc w:val="center"/>
              <w:rPr>
                <w:rFonts w:hint="eastAsia" w:hAnsi="宋体" w:eastAsia="宋体"/>
                <w:color w:val="000000" w:themeColor="text1"/>
                <w:sz w:val="24"/>
                <w:lang w:eastAsia="zh-CN"/>
                <w14:textFill>
                  <w14:solidFill>
                    <w14:schemeClr w14:val="tx1"/>
                  </w14:solidFill>
                </w14:textFill>
              </w:rPr>
            </w:pPr>
            <w:r>
              <w:rPr>
                <w:rFonts w:hint="eastAsia" w:hAnsi="宋体" w:eastAsia="宋体"/>
                <w:color w:val="000000" w:themeColor="text1"/>
                <w:sz w:val="24"/>
                <w:lang w:eastAsia="zh-CN"/>
                <w14:textFill>
                  <w14:solidFill>
                    <w14:schemeClr w14:val="tx1"/>
                  </w14:solidFill>
                </w14:textFill>
              </w:rPr>
              <w:drawing>
                <wp:inline distT="0" distB="0" distL="114300" distR="114300">
                  <wp:extent cx="5344795" cy="7720965"/>
                  <wp:effectExtent l="0" t="0" r="8255" b="13335"/>
                  <wp:docPr id="4" name="图片 4" descr="mermaid-2025718 165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mermaid-2025718 165040"/>
                          <pic:cNvPicPr>
                            <a:picLocks noChangeAspect="1"/>
                          </pic:cNvPicPr>
                        </pic:nvPicPr>
                        <pic:blipFill>
                          <a:blip r:embed="rId19"/>
                          <a:stretch>
                            <a:fillRect/>
                          </a:stretch>
                        </pic:blipFill>
                        <pic:spPr>
                          <a:xfrm>
                            <a:off x="0" y="0"/>
                            <a:ext cx="5344795" cy="7720965"/>
                          </a:xfrm>
                          <a:prstGeom prst="rect">
                            <a:avLst/>
                          </a:prstGeom>
                        </pic:spPr>
                      </pic:pic>
                    </a:graphicData>
                  </a:graphic>
                </wp:inline>
              </w:drawing>
            </w:r>
          </w:p>
          <w:p w14:paraId="6625AFEB">
            <w:pPr>
              <w:adjustRightInd w:val="0"/>
              <w:snapToGrid w:val="0"/>
              <w:spacing w:line="360" w:lineRule="auto"/>
              <w:jc w:val="center"/>
              <w:rPr>
                <w:rFonts w:hint="eastAsia" w:hAnsi="宋体"/>
                <w:b/>
                <w:bCs/>
                <w:color w:val="FF0000"/>
                <w:sz w:val="24"/>
              </w:rPr>
            </w:pPr>
            <w:r>
              <w:rPr>
                <w:rFonts w:hint="eastAsia"/>
                <w:b/>
                <w:bCs/>
                <w:color w:val="FF0000"/>
              </w:rPr>
              <w:t>图</w:t>
            </w:r>
            <w:r>
              <w:rPr>
                <w:b/>
                <w:bCs/>
                <w:color w:val="FF0000"/>
              </w:rPr>
              <w:t>2</w:t>
            </w:r>
            <w:r>
              <w:rPr>
                <w:rFonts w:hint="eastAsia"/>
                <w:b/>
                <w:bCs/>
                <w:color w:val="FF0000"/>
              </w:rPr>
              <w:t xml:space="preserve">-4  </w:t>
            </w:r>
            <w:r>
              <w:rPr>
                <w:b/>
                <w:color w:val="FF0000"/>
                <w:szCs w:val="15"/>
              </w:rPr>
              <w:t>传统燃料汽车拆解作业流程及产污环节图</w:t>
            </w:r>
          </w:p>
          <w:p w14:paraId="47CA6E34">
            <w:pPr>
              <w:pStyle w:val="99"/>
              <w:adjustRightInd w:val="0"/>
              <w:snapToGrid w:val="0"/>
              <w:ind w:firstLine="0"/>
              <w:jc w:val="center"/>
              <w:rPr>
                <w:color w:val="000000" w:themeColor="text1"/>
                <w:sz w:val="24"/>
                <w:szCs w:val="24"/>
                <w:lang w:val="en-US"/>
                <w14:textFill>
                  <w14:solidFill>
                    <w14:schemeClr w14:val="tx1"/>
                  </w14:solidFill>
                </w14:textFill>
              </w:rPr>
            </w:pPr>
          </w:p>
          <w:p w14:paraId="4ED56AB8">
            <w:pPr>
              <w:adjustRightInd w:val="0"/>
              <w:snapToGrid w:val="0"/>
              <w:spacing w:line="360" w:lineRule="auto"/>
              <w:jc w:val="center"/>
              <w:rPr>
                <w:rFonts w:hint="eastAsia"/>
                <w:b/>
                <w:bCs/>
                <w:color w:val="000000" w:themeColor="text1"/>
                <w14:textFill>
                  <w14:solidFill>
                    <w14:schemeClr w14:val="tx1"/>
                  </w14:solidFill>
                </w14:textFill>
              </w:rPr>
            </w:pPr>
            <w:r>
              <w:rPr>
                <w:rFonts w:hint="eastAsia"/>
                <w:b/>
                <w:bCs/>
                <w:color w:val="000000" w:themeColor="text1"/>
                <w14:textFill>
                  <w14:solidFill>
                    <w14:schemeClr w14:val="tx1"/>
                  </w14:solidFill>
                </w14:textFill>
              </w:rPr>
              <w:drawing>
                <wp:inline distT="0" distB="0" distL="114300" distR="114300">
                  <wp:extent cx="5344795" cy="7611745"/>
                  <wp:effectExtent l="0" t="0" r="8255" b="8255"/>
                  <wp:docPr id="9" name="图片 9" descr="mermaid-2025718 165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mermaid-2025718 165232"/>
                          <pic:cNvPicPr>
                            <a:picLocks noChangeAspect="1"/>
                          </pic:cNvPicPr>
                        </pic:nvPicPr>
                        <pic:blipFill>
                          <a:blip r:embed="rId20"/>
                          <a:stretch>
                            <a:fillRect/>
                          </a:stretch>
                        </pic:blipFill>
                        <pic:spPr>
                          <a:xfrm>
                            <a:off x="0" y="0"/>
                            <a:ext cx="5344795" cy="7611745"/>
                          </a:xfrm>
                          <a:prstGeom prst="rect">
                            <a:avLst/>
                          </a:prstGeom>
                        </pic:spPr>
                      </pic:pic>
                    </a:graphicData>
                  </a:graphic>
                </wp:inline>
              </w:drawing>
            </w:r>
            <w:r>
              <w:rPr>
                <w:rFonts w:hint="eastAsia"/>
                <w:b/>
                <w:bCs/>
                <w:color w:val="FF0000"/>
              </w:rPr>
              <w:t>图2-5  电动汽车拆解作业流程及产污环节图</w:t>
            </w:r>
          </w:p>
          <w:p w14:paraId="6759797D">
            <w:pPr>
              <w:widowControl/>
              <w:spacing w:line="360" w:lineRule="auto"/>
              <w:ind w:firstLine="482" w:firstLineChars="200"/>
              <w:jc w:val="left"/>
              <w:rPr>
                <w:b/>
                <w:bCs/>
                <w:color w:val="000000"/>
                <w:sz w:val="24"/>
              </w:rPr>
            </w:pPr>
            <w:r>
              <w:rPr>
                <w:rFonts w:hint="eastAsia"/>
                <w:b/>
                <w:color w:val="000000"/>
                <w:sz w:val="24"/>
              </w:rPr>
              <w:t>2.3</w:t>
            </w:r>
            <w:r>
              <w:rPr>
                <w:b/>
                <w:color w:val="000000"/>
                <w:sz w:val="24"/>
              </w:rPr>
              <w:t>报废机动车进厂检查和登记</w:t>
            </w:r>
          </w:p>
          <w:p w14:paraId="6CEA43BA">
            <w:pPr>
              <w:widowControl/>
              <w:spacing w:line="360" w:lineRule="auto"/>
              <w:ind w:firstLine="480" w:firstLineChars="200"/>
              <w:jc w:val="left"/>
              <w:rPr>
                <w:color w:val="000000"/>
                <w:sz w:val="24"/>
              </w:rPr>
            </w:pPr>
            <w:r>
              <w:rPr>
                <w:color w:val="000000"/>
                <w:sz w:val="24"/>
              </w:rPr>
              <w:t>报废机动车进厂检查和登记详细说明如下：</w:t>
            </w:r>
          </w:p>
          <w:p w14:paraId="6479E5E4">
            <w:pPr>
              <w:widowControl/>
              <w:spacing w:line="360" w:lineRule="auto"/>
              <w:ind w:firstLine="480" w:firstLineChars="200"/>
              <w:jc w:val="left"/>
              <w:rPr>
                <w:color w:val="000000"/>
                <w:sz w:val="24"/>
              </w:rPr>
            </w:pPr>
            <w:r>
              <w:rPr>
                <w:color w:val="000000"/>
                <w:sz w:val="24"/>
              </w:rPr>
              <w:t>（1）检查报废车辆发动机、散热器、变速器、差速器、油箱等总成部件的密封、破损情况。对于出现泄漏的总成部件，采用适当的方式收集泄漏的液体或封住泄漏处，防止废液渗入地下；</w:t>
            </w:r>
          </w:p>
          <w:p w14:paraId="391043D5">
            <w:pPr>
              <w:widowControl/>
              <w:spacing w:line="360" w:lineRule="auto"/>
              <w:ind w:firstLine="480" w:firstLineChars="200"/>
              <w:jc w:val="left"/>
              <w:rPr>
                <w:color w:val="000000"/>
                <w:sz w:val="24"/>
              </w:rPr>
            </w:pPr>
            <w:r>
              <w:rPr>
                <w:color w:val="000000"/>
                <w:sz w:val="24"/>
              </w:rPr>
              <w:t>（2）对报废车辆进行登记注册并拍照，将其主要信息录入电脑数据库并在车身醒目位置贴上显示信息的标签；</w:t>
            </w:r>
          </w:p>
          <w:p w14:paraId="79E561D6">
            <w:pPr>
              <w:widowControl/>
              <w:spacing w:line="360" w:lineRule="auto"/>
              <w:ind w:firstLine="480" w:firstLineChars="200"/>
              <w:jc w:val="left"/>
              <w:rPr>
                <w:color w:val="000000"/>
                <w:sz w:val="24"/>
              </w:rPr>
            </w:pPr>
            <w:r>
              <w:rPr>
                <w:color w:val="000000"/>
                <w:sz w:val="24"/>
              </w:rPr>
              <w:t>（3）前款提到的主要信息包括：报废车辆车主（单位或个人）名称、证件号码、牌照号码、车型、品牌型号、车身颜色、重量、发动机号、车辆识别代号（或车架号）、出厂年份、接收或收购日期；</w:t>
            </w:r>
          </w:p>
          <w:p w14:paraId="506017FE">
            <w:pPr>
              <w:widowControl/>
              <w:spacing w:line="360" w:lineRule="auto"/>
              <w:ind w:firstLine="480" w:firstLineChars="200"/>
              <w:jc w:val="left"/>
              <w:rPr>
                <w:color w:val="000000"/>
                <w:sz w:val="24"/>
              </w:rPr>
            </w:pPr>
            <w:r>
              <w:rPr>
                <w:color w:val="000000"/>
                <w:sz w:val="24"/>
              </w:rPr>
              <w:t>（4）将报废车辆的机动车登记证书、号牌、行驶证交公安机关交通管理部门办理注销登记；</w:t>
            </w:r>
          </w:p>
          <w:p w14:paraId="11C468F1">
            <w:pPr>
              <w:widowControl/>
              <w:spacing w:line="360" w:lineRule="auto"/>
              <w:ind w:firstLine="480" w:firstLineChars="200"/>
              <w:jc w:val="left"/>
              <w:rPr>
                <w:color w:val="000000"/>
                <w:sz w:val="24"/>
              </w:rPr>
            </w:pPr>
            <w:r>
              <w:rPr>
                <w:color w:val="000000"/>
                <w:sz w:val="24"/>
              </w:rPr>
              <w:t>（5）向报废车辆车主发放《报废汽车回收证明》及有关注销书面材料。</w:t>
            </w:r>
          </w:p>
          <w:p w14:paraId="5EE6123F">
            <w:pPr>
              <w:widowControl/>
              <w:spacing w:line="360" w:lineRule="auto"/>
              <w:ind w:firstLine="482" w:firstLineChars="200"/>
              <w:jc w:val="left"/>
              <w:rPr>
                <w:b/>
                <w:bCs/>
                <w:color w:val="000000"/>
                <w:sz w:val="24"/>
              </w:rPr>
            </w:pPr>
            <w:r>
              <w:rPr>
                <w:rFonts w:hint="eastAsia"/>
                <w:b/>
                <w:bCs/>
                <w:color w:val="000000"/>
                <w:sz w:val="24"/>
              </w:rPr>
              <w:t>2.4</w:t>
            </w:r>
            <w:r>
              <w:rPr>
                <w:b/>
                <w:color w:val="000000"/>
                <w:sz w:val="24"/>
              </w:rPr>
              <w:t>拆解预处理</w:t>
            </w:r>
          </w:p>
          <w:p w14:paraId="31A1D59A">
            <w:pPr>
              <w:widowControl/>
              <w:spacing w:line="360" w:lineRule="auto"/>
              <w:ind w:firstLine="480" w:firstLineChars="200"/>
              <w:jc w:val="left"/>
              <w:rPr>
                <w:color w:val="000000"/>
                <w:sz w:val="24"/>
              </w:rPr>
            </w:pPr>
            <w:r>
              <w:rPr>
                <w:rFonts w:hint="eastAsia"/>
                <w:color w:val="000000"/>
                <w:sz w:val="24"/>
              </w:rPr>
              <w:t>1.</w:t>
            </w:r>
            <w:r>
              <w:rPr>
                <w:color w:val="000000"/>
                <w:sz w:val="24"/>
              </w:rPr>
              <w:t>电动汽车拆解预处理</w:t>
            </w:r>
          </w:p>
          <w:p w14:paraId="373EA9E1">
            <w:pPr>
              <w:widowControl/>
              <w:spacing w:line="360" w:lineRule="auto"/>
              <w:ind w:firstLine="480" w:firstLineChars="200"/>
              <w:jc w:val="left"/>
              <w:rPr>
                <w:color w:val="000000"/>
                <w:sz w:val="24"/>
              </w:rPr>
            </w:pPr>
            <w:r>
              <w:rPr>
                <w:color w:val="000000"/>
                <w:sz w:val="24"/>
              </w:rPr>
              <w:t>（1）动力蓄电池拆卸预处理</w:t>
            </w:r>
          </w:p>
          <w:p w14:paraId="2C204539">
            <w:pPr>
              <w:widowControl/>
              <w:spacing w:line="360" w:lineRule="auto"/>
              <w:ind w:firstLine="480" w:firstLineChars="200"/>
              <w:jc w:val="left"/>
              <w:rPr>
                <w:color w:val="000000"/>
                <w:sz w:val="24"/>
              </w:rPr>
            </w:pPr>
            <w:r>
              <w:rPr>
                <w:color w:val="000000"/>
                <w:sz w:val="24"/>
              </w:rPr>
              <w:t>①检查车身有无漏液、有无带电；</w:t>
            </w:r>
          </w:p>
          <w:p w14:paraId="01395599">
            <w:pPr>
              <w:widowControl/>
              <w:spacing w:line="360" w:lineRule="auto"/>
              <w:ind w:firstLine="480" w:firstLineChars="200"/>
              <w:jc w:val="left"/>
              <w:rPr>
                <w:color w:val="000000"/>
                <w:sz w:val="24"/>
              </w:rPr>
            </w:pPr>
            <w:r>
              <w:rPr>
                <w:color w:val="000000"/>
                <w:sz w:val="24"/>
              </w:rPr>
              <w:t>②检查动力蓄电池布局和安装位置，确认诊断接口是否完好；</w:t>
            </w:r>
          </w:p>
          <w:p w14:paraId="62535E37">
            <w:pPr>
              <w:widowControl/>
              <w:spacing w:line="360" w:lineRule="auto"/>
              <w:ind w:firstLine="480" w:firstLineChars="200"/>
              <w:jc w:val="left"/>
              <w:rPr>
                <w:color w:val="000000"/>
                <w:sz w:val="24"/>
              </w:rPr>
            </w:pPr>
            <w:r>
              <w:rPr>
                <w:color w:val="000000"/>
                <w:sz w:val="24"/>
              </w:rPr>
              <w:t>③对动力蓄电池电压、温度等参数进行检测，评估其安全状态；</w:t>
            </w:r>
          </w:p>
          <w:p w14:paraId="06B30306">
            <w:pPr>
              <w:widowControl/>
              <w:spacing w:line="360" w:lineRule="auto"/>
              <w:ind w:firstLine="480" w:firstLineChars="200"/>
              <w:jc w:val="left"/>
              <w:rPr>
                <w:color w:val="000000"/>
                <w:sz w:val="24"/>
              </w:rPr>
            </w:pPr>
            <w:r>
              <w:rPr>
                <w:color w:val="000000"/>
                <w:sz w:val="24"/>
              </w:rPr>
              <w:t>④断开动力蓄电池电源；</w:t>
            </w:r>
          </w:p>
          <w:p w14:paraId="6F6880A7">
            <w:pPr>
              <w:widowControl/>
              <w:spacing w:line="360" w:lineRule="auto"/>
              <w:ind w:firstLine="480" w:firstLineChars="200"/>
              <w:jc w:val="left"/>
              <w:rPr>
                <w:color w:val="000000"/>
                <w:sz w:val="24"/>
              </w:rPr>
            </w:pPr>
            <w:r>
              <w:rPr>
                <w:color w:val="000000"/>
                <w:sz w:val="24"/>
              </w:rPr>
              <w:t>⑤在室内的拆解预处理平台上使用防静电工具排空存留在车内的废液，并使用专用容器分类回收，各种废液的排空率不应低于90%；</w:t>
            </w:r>
          </w:p>
          <w:p w14:paraId="02699CE2">
            <w:pPr>
              <w:widowControl/>
              <w:spacing w:line="360" w:lineRule="auto"/>
              <w:ind w:firstLine="480" w:firstLineChars="200"/>
              <w:jc w:val="left"/>
              <w:rPr>
                <w:color w:val="000000"/>
                <w:sz w:val="24"/>
              </w:rPr>
            </w:pPr>
            <w:r>
              <w:rPr>
                <w:color w:val="000000"/>
                <w:sz w:val="24"/>
              </w:rPr>
              <w:t>⑥使用防静电设备回收电动汽车空调制冷剂。</w:t>
            </w:r>
          </w:p>
          <w:p w14:paraId="5017E236">
            <w:pPr>
              <w:widowControl/>
              <w:spacing w:line="360" w:lineRule="auto"/>
              <w:ind w:firstLine="480" w:firstLineChars="200"/>
              <w:jc w:val="left"/>
              <w:rPr>
                <w:rFonts w:hint="default" w:eastAsia="宋体"/>
                <w:color w:val="FF0000"/>
                <w:sz w:val="24"/>
                <w:lang w:val="en-US" w:eastAsia="zh-CN"/>
              </w:rPr>
            </w:pPr>
            <w:r>
              <w:rPr>
                <w:rFonts w:hint="eastAsia"/>
                <w:color w:val="FF0000"/>
                <w:sz w:val="24"/>
                <w:lang w:val="en-US" w:eastAsia="zh-CN"/>
              </w:rPr>
              <w:t>此工序产生噪声、废油液收集废气G1、制冷剂收集废气G2、固废（废制冷剂S2、废矿物油S4、废有机溶剂S14）</w:t>
            </w:r>
          </w:p>
          <w:p w14:paraId="2F833B3B">
            <w:pPr>
              <w:widowControl/>
              <w:spacing w:line="360" w:lineRule="auto"/>
              <w:ind w:firstLine="480" w:firstLineChars="200"/>
              <w:jc w:val="left"/>
              <w:rPr>
                <w:color w:val="000000"/>
                <w:sz w:val="24"/>
              </w:rPr>
            </w:pPr>
            <w:r>
              <w:rPr>
                <w:color w:val="000000"/>
                <w:sz w:val="24"/>
              </w:rPr>
              <w:t>（2）动力蓄电池拆卸</w:t>
            </w:r>
          </w:p>
          <w:p w14:paraId="58F460D0">
            <w:pPr>
              <w:widowControl/>
              <w:spacing w:line="360" w:lineRule="auto"/>
              <w:ind w:firstLine="480" w:firstLineChars="200"/>
              <w:jc w:val="left"/>
              <w:rPr>
                <w:color w:val="000000"/>
                <w:sz w:val="24"/>
              </w:rPr>
            </w:pPr>
            <w:r>
              <w:rPr>
                <w:color w:val="000000"/>
                <w:sz w:val="24"/>
              </w:rPr>
              <w:t>①拆卸动力蓄电池阻挡部件，如引擎盖、行李箱盖、车门等；</w:t>
            </w:r>
          </w:p>
          <w:p w14:paraId="1751C9B5">
            <w:pPr>
              <w:widowControl/>
              <w:spacing w:line="360" w:lineRule="auto"/>
              <w:ind w:firstLine="480" w:firstLineChars="200"/>
              <w:jc w:val="left"/>
              <w:rPr>
                <w:color w:val="000000"/>
                <w:sz w:val="24"/>
              </w:rPr>
            </w:pPr>
            <w:r>
              <w:rPr>
                <w:color w:val="000000"/>
                <w:sz w:val="24"/>
              </w:rPr>
              <w:t>②断开电压线束（电缆），拆卸不同安装位置的动力蓄电池；</w:t>
            </w:r>
          </w:p>
          <w:p w14:paraId="6E97AFFC">
            <w:pPr>
              <w:widowControl/>
              <w:spacing w:line="360" w:lineRule="auto"/>
              <w:ind w:firstLine="480" w:firstLineChars="200"/>
              <w:jc w:val="left"/>
              <w:rPr>
                <w:color w:val="000000"/>
                <w:sz w:val="24"/>
              </w:rPr>
            </w:pPr>
            <w:r>
              <w:rPr>
                <w:color w:val="000000"/>
                <w:sz w:val="24"/>
              </w:rPr>
              <w:t>③收集采用液冷结构方式散热的动力蓄电池包（组）内的冷却液；</w:t>
            </w:r>
          </w:p>
          <w:p w14:paraId="224784E8">
            <w:pPr>
              <w:widowControl/>
              <w:spacing w:line="360" w:lineRule="auto"/>
              <w:ind w:firstLine="480" w:firstLineChars="200"/>
              <w:jc w:val="left"/>
              <w:rPr>
                <w:color w:val="000000"/>
                <w:sz w:val="24"/>
              </w:rPr>
            </w:pPr>
            <w:r>
              <w:rPr>
                <w:color w:val="000000"/>
                <w:sz w:val="24"/>
              </w:rPr>
              <w:t>④对拆卸下的动力蓄电池线束接头、正负极片等外露线束和金属物进行绝缘处理，并在其明显位置处贴上标签，标明绝缘状况；</w:t>
            </w:r>
          </w:p>
          <w:p w14:paraId="4C5FA013">
            <w:pPr>
              <w:widowControl/>
              <w:spacing w:line="360" w:lineRule="auto"/>
              <w:ind w:firstLine="480" w:firstLineChars="200"/>
              <w:jc w:val="left"/>
              <w:rPr>
                <w:color w:val="000000"/>
                <w:sz w:val="24"/>
              </w:rPr>
            </w:pPr>
            <w:r>
              <w:rPr>
                <w:color w:val="000000"/>
                <w:sz w:val="24"/>
              </w:rPr>
              <w:t>⑤收集驱动电机总成内残余冷却液后，拆除驱动电机。</w:t>
            </w:r>
          </w:p>
          <w:p w14:paraId="55615998">
            <w:pPr>
              <w:widowControl/>
              <w:spacing w:line="360" w:lineRule="auto"/>
              <w:ind w:firstLine="480" w:firstLineChars="200"/>
              <w:jc w:val="left"/>
              <w:rPr>
                <w:rFonts w:hint="default" w:eastAsia="宋体"/>
                <w:color w:val="FF0000"/>
                <w:sz w:val="24"/>
                <w:lang w:val="en-US" w:eastAsia="zh-CN"/>
              </w:rPr>
            </w:pPr>
            <w:r>
              <w:rPr>
                <w:rFonts w:hint="eastAsia"/>
                <w:color w:val="FF0000"/>
                <w:sz w:val="24"/>
                <w:lang w:val="en-US" w:eastAsia="zh-CN"/>
              </w:rPr>
              <w:t>此工序产生噪声、固废（动力电池S21、废有机溶剂S14、可回用钢铁S16）</w:t>
            </w:r>
          </w:p>
          <w:p w14:paraId="6D2E4411">
            <w:pPr>
              <w:widowControl/>
              <w:spacing w:line="360" w:lineRule="auto"/>
              <w:ind w:firstLine="480" w:firstLineChars="200"/>
              <w:jc w:val="left"/>
              <w:rPr>
                <w:color w:val="000000"/>
                <w:sz w:val="24"/>
              </w:rPr>
            </w:pPr>
            <w:r>
              <w:rPr>
                <w:rFonts w:hint="eastAsia"/>
                <w:color w:val="000000"/>
                <w:sz w:val="24"/>
              </w:rPr>
              <w:t>2.燃油机动车</w:t>
            </w:r>
            <w:r>
              <w:rPr>
                <w:color w:val="000000"/>
                <w:sz w:val="24"/>
              </w:rPr>
              <w:t>拆解预处理</w:t>
            </w:r>
          </w:p>
          <w:p w14:paraId="7960FAA7">
            <w:pPr>
              <w:widowControl/>
              <w:spacing w:line="360" w:lineRule="auto"/>
              <w:ind w:firstLine="480" w:firstLineChars="200"/>
              <w:jc w:val="left"/>
              <w:rPr>
                <w:rFonts w:hint="eastAsia"/>
                <w:color w:val="000000"/>
                <w:sz w:val="24"/>
                <w:lang w:eastAsia="zh-CN"/>
              </w:rPr>
            </w:pPr>
            <w:r>
              <w:rPr>
                <w:rFonts w:hint="eastAsia"/>
                <w:color w:val="000000"/>
                <w:sz w:val="24"/>
                <w:lang w:eastAsia="zh-CN"/>
              </w:rPr>
              <w:t>（</w:t>
            </w:r>
            <w:r>
              <w:rPr>
                <w:rFonts w:hint="eastAsia"/>
                <w:color w:val="000000"/>
                <w:sz w:val="24"/>
                <w:lang w:val="en-US" w:eastAsia="zh-CN"/>
              </w:rPr>
              <w:t>1</w:t>
            </w:r>
            <w:r>
              <w:rPr>
                <w:rFonts w:hint="eastAsia"/>
                <w:color w:val="000000"/>
                <w:sz w:val="24"/>
                <w:lang w:eastAsia="zh-CN"/>
              </w:rPr>
              <w:t>）安全检查：检测车身油箱、液化气罐密封性，确认无燃油/燃气泄漏。检查铅酸蓄电池外观完整性，测量开路电压。</w:t>
            </w:r>
          </w:p>
          <w:p w14:paraId="6E72621F">
            <w:pPr>
              <w:widowControl/>
              <w:spacing w:line="360" w:lineRule="auto"/>
              <w:ind w:firstLine="480" w:firstLineChars="200"/>
              <w:jc w:val="left"/>
              <w:rPr>
                <w:color w:val="000000"/>
                <w:sz w:val="24"/>
              </w:rPr>
            </w:pPr>
            <w:r>
              <w:rPr>
                <w:rFonts w:hint="eastAsia"/>
                <w:color w:val="000000"/>
                <w:sz w:val="24"/>
                <w:lang w:eastAsia="zh-CN"/>
              </w:rPr>
              <w:t>（</w:t>
            </w:r>
            <w:r>
              <w:rPr>
                <w:rFonts w:hint="eastAsia"/>
                <w:color w:val="000000"/>
                <w:sz w:val="24"/>
                <w:lang w:val="en-US" w:eastAsia="zh-CN"/>
              </w:rPr>
              <w:t>2</w:t>
            </w:r>
            <w:r>
              <w:rPr>
                <w:rFonts w:hint="eastAsia"/>
                <w:color w:val="000000"/>
                <w:sz w:val="24"/>
                <w:lang w:eastAsia="zh-CN"/>
              </w:rPr>
              <w:t>）</w:t>
            </w:r>
            <w:r>
              <w:rPr>
                <w:rFonts w:hint="default"/>
                <w:color w:val="000000"/>
                <w:sz w:val="24"/>
              </w:rPr>
              <w:t>液化气罐处置：</w:t>
            </w:r>
            <w:r>
              <w:rPr>
                <w:color w:val="000000"/>
                <w:sz w:val="24"/>
              </w:rPr>
              <w:t>拆除汽车前盖板</w:t>
            </w:r>
            <w:r>
              <w:rPr>
                <w:rFonts w:hint="eastAsia"/>
                <w:color w:val="000000"/>
                <w:sz w:val="24"/>
                <w:lang w:eastAsia="zh-CN"/>
              </w:rPr>
              <w:t>，</w:t>
            </w:r>
            <w:r>
              <w:rPr>
                <w:rFonts w:hint="default"/>
                <w:color w:val="000000"/>
                <w:sz w:val="24"/>
              </w:rPr>
              <w:t>关闭气罐阀门，使用防爆工具拆卸固定装置；将气罐移至</w:t>
            </w:r>
            <w:r>
              <w:rPr>
                <w:rFonts w:hint="eastAsia"/>
                <w:color w:val="000000"/>
                <w:sz w:val="24"/>
                <w:lang w:val="en-US" w:eastAsia="zh-CN"/>
              </w:rPr>
              <w:t>危废贮存点</w:t>
            </w:r>
            <w:r>
              <w:rPr>
                <w:rFonts w:hint="default"/>
                <w:color w:val="000000"/>
                <w:sz w:val="24"/>
              </w:rPr>
              <w:t>，张贴“易燃气体”警示标签。</w:t>
            </w:r>
          </w:p>
          <w:p w14:paraId="3361F73C">
            <w:pPr>
              <w:widowControl/>
              <w:spacing w:line="360" w:lineRule="auto"/>
              <w:ind w:firstLine="480" w:firstLineChars="200"/>
              <w:jc w:val="left"/>
              <w:rPr>
                <w:rFonts w:hint="default"/>
                <w:color w:val="000000"/>
                <w:sz w:val="24"/>
                <w:lang w:val="en-US" w:eastAsia="zh-CN"/>
              </w:rPr>
            </w:pPr>
            <w:r>
              <w:rPr>
                <w:rFonts w:hint="eastAsia"/>
                <w:color w:val="000000"/>
                <w:sz w:val="24"/>
                <w:lang w:eastAsia="zh-CN"/>
              </w:rPr>
              <w:t>（</w:t>
            </w:r>
            <w:r>
              <w:rPr>
                <w:rFonts w:hint="eastAsia"/>
                <w:color w:val="000000"/>
                <w:sz w:val="24"/>
                <w:lang w:val="en-US" w:eastAsia="zh-CN"/>
              </w:rPr>
              <w:t>3</w:t>
            </w:r>
            <w:r>
              <w:rPr>
                <w:rFonts w:hint="eastAsia"/>
                <w:color w:val="000000"/>
                <w:sz w:val="24"/>
                <w:lang w:eastAsia="zh-CN"/>
              </w:rPr>
              <w:t>）蓄电池断电与拆卸：先断开负极电缆，再断开正极电缆；使用绝缘吊具移出蓄电池，电极端覆盖绝缘帽；破损电池立即放入耐酸密闭容器，</w:t>
            </w:r>
            <w:r>
              <w:rPr>
                <w:rFonts w:hint="eastAsia"/>
                <w:color w:val="000000"/>
                <w:sz w:val="24"/>
                <w:lang w:val="en-US" w:eastAsia="zh-CN"/>
              </w:rPr>
              <w:t>送至铅酸蓄电池贮存间。</w:t>
            </w:r>
          </w:p>
          <w:p w14:paraId="6A9DAFE4">
            <w:pPr>
              <w:widowControl/>
              <w:spacing w:line="360" w:lineRule="auto"/>
              <w:ind w:firstLine="480" w:firstLineChars="200"/>
              <w:jc w:val="left"/>
              <w:rPr>
                <w:color w:val="000000"/>
                <w:sz w:val="24"/>
              </w:rPr>
            </w:pPr>
            <w:r>
              <w:rPr>
                <w:color w:val="000000"/>
                <w:sz w:val="24"/>
              </w:rPr>
              <w:t>（</w:t>
            </w:r>
            <w:r>
              <w:rPr>
                <w:rFonts w:hint="eastAsia"/>
                <w:color w:val="000000"/>
                <w:sz w:val="24"/>
                <w:lang w:val="en-US" w:eastAsia="zh-CN"/>
              </w:rPr>
              <w:t>4</w:t>
            </w:r>
            <w:r>
              <w:rPr>
                <w:color w:val="000000"/>
                <w:sz w:val="24"/>
              </w:rPr>
              <w:t>）</w:t>
            </w:r>
            <w:r>
              <w:rPr>
                <w:rFonts w:hint="eastAsia"/>
                <w:color w:val="000000"/>
                <w:sz w:val="24"/>
                <w:lang w:val="en-US" w:eastAsia="zh-CN"/>
              </w:rPr>
              <w:t>安全气囊处置：</w:t>
            </w:r>
            <w:r>
              <w:rPr>
                <w:color w:val="000000"/>
                <w:sz w:val="24"/>
              </w:rPr>
              <w:t>拆除方向盘和副驾驶的安全气囊上面的盖板，卸掉安全气囊模块四周的螺栓，取出整个气囊，取出的气囊在安全气囊点爆设备进行引爆。</w:t>
            </w:r>
          </w:p>
          <w:p w14:paraId="78E8EB40">
            <w:pPr>
              <w:spacing w:line="360" w:lineRule="auto"/>
              <w:rPr>
                <w:color w:val="000000"/>
              </w:rPr>
            </w:pPr>
            <w:r>
              <w:rPr>
                <w:color w:val="000000"/>
              </w:rPr>
              <w:drawing>
                <wp:inline distT="0" distB="0" distL="114300" distR="114300">
                  <wp:extent cx="5661660" cy="2062480"/>
                  <wp:effectExtent l="0" t="0" r="15240" b="13970"/>
                  <wp:docPr id="15"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7"/>
                          <pic:cNvPicPr>
                            <a:picLocks noChangeAspect="1"/>
                          </pic:cNvPicPr>
                        </pic:nvPicPr>
                        <pic:blipFill>
                          <a:blip r:embed="rId21"/>
                          <a:stretch>
                            <a:fillRect/>
                          </a:stretch>
                        </pic:blipFill>
                        <pic:spPr>
                          <a:xfrm>
                            <a:off x="0" y="0"/>
                            <a:ext cx="5661660" cy="2062480"/>
                          </a:xfrm>
                          <a:prstGeom prst="rect">
                            <a:avLst/>
                          </a:prstGeom>
                          <a:noFill/>
                          <a:ln>
                            <a:noFill/>
                          </a:ln>
                        </pic:spPr>
                      </pic:pic>
                    </a:graphicData>
                  </a:graphic>
                </wp:inline>
              </w:drawing>
            </w:r>
          </w:p>
          <w:p w14:paraId="1E8188B4">
            <w:pPr>
              <w:spacing w:line="360" w:lineRule="auto"/>
              <w:jc w:val="center"/>
              <w:rPr>
                <w:b/>
                <w:bCs/>
                <w:color w:val="000000"/>
              </w:rPr>
            </w:pPr>
            <w:r>
              <w:rPr>
                <w:b/>
                <w:bCs/>
                <w:color w:val="000000"/>
              </w:rPr>
              <w:t>图2-</w:t>
            </w:r>
            <w:r>
              <w:rPr>
                <w:rFonts w:hint="eastAsia"/>
                <w:b/>
                <w:bCs/>
                <w:color w:val="000000"/>
              </w:rPr>
              <w:t xml:space="preserve">6 </w:t>
            </w:r>
            <w:r>
              <w:rPr>
                <w:b/>
                <w:bCs/>
                <w:color w:val="000000"/>
              </w:rPr>
              <w:t xml:space="preserve"> 安全气囊引爆过程图</w:t>
            </w:r>
          </w:p>
          <w:p w14:paraId="5B0560F3">
            <w:pPr>
              <w:spacing w:line="360" w:lineRule="auto"/>
              <w:ind w:firstLine="480" w:firstLineChars="200"/>
              <w:rPr>
                <w:color w:val="000000"/>
                <w:sz w:val="24"/>
              </w:rPr>
            </w:pPr>
            <w:r>
              <w:rPr>
                <w:color w:val="000000"/>
                <w:sz w:val="24"/>
              </w:rPr>
              <w:t>安全气囊主要化学成分包括：叠氮化钠、硝酸钾和二氧化硅。引爆时，叠氮化钠分解为钠和氮气的混合成分，然后金属钠和硝酸钾反应释放更多氮气并形成氧化钾和氧化钠。这些氧化物会立即与二氧化硅结合，并形成无害的硅酸钠玻璃，氮气则充进气囊。气囊引爆仅为气囊瞬间充气过程，气囊不会爆破。</w:t>
            </w:r>
          </w:p>
          <w:p w14:paraId="7E9C6B28">
            <w:pPr>
              <w:spacing w:line="360" w:lineRule="auto"/>
              <w:ind w:firstLine="480" w:firstLineChars="200"/>
              <w:rPr>
                <w:color w:val="000000"/>
                <w:sz w:val="24"/>
              </w:rPr>
            </w:pPr>
            <w:r>
              <w:rPr>
                <w:color w:val="000000"/>
                <w:sz w:val="24"/>
              </w:rPr>
              <w:t>主要反应方程式如下：</w:t>
            </w:r>
          </w:p>
          <w:p w14:paraId="0500EF0B">
            <w:pPr>
              <w:autoSpaceDE w:val="0"/>
              <w:autoSpaceDN w:val="0"/>
              <w:adjustRightInd w:val="0"/>
              <w:spacing w:line="360" w:lineRule="auto"/>
              <w:ind w:firstLine="480"/>
              <w:jc w:val="center"/>
              <w:rPr>
                <w:color w:val="000000"/>
                <w:sz w:val="24"/>
                <w:szCs w:val="32"/>
                <w:lang w:val="zh-CN"/>
              </w:rPr>
            </w:pPr>
            <w:r>
              <w:rPr>
                <w:color w:val="000000"/>
                <w:position w:val="-32"/>
                <w:sz w:val="24"/>
                <w:szCs w:val="32"/>
                <w:lang w:val="zh-CN"/>
              </w:rPr>
              <w:object>
                <v:shape id="_x0000_i1025" o:spt="75" type="#_x0000_t75" style="height:36pt;width:273.75pt;" o:ole="t" filled="f" o:preferrelative="t" stroked="f" coordsize="21600,21600">
                  <v:path/>
                  <v:fill on="f" focussize="0,0"/>
                  <v:stroke on="f" joinstyle="miter"/>
                  <v:imagedata r:id="rId23" o:title=""/>
                  <o:lock v:ext="edit" aspectratio="t"/>
                  <w10:wrap type="none"/>
                  <w10:anchorlock/>
                </v:shape>
                <o:OLEObject Type="Embed" ProgID="Equation.3" ShapeID="_x0000_i1025" DrawAspect="Content" ObjectID="_1468075725" r:id="rId22">
                  <o:LockedField>false</o:LockedField>
                </o:OLEObject>
              </w:object>
            </w:r>
          </w:p>
          <w:p w14:paraId="509B46DD">
            <w:pPr>
              <w:spacing w:line="360" w:lineRule="auto"/>
              <w:ind w:firstLine="480" w:firstLineChars="200"/>
              <w:rPr>
                <w:color w:val="000000"/>
                <w:sz w:val="24"/>
              </w:rPr>
            </w:pPr>
            <w:r>
              <w:rPr>
                <w:color w:val="000000"/>
                <w:sz w:val="24"/>
              </w:rPr>
              <w:t>引爆后的安全气囊不再具有环境风险，可作为一般尼龙材料外售。</w:t>
            </w:r>
          </w:p>
          <w:p w14:paraId="75B1E14D">
            <w:pPr>
              <w:widowControl/>
              <w:spacing w:line="360" w:lineRule="auto"/>
              <w:ind w:firstLine="480" w:firstLineChars="200"/>
              <w:jc w:val="left"/>
              <w:rPr>
                <w:color w:val="000000"/>
                <w:sz w:val="24"/>
              </w:rPr>
            </w:pPr>
            <w:r>
              <w:rPr>
                <w:color w:val="000000"/>
                <w:sz w:val="24"/>
              </w:rPr>
              <w:t>查阅相关资料，我国并没有相关法律规定安全气囊引爆车间不能在车间内设置。同时，根据《报废机动车拆解回收企业技术规范》（GB 22128-2019）中4.2.3章节要求“报废汽车拆解企业必须具备安全气囊直接引爆装置或者拆除、存储、引爆装置”。因此，安全气囊引爆车间不需要另行选址，设置于车间内可行。本项目采用箱式的专用设备进行气囊引爆，从报废汽车上拆下气囊置于引爆箱体内，使用电子引爆器对气囊进行引爆，引爆容器为密闭装置，可起到阻隔噪声的作用，且可有效保证车间内操作人员的安全。</w:t>
            </w:r>
          </w:p>
          <w:p w14:paraId="7184096C">
            <w:pPr>
              <w:widowControl/>
              <w:spacing w:line="360" w:lineRule="auto"/>
              <w:ind w:firstLine="480" w:firstLineChars="200"/>
              <w:jc w:val="left"/>
              <w:rPr>
                <w:color w:val="FF0000"/>
                <w:sz w:val="24"/>
              </w:rPr>
            </w:pPr>
            <w:r>
              <w:rPr>
                <w:color w:val="FF0000"/>
                <w:sz w:val="24"/>
              </w:rPr>
              <w:t>（</w:t>
            </w:r>
            <w:r>
              <w:rPr>
                <w:rFonts w:hint="eastAsia"/>
                <w:color w:val="FF0000"/>
                <w:sz w:val="24"/>
                <w:lang w:val="en-US" w:eastAsia="zh-CN"/>
              </w:rPr>
              <w:t>5</w:t>
            </w:r>
            <w:r>
              <w:rPr>
                <w:color w:val="FF0000"/>
                <w:sz w:val="24"/>
              </w:rPr>
              <w:t>）在室内拆解预处理平台使用专用工具和容器排空和收集车内的废液。</w:t>
            </w:r>
          </w:p>
          <w:p w14:paraId="0C115D4E">
            <w:pPr>
              <w:widowControl/>
              <w:spacing w:line="360" w:lineRule="auto"/>
              <w:ind w:firstLine="480" w:firstLineChars="200"/>
              <w:jc w:val="left"/>
              <w:rPr>
                <w:color w:val="FF0000"/>
                <w:sz w:val="24"/>
              </w:rPr>
            </w:pPr>
            <w:r>
              <w:rPr>
                <w:color w:val="FF0000"/>
                <w:sz w:val="24"/>
              </w:rPr>
              <w:t>①抽取油箱内的汽油或柴油，盛入专门贮油桶；</w:t>
            </w:r>
          </w:p>
          <w:p w14:paraId="3C78DCF7">
            <w:pPr>
              <w:widowControl/>
              <w:spacing w:line="360" w:lineRule="auto"/>
              <w:ind w:firstLine="480" w:firstLineChars="200"/>
              <w:jc w:val="left"/>
              <w:rPr>
                <w:color w:val="000000"/>
                <w:sz w:val="24"/>
              </w:rPr>
            </w:pPr>
            <w:r>
              <w:rPr>
                <w:color w:val="000000"/>
                <w:sz w:val="24"/>
              </w:rPr>
              <w:t>②将发动机和变速箱内的废机油吸尽，盛入专门贮油桶；</w:t>
            </w:r>
          </w:p>
          <w:p w14:paraId="586D1DC3">
            <w:pPr>
              <w:widowControl/>
              <w:spacing w:line="360" w:lineRule="auto"/>
              <w:ind w:firstLine="480" w:firstLineChars="200"/>
              <w:jc w:val="left"/>
              <w:rPr>
                <w:color w:val="000000"/>
                <w:sz w:val="24"/>
              </w:rPr>
            </w:pPr>
            <w:r>
              <w:rPr>
                <w:color w:val="000000"/>
                <w:sz w:val="24"/>
              </w:rPr>
              <w:t>③放净机油箱中的润滑油，并收集在专用容器内；</w:t>
            </w:r>
          </w:p>
          <w:p w14:paraId="0FCA7A7D">
            <w:pPr>
              <w:widowControl/>
              <w:spacing w:line="360" w:lineRule="auto"/>
              <w:ind w:firstLine="480" w:firstLineChars="200"/>
              <w:jc w:val="left"/>
              <w:rPr>
                <w:color w:val="000000"/>
                <w:sz w:val="24"/>
              </w:rPr>
            </w:pPr>
            <w:r>
              <w:rPr>
                <w:color w:val="000000"/>
                <w:sz w:val="24"/>
              </w:rPr>
              <w:t>④抽取挡风玻璃的清洗液，并收集在专用容器内；</w:t>
            </w:r>
          </w:p>
          <w:p w14:paraId="5588A094">
            <w:pPr>
              <w:widowControl/>
              <w:spacing w:line="360" w:lineRule="auto"/>
              <w:ind w:firstLine="480" w:firstLineChars="200"/>
              <w:jc w:val="left"/>
              <w:rPr>
                <w:color w:val="000000"/>
                <w:sz w:val="24"/>
              </w:rPr>
            </w:pPr>
            <w:r>
              <w:rPr>
                <w:color w:val="000000"/>
                <w:sz w:val="24"/>
              </w:rPr>
              <w:t>⑤抽取水箱中的防冻液，防冻液的抽取必须使用专用的冷媒回收机，防冻液存放在密封</w:t>
            </w:r>
            <w:r>
              <w:rPr>
                <w:rFonts w:hint="eastAsia"/>
                <w:color w:val="000000"/>
                <w:sz w:val="24"/>
                <w:lang w:val="en-US" w:eastAsia="zh-CN"/>
              </w:rPr>
              <w:t>容器</w:t>
            </w:r>
            <w:r>
              <w:rPr>
                <w:color w:val="000000"/>
                <w:sz w:val="24"/>
              </w:rPr>
              <w:t>中。</w:t>
            </w:r>
          </w:p>
          <w:p w14:paraId="743BE21E">
            <w:pPr>
              <w:widowControl/>
              <w:spacing w:line="360" w:lineRule="auto"/>
              <w:ind w:firstLine="480" w:firstLineChars="200"/>
              <w:jc w:val="left"/>
              <w:rPr>
                <w:color w:val="000000"/>
                <w:sz w:val="24"/>
              </w:rPr>
            </w:pPr>
            <w:r>
              <w:rPr>
                <w:color w:val="000000"/>
                <w:sz w:val="24"/>
              </w:rPr>
              <w:t>（</w:t>
            </w:r>
            <w:r>
              <w:rPr>
                <w:rFonts w:hint="eastAsia"/>
                <w:color w:val="000000"/>
                <w:sz w:val="24"/>
                <w:lang w:val="en-US" w:eastAsia="zh-CN"/>
              </w:rPr>
              <w:t>6</w:t>
            </w:r>
            <w:r>
              <w:rPr>
                <w:color w:val="000000"/>
                <w:sz w:val="24"/>
              </w:rPr>
              <w:t>）用专门设备回收汽车空调制冷剂。回收流程如下：</w:t>
            </w:r>
          </w:p>
          <w:p w14:paraId="54EC594F">
            <w:pPr>
              <w:widowControl/>
              <w:spacing w:line="360" w:lineRule="auto"/>
              <w:ind w:firstLine="480" w:firstLineChars="200"/>
              <w:jc w:val="left"/>
              <w:rPr>
                <w:color w:val="000000"/>
                <w:sz w:val="24"/>
              </w:rPr>
            </w:pPr>
            <w:r>
              <w:rPr>
                <w:color w:val="000000"/>
                <w:sz w:val="24"/>
              </w:rPr>
              <w:t>①将两根充注管接到汽车空调系统的维修口上；</w:t>
            </w:r>
          </w:p>
          <w:p w14:paraId="70A60B4B">
            <w:pPr>
              <w:widowControl/>
              <w:spacing w:line="360" w:lineRule="auto"/>
              <w:ind w:firstLine="480" w:firstLineChars="200"/>
              <w:jc w:val="left"/>
              <w:rPr>
                <w:color w:val="000000"/>
                <w:sz w:val="24"/>
              </w:rPr>
            </w:pPr>
            <w:r>
              <w:rPr>
                <w:color w:val="000000"/>
                <w:sz w:val="24"/>
              </w:rPr>
              <w:t>②打开高、低压阀门；</w:t>
            </w:r>
          </w:p>
          <w:p w14:paraId="7C561D1D">
            <w:pPr>
              <w:widowControl/>
              <w:spacing w:line="360" w:lineRule="auto"/>
              <w:ind w:firstLine="480" w:firstLineChars="200"/>
              <w:jc w:val="left"/>
              <w:rPr>
                <w:color w:val="000000"/>
                <w:sz w:val="24"/>
              </w:rPr>
            </w:pPr>
            <w:r>
              <w:rPr>
                <w:color w:val="000000"/>
                <w:sz w:val="24"/>
              </w:rPr>
              <w:t>③按下回收功能键，开始回收；</w:t>
            </w:r>
          </w:p>
          <w:p w14:paraId="1E632202">
            <w:pPr>
              <w:widowControl/>
              <w:spacing w:line="360" w:lineRule="auto"/>
              <w:ind w:firstLine="480" w:firstLineChars="200"/>
              <w:jc w:val="left"/>
              <w:rPr>
                <w:color w:val="000000"/>
                <w:sz w:val="24"/>
              </w:rPr>
            </w:pPr>
            <w:r>
              <w:rPr>
                <w:color w:val="000000"/>
                <w:sz w:val="24"/>
              </w:rPr>
              <w:t>④通过油分离器，将制冷剂中的冷冻油分离出来；</w:t>
            </w:r>
          </w:p>
          <w:p w14:paraId="49A28D0B">
            <w:pPr>
              <w:widowControl/>
              <w:spacing w:line="360" w:lineRule="auto"/>
              <w:ind w:firstLine="480" w:firstLineChars="200"/>
              <w:jc w:val="left"/>
              <w:rPr>
                <w:color w:val="000000"/>
                <w:sz w:val="24"/>
              </w:rPr>
            </w:pPr>
            <w:r>
              <w:rPr>
                <w:color w:val="000000"/>
                <w:sz w:val="24"/>
              </w:rPr>
              <w:t>⑤气化后的制冷剂经冷却变为液态，进入</w:t>
            </w:r>
            <w:r>
              <w:rPr>
                <w:rFonts w:hint="eastAsia"/>
                <w:color w:val="000000"/>
                <w:sz w:val="24"/>
                <w:lang w:val="en-US" w:eastAsia="zh-CN"/>
              </w:rPr>
              <w:t>钢瓶</w:t>
            </w:r>
            <w:r>
              <w:rPr>
                <w:color w:val="000000"/>
                <w:sz w:val="24"/>
              </w:rPr>
              <w:t>储存。</w:t>
            </w:r>
          </w:p>
          <w:p w14:paraId="0DA0A213">
            <w:pPr>
              <w:widowControl/>
              <w:spacing w:line="360" w:lineRule="auto"/>
              <w:ind w:firstLine="480" w:firstLineChars="200"/>
              <w:jc w:val="left"/>
              <w:rPr>
                <w:rFonts w:hint="default" w:eastAsia="宋体"/>
                <w:color w:val="FF0000"/>
                <w:sz w:val="24"/>
                <w:lang w:val="en-US" w:eastAsia="zh-CN"/>
              </w:rPr>
            </w:pPr>
            <w:r>
              <w:rPr>
                <w:rFonts w:hint="eastAsia"/>
                <w:color w:val="FF0000"/>
                <w:sz w:val="24"/>
                <w:lang w:val="en-US" w:eastAsia="zh-CN"/>
              </w:rPr>
              <w:t>此工序产生噪声、废油液收集废气G1、制冷剂收集废气G2、固废（废制冷剂S2、废矿物油S4、废燃料油S5、废有机溶剂S14、铅酸蓄电池S3、废皮布制品S22、含多氯联苯废电容器S13）</w:t>
            </w:r>
          </w:p>
          <w:p w14:paraId="056F74A7">
            <w:pPr>
              <w:widowControl/>
              <w:spacing w:line="360" w:lineRule="auto"/>
              <w:ind w:firstLine="482" w:firstLineChars="200"/>
              <w:jc w:val="left"/>
              <w:rPr>
                <w:b/>
                <w:bCs/>
                <w:color w:val="000000"/>
                <w:sz w:val="24"/>
              </w:rPr>
            </w:pPr>
            <w:r>
              <w:rPr>
                <w:rFonts w:hint="eastAsia"/>
                <w:b/>
                <w:bCs/>
                <w:color w:val="000000"/>
                <w:sz w:val="24"/>
              </w:rPr>
              <w:t>2.5</w:t>
            </w:r>
            <w:r>
              <w:rPr>
                <w:rFonts w:hint="eastAsia"/>
                <w:b/>
                <w:color w:val="000000"/>
                <w:sz w:val="24"/>
              </w:rPr>
              <w:t>报废机动车预处理后</w:t>
            </w:r>
            <w:r>
              <w:rPr>
                <w:b/>
                <w:color w:val="000000"/>
                <w:sz w:val="24"/>
              </w:rPr>
              <w:t>储存</w:t>
            </w:r>
          </w:p>
          <w:p w14:paraId="7D77CFBF">
            <w:pPr>
              <w:widowControl/>
              <w:spacing w:line="360" w:lineRule="auto"/>
              <w:ind w:firstLine="480" w:firstLineChars="200"/>
              <w:jc w:val="left"/>
              <w:rPr>
                <w:color w:val="000000"/>
                <w:sz w:val="24"/>
              </w:rPr>
            </w:pPr>
            <w:r>
              <w:rPr>
                <w:color w:val="000000"/>
                <w:sz w:val="24"/>
              </w:rPr>
              <w:t>经预处理后的报废机动车由厂内叉车移至待</w:t>
            </w:r>
            <w:r>
              <w:rPr>
                <w:rFonts w:hint="eastAsia"/>
                <w:color w:val="000000"/>
                <w:sz w:val="24"/>
                <w:lang w:val="en-US" w:eastAsia="zh-CN"/>
              </w:rPr>
              <w:t>整车贮存区存放</w:t>
            </w:r>
            <w:r>
              <w:rPr>
                <w:color w:val="000000"/>
                <w:sz w:val="24"/>
              </w:rPr>
              <w:t>，报废车暂存要求如下：</w:t>
            </w:r>
          </w:p>
          <w:p w14:paraId="2F1280D5">
            <w:pPr>
              <w:widowControl/>
              <w:spacing w:line="360" w:lineRule="auto"/>
              <w:ind w:firstLine="480" w:firstLineChars="200"/>
              <w:jc w:val="left"/>
              <w:rPr>
                <w:color w:val="000000"/>
                <w:sz w:val="24"/>
              </w:rPr>
            </w:pPr>
            <w:r>
              <w:rPr>
                <w:color w:val="000000"/>
                <w:sz w:val="24"/>
              </w:rPr>
              <w:t>（1）避免侧放、倒放。</w:t>
            </w:r>
          </w:p>
          <w:p w14:paraId="6B57510E">
            <w:pPr>
              <w:widowControl/>
              <w:spacing w:line="360" w:lineRule="auto"/>
              <w:ind w:firstLine="480" w:firstLineChars="200"/>
              <w:jc w:val="left"/>
              <w:rPr>
                <w:color w:val="000000"/>
                <w:sz w:val="24"/>
              </w:rPr>
            </w:pPr>
            <w:r>
              <w:rPr>
                <w:color w:val="000000"/>
                <w:sz w:val="24"/>
              </w:rPr>
              <w:t>（2）接收的报废车辆经预处理后运至</w:t>
            </w:r>
            <w:r>
              <w:rPr>
                <w:rFonts w:hint="eastAsia"/>
                <w:color w:val="000000"/>
                <w:sz w:val="24"/>
                <w:lang w:val="en-US" w:eastAsia="zh-CN"/>
              </w:rPr>
              <w:t>报废机动车整车贮存区</w:t>
            </w:r>
            <w:r>
              <w:rPr>
                <w:color w:val="000000"/>
                <w:sz w:val="24"/>
              </w:rPr>
              <w:t>进行堆存，机动车若需叠放，应使上下车辆的重心尽量重合，且不应超过3层。</w:t>
            </w:r>
          </w:p>
          <w:p w14:paraId="08C65550">
            <w:pPr>
              <w:widowControl/>
              <w:spacing w:line="360" w:lineRule="auto"/>
              <w:ind w:firstLine="480" w:firstLineChars="200"/>
              <w:jc w:val="left"/>
              <w:rPr>
                <w:color w:val="000000"/>
                <w:sz w:val="24"/>
              </w:rPr>
            </w:pPr>
            <w:r>
              <w:rPr>
                <w:color w:val="000000"/>
                <w:sz w:val="24"/>
              </w:rPr>
              <w:t>（3）与其他废弃物分开存储。</w:t>
            </w:r>
          </w:p>
          <w:p w14:paraId="6E6A2A30">
            <w:pPr>
              <w:widowControl/>
              <w:spacing w:line="360" w:lineRule="auto"/>
              <w:ind w:firstLine="480" w:firstLineChars="200"/>
              <w:jc w:val="left"/>
              <w:rPr>
                <w:color w:val="000000"/>
                <w:sz w:val="24"/>
              </w:rPr>
            </w:pPr>
            <w:r>
              <w:rPr>
                <w:color w:val="000000"/>
                <w:sz w:val="24"/>
              </w:rPr>
              <w:t>（4）接收报废汽车后，在3个月之内将其拆解完毕，并应当按照国家有关规定在公安机关交通管理部门的监督下解体。</w:t>
            </w:r>
          </w:p>
          <w:p w14:paraId="1E6FE166">
            <w:pPr>
              <w:widowControl/>
              <w:spacing w:line="360" w:lineRule="auto"/>
              <w:ind w:firstLine="482" w:firstLineChars="200"/>
              <w:jc w:val="left"/>
              <w:rPr>
                <w:b/>
                <w:bCs/>
                <w:color w:val="000000"/>
                <w:sz w:val="24"/>
              </w:rPr>
            </w:pPr>
            <w:r>
              <w:rPr>
                <w:rFonts w:hint="eastAsia"/>
                <w:b/>
                <w:color w:val="000000"/>
                <w:sz w:val="24"/>
              </w:rPr>
              <w:t>2.6</w:t>
            </w:r>
            <w:r>
              <w:rPr>
                <w:b/>
                <w:color w:val="000000"/>
                <w:sz w:val="24"/>
              </w:rPr>
              <w:t>报废机动车拆解</w:t>
            </w:r>
          </w:p>
          <w:p w14:paraId="4302000F">
            <w:pPr>
              <w:widowControl/>
              <w:spacing w:line="360" w:lineRule="auto"/>
              <w:ind w:firstLine="480" w:firstLineChars="200"/>
              <w:jc w:val="left"/>
              <w:rPr>
                <w:color w:val="000000"/>
                <w:sz w:val="24"/>
              </w:rPr>
            </w:pPr>
            <w:r>
              <w:rPr>
                <w:rFonts w:hint="eastAsia"/>
                <w:color w:val="000000"/>
                <w:sz w:val="24"/>
              </w:rPr>
              <w:t>1.</w:t>
            </w:r>
            <w:r>
              <w:rPr>
                <w:color w:val="000000"/>
                <w:sz w:val="24"/>
              </w:rPr>
              <w:t>报废汽车预处理完毕之后，首先进行汽车的外部拆解。</w:t>
            </w:r>
          </w:p>
          <w:p w14:paraId="4404B87E">
            <w:pPr>
              <w:widowControl/>
              <w:spacing w:line="360" w:lineRule="auto"/>
              <w:ind w:firstLine="480" w:firstLineChars="200"/>
              <w:jc w:val="left"/>
              <w:rPr>
                <w:color w:val="000000"/>
                <w:sz w:val="24"/>
              </w:rPr>
            </w:pPr>
            <w:r>
              <w:rPr>
                <w:color w:val="000000"/>
                <w:sz w:val="24"/>
              </w:rPr>
              <w:t>（1）拆下车灯及后视镜；</w:t>
            </w:r>
          </w:p>
          <w:p w14:paraId="17715A81">
            <w:pPr>
              <w:widowControl/>
              <w:spacing w:line="360" w:lineRule="auto"/>
              <w:ind w:firstLine="480" w:firstLineChars="200"/>
              <w:jc w:val="left"/>
              <w:rPr>
                <w:color w:val="000000"/>
                <w:sz w:val="24"/>
              </w:rPr>
            </w:pPr>
            <w:r>
              <w:rPr>
                <w:color w:val="000000"/>
                <w:sz w:val="24"/>
              </w:rPr>
              <w:t>（2）拆除车门；</w:t>
            </w:r>
          </w:p>
          <w:p w14:paraId="0BB12FCE">
            <w:pPr>
              <w:widowControl/>
              <w:spacing w:line="360" w:lineRule="auto"/>
              <w:ind w:firstLine="480" w:firstLineChars="200"/>
              <w:jc w:val="left"/>
              <w:rPr>
                <w:color w:val="000000"/>
                <w:sz w:val="24"/>
              </w:rPr>
            </w:pPr>
            <w:r>
              <w:rPr>
                <w:color w:val="000000"/>
                <w:sz w:val="24"/>
              </w:rPr>
              <w:t>（3）拆除前后挡风玻璃；</w:t>
            </w:r>
          </w:p>
          <w:p w14:paraId="6CFD7BED">
            <w:pPr>
              <w:widowControl/>
              <w:spacing w:line="360" w:lineRule="auto"/>
              <w:ind w:firstLine="480" w:firstLineChars="200"/>
              <w:jc w:val="left"/>
              <w:rPr>
                <w:color w:val="000000"/>
                <w:sz w:val="24"/>
              </w:rPr>
            </w:pPr>
            <w:r>
              <w:rPr>
                <w:color w:val="000000"/>
                <w:sz w:val="24"/>
              </w:rPr>
              <w:t>（4）拆除废旧汽车的轮胎；</w:t>
            </w:r>
          </w:p>
          <w:p w14:paraId="7954C2FA">
            <w:pPr>
              <w:widowControl/>
              <w:spacing w:line="360" w:lineRule="auto"/>
              <w:ind w:firstLine="480" w:firstLineChars="200"/>
              <w:jc w:val="left"/>
              <w:rPr>
                <w:color w:val="000000"/>
                <w:sz w:val="24"/>
              </w:rPr>
            </w:pPr>
            <w:r>
              <w:rPr>
                <w:color w:val="000000"/>
                <w:sz w:val="24"/>
              </w:rPr>
              <w:t>（5）拆除保险杠；</w:t>
            </w:r>
          </w:p>
          <w:p w14:paraId="51CAC81E">
            <w:pPr>
              <w:widowControl/>
              <w:spacing w:line="360" w:lineRule="auto"/>
              <w:ind w:firstLine="480" w:firstLineChars="200"/>
              <w:jc w:val="left"/>
              <w:rPr>
                <w:color w:val="000000"/>
                <w:sz w:val="24"/>
              </w:rPr>
            </w:pPr>
            <w:r>
              <w:rPr>
                <w:color w:val="000000"/>
                <w:sz w:val="24"/>
              </w:rPr>
              <w:t>（6）拆除挡泥板；</w:t>
            </w:r>
          </w:p>
          <w:p w14:paraId="778ED1D6">
            <w:pPr>
              <w:widowControl/>
              <w:spacing w:line="360" w:lineRule="auto"/>
              <w:ind w:firstLine="480" w:firstLineChars="200"/>
              <w:jc w:val="left"/>
              <w:rPr>
                <w:color w:val="000000"/>
                <w:sz w:val="24"/>
              </w:rPr>
            </w:pPr>
            <w:r>
              <w:rPr>
                <w:color w:val="000000"/>
                <w:sz w:val="24"/>
              </w:rPr>
              <w:t>（7）拆除橡胶制品部件（密封条等）。</w:t>
            </w:r>
          </w:p>
          <w:p w14:paraId="0D279BF4">
            <w:pPr>
              <w:widowControl/>
              <w:spacing w:line="360" w:lineRule="auto"/>
              <w:ind w:firstLine="480" w:firstLineChars="200"/>
              <w:jc w:val="left"/>
              <w:rPr>
                <w:color w:val="000000"/>
                <w:sz w:val="24"/>
              </w:rPr>
            </w:pPr>
            <w:r>
              <w:rPr>
                <w:color w:val="000000"/>
                <w:sz w:val="24"/>
              </w:rPr>
              <w:t>2</w:t>
            </w:r>
            <w:r>
              <w:rPr>
                <w:rFonts w:hint="eastAsia"/>
                <w:color w:val="000000"/>
                <w:sz w:val="24"/>
              </w:rPr>
              <w:t>.</w:t>
            </w:r>
            <w:r>
              <w:rPr>
                <w:color w:val="000000"/>
                <w:sz w:val="24"/>
              </w:rPr>
              <w:t>外部拆解完成后，进行报废汽车的内部拆解。</w:t>
            </w:r>
          </w:p>
          <w:p w14:paraId="4F77EA11">
            <w:pPr>
              <w:widowControl/>
              <w:spacing w:line="360" w:lineRule="auto"/>
              <w:ind w:firstLine="480" w:firstLineChars="200"/>
              <w:jc w:val="left"/>
              <w:rPr>
                <w:color w:val="000000"/>
                <w:sz w:val="24"/>
              </w:rPr>
            </w:pPr>
            <w:r>
              <w:rPr>
                <w:color w:val="000000"/>
                <w:sz w:val="24"/>
              </w:rPr>
              <w:t>（1）拆除内饰材料和座椅；</w:t>
            </w:r>
          </w:p>
          <w:p w14:paraId="1A4020F9">
            <w:pPr>
              <w:widowControl/>
              <w:spacing w:line="360" w:lineRule="auto"/>
              <w:ind w:firstLine="480" w:firstLineChars="200"/>
              <w:jc w:val="left"/>
              <w:rPr>
                <w:color w:val="000000"/>
                <w:sz w:val="24"/>
              </w:rPr>
            </w:pPr>
            <w:r>
              <w:rPr>
                <w:color w:val="000000"/>
                <w:sz w:val="24"/>
              </w:rPr>
              <w:t>（2）拆除车体外壳。拆解车体外壳与车架连接的U型固定螺栓，把车体外壳吊下；</w:t>
            </w:r>
          </w:p>
          <w:p w14:paraId="57CEF562">
            <w:pPr>
              <w:widowControl/>
              <w:spacing w:line="360" w:lineRule="auto"/>
              <w:ind w:firstLine="480" w:firstLineChars="200"/>
              <w:jc w:val="left"/>
              <w:rPr>
                <w:color w:val="000000"/>
                <w:sz w:val="24"/>
              </w:rPr>
            </w:pPr>
            <w:r>
              <w:rPr>
                <w:color w:val="000000"/>
                <w:sz w:val="24"/>
              </w:rPr>
              <w:t>（3）拆卸全车电气线路、仪表和照明设备以及启动机、发电机、调节器、点火和信号装置等；</w:t>
            </w:r>
          </w:p>
          <w:p w14:paraId="209B999E">
            <w:pPr>
              <w:widowControl/>
              <w:spacing w:line="360" w:lineRule="auto"/>
              <w:ind w:firstLine="480" w:firstLineChars="200"/>
              <w:jc w:val="left"/>
              <w:rPr>
                <w:color w:val="000000"/>
                <w:sz w:val="24"/>
              </w:rPr>
            </w:pPr>
            <w:r>
              <w:rPr>
                <w:color w:val="000000"/>
                <w:sz w:val="24"/>
              </w:rPr>
              <w:t>（4）拆卸散热器。拆卸散热器与车架连接处的螺母、橡胶软垫、弹簧以及橡胶水管、百叶窗拉杆、拉手和百叶窗等，最后拆下散热器；</w:t>
            </w:r>
          </w:p>
          <w:p w14:paraId="22952CCC">
            <w:pPr>
              <w:widowControl/>
              <w:spacing w:line="360" w:lineRule="auto"/>
              <w:ind w:firstLine="480" w:firstLineChars="200"/>
              <w:jc w:val="left"/>
              <w:rPr>
                <w:color w:val="000000"/>
                <w:sz w:val="24"/>
              </w:rPr>
            </w:pPr>
            <w:r>
              <w:rPr>
                <w:color w:val="000000"/>
                <w:sz w:val="24"/>
              </w:rPr>
              <w:t>（5）拆卸叶子板及脚踏板；</w:t>
            </w:r>
          </w:p>
          <w:p w14:paraId="45FF441B">
            <w:pPr>
              <w:widowControl/>
              <w:spacing w:line="360" w:lineRule="auto"/>
              <w:ind w:firstLine="480" w:firstLineChars="200"/>
              <w:jc w:val="left"/>
              <w:rPr>
                <w:color w:val="FF0000"/>
                <w:sz w:val="24"/>
              </w:rPr>
            </w:pPr>
            <w:r>
              <w:rPr>
                <w:color w:val="FF0000"/>
                <w:sz w:val="24"/>
              </w:rPr>
              <w:t>（6）拆卸汽油箱。拆卸与汽油箱连接的油管、带衬垫的夹箍，再把汽油箱拆下；</w:t>
            </w:r>
          </w:p>
          <w:p w14:paraId="3A1A1033">
            <w:pPr>
              <w:widowControl/>
              <w:spacing w:line="360" w:lineRule="auto"/>
              <w:ind w:firstLine="480" w:firstLineChars="200"/>
              <w:jc w:val="left"/>
              <w:rPr>
                <w:color w:val="000000"/>
                <w:sz w:val="24"/>
              </w:rPr>
            </w:pPr>
            <w:r>
              <w:rPr>
                <w:color w:val="000000"/>
                <w:sz w:val="24"/>
              </w:rPr>
              <w:t>（7）拆卸方向盘和驾驶室。拆卸方向盘，拆卸驾驶室与车架连接处的橡胶软塑及螺栓、螺母，吊下驾驶室；</w:t>
            </w:r>
          </w:p>
          <w:p w14:paraId="3C7081E2">
            <w:pPr>
              <w:widowControl/>
              <w:spacing w:line="360" w:lineRule="auto"/>
              <w:ind w:firstLine="480" w:firstLineChars="200"/>
              <w:jc w:val="left"/>
              <w:rPr>
                <w:color w:val="000000"/>
                <w:sz w:val="24"/>
              </w:rPr>
            </w:pPr>
            <w:r>
              <w:rPr>
                <w:color w:val="000000"/>
                <w:sz w:val="24"/>
              </w:rPr>
              <w:t>（8）拆卸转向器。先将转向盘臂与直拉杆分开，拆下转向管柱和转向器；</w:t>
            </w:r>
          </w:p>
          <w:p w14:paraId="2891F610">
            <w:pPr>
              <w:widowControl/>
              <w:spacing w:line="360" w:lineRule="auto"/>
              <w:ind w:firstLine="480" w:firstLineChars="200"/>
              <w:jc w:val="left"/>
              <w:rPr>
                <w:color w:val="000000"/>
                <w:sz w:val="24"/>
              </w:rPr>
            </w:pPr>
            <w:r>
              <w:rPr>
                <w:color w:val="000000"/>
                <w:sz w:val="24"/>
              </w:rPr>
              <w:t>（9）拆卸消声器。先卸消声器与排气管夹箍的固定螺栓，拆下消声器；</w:t>
            </w:r>
          </w:p>
          <w:p w14:paraId="18866088">
            <w:pPr>
              <w:widowControl/>
              <w:spacing w:line="360" w:lineRule="auto"/>
              <w:ind w:firstLine="480" w:firstLineChars="200"/>
              <w:jc w:val="left"/>
              <w:rPr>
                <w:color w:val="000000"/>
                <w:sz w:val="24"/>
              </w:rPr>
            </w:pPr>
            <w:r>
              <w:rPr>
                <w:color w:val="000000"/>
                <w:sz w:val="24"/>
              </w:rPr>
              <w:t>（10）拆卸催化转化器。拆下将转化器固定在总管上的卡夹，从总管上取下转化器；</w:t>
            </w:r>
          </w:p>
          <w:p w14:paraId="308AD629">
            <w:pPr>
              <w:widowControl/>
              <w:spacing w:line="360" w:lineRule="auto"/>
              <w:ind w:firstLine="480" w:firstLineChars="200"/>
              <w:jc w:val="left"/>
              <w:rPr>
                <w:color w:val="000000"/>
                <w:sz w:val="24"/>
              </w:rPr>
            </w:pPr>
            <w:r>
              <w:rPr>
                <w:color w:val="000000"/>
                <w:sz w:val="24"/>
              </w:rPr>
              <w:t>（11）拆卸传动轴。先拆万向节突缘与变速器，主传动器突缘接头的连接螺栓，拿下中间支承，拆下传动轴；</w:t>
            </w:r>
          </w:p>
          <w:p w14:paraId="26D4F531">
            <w:pPr>
              <w:widowControl/>
              <w:spacing w:line="360" w:lineRule="auto"/>
              <w:ind w:firstLine="480" w:firstLineChars="200"/>
              <w:jc w:val="left"/>
              <w:rPr>
                <w:color w:val="000000"/>
                <w:sz w:val="24"/>
              </w:rPr>
            </w:pPr>
            <w:r>
              <w:rPr>
                <w:color w:val="000000"/>
                <w:sz w:val="24"/>
              </w:rPr>
              <w:t>（12）拆卸变速器。先拆变速器与发动机固定连接处的螺栓，拆下变速器；</w:t>
            </w:r>
          </w:p>
          <w:p w14:paraId="0D1ABCA3">
            <w:pPr>
              <w:widowControl/>
              <w:spacing w:line="360" w:lineRule="auto"/>
              <w:ind w:firstLine="480" w:firstLineChars="200"/>
              <w:jc w:val="left"/>
              <w:rPr>
                <w:color w:val="000000"/>
                <w:sz w:val="24"/>
              </w:rPr>
            </w:pPr>
            <w:r>
              <w:rPr>
                <w:color w:val="000000"/>
                <w:sz w:val="24"/>
              </w:rPr>
              <w:t>（13）拆卸发动机附离合器。拆卸发动机与车架的支承连接，吊下发动机附离合器；</w:t>
            </w:r>
          </w:p>
          <w:p w14:paraId="0E900943">
            <w:pPr>
              <w:widowControl/>
              <w:spacing w:line="360" w:lineRule="auto"/>
              <w:ind w:firstLine="480" w:firstLineChars="200"/>
              <w:jc w:val="left"/>
              <w:rPr>
                <w:color w:val="000000"/>
                <w:sz w:val="24"/>
              </w:rPr>
            </w:pPr>
            <w:r>
              <w:rPr>
                <w:color w:val="000000"/>
                <w:sz w:val="24"/>
              </w:rPr>
              <w:t>（14）拆卸后桥。将车架后部吊起，拆卸后桥与车架连接的钢板弹簧和吊耳，或先将后桥与钢板弹簧的U型螺栓拆下，将后桥推出车架；</w:t>
            </w:r>
          </w:p>
          <w:p w14:paraId="39AEE219">
            <w:pPr>
              <w:widowControl/>
              <w:spacing w:line="360" w:lineRule="auto"/>
              <w:ind w:firstLine="480" w:firstLineChars="200"/>
              <w:jc w:val="left"/>
              <w:rPr>
                <w:color w:val="000000"/>
                <w:sz w:val="24"/>
              </w:rPr>
            </w:pPr>
            <w:r>
              <w:rPr>
                <w:color w:val="000000"/>
                <w:sz w:val="24"/>
              </w:rPr>
              <w:t>（15）拆卸前桥。将车架前部吊起，拆卸前桥与车架连接的钢板弹簧及吊耳，或先将前桥与钢板弹簧的U型螺栓拆下，将前桥推出车架。</w:t>
            </w:r>
          </w:p>
          <w:p w14:paraId="79F8D95B">
            <w:pPr>
              <w:widowControl/>
              <w:spacing w:line="360" w:lineRule="auto"/>
              <w:ind w:firstLine="480" w:firstLineChars="200"/>
              <w:jc w:val="left"/>
              <w:rPr>
                <w:rFonts w:hint="default" w:eastAsia="宋体"/>
                <w:color w:val="FF0000"/>
                <w:sz w:val="24"/>
                <w:lang w:val="en-US" w:eastAsia="zh-CN"/>
              </w:rPr>
            </w:pPr>
            <w:r>
              <w:rPr>
                <w:rFonts w:hint="eastAsia"/>
                <w:color w:val="FF0000"/>
                <w:sz w:val="24"/>
                <w:lang w:val="en-US" w:eastAsia="zh-CN"/>
              </w:rPr>
              <w:t>此工序产生噪声、固废（可回用钢铁S16、可回用有色金属S17、可回用玻璃S18、可回用橡胶S19、可回用塑料S20、废皮布制品S22、其他不可利用物S23、废滤清器和废油箱S7、废尾气净化装置及催化剂S6）</w:t>
            </w:r>
          </w:p>
          <w:p w14:paraId="2D893E7A">
            <w:pPr>
              <w:widowControl/>
              <w:spacing w:line="360" w:lineRule="auto"/>
              <w:ind w:firstLine="482" w:firstLineChars="200"/>
              <w:jc w:val="left"/>
              <w:rPr>
                <w:b/>
                <w:bCs/>
                <w:color w:val="000000"/>
                <w:sz w:val="24"/>
              </w:rPr>
            </w:pPr>
            <w:r>
              <w:rPr>
                <w:rFonts w:hint="eastAsia"/>
                <w:b/>
                <w:color w:val="000000"/>
                <w:sz w:val="24"/>
              </w:rPr>
              <w:t>2.7</w:t>
            </w:r>
            <w:r>
              <w:rPr>
                <w:b/>
                <w:color w:val="000000"/>
                <w:sz w:val="24"/>
              </w:rPr>
              <w:t>总成等精细拆解</w:t>
            </w:r>
          </w:p>
          <w:p w14:paraId="4FDE1E03">
            <w:pPr>
              <w:widowControl/>
              <w:spacing w:line="360" w:lineRule="auto"/>
              <w:jc w:val="left"/>
              <w:rPr>
                <w:color w:val="000000"/>
              </w:rPr>
            </w:pPr>
            <w:r>
              <w:rPr>
                <w:color w:val="000000"/>
              </w:rPr>
              <w:drawing>
                <wp:inline distT="0" distB="0" distL="114300" distR="114300">
                  <wp:extent cx="5755005" cy="2706370"/>
                  <wp:effectExtent l="0" t="0" r="17145" b="17780"/>
                  <wp:docPr id="11"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9"/>
                          <pic:cNvPicPr>
                            <a:picLocks noChangeAspect="1"/>
                          </pic:cNvPicPr>
                        </pic:nvPicPr>
                        <pic:blipFill>
                          <a:blip r:embed="rId24"/>
                          <a:stretch>
                            <a:fillRect/>
                          </a:stretch>
                        </pic:blipFill>
                        <pic:spPr>
                          <a:xfrm>
                            <a:off x="0" y="0"/>
                            <a:ext cx="5755005" cy="2706370"/>
                          </a:xfrm>
                          <a:prstGeom prst="rect">
                            <a:avLst/>
                          </a:prstGeom>
                          <a:noFill/>
                          <a:ln>
                            <a:noFill/>
                          </a:ln>
                        </pic:spPr>
                      </pic:pic>
                    </a:graphicData>
                  </a:graphic>
                </wp:inline>
              </w:drawing>
            </w:r>
          </w:p>
          <w:p w14:paraId="20FF9159">
            <w:pPr>
              <w:widowControl/>
              <w:spacing w:line="360" w:lineRule="auto"/>
              <w:jc w:val="center"/>
              <w:rPr>
                <w:b/>
                <w:bCs/>
                <w:color w:val="000000"/>
                <w:szCs w:val="21"/>
              </w:rPr>
            </w:pPr>
            <w:r>
              <w:rPr>
                <w:b/>
                <w:bCs/>
                <w:color w:val="000000"/>
                <w:szCs w:val="21"/>
              </w:rPr>
              <w:t>图2-</w:t>
            </w:r>
            <w:r>
              <w:rPr>
                <w:rFonts w:hint="eastAsia"/>
                <w:b/>
                <w:bCs/>
                <w:color w:val="000000"/>
                <w:szCs w:val="21"/>
              </w:rPr>
              <w:t>7</w:t>
            </w:r>
            <w:r>
              <w:rPr>
                <w:b/>
                <w:bCs/>
                <w:color w:val="000000"/>
                <w:szCs w:val="21"/>
              </w:rPr>
              <w:t xml:space="preserve">  项目精细拆解平台安装示意图</w:t>
            </w:r>
          </w:p>
          <w:p w14:paraId="110DF2EA">
            <w:pPr>
              <w:widowControl/>
              <w:spacing w:line="360" w:lineRule="auto"/>
              <w:ind w:firstLine="480" w:firstLineChars="200"/>
              <w:jc w:val="left"/>
              <w:rPr>
                <w:color w:val="000000"/>
                <w:sz w:val="24"/>
              </w:rPr>
            </w:pPr>
            <w:r>
              <w:rPr>
                <w:color w:val="000000"/>
                <w:sz w:val="24"/>
              </w:rPr>
              <w:t>1</w:t>
            </w:r>
            <w:r>
              <w:rPr>
                <w:rFonts w:hint="eastAsia"/>
                <w:color w:val="000000"/>
                <w:sz w:val="24"/>
              </w:rPr>
              <w:t>.</w:t>
            </w:r>
            <w:r>
              <w:rPr>
                <w:color w:val="000000"/>
                <w:sz w:val="24"/>
              </w:rPr>
              <w:t>发动机的拆解</w:t>
            </w:r>
          </w:p>
          <w:p w14:paraId="4E5B8E02">
            <w:pPr>
              <w:widowControl/>
              <w:spacing w:line="360" w:lineRule="auto"/>
              <w:ind w:firstLine="480" w:firstLineChars="200"/>
              <w:jc w:val="left"/>
              <w:rPr>
                <w:color w:val="000000"/>
                <w:sz w:val="24"/>
              </w:rPr>
            </w:pPr>
            <w:r>
              <w:rPr>
                <w:color w:val="000000"/>
                <w:sz w:val="24"/>
              </w:rPr>
              <w:t>不同车型的发动机，从车架上拆下来的方法也不同，一般来说，都必须按照下列工艺程序：</w:t>
            </w:r>
          </w:p>
          <w:p w14:paraId="399D3529">
            <w:pPr>
              <w:widowControl/>
              <w:spacing w:line="360" w:lineRule="auto"/>
              <w:ind w:firstLine="480" w:firstLineChars="200"/>
              <w:jc w:val="left"/>
              <w:rPr>
                <w:color w:val="000000"/>
                <w:sz w:val="24"/>
              </w:rPr>
            </w:pPr>
            <w:r>
              <w:rPr>
                <w:color w:val="000000"/>
                <w:sz w:val="24"/>
              </w:rPr>
              <w:t>（1）拆下发动机罩；</w:t>
            </w:r>
          </w:p>
          <w:p w14:paraId="050A5F0C">
            <w:pPr>
              <w:widowControl/>
              <w:spacing w:line="360" w:lineRule="auto"/>
              <w:ind w:firstLine="480" w:firstLineChars="200"/>
              <w:jc w:val="left"/>
              <w:rPr>
                <w:color w:val="000000"/>
                <w:sz w:val="24"/>
              </w:rPr>
            </w:pPr>
            <w:r>
              <w:rPr>
                <w:color w:val="000000"/>
                <w:sz w:val="24"/>
              </w:rPr>
              <w:t>（2）拆下蓄电池负极接线柱；</w:t>
            </w:r>
          </w:p>
          <w:p w14:paraId="1786DA45">
            <w:pPr>
              <w:widowControl/>
              <w:spacing w:line="360" w:lineRule="auto"/>
              <w:ind w:firstLine="480" w:firstLineChars="200"/>
              <w:jc w:val="left"/>
              <w:rPr>
                <w:color w:val="000000"/>
                <w:sz w:val="24"/>
              </w:rPr>
            </w:pPr>
            <w:r>
              <w:rPr>
                <w:color w:val="000000"/>
                <w:sz w:val="24"/>
              </w:rPr>
              <w:t>（3）拆下散热器上、下水管，拆下散热器；</w:t>
            </w:r>
          </w:p>
          <w:p w14:paraId="0070D173">
            <w:pPr>
              <w:widowControl/>
              <w:spacing w:line="360" w:lineRule="auto"/>
              <w:ind w:firstLine="480" w:firstLineChars="200"/>
              <w:jc w:val="left"/>
              <w:rPr>
                <w:color w:val="000000"/>
                <w:sz w:val="24"/>
              </w:rPr>
            </w:pPr>
            <w:r>
              <w:rPr>
                <w:color w:val="000000"/>
                <w:sz w:val="24"/>
              </w:rPr>
              <w:t>（4）拆下暖风装置进、回水管；</w:t>
            </w:r>
          </w:p>
          <w:p w14:paraId="15C882F2">
            <w:pPr>
              <w:widowControl/>
              <w:spacing w:line="360" w:lineRule="auto"/>
              <w:ind w:firstLine="480" w:firstLineChars="200"/>
              <w:jc w:val="left"/>
              <w:rPr>
                <w:color w:val="000000"/>
                <w:sz w:val="24"/>
              </w:rPr>
            </w:pPr>
            <w:r>
              <w:rPr>
                <w:color w:val="000000"/>
                <w:sz w:val="24"/>
              </w:rPr>
              <w:t>（5）拆下各类拉索，如油门栏线、阻风门拉线、离合器拉线、里程表软轴线等；</w:t>
            </w:r>
          </w:p>
          <w:p w14:paraId="71895EB9">
            <w:pPr>
              <w:widowControl/>
              <w:spacing w:line="360" w:lineRule="auto"/>
              <w:ind w:firstLine="480" w:firstLineChars="200"/>
              <w:jc w:val="left"/>
              <w:rPr>
                <w:color w:val="000000"/>
                <w:sz w:val="24"/>
              </w:rPr>
            </w:pPr>
            <w:r>
              <w:rPr>
                <w:color w:val="000000"/>
                <w:sz w:val="24"/>
              </w:rPr>
              <w:t>（6）拆下各类电器配线，如水温感应塞、机油压力感应塞、发电机、起动机、分电机、各种电磁阀的配线；</w:t>
            </w:r>
          </w:p>
          <w:p w14:paraId="62E5FBDF">
            <w:pPr>
              <w:widowControl/>
              <w:spacing w:line="360" w:lineRule="auto"/>
              <w:ind w:firstLine="480" w:firstLineChars="200"/>
              <w:jc w:val="left"/>
              <w:rPr>
                <w:color w:val="000000"/>
                <w:sz w:val="24"/>
              </w:rPr>
            </w:pPr>
            <w:r>
              <w:rPr>
                <w:color w:val="000000"/>
                <w:sz w:val="24"/>
              </w:rPr>
              <w:t>（7）拆下各类软管，如燃油管、真空软管、废气喷出管等；</w:t>
            </w:r>
          </w:p>
          <w:p w14:paraId="7BC4D84C">
            <w:pPr>
              <w:widowControl/>
              <w:spacing w:line="360" w:lineRule="auto"/>
              <w:ind w:firstLine="480" w:firstLineChars="200"/>
              <w:jc w:val="left"/>
              <w:rPr>
                <w:color w:val="000000"/>
                <w:sz w:val="24"/>
              </w:rPr>
            </w:pPr>
            <w:r>
              <w:rPr>
                <w:color w:val="000000"/>
                <w:sz w:val="24"/>
              </w:rPr>
              <w:t>（8）拆下与发动机相连接的总成和部件，如空调压缩机、变速器、排气管、发动机支脚等；</w:t>
            </w:r>
          </w:p>
          <w:p w14:paraId="631D872F">
            <w:pPr>
              <w:widowControl/>
              <w:spacing w:line="360" w:lineRule="auto"/>
              <w:ind w:firstLine="480" w:firstLineChars="200"/>
              <w:jc w:val="left"/>
              <w:rPr>
                <w:color w:val="000000"/>
                <w:sz w:val="24"/>
              </w:rPr>
            </w:pPr>
            <w:r>
              <w:rPr>
                <w:color w:val="000000"/>
                <w:sz w:val="24"/>
              </w:rPr>
              <w:t>（9）吊出发动机。小客车从前侧吊出，而有些面包车则需拆下前桥，从下部落下。在吊下发动机时，要向各个方向摆动，看其是否完全与车体及连接件脱离，然后缓缓吊起，勿使车身及附近部件受到损伤。</w:t>
            </w:r>
          </w:p>
          <w:p w14:paraId="4674EF49">
            <w:pPr>
              <w:widowControl/>
              <w:spacing w:line="360" w:lineRule="auto"/>
              <w:ind w:firstLine="480" w:firstLineChars="200"/>
              <w:jc w:val="left"/>
              <w:rPr>
                <w:color w:val="000000"/>
                <w:sz w:val="24"/>
              </w:rPr>
            </w:pPr>
            <w:r>
              <w:rPr>
                <w:color w:val="000000"/>
                <w:sz w:val="24"/>
              </w:rPr>
              <w:t>2</w:t>
            </w:r>
            <w:r>
              <w:rPr>
                <w:rFonts w:hint="eastAsia"/>
                <w:color w:val="000000"/>
                <w:sz w:val="24"/>
              </w:rPr>
              <w:t>.</w:t>
            </w:r>
            <w:r>
              <w:rPr>
                <w:color w:val="000000"/>
                <w:sz w:val="24"/>
              </w:rPr>
              <w:t>变速器的拆解</w:t>
            </w:r>
          </w:p>
          <w:p w14:paraId="65B8B902">
            <w:pPr>
              <w:widowControl/>
              <w:spacing w:line="360" w:lineRule="auto"/>
              <w:ind w:firstLine="480" w:firstLineChars="200"/>
              <w:jc w:val="left"/>
              <w:rPr>
                <w:color w:val="000000"/>
                <w:sz w:val="24"/>
              </w:rPr>
            </w:pPr>
            <w:r>
              <w:rPr>
                <w:color w:val="000000"/>
                <w:sz w:val="24"/>
              </w:rPr>
              <w:t>不同车型的变速器，其自身结构和安装形式有所区别，但也有许多共同或相近之处，一般遵循下面的拆解要领：</w:t>
            </w:r>
          </w:p>
          <w:p w14:paraId="53876991">
            <w:pPr>
              <w:widowControl/>
              <w:spacing w:line="360" w:lineRule="auto"/>
              <w:ind w:firstLine="480" w:firstLineChars="200"/>
              <w:jc w:val="left"/>
              <w:rPr>
                <w:color w:val="000000"/>
                <w:sz w:val="24"/>
              </w:rPr>
            </w:pPr>
            <w:r>
              <w:rPr>
                <w:color w:val="000000"/>
                <w:sz w:val="24"/>
              </w:rPr>
              <w:t>（1）拆下蓄电池负极接线；</w:t>
            </w:r>
          </w:p>
          <w:p w14:paraId="28399A26">
            <w:pPr>
              <w:widowControl/>
              <w:spacing w:line="360" w:lineRule="auto"/>
              <w:ind w:firstLine="480" w:firstLineChars="200"/>
              <w:jc w:val="left"/>
              <w:rPr>
                <w:color w:val="000000"/>
                <w:sz w:val="24"/>
              </w:rPr>
            </w:pPr>
            <w:r>
              <w:rPr>
                <w:color w:val="000000"/>
                <w:sz w:val="24"/>
              </w:rPr>
              <w:t>（2）放净变速器齿轮油；</w:t>
            </w:r>
          </w:p>
          <w:p w14:paraId="4B862F94">
            <w:pPr>
              <w:widowControl/>
              <w:spacing w:line="360" w:lineRule="auto"/>
              <w:ind w:firstLine="480" w:firstLineChars="200"/>
              <w:jc w:val="left"/>
              <w:rPr>
                <w:color w:val="000000"/>
                <w:sz w:val="24"/>
              </w:rPr>
            </w:pPr>
            <w:r>
              <w:rPr>
                <w:color w:val="000000"/>
                <w:sz w:val="24"/>
              </w:rPr>
              <w:t>（3）拆下传动轴（或前驱动的左、右半轴）；</w:t>
            </w:r>
          </w:p>
          <w:p w14:paraId="3B3DDC13">
            <w:pPr>
              <w:widowControl/>
              <w:spacing w:line="360" w:lineRule="auto"/>
              <w:ind w:firstLine="480" w:firstLineChars="200"/>
              <w:jc w:val="left"/>
              <w:rPr>
                <w:color w:val="000000"/>
                <w:sz w:val="24"/>
              </w:rPr>
            </w:pPr>
            <w:r>
              <w:rPr>
                <w:color w:val="000000"/>
                <w:sz w:val="24"/>
              </w:rPr>
              <w:t>（4）拆下速度传动软轴；</w:t>
            </w:r>
          </w:p>
          <w:p w14:paraId="4099776E">
            <w:pPr>
              <w:widowControl/>
              <w:spacing w:line="360" w:lineRule="auto"/>
              <w:ind w:firstLine="480" w:firstLineChars="200"/>
              <w:jc w:val="left"/>
              <w:rPr>
                <w:color w:val="000000"/>
                <w:sz w:val="24"/>
              </w:rPr>
            </w:pPr>
            <w:r>
              <w:rPr>
                <w:color w:val="000000"/>
                <w:sz w:val="24"/>
              </w:rPr>
              <w:t>（5）拆下离合器分泵（或拉线）；</w:t>
            </w:r>
          </w:p>
          <w:p w14:paraId="46F718F0">
            <w:pPr>
              <w:widowControl/>
              <w:spacing w:line="360" w:lineRule="auto"/>
              <w:ind w:firstLine="480" w:firstLineChars="200"/>
              <w:jc w:val="left"/>
              <w:rPr>
                <w:color w:val="000000"/>
                <w:sz w:val="24"/>
              </w:rPr>
            </w:pPr>
            <w:r>
              <w:rPr>
                <w:color w:val="000000"/>
                <w:sz w:val="24"/>
              </w:rPr>
              <w:t>（6）拆下启动机导线、变速器搭铁线和倒档灯开关导线；</w:t>
            </w:r>
          </w:p>
          <w:p w14:paraId="112FD3ED">
            <w:pPr>
              <w:widowControl/>
              <w:spacing w:line="360" w:lineRule="auto"/>
              <w:ind w:firstLine="480" w:firstLineChars="200"/>
              <w:jc w:val="left"/>
              <w:rPr>
                <w:color w:val="000000"/>
                <w:sz w:val="24"/>
              </w:rPr>
            </w:pPr>
            <w:r>
              <w:rPr>
                <w:color w:val="000000"/>
                <w:sz w:val="24"/>
              </w:rPr>
              <w:t>（7）拆下启动机总成；</w:t>
            </w:r>
          </w:p>
          <w:p w14:paraId="2B3B15E0">
            <w:pPr>
              <w:widowControl/>
              <w:spacing w:line="360" w:lineRule="auto"/>
              <w:ind w:firstLine="480" w:firstLineChars="200"/>
              <w:jc w:val="left"/>
              <w:rPr>
                <w:color w:val="000000"/>
                <w:sz w:val="24"/>
              </w:rPr>
            </w:pPr>
            <w:r>
              <w:rPr>
                <w:color w:val="000000"/>
                <w:sz w:val="24"/>
              </w:rPr>
              <w:t>（8）拆下变速杆（或变速操纵连杆）；</w:t>
            </w:r>
          </w:p>
          <w:p w14:paraId="14724481">
            <w:pPr>
              <w:widowControl/>
              <w:spacing w:line="360" w:lineRule="auto"/>
              <w:ind w:firstLine="480" w:firstLineChars="200"/>
              <w:jc w:val="left"/>
              <w:rPr>
                <w:color w:val="000000"/>
                <w:sz w:val="24"/>
              </w:rPr>
            </w:pPr>
            <w:r>
              <w:rPr>
                <w:color w:val="000000"/>
                <w:sz w:val="24"/>
              </w:rPr>
              <w:t>（9）用千斤顶顶起变速器，拆下与发动机连接螺栓。拆下变速器托架，变速器向下往后拉出。</w:t>
            </w:r>
          </w:p>
          <w:p w14:paraId="36554A08">
            <w:pPr>
              <w:widowControl/>
              <w:spacing w:line="360" w:lineRule="auto"/>
              <w:ind w:firstLine="480" w:firstLineChars="200"/>
              <w:jc w:val="left"/>
              <w:rPr>
                <w:color w:val="000000"/>
                <w:sz w:val="24"/>
              </w:rPr>
            </w:pPr>
            <w:r>
              <w:rPr>
                <w:color w:val="000000"/>
                <w:sz w:val="24"/>
              </w:rPr>
              <w:t>3</w:t>
            </w:r>
            <w:r>
              <w:rPr>
                <w:rFonts w:hint="eastAsia"/>
                <w:color w:val="000000"/>
                <w:sz w:val="24"/>
              </w:rPr>
              <w:t>.</w:t>
            </w:r>
            <w:r>
              <w:rPr>
                <w:color w:val="000000"/>
                <w:sz w:val="24"/>
              </w:rPr>
              <w:t>离合器总成的拆解</w:t>
            </w:r>
          </w:p>
          <w:p w14:paraId="762674D1">
            <w:pPr>
              <w:widowControl/>
              <w:spacing w:line="360" w:lineRule="auto"/>
              <w:ind w:firstLine="480" w:firstLineChars="200"/>
              <w:jc w:val="left"/>
              <w:rPr>
                <w:color w:val="000000"/>
                <w:sz w:val="24"/>
              </w:rPr>
            </w:pPr>
            <w:r>
              <w:rPr>
                <w:color w:val="000000"/>
                <w:sz w:val="24"/>
              </w:rPr>
              <w:t>离合器总成位于发动机动力输出端与变速器输入轴之间。其拆解程序如下：</w:t>
            </w:r>
          </w:p>
          <w:p w14:paraId="364400E6">
            <w:pPr>
              <w:widowControl/>
              <w:spacing w:line="360" w:lineRule="auto"/>
              <w:ind w:firstLine="480" w:firstLineChars="200"/>
              <w:jc w:val="left"/>
              <w:rPr>
                <w:color w:val="000000"/>
                <w:sz w:val="24"/>
              </w:rPr>
            </w:pPr>
            <w:r>
              <w:rPr>
                <w:color w:val="000000"/>
                <w:sz w:val="24"/>
              </w:rPr>
              <w:t>（1）拆下变速器；</w:t>
            </w:r>
          </w:p>
          <w:p w14:paraId="24FAFFC7">
            <w:pPr>
              <w:widowControl/>
              <w:spacing w:line="360" w:lineRule="auto"/>
              <w:ind w:firstLine="480" w:firstLineChars="200"/>
              <w:jc w:val="left"/>
              <w:rPr>
                <w:color w:val="000000"/>
                <w:sz w:val="24"/>
              </w:rPr>
            </w:pPr>
            <w:r>
              <w:rPr>
                <w:color w:val="000000"/>
                <w:sz w:val="24"/>
              </w:rPr>
              <w:t>（2）拆下离合器压盘和离合器片。将固定螺栓每次旋松一圈，直到弹簧张力消失为止；拆下锁止螺栓，并取下离合器总成；</w:t>
            </w:r>
          </w:p>
          <w:p w14:paraId="6EC01B49">
            <w:pPr>
              <w:widowControl/>
              <w:spacing w:line="360" w:lineRule="auto"/>
              <w:ind w:firstLine="480" w:firstLineChars="200"/>
              <w:jc w:val="left"/>
              <w:rPr>
                <w:color w:val="000000"/>
                <w:sz w:val="24"/>
              </w:rPr>
            </w:pPr>
            <w:r>
              <w:rPr>
                <w:color w:val="000000"/>
                <w:sz w:val="24"/>
              </w:rPr>
              <w:t>（3）自变速器拆下分离轴承、分离叉和轴承毂。拆下卡环，取下轴承彀。拆下分离叉和防尘套。</w:t>
            </w:r>
          </w:p>
          <w:p w14:paraId="6AF2FE33">
            <w:pPr>
              <w:widowControl/>
              <w:spacing w:line="360" w:lineRule="auto"/>
              <w:ind w:firstLine="480" w:firstLineChars="200"/>
              <w:jc w:val="left"/>
              <w:rPr>
                <w:color w:val="000000"/>
                <w:sz w:val="24"/>
              </w:rPr>
            </w:pPr>
            <w:r>
              <w:rPr>
                <w:color w:val="000000"/>
                <w:sz w:val="24"/>
              </w:rPr>
              <w:t>4</w:t>
            </w:r>
            <w:r>
              <w:rPr>
                <w:rFonts w:hint="eastAsia"/>
                <w:color w:val="000000"/>
                <w:sz w:val="24"/>
              </w:rPr>
              <w:t>.</w:t>
            </w:r>
            <w:r>
              <w:rPr>
                <w:color w:val="000000"/>
                <w:sz w:val="24"/>
              </w:rPr>
              <w:t>传动轴的拆解</w:t>
            </w:r>
          </w:p>
          <w:p w14:paraId="5E539508">
            <w:pPr>
              <w:widowControl/>
              <w:spacing w:line="360" w:lineRule="auto"/>
              <w:ind w:firstLine="480" w:firstLineChars="200"/>
              <w:jc w:val="left"/>
              <w:rPr>
                <w:color w:val="000000"/>
                <w:sz w:val="24"/>
              </w:rPr>
            </w:pPr>
            <w:r>
              <w:rPr>
                <w:color w:val="000000"/>
                <w:sz w:val="24"/>
              </w:rPr>
              <w:t>传动轴的拆解比较简单，只要拆开与差速器和变速器的连接及中间支承即可：</w:t>
            </w:r>
          </w:p>
          <w:p w14:paraId="2B795305">
            <w:pPr>
              <w:widowControl/>
              <w:spacing w:line="360" w:lineRule="auto"/>
              <w:ind w:firstLine="480" w:firstLineChars="200"/>
              <w:jc w:val="left"/>
              <w:rPr>
                <w:color w:val="000000"/>
                <w:sz w:val="24"/>
              </w:rPr>
            </w:pPr>
            <w:r>
              <w:rPr>
                <w:color w:val="000000"/>
                <w:sz w:val="24"/>
              </w:rPr>
              <w:t>（1）拆开与差速器突缘相连接的传动轴后突缘；</w:t>
            </w:r>
          </w:p>
          <w:p w14:paraId="1652BC9D">
            <w:pPr>
              <w:widowControl/>
              <w:spacing w:line="360" w:lineRule="auto"/>
              <w:ind w:firstLine="480" w:firstLineChars="200"/>
              <w:jc w:val="left"/>
              <w:rPr>
                <w:color w:val="000000"/>
                <w:sz w:val="24"/>
              </w:rPr>
            </w:pPr>
            <w:r>
              <w:rPr>
                <w:color w:val="000000"/>
                <w:sz w:val="24"/>
              </w:rPr>
              <w:t>（2）拆下中间支承；</w:t>
            </w:r>
          </w:p>
          <w:p w14:paraId="55F27343">
            <w:pPr>
              <w:widowControl/>
              <w:spacing w:line="360" w:lineRule="auto"/>
              <w:ind w:firstLine="480" w:firstLineChars="200"/>
              <w:jc w:val="left"/>
              <w:rPr>
                <w:color w:val="000000"/>
                <w:sz w:val="24"/>
              </w:rPr>
            </w:pPr>
            <w:r>
              <w:rPr>
                <w:color w:val="000000"/>
                <w:sz w:val="24"/>
              </w:rPr>
              <w:t>（3）拆开与变速器输出端的连接。旋出螺栓，拆下传动轴。对于花链连接，只需向后抽出传动轴即可。为防止机油泄漏，再用油塞插入变速器输出端口。</w:t>
            </w:r>
          </w:p>
          <w:p w14:paraId="030083E9">
            <w:pPr>
              <w:widowControl/>
              <w:spacing w:line="360" w:lineRule="auto"/>
              <w:ind w:firstLine="480" w:firstLineChars="200"/>
              <w:jc w:val="left"/>
              <w:rPr>
                <w:color w:val="000000"/>
                <w:sz w:val="24"/>
              </w:rPr>
            </w:pPr>
            <w:r>
              <w:rPr>
                <w:color w:val="000000"/>
                <w:sz w:val="24"/>
              </w:rPr>
              <w:t>5</w:t>
            </w:r>
            <w:r>
              <w:rPr>
                <w:rFonts w:hint="eastAsia"/>
                <w:color w:val="000000"/>
                <w:sz w:val="24"/>
              </w:rPr>
              <w:t>.</w:t>
            </w:r>
            <w:r>
              <w:rPr>
                <w:color w:val="000000"/>
                <w:sz w:val="24"/>
              </w:rPr>
              <w:t>前桥与前悬架的拆解</w:t>
            </w:r>
          </w:p>
          <w:p w14:paraId="45713BCB">
            <w:pPr>
              <w:widowControl/>
              <w:spacing w:line="360" w:lineRule="auto"/>
              <w:ind w:firstLine="480" w:firstLineChars="200"/>
              <w:jc w:val="left"/>
              <w:rPr>
                <w:color w:val="000000"/>
                <w:sz w:val="24"/>
              </w:rPr>
            </w:pPr>
            <w:r>
              <w:rPr>
                <w:color w:val="000000"/>
                <w:sz w:val="24"/>
              </w:rPr>
              <w:t>在发动机前置前驱的轿车上，一般由撑杆总成、控制臂和稳定杆组成。其拆解工序一般为：</w:t>
            </w:r>
          </w:p>
          <w:p w14:paraId="1AE83028">
            <w:pPr>
              <w:widowControl/>
              <w:spacing w:line="360" w:lineRule="auto"/>
              <w:ind w:firstLine="480" w:firstLineChars="200"/>
              <w:jc w:val="left"/>
              <w:rPr>
                <w:color w:val="000000"/>
                <w:sz w:val="24"/>
              </w:rPr>
            </w:pPr>
            <w:r>
              <w:rPr>
                <w:color w:val="000000"/>
                <w:sz w:val="24"/>
              </w:rPr>
              <w:t>（1）松开半轴螺栓，举起车身并支撑住，拆下车轮；</w:t>
            </w:r>
          </w:p>
          <w:p w14:paraId="2D2992B8">
            <w:pPr>
              <w:widowControl/>
              <w:spacing w:line="360" w:lineRule="auto"/>
              <w:ind w:firstLine="480" w:firstLineChars="200"/>
              <w:jc w:val="left"/>
              <w:rPr>
                <w:color w:val="000000"/>
                <w:sz w:val="24"/>
              </w:rPr>
            </w:pPr>
            <w:r>
              <w:rPr>
                <w:color w:val="000000"/>
                <w:sz w:val="24"/>
              </w:rPr>
              <w:t>（2）拆下制动软管支架，将制动钳悬挂在一旁；</w:t>
            </w:r>
          </w:p>
          <w:p w14:paraId="20AE7D7A">
            <w:pPr>
              <w:widowControl/>
              <w:spacing w:line="360" w:lineRule="auto"/>
              <w:ind w:firstLine="480" w:firstLineChars="200"/>
              <w:jc w:val="left"/>
              <w:rPr>
                <w:color w:val="000000"/>
                <w:sz w:val="24"/>
              </w:rPr>
            </w:pPr>
            <w:r>
              <w:rPr>
                <w:color w:val="000000"/>
                <w:sz w:val="24"/>
              </w:rPr>
              <w:t>（3）拆下稳定杆螺母，把稳定杆的头部从控制臂上拆下，取下橡胶套；</w:t>
            </w:r>
          </w:p>
          <w:p w14:paraId="18CE2791">
            <w:pPr>
              <w:widowControl/>
              <w:spacing w:line="360" w:lineRule="auto"/>
              <w:ind w:firstLine="480" w:firstLineChars="200"/>
              <w:jc w:val="left"/>
              <w:rPr>
                <w:color w:val="000000"/>
                <w:sz w:val="24"/>
              </w:rPr>
            </w:pPr>
            <w:r>
              <w:rPr>
                <w:color w:val="000000"/>
                <w:sz w:val="24"/>
              </w:rPr>
              <w:t>（4）拆下转向节上的自锁螺母，抽出螺栓，把上控制臂外端从转向节上拆下；</w:t>
            </w:r>
          </w:p>
          <w:p w14:paraId="094DACD0">
            <w:pPr>
              <w:widowControl/>
              <w:spacing w:line="360" w:lineRule="auto"/>
              <w:ind w:firstLine="480" w:firstLineChars="200"/>
              <w:jc w:val="left"/>
              <w:rPr>
                <w:color w:val="000000"/>
                <w:sz w:val="24"/>
              </w:rPr>
            </w:pPr>
            <w:r>
              <w:rPr>
                <w:color w:val="000000"/>
                <w:sz w:val="24"/>
              </w:rPr>
              <w:t>（5）拆下传动轴螺栓，将控制臂向下推，从轮毂轴承盖中抽出传动轴；</w:t>
            </w:r>
          </w:p>
          <w:p w14:paraId="44F1A949">
            <w:pPr>
              <w:widowControl/>
              <w:spacing w:line="360" w:lineRule="auto"/>
              <w:ind w:firstLine="480" w:firstLineChars="200"/>
              <w:jc w:val="left"/>
              <w:rPr>
                <w:color w:val="000000"/>
                <w:sz w:val="24"/>
              </w:rPr>
            </w:pPr>
            <w:r>
              <w:rPr>
                <w:color w:val="000000"/>
                <w:sz w:val="24"/>
              </w:rPr>
              <w:t>（6）拆下自锁螺母，卸下转向拉杆；</w:t>
            </w:r>
          </w:p>
          <w:p w14:paraId="1DF7EA7D">
            <w:pPr>
              <w:widowControl/>
              <w:spacing w:line="360" w:lineRule="auto"/>
              <w:ind w:firstLine="480" w:firstLineChars="200"/>
              <w:jc w:val="left"/>
              <w:rPr>
                <w:color w:val="000000"/>
                <w:sz w:val="24"/>
              </w:rPr>
            </w:pPr>
            <w:r>
              <w:rPr>
                <w:color w:val="000000"/>
                <w:sz w:val="24"/>
              </w:rPr>
              <w:t>（7）拆下自锁螺母和垫圈，把撑杆总成从车上拆下。</w:t>
            </w:r>
          </w:p>
          <w:p w14:paraId="2EBFD3A7">
            <w:pPr>
              <w:widowControl/>
              <w:spacing w:line="360" w:lineRule="auto"/>
              <w:ind w:firstLine="480" w:firstLineChars="200"/>
              <w:jc w:val="left"/>
              <w:rPr>
                <w:color w:val="000000"/>
                <w:sz w:val="24"/>
              </w:rPr>
            </w:pPr>
            <w:r>
              <w:rPr>
                <w:color w:val="000000"/>
                <w:sz w:val="24"/>
              </w:rPr>
              <w:t>（8）拆下自锁螺母、螺栓和垫片后，把稳定杆从控制臂孔中拆下；</w:t>
            </w:r>
          </w:p>
          <w:p w14:paraId="6032720D">
            <w:pPr>
              <w:widowControl/>
              <w:spacing w:line="360" w:lineRule="auto"/>
              <w:ind w:firstLine="480" w:firstLineChars="200"/>
              <w:jc w:val="left"/>
              <w:rPr>
                <w:color w:val="000000"/>
                <w:sz w:val="24"/>
              </w:rPr>
            </w:pPr>
            <w:r>
              <w:rPr>
                <w:color w:val="000000"/>
                <w:sz w:val="24"/>
              </w:rPr>
              <w:t>（9）向下压控制臂，把球头销从车轮轴承罩上拆下来；</w:t>
            </w:r>
          </w:p>
          <w:p w14:paraId="67ED8E67">
            <w:pPr>
              <w:widowControl/>
              <w:spacing w:line="360" w:lineRule="auto"/>
              <w:ind w:firstLine="480" w:firstLineChars="200"/>
              <w:jc w:val="left"/>
              <w:rPr>
                <w:color w:val="000000"/>
                <w:sz w:val="24"/>
              </w:rPr>
            </w:pPr>
            <w:r>
              <w:rPr>
                <w:color w:val="000000"/>
                <w:sz w:val="24"/>
              </w:rPr>
              <w:t>（10）从副车架上拆下螺栓，取下控制臂。</w:t>
            </w:r>
          </w:p>
          <w:p w14:paraId="63B24AAA">
            <w:pPr>
              <w:widowControl/>
              <w:spacing w:line="360" w:lineRule="auto"/>
              <w:ind w:firstLine="480" w:firstLineChars="200"/>
              <w:jc w:val="left"/>
              <w:rPr>
                <w:color w:val="000000"/>
                <w:sz w:val="24"/>
              </w:rPr>
            </w:pPr>
            <w:r>
              <w:rPr>
                <w:color w:val="000000"/>
                <w:sz w:val="24"/>
              </w:rPr>
              <w:t>6</w:t>
            </w:r>
            <w:r>
              <w:rPr>
                <w:rFonts w:hint="eastAsia"/>
                <w:color w:val="000000"/>
                <w:sz w:val="24"/>
              </w:rPr>
              <w:t>.</w:t>
            </w:r>
            <w:r>
              <w:rPr>
                <w:color w:val="000000"/>
                <w:sz w:val="24"/>
              </w:rPr>
              <w:t>后桥与后悬架的拆解后桥与后悬架位于汽车后部，起着支撑汽车后部质量的作用，主要由车桥、螺旋弹簧、各种推力杆、减震器等组成。其拆解工序一般如下：</w:t>
            </w:r>
          </w:p>
          <w:p w14:paraId="4F84694A">
            <w:pPr>
              <w:widowControl/>
              <w:spacing w:line="360" w:lineRule="auto"/>
              <w:ind w:firstLine="480" w:firstLineChars="200"/>
              <w:jc w:val="left"/>
              <w:rPr>
                <w:color w:val="000000"/>
                <w:sz w:val="24"/>
              </w:rPr>
            </w:pPr>
            <w:r>
              <w:rPr>
                <w:color w:val="000000"/>
                <w:sz w:val="24"/>
              </w:rPr>
              <w:t>（1）用轴头扳手拆下锁紧螺母及垫圈，拆下后轮外轴承总成，拆下制动鼓；</w:t>
            </w:r>
          </w:p>
          <w:p w14:paraId="00AAF496">
            <w:pPr>
              <w:widowControl/>
              <w:spacing w:line="360" w:lineRule="auto"/>
              <w:ind w:firstLine="480" w:firstLineChars="200"/>
              <w:jc w:val="left"/>
              <w:rPr>
                <w:color w:val="000000"/>
                <w:sz w:val="24"/>
              </w:rPr>
            </w:pPr>
            <w:r>
              <w:rPr>
                <w:color w:val="000000"/>
                <w:sz w:val="24"/>
              </w:rPr>
              <w:t>（2）用拉器拉下后轮内的轴承，拆下油封；</w:t>
            </w:r>
          </w:p>
          <w:p w14:paraId="26AD9064">
            <w:pPr>
              <w:widowControl/>
              <w:spacing w:line="360" w:lineRule="auto"/>
              <w:ind w:firstLine="480" w:firstLineChars="200"/>
              <w:jc w:val="left"/>
              <w:rPr>
                <w:color w:val="000000"/>
                <w:sz w:val="24"/>
              </w:rPr>
            </w:pPr>
            <w:r>
              <w:rPr>
                <w:color w:val="000000"/>
                <w:sz w:val="24"/>
              </w:rPr>
              <w:t>（3）拆下固定螺栓，卸下制动管路、制动底板及短轴；</w:t>
            </w:r>
          </w:p>
          <w:p w14:paraId="16A85B61">
            <w:pPr>
              <w:widowControl/>
              <w:spacing w:line="360" w:lineRule="auto"/>
              <w:ind w:firstLine="480" w:firstLineChars="200"/>
              <w:jc w:val="left"/>
              <w:rPr>
                <w:color w:val="000000"/>
                <w:sz w:val="24"/>
              </w:rPr>
            </w:pPr>
            <w:r>
              <w:rPr>
                <w:color w:val="000000"/>
                <w:sz w:val="24"/>
              </w:rPr>
              <w:t>（4）拆下自锁螺母，拔出螺栓，拆下横向推力杆车桥的一头；</w:t>
            </w:r>
          </w:p>
          <w:p w14:paraId="77884BF2">
            <w:pPr>
              <w:widowControl/>
              <w:spacing w:line="360" w:lineRule="auto"/>
              <w:ind w:firstLine="480" w:firstLineChars="200"/>
              <w:jc w:val="left"/>
              <w:rPr>
                <w:color w:val="000000"/>
                <w:sz w:val="24"/>
              </w:rPr>
            </w:pPr>
            <w:r>
              <w:rPr>
                <w:color w:val="000000"/>
                <w:sz w:val="24"/>
              </w:rPr>
              <w:t>（5）拆下支撑杆的端的固定螺母和螺栓，拆下支撑杆；</w:t>
            </w:r>
          </w:p>
          <w:p w14:paraId="3C1CADA6">
            <w:pPr>
              <w:widowControl/>
              <w:spacing w:line="360" w:lineRule="auto"/>
              <w:ind w:firstLine="480" w:firstLineChars="200"/>
              <w:jc w:val="left"/>
              <w:rPr>
                <w:color w:val="000000"/>
                <w:sz w:val="24"/>
              </w:rPr>
            </w:pPr>
            <w:r>
              <w:rPr>
                <w:color w:val="000000"/>
                <w:sz w:val="24"/>
              </w:rPr>
              <w:t>（6）用螺旋弹簧压缩器把螺旋弹簧压缩到能拆下减震器杆上的固定螺母上；</w:t>
            </w:r>
          </w:p>
          <w:p w14:paraId="02FF35BA">
            <w:pPr>
              <w:widowControl/>
              <w:spacing w:line="360" w:lineRule="auto"/>
              <w:ind w:firstLine="480" w:firstLineChars="200"/>
              <w:jc w:val="left"/>
              <w:rPr>
                <w:color w:val="000000"/>
                <w:sz w:val="24"/>
              </w:rPr>
            </w:pPr>
            <w:r>
              <w:rPr>
                <w:color w:val="000000"/>
                <w:sz w:val="24"/>
              </w:rPr>
              <w:t>（7）放松螺旋弹簧压缩器，拆下弹簧上座、支撑橡胶、螺旋弹簧及螺旋弹簧下座；</w:t>
            </w:r>
          </w:p>
          <w:p w14:paraId="678D1A97">
            <w:pPr>
              <w:widowControl/>
              <w:spacing w:line="360" w:lineRule="auto"/>
              <w:ind w:firstLine="480" w:firstLineChars="200"/>
              <w:jc w:val="left"/>
              <w:rPr>
                <w:color w:val="000000"/>
                <w:sz w:val="24"/>
              </w:rPr>
            </w:pPr>
            <w:r>
              <w:rPr>
                <w:color w:val="000000"/>
                <w:sz w:val="24"/>
              </w:rPr>
              <w:t>（8）拆下防尘罩，卸下减振器。</w:t>
            </w:r>
          </w:p>
          <w:p w14:paraId="4070947E">
            <w:pPr>
              <w:widowControl/>
              <w:spacing w:line="360" w:lineRule="auto"/>
              <w:ind w:firstLine="480" w:firstLineChars="200"/>
              <w:jc w:val="left"/>
              <w:rPr>
                <w:color w:val="000000"/>
                <w:sz w:val="24"/>
              </w:rPr>
            </w:pPr>
            <w:r>
              <w:rPr>
                <w:color w:val="000000"/>
                <w:sz w:val="24"/>
              </w:rPr>
              <w:t>7</w:t>
            </w:r>
            <w:r>
              <w:rPr>
                <w:rFonts w:hint="eastAsia"/>
                <w:color w:val="000000"/>
                <w:sz w:val="24"/>
              </w:rPr>
              <w:t>.</w:t>
            </w:r>
            <w:r>
              <w:rPr>
                <w:color w:val="000000"/>
                <w:sz w:val="24"/>
              </w:rPr>
              <w:t>转向器的拆解</w:t>
            </w:r>
          </w:p>
          <w:p w14:paraId="3CB5FAE7">
            <w:pPr>
              <w:widowControl/>
              <w:spacing w:line="360" w:lineRule="auto"/>
              <w:ind w:firstLine="480" w:firstLineChars="200"/>
              <w:jc w:val="left"/>
              <w:rPr>
                <w:color w:val="000000"/>
                <w:sz w:val="24"/>
              </w:rPr>
            </w:pPr>
            <w:r>
              <w:rPr>
                <w:color w:val="000000"/>
                <w:sz w:val="24"/>
              </w:rPr>
              <w:t>其拆解程序如下：</w:t>
            </w:r>
          </w:p>
          <w:p w14:paraId="5EE1F546">
            <w:pPr>
              <w:widowControl/>
              <w:spacing w:line="360" w:lineRule="auto"/>
              <w:ind w:firstLine="480" w:firstLineChars="200"/>
              <w:jc w:val="left"/>
              <w:rPr>
                <w:color w:val="000000"/>
                <w:sz w:val="24"/>
              </w:rPr>
            </w:pPr>
            <w:r>
              <w:rPr>
                <w:color w:val="000000"/>
                <w:sz w:val="24"/>
              </w:rPr>
              <w:t>（1）拆卸固定横拉杆的螺母；</w:t>
            </w:r>
          </w:p>
          <w:p w14:paraId="56CC3B5B">
            <w:pPr>
              <w:widowControl/>
              <w:spacing w:line="360" w:lineRule="auto"/>
              <w:ind w:firstLine="480" w:firstLineChars="200"/>
              <w:jc w:val="left"/>
              <w:rPr>
                <w:color w:val="000000"/>
                <w:sz w:val="24"/>
              </w:rPr>
            </w:pPr>
            <w:r>
              <w:rPr>
                <w:color w:val="000000"/>
                <w:sz w:val="24"/>
              </w:rPr>
              <w:t>（2）拆卸左前轮罩处的转向器固定螺栓；</w:t>
            </w:r>
          </w:p>
          <w:p w14:paraId="01AA6A7B">
            <w:pPr>
              <w:widowControl/>
              <w:spacing w:line="360" w:lineRule="auto"/>
              <w:ind w:firstLine="480" w:firstLineChars="200"/>
              <w:jc w:val="left"/>
              <w:rPr>
                <w:color w:val="000000"/>
                <w:sz w:val="24"/>
              </w:rPr>
            </w:pPr>
            <w:r>
              <w:rPr>
                <w:color w:val="000000"/>
                <w:sz w:val="24"/>
              </w:rPr>
              <w:t>（3）松开在转向控制阀外壳上的高压油管；</w:t>
            </w:r>
          </w:p>
          <w:p w14:paraId="4339263D">
            <w:pPr>
              <w:widowControl/>
              <w:spacing w:line="360" w:lineRule="auto"/>
              <w:ind w:firstLine="480" w:firstLineChars="200"/>
              <w:jc w:val="left"/>
              <w:rPr>
                <w:color w:val="000000"/>
                <w:sz w:val="24"/>
              </w:rPr>
            </w:pPr>
            <w:r>
              <w:rPr>
                <w:color w:val="000000"/>
                <w:sz w:val="24"/>
              </w:rPr>
              <w:t>（4）拆卸后横板上固定转向器的左边自锁螺母；</w:t>
            </w:r>
          </w:p>
          <w:p w14:paraId="404B20C9">
            <w:pPr>
              <w:widowControl/>
              <w:spacing w:line="360" w:lineRule="auto"/>
              <w:ind w:firstLine="480" w:firstLineChars="200"/>
              <w:jc w:val="left"/>
              <w:rPr>
                <w:color w:val="000000"/>
                <w:sz w:val="24"/>
              </w:rPr>
            </w:pPr>
            <w:r>
              <w:rPr>
                <w:color w:val="000000"/>
                <w:sz w:val="24"/>
              </w:rPr>
              <w:t>（5）拆卸紧固齿条与转向横拉杆的螺栓；</w:t>
            </w:r>
          </w:p>
          <w:p w14:paraId="2F186894">
            <w:pPr>
              <w:widowControl/>
              <w:spacing w:line="360" w:lineRule="auto"/>
              <w:ind w:firstLine="480" w:firstLineChars="200"/>
              <w:jc w:val="left"/>
              <w:rPr>
                <w:color w:val="000000"/>
                <w:sz w:val="24"/>
              </w:rPr>
            </w:pPr>
            <w:r>
              <w:rPr>
                <w:color w:val="000000"/>
                <w:sz w:val="24"/>
              </w:rPr>
              <w:t>（6）拆卸仪表板侧边下盖、通风管和踏板盖；</w:t>
            </w:r>
          </w:p>
          <w:p w14:paraId="791DD5EC">
            <w:pPr>
              <w:widowControl/>
              <w:spacing w:line="360" w:lineRule="auto"/>
              <w:ind w:firstLine="480" w:firstLineChars="200"/>
              <w:jc w:val="left"/>
              <w:rPr>
                <w:color w:val="000000"/>
                <w:sz w:val="24"/>
              </w:rPr>
            </w:pPr>
            <w:r>
              <w:rPr>
                <w:color w:val="000000"/>
                <w:sz w:val="24"/>
              </w:rPr>
              <w:t>（7）拆卸紧固转向小齿轮与下轴的螺栓，并使各轴分开；</w:t>
            </w:r>
          </w:p>
          <w:p w14:paraId="0C519593">
            <w:pPr>
              <w:widowControl/>
              <w:spacing w:line="360" w:lineRule="auto"/>
              <w:ind w:firstLine="480" w:firstLineChars="200"/>
              <w:jc w:val="left"/>
              <w:rPr>
                <w:color w:val="000000"/>
                <w:sz w:val="24"/>
              </w:rPr>
            </w:pPr>
            <w:r>
              <w:rPr>
                <w:color w:val="000000"/>
                <w:sz w:val="24"/>
              </w:rPr>
              <w:t>（8）拆卸防尘套。从汽车内部，拆卸固定转向控制阀外壳上回油软管的放油螺栓；</w:t>
            </w:r>
          </w:p>
          <w:p w14:paraId="1A41CC99">
            <w:pPr>
              <w:widowControl/>
              <w:spacing w:line="360" w:lineRule="auto"/>
              <w:ind w:firstLine="480" w:firstLineChars="200"/>
              <w:jc w:val="left"/>
              <w:rPr>
                <w:color w:val="000000"/>
                <w:sz w:val="24"/>
              </w:rPr>
            </w:pPr>
            <w:r>
              <w:rPr>
                <w:color w:val="000000"/>
                <w:sz w:val="24"/>
              </w:rPr>
              <w:t>（9）拆卸后横板上转向器的固定自锁螺母；</w:t>
            </w:r>
          </w:p>
          <w:p w14:paraId="6639F5F4">
            <w:pPr>
              <w:widowControl/>
              <w:spacing w:line="360" w:lineRule="auto"/>
              <w:ind w:firstLine="480" w:firstLineChars="200"/>
              <w:jc w:val="left"/>
              <w:rPr>
                <w:color w:val="000000"/>
                <w:sz w:val="24"/>
              </w:rPr>
            </w:pPr>
            <w:r>
              <w:rPr>
                <w:color w:val="000000"/>
                <w:sz w:val="24"/>
              </w:rPr>
              <w:t>（10）拆下转向器。</w:t>
            </w:r>
          </w:p>
          <w:p w14:paraId="07194B17">
            <w:pPr>
              <w:widowControl/>
              <w:spacing w:line="360" w:lineRule="auto"/>
              <w:ind w:firstLine="480" w:firstLineChars="200"/>
              <w:jc w:val="left"/>
              <w:rPr>
                <w:color w:val="000000"/>
                <w:sz w:val="24"/>
              </w:rPr>
            </w:pPr>
            <w:r>
              <w:rPr>
                <w:color w:val="000000"/>
                <w:sz w:val="24"/>
              </w:rPr>
              <w:t>8</w:t>
            </w:r>
            <w:r>
              <w:rPr>
                <w:rFonts w:hint="eastAsia"/>
                <w:color w:val="000000"/>
                <w:sz w:val="24"/>
              </w:rPr>
              <w:t>.</w:t>
            </w:r>
            <w:r>
              <w:rPr>
                <w:color w:val="000000"/>
                <w:sz w:val="24"/>
              </w:rPr>
              <w:t>汽车悬架的拆解</w:t>
            </w:r>
          </w:p>
          <w:p w14:paraId="06CB53F8">
            <w:pPr>
              <w:widowControl/>
              <w:spacing w:line="360" w:lineRule="auto"/>
              <w:ind w:firstLine="480" w:firstLineChars="200"/>
              <w:jc w:val="left"/>
              <w:rPr>
                <w:color w:val="000000"/>
                <w:sz w:val="24"/>
              </w:rPr>
            </w:pPr>
            <w:r>
              <w:rPr>
                <w:color w:val="000000"/>
                <w:sz w:val="24"/>
              </w:rPr>
              <w:t>悬架是车架（或车身）与车轴（或车轮）之间的弹性联结的传力部件。由弹性元件、导向装置、减震器、缓冲块和横向稳定杆等组成。</w:t>
            </w:r>
          </w:p>
          <w:p w14:paraId="2AE4A08C">
            <w:pPr>
              <w:widowControl/>
              <w:spacing w:line="360" w:lineRule="auto"/>
              <w:ind w:firstLine="480" w:firstLineChars="200"/>
              <w:jc w:val="left"/>
              <w:rPr>
                <w:color w:val="000000"/>
                <w:sz w:val="24"/>
              </w:rPr>
            </w:pPr>
            <w:r>
              <w:rPr>
                <w:color w:val="000000"/>
                <w:sz w:val="24"/>
              </w:rPr>
              <w:t>悬架拆解程序：</w:t>
            </w:r>
          </w:p>
          <w:p w14:paraId="69EB598E">
            <w:pPr>
              <w:widowControl/>
              <w:spacing w:line="360" w:lineRule="auto"/>
              <w:ind w:firstLine="480" w:firstLineChars="200"/>
              <w:jc w:val="left"/>
              <w:rPr>
                <w:color w:val="000000"/>
                <w:sz w:val="24"/>
              </w:rPr>
            </w:pPr>
            <w:r>
              <w:rPr>
                <w:color w:val="000000"/>
                <w:sz w:val="24"/>
              </w:rPr>
              <w:t>（1）拆下左、右轮；</w:t>
            </w:r>
          </w:p>
          <w:p w14:paraId="3FBF2BDD">
            <w:pPr>
              <w:widowControl/>
              <w:spacing w:line="360" w:lineRule="auto"/>
              <w:ind w:firstLine="480" w:firstLineChars="200"/>
              <w:jc w:val="left"/>
              <w:rPr>
                <w:color w:val="000000"/>
                <w:sz w:val="24"/>
              </w:rPr>
            </w:pPr>
            <w:r>
              <w:rPr>
                <w:color w:val="000000"/>
                <w:sz w:val="24"/>
              </w:rPr>
              <w:t>（2）将车顶起，拆开刹车管和手制动钢索；</w:t>
            </w:r>
          </w:p>
          <w:p w14:paraId="7BAFB35B">
            <w:pPr>
              <w:widowControl/>
              <w:spacing w:line="360" w:lineRule="auto"/>
              <w:ind w:firstLine="480" w:firstLineChars="200"/>
              <w:jc w:val="left"/>
              <w:rPr>
                <w:color w:val="000000"/>
                <w:sz w:val="24"/>
              </w:rPr>
            </w:pPr>
            <w:r>
              <w:rPr>
                <w:color w:val="000000"/>
                <w:sz w:val="24"/>
              </w:rPr>
              <w:t>（3）拆开差速器与传动轴的连接；</w:t>
            </w:r>
          </w:p>
          <w:p w14:paraId="16735925">
            <w:pPr>
              <w:widowControl/>
              <w:spacing w:line="360" w:lineRule="auto"/>
              <w:ind w:firstLine="480" w:firstLineChars="200"/>
              <w:jc w:val="left"/>
              <w:rPr>
                <w:color w:val="000000"/>
                <w:sz w:val="24"/>
              </w:rPr>
            </w:pPr>
            <w:r>
              <w:rPr>
                <w:color w:val="000000"/>
                <w:sz w:val="24"/>
              </w:rPr>
              <w:t>（4）将一专用支架（1.5m高）放在后桥壳下，将吊机支臂向下运行，直到后桥壳的大部分重量落在支架上，这样可以使各弹性元件、连杆等处于相对松弛状态，以便于拆解；</w:t>
            </w:r>
          </w:p>
          <w:p w14:paraId="3D7F4BA2">
            <w:pPr>
              <w:widowControl/>
              <w:spacing w:line="360" w:lineRule="auto"/>
              <w:ind w:firstLine="480" w:firstLineChars="200"/>
              <w:jc w:val="left"/>
              <w:rPr>
                <w:color w:val="000000"/>
                <w:sz w:val="24"/>
              </w:rPr>
            </w:pPr>
            <w:r>
              <w:rPr>
                <w:color w:val="000000"/>
                <w:sz w:val="24"/>
              </w:rPr>
              <w:t>（5）拆开减振器与后桥壳和车身连接的螺栓，拆下两个后减振器；</w:t>
            </w:r>
          </w:p>
          <w:p w14:paraId="540F5293">
            <w:pPr>
              <w:widowControl/>
              <w:spacing w:line="360" w:lineRule="auto"/>
              <w:ind w:firstLine="480" w:firstLineChars="200"/>
              <w:jc w:val="left"/>
              <w:rPr>
                <w:color w:val="000000"/>
                <w:sz w:val="24"/>
              </w:rPr>
            </w:pPr>
            <w:r>
              <w:rPr>
                <w:color w:val="000000"/>
                <w:sz w:val="24"/>
              </w:rPr>
              <w:t>（6）拆开稳定杆两端的连接；</w:t>
            </w:r>
          </w:p>
          <w:p w14:paraId="5D545733">
            <w:pPr>
              <w:widowControl/>
              <w:spacing w:line="360" w:lineRule="auto"/>
              <w:ind w:firstLine="480" w:firstLineChars="200"/>
              <w:jc w:val="left"/>
              <w:rPr>
                <w:color w:val="000000"/>
                <w:sz w:val="24"/>
              </w:rPr>
            </w:pPr>
            <w:r>
              <w:rPr>
                <w:color w:val="000000"/>
                <w:sz w:val="24"/>
              </w:rPr>
              <w:t>（7）降侧控制杆与车身的连接拆开将侧控制杆与后桥壳的连接拆开：拆下侧控制杆；</w:t>
            </w:r>
          </w:p>
          <w:p w14:paraId="26ED2DE2">
            <w:pPr>
              <w:widowControl/>
              <w:spacing w:line="360" w:lineRule="auto"/>
              <w:ind w:firstLine="480" w:firstLineChars="200"/>
              <w:jc w:val="left"/>
              <w:rPr>
                <w:color w:val="000000"/>
                <w:sz w:val="24"/>
              </w:rPr>
            </w:pPr>
            <w:r>
              <w:rPr>
                <w:color w:val="000000"/>
                <w:sz w:val="24"/>
              </w:rPr>
              <w:t>（8）将车身向上慢慢举高，使后桥壳与支架脱离，拆下螺旋簧和上下胶垫；</w:t>
            </w:r>
          </w:p>
          <w:p w14:paraId="5314F2CC">
            <w:pPr>
              <w:widowControl/>
              <w:spacing w:line="360" w:lineRule="auto"/>
              <w:ind w:firstLine="480" w:firstLineChars="200"/>
              <w:jc w:val="left"/>
              <w:rPr>
                <w:color w:val="000000"/>
                <w:sz w:val="24"/>
              </w:rPr>
            </w:pPr>
            <w:r>
              <w:rPr>
                <w:color w:val="000000"/>
                <w:sz w:val="24"/>
              </w:rPr>
              <w:t>（9）将车身放下，后桥壳落在支架上；</w:t>
            </w:r>
          </w:p>
          <w:p w14:paraId="48E29BF4">
            <w:pPr>
              <w:widowControl/>
              <w:spacing w:line="360" w:lineRule="auto"/>
              <w:ind w:firstLine="480" w:firstLineChars="200"/>
              <w:jc w:val="left"/>
              <w:rPr>
                <w:color w:val="000000"/>
                <w:sz w:val="24"/>
              </w:rPr>
            </w:pPr>
            <w:r>
              <w:rPr>
                <w:color w:val="000000"/>
                <w:sz w:val="24"/>
              </w:rPr>
              <w:t>（10）拆下上控制臂。先拆开上控制臂与车身的连接，不要抽出螺栓再拆开上控制臂与后桥壳的连接，不要抽出螺栓；</w:t>
            </w:r>
          </w:p>
          <w:p w14:paraId="18A1FD91">
            <w:pPr>
              <w:widowControl/>
              <w:spacing w:line="360" w:lineRule="auto"/>
              <w:ind w:firstLine="480" w:firstLineChars="200"/>
              <w:jc w:val="left"/>
              <w:rPr>
                <w:color w:val="000000"/>
                <w:sz w:val="24"/>
              </w:rPr>
            </w:pPr>
            <w:r>
              <w:rPr>
                <w:color w:val="000000"/>
                <w:sz w:val="24"/>
              </w:rPr>
              <w:t>（11）拆下下控制臂。先拆下锁定块，再拆开下控制臂与车身的连接，不要抽出螺栓，然后拆开下控制臂与后桥壳的连接；</w:t>
            </w:r>
          </w:p>
          <w:p w14:paraId="73B118E3">
            <w:pPr>
              <w:widowControl/>
              <w:spacing w:line="360" w:lineRule="auto"/>
              <w:ind w:firstLine="480" w:firstLineChars="200"/>
              <w:jc w:val="left"/>
              <w:rPr>
                <w:color w:val="000000"/>
                <w:sz w:val="24"/>
              </w:rPr>
            </w:pPr>
            <w:r>
              <w:rPr>
                <w:color w:val="000000"/>
                <w:sz w:val="24"/>
              </w:rPr>
              <w:t>（12）抬下后桥壳时，需要两个人各扶左、右两侧，先抽出上、下控制臂的螺栓，拆下三个控制臂，再慢慢将车升起，由两个人将后桥抬下。</w:t>
            </w:r>
          </w:p>
          <w:p w14:paraId="40795136">
            <w:pPr>
              <w:widowControl/>
              <w:spacing w:line="360" w:lineRule="auto"/>
              <w:ind w:firstLine="480" w:firstLineChars="200"/>
              <w:jc w:val="left"/>
              <w:rPr>
                <w:rFonts w:hint="default" w:eastAsia="宋体"/>
                <w:color w:val="FF0000"/>
                <w:sz w:val="24"/>
                <w:lang w:val="en-US" w:eastAsia="zh-CN"/>
              </w:rPr>
            </w:pPr>
            <w:r>
              <w:rPr>
                <w:rFonts w:hint="eastAsia"/>
                <w:color w:val="FF0000"/>
                <w:sz w:val="24"/>
                <w:lang w:val="en-US" w:eastAsia="zh-CN"/>
              </w:rPr>
              <w:t>此工序产生噪声、固废（石棉废物S15、含铅部件S9、含汞部件S10、废电路板及电子元件S8）</w:t>
            </w:r>
          </w:p>
          <w:p w14:paraId="253A68CC">
            <w:pPr>
              <w:widowControl/>
              <w:spacing w:line="360" w:lineRule="auto"/>
              <w:ind w:firstLine="482" w:firstLineChars="200"/>
              <w:jc w:val="left"/>
              <w:rPr>
                <w:b/>
                <w:color w:val="000000"/>
                <w:sz w:val="24"/>
              </w:rPr>
            </w:pPr>
            <w:r>
              <w:rPr>
                <w:rFonts w:hint="eastAsia"/>
                <w:b/>
                <w:color w:val="000000"/>
                <w:sz w:val="24"/>
              </w:rPr>
              <w:t>2.8</w:t>
            </w:r>
            <w:r>
              <w:rPr>
                <w:b/>
                <w:color w:val="000000"/>
                <w:sz w:val="24"/>
              </w:rPr>
              <w:t>存储和管理</w:t>
            </w:r>
          </w:p>
          <w:p w14:paraId="0C2152B6">
            <w:pPr>
              <w:widowControl/>
              <w:spacing w:line="360" w:lineRule="auto"/>
              <w:ind w:firstLine="480" w:firstLineChars="200"/>
              <w:jc w:val="left"/>
              <w:rPr>
                <w:color w:val="000000"/>
                <w:sz w:val="24"/>
              </w:rPr>
            </w:pPr>
            <w:r>
              <w:rPr>
                <w:color w:val="000000"/>
                <w:sz w:val="24"/>
              </w:rPr>
              <w:t>1</w:t>
            </w:r>
            <w:r>
              <w:rPr>
                <w:rFonts w:hint="eastAsia"/>
                <w:color w:val="000000"/>
                <w:sz w:val="24"/>
              </w:rPr>
              <w:t>.</w:t>
            </w:r>
            <w:r>
              <w:rPr>
                <w:color w:val="000000"/>
                <w:sz w:val="24"/>
              </w:rPr>
              <w:t>使用各种专用密闭容器存储废液，防止废液挥发，并交给合法的废液回收处理企业。</w:t>
            </w:r>
          </w:p>
          <w:p w14:paraId="32250515">
            <w:pPr>
              <w:widowControl/>
              <w:spacing w:line="360" w:lineRule="auto"/>
              <w:ind w:firstLine="480" w:firstLineChars="200"/>
              <w:jc w:val="left"/>
              <w:rPr>
                <w:color w:val="000000"/>
                <w:sz w:val="24"/>
              </w:rPr>
            </w:pPr>
            <w:r>
              <w:rPr>
                <w:color w:val="000000"/>
                <w:sz w:val="24"/>
              </w:rPr>
              <w:t>2</w:t>
            </w:r>
            <w:r>
              <w:rPr>
                <w:rFonts w:hint="eastAsia"/>
                <w:color w:val="000000"/>
                <w:sz w:val="24"/>
              </w:rPr>
              <w:t>.</w:t>
            </w:r>
            <w:r>
              <w:rPr>
                <w:color w:val="000000"/>
                <w:sz w:val="24"/>
              </w:rPr>
              <w:t>固体废物的贮存设施建设需要符合GB18599、GB18597、HJ2025的要求。</w:t>
            </w:r>
          </w:p>
          <w:p w14:paraId="55F2D2E3">
            <w:pPr>
              <w:widowControl/>
              <w:spacing w:line="360" w:lineRule="auto"/>
              <w:ind w:firstLine="480" w:firstLineChars="200"/>
              <w:jc w:val="left"/>
              <w:rPr>
                <w:color w:val="000000"/>
                <w:sz w:val="24"/>
              </w:rPr>
            </w:pPr>
            <w:r>
              <w:rPr>
                <w:color w:val="000000"/>
                <w:sz w:val="24"/>
              </w:rPr>
              <w:t>3</w:t>
            </w:r>
            <w:r>
              <w:rPr>
                <w:rFonts w:hint="eastAsia"/>
                <w:color w:val="000000"/>
                <w:sz w:val="24"/>
              </w:rPr>
              <w:t>.</w:t>
            </w:r>
            <w:r>
              <w:rPr>
                <w:color w:val="000000"/>
                <w:sz w:val="24"/>
              </w:rPr>
              <w:t>一般工业固体废物贮存设施及包装物按 GB15562.2进行标识，危险废物贮存设施及包装物的标志符合GB18597的要求。所有固体废物避免混合、混放。</w:t>
            </w:r>
          </w:p>
          <w:p w14:paraId="354C3C84">
            <w:pPr>
              <w:widowControl/>
              <w:spacing w:line="360" w:lineRule="auto"/>
              <w:ind w:firstLine="480" w:firstLineChars="200"/>
              <w:jc w:val="left"/>
              <w:rPr>
                <w:color w:val="000000"/>
                <w:sz w:val="24"/>
              </w:rPr>
            </w:pPr>
            <w:r>
              <w:rPr>
                <w:color w:val="000000"/>
                <w:sz w:val="24"/>
              </w:rPr>
              <w:t>4</w:t>
            </w:r>
            <w:r>
              <w:rPr>
                <w:rFonts w:hint="eastAsia"/>
                <w:color w:val="000000"/>
                <w:sz w:val="24"/>
              </w:rPr>
              <w:t>.</w:t>
            </w:r>
            <w:r>
              <w:rPr>
                <w:color w:val="000000"/>
                <w:sz w:val="24"/>
              </w:rPr>
              <w:t>妥善处置固体废物，不应非法转移、倾倒、利用和处置。</w:t>
            </w:r>
          </w:p>
          <w:p w14:paraId="2A7EEBF9">
            <w:pPr>
              <w:spacing w:line="360" w:lineRule="auto"/>
              <w:ind w:firstLine="480"/>
              <w:jc w:val="left"/>
              <w:rPr>
                <w:color w:val="FF0000"/>
                <w:spacing w:val="-2"/>
                <w:sz w:val="24"/>
              </w:rPr>
            </w:pPr>
            <w:r>
              <w:rPr>
                <w:color w:val="FF0000"/>
                <w:sz w:val="24"/>
              </w:rPr>
              <w:t>5</w:t>
            </w:r>
            <w:r>
              <w:rPr>
                <w:rFonts w:hint="eastAsia"/>
                <w:color w:val="FF0000"/>
                <w:sz w:val="24"/>
              </w:rPr>
              <w:t>.</w:t>
            </w:r>
            <w:r>
              <w:rPr>
                <w:color w:val="FF0000"/>
                <w:sz w:val="24"/>
              </w:rPr>
              <w:t>不同类型的制冷剂应分别回收，使用专门容器单独存放。</w:t>
            </w:r>
            <w:r>
              <w:rPr>
                <w:rFonts w:hint="eastAsia"/>
                <w:color w:val="FF0000"/>
                <w:spacing w:val="-2"/>
                <w:sz w:val="24"/>
                <w:lang w:eastAsia="zh-CN"/>
              </w:rPr>
              <w:t>废制冷剂</w:t>
            </w:r>
            <w:r>
              <w:rPr>
                <w:rFonts w:hint="eastAsia"/>
                <w:color w:val="FF0000"/>
                <w:spacing w:val="-2"/>
                <w:sz w:val="24"/>
                <w:lang w:val="en-US" w:eastAsia="zh-CN"/>
              </w:rPr>
              <w:t>收集至专用钢瓶（设计压力≥3MPa，配备防倒架和瓶，钢瓶标签标明制冷剂类型、重量、回收日期）后</w:t>
            </w:r>
            <w:r>
              <w:rPr>
                <w:color w:val="FF0000"/>
                <w:spacing w:val="-2"/>
                <w:sz w:val="24"/>
              </w:rPr>
              <w:t>暂存于</w:t>
            </w:r>
            <w:r>
              <w:rPr>
                <w:rFonts w:hint="eastAsia"/>
                <w:color w:val="FF0000"/>
                <w:spacing w:val="-2"/>
                <w:sz w:val="24"/>
                <w:lang w:val="en-US" w:eastAsia="zh-CN"/>
              </w:rPr>
              <w:t>专用危废贮存点（</w:t>
            </w:r>
            <w:r>
              <w:rPr>
                <w:color w:val="FF0000"/>
                <w:spacing w:val="-2"/>
                <w:sz w:val="24"/>
              </w:rPr>
              <w:t>独立防爆间</w:t>
            </w:r>
            <w:r>
              <w:rPr>
                <w:rFonts w:hint="eastAsia"/>
                <w:color w:val="FF0000"/>
                <w:spacing w:val="-2"/>
                <w:sz w:val="24"/>
                <w:lang w:val="en-US" w:eastAsia="zh-CN"/>
              </w:rPr>
              <w:t>），</w:t>
            </w:r>
            <w:r>
              <w:rPr>
                <w:color w:val="FF0000"/>
                <w:spacing w:val="-2"/>
                <w:sz w:val="24"/>
              </w:rPr>
              <w:t>耐火等级≥二级，地面防静电处理；</w:t>
            </w:r>
            <w:r>
              <w:rPr>
                <w:rFonts w:hint="default"/>
                <w:color w:val="FF0000"/>
                <w:spacing w:val="-2"/>
                <w:sz w:val="24"/>
              </w:rPr>
              <w:t>温度≤40℃，远离热源/明火（间距≥5m）；配置可燃气体报警器（HFCs类）和负压通风系统（换气次数≥12次/h）</w:t>
            </w:r>
            <w:r>
              <w:rPr>
                <w:color w:val="FF0000"/>
                <w:spacing w:val="-2"/>
                <w:sz w:val="24"/>
              </w:rPr>
              <w:t>，定期交有资质单位处置。</w:t>
            </w:r>
          </w:p>
          <w:p w14:paraId="57E1D930">
            <w:pPr>
              <w:widowControl/>
              <w:spacing w:line="360" w:lineRule="auto"/>
              <w:ind w:firstLine="480" w:firstLineChars="200"/>
              <w:jc w:val="left"/>
              <w:rPr>
                <w:color w:val="000000"/>
                <w:sz w:val="24"/>
              </w:rPr>
            </w:pPr>
            <w:r>
              <w:rPr>
                <w:color w:val="000000"/>
                <w:sz w:val="24"/>
              </w:rPr>
              <w:t>6</w:t>
            </w:r>
            <w:r>
              <w:rPr>
                <w:rFonts w:hint="eastAsia"/>
                <w:color w:val="000000"/>
                <w:sz w:val="24"/>
              </w:rPr>
              <w:t>.</w:t>
            </w:r>
            <w:r>
              <w:rPr>
                <w:color w:val="000000"/>
                <w:sz w:val="24"/>
              </w:rPr>
              <w:t>废弃电器、蓄电池贮存场地不得有明火。</w:t>
            </w:r>
          </w:p>
          <w:p w14:paraId="39CA57BF">
            <w:pPr>
              <w:widowControl/>
              <w:spacing w:line="360" w:lineRule="auto"/>
              <w:ind w:firstLine="480" w:firstLineChars="200"/>
              <w:jc w:val="left"/>
              <w:rPr>
                <w:color w:val="000000"/>
                <w:sz w:val="24"/>
              </w:rPr>
            </w:pPr>
            <w:r>
              <w:rPr>
                <w:color w:val="000000"/>
                <w:sz w:val="24"/>
              </w:rPr>
              <w:t>7</w:t>
            </w:r>
            <w:r>
              <w:rPr>
                <w:rFonts w:hint="eastAsia"/>
                <w:color w:val="000000"/>
                <w:sz w:val="24"/>
              </w:rPr>
              <w:t>.</w:t>
            </w:r>
            <w:r>
              <w:rPr>
                <w:color w:val="000000"/>
                <w:sz w:val="24"/>
              </w:rPr>
              <w:t>容器和装置要防漏和防止洒溅，未引爆安全气囊的贮存装置应防爆，并对其进行日常性检查。</w:t>
            </w:r>
          </w:p>
          <w:p w14:paraId="3CC364EF">
            <w:pPr>
              <w:widowControl/>
              <w:spacing w:line="360" w:lineRule="auto"/>
              <w:ind w:firstLine="480" w:firstLineChars="200"/>
              <w:jc w:val="left"/>
              <w:rPr>
                <w:color w:val="000000"/>
                <w:sz w:val="24"/>
              </w:rPr>
            </w:pPr>
            <w:r>
              <w:rPr>
                <w:color w:val="000000"/>
                <w:sz w:val="24"/>
              </w:rPr>
              <w:t>8</w:t>
            </w:r>
            <w:r>
              <w:rPr>
                <w:rFonts w:hint="eastAsia"/>
                <w:color w:val="000000"/>
                <w:sz w:val="24"/>
              </w:rPr>
              <w:t>.</w:t>
            </w:r>
            <w:r>
              <w:rPr>
                <w:color w:val="000000"/>
                <w:sz w:val="24"/>
              </w:rPr>
              <w:t>对拆解后的所有固体废物分类贮存和标识。</w:t>
            </w:r>
          </w:p>
          <w:p w14:paraId="19BC5482">
            <w:pPr>
              <w:widowControl/>
              <w:spacing w:line="360" w:lineRule="auto"/>
              <w:ind w:firstLine="480" w:firstLineChars="200"/>
              <w:jc w:val="left"/>
              <w:rPr>
                <w:color w:val="000000"/>
                <w:sz w:val="24"/>
              </w:rPr>
            </w:pPr>
            <w:r>
              <w:rPr>
                <w:color w:val="000000"/>
                <w:sz w:val="24"/>
              </w:rPr>
              <w:t>9</w:t>
            </w:r>
            <w:r>
              <w:rPr>
                <w:rFonts w:hint="eastAsia"/>
                <w:color w:val="000000"/>
                <w:sz w:val="24"/>
              </w:rPr>
              <w:t>.</w:t>
            </w:r>
            <w:r>
              <w:rPr>
                <w:color w:val="000000"/>
                <w:sz w:val="24"/>
              </w:rPr>
              <w:t>报废机动车主要固体废物的贮存方法根据《报废机动车回收拆解企业技术规范》（GB22128-2019）执行。</w:t>
            </w:r>
          </w:p>
          <w:p w14:paraId="3A736317">
            <w:pPr>
              <w:widowControl/>
              <w:spacing w:line="360" w:lineRule="auto"/>
              <w:ind w:firstLine="480" w:firstLineChars="200"/>
              <w:jc w:val="left"/>
              <w:rPr>
                <w:color w:val="000000"/>
                <w:sz w:val="24"/>
              </w:rPr>
            </w:pPr>
            <w:r>
              <w:rPr>
                <w:color w:val="000000"/>
                <w:sz w:val="24"/>
              </w:rPr>
              <w:t>10</w:t>
            </w:r>
            <w:r>
              <w:rPr>
                <w:rFonts w:hint="eastAsia"/>
                <w:color w:val="000000"/>
                <w:sz w:val="24"/>
              </w:rPr>
              <w:t>.</w:t>
            </w:r>
            <w:r>
              <w:rPr>
                <w:color w:val="000000"/>
                <w:sz w:val="24"/>
              </w:rPr>
              <w:t>各种废弃物的存储时间一般不超过一年。</w:t>
            </w:r>
          </w:p>
          <w:p w14:paraId="51AA88C9">
            <w:pPr>
              <w:widowControl/>
              <w:spacing w:line="360" w:lineRule="auto"/>
              <w:ind w:firstLine="480" w:firstLineChars="200"/>
              <w:jc w:val="left"/>
              <w:rPr>
                <w:color w:val="000000"/>
                <w:sz w:val="24"/>
              </w:rPr>
            </w:pPr>
            <w:r>
              <w:rPr>
                <w:color w:val="000000"/>
                <w:sz w:val="24"/>
              </w:rPr>
              <w:t>11</w:t>
            </w:r>
            <w:r>
              <w:rPr>
                <w:rFonts w:hint="eastAsia"/>
                <w:color w:val="000000"/>
                <w:sz w:val="24"/>
              </w:rPr>
              <w:t>.</w:t>
            </w:r>
            <w:r>
              <w:rPr>
                <w:color w:val="000000"/>
                <w:sz w:val="24"/>
              </w:rPr>
              <w:t>固体废弃物应交给符合国家相关标准的废物处理单位处理，不得焚烧、丢弃。</w:t>
            </w:r>
          </w:p>
          <w:p w14:paraId="582A5089">
            <w:pPr>
              <w:widowControl/>
              <w:spacing w:line="360" w:lineRule="auto"/>
              <w:ind w:firstLine="480" w:firstLineChars="200"/>
              <w:jc w:val="left"/>
              <w:rPr>
                <w:color w:val="000000"/>
                <w:sz w:val="24"/>
              </w:rPr>
            </w:pPr>
            <w:r>
              <w:rPr>
                <w:color w:val="000000"/>
                <w:sz w:val="24"/>
              </w:rPr>
              <w:t>12</w:t>
            </w:r>
            <w:r>
              <w:rPr>
                <w:rFonts w:hint="eastAsia"/>
                <w:color w:val="000000"/>
                <w:sz w:val="24"/>
              </w:rPr>
              <w:t>.</w:t>
            </w:r>
            <w:r>
              <w:rPr>
                <w:color w:val="000000"/>
                <w:sz w:val="24"/>
              </w:rPr>
              <w:t>危险废物应交由具有相应资质的单位进行处理处置。</w:t>
            </w:r>
          </w:p>
          <w:p w14:paraId="54A81875">
            <w:pPr>
              <w:widowControl/>
              <w:spacing w:line="360" w:lineRule="auto"/>
              <w:ind w:firstLine="482" w:firstLineChars="200"/>
              <w:jc w:val="left"/>
              <w:rPr>
                <w:b/>
                <w:color w:val="000000"/>
                <w:sz w:val="24"/>
              </w:rPr>
            </w:pPr>
            <w:r>
              <w:rPr>
                <w:rFonts w:hint="eastAsia"/>
                <w:b/>
                <w:color w:val="000000"/>
                <w:sz w:val="24"/>
              </w:rPr>
              <w:t>2.9</w:t>
            </w:r>
            <w:r>
              <w:rPr>
                <w:b/>
                <w:color w:val="000000"/>
                <w:sz w:val="24"/>
              </w:rPr>
              <w:t>蓄电池贮存</w:t>
            </w:r>
          </w:p>
          <w:p w14:paraId="6DBBE582">
            <w:pPr>
              <w:widowControl/>
              <w:spacing w:line="360" w:lineRule="auto"/>
              <w:ind w:firstLine="480" w:firstLineChars="200"/>
              <w:jc w:val="left"/>
              <w:rPr>
                <w:color w:val="000000"/>
                <w:sz w:val="24"/>
              </w:rPr>
            </w:pPr>
            <w:r>
              <w:rPr>
                <w:rFonts w:hint="eastAsia"/>
                <w:color w:val="000000"/>
                <w:sz w:val="24"/>
              </w:rPr>
              <w:t>1.废铅酸蓄电池</w:t>
            </w:r>
          </w:p>
          <w:p w14:paraId="03C7B908">
            <w:pPr>
              <w:widowControl/>
              <w:spacing w:line="360" w:lineRule="auto"/>
              <w:ind w:firstLine="480" w:firstLineChars="200"/>
              <w:jc w:val="left"/>
              <w:rPr>
                <w:color w:val="000000"/>
                <w:sz w:val="24"/>
              </w:rPr>
            </w:pPr>
            <w:r>
              <w:rPr>
                <w:color w:val="000000"/>
                <w:sz w:val="24"/>
              </w:rPr>
              <w:t>（1）废铅酸蓄电池的贮存设施应参照《危险废物贮存污染控制标准》（GB18597-20</w:t>
            </w:r>
            <w:r>
              <w:rPr>
                <w:rFonts w:hint="eastAsia"/>
                <w:color w:val="000000"/>
                <w:sz w:val="24"/>
              </w:rPr>
              <w:t>23</w:t>
            </w:r>
            <w:r>
              <w:rPr>
                <w:color w:val="000000"/>
                <w:sz w:val="24"/>
              </w:rPr>
              <w:t>）的有关要求进行建设和管理。</w:t>
            </w:r>
          </w:p>
          <w:p w14:paraId="61D99E89">
            <w:pPr>
              <w:widowControl/>
              <w:spacing w:line="360" w:lineRule="auto"/>
              <w:ind w:firstLine="480" w:firstLineChars="200"/>
              <w:jc w:val="left"/>
              <w:rPr>
                <w:color w:val="000000"/>
                <w:sz w:val="24"/>
              </w:rPr>
            </w:pPr>
            <w:r>
              <w:rPr>
                <w:color w:val="000000"/>
                <w:sz w:val="24"/>
              </w:rPr>
              <w:t>（2）废铅酸蓄电池的贮存设施还应符合以下要求：</w:t>
            </w:r>
          </w:p>
          <w:p w14:paraId="07B0BD3F">
            <w:pPr>
              <w:widowControl/>
              <w:spacing w:line="360" w:lineRule="auto"/>
              <w:ind w:firstLine="480" w:firstLineChars="200"/>
              <w:jc w:val="left"/>
              <w:rPr>
                <w:color w:val="000000"/>
                <w:sz w:val="24"/>
              </w:rPr>
            </w:pPr>
            <w:r>
              <w:rPr>
                <w:color w:val="000000"/>
                <w:sz w:val="24"/>
              </w:rPr>
              <w:t>①贮存点必须防雨，必须远离其他水源和热源。</w:t>
            </w:r>
          </w:p>
          <w:p w14:paraId="150CC703">
            <w:pPr>
              <w:widowControl/>
              <w:spacing w:line="360" w:lineRule="auto"/>
              <w:ind w:firstLine="480" w:firstLineChars="200"/>
              <w:jc w:val="left"/>
              <w:rPr>
                <w:color w:val="000000"/>
                <w:sz w:val="24"/>
              </w:rPr>
            </w:pPr>
            <w:r>
              <w:rPr>
                <w:color w:val="000000"/>
                <w:sz w:val="24"/>
              </w:rPr>
              <w:t>②贮存点必须有耐酸地面隔离层，以便于截留和收集任何</w:t>
            </w:r>
            <w:r>
              <w:rPr>
                <w:rFonts w:hint="eastAsia"/>
                <w:color w:val="000000"/>
                <w:sz w:val="24"/>
              </w:rPr>
              <w:t>泄漏</w:t>
            </w:r>
            <w:r>
              <w:rPr>
                <w:color w:val="000000"/>
                <w:sz w:val="24"/>
              </w:rPr>
              <w:t>液体。</w:t>
            </w:r>
          </w:p>
          <w:p w14:paraId="7CE15ADC">
            <w:pPr>
              <w:widowControl/>
              <w:spacing w:line="360" w:lineRule="auto"/>
              <w:ind w:firstLine="480" w:firstLineChars="200"/>
              <w:jc w:val="left"/>
              <w:rPr>
                <w:color w:val="000000"/>
                <w:sz w:val="24"/>
              </w:rPr>
            </w:pPr>
            <w:r>
              <w:rPr>
                <w:color w:val="000000"/>
                <w:sz w:val="24"/>
              </w:rPr>
              <w:t>③应有足够的废水收集系统，以把溢出的溶液送到酸性电解液的处理站；</w:t>
            </w:r>
          </w:p>
          <w:p w14:paraId="16DFA9FA">
            <w:pPr>
              <w:widowControl/>
              <w:spacing w:line="360" w:lineRule="auto"/>
              <w:ind w:firstLine="480" w:firstLineChars="200"/>
              <w:jc w:val="left"/>
              <w:rPr>
                <w:color w:val="000000"/>
                <w:sz w:val="24"/>
              </w:rPr>
            </w:pPr>
            <w:r>
              <w:rPr>
                <w:color w:val="000000"/>
                <w:sz w:val="24"/>
              </w:rPr>
              <w:t>④应只有一个入口，并且在一般情况下，应关闭此入口以避免灰尘的扩散；</w:t>
            </w:r>
          </w:p>
          <w:p w14:paraId="228FF29A">
            <w:pPr>
              <w:widowControl/>
              <w:spacing w:line="360" w:lineRule="auto"/>
              <w:ind w:firstLine="480" w:firstLineChars="200"/>
              <w:jc w:val="left"/>
              <w:rPr>
                <w:color w:val="000000"/>
                <w:sz w:val="24"/>
              </w:rPr>
            </w:pPr>
            <w:r>
              <w:rPr>
                <w:color w:val="000000"/>
                <w:sz w:val="24"/>
              </w:rPr>
              <w:t>⑤应具有空气收集、排气系统，用以过滤空气中的含铅灰尘和更新空气；</w:t>
            </w:r>
          </w:p>
          <w:p w14:paraId="70756712">
            <w:pPr>
              <w:widowControl/>
              <w:spacing w:line="360" w:lineRule="auto"/>
              <w:ind w:firstLine="480" w:firstLineChars="200"/>
              <w:jc w:val="left"/>
              <w:rPr>
                <w:color w:val="000000"/>
                <w:sz w:val="24"/>
              </w:rPr>
            </w:pPr>
            <w:r>
              <w:rPr>
                <w:color w:val="000000"/>
                <w:sz w:val="24"/>
              </w:rPr>
              <w:t>⑥应设有适当的防火装置。</w:t>
            </w:r>
          </w:p>
          <w:p w14:paraId="1365E5E2">
            <w:pPr>
              <w:widowControl/>
              <w:spacing w:line="360" w:lineRule="auto"/>
              <w:ind w:firstLine="480" w:firstLineChars="200"/>
              <w:jc w:val="left"/>
              <w:rPr>
                <w:color w:val="000000"/>
                <w:sz w:val="24"/>
              </w:rPr>
            </w:pPr>
            <w:r>
              <w:rPr>
                <w:color w:val="000000"/>
                <w:sz w:val="24"/>
              </w:rPr>
              <w:t>⑦作为危险品贮存点，必须设立警示标志,只允许专门人员进入贮存设施。</w:t>
            </w:r>
          </w:p>
          <w:p w14:paraId="6879534D">
            <w:pPr>
              <w:widowControl/>
              <w:spacing w:line="360" w:lineRule="auto"/>
              <w:ind w:firstLine="480" w:firstLineChars="200"/>
              <w:jc w:val="left"/>
              <w:rPr>
                <w:color w:val="000000"/>
                <w:sz w:val="24"/>
              </w:rPr>
            </w:pPr>
            <w:r>
              <w:rPr>
                <w:color w:val="000000"/>
                <w:sz w:val="24"/>
              </w:rPr>
              <w:t>（3）禁止将废铅酸蓄电池堆放在露天场地，避免废蓄电池遭受雨淋水浸。</w:t>
            </w:r>
          </w:p>
          <w:p w14:paraId="61D36150">
            <w:pPr>
              <w:widowControl/>
              <w:spacing w:line="360" w:lineRule="auto"/>
              <w:ind w:firstLine="480" w:firstLineChars="200"/>
              <w:jc w:val="left"/>
              <w:rPr>
                <w:color w:val="000000"/>
                <w:sz w:val="24"/>
              </w:rPr>
            </w:pPr>
            <w:r>
              <w:rPr>
                <w:color w:val="000000"/>
                <w:sz w:val="24"/>
              </w:rPr>
              <w:t>（4）应避免贮存大量的废铅酸蓄电池或贮存太长时间，贮存点必须有足够的空间满足特殊管理要求。</w:t>
            </w:r>
          </w:p>
          <w:p w14:paraId="7FAC08D7">
            <w:pPr>
              <w:widowControl/>
              <w:spacing w:line="360" w:lineRule="auto"/>
              <w:ind w:firstLine="480" w:firstLineChars="200"/>
              <w:jc w:val="left"/>
              <w:rPr>
                <w:color w:val="000000"/>
                <w:sz w:val="24"/>
              </w:rPr>
            </w:pPr>
            <w:r>
              <w:rPr>
                <w:rFonts w:hint="eastAsia"/>
                <w:color w:val="000000"/>
                <w:sz w:val="24"/>
              </w:rPr>
              <w:t>（5）</w:t>
            </w:r>
            <w:r>
              <w:rPr>
                <w:color w:val="000000"/>
                <w:sz w:val="24"/>
              </w:rPr>
              <w:t>动力蓄电池多层贮存时应采取框架结构并确保承重安全，且便于存取。</w:t>
            </w:r>
          </w:p>
          <w:p w14:paraId="2E406761">
            <w:pPr>
              <w:widowControl/>
              <w:spacing w:line="360" w:lineRule="auto"/>
              <w:ind w:firstLine="480" w:firstLineChars="200"/>
              <w:jc w:val="left"/>
              <w:rPr>
                <w:color w:val="000000"/>
                <w:sz w:val="24"/>
              </w:rPr>
            </w:pPr>
            <w:r>
              <w:rPr>
                <w:rFonts w:hint="eastAsia"/>
                <w:color w:val="000000"/>
                <w:sz w:val="24"/>
              </w:rPr>
              <w:t>（6）</w:t>
            </w:r>
            <w:r>
              <w:rPr>
                <w:color w:val="000000"/>
                <w:sz w:val="24"/>
              </w:rPr>
              <w:t>存在漏电、漏液、破损等安全隐患的动力蓄电池应采取适当方式处理，并隔离存放。</w:t>
            </w:r>
          </w:p>
          <w:p w14:paraId="2D6B4428">
            <w:pPr>
              <w:widowControl/>
              <w:spacing w:line="360" w:lineRule="auto"/>
              <w:ind w:firstLine="480" w:firstLineChars="200"/>
              <w:jc w:val="left"/>
              <w:rPr>
                <w:color w:val="000000"/>
                <w:sz w:val="24"/>
              </w:rPr>
            </w:pPr>
            <w:r>
              <w:rPr>
                <w:rFonts w:hint="eastAsia"/>
                <w:color w:val="000000"/>
                <w:sz w:val="24"/>
              </w:rPr>
              <w:t>（7）</w:t>
            </w:r>
            <w:r>
              <w:rPr>
                <w:color w:val="000000"/>
                <w:sz w:val="24"/>
              </w:rPr>
              <w:t>燃油及燃气均属于易燃易爆物质，在拆解油箱、燃气瓶、离合器及前后桥过程中，严禁明火，拆解作业区要配有小型干粉、二氧化碳等灭火器，定期巡回检查。</w:t>
            </w:r>
          </w:p>
          <w:p w14:paraId="64557CE9">
            <w:pPr>
              <w:pStyle w:val="132"/>
              <w:numPr>
                <w:ilvl w:val="0"/>
                <w:numId w:val="0"/>
              </w:numPr>
              <w:spacing w:before="0" w:beforeLines="0" w:after="0" w:afterLines="0" w:line="360" w:lineRule="auto"/>
              <w:ind w:firstLine="480" w:firstLineChars="200"/>
              <w:rPr>
                <w:rFonts w:hint="eastAsia" w:ascii="Times New Roman" w:eastAsia="宋体"/>
                <w:color w:val="FF0000"/>
                <w:sz w:val="24"/>
                <w:szCs w:val="24"/>
                <w:lang w:val="en-US" w:eastAsia="zh-CN"/>
              </w:rPr>
            </w:pPr>
            <w:r>
              <w:rPr>
                <w:rFonts w:hint="eastAsia" w:ascii="Times New Roman" w:eastAsia="宋体"/>
                <w:color w:val="FF0000"/>
                <w:sz w:val="24"/>
                <w:szCs w:val="24"/>
                <w:lang w:eastAsia="zh-CN"/>
              </w:rPr>
              <w:t>（</w:t>
            </w:r>
            <w:r>
              <w:rPr>
                <w:rFonts w:hint="eastAsia" w:ascii="Times New Roman" w:eastAsia="宋体"/>
                <w:color w:val="FF0000"/>
                <w:sz w:val="24"/>
                <w:szCs w:val="24"/>
                <w:lang w:val="en-US" w:eastAsia="zh-CN"/>
              </w:rPr>
              <w:t>8</w:t>
            </w:r>
            <w:r>
              <w:rPr>
                <w:rFonts w:hint="eastAsia" w:ascii="Times New Roman" w:eastAsia="宋体"/>
                <w:color w:val="FF0000"/>
                <w:sz w:val="24"/>
                <w:szCs w:val="24"/>
                <w:lang w:eastAsia="zh-CN"/>
              </w:rPr>
              <w:t>）</w:t>
            </w:r>
            <w:r>
              <w:rPr>
                <w:rFonts w:hint="eastAsia" w:ascii="Times New Roman" w:eastAsia="宋体"/>
                <w:color w:val="FF0000"/>
                <w:sz w:val="24"/>
                <w:szCs w:val="24"/>
                <w:lang w:val="en-US" w:eastAsia="zh-CN"/>
              </w:rPr>
              <w:t>破损铅酸蓄电池贮存要求</w:t>
            </w:r>
          </w:p>
          <w:p w14:paraId="4B88FDFB">
            <w:pPr>
              <w:widowControl/>
              <w:spacing w:line="360" w:lineRule="auto"/>
              <w:ind w:firstLine="480" w:firstLineChars="200"/>
              <w:jc w:val="left"/>
              <w:rPr>
                <w:rFonts w:hint="default" w:ascii="Times New Roman" w:hAnsi="Times New Roman" w:eastAsia="宋体" w:cs="Times New Roman"/>
                <w:color w:val="FF0000"/>
                <w:sz w:val="24"/>
                <w:lang w:val="en-US" w:eastAsia="zh-CN"/>
              </w:rPr>
            </w:pPr>
            <w:r>
              <w:rPr>
                <w:rFonts w:hint="eastAsia" w:ascii="Times New Roman" w:hAnsi="Times New Roman" w:eastAsia="宋体" w:cs="Times New Roman"/>
                <w:color w:val="FF0000"/>
                <w:sz w:val="24"/>
                <w:lang w:val="en-US" w:eastAsia="zh-CN"/>
              </w:rPr>
              <w:t>①</w:t>
            </w:r>
            <w:r>
              <w:rPr>
                <w:rFonts w:hint="default" w:ascii="Times New Roman" w:hAnsi="Times New Roman" w:eastAsia="宋体" w:cs="Times New Roman"/>
                <w:color w:val="FF0000"/>
                <w:sz w:val="24"/>
                <w:lang w:val="en-US" w:eastAsia="zh-CN"/>
              </w:rPr>
              <w:t>存放位置要求</w:t>
            </w:r>
            <w:r>
              <w:rPr>
                <w:rFonts w:hint="eastAsia" w:ascii="Times New Roman" w:hAnsi="Times New Roman" w:eastAsia="宋体" w:cs="Times New Roman"/>
                <w:color w:val="FF0000"/>
                <w:sz w:val="24"/>
                <w:lang w:val="en-US" w:eastAsia="zh-CN"/>
              </w:rPr>
              <w:t>：</w:t>
            </w:r>
            <w:r>
              <w:rPr>
                <w:rFonts w:hint="default" w:ascii="Times New Roman" w:hAnsi="Times New Roman" w:eastAsia="宋体" w:cs="Times New Roman"/>
                <w:color w:val="FF0000"/>
                <w:sz w:val="24"/>
                <w:lang w:val="en-US" w:eastAsia="zh-CN"/>
              </w:rPr>
              <w:t>独立贮存区</w:t>
            </w:r>
            <w:r>
              <w:rPr>
                <w:rFonts w:hint="eastAsia" w:ascii="Times New Roman" w:hAnsi="Times New Roman" w:eastAsia="宋体" w:cs="Times New Roman"/>
                <w:color w:val="FF0000"/>
                <w:sz w:val="24"/>
                <w:lang w:val="en-US" w:eastAsia="zh-CN"/>
              </w:rPr>
              <w:t>，</w:t>
            </w:r>
            <w:r>
              <w:rPr>
                <w:rFonts w:hint="default" w:ascii="Times New Roman" w:hAnsi="Times New Roman" w:eastAsia="宋体" w:cs="Times New Roman"/>
                <w:color w:val="FF0000"/>
                <w:sz w:val="24"/>
                <w:lang w:val="en-US" w:eastAsia="zh-CN"/>
              </w:rPr>
              <w:t>破损铅蓄电池必须存放于</w:t>
            </w:r>
            <w:r>
              <w:rPr>
                <w:rFonts w:hint="eastAsia" w:ascii="Times New Roman" w:hAnsi="Times New Roman" w:eastAsia="宋体" w:cs="Times New Roman"/>
                <w:color w:val="FF0000"/>
                <w:sz w:val="24"/>
                <w:lang w:val="en-US" w:eastAsia="zh-CN"/>
              </w:rPr>
              <w:t>危废贮存点</w:t>
            </w:r>
            <w:r>
              <w:rPr>
                <w:rFonts w:hint="default" w:ascii="Times New Roman" w:hAnsi="Times New Roman" w:eastAsia="宋体" w:cs="Times New Roman"/>
                <w:color w:val="FF0000"/>
                <w:sz w:val="24"/>
                <w:lang w:val="en-US" w:eastAsia="zh-CN"/>
              </w:rPr>
              <w:t>内的专用封闭隔离区域，与其他危险废物物理分隔，避免混合存放。远离敏感区域：贮存区应远离水源、热源、明火作业区（如切割区、破碎区），且不得露天堆放。应急隔离措施</w:t>
            </w:r>
            <w:r>
              <w:rPr>
                <w:rFonts w:hint="eastAsia" w:ascii="Times New Roman" w:hAnsi="Times New Roman" w:eastAsia="宋体" w:cs="Times New Roman"/>
                <w:color w:val="FF0000"/>
                <w:sz w:val="24"/>
                <w:lang w:val="en-US" w:eastAsia="zh-CN"/>
              </w:rPr>
              <w:t>：</w:t>
            </w:r>
            <w:r>
              <w:rPr>
                <w:rFonts w:hint="default" w:ascii="Times New Roman" w:hAnsi="Times New Roman" w:eastAsia="宋体" w:cs="Times New Roman"/>
                <w:color w:val="FF0000"/>
                <w:sz w:val="24"/>
                <w:lang w:val="en-US" w:eastAsia="zh-CN"/>
              </w:rPr>
              <w:t>若蓄电池突发漏液，需立即转移至专用容器内</w:t>
            </w:r>
            <w:r>
              <w:rPr>
                <w:rFonts w:hint="eastAsia" w:ascii="Times New Roman" w:hAnsi="Times New Roman" w:eastAsia="宋体" w:cs="Times New Roman"/>
                <w:color w:val="FF0000"/>
                <w:sz w:val="24"/>
                <w:lang w:val="en-US" w:eastAsia="zh-CN"/>
              </w:rPr>
              <w:t>。</w:t>
            </w:r>
          </w:p>
          <w:p w14:paraId="6991ACC3">
            <w:pPr>
              <w:widowControl/>
              <w:spacing w:line="360" w:lineRule="auto"/>
              <w:ind w:firstLine="480" w:firstLineChars="200"/>
              <w:jc w:val="left"/>
              <w:rPr>
                <w:rFonts w:hint="eastAsia" w:ascii="Times New Roman" w:hAnsi="Times New Roman" w:eastAsia="宋体" w:cs="Times New Roman"/>
                <w:color w:val="FF0000"/>
                <w:sz w:val="24"/>
                <w:lang w:val="en-US" w:eastAsia="zh-CN"/>
              </w:rPr>
            </w:pPr>
            <w:r>
              <w:rPr>
                <w:rFonts w:hint="eastAsia" w:ascii="Times New Roman" w:hAnsi="Times New Roman" w:eastAsia="宋体" w:cs="Times New Roman"/>
                <w:color w:val="FF0000"/>
                <w:sz w:val="24"/>
                <w:lang w:val="en-US" w:eastAsia="zh-CN"/>
              </w:rPr>
              <w:t>②</w:t>
            </w:r>
            <w:r>
              <w:rPr>
                <w:rFonts w:hint="default" w:ascii="Times New Roman" w:hAnsi="Times New Roman" w:eastAsia="宋体" w:cs="Times New Roman"/>
                <w:color w:val="FF0000"/>
                <w:sz w:val="24"/>
                <w:lang w:val="en-US" w:eastAsia="zh-CN"/>
              </w:rPr>
              <w:t>存放容器要求</w:t>
            </w:r>
            <w:r>
              <w:rPr>
                <w:rFonts w:hint="eastAsia" w:ascii="Times New Roman" w:hAnsi="Times New Roman" w:eastAsia="宋体" w:cs="Times New Roman"/>
                <w:color w:val="FF0000"/>
                <w:sz w:val="24"/>
                <w:lang w:val="en-US" w:eastAsia="zh-CN"/>
              </w:rPr>
              <w:t>：</w:t>
            </w:r>
            <w:r>
              <w:rPr>
                <w:rFonts w:hint="default" w:ascii="Times New Roman" w:hAnsi="Times New Roman" w:eastAsia="宋体" w:cs="Times New Roman"/>
                <w:color w:val="FF0000"/>
                <w:sz w:val="24"/>
                <w:lang w:val="en-US" w:eastAsia="zh-CN"/>
              </w:rPr>
              <w:t>专用防漏容器</w:t>
            </w:r>
            <w:r>
              <w:rPr>
                <w:rFonts w:hint="eastAsia" w:ascii="Times New Roman" w:hAnsi="Times New Roman" w:eastAsia="宋体" w:cs="Times New Roman"/>
                <w:color w:val="FF0000"/>
                <w:sz w:val="24"/>
                <w:lang w:val="en-US" w:eastAsia="zh-CN"/>
              </w:rPr>
              <w:t>，</w:t>
            </w:r>
            <w:r>
              <w:rPr>
                <w:rFonts w:hint="default" w:ascii="Times New Roman" w:hAnsi="Times New Roman" w:eastAsia="宋体" w:cs="Times New Roman"/>
                <w:color w:val="FF0000"/>
                <w:sz w:val="24"/>
                <w:lang w:val="en-US" w:eastAsia="zh-CN"/>
              </w:rPr>
              <w:t>使用耐腐蚀、密闭式容器（带内衬的HDPE桶），容器材质需耐受电解液（硫酸）腐蚀。容器标签：标明“危险废物-HW31”“含腐蚀性酸液”等警示信息。防渗漏设计</w:t>
            </w:r>
            <w:r>
              <w:rPr>
                <w:rFonts w:hint="eastAsia" w:ascii="Times New Roman" w:hAnsi="Times New Roman" w:eastAsia="宋体" w:cs="Times New Roman"/>
                <w:color w:val="FF0000"/>
                <w:sz w:val="24"/>
                <w:lang w:val="en-US" w:eastAsia="zh-CN"/>
              </w:rPr>
              <w:t>，</w:t>
            </w:r>
            <w:r>
              <w:rPr>
                <w:rFonts w:hint="default" w:ascii="Times New Roman" w:hAnsi="Times New Roman" w:eastAsia="宋体" w:cs="Times New Roman"/>
                <w:color w:val="FF0000"/>
                <w:sz w:val="24"/>
                <w:lang w:val="en-US" w:eastAsia="zh-CN"/>
              </w:rPr>
              <w:t>容器底部设置防漏托盘（高度≥10cm），托盘容积需容纳容器内电解液总量的1.1倍以上</w:t>
            </w:r>
            <w:r>
              <w:rPr>
                <w:rFonts w:hint="eastAsia" w:ascii="Times New Roman" w:hAnsi="Times New Roman" w:eastAsia="宋体" w:cs="Times New Roman"/>
                <w:color w:val="FF0000"/>
                <w:sz w:val="24"/>
                <w:lang w:val="en-US" w:eastAsia="zh-CN"/>
              </w:rPr>
              <w:t>。</w:t>
            </w:r>
          </w:p>
          <w:p w14:paraId="76438ABB">
            <w:pPr>
              <w:widowControl/>
              <w:spacing w:line="360" w:lineRule="auto"/>
              <w:ind w:firstLine="480" w:firstLineChars="200"/>
              <w:jc w:val="left"/>
              <w:rPr>
                <w:rFonts w:hint="eastAsia" w:ascii="Times New Roman" w:hAnsi="Times New Roman" w:eastAsia="宋体" w:cs="Times New Roman"/>
                <w:color w:val="FF0000"/>
                <w:sz w:val="24"/>
                <w:lang w:val="en-US" w:eastAsia="zh-CN"/>
              </w:rPr>
            </w:pPr>
            <w:r>
              <w:rPr>
                <w:rFonts w:hint="eastAsia" w:ascii="Times New Roman" w:hAnsi="Times New Roman" w:eastAsia="宋体" w:cs="Times New Roman"/>
                <w:color w:val="FF0000"/>
                <w:sz w:val="24"/>
                <w:lang w:val="en-US" w:eastAsia="zh-CN"/>
              </w:rPr>
              <w:t>③地面防渗要求：基础结构，硬化+防渗层：混凝土强度≥C30，厚度≥200mm（承载区）或≥150mm（非承载区）。防渗处理：铺设2mm以上高密度聚乙烯（HDPE）膜或等效防渗材料；表面涂覆耐酸环氧树脂或聚氨酯涂层（防电解液腐蚀）。液体导流收集，地面坡度≥2%，坡向防渗漏收集沟，连接应急收集池（容积≥3m³）</w:t>
            </w:r>
          </w:p>
          <w:p w14:paraId="07C09765">
            <w:pPr>
              <w:pStyle w:val="132"/>
              <w:numPr>
                <w:ilvl w:val="0"/>
                <w:numId w:val="0"/>
              </w:numPr>
              <w:spacing w:before="0" w:beforeLines="0" w:after="0" w:afterLines="0" w:line="360" w:lineRule="auto"/>
              <w:ind w:firstLine="480" w:firstLineChars="200"/>
              <w:rPr>
                <w:rFonts w:hint="eastAsia" w:ascii="Times New Roman" w:eastAsia="宋体"/>
                <w:color w:val="000000"/>
                <w:sz w:val="24"/>
                <w:szCs w:val="24"/>
                <w:lang w:eastAsia="zh-CN"/>
              </w:rPr>
            </w:pPr>
            <w:r>
              <w:rPr>
                <w:rFonts w:ascii="Times New Roman" w:eastAsia="宋体"/>
                <w:color w:val="000000"/>
                <w:sz w:val="24"/>
                <w:szCs w:val="24"/>
              </w:rPr>
              <w:t>2</w:t>
            </w:r>
            <w:r>
              <w:rPr>
                <w:rFonts w:hint="eastAsia" w:ascii="Times New Roman" w:eastAsia="宋体"/>
                <w:color w:val="000000"/>
                <w:sz w:val="24"/>
                <w:szCs w:val="24"/>
              </w:rPr>
              <w:t>.</w:t>
            </w:r>
            <w:r>
              <w:rPr>
                <w:rFonts w:hint="eastAsia" w:ascii="Times New Roman" w:eastAsia="宋体"/>
                <w:color w:val="000000"/>
                <w:sz w:val="24"/>
                <w:szCs w:val="24"/>
                <w:lang w:eastAsia="zh-CN"/>
              </w:rPr>
              <w:t>动力电池</w:t>
            </w:r>
          </w:p>
          <w:p w14:paraId="41C7B411">
            <w:pPr>
              <w:pStyle w:val="132"/>
              <w:numPr>
                <w:ilvl w:val="0"/>
                <w:numId w:val="0"/>
              </w:numPr>
              <w:spacing w:before="0" w:beforeLines="0" w:after="0" w:afterLines="0" w:line="360" w:lineRule="auto"/>
              <w:ind w:firstLine="480" w:firstLineChars="200"/>
              <w:rPr>
                <w:rFonts w:ascii="Times New Roman" w:eastAsia="宋体"/>
                <w:color w:val="000000"/>
                <w:sz w:val="24"/>
                <w:szCs w:val="24"/>
              </w:rPr>
            </w:pPr>
            <w:r>
              <w:rPr>
                <w:rFonts w:hint="eastAsia" w:ascii="Times New Roman" w:eastAsia="宋体"/>
                <w:color w:val="000000"/>
                <w:sz w:val="24"/>
                <w:szCs w:val="24"/>
              </w:rPr>
              <w:t>（1）</w:t>
            </w:r>
            <w:r>
              <w:rPr>
                <w:rFonts w:ascii="Times New Roman" w:eastAsia="宋体"/>
                <w:color w:val="000000"/>
                <w:sz w:val="24"/>
                <w:szCs w:val="24"/>
              </w:rPr>
              <w:t>贮存分类</w:t>
            </w:r>
          </w:p>
          <w:p w14:paraId="1279007F">
            <w:pPr>
              <w:pStyle w:val="134"/>
              <w:numPr>
                <w:ilvl w:val="0"/>
                <w:numId w:val="0"/>
              </w:numPr>
              <w:spacing w:line="360" w:lineRule="auto"/>
              <w:ind w:firstLine="480" w:firstLineChars="200"/>
              <w:rPr>
                <w:rFonts w:ascii="Times New Roman"/>
                <w:color w:val="000000"/>
                <w:sz w:val="24"/>
                <w:szCs w:val="24"/>
              </w:rPr>
            </w:pPr>
            <w:r>
              <w:rPr>
                <w:rFonts w:hint="eastAsia" w:hAnsi="宋体" w:cs="宋体"/>
                <w:color w:val="000000"/>
                <w:sz w:val="24"/>
                <w:szCs w:val="24"/>
              </w:rPr>
              <w:t>①</w:t>
            </w:r>
            <w:r>
              <w:rPr>
                <w:rFonts w:ascii="Times New Roman"/>
                <w:color w:val="000000"/>
                <w:sz w:val="24"/>
                <w:szCs w:val="24"/>
              </w:rPr>
              <w:t>按废旧动力锂离子蓄电池正极材料不同，动力锂离子蓄电池贮存将分为以下三类：</w:t>
            </w:r>
          </w:p>
          <w:p w14:paraId="28FAFD7F">
            <w:pPr>
              <w:pStyle w:val="136"/>
              <w:numPr>
                <w:ilvl w:val="0"/>
                <w:numId w:val="0"/>
              </w:numPr>
              <w:spacing w:line="360" w:lineRule="auto"/>
              <w:ind w:firstLine="480" w:firstLineChars="200"/>
              <w:rPr>
                <w:rFonts w:ascii="Times New Roman"/>
                <w:color w:val="000000"/>
                <w:sz w:val="24"/>
                <w:szCs w:val="24"/>
              </w:rPr>
            </w:pPr>
            <w:r>
              <w:rPr>
                <w:rFonts w:hint="eastAsia" w:ascii="Times New Roman"/>
                <w:color w:val="000000"/>
                <w:sz w:val="24"/>
                <w:szCs w:val="24"/>
              </w:rPr>
              <w:t>a、</w:t>
            </w:r>
            <w:r>
              <w:rPr>
                <w:rFonts w:ascii="Times New Roman"/>
                <w:color w:val="000000"/>
                <w:sz w:val="24"/>
                <w:szCs w:val="24"/>
              </w:rPr>
              <w:t>磷酸铁</w:t>
            </w:r>
            <w:r>
              <w:rPr>
                <w:rFonts w:hint="eastAsia" w:ascii="Times New Roman"/>
                <w:color w:val="000000"/>
                <w:sz w:val="24"/>
                <w:szCs w:val="24"/>
              </w:rPr>
              <w:t>废</w:t>
            </w:r>
            <w:r>
              <w:rPr>
                <w:rFonts w:hint="eastAsia" w:ascii="Times New Roman"/>
                <w:color w:val="000000"/>
                <w:sz w:val="24"/>
                <w:szCs w:val="24"/>
                <w:lang w:eastAsia="zh-CN"/>
              </w:rPr>
              <w:t>动力电池</w:t>
            </w:r>
            <w:r>
              <w:rPr>
                <w:rFonts w:ascii="Times New Roman"/>
                <w:color w:val="000000"/>
                <w:sz w:val="24"/>
                <w:szCs w:val="24"/>
              </w:rPr>
              <w:t>贮存；</w:t>
            </w:r>
          </w:p>
          <w:p w14:paraId="516C6FF4">
            <w:pPr>
              <w:pStyle w:val="136"/>
              <w:numPr>
                <w:ilvl w:val="0"/>
                <w:numId w:val="0"/>
              </w:numPr>
              <w:spacing w:line="360" w:lineRule="auto"/>
              <w:ind w:firstLine="480" w:firstLineChars="200"/>
              <w:rPr>
                <w:rFonts w:ascii="Times New Roman"/>
                <w:color w:val="000000"/>
                <w:sz w:val="24"/>
                <w:szCs w:val="24"/>
              </w:rPr>
            </w:pPr>
            <w:r>
              <w:rPr>
                <w:rFonts w:hint="eastAsia" w:ascii="Times New Roman"/>
                <w:color w:val="000000"/>
                <w:sz w:val="24"/>
                <w:szCs w:val="24"/>
              </w:rPr>
              <w:t>b、</w:t>
            </w:r>
            <w:r>
              <w:rPr>
                <w:rFonts w:ascii="Times New Roman"/>
                <w:color w:val="000000"/>
                <w:sz w:val="24"/>
                <w:szCs w:val="24"/>
              </w:rPr>
              <w:t>镍钴锰酸锂/镍钴铝酸锂等三元电池贮存；</w:t>
            </w:r>
          </w:p>
          <w:p w14:paraId="52EB8B91">
            <w:pPr>
              <w:pStyle w:val="136"/>
              <w:numPr>
                <w:ilvl w:val="0"/>
                <w:numId w:val="0"/>
              </w:numPr>
              <w:spacing w:line="360" w:lineRule="auto"/>
              <w:ind w:firstLine="480" w:firstLineChars="200"/>
              <w:rPr>
                <w:rFonts w:ascii="Times New Roman"/>
                <w:color w:val="000000"/>
                <w:sz w:val="24"/>
                <w:szCs w:val="24"/>
              </w:rPr>
            </w:pPr>
            <w:r>
              <w:rPr>
                <w:rFonts w:hint="eastAsia" w:ascii="Times New Roman"/>
                <w:color w:val="000000"/>
                <w:sz w:val="24"/>
                <w:szCs w:val="24"/>
              </w:rPr>
              <w:t>c、</w:t>
            </w:r>
            <w:r>
              <w:rPr>
                <w:rFonts w:ascii="Times New Roman"/>
                <w:color w:val="000000"/>
                <w:sz w:val="24"/>
                <w:szCs w:val="24"/>
              </w:rPr>
              <w:t>其他电池贮存。</w:t>
            </w:r>
          </w:p>
          <w:p w14:paraId="591238E0">
            <w:pPr>
              <w:pStyle w:val="134"/>
              <w:numPr>
                <w:ilvl w:val="0"/>
                <w:numId w:val="0"/>
              </w:numPr>
              <w:spacing w:line="360" w:lineRule="auto"/>
              <w:ind w:firstLine="480" w:firstLineChars="200"/>
              <w:rPr>
                <w:rFonts w:ascii="Times New Roman"/>
                <w:color w:val="000000"/>
                <w:sz w:val="24"/>
                <w:szCs w:val="24"/>
              </w:rPr>
            </w:pPr>
            <w:r>
              <w:rPr>
                <w:rFonts w:hint="eastAsia" w:hAnsi="宋体" w:cs="宋体"/>
                <w:color w:val="000000"/>
                <w:sz w:val="24"/>
                <w:szCs w:val="24"/>
              </w:rPr>
              <w:t>②</w:t>
            </w:r>
            <w:r>
              <w:rPr>
                <w:rFonts w:ascii="Times New Roman"/>
                <w:color w:val="000000"/>
                <w:sz w:val="24"/>
                <w:szCs w:val="24"/>
              </w:rPr>
              <w:t>按照GB/T 38698.1—2020中4.5对动力锂离子蓄电池的分类，贮存可分为以下三类：</w:t>
            </w:r>
          </w:p>
          <w:p w14:paraId="15E3F5E8">
            <w:pPr>
              <w:pStyle w:val="136"/>
              <w:numPr>
                <w:ilvl w:val="0"/>
                <w:numId w:val="0"/>
              </w:numPr>
              <w:spacing w:line="360" w:lineRule="auto"/>
              <w:ind w:firstLine="480" w:firstLineChars="200"/>
              <w:rPr>
                <w:rFonts w:ascii="Times New Roman"/>
                <w:color w:val="000000"/>
                <w:sz w:val="24"/>
                <w:szCs w:val="24"/>
              </w:rPr>
            </w:pPr>
            <w:r>
              <w:rPr>
                <w:rFonts w:hint="eastAsia" w:ascii="Times New Roman"/>
                <w:color w:val="000000"/>
                <w:sz w:val="24"/>
                <w:szCs w:val="24"/>
              </w:rPr>
              <w:t>a、</w:t>
            </w:r>
            <w:r>
              <w:rPr>
                <w:rFonts w:ascii="Times New Roman"/>
                <w:color w:val="000000"/>
                <w:sz w:val="24"/>
                <w:szCs w:val="24"/>
              </w:rPr>
              <w:t>正常贮存：A类蓄电池；</w:t>
            </w:r>
          </w:p>
          <w:p w14:paraId="65AFE08F">
            <w:pPr>
              <w:pStyle w:val="136"/>
              <w:numPr>
                <w:ilvl w:val="0"/>
                <w:numId w:val="0"/>
              </w:numPr>
              <w:spacing w:line="360" w:lineRule="auto"/>
              <w:ind w:firstLine="480" w:firstLineChars="200"/>
              <w:rPr>
                <w:rFonts w:ascii="Times New Roman"/>
                <w:color w:val="000000"/>
                <w:sz w:val="24"/>
                <w:szCs w:val="24"/>
              </w:rPr>
            </w:pPr>
            <w:r>
              <w:rPr>
                <w:rFonts w:hint="eastAsia" w:ascii="Times New Roman"/>
                <w:color w:val="000000"/>
                <w:sz w:val="24"/>
                <w:szCs w:val="24"/>
              </w:rPr>
              <w:t>b、</w:t>
            </w:r>
            <w:r>
              <w:rPr>
                <w:rFonts w:ascii="Times New Roman"/>
                <w:color w:val="000000"/>
                <w:sz w:val="24"/>
                <w:szCs w:val="24"/>
              </w:rPr>
              <w:t>隔离贮存：B类蓄电池；</w:t>
            </w:r>
          </w:p>
          <w:p w14:paraId="6E1C2172">
            <w:pPr>
              <w:pStyle w:val="136"/>
              <w:numPr>
                <w:ilvl w:val="0"/>
                <w:numId w:val="0"/>
              </w:numPr>
              <w:spacing w:line="360" w:lineRule="auto"/>
              <w:ind w:firstLine="480" w:firstLineChars="200"/>
              <w:rPr>
                <w:rFonts w:ascii="Times New Roman"/>
                <w:color w:val="000000"/>
                <w:sz w:val="24"/>
                <w:szCs w:val="24"/>
              </w:rPr>
            </w:pPr>
            <w:r>
              <w:rPr>
                <w:rFonts w:hint="eastAsia" w:ascii="Times New Roman"/>
                <w:color w:val="000000"/>
                <w:sz w:val="24"/>
                <w:szCs w:val="24"/>
              </w:rPr>
              <w:t>c、</w:t>
            </w:r>
            <w:r>
              <w:rPr>
                <w:rFonts w:ascii="Times New Roman"/>
                <w:color w:val="000000"/>
                <w:sz w:val="24"/>
                <w:szCs w:val="24"/>
              </w:rPr>
              <w:t>异常观察暂存：C类蓄电池。</w:t>
            </w:r>
          </w:p>
          <w:p w14:paraId="0A97D385">
            <w:pPr>
              <w:pStyle w:val="132"/>
              <w:numPr>
                <w:ilvl w:val="0"/>
                <w:numId w:val="0"/>
              </w:numPr>
              <w:spacing w:before="0" w:beforeLines="0" w:after="0" w:afterLines="0" w:line="360" w:lineRule="auto"/>
              <w:ind w:firstLine="480" w:firstLineChars="200"/>
              <w:rPr>
                <w:rFonts w:ascii="Times New Roman" w:eastAsia="宋体"/>
                <w:color w:val="000000"/>
                <w:sz w:val="24"/>
                <w:szCs w:val="24"/>
              </w:rPr>
            </w:pPr>
            <w:r>
              <w:rPr>
                <w:rFonts w:hint="eastAsia" w:ascii="Times New Roman" w:eastAsia="宋体"/>
                <w:color w:val="000000"/>
                <w:sz w:val="24"/>
                <w:szCs w:val="24"/>
              </w:rPr>
              <w:t>（2）</w:t>
            </w:r>
            <w:r>
              <w:rPr>
                <w:rFonts w:ascii="Times New Roman" w:eastAsia="宋体"/>
                <w:color w:val="000000"/>
                <w:sz w:val="24"/>
                <w:szCs w:val="24"/>
              </w:rPr>
              <w:t>基本要求</w:t>
            </w:r>
          </w:p>
          <w:p w14:paraId="23818D9E">
            <w:pPr>
              <w:pStyle w:val="134"/>
              <w:numPr>
                <w:ilvl w:val="0"/>
                <w:numId w:val="0"/>
              </w:numPr>
              <w:spacing w:line="360" w:lineRule="auto"/>
              <w:ind w:firstLine="480" w:firstLineChars="200"/>
              <w:rPr>
                <w:rFonts w:ascii="Times New Roman"/>
                <w:color w:val="000000"/>
                <w:sz w:val="24"/>
                <w:szCs w:val="24"/>
              </w:rPr>
            </w:pPr>
            <w:r>
              <w:rPr>
                <w:rFonts w:hint="eastAsia" w:hAnsi="宋体" w:cs="宋体"/>
                <w:color w:val="000000"/>
                <w:sz w:val="24"/>
                <w:szCs w:val="24"/>
              </w:rPr>
              <w:t>①</w:t>
            </w:r>
            <w:r>
              <w:rPr>
                <w:rFonts w:ascii="Times New Roman"/>
                <w:color w:val="000000"/>
                <w:sz w:val="24"/>
                <w:szCs w:val="24"/>
              </w:rPr>
              <w:t>贮存前应按附录A的要求进行检测，报废项目检测单应附于废旧动力锂离子蓄电池醒目处，存在安全隐患的废旧动力蓄电池应隔离贮存，并尽快进行处理。</w:t>
            </w:r>
          </w:p>
          <w:p w14:paraId="0BC0EB75">
            <w:pPr>
              <w:pStyle w:val="134"/>
              <w:numPr>
                <w:ilvl w:val="0"/>
                <w:numId w:val="0"/>
              </w:numPr>
              <w:spacing w:line="360" w:lineRule="auto"/>
              <w:ind w:firstLine="480" w:firstLineChars="200"/>
              <w:rPr>
                <w:rFonts w:ascii="Times New Roman"/>
                <w:color w:val="000000"/>
                <w:sz w:val="24"/>
                <w:szCs w:val="24"/>
              </w:rPr>
            </w:pPr>
            <w:r>
              <w:rPr>
                <w:rFonts w:hint="eastAsia" w:hAnsi="宋体" w:cs="宋体"/>
                <w:color w:val="000000"/>
                <w:sz w:val="24"/>
                <w:szCs w:val="24"/>
              </w:rPr>
              <w:t>②</w:t>
            </w:r>
            <w:r>
              <w:rPr>
                <w:rFonts w:ascii="Times New Roman"/>
                <w:color w:val="000000"/>
                <w:sz w:val="24"/>
                <w:szCs w:val="24"/>
              </w:rPr>
              <w:t>应做好废旧动力锂离子蓄电池贮存进出记录，应注明动力蓄电池国家溯源编码、类别、名称、来源、数量、特性、入库日期、存放位置、出库日期等相关信息。</w:t>
            </w:r>
          </w:p>
          <w:p w14:paraId="55324D10">
            <w:pPr>
              <w:pStyle w:val="134"/>
              <w:numPr>
                <w:ilvl w:val="0"/>
                <w:numId w:val="0"/>
              </w:numPr>
              <w:spacing w:line="360" w:lineRule="auto"/>
              <w:ind w:firstLine="480" w:firstLineChars="200"/>
              <w:rPr>
                <w:rFonts w:ascii="Times New Roman"/>
                <w:color w:val="000000"/>
                <w:sz w:val="24"/>
                <w:szCs w:val="24"/>
              </w:rPr>
            </w:pPr>
            <w:r>
              <w:rPr>
                <w:rFonts w:hint="eastAsia" w:hAnsi="宋体" w:cs="宋体"/>
                <w:color w:val="000000"/>
                <w:sz w:val="24"/>
                <w:szCs w:val="24"/>
              </w:rPr>
              <w:t>③</w:t>
            </w:r>
            <w:r>
              <w:rPr>
                <w:rFonts w:ascii="Times New Roman"/>
                <w:color w:val="000000"/>
                <w:sz w:val="24"/>
                <w:szCs w:val="24"/>
              </w:rPr>
              <w:t>应按分类进行室内贮存，不应露天堆放，不应存放在阳光直接照射、高温及潮湿的地方，贮存场地应满足4.3要求。</w:t>
            </w:r>
          </w:p>
          <w:p w14:paraId="0C555050">
            <w:pPr>
              <w:pStyle w:val="134"/>
              <w:numPr>
                <w:ilvl w:val="0"/>
                <w:numId w:val="0"/>
              </w:numPr>
              <w:spacing w:line="360" w:lineRule="auto"/>
              <w:ind w:firstLine="480" w:firstLineChars="200"/>
              <w:rPr>
                <w:rFonts w:ascii="Times New Roman"/>
                <w:color w:val="FF0000"/>
                <w:sz w:val="24"/>
                <w:szCs w:val="24"/>
              </w:rPr>
            </w:pPr>
            <w:r>
              <w:rPr>
                <w:rFonts w:hint="eastAsia" w:hAnsi="宋体" w:cs="宋体"/>
                <w:color w:val="FF0000"/>
                <w:sz w:val="24"/>
                <w:szCs w:val="24"/>
              </w:rPr>
              <w:t>④</w:t>
            </w:r>
            <w:r>
              <w:rPr>
                <w:rFonts w:ascii="Times New Roman"/>
                <w:color w:val="FF0000"/>
                <w:sz w:val="24"/>
                <w:szCs w:val="24"/>
              </w:rPr>
              <w:t>贮存废旧动力锂离子蓄电池应处于完全放电态，放电方法按照</w:t>
            </w:r>
            <w:r>
              <w:rPr>
                <w:rFonts w:hint="eastAsia" w:ascii="Times New Roman"/>
                <w:color w:val="FF0000"/>
                <w:sz w:val="24"/>
                <w:szCs w:val="24"/>
                <w:lang w:eastAsia="zh-CN"/>
              </w:rPr>
              <w:t>《车用锂离子动力电池回收利用放电技术规范》（DB34/T 3077-2018）</w:t>
            </w:r>
            <w:r>
              <w:rPr>
                <w:rFonts w:ascii="Times New Roman"/>
                <w:color w:val="FF0000"/>
                <w:sz w:val="24"/>
                <w:szCs w:val="24"/>
              </w:rPr>
              <w:t>中的规定。</w:t>
            </w:r>
          </w:p>
          <w:p w14:paraId="159E3F1B">
            <w:pPr>
              <w:pStyle w:val="134"/>
              <w:numPr>
                <w:ilvl w:val="0"/>
                <w:numId w:val="0"/>
              </w:numPr>
              <w:spacing w:line="360" w:lineRule="auto"/>
              <w:ind w:firstLine="480" w:firstLineChars="200"/>
              <w:rPr>
                <w:rFonts w:ascii="Times New Roman"/>
                <w:color w:val="000000"/>
                <w:sz w:val="24"/>
                <w:szCs w:val="24"/>
              </w:rPr>
            </w:pPr>
            <w:r>
              <w:rPr>
                <w:rFonts w:hint="eastAsia" w:hAnsi="宋体" w:cs="宋体"/>
                <w:color w:val="000000"/>
                <w:sz w:val="24"/>
                <w:szCs w:val="24"/>
              </w:rPr>
              <w:t>⑤</w:t>
            </w:r>
            <w:r>
              <w:rPr>
                <w:rFonts w:ascii="Times New Roman"/>
                <w:color w:val="000000"/>
                <w:sz w:val="24"/>
                <w:szCs w:val="24"/>
              </w:rPr>
              <w:t>按照不同类别对电池单体、电池模块以及电池包分区存放，不应直接堆叠贮存。</w:t>
            </w:r>
          </w:p>
          <w:p w14:paraId="682F7837">
            <w:pPr>
              <w:pStyle w:val="134"/>
              <w:numPr>
                <w:ilvl w:val="0"/>
                <w:numId w:val="0"/>
              </w:numPr>
              <w:spacing w:line="360" w:lineRule="auto"/>
              <w:ind w:firstLine="480" w:firstLineChars="200"/>
              <w:rPr>
                <w:rFonts w:ascii="Times New Roman"/>
                <w:color w:val="000000"/>
                <w:sz w:val="24"/>
                <w:szCs w:val="24"/>
              </w:rPr>
            </w:pPr>
            <w:r>
              <w:rPr>
                <w:rFonts w:hint="eastAsia" w:hAnsi="宋体" w:cs="宋体"/>
                <w:color w:val="000000"/>
                <w:sz w:val="24"/>
                <w:szCs w:val="24"/>
              </w:rPr>
              <w:t>⑥</w:t>
            </w:r>
            <w:r>
              <w:rPr>
                <w:rFonts w:ascii="Times New Roman"/>
                <w:color w:val="000000"/>
                <w:sz w:val="24"/>
                <w:szCs w:val="24"/>
              </w:rPr>
              <w:t>电池单体、模块贮存时：</w:t>
            </w:r>
          </w:p>
          <w:p w14:paraId="4F9932D4">
            <w:pPr>
              <w:pStyle w:val="136"/>
              <w:numPr>
                <w:ilvl w:val="0"/>
                <w:numId w:val="0"/>
              </w:numPr>
              <w:spacing w:line="360" w:lineRule="auto"/>
              <w:ind w:firstLine="480" w:firstLineChars="200"/>
              <w:rPr>
                <w:rFonts w:ascii="Times New Roman"/>
                <w:color w:val="000000"/>
                <w:sz w:val="24"/>
                <w:szCs w:val="24"/>
              </w:rPr>
            </w:pPr>
            <w:r>
              <w:rPr>
                <w:rFonts w:hint="eastAsia" w:ascii="Times New Roman"/>
                <w:color w:val="000000"/>
                <w:sz w:val="24"/>
                <w:szCs w:val="24"/>
              </w:rPr>
              <w:t>a、</w:t>
            </w:r>
            <w:r>
              <w:rPr>
                <w:rFonts w:ascii="Times New Roman"/>
                <w:color w:val="000000"/>
                <w:sz w:val="24"/>
                <w:szCs w:val="24"/>
              </w:rPr>
              <w:t>采用专用货架贮存，货架应不多于四层，且贮存后总高度不高于0.8 m。</w:t>
            </w:r>
          </w:p>
          <w:p w14:paraId="103783AA">
            <w:pPr>
              <w:pStyle w:val="136"/>
              <w:numPr>
                <w:ilvl w:val="0"/>
                <w:numId w:val="0"/>
              </w:numPr>
              <w:spacing w:line="360" w:lineRule="auto"/>
              <w:ind w:firstLine="480" w:firstLineChars="200"/>
              <w:rPr>
                <w:rFonts w:ascii="Times New Roman"/>
                <w:color w:val="000000"/>
                <w:sz w:val="24"/>
                <w:szCs w:val="24"/>
              </w:rPr>
            </w:pPr>
            <w:r>
              <w:rPr>
                <w:rFonts w:hint="eastAsia" w:ascii="Times New Roman"/>
                <w:color w:val="000000"/>
                <w:sz w:val="24"/>
                <w:szCs w:val="24"/>
              </w:rPr>
              <w:t>b、</w:t>
            </w:r>
            <w:r>
              <w:rPr>
                <w:rFonts w:ascii="Times New Roman"/>
                <w:color w:val="000000"/>
                <w:sz w:val="24"/>
                <w:szCs w:val="24"/>
              </w:rPr>
              <w:t>采用非金属托盘有序存放，正向放置，不应倾斜、侧放与倒置存放；</w:t>
            </w:r>
          </w:p>
          <w:p w14:paraId="569420C8">
            <w:pPr>
              <w:pStyle w:val="136"/>
              <w:numPr>
                <w:ilvl w:val="0"/>
                <w:numId w:val="0"/>
              </w:numPr>
              <w:spacing w:line="360" w:lineRule="auto"/>
              <w:ind w:firstLine="480" w:firstLineChars="200"/>
              <w:rPr>
                <w:rFonts w:ascii="Times New Roman"/>
                <w:color w:val="000000"/>
                <w:sz w:val="24"/>
                <w:szCs w:val="24"/>
              </w:rPr>
            </w:pPr>
            <w:r>
              <w:rPr>
                <w:rFonts w:hint="eastAsia" w:ascii="Times New Roman"/>
                <w:color w:val="000000"/>
                <w:sz w:val="24"/>
                <w:szCs w:val="24"/>
              </w:rPr>
              <w:t>c、</w:t>
            </w:r>
            <w:r>
              <w:rPr>
                <w:rFonts w:ascii="Times New Roman"/>
                <w:color w:val="000000"/>
                <w:sz w:val="24"/>
                <w:szCs w:val="24"/>
              </w:rPr>
              <w:t>有漏液或漏电隐患的，应采用具备绝缘、防泄漏专用容器贮存。</w:t>
            </w:r>
          </w:p>
          <w:p w14:paraId="5081936C">
            <w:pPr>
              <w:pStyle w:val="134"/>
              <w:numPr>
                <w:ilvl w:val="0"/>
                <w:numId w:val="0"/>
              </w:numPr>
              <w:spacing w:line="360" w:lineRule="auto"/>
              <w:ind w:firstLine="480" w:firstLineChars="200"/>
              <w:rPr>
                <w:rFonts w:ascii="Times New Roman"/>
                <w:color w:val="000000"/>
                <w:sz w:val="24"/>
                <w:szCs w:val="24"/>
              </w:rPr>
            </w:pPr>
            <w:r>
              <w:rPr>
                <w:rFonts w:hint="eastAsia" w:hAnsi="宋体" w:cs="宋体"/>
                <w:color w:val="000000"/>
                <w:sz w:val="24"/>
                <w:szCs w:val="24"/>
              </w:rPr>
              <w:t>⑦</w:t>
            </w:r>
            <w:r>
              <w:rPr>
                <w:rFonts w:ascii="Times New Roman"/>
                <w:color w:val="000000"/>
                <w:sz w:val="24"/>
                <w:szCs w:val="24"/>
              </w:rPr>
              <w:t>电池包贮存时应断开所有高压、低压连接，存放于专用货架，不应直接堆叠存放。</w:t>
            </w:r>
          </w:p>
          <w:p w14:paraId="1E7F5118">
            <w:pPr>
              <w:pStyle w:val="134"/>
              <w:numPr>
                <w:ilvl w:val="0"/>
                <w:numId w:val="0"/>
              </w:numPr>
              <w:spacing w:line="360" w:lineRule="auto"/>
              <w:ind w:firstLine="480" w:firstLineChars="200"/>
              <w:rPr>
                <w:rFonts w:ascii="Times New Roman"/>
                <w:color w:val="000000"/>
                <w:sz w:val="24"/>
                <w:szCs w:val="24"/>
              </w:rPr>
            </w:pPr>
            <w:r>
              <w:rPr>
                <w:rFonts w:hint="eastAsia" w:hAnsi="宋体" w:cs="宋体"/>
                <w:color w:val="000000"/>
                <w:sz w:val="24"/>
                <w:szCs w:val="24"/>
              </w:rPr>
              <w:t>⑧</w:t>
            </w:r>
            <w:r>
              <w:rPr>
                <w:rFonts w:ascii="Times New Roman"/>
                <w:color w:val="000000"/>
                <w:sz w:val="24"/>
                <w:szCs w:val="24"/>
              </w:rPr>
              <w:t>贮存时应避免敲击、针刺、踩踏及挤压等，并对正负极、裸露的壳体等进行防护与绝缘处理。</w:t>
            </w:r>
          </w:p>
          <w:p w14:paraId="7C67BA9D">
            <w:pPr>
              <w:pStyle w:val="134"/>
              <w:numPr>
                <w:ilvl w:val="0"/>
                <w:numId w:val="0"/>
              </w:numPr>
              <w:spacing w:line="360" w:lineRule="auto"/>
              <w:ind w:firstLine="480" w:firstLineChars="200"/>
              <w:rPr>
                <w:rFonts w:ascii="Times New Roman"/>
                <w:color w:val="000000"/>
                <w:sz w:val="24"/>
                <w:szCs w:val="24"/>
              </w:rPr>
            </w:pPr>
            <w:r>
              <w:rPr>
                <w:rFonts w:hint="eastAsia" w:hAnsi="宋体" w:cs="宋体"/>
                <w:color w:val="000000"/>
                <w:sz w:val="24"/>
                <w:szCs w:val="24"/>
              </w:rPr>
              <w:t>⑨</w:t>
            </w:r>
            <w:r>
              <w:rPr>
                <w:rFonts w:ascii="Times New Roman"/>
                <w:color w:val="000000"/>
                <w:sz w:val="24"/>
                <w:szCs w:val="24"/>
              </w:rPr>
              <w:t>贮存前对已发生跌落、挤压、碰撞等破坏性操作的电池单体或模组，采用以下方式处理：</w:t>
            </w:r>
          </w:p>
          <w:p w14:paraId="5F6B1767">
            <w:pPr>
              <w:pStyle w:val="136"/>
              <w:numPr>
                <w:ilvl w:val="0"/>
                <w:numId w:val="0"/>
              </w:numPr>
              <w:spacing w:line="360" w:lineRule="auto"/>
              <w:ind w:firstLine="480" w:firstLineChars="200"/>
              <w:rPr>
                <w:rFonts w:ascii="Times New Roman"/>
                <w:color w:val="000000"/>
                <w:sz w:val="24"/>
                <w:szCs w:val="24"/>
              </w:rPr>
            </w:pPr>
            <w:r>
              <w:rPr>
                <w:rFonts w:hint="eastAsia" w:ascii="Times New Roman"/>
                <w:color w:val="000000"/>
                <w:sz w:val="24"/>
                <w:szCs w:val="24"/>
              </w:rPr>
              <w:t>a、</w:t>
            </w:r>
            <w:r>
              <w:rPr>
                <w:rFonts w:ascii="Times New Roman"/>
                <w:color w:val="000000"/>
                <w:sz w:val="24"/>
                <w:szCs w:val="24"/>
              </w:rPr>
              <w:t>已出现严重变形、漏液、漏电、冒烟、着火等情形的，应迅速将其置于盛水桶中，采用浸没的方式浸泡不少于48 h后做报废处理；</w:t>
            </w:r>
          </w:p>
          <w:p w14:paraId="1B87CA25">
            <w:pPr>
              <w:pStyle w:val="136"/>
              <w:numPr>
                <w:ilvl w:val="0"/>
                <w:numId w:val="0"/>
              </w:numPr>
              <w:spacing w:line="360" w:lineRule="auto"/>
              <w:ind w:firstLine="480" w:firstLineChars="200"/>
              <w:rPr>
                <w:rFonts w:ascii="Times New Roman"/>
                <w:color w:val="000000"/>
                <w:sz w:val="24"/>
                <w:szCs w:val="24"/>
              </w:rPr>
            </w:pPr>
            <w:r>
              <w:rPr>
                <w:rFonts w:hint="eastAsia" w:ascii="Times New Roman"/>
                <w:color w:val="000000"/>
                <w:sz w:val="24"/>
                <w:szCs w:val="24"/>
              </w:rPr>
              <w:t>b、</w:t>
            </w:r>
            <w:r>
              <w:rPr>
                <w:rFonts w:ascii="Times New Roman"/>
                <w:color w:val="000000"/>
                <w:sz w:val="24"/>
                <w:szCs w:val="24"/>
              </w:rPr>
              <w:t>未出现4.2.9 a）中情形的，应将其置于异常电池观察区，观察不少于48 h后，若无异常，可重新将其贮存。</w:t>
            </w:r>
          </w:p>
          <w:p w14:paraId="3E901AD7">
            <w:pPr>
              <w:pStyle w:val="132"/>
              <w:numPr>
                <w:ilvl w:val="0"/>
                <w:numId w:val="0"/>
              </w:numPr>
              <w:spacing w:before="0" w:beforeLines="0" w:after="0" w:afterLines="0" w:line="360" w:lineRule="auto"/>
              <w:ind w:firstLine="480" w:firstLineChars="200"/>
              <w:rPr>
                <w:rFonts w:ascii="Times New Roman" w:eastAsia="宋体"/>
                <w:color w:val="000000"/>
                <w:sz w:val="24"/>
                <w:szCs w:val="24"/>
              </w:rPr>
            </w:pPr>
            <w:r>
              <w:rPr>
                <w:rFonts w:hint="eastAsia" w:ascii="Times New Roman" w:eastAsia="宋体"/>
                <w:color w:val="000000"/>
                <w:sz w:val="24"/>
                <w:szCs w:val="24"/>
              </w:rPr>
              <w:t>（3）</w:t>
            </w:r>
            <w:r>
              <w:rPr>
                <w:rFonts w:ascii="Times New Roman" w:eastAsia="宋体"/>
                <w:color w:val="000000"/>
                <w:sz w:val="24"/>
                <w:szCs w:val="24"/>
              </w:rPr>
              <w:t>贮存场地</w:t>
            </w:r>
          </w:p>
          <w:p w14:paraId="019E7FAF">
            <w:pPr>
              <w:pStyle w:val="137"/>
              <w:numPr>
                <w:ilvl w:val="0"/>
                <w:numId w:val="0"/>
              </w:numPr>
              <w:spacing w:line="360" w:lineRule="auto"/>
              <w:ind w:firstLine="480" w:firstLineChars="200"/>
              <w:rPr>
                <w:rFonts w:ascii="Times New Roman"/>
                <w:color w:val="000000"/>
                <w:sz w:val="24"/>
                <w:szCs w:val="24"/>
              </w:rPr>
            </w:pPr>
            <w:r>
              <w:rPr>
                <w:rFonts w:hint="eastAsia" w:hAnsi="宋体" w:cs="宋体"/>
                <w:color w:val="000000"/>
                <w:sz w:val="24"/>
                <w:szCs w:val="24"/>
              </w:rPr>
              <w:t>①</w:t>
            </w:r>
            <w:r>
              <w:rPr>
                <w:rFonts w:ascii="Times New Roman"/>
                <w:color w:val="000000"/>
                <w:sz w:val="24"/>
                <w:szCs w:val="24"/>
              </w:rPr>
              <w:t>应符合DB34/T 3590—2020中4.3的要求。</w:t>
            </w:r>
          </w:p>
          <w:p w14:paraId="5B45E5D0">
            <w:pPr>
              <w:pStyle w:val="137"/>
              <w:numPr>
                <w:ilvl w:val="0"/>
                <w:numId w:val="0"/>
              </w:numPr>
              <w:spacing w:line="360" w:lineRule="auto"/>
              <w:ind w:firstLine="480" w:firstLineChars="200"/>
              <w:rPr>
                <w:rFonts w:ascii="Times New Roman"/>
                <w:color w:val="000000"/>
                <w:sz w:val="24"/>
                <w:szCs w:val="24"/>
              </w:rPr>
            </w:pPr>
            <w:r>
              <w:rPr>
                <w:rFonts w:hint="eastAsia" w:hAnsi="宋体" w:cs="宋体"/>
                <w:color w:val="000000"/>
                <w:sz w:val="24"/>
                <w:szCs w:val="24"/>
              </w:rPr>
              <w:t>②</w:t>
            </w:r>
            <w:r>
              <w:rPr>
                <w:rFonts w:ascii="Times New Roman"/>
                <w:color w:val="000000"/>
                <w:sz w:val="24"/>
                <w:szCs w:val="24"/>
              </w:rPr>
              <w:t>各贮存区域以及消防应急通道应统筹划分，贮存场地应定期清理、清运，应急消防区域和应急通道内不应放置任何物品。</w:t>
            </w:r>
          </w:p>
          <w:p w14:paraId="066ABFE7">
            <w:pPr>
              <w:pStyle w:val="137"/>
              <w:numPr>
                <w:ilvl w:val="0"/>
                <w:numId w:val="0"/>
              </w:numPr>
              <w:spacing w:line="360" w:lineRule="auto"/>
              <w:ind w:firstLine="480" w:firstLineChars="200"/>
              <w:rPr>
                <w:rFonts w:ascii="Times New Roman"/>
                <w:color w:val="000000"/>
                <w:sz w:val="24"/>
                <w:szCs w:val="24"/>
              </w:rPr>
            </w:pPr>
            <w:r>
              <w:rPr>
                <w:rFonts w:hint="eastAsia" w:hAnsi="宋体" w:cs="宋体"/>
                <w:color w:val="000000"/>
                <w:sz w:val="24"/>
                <w:szCs w:val="24"/>
              </w:rPr>
              <w:t>③</w:t>
            </w:r>
            <w:r>
              <w:rPr>
                <w:rFonts w:ascii="Times New Roman"/>
                <w:color w:val="000000"/>
                <w:sz w:val="24"/>
                <w:szCs w:val="24"/>
              </w:rPr>
              <w:t>应在明显位置设置区域标识及警示标志，如严禁烟火、高压危险，并定期检查，标识应满足GB 15562.2—1995要求。</w:t>
            </w:r>
          </w:p>
          <w:p w14:paraId="780C7FC7">
            <w:pPr>
              <w:pStyle w:val="137"/>
              <w:numPr>
                <w:ilvl w:val="0"/>
                <w:numId w:val="0"/>
              </w:numPr>
              <w:spacing w:line="360" w:lineRule="auto"/>
              <w:ind w:firstLine="480" w:firstLineChars="200"/>
              <w:rPr>
                <w:rFonts w:ascii="Times New Roman"/>
                <w:color w:val="000000"/>
                <w:sz w:val="24"/>
                <w:szCs w:val="24"/>
              </w:rPr>
            </w:pPr>
            <w:r>
              <w:rPr>
                <w:rFonts w:hint="eastAsia" w:hAnsi="宋体" w:cs="宋体"/>
                <w:color w:val="000000"/>
                <w:sz w:val="24"/>
                <w:szCs w:val="24"/>
              </w:rPr>
              <w:t>④</w:t>
            </w:r>
            <w:r>
              <w:rPr>
                <w:rFonts w:ascii="Times New Roman"/>
                <w:color w:val="000000"/>
                <w:sz w:val="24"/>
                <w:szCs w:val="24"/>
              </w:rPr>
              <w:t>场地应合理配备安全应急防范设施，消防箱、应急水池及消防沙池，沙池应不小于1 m</w:t>
            </w:r>
            <w:r>
              <w:rPr>
                <w:rFonts w:ascii="Times New Roman"/>
                <w:color w:val="000000"/>
                <w:sz w:val="24"/>
                <w:szCs w:val="24"/>
                <w:vertAlign w:val="superscript"/>
              </w:rPr>
              <w:t>3</w:t>
            </w:r>
            <w:r>
              <w:rPr>
                <w:rFonts w:ascii="Times New Roman"/>
                <w:color w:val="000000"/>
                <w:sz w:val="24"/>
                <w:szCs w:val="24"/>
              </w:rPr>
              <w:t>，且应有袋装消防沙。</w:t>
            </w:r>
          </w:p>
          <w:p w14:paraId="65B9656A">
            <w:pPr>
              <w:pStyle w:val="138"/>
              <w:numPr>
                <w:ilvl w:val="0"/>
                <w:numId w:val="0"/>
              </w:numPr>
              <w:spacing w:before="0" w:beforeLines="0" w:after="0" w:afterLines="0" w:line="360" w:lineRule="auto"/>
              <w:ind w:firstLine="480" w:firstLineChars="200"/>
              <w:rPr>
                <w:rFonts w:ascii="Times New Roman" w:eastAsia="宋体"/>
                <w:color w:val="000000"/>
                <w:sz w:val="24"/>
                <w:szCs w:val="24"/>
              </w:rPr>
            </w:pPr>
            <w:r>
              <w:rPr>
                <w:rFonts w:hint="eastAsia" w:ascii="宋体" w:hAnsi="宋体" w:eastAsia="宋体" w:cs="宋体"/>
                <w:color w:val="000000"/>
                <w:sz w:val="24"/>
                <w:szCs w:val="24"/>
              </w:rPr>
              <w:t>⑤</w:t>
            </w:r>
            <w:r>
              <w:rPr>
                <w:rFonts w:ascii="Times New Roman" w:eastAsia="宋体"/>
                <w:color w:val="000000"/>
                <w:sz w:val="24"/>
                <w:szCs w:val="24"/>
              </w:rPr>
              <w:t>应配置叉车等废旧动力锂离子蓄电池转运、装卸设备。</w:t>
            </w:r>
          </w:p>
          <w:p w14:paraId="51BEB390">
            <w:pPr>
              <w:pStyle w:val="138"/>
              <w:numPr>
                <w:ilvl w:val="0"/>
                <w:numId w:val="0"/>
              </w:numPr>
              <w:spacing w:before="0" w:beforeLines="0" w:after="0" w:afterLines="0" w:line="360" w:lineRule="auto"/>
              <w:ind w:firstLine="480" w:firstLineChars="200"/>
              <w:rPr>
                <w:rFonts w:ascii="Times New Roman" w:eastAsia="宋体"/>
                <w:color w:val="000000"/>
                <w:sz w:val="24"/>
                <w:szCs w:val="24"/>
              </w:rPr>
            </w:pPr>
            <w:r>
              <w:rPr>
                <w:rFonts w:hint="eastAsia" w:ascii="宋体" w:hAnsi="宋体" w:eastAsia="宋体" w:cs="宋体"/>
                <w:color w:val="000000"/>
                <w:sz w:val="24"/>
                <w:szCs w:val="24"/>
              </w:rPr>
              <w:t>⑥</w:t>
            </w:r>
            <w:r>
              <w:rPr>
                <w:rFonts w:ascii="Times New Roman" w:eastAsia="宋体"/>
                <w:color w:val="000000"/>
                <w:sz w:val="24"/>
                <w:szCs w:val="24"/>
              </w:rPr>
              <w:t>应配备绝缘检测设备、电压检测设备，如绝缘电阻测试仪、万用表等，并定期进行校准。</w:t>
            </w:r>
          </w:p>
          <w:p w14:paraId="24A617E3">
            <w:pPr>
              <w:pStyle w:val="138"/>
              <w:numPr>
                <w:ilvl w:val="0"/>
                <w:numId w:val="0"/>
              </w:numPr>
              <w:spacing w:before="0" w:beforeLines="0" w:after="0" w:afterLines="0" w:line="360" w:lineRule="auto"/>
              <w:ind w:firstLine="480" w:firstLineChars="200"/>
              <w:rPr>
                <w:rFonts w:ascii="Times New Roman" w:eastAsia="宋体"/>
                <w:color w:val="000000"/>
                <w:sz w:val="24"/>
                <w:szCs w:val="24"/>
              </w:rPr>
            </w:pPr>
            <w:r>
              <w:rPr>
                <w:rFonts w:hint="eastAsia" w:ascii="宋体" w:hAnsi="宋体" w:eastAsia="宋体" w:cs="宋体"/>
                <w:color w:val="000000"/>
                <w:sz w:val="24"/>
                <w:szCs w:val="24"/>
              </w:rPr>
              <w:t>⑦</w:t>
            </w:r>
            <w:r>
              <w:rPr>
                <w:rFonts w:ascii="Times New Roman" w:eastAsia="宋体"/>
                <w:color w:val="000000"/>
                <w:sz w:val="24"/>
                <w:szCs w:val="24"/>
              </w:rPr>
              <w:t>应配备通讯设备、照明设施、安全防护等工具，并设有应急防护设施。</w:t>
            </w:r>
          </w:p>
          <w:p w14:paraId="515855CE">
            <w:pPr>
              <w:pStyle w:val="137"/>
              <w:numPr>
                <w:ilvl w:val="0"/>
                <w:numId w:val="0"/>
              </w:numPr>
              <w:spacing w:line="360" w:lineRule="auto"/>
              <w:ind w:firstLine="480" w:firstLineChars="200"/>
              <w:rPr>
                <w:rFonts w:ascii="Times New Roman"/>
                <w:color w:val="000000"/>
                <w:sz w:val="24"/>
                <w:szCs w:val="24"/>
              </w:rPr>
            </w:pPr>
            <w:r>
              <w:rPr>
                <w:rFonts w:hint="eastAsia" w:hAnsi="宋体" w:cs="宋体"/>
                <w:color w:val="000000"/>
                <w:sz w:val="24"/>
                <w:szCs w:val="24"/>
              </w:rPr>
              <w:t>⑧</w:t>
            </w:r>
            <w:r>
              <w:rPr>
                <w:rFonts w:ascii="Times New Roman"/>
                <w:color w:val="000000"/>
                <w:sz w:val="24"/>
                <w:szCs w:val="24"/>
              </w:rPr>
              <w:t>应全方位安装摄像头，24 h全天候监控电池贮存状态。</w:t>
            </w:r>
          </w:p>
          <w:p w14:paraId="73586327">
            <w:pPr>
              <w:pStyle w:val="138"/>
              <w:numPr>
                <w:ilvl w:val="0"/>
                <w:numId w:val="0"/>
              </w:numPr>
              <w:spacing w:before="0" w:beforeLines="0" w:after="0" w:afterLines="0" w:line="360" w:lineRule="auto"/>
              <w:ind w:firstLine="480" w:firstLineChars="200"/>
              <w:rPr>
                <w:rFonts w:ascii="Times New Roman" w:eastAsia="宋体"/>
                <w:color w:val="000000"/>
                <w:sz w:val="24"/>
                <w:szCs w:val="24"/>
              </w:rPr>
            </w:pPr>
            <w:r>
              <w:rPr>
                <w:rFonts w:hint="eastAsia" w:ascii="宋体" w:hAnsi="宋体" w:eastAsia="宋体" w:cs="宋体"/>
                <w:color w:val="000000"/>
                <w:sz w:val="24"/>
                <w:szCs w:val="24"/>
              </w:rPr>
              <w:t>⑨</w:t>
            </w:r>
            <w:r>
              <w:rPr>
                <w:rFonts w:ascii="Times New Roman" w:eastAsia="宋体"/>
                <w:color w:val="000000"/>
                <w:sz w:val="24"/>
                <w:szCs w:val="24"/>
              </w:rPr>
              <w:t>贮存仓库或场所应设专人管理，管理人员应具备4.4的人员要求。</w:t>
            </w:r>
          </w:p>
          <w:p w14:paraId="15F89C45">
            <w:pPr>
              <w:pStyle w:val="138"/>
              <w:numPr>
                <w:ilvl w:val="0"/>
                <w:numId w:val="0"/>
              </w:numPr>
              <w:spacing w:before="0" w:beforeLines="0" w:after="0" w:afterLines="0" w:line="360" w:lineRule="auto"/>
              <w:ind w:firstLine="480" w:firstLineChars="200"/>
              <w:rPr>
                <w:rFonts w:ascii="Times New Roman" w:eastAsia="宋体"/>
                <w:color w:val="000000"/>
                <w:sz w:val="24"/>
                <w:szCs w:val="24"/>
              </w:rPr>
            </w:pPr>
            <w:r>
              <w:rPr>
                <w:rFonts w:hint="eastAsia" w:ascii="宋体" w:hAnsi="宋体" w:eastAsia="宋体" w:cs="宋体"/>
                <w:color w:val="000000"/>
                <w:sz w:val="24"/>
                <w:szCs w:val="24"/>
              </w:rPr>
              <w:t>⑩</w:t>
            </w:r>
            <w:r>
              <w:rPr>
                <w:rFonts w:ascii="Times New Roman" w:eastAsia="宋体"/>
                <w:color w:val="000000"/>
                <w:sz w:val="24"/>
                <w:szCs w:val="24"/>
              </w:rPr>
              <w:t>异常电池观察区内放置消防沙、灭火毯、灭火器、盛水桶等。</w:t>
            </w:r>
          </w:p>
          <w:p w14:paraId="7AAB6357">
            <w:pPr>
              <w:pStyle w:val="138"/>
              <w:numPr>
                <w:ilvl w:val="0"/>
                <w:numId w:val="0"/>
              </w:numPr>
              <w:spacing w:before="0" w:beforeLines="0" w:after="0" w:afterLines="0" w:line="360" w:lineRule="auto"/>
              <w:ind w:firstLine="480" w:firstLineChars="200"/>
              <w:rPr>
                <w:rFonts w:ascii="Times New Roman" w:eastAsia="宋体"/>
                <w:color w:val="000000"/>
                <w:sz w:val="24"/>
                <w:szCs w:val="24"/>
              </w:rPr>
            </w:pPr>
            <w:r>
              <w:rPr>
                <w:rFonts w:ascii="Times New Roman" w:eastAsia="宋体"/>
                <w:color w:val="000000"/>
                <w:sz w:val="24"/>
                <w:szCs w:val="24"/>
              </w:rPr>
              <w:t>⑪人行通道不小于0.8 m，墙距宽度不小于0.5 m。</w:t>
            </w:r>
          </w:p>
          <w:p w14:paraId="2631E718">
            <w:pPr>
              <w:pStyle w:val="132"/>
              <w:numPr>
                <w:ilvl w:val="0"/>
                <w:numId w:val="0"/>
              </w:numPr>
              <w:spacing w:before="0" w:beforeLines="0" w:after="0" w:afterLines="0" w:line="360" w:lineRule="auto"/>
              <w:ind w:firstLine="480" w:firstLineChars="200"/>
              <w:rPr>
                <w:rFonts w:ascii="Times New Roman" w:eastAsia="宋体"/>
                <w:color w:val="000000"/>
                <w:sz w:val="24"/>
                <w:szCs w:val="24"/>
              </w:rPr>
            </w:pPr>
            <w:r>
              <w:rPr>
                <w:rFonts w:hint="eastAsia" w:ascii="Times New Roman" w:eastAsia="宋体"/>
                <w:color w:val="000000"/>
                <w:sz w:val="24"/>
                <w:szCs w:val="24"/>
              </w:rPr>
              <w:t>（4）</w:t>
            </w:r>
            <w:r>
              <w:rPr>
                <w:rFonts w:ascii="Times New Roman" w:eastAsia="宋体"/>
                <w:color w:val="000000"/>
                <w:sz w:val="24"/>
                <w:szCs w:val="24"/>
              </w:rPr>
              <w:t>人员要求</w:t>
            </w:r>
          </w:p>
          <w:p w14:paraId="76646847">
            <w:pPr>
              <w:pStyle w:val="134"/>
              <w:numPr>
                <w:ilvl w:val="0"/>
                <w:numId w:val="0"/>
              </w:numPr>
              <w:spacing w:line="360" w:lineRule="auto"/>
              <w:ind w:firstLine="480" w:firstLineChars="200"/>
              <w:jc w:val="both"/>
              <w:rPr>
                <w:rFonts w:ascii="Times New Roman"/>
                <w:color w:val="000000"/>
                <w:sz w:val="24"/>
                <w:szCs w:val="24"/>
              </w:rPr>
            </w:pPr>
            <w:r>
              <w:rPr>
                <w:rFonts w:hint="eastAsia" w:hAnsi="宋体" w:cs="宋体"/>
                <w:color w:val="000000"/>
                <w:sz w:val="24"/>
                <w:szCs w:val="24"/>
              </w:rPr>
              <w:t>①</w:t>
            </w:r>
            <w:r>
              <w:rPr>
                <w:rFonts w:ascii="Times New Roman"/>
                <w:color w:val="000000"/>
                <w:sz w:val="24"/>
                <w:szCs w:val="24"/>
              </w:rPr>
              <w:t>应分工明确，掌握岗位职责及安全操作、急救等知识及操作技能，通过岗前及应急救援培训，现场应急处理人员应持有电工证。</w:t>
            </w:r>
          </w:p>
          <w:p w14:paraId="12B42877">
            <w:pPr>
              <w:pStyle w:val="134"/>
              <w:numPr>
                <w:ilvl w:val="0"/>
                <w:numId w:val="0"/>
              </w:numPr>
              <w:spacing w:line="360" w:lineRule="auto"/>
              <w:ind w:firstLine="480" w:firstLineChars="200"/>
              <w:jc w:val="both"/>
              <w:rPr>
                <w:rFonts w:ascii="Times New Roman"/>
                <w:color w:val="000000"/>
                <w:sz w:val="24"/>
                <w:szCs w:val="24"/>
              </w:rPr>
            </w:pPr>
            <w:r>
              <w:rPr>
                <w:rFonts w:hint="eastAsia" w:hAnsi="宋体" w:cs="宋体"/>
                <w:color w:val="000000"/>
                <w:sz w:val="24"/>
                <w:szCs w:val="24"/>
              </w:rPr>
              <w:t>②</w:t>
            </w:r>
            <w:r>
              <w:rPr>
                <w:rFonts w:ascii="Times New Roman"/>
                <w:color w:val="000000"/>
                <w:sz w:val="24"/>
                <w:szCs w:val="24"/>
              </w:rPr>
              <w:t>应具有与蓄电池相关的专业知识，了解电池特性、防火、防泄漏、防短路等专业知识。</w:t>
            </w:r>
          </w:p>
          <w:p w14:paraId="4DCF0CC7">
            <w:pPr>
              <w:pStyle w:val="134"/>
              <w:numPr>
                <w:ilvl w:val="0"/>
                <w:numId w:val="0"/>
              </w:numPr>
              <w:spacing w:line="360" w:lineRule="auto"/>
              <w:ind w:firstLine="480" w:firstLineChars="200"/>
              <w:rPr>
                <w:rFonts w:ascii="Times New Roman"/>
                <w:color w:val="000000"/>
                <w:sz w:val="24"/>
                <w:szCs w:val="24"/>
              </w:rPr>
            </w:pPr>
            <w:r>
              <w:rPr>
                <w:rFonts w:hint="eastAsia" w:hAnsi="宋体" w:cs="宋体"/>
                <w:color w:val="000000"/>
                <w:sz w:val="24"/>
                <w:szCs w:val="24"/>
              </w:rPr>
              <w:t>③</w:t>
            </w:r>
            <w:r>
              <w:rPr>
                <w:rFonts w:ascii="Times New Roman"/>
                <w:color w:val="000000"/>
                <w:sz w:val="24"/>
                <w:szCs w:val="24"/>
              </w:rPr>
              <w:t>应定期巡检并填写巡检记录表，包括贮存电池、设备、检测仪器以及消防物资等，并及时补充消防物资。</w:t>
            </w:r>
          </w:p>
          <w:p w14:paraId="71C05649">
            <w:pPr>
              <w:pStyle w:val="134"/>
              <w:numPr>
                <w:ilvl w:val="0"/>
                <w:numId w:val="0"/>
              </w:numPr>
              <w:spacing w:line="360" w:lineRule="auto"/>
              <w:ind w:firstLine="480" w:firstLineChars="200"/>
              <w:rPr>
                <w:rFonts w:ascii="Times New Roman"/>
                <w:color w:val="000000"/>
                <w:sz w:val="24"/>
                <w:szCs w:val="24"/>
              </w:rPr>
            </w:pPr>
            <w:r>
              <w:rPr>
                <w:rFonts w:hint="eastAsia" w:hAnsi="宋体" w:cs="宋体"/>
                <w:color w:val="000000"/>
                <w:sz w:val="24"/>
                <w:szCs w:val="24"/>
              </w:rPr>
              <w:t>④</w:t>
            </w:r>
            <w:r>
              <w:rPr>
                <w:rFonts w:ascii="Times New Roman"/>
                <w:color w:val="000000"/>
                <w:sz w:val="24"/>
                <w:szCs w:val="24"/>
              </w:rPr>
              <w:t>应设置应急管理人员，电话应24 h保持畅通，如发生异常能及时做出响应。</w:t>
            </w:r>
          </w:p>
          <w:p w14:paraId="5C1D2881">
            <w:pPr>
              <w:pStyle w:val="139"/>
              <w:numPr>
                <w:ilvl w:val="0"/>
                <w:numId w:val="0"/>
              </w:numPr>
              <w:spacing w:before="0" w:beforeLines="0" w:after="0" w:afterLines="0" w:line="360" w:lineRule="auto"/>
              <w:ind w:firstLine="480" w:firstLineChars="200"/>
              <w:rPr>
                <w:rFonts w:ascii="Times New Roman" w:eastAsia="宋体"/>
                <w:color w:val="000000"/>
                <w:sz w:val="24"/>
                <w:szCs w:val="24"/>
              </w:rPr>
            </w:pPr>
            <w:bookmarkStart w:id="7" w:name="OLE_LINK2"/>
            <w:r>
              <w:rPr>
                <w:rFonts w:hint="eastAsia" w:ascii="Times New Roman" w:eastAsia="宋体"/>
                <w:color w:val="000000"/>
                <w:sz w:val="24"/>
                <w:szCs w:val="24"/>
              </w:rPr>
              <w:t>（5）</w:t>
            </w:r>
            <w:r>
              <w:rPr>
                <w:rFonts w:ascii="Times New Roman" w:eastAsia="宋体"/>
                <w:color w:val="000000"/>
                <w:sz w:val="24"/>
                <w:szCs w:val="24"/>
              </w:rPr>
              <w:t>安全环保</w:t>
            </w:r>
          </w:p>
          <w:p w14:paraId="4C65A843">
            <w:pPr>
              <w:pStyle w:val="132"/>
              <w:numPr>
                <w:ilvl w:val="0"/>
                <w:numId w:val="0"/>
              </w:numPr>
              <w:spacing w:before="0" w:beforeLines="0" w:after="0" w:afterLines="0" w:line="360" w:lineRule="auto"/>
              <w:ind w:firstLine="480" w:firstLineChars="200"/>
              <w:rPr>
                <w:rFonts w:ascii="Times New Roman" w:eastAsia="宋体"/>
                <w:color w:val="000000"/>
                <w:sz w:val="24"/>
                <w:szCs w:val="24"/>
              </w:rPr>
            </w:pPr>
            <w:r>
              <w:rPr>
                <w:rFonts w:hint="eastAsia" w:ascii="Times New Roman"/>
                <w:color w:val="000000"/>
                <w:sz w:val="24"/>
                <w:szCs w:val="24"/>
              </w:rPr>
              <w:t>1）</w:t>
            </w:r>
            <w:r>
              <w:rPr>
                <w:rFonts w:ascii="Times New Roman" w:eastAsia="宋体"/>
                <w:color w:val="000000"/>
                <w:sz w:val="24"/>
                <w:szCs w:val="24"/>
              </w:rPr>
              <w:t>安全应急</w:t>
            </w:r>
          </w:p>
          <w:p w14:paraId="1F0B4688">
            <w:pPr>
              <w:pStyle w:val="134"/>
              <w:numPr>
                <w:ilvl w:val="0"/>
                <w:numId w:val="0"/>
              </w:numPr>
              <w:spacing w:line="360" w:lineRule="auto"/>
              <w:ind w:firstLine="480" w:firstLineChars="200"/>
              <w:rPr>
                <w:rFonts w:ascii="Times New Roman"/>
                <w:color w:val="000000"/>
                <w:sz w:val="24"/>
                <w:szCs w:val="24"/>
              </w:rPr>
            </w:pPr>
            <w:r>
              <w:rPr>
                <w:rFonts w:hint="eastAsia" w:hAnsi="宋体" w:cs="宋体"/>
                <w:color w:val="000000"/>
                <w:sz w:val="24"/>
                <w:szCs w:val="24"/>
              </w:rPr>
              <w:t>①</w:t>
            </w:r>
            <w:r>
              <w:rPr>
                <w:rFonts w:ascii="Times New Roman"/>
                <w:color w:val="000000"/>
                <w:sz w:val="24"/>
                <w:szCs w:val="24"/>
              </w:rPr>
              <w:t>处理突发安全事故时，应遵循保证人身安全第一的原则。</w:t>
            </w:r>
          </w:p>
          <w:p w14:paraId="1452B0EB">
            <w:pPr>
              <w:pStyle w:val="134"/>
              <w:numPr>
                <w:ilvl w:val="0"/>
                <w:numId w:val="0"/>
              </w:numPr>
              <w:spacing w:line="360" w:lineRule="auto"/>
              <w:ind w:firstLine="480" w:firstLineChars="200"/>
              <w:rPr>
                <w:rFonts w:ascii="Times New Roman"/>
                <w:color w:val="000000"/>
                <w:sz w:val="24"/>
                <w:szCs w:val="24"/>
              </w:rPr>
            </w:pPr>
            <w:r>
              <w:rPr>
                <w:rFonts w:hint="eastAsia" w:hAnsi="宋体" w:cs="宋体"/>
                <w:color w:val="000000"/>
                <w:sz w:val="24"/>
                <w:szCs w:val="24"/>
              </w:rPr>
              <w:t>②</w:t>
            </w:r>
            <w:r>
              <w:rPr>
                <w:rFonts w:ascii="Times New Roman"/>
                <w:color w:val="000000"/>
                <w:sz w:val="24"/>
                <w:szCs w:val="24"/>
              </w:rPr>
              <w:t>废旧动力锂离子蓄电池冒烟、起火燃烧时，应迅速将其拖至应急消防区域，并分别采用以下应急处理方法：</w:t>
            </w:r>
          </w:p>
          <w:p w14:paraId="636F7FB2">
            <w:pPr>
              <w:pStyle w:val="136"/>
              <w:numPr>
                <w:ilvl w:val="0"/>
                <w:numId w:val="0"/>
              </w:numPr>
              <w:spacing w:line="360" w:lineRule="auto"/>
              <w:ind w:firstLine="480" w:firstLineChars="200"/>
              <w:rPr>
                <w:rFonts w:ascii="Times New Roman"/>
                <w:color w:val="000000"/>
                <w:sz w:val="24"/>
                <w:szCs w:val="24"/>
              </w:rPr>
            </w:pPr>
            <w:r>
              <w:rPr>
                <w:rFonts w:hint="eastAsia" w:ascii="Times New Roman"/>
                <w:color w:val="000000"/>
                <w:sz w:val="24"/>
                <w:szCs w:val="24"/>
              </w:rPr>
              <w:t>a、</w:t>
            </w:r>
            <w:r>
              <w:rPr>
                <w:rFonts w:ascii="Times New Roman"/>
                <w:color w:val="000000"/>
                <w:sz w:val="24"/>
                <w:szCs w:val="24"/>
              </w:rPr>
              <w:t>电池单体与模块：宜直接用沙掩埋或浸入应急水池中；</w:t>
            </w:r>
          </w:p>
          <w:p w14:paraId="7202D62C">
            <w:pPr>
              <w:pStyle w:val="136"/>
              <w:numPr>
                <w:ilvl w:val="0"/>
                <w:numId w:val="0"/>
              </w:numPr>
              <w:spacing w:line="360" w:lineRule="auto"/>
              <w:ind w:firstLine="480" w:firstLineChars="200"/>
              <w:rPr>
                <w:rFonts w:ascii="Times New Roman"/>
                <w:color w:val="000000"/>
                <w:sz w:val="24"/>
                <w:szCs w:val="24"/>
              </w:rPr>
            </w:pPr>
            <w:r>
              <w:rPr>
                <w:rFonts w:hint="eastAsia" w:ascii="Times New Roman"/>
                <w:color w:val="000000"/>
                <w:sz w:val="24"/>
                <w:szCs w:val="24"/>
              </w:rPr>
              <w:t>b、</w:t>
            </w:r>
            <w:r>
              <w:rPr>
                <w:rFonts w:ascii="Times New Roman"/>
                <w:color w:val="000000"/>
                <w:sz w:val="24"/>
                <w:szCs w:val="24"/>
              </w:rPr>
              <w:t xml:space="preserve">电池包：先用消防沙或浸湿的灭火毯（棉被）将其盖住，然后持续用大量的水进行灭火，直至将火势控制不再冒烟，电池包温度降到室温。 </w:t>
            </w:r>
          </w:p>
          <w:p w14:paraId="642767DC">
            <w:pPr>
              <w:pStyle w:val="134"/>
              <w:numPr>
                <w:ilvl w:val="0"/>
                <w:numId w:val="0"/>
              </w:numPr>
              <w:spacing w:line="360" w:lineRule="auto"/>
              <w:ind w:firstLine="480" w:firstLineChars="200"/>
              <w:rPr>
                <w:rFonts w:ascii="Times New Roman"/>
                <w:color w:val="000000"/>
                <w:sz w:val="24"/>
                <w:szCs w:val="24"/>
              </w:rPr>
            </w:pPr>
            <w:r>
              <w:rPr>
                <w:rFonts w:hint="eastAsia" w:hAnsi="宋体" w:cs="宋体"/>
                <w:color w:val="000000"/>
                <w:sz w:val="24"/>
                <w:szCs w:val="24"/>
              </w:rPr>
              <w:t>③</w:t>
            </w:r>
            <w:r>
              <w:rPr>
                <w:rFonts w:ascii="Times New Roman"/>
                <w:color w:val="000000"/>
                <w:sz w:val="24"/>
                <w:szCs w:val="24"/>
              </w:rPr>
              <w:t>发生人员触电等危险时，应尽快使触电者脱离电源，再根据触电者的具体症状进行对症施救。</w:t>
            </w:r>
          </w:p>
          <w:p w14:paraId="2DB949B3">
            <w:pPr>
              <w:pStyle w:val="132"/>
              <w:numPr>
                <w:ilvl w:val="0"/>
                <w:numId w:val="0"/>
              </w:numPr>
              <w:spacing w:before="0" w:beforeLines="0" w:after="0" w:afterLines="0" w:line="360" w:lineRule="auto"/>
              <w:ind w:firstLine="480" w:firstLineChars="200"/>
              <w:rPr>
                <w:rFonts w:ascii="Times New Roman" w:eastAsia="宋体"/>
                <w:color w:val="000000"/>
                <w:sz w:val="24"/>
                <w:szCs w:val="24"/>
              </w:rPr>
            </w:pPr>
            <w:r>
              <w:rPr>
                <w:rFonts w:hint="eastAsia" w:ascii="Times New Roman"/>
                <w:color w:val="000000"/>
                <w:sz w:val="24"/>
                <w:szCs w:val="24"/>
              </w:rPr>
              <w:t>2）</w:t>
            </w:r>
            <w:r>
              <w:rPr>
                <w:rFonts w:ascii="Times New Roman" w:eastAsia="宋体"/>
                <w:color w:val="000000"/>
                <w:sz w:val="24"/>
                <w:szCs w:val="24"/>
              </w:rPr>
              <w:t>环保控制</w:t>
            </w:r>
          </w:p>
          <w:bookmarkEnd w:id="7"/>
          <w:p w14:paraId="294F03CF">
            <w:pPr>
              <w:pStyle w:val="134"/>
              <w:numPr>
                <w:ilvl w:val="0"/>
                <w:numId w:val="0"/>
              </w:numPr>
              <w:spacing w:line="360" w:lineRule="auto"/>
              <w:ind w:firstLine="480" w:firstLineChars="200"/>
              <w:rPr>
                <w:rFonts w:ascii="Times New Roman"/>
                <w:color w:val="000000"/>
                <w:sz w:val="24"/>
                <w:szCs w:val="24"/>
              </w:rPr>
            </w:pPr>
            <w:r>
              <w:rPr>
                <w:rFonts w:hint="eastAsia" w:hAnsi="宋体" w:cs="宋体"/>
                <w:color w:val="000000"/>
                <w:sz w:val="24"/>
                <w:szCs w:val="24"/>
              </w:rPr>
              <w:t>①</w:t>
            </w:r>
            <w:r>
              <w:rPr>
                <w:rFonts w:ascii="Times New Roman"/>
                <w:color w:val="000000"/>
                <w:sz w:val="24"/>
                <w:szCs w:val="24"/>
              </w:rPr>
              <w:t>贮存设施的建设、管理应根据废物的危险性满足GB 18599和GB 18579的相关要求；</w:t>
            </w:r>
          </w:p>
          <w:p w14:paraId="1DA3CC0A">
            <w:pPr>
              <w:pStyle w:val="134"/>
              <w:numPr>
                <w:ilvl w:val="0"/>
                <w:numId w:val="0"/>
              </w:numPr>
              <w:spacing w:line="360" w:lineRule="auto"/>
              <w:ind w:firstLine="480" w:firstLineChars="200"/>
              <w:rPr>
                <w:rFonts w:ascii="Times New Roman"/>
                <w:color w:val="000000"/>
                <w:sz w:val="24"/>
                <w:szCs w:val="24"/>
              </w:rPr>
            </w:pPr>
            <w:r>
              <w:rPr>
                <w:rFonts w:hint="eastAsia" w:hAnsi="宋体" w:cs="宋体"/>
                <w:color w:val="000000"/>
                <w:sz w:val="24"/>
                <w:szCs w:val="24"/>
              </w:rPr>
              <w:t>②</w:t>
            </w:r>
            <w:r>
              <w:rPr>
                <w:rFonts w:ascii="Times New Roman"/>
                <w:color w:val="000000"/>
                <w:sz w:val="24"/>
                <w:szCs w:val="24"/>
              </w:rPr>
              <w:t>应设有专职环保管理人员和完善的安全环保制度，建立环境保护监测制度，具有突发环境事件或污染事件应急设施和处理预案；</w:t>
            </w:r>
          </w:p>
          <w:p w14:paraId="3F7F60E3">
            <w:pPr>
              <w:pStyle w:val="134"/>
              <w:numPr>
                <w:ilvl w:val="0"/>
                <w:numId w:val="0"/>
              </w:numPr>
              <w:spacing w:line="360" w:lineRule="auto"/>
              <w:ind w:firstLine="480" w:firstLineChars="200"/>
              <w:rPr>
                <w:rFonts w:ascii="Times New Roman"/>
                <w:color w:val="000000"/>
                <w:sz w:val="24"/>
                <w:szCs w:val="24"/>
              </w:rPr>
            </w:pPr>
            <w:r>
              <w:rPr>
                <w:rFonts w:hint="eastAsia" w:hAnsi="宋体" w:cs="宋体"/>
                <w:color w:val="000000"/>
                <w:sz w:val="24"/>
                <w:szCs w:val="24"/>
              </w:rPr>
              <w:t>③</w:t>
            </w:r>
            <w:r>
              <w:rPr>
                <w:rFonts w:ascii="Times New Roman"/>
                <w:color w:val="000000"/>
                <w:sz w:val="24"/>
                <w:szCs w:val="24"/>
              </w:rPr>
              <w:t>应具有废水、工业固废环保收集处理设施设备，符合国家标准要求并保证其正常使用；</w:t>
            </w:r>
          </w:p>
          <w:p w14:paraId="34F8FBFF">
            <w:pPr>
              <w:widowControl/>
              <w:spacing w:line="360" w:lineRule="auto"/>
              <w:ind w:firstLine="480" w:firstLineChars="200"/>
              <w:jc w:val="left"/>
              <w:rPr>
                <w:color w:val="000000"/>
                <w:sz w:val="24"/>
              </w:rPr>
            </w:pPr>
            <w:r>
              <w:rPr>
                <w:rFonts w:hint="eastAsia" w:ascii="宋体" w:hAnsi="宋体" w:cs="宋体"/>
                <w:color w:val="000000"/>
                <w:sz w:val="24"/>
              </w:rPr>
              <w:t>④</w:t>
            </w:r>
            <w:r>
              <w:rPr>
                <w:color w:val="000000"/>
                <w:sz w:val="24"/>
              </w:rPr>
              <w:t>产生的有毒有害、易燃易爆等残余物应妥善管理和无害化处理，无相应处置能力的，应按国家有关要求交有相关资质的企业进行集中处理。</w:t>
            </w:r>
          </w:p>
          <w:p w14:paraId="4BA27002">
            <w:pPr>
              <w:widowControl/>
              <w:spacing w:line="360" w:lineRule="auto"/>
              <w:ind w:firstLine="482" w:firstLineChars="200"/>
              <w:jc w:val="left"/>
              <w:rPr>
                <w:b/>
                <w:color w:val="000000"/>
                <w:sz w:val="24"/>
              </w:rPr>
            </w:pPr>
            <w:r>
              <w:rPr>
                <w:rFonts w:hint="eastAsia"/>
                <w:b/>
                <w:color w:val="000000"/>
                <w:sz w:val="24"/>
              </w:rPr>
              <w:t>2.10</w:t>
            </w:r>
            <w:r>
              <w:rPr>
                <w:b/>
                <w:color w:val="000000"/>
                <w:sz w:val="24"/>
              </w:rPr>
              <w:t>破碎回收</w:t>
            </w:r>
          </w:p>
          <w:p w14:paraId="38220BCC">
            <w:pPr>
              <w:widowControl/>
              <w:spacing w:line="360" w:lineRule="auto"/>
              <w:ind w:firstLine="480" w:firstLineChars="200"/>
              <w:rPr>
                <w:color w:val="000000"/>
                <w:sz w:val="24"/>
              </w:rPr>
            </w:pPr>
            <w:r>
              <w:rPr>
                <w:color w:val="000000"/>
                <w:sz w:val="24"/>
              </w:rPr>
              <w:t>1</w:t>
            </w:r>
            <w:r>
              <w:rPr>
                <w:rFonts w:hint="eastAsia"/>
                <w:color w:val="000000"/>
                <w:sz w:val="24"/>
              </w:rPr>
              <w:t>.</w:t>
            </w:r>
            <w:r>
              <w:rPr>
                <w:color w:val="000000"/>
                <w:sz w:val="24"/>
              </w:rPr>
              <w:t>钢铁破碎工艺流程</w:t>
            </w:r>
          </w:p>
          <w:p w14:paraId="57CC79FC">
            <w:pPr>
              <w:widowControl/>
              <w:spacing w:line="360" w:lineRule="auto"/>
              <w:jc w:val="center"/>
              <w:rPr>
                <w:color w:val="000000"/>
              </w:rPr>
            </w:pPr>
            <w:r>
              <w:rPr>
                <w:rFonts w:hint="eastAsia"/>
                <w:color w:val="000000"/>
                <w:sz w:val="24"/>
              </w:rPr>
              <w:drawing>
                <wp:inline distT="0" distB="0" distL="114300" distR="114300">
                  <wp:extent cx="4265295" cy="2804795"/>
                  <wp:effectExtent l="0" t="0" r="0" b="0"/>
                  <wp:docPr id="16" name="图片 10" descr="C:/Users/Administrator/AppData/Local/Temp/wps.hOLARyw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0" descr="C:/Users/Administrator/AppData/Local/Temp/wps.hOLARywps"/>
                          <pic:cNvPicPr>
                            <a:picLocks noChangeAspect="1"/>
                          </pic:cNvPicPr>
                        </pic:nvPicPr>
                        <pic:blipFill>
                          <a:blip r:embed="rId25"/>
                          <a:srcRect t="8459" b="7190"/>
                          <a:stretch>
                            <a:fillRect/>
                          </a:stretch>
                        </pic:blipFill>
                        <pic:spPr>
                          <a:xfrm>
                            <a:off x="0" y="0"/>
                            <a:ext cx="4265295" cy="2804795"/>
                          </a:xfrm>
                          <a:prstGeom prst="rect">
                            <a:avLst/>
                          </a:prstGeom>
                          <a:noFill/>
                          <a:ln>
                            <a:noFill/>
                          </a:ln>
                        </pic:spPr>
                      </pic:pic>
                    </a:graphicData>
                  </a:graphic>
                </wp:inline>
              </w:drawing>
            </w:r>
          </w:p>
          <w:p w14:paraId="72DF8F8A">
            <w:pPr>
              <w:widowControl/>
              <w:spacing w:line="360" w:lineRule="auto"/>
              <w:jc w:val="center"/>
              <w:rPr>
                <w:b/>
                <w:bCs/>
                <w:color w:val="000000"/>
                <w:szCs w:val="21"/>
              </w:rPr>
            </w:pPr>
            <w:r>
              <w:rPr>
                <w:b/>
                <w:bCs/>
                <w:color w:val="000000"/>
                <w:szCs w:val="21"/>
              </w:rPr>
              <w:t>图2-</w:t>
            </w:r>
            <w:r>
              <w:rPr>
                <w:rFonts w:hint="eastAsia"/>
                <w:b/>
                <w:bCs/>
                <w:color w:val="000000"/>
                <w:szCs w:val="21"/>
              </w:rPr>
              <w:t>8</w:t>
            </w:r>
            <w:r>
              <w:rPr>
                <w:b/>
                <w:bCs/>
                <w:color w:val="000000"/>
                <w:szCs w:val="21"/>
              </w:rPr>
              <w:t xml:space="preserve">  废钢破碎工艺流程及产污节点图</w:t>
            </w:r>
          </w:p>
          <w:p w14:paraId="262FB480">
            <w:pPr>
              <w:widowControl/>
              <w:spacing w:line="360" w:lineRule="auto"/>
              <w:ind w:left="479" w:leftChars="228"/>
              <w:jc w:val="left"/>
              <w:rPr>
                <w:color w:val="000000"/>
                <w:sz w:val="24"/>
              </w:rPr>
            </w:pPr>
            <w:r>
              <w:rPr>
                <w:rFonts w:hint="eastAsia"/>
                <w:color w:val="000000"/>
                <w:sz w:val="24"/>
              </w:rPr>
              <w:t>（1）清洗</w:t>
            </w:r>
          </w:p>
          <w:p w14:paraId="5EAF94EA">
            <w:pPr>
              <w:spacing w:line="360" w:lineRule="auto"/>
              <w:ind w:firstLine="480" w:firstLineChars="200"/>
              <w:rPr>
                <w:color w:val="000000"/>
                <w:sz w:val="24"/>
                <w:szCs w:val="32"/>
              </w:rPr>
            </w:pPr>
            <w:r>
              <w:rPr>
                <w:rFonts w:hint="eastAsia"/>
                <w:color w:val="000000"/>
                <w:sz w:val="24"/>
                <w:szCs w:val="32"/>
              </w:rPr>
              <w:t>对于发动机、变速箱等重型含油金属零件，需先使用高压水枪冲洗掉零件所含油污，此过程会产生清洗废水。</w:t>
            </w:r>
          </w:p>
          <w:p w14:paraId="3BB62479">
            <w:pPr>
              <w:widowControl/>
              <w:spacing w:line="360" w:lineRule="auto"/>
              <w:ind w:firstLine="480" w:firstLineChars="200"/>
              <w:jc w:val="left"/>
              <w:rPr>
                <w:rFonts w:hint="eastAsia" w:eastAsia="宋体"/>
                <w:color w:val="FF0000"/>
                <w:sz w:val="24"/>
                <w:lang w:val="en-US" w:eastAsia="zh-CN"/>
              </w:rPr>
            </w:pPr>
            <w:r>
              <w:rPr>
                <w:color w:val="FF0000"/>
                <w:sz w:val="24"/>
              </w:rPr>
              <w:t>（2）破碎</w:t>
            </w:r>
            <w:r>
              <w:rPr>
                <w:rFonts w:hint="eastAsia"/>
                <w:color w:val="FF0000"/>
                <w:sz w:val="24"/>
                <w:lang w:val="en-US" w:eastAsia="zh-CN"/>
              </w:rPr>
              <w:t>分选</w:t>
            </w:r>
          </w:p>
          <w:p w14:paraId="694388F2">
            <w:pPr>
              <w:widowControl/>
              <w:spacing w:line="360" w:lineRule="auto"/>
              <w:ind w:firstLine="480" w:firstLineChars="200"/>
              <w:jc w:val="left"/>
              <w:rPr>
                <w:color w:val="FF0000"/>
                <w:sz w:val="24"/>
              </w:rPr>
            </w:pPr>
            <w:r>
              <w:rPr>
                <w:color w:val="FF0000"/>
                <w:sz w:val="24"/>
              </w:rPr>
              <w:t>经</w:t>
            </w:r>
            <w:r>
              <w:rPr>
                <w:rFonts w:hint="eastAsia"/>
                <w:color w:val="FF0000"/>
                <w:sz w:val="24"/>
              </w:rPr>
              <w:t>清洗</w:t>
            </w:r>
            <w:r>
              <w:rPr>
                <w:color w:val="FF0000"/>
                <w:sz w:val="24"/>
              </w:rPr>
              <w:t>后的</w:t>
            </w:r>
            <w:r>
              <w:rPr>
                <w:rFonts w:hint="eastAsia"/>
                <w:color w:val="FF0000"/>
                <w:sz w:val="24"/>
                <w:szCs w:val="32"/>
              </w:rPr>
              <w:t>发动机、变速箱等重型含油金属零件</w:t>
            </w:r>
            <w:r>
              <w:rPr>
                <w:color w:val="FF0000"/>
                <w:sz w:val="24"/>
              </w:rPr>
              <w:t>等进入破碎车间进行下一步的破碎。原料通过链板输送机进入破碎机，在破碎机内有一组固定在主轴的圆盘和一组装在圆盘之间可以自由摆动的锤头，通过高速旋转产生的动能对废钢进行砸、撕等破碎处理，得到破碎物，破碎物通过磁力分选系统将铁料和非铁料</w:t>
            </w:r>
            <w:r>
              <w:rPr>
                <w:rFonts w:hint="eastAsia"/>
                <w:color w:val="FF0000"/>
                <w:sz w:val="24"/>
                <w:lang w:eastAsia="zh-CN"/>
              </w:rPr>
              <w:t>（</w:t>
            </w:r>
            <w:r>
              <w:rPr>
                <w:rFonts w:hint="eastAsia"/>
                <w:color w:val="FF0000"/>
                <w:sz w:val="24"/>
                <w:lang w:val="en-US" w:eastAsia="zh-CN"/>
              </w:rPr>
              <w:t>有色金属</w:t>
            </w:r>
            <w:r>
              <w:rPr>
                <w:rFonts w:hint="eastAsia"/>
                <w:color w:val="FF0000"/>
                <w:sz w:val="24"/>
                <w:lang w:eastAsia="zh-CN"/>
              </w:rPr>
              <w:t>）</w:t>
            </w:r>
            <w:r>
              <w:rPr>
                <w:color w:val="FF0000"/>
                <w:sz w:val="24"/>
              </w:rPr>
              <w:t>分离开</w:t>
            </w:r>
            <w:r>
              <w:rPr>
                <w:rFonts w:hint="default"/>
                <w:color w:val="FF0000"/>
                <w:sz w:val="24"/>
                <w:lang w:val="en-US" w:eastAsia="zh-CN"/>
              </w:rPr>
              <w:t>破碎料首先进入磁选机进行处理。在磁选机的作用下，破碎料被分离为铁金属和非铁物料两部分。​</w:t>
            </w:r>
          </w:p>
          <w:p w14:paraId="2AF0E402">
            <w:pPr>
              <w:widowControl/>
              <w:spacing w:line="360" w:lineRule="auto"/>
              <w:ind w:firstLine="480" w:firstLineChars="200"/>
              <w:jc w:val="left"/>
              <w:rPr>
                <w:color w:val="FF0000"/>
                <w:sz w:val="24"/>
              </w:rPr>
            </w:pPr>
            <w:r>
              <w:rPr>
                <w:rFonts w:hint="default"/>
                <w:color w:val="FF0000"/>
                <w:sz w:val="24"/>
                <w:lang w:val="en-US" w:eastAsia="zh-CN"/>
              </w:rPr>
              <w:t>其中，分离出的铁金属属于可回用资源，最终成为可回用钢铁（S16）。而另一部分非铁物料则被输送至涡电流分选机继续分选。经过涡电流分选机的处理，非铁物料进一步被区分为有色金属和非金属残渣。分离出的有色金属同样是可回用资源，最终形成可回用有色金属（S17）。剩下的非金属残渣因不具备再利用价值，成为其他不可利用物（S23）</w:t>
            </w:r>
            <w:r>
              <w:rPr>
                <w:color w:val="FF0000"/>
                <w:sz w:val="24"/>
              </w:rPr>
              <w:t>，从而得到成品破碎料和非铁料</w:t>
            </w:r>
            <w:r>
              <w:rPr>
                <w:color w:val="FF0000"/>
                <w:kern w:val="0"/>
                <w:sz w:val="24"/>
                <w:lang w:bidi="ar"/>
              </w:rPr>
              <w:t>。</w:t>
            </w:r>
          </w:p>
          <w:p w14:paraId="2AB596CC">
            <w:pPr>
              <w:widowControl/>
              <w:spacing w:line="360" w:lineRule="auto"/>
              <w:ind w:left="479" w:leftChars="228"/>
              <w:jc w:val="left"/>
              <w:rPr>
                <w:color w:val="000000"/>
                <w:sz w:val="24"/>
              </w:rPr>
            </w:pPr>
            <w:r>
              <w:rPr>
                <w:color w:val="000000"/>
                <w:sz w:val="24"/>
              </w:rPr>
              <w:t>（</w:t>
            </w:r>
            <w:r>
              <w:rPr>
                <w:rFonts w:hint="eastAsia"/>
                <w:color w:val="000000"/>
                <w:sz w:val="24"/>
              </w:rPr>
              <w:t>3</w:t>
            </w:r>
            <w:r>
              <w:rPr>
                <w:color w:val="000000"/>
                <w:sz w:val="24"/>
              </w:rPr>
              <w:t>）剪切</w:t>
            </w:r>
          </w:p>
          <w:p w14:paraId="66F5B081">
            <w:pPr>
              <w:widowControl/>
              <w:spacing w:line="360" w:lineRule="auto"/>
              <w:ind w:firstLine="480" w:firstLineChars="200"/>
              <w:jc w:val="left"/>
              <w:rPr>
                <w:color w:val="000000"/>
                <w:sz w:val="24"/>
              </w:rPr>
            </w:pPr>
            <w:r>
              <w:rPr>
                <w:color w:val="000000"/>
                <w:sz w:val="24"/>
              </w:rPr>
              <w:t>针对难以</w:t>
            </w:r>
            <w:r>
              <w:rPr>
                <w:rFonts w:hint="eastAsia"/>
                <w:color w:val="000000"/>
                <w:sz w:val="24"/>
              </w:rPr>
              <w:t>打包</w:t>
            </w:r>
            <w:r>
              <w:rPr>
                <w:color w:val="000000"/>
                <w:sz w:val="24"/>
              </w:rPr>
              <w:t>的少量大梁、前后桥等部件采用等剪切机进行切割。</w:t>
            </w:r>
          </w:p>
          <w:p w14:paraId="787D3F6E">
            <w:pPr>
              <w:widowControl/>
              <w:spacing w:line="360" w:lineRule="auto"/>
              <w:ind w:left="479" w:leftChars="228"/>
              <w:jc w:val="left"/>
              <w:rPr>
                <w:color w:val="000000"/>
                <w:sz w:val="24"/>
              </w:rPr>
            </w:pPr>
            <w:r>
              <w:rPr>
                <w:color w:val="000000"/>
                <w:sz w:val="24"/>
              </w:rPr>
              <w:t>（</w:t>
            </w:r>
            <w:r>
              <w:rPr>
                <w:rFonts w:hint="eastAsia"/>
                <w:color w:val="000000"/>
                <w:sz w:val="24"/>
              </w:rPr>
              <w:t>4</w:t>
            </w:r>
            <w:r>
              <w:rPr>
                <w:color w:val="000000"/>
                <w:sz w:val="24"/>
              </w:rPr>
              <w:t>）</w:t>
            </w:r>
            <w:r>
              <w:rPr>
                <w:rFonts w:hint="eastAsia"/>
                <w:color w:val="000000"/>
                <w:sz w:val="24"/>
              </w:rPr>
              <w:t>压实打包</w:t>
            </w:r>
          </w:p>
          <w:p w14:paraId="582AC0A5">
            <w:pPr>
              <w:widowControl/>
              <w:spacing w:line="360" w:lineRule="auto"/>
              <w:ind w:left="479" w:leftChars="228"/>
              <w:jc w:val="left"/>
              <w:rPr>
                <w:color w:val="000000"/>
                <w:sz w:val="24"/>
              </w:rPr>
            </w:pPr>
            <w:r>
              <w:rPr>
                <w:color w:val="000000"/>
                <w:sz w:val="24"/>
              </w:rPr>
              <w:t>机动车拆解完成后剩下的货车货箱、货车驾驶室、小轿车车身采用抓钢机、</w:t>
            </w:r>
            <w:r>
              <w:rPr>
                <w:rFonts w:hint="eastAsia"/>
                <w:color w:val="000000"/>
                <w:sz w:val="24"/>
              </w:rPr>
              <w:t>打包机</w:t>
            </w:r>
            <w:r>
              <w:rPr>
                <w:color w:val="000000"/>
                <w:sz w:val="24"/>
              </w:rPr>
              <w:t>直接进行压扁</w:t>
            </w:r>
            <w:r>
              <w:rPr>
                <w:rFonts w:hint="eastAsia"/>
                <w:color w:val="000000"/>
                <w:sz w:val="24"/>
              </w:rPr>
              <w:t>打包</w:t>
            </w:r>
            <w:r>
              <w:rPr>
                <w:color w:val="000000"/>
                <w:sz w:val="24"/>
              </w:rPr>
              <w:t>处理</w:t>
            </w:r>
            <w:r>
              <w:rPr>
                <w:rFonts w:hint="eastAsia"/>
                <w:color w:val="000000"/>
                <w:sz w:val="24"/>
              </w:rPr>
              <w:t>。此过程会有打包粉尘产生。</w:t>
            </w:r>
          </w:p>
          <w:p w14:paraId="4E08D186">
            <w:pPr>
              <w:pStyle w:val="15"/>
              <w:spacing w:line="360" w:lineRule="auto"/>
              <w:ind w:firstLine="480" w:firstLineChars="200"/>
              <w:rPr>
                <w:rFonts w:ascii="Times New Roman" w:hAnsi="Times New Roman"/>
                <w:color w:val="000000"/>
                <w:sz w:val="24"/>
                <w:szCs w:val="24"/>
              </w:rPr>
            </w:pPr>
            <w:r>
              <w:rPr>
                <w:rFonts w:hint="eastAsia" w:ascii="Times New Roman" w:hAnsi="Times New Roman"/>
                <w:color w:val="000000"/>
                <w:sz w:val="24"/>
                <w:szCs w:val="24"/>
              </w:rPr>
              <w:t>2.</w:t>
            </w:r>
            <w:r>
              <w:rPr>
                <w:rFonts w:ascii="Times New Roman" w:hAnsi="Times New Roman"/>
                <w:color w:val="000000"/>
                <w:sz w:val="24"/>
                <w:szCs w:val="24"/>
              </w:rPr>
              <w:t>橡胶破碎工艺流程</w:t>
            </w:r>
          </w:p>
          <w:p w14:paraId="21D4C69E">
            <w:pPr>
              <w:pStyle w:val="15"/>
              <w:spacing w:line="360" w:lineRule="auto"/>
              <w:rPr>
                <w:rFonts w:ascii="Times New Roman" w:hAnsi="Times New Roman"/>
                <w:color w:val="000000"/>
              </w:rPr>
            </w:pPr>
            <w:r>
              <w:rPr>
                <w:rFonts w:ascii="Times New Roman" w:hAnsi="Times New Roman"/>
                <w:color w:val="000000"/>
              </w:rPr>
              <w:drawing>
                <wp:inline distT="0" distB="0" distL="114300" distR="114300">
                  <wp:extent cx="5334635" cy="894080"/>
                  <wp:effectExtent l="0" t="0" r="18415" b="1270"/>
                  <wp:docPr id="17"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1"/>
                          <pic:cNvPicPr>
                            <a:picLocks noChangeAspect="1"/>
                          </pic:cNvPicPr>
                        </pic:nvPicPr>
                        <pic:blipFill>
                          <a:blip r:embed="rId26"/>
                          <a:stretch>
                            <a:fillRect/>
                          </a:stretch>
                        </pic:blipFill>
                        <pic:spPr>
                          <a:xfrm>
                            <a:off x="0" y="0"/>
                            <a:ext cx="5334635" cy="894080"/>
                          </a:xfrm>
                          <a:prstGeom prst="rect">
                            <a:avLst/>
                          </a:prstGeom>
                          <a:noFill/>
                          <a:ln>
                            <a:noFill/>
                          </a:ln>
                        </pic:spPr>
                      </pic:pic>
                    </a:graphicData>
                  </a:graphic>
                </wp:inline>
              </w:drawing>
            </w:r>
          </w:p>
          <w:p w14:paraId="73E75120">
            <w:pPr>
              <w:widowControl/>
              <w:spacing w:line="360" w:lineRule="auto"/>
              <w:jc w:val="center"/>
              <w:rPr>
                <w:color w:val="000000"/>
                <w:sz w:val="24"/>
              </w:rPr>
            </w:pPr>
            <w:r>
              <w:rPr>
                <w:b/>
                <w:bCs/>
                <w:color w:val="000000"/>
                <w:szCs w:val="21"/>
              </w:rPr>
              <w:t>图2-</w:t>
            </w:r>
            <w:r>
              <w:rPr>
                <w:rFonts w:hint="eastAsia"/>
                <w:b/>
                <w:bCs/>
                <w:color w:val="000000"/>
                <w:szCs w:val="21"/>
              </w:rPr>
              <w:t>9</w:t>
            </w:r>
            <w:r>
              <w:rPr>
                <w:b/>
                <w:bCs/>
                <w:color w:val="000000"/>
                <w:szCs w:val="21"/>
              </w:rPr>
              <w:t xml:space="preserve">  废橡胶破碎工艺流程及产污节点图</w:t>
            </w:r>
          </w:p>
          <w:p w14:paraId="4A4DC58D">
            <w:pPr>
              <w:widowControl/>
              <w:spacing w:line="360" w:lineRule="auto"/>
              <w:ind w:firstLine="480" w:firstLineChars="200"/>
              <w:jc w:val="left"/>
              <w:rPr>
                <w:color w:val="000000"/>
                <w:kern w:val="0"/>
                <w:sz w:val="24"/>
                <w:lang w:bidi="ar"/>
              </w:rPr>
            </w:pPr>
            <w:r>
              <w:rPr>
                <w:color w:val="000000"/>
                <w:kern w:val="0"/>
                <w:sz w:val="24"/>
                <w:lang w:bidi="ar"/>
              </w:rPr>
              <w:t>（</w:t>
            </w:r>
            <w:r>
              <w:rPr>
                <w:rFonts w:hint="eastAsia"/>
                <w:color w:val="000000"/>
                <w:kern w:val="0"/>
                <w:sz w:val="24"/>
                <w:lang w:bidi="ar"/>
              </w:rPr>
              <w:t>1</w:t>
            </w:r>
            <w:r>
              <w:rPr>
                <w:color w:val="000000"/>
                <w:kern w:val="0"/>
                <w:sz w:val="24"/>
                <w:lang w:bidi="ar"/>
              </w:rPr>
              <w:t>）汽车拆解产生的各类废塑料经人工分类后，采用人工投料方式将分类后的废塑料送入破碎机中进行破碎，破碎后的产品袋装外售。本项目在破碎过程中有粉尘产生。</w:t>
            </w:r>
          </w:p>
          <w:p w14:paraId="5BDB2938">
            <w:pPr>
              <w:widowControl/>
              <w:spacing w:line="360" w:lineRule="auto"/>
              <w:ind w:firstLine="480" w:firstLineChars="200"/>
              <w:jc w:val="left"/>
              <w:rPr>
                <w:rFonts w:hint="default" w:eastAsia="宋体"/>
                <w:color w:val="FF0000"/>
                <w:sz w:val="24"/>
                <w:lang w:val="en-US" w:eastAsia="zh-CN"/>
              </w:rPr>
            </w:pPr>
            <w:r>
              <w:rPr>
                <w:rFonts w:hint="eastAsia"/>
                <w:color w:val="FF0000"/>
                <w:sz w:val="24"/>
                <w:lang w:val="en-US" w:eastAsia="zh-CN"/>
              </w:rPr>
              <w:t>此工序产生噪声、废钢破碎粉尘G3、废钢打包粉尘G4、废橡胶破碎粉尘G5固废、污水处理站产生的恶臭G6、固废（废活性炭S11、油泥及沉渣S12、除尘灰S24、落地粉尘S25）</w:t>
            </w:r>
          </w:p>
          <w:p w14:paraId="21615A6D">
            <w:pPr>
              <w:keepNext/>
              <w:keepLines/>
              <w:spacing w:line="360" w:lineRule="auto"/>
              <w:ind w:firstLine="480" w:firstLineChars="200"/>
              <w:rPr>
                <w:color w:val="000000"/>
                <w:sz w:val="24"/>
              </w:rPr>
            </w:pPr>
          </w:p>
          <w:p w14:paraId="2954571B">
            <w:pPr>
              <w:keepNext/>
              <w:keepLines/>
              <w:spacing w:line="360" w:lineRule="auto"/>
              <w:ind w:firstLine="480" w:firstLineChars="200"/>
            </w:pPr>
            <w:r>
              <w:rPr>
                <w:color w:val="000000"/>
                <w:sz w:val="24"/>
              </w:rPr>
              <w:t>综上分析，项目运营期产污情况见下表：</w:t>
            </w:r>
          </w:p>
          <w:p w14:paraId="722C01C4">
            <w:pPr>
              <w:pStyle w:val="65"/>
              <w:spacing w:line="240" w:lineRule="auto"/>
              <w:rPr>
                <w:rFonts w:ascii="Times New Roman" w:eastAsia="宋体"/>
                <w:b/>
                <w:bCs/>
                <w:color w:val="FF0000"/>
                <w:sz w:val="21"/>
                <w:szCs w:val="16"/>
              </w:rPr>
            </w:pPr>
            <w:r>
              <w:rPr>
                <w:rFonts w:ascii="Times New Roman" w:eastAsia="宋体"/>
                <w:b/>
                <w:bCs/>
                <w:color w:val="FF0000"/>
                <w:sz w:val="21"/>
                <w:szCs w:val="16"/>
              </w:rPr>
              <w:t>表2-</w:t>
            </w:r>
            <w:r>
              <w:rPr>
                <w:rFonts w:hint="eastAsia" w:ascii="Times New Roman" w:eastAsia="宋体"/>
                <w:b/>
                <w:bCs/>
                <w:color w:val="FF0000"/>
                <w:sz w:val="21"/>
                <w:szCs w:val="16"/>
                <w:lang w:val="en-US" w:eastAsia="zh-CN"/>
              </w:rPr>
              <w:t>10</w:t>
            </w:r>
            <w:r>
              <w:rPr>
                <w:rFonts w:hint="eastAsia" w:ascii="Times New Roman" w:eastAsia="宋体"/>
                <w:b/>
                <w:bCs/>
                <w:color w:val="FF0000"/>
                <w:sz w:val="21"/>
                <w:szCs w:val="16"/>
              </w:rPr>
              <w:t xml:space="preserve">  </w:t>
            </w:r>
            <w:r>
              <w:rPr>
                <w:rFonts w:ascii="Times New Roman" w:eastAsia="宋体"/>
                <w:b/>
                <w:bCs/>
                <w:color w:val="FF0000"/>
                <w:sz w:val="21"/>
                <w:szCs w:val="16"/>
              </w:rPr>
              <w:t>污染因子一览表</w:t>
            </w:r>
          </w:p>
          <w:tbl>
            <w:tblPr>
              <w:tblStyle w:val="34"/>
              <w:tblW w:w="4998" w:type="pct"/>
              <w:jc w:val="center"/>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autofit"/>
              <w:tblCellMar>
                <w:top w:w="0" w:type="dxa"/>
                <w:left w:w="10" w:type="dxa"/>
                <w:bottom w:w="0" w:type="dxa"/>
                <w:right w:w="10" w:type="dxa"/>
              </w:tblCellMar>
            </w:tblPr>
            <w:tblGrid>
              <w:gridCol w:w="621"/>
              <w:gridCol w:w="778"/>
              <w:gridCol w:w="2623"/>
              <w:gridCol w:w="2119"/>
              <w:gridCol w:w="2289"/>
            </w:tblGrid>
            <w:tr w14:paraId="493B882B">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 w:type="dxa"/>
                  <w:bottom w:w="0" w:type="dxa"/>
                  <w:right w:w="10" w:type="dxa"/>
                </w:tblCellMar>
              </w:tblPrEx>
              <w:trPr>
                <w:trHeight w:val="23" w:hRule="atLeast"/>
                <w:jc w:val="center"/>
              </w:trPr>
              <w:tc>
                <w:tcPr>
                  <w:tcW w:w="368" w:type="pct"/>
                  <w:tcBorders>
                    <w:tl2br w:val="nil"/>
                    <w:tr2bl w:val="nil"/>
                  </w:tcBorders>
                  <w:shd w:val="clear" w:color="auto" w:fill="auto"/>
                  <w:vAlign w:val="center"/>
                </w:tcPr>
                <w:p w14:paraId="6454D9D0">
                  <w:pPr>
                    <w:pStyle w:val="128"/>
                    <w:spacing w:line="240" w:lineRule="auto"/>
                    <w:jc w:val="center"/>
                    <w:rPr>
                      <w:rFonts w:ascii="Times New Roman" w:hAnsi="Times New Roman" w:cs="Times New Roman"/>
                      <w:color w:val="FF0000"/>
                      <w:sz w:val="21"/>
                      <w:szCs w:val="21"/>
                    </w:rPr>
                  </w:pPr>
                  <w:r>
                    <w:rPr>
                      <w:rFonts w:ascii="Times New Roman" w:hAnsi="Times New Roman" w:cs="Times New Roman"/>
                      <w:b/>
                      <w:bCs/>
                      <w:color w:val="FF0000"/>
                      <w:sz w:val="21"/>
                      <w:szCs w:val="21"/>
                    </w:rPr>
                    <w:t>污染类别</w:t>
                  </w:r>
                </w:p>
              </w:tc>
              <w:tc>
                <w:tcPr>
                  <w:tcW w:w="461" w:type="pct"/>
                  <w:tcBorders>
                    <w:tl2br w:val="nil"/>
                    <w:tr2bl w:val="nil"/>
                  </w:tcBorders>
                  <w:shd w:val="clear" w:color="auto" w:fill="auto"/>
                  <w:vAlign w:val="center"/>
                </w:tcPr>
                <w:p w14:paraId="36069A07">
                  <w:pPr>
                    <w:pStyle w:val="128"/>
                    <w:spacing w:line="240" w:lineRule="auto"/>
                    <w:jc w:val="center"/>
                    <w:rPr>
                      <w:rFonts w:ascii="Times New Roman" w:hAnsi="Times New Roman" w:cs="Times New Roman"/>
                      <w:color w:val="FF0000"/>
                      <w:sz w:val="21"/>
                      <w:szCs w:val="21"/>
                    </w:rPr>
                  </w:pPr>
                  <w:r>
                    <w:rPr>
                      <w:rFonts w:ascii="Times New Roman" w:hAnsi="Times New Roman" w:cs="Times New Roman"/>
                      <w:b/>
                      <w:bCs/>
                      <w:color w:val="FF0000"/>
                      <w:sz w:val="21"/>
                      <w:szCs w:val="21"/>
                    </w:rPr>
                    <w:t>污染源编号</w:t>
                  </w:r>
                </w:p>
              </w:tc>
              <w:tc>
                <w:tcPr>
                  <w:tcW w:w="1555" w:type="pct"/>
                  <w:tcBorders>
                    <w:tl2br w:val="nil"/>
                    <w:tr2bl w:val="nil"/>
                  </w:tcBorders>
                  <w:shd w:val="clear" w:color="auto" w:fill="auto"/>
                  <w:vAlign w:val="center"/>
                </w:tcPr>
                <w:p w14:paraId="1F16388B">
                  <w:pPr>
                    <w:pStyle w:val="128"/>
                    <w:spacing w:line="240" w:lineRule="auto"/>
                    <w:jc w:val="center"/>
                    <w:rPr>
                      <w:rFonts w:ascii="Times New Roman" w:hAnsi="Times New Roman" w:cs="Times New Roman"/>
                      <w:color w:val="FF0000"/>
                      <w:sz w:val="21"/>
                      <w:szCs w:val="21"/>
                    </w:rPr>
                  </w:pPr>
                  <w:r>
                    <w:rPr>
                      <w:rFonts w:ascii="Times New Roman" w:hAnsi="Times New Roman" w:cs="Times New Roman"/>
                      <w:b/>
                      <w:bCs/>
                      <w:color w:val="FF0000"/>
                      <w:sz w:val="21"/>
                      <w:szCs w:val="21"/>
                    </w:rPr>
                    <w:t>产生工序</w:t>
                  </w:r>
                </w:p>
              </w:tc>
              <w:tc>
                <w:tcPr>
                  <w:tcW w:w="1256" w:type="pct"/>
                  <w:tcBorders>
                    <w:tl2br w:val="nil"/>
                    <w:tr2bl w:val="nil"/>
                  </w:tcBorders>
                  <w:shd w:val="clear" w:color="auto" w:fill="auto"/>
                  <w:vAlign w:val="center"/>
                </w:tcPr>
                <w:p w14:paraId="1E410154">
                  <w:pPr>
                    <w:pStyle w:val="128"/>
                    <w:spacing w:line="240" w:lineRule="auto"/>
                    <w:jc w:val="center"/>
                    <w:rPr>
                      <w:rFonts w:ascii="Times New Roman" w:hAnsi="Times New Roman" w:cs="Times New Roman"/>
                      <w:color w:val="FF0000"/>
                      <w:sz w:val="21"/>
                      <w:szCs w:val="21"/>
                    </w:rPr>
                  </w:pPr>
                  <w:r>
                    <w:rPr>
                      <w:rFonts w:ascii="Times New Roman" w:hAnsi="Times New Roman" w:cs="Times New Roman"/>
                      <w:b/>
                      <w:bCs/>
                      <w:color w:val="FF0000"/>
                      <w:sz w:val="21"/>
                      <w:szCs w:val="21"/>
                    </w:rPr>
                    <w:t>主要污染因子</w:t>
                  </w:r>
                </w:p>
              </w:tc>
              <w:tc>
                <w:tcPr>
                  <w:tcW w:w="1357" w:type="pct"/>
                  <w:tcBorders>
                    <w:tl2br w:val="nil"/>
                    <w:tr2bl w:val="nil"/>
                  </w:tcBorders>
                  <w:shd w:val="clear" w:color="auto" w:fill="auto"/>
                  <w:vAlign w:val="center"/>
                </w:tcPr>
                <w:p w14:paraId="52827139">
                  <w:pPr>
                    <w:pStyle w:val="128"/>
                    <w:spacing w:line="240" w:lineRule="auto"/>
                    <w:jc w:val="center"/>
                    <w:rPr>
                      <w:rFonts w:ascii="Times New Roman" w:hAnsi="Times New Roman" w:cs="Times New Roman"/>
                      <w:color w:val="FF0000"/>
                      <w:sz w:val="21"/>
                      <w:szCs w:val="21"/>
                      <w:lang w:val="en-US" w:eastAsia="zh-CN"/>
                    </w:rPr>
                  </w:pPr>
                  <w:r>
                    <w:rPr>
                      <w:rFonts w:hint="eastAsia" w:ascii="Times New Roman" w:hAnsi="Times New Roman" w:cs="Times New Roman"/>
                      <w:b/>
                      <w:bCs/>
                      <w:color w:val="FF0000"/>
                      <w:sz w:val="21"/>
                      <w:szCs w:val="21"/>
                      <w:lang w:val="en-US" w:eastAsia="zh-CN"/>
                    </w:rPr>
                    <w:t>防止措施</w:t>
                  </w:r>
                </w:p>
              </w:tc>
            </w:tr>
            <w:tr w14:paraId="56F0CAEB">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 w:type="dxa"/>
                  <w:bottom w:w="0" w:type="dxa"/>
                  <w:right w:w="10" w:type="dxa"/>
                </w:tblCellMar>
              </w:tblPrEx>
              <w:trPr>
                <w:trHeight w:val="23" w:hRule="atLeast"/>
                <w:jc w:val="center"/>
              </w:trPr>
              <w:tc>
                <w:tcPr>
                  <w:tcW w:w="368" w:type="pct"/>
                  <w:vMerge w:val="restart"/>
                  <w:tcBorders>
                    <w:tl2br w:val="nil"/>
                    <w:tr2bl w:val="nil"/>
                  </w:tcBorders>
                  <w:shd w:val="clear" w:color="auto" w:fill="auto"/>
                  <w:vAlign w:val="center"/>
                </w:tcPr>
                <w:p w14:paraId="5600AC14">
                  <w:pPr>
                    <w:pStyle w:val="128"/>
                    <w:spacing w:line="240" w:lineRule="auto"/>
                    <w:jc w:val="center"/>
                    <w:rPr>
                      <w:rFonts w:ascii="Times New Roman" w:hAnsi="Times New Roman" w:cs="Times New Roman"/>
                      <w:color w:val="FF0000"/>
                      <w:sz w:val="21"/>
                      <w:szCs w:val="21"/>
                    </w:rPr>
                  </w:pPr>
                  <w:r>
                    <w:rPr>
                      <w:rFonts w:ascii="Times New Roman" w:hAnsi="Times New Roman" w:cs="Times New Roman"/>
                      <w:color w:val="FF0000"/>
                      <w:sz w:val="21"/>
                      <w:szCs w:val="21"/>
                    </w:rPr>
                    <w:t>废气</w:t>
                  </w:r>
                </w:p>
              </w:tc>
              <w:tc>
                <w:tcPr>
                  <w:tcW w:w="461" w:type="pct"/>
                  <w:tcBorders>
                    <w:tl2br w:val="nil"/>
                    <w:tr2bl w:val="nil"/>
                  </w:tcBorders>
                  <w:shd w:val="clear" w:color="auto" w:fill="auto"/>
                  <w:vAlign w:val="center"/>
                </w:tcPr>
                <w:p w14:paraId="49434F70">
                  <w:pPr>
                    <w:pStyle w:val="128"/>
                    <w:spacing w:line="240" w:lineRule="auto"/>
                    <w:jc w:val="center"/>
                    <w:rPr>
                      <w:rFonts w:ascii="Times New Roman" w:hAnsi="Times New Roman" w:cs="Times New Roman"/>
                      <w:color w:val="FF0000"/>
                      <w:sz w:val="21"/>
                      <w:szCs w:val="21"/>
                    </w:rPr>
                  </w:pPr>
                  <w:r>
                    <w:rPr>
                      <w:rFonts w:ascii="Times New Roman" w:hAnsi="Times New Roman" w:cs="Times New Roman"/>
                      <w:color w:val="FF0000"/>
                      <w:sz w:val="21"/>
                      <w:szCs w:val="21"/>
                      <w:lang w:val="en-US" w:eastAsia="en-US" w:bidi="en-US"/>
                    </w:rPr>
                    <w:t>G1</w:t>
                  </w:r>
                </w:p>
              </w:tc>
              <w:tc>
                <w:tcPr>
                  <w:tcW w:w="1555" w:type="pct"/>
                  <w:tcBorders>
                    <w:tl2br w:val="nil"/>
                    <w:tr2bl w:val="nil"/>
                  </w:tcBorders>
                  <w:shd w:val="clear" w:color="auto" w:fill="auto"/>
                  <w:vAlign w:val="center"/>
                </w:tcPr>
                <w:p w14:paraId="253DF2FF">
                  <w:pPr>
                    <w:pStyle w:val="128"/>
                    <w:spacing w:line="240" w:lineRule="auto"/>
                    <w:jc w:val="center"/>
                    <w:rPr>
                      <w:rFonts w:ascii="Times New Roman" w:hAnsi="Times New Roman" w:cs="Times New Roman"/>
                      <w:color w:val="FF0000"/>
                      <w:sz w:val="21"/>
                      <w:szCs w:val="21"/>
                    </w:rPr>
                  </w:pPr>
                  <w:r>
                    <w:rPr>
                      <w:rFonts w:ascii="Times New Roman" w:hAnsi="Times New Roman" w:cs="Times New Roman"/>
                      <w:color w:val="FF0000"/>
                      <w:kern w:val="0"/>
                      <w:sz w:val="21"/>
                      <w:szCs w:val="21"/>
                      <w:lang w:val="en-US" w:eastAsia="zh-CN" w:bidi="ar"/>
                    </w:rPr>
                    <w:t>废油液收集废气</w:t>
                  </w:r>
                </w:p>
              </w:tc>
              <w:tc>
                <w:tcPr>
                  <w:tcW w:w="1256" w:type="pct"/>
                  <w:tcBorders>
                    <w:tl2br w:val="nil"/>
                    <w:tr2bl w:val="nil"/>
                  </w:tcBorders>
                  <w:shd w:val="clear" w:color="auto" w:fill="auto"/>
                  <w:vAlign w:val="center"/>
                </w:tcPr>
                <w:p w14:paraId="67F85D2A">
                  <w:pPr>
                    <w:pStyle w:val="128"/>
                    <w:spacing w:line="240" w:lineRule="auto"/>
                    <w:jc w:val="center"/>
                    <w:rPr>
                      <w:rFonts w:ascii="Times New Roman" w:hAnsi="Times New Roman" w:cs="Times New Roman"/>
                      <w:color w:val="FF0000"/>
                      <w:sz w:val="21"/>
                      <w:szCs w:val="21"/>
                    </w:rPr>
                  </w:pPr>
                  <w:r>
                    <w:rPr>
                      <w:rFonts w:ascii="Times New Roman" w:hAnsi="Times New Roman" w:cs="Times New Roman"/>
                      <w:color w:val="FF0000"/>
                      <w:sz w:val="21"/>
                      <w:szCs w:val="21"/>
                    </w:rPr>
                    <w:t>有机废气（以非甲烷总烃计）</w:t>
                  </w:r>
                </w:p>
              </w:tc>
              <w:tc>
                <w:tcPr>
                  <w:tcW w:w="1357" w:type="pct"/>
                  <w:vMerge w:val="restart"/>
                  <w:tcBorders>
                    <w:tl2br w:val="nil"/>
                    <w:tr2bl w:val="nil"/>
                  </w:tcBorders>
                  <w:shd w:val="clear" w:color="auto" w:fill="auto"/>
                  <w:vAlign w:val="center"/>
                </w:tcPr>
                <w:p w14:paraId="3E54AF81">
                  <w:pPr>
                    <w:pStyle w:val="128"/>
                    <w:spacing w:line="240" w:lineRule="auto"/>
                    <w:jc w:val="center"/>
                    <w:rPr>
                      <w:rFonts w:ascii="Times New Roman" w:hAnsi="Times New Roman" w:cs="Times New Roman"/>
                      <w:color w:val="FF0000"/>
                      <w:sz w:val="21"/>
                      <w:szCs w:val="21"/>
                      <w:lang w:val="en-US" w:eastAsia="zh-CN"/>
                    </w:rPr>
                  </w:pPr>
                  <w:r>
                    <w:rPr>
                      <w:rFonts w:hint="eastAsia" w:ascii="Times New Roman" w:hAnsi="Times New Roman" w:cs="Times New Roman"/>
                      <w:color w:val="FF0000"/>
                      <w:kern w:val="0"/>
                      <w:sz w:val="21"/>
                      <w:szCs w:val="21"/>
                      <w:lang w:val="en-US" w:eastAsia="zh-CN" w:bidi="ar"/>
                    </w:rPr>
                    <w:t>集气罩80%+二级活性炭吸附80%（TA001）+26m排气筒DA001</w:t>
                  </w:r>
                </w:p>
              </w:tc>
            </w:tr>
            <w:tr w14:paraId="425C5605">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 w:type="dxa"/>
                  <w:bottom w:w="0" w:type="dxa"/>
                  <w:right w:w="10" w:type="dxa"/>
                </w:tblCellMar>
              </w:tblPrEx>
              <w:trPr>
                <w:trHeight w:val="23" w:hRule="atLeast"/>
                <w:jc w:val="center"/>
              </w:trPr>
              <w:tc>
                <w:tcPr>
                  <w:tcW w:w="368" w:type="pct"/>
                  <w:vMerge w:val="continue"/>
                  <w:tcBorders>
                    <w:tl2br w:val="nil"/>
                    <w:tr2bl w:val="nil"/>
                  </w:tcBorders>
                  <w:shd w:val="clear" w:color="auto" w:fill="auto"/>
                  <w:vAlign w:val="center"/>
                </w:tcPr>
                <w:p w14:paraId="56B98751">
                  <w:pPr>
                    <w:spacing w:line="240" w:lineRule="auto"/>
                    <w:jc w:val="center"/>
                    <w:rPr>
                      <w:color w:val="FF0000"/>
                      <w:szCs w:val="21"/>
                    </w:rPr>
                  </w:pPr>
                </w:p>
              </w:tc>
              <w:tc>
                <w:tcPr>
                  <w:tcW w:w="461" w:type="pct"/>
                  <w:tcBorders>
                    <w:tl2br w:val="nil"/>
                    <w:tr2bl w:val="nil"/>
                  </w:tcBorders>
                  <w:shd w:val="clear" w:color="auto" w:fill="auto"/>
                  <w:vAlign w:val="center"/>
                </w:tcPr>
                <w:p w14:paraId="05E05682">
                  <w:pPr>
                    <w:pStyle w:val="128"/>
                    <w:spacing w:line="240" w:lineRule="auto"/>
                    <w:jc w:val="center"/>
                    <w:rPr>
                      <w:rFonts w:ascii="Times New Roman" w:hAnsi="Times New Roman" w:cs="Times New Roman"/>
                      <w:color w:val="FF0000"/>
                      <w:sz w:val="21"/>
                      <w:szCs w:val="21"/>
                    </w:rPr>
                  </w:pPr>
                  <w:r>
                    <w:rPr>
                      <w:rFonts w:ascii="Times New Roman" w:hAnsi="Times New Roman" w:cs="Times New Roman"/>
                      <w:color w:val="FF0000"/>
                      <w:sz w:val="21"/>
                      <w:szCs w:val="21"/>
                      <w:lang w:val="en-US" w:eastAsia="en-US" w:bidi="en-US"/>
                    </w:rPr>
                    <w:t>G2</w:t>
                  </w:r>
                </w:p>
              </w:tc>
              <w:tc>
                <w:tcPr>
                  <w:tcW w:w="1555" w:type="pct"/>
                  <w:tcBorders>
                    <w:tl2br w:val="nil"/>
                    <w:tr2bl w:val="nil"/>
                  </w:tcBorders>
                  <w:shd w:val="clear" w:color="auto" w:fill="auto"/>
                  <w:vAlign w:val="center"/>
                </w:tcPr>
                <w:p w14:paraId="39F9824B">
                  <w:pPr>
                    <w:pStyle w:val="128"/>
                    <w:spacing w:line="240" w:lineRule="auto"/>
                    <w:jc w:val="center"/>
                    <w:rPr>
                      <w:rFonts w:ascii="Times New Roman" w:hAnsi="Times New Roman" w:cs="Times New Roman"/>
                      <w:color w:val="FF0000"/>
                      <w:sz w:val="21"/>
                      <w:szCs w:val="21"/>
                    </w:rPr>
                  </w:pPr>
                  <w:r>
                    <w:rPr>
                      <w:rFonts w:ascii="Times New Roman" w:hAnsi="Times New Roman" w:cs="Times New Roman"/>
                      <w:color w:val="FF0000"/>
                      <w:kern w:val="0"/>
                      <w:sz w:val="21"/>
                      <w:szCs w:val="21"/>
                      <w:lang w:val="en-US" w:eastAsia="zh-CN" w:bidi="ar"/>
                    </w:rPr>
                    <w:t>制冷剂收集废气</w:t>
                  </w:r>
                </w:p>
              </w:tc>
              <w:tc>
                <w:tcPr>
                  <w:tcW w:w="1256" w:type="pct"/>
                  <w:tcBorders>
                    <w:tl2br w:val="nil"/>
                    <w:tr2bl w:val="nil"/>
                  </w:tcBorders>
                  <w:shd w:val="clear" w:color="auto" w:fill="auto"/>
                  <w:vAlign w:val="center"/>
                </w:tcPr>
                <w:p w14:paraId="18513CF4">
                  <w:pPr>
                    <w:pStyle w:val="128"/>
                    <w:spacing w:line="240" w:lineRule="auto"/>
                    <w:jc w:val="center"/>
                    <w:rPr>
                      <w:rFonts w:ascii="Times New Roman" w:hAnsi="Times New Roman" w:cs="Times New Roman"/>
                      <w:color w:val="FF0000"/>
                      <w:sz w:val="21"/>
                      <w:szCs w:val="21"/>
                    </w:rPr>
                  </w:pPr>
                  <w:r>
                    <w:rPr>
                      <w:rFonts w:hint="eastAsia" w:ascii="Times New Roman" w:hAnsi="Times New Roman" w:cs="Times New Roman"/>
                      <w:color w:val="FF0000"/>
                      <w:sz w:val="21"/>
                      <w:szCs w:val="21"/>
                      <w:lang w:val="en-US" w:eastAsia="zh-CN"/>
                    </w:rPr>
                    <w:t>氟利昂</w:t>
                  </w:r>
                  <w:r>
                    <w:rPr>
                      <w:rFonts w:ascii="Times New Roman" w:hAnsi="Times New Roman" w:cs="Times New Roman"/>
                      <w:color w:val="FF0000"/>
                      <w:sz w:val="21"/>
                      <w:szCs w:val="21"/>
                    </w:rPr>
                    <w:t>（以非甲烷总烃计）</w:t>
                  </w:r>
                </w:p>
              </w:tc>
              <w:tc>
                <w:tcPr>
                  <w:tcW w:w="1357" w:type="pct"/>
                  <w:vMerge w:val="continue"/>
                  <w:tcBorders>
                    <w:tl2br w:val="nil"/>
                    <w:tr2bl w:val="nil"/>
                  </w:tcBorders>
                  <w:shd w:val="clear" w:color="auto" w:fill="auto"/>
                  <w:vAlign w:val="center"/>
                </w:tcPr>
                <w:p w14:paraId="2F6F6550">
                  <w:pPr>
                    <w:pStyle w:val="128"/>
                    <w:spacing w:line="240" w:lineRule="auto"/>
                    <w:jc w:val="center"/>
                    <w:rPr>
                      <w:rFonts w:ascii="Times New Roman" w:hAnsi="Times New Roman" w:cs="Times New Roman"/>
                      <w:color w:val="FF0000"/>
                      <w:sz w:val="21"/>
                      <w:szCs w:val="21"/>
                      <w:lang w:val="en-US" w:eastAsia="zh-CN"/>
                    </w:rPr>
                  </w:pPr>
                </w:p>
              </w:tc>
            </w:tr>
            <w:tr w14:paraId="7556C3E7">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 w:type="dxa"/>
                  <w:bottom w:w="0" w:type="dxa"/>
                  <w:right w:w="10" w:type="dxa"/>
                </w:tblCellMar>
              </w:tblPrEx>
              <w:trPr>
                <w:trHeight w:val="23" w:hRule="atLeast"/>
                <w:jc w:val="center"/>
              </w:trPr>
              <w:tc>
                <w:tcPr>
                  <w:tcW w:w="368" w:type="pct"/>
                  <w:vMerge w:val="continue"/>
                  <w:tcBorders>
                    <w:tl2br w:val="nil"/>
                    <w:tr2bl w:val="nil"/>
                  </w:tcBorders>
                  <w:shd w:val="clear" w:color="auto" w:fill="auto"/>
                  <w:vAlign w:val="center"/>
                </w:tcPr>
                <w:p w14:paraId="3C801181">
                  <w:pPr>
                    <w:spacing w:line="240" w:lineRule="auto"/>
                    <w:jc w:val="center"/>
                    <w:rPr>
                      <w:color w:val="FF0000"/>
                      <w:szCs w:val="21"/>
                    </w:rPr>
                  </w:pPr>
                </w:p>
              </w:tc>
              <w:tc>
                <w:tcPr>
                  <w:tcW w:w="461" w:type="pct"/>
                  <w:tcBorders>
                    <w:tl2br w:val="nil"/>
                    <w:tr2bl w:val="nil"/>
                  </w:tcBorders>
                  <w:shd w:val="clear" w:color="auto" w:fill="auto"/>
                  <w:vAlign w:val="center"/>
                </w:tcPr>
                <w:p w14:paraId="0E513D1E">
                  <w:pPr>
                    <w:pStyle w:val="128"/>
                    <w:spacing w:line="240" w:lineRule="auto"/>
                    <w:jc w:val="center"/>
                    <w:rPr>
                      <w:rFonts w:ascii="Times New Roman" w:hAnsi="Times New Roman" w:cs="Times New Roman"/>
                      <w:color w:val="FF0000"/>
                      <w:sz w:val="21"/>
                      <w:szCs w:val="21"/>
                    </w:rPr>
                  </w:pPr>
                  <w:r>
                    <w:rPr>
                      <w:rFonts w:ascii="Times New Roman" w:hAnsi="Times New Roman" w:cs="Times New Roman"/>
                      <w:color w:val="FF0000"/>
                      <w:sz w:val="21"/>
                      <w:szCs w:val="21"/>
                      <w:lang w:val="en-US" w:eastAsia="en-US" w:bidi="en-US"/>
                    </w:rPr>
                    <w:t>G3</w:t>
                  </w:r>
                </w:p>
              </w:tc>
              <w:tc>
                <w:tcPr>
                  <w:tcW w:w="1555" w:type="pct"/>
                  <w:tcBorders>
                    <w:tl2br w:val="nil"/>
                    <w:tr2bl w:val="nil"/>
                  </w:tcBorders>
                  <w:shd w:val="clear" w:color="auto" w:fill="auto"/>
                  <w:vAlign w:val="center"/>
                </w:tcPr>
                <w:p w14:paraId="10E7A4E2">
                  <w:pPr>
                    <w:pStyle w:val="128"/>
                    <w:spacing w:line="240" w:lineRule="auto"/>
                    <w:jc w:val="center"/>
                    <w:rPr>
                      <w:rFonts w:ascii="Times New Roman" w:hAnsi="Times New Roman" w:cs="Times New Roman"/>
                      <w:color w:val="FF0000"/>
                      <w:sz w:val="21"/>
                      <w:szCs w:val="21"/>
                      <w:lang w:val="en-US" w:eastAsia="zh-CN"/>
                    </w:rPr>
                  </w:pPr>
                  <w:r>
                    <w:rPr>
                      <w:rFonts w:hint="eastAsia" w:ascii="Times New Roman" w:hAnsi="Times New Roman" w:cs="Times New Roman"/>
                      <w:color w:val="FF0000"/>
                      <w:kern w:val="0"/>
                      <w:sz w:val="21"/>
                      <w:szCs w:val="21"/>
                      <w:lang w:val="en-US" w:eastAsia="zh-CN" w:bidi="ar"/>
                    </w:rPr>
                    <w:t>废钢破碎粉尘</w:t>
                  </w:r>
                </w:p>
              </w:tc>
              <w:tc>
                <w:tcPr>
                  <w:tcW w:w="1256" w:type="pct"/>
                  <w:tcBorders>
                    <w:tl2br w:val="nil"/>
                    <w:tr2bl w:val="nil"/>
                  </w:tcBorders>
                  <w:shd w:val="clear" w:color="auto" w:fill="auto"/>
                  <w:vAlign w:val="center"/>
                </w:tcPr>
                <w:p w14:paraId="73F30CCD">
                  <w:pPr>
                    <w:pStyle w:val="128"/>
                    <w:spacing w:line="240" w:lineRule="auto"/>
                    <w:jc w:val="center"/>
                    <w:rPr>
                      <w:rFonts w:ascii="Times New Roman" w:hAnsi="Times New Roman" w:cs="Times New Roman"/>
                      <w:color w:val="FF0000"/>
                      <w:sz w:val="21"/>
                      <w:szCs w:val="21"/>
                    </w:rPr>
                  </w:pPr>
                  <w:r>
                    <w:rPr>
                      <w:rFonts w:ascii="Times New Roman" w:hAnsi="Times New Roman" w:cs="Times New Roman"/>
                      <w:color w:val="FF0000"/>
                      <w:sz w:val="21"/>
                      <w:szCs w:val="21"/>
                    </w:rPr>
                    <w:t>颗粒物</w:t>
                  </w:r>
                </w:p>
              </w:tc>
              <w:tc>
                <w:tcPr>
                  <w:tcW w:w="1357" w:type="pct"/>
                  <w:vMerge w:val="restart"/>
                  <w:tcBorders>
                    <w:tl2br w:val="nil"/>
                    <w:tr2bl w:val="nil"/>
                  </w:tcBorders>
                  <w:shd w:val="clear" w:color="auto" w:fill="auto"/>
                  <w:vAlign w:val="center"/>
                </w:tcPr>
                <w:p w14:paraId="6596FEA2">
                  <w:pPr>
                    <w:pStyle w:val="128"/>
                    <w:spacing w:line="240" w:lineRule="auto"/>
                    <w:jc w:val="center"/>
                    <w:rPr>
                      <w:rFonts w:ascii="Times New Roman" w:hAnsi="Times New Roman" w:cs="Times New Roman"/>
                      <w:color w:val="FF0000"/>
                      <w:sz w:val="21"/>
                      <w:szCs w:val="21"/>
                    </w:rPr>
                  </w:pPr>
                  <w:r>
                    <w:rPr>
                      <w:rFonts w:hint="eastAsia" w:ascii="Times New Roman" w:hAnsi="Times New Roman" w:cs="Times New Roman"/>
                      <w:color w:val="FF0000"/>
                      <w:sz w:val="21"/>
                      <w:szCs w:val="21"/>
                      <w:lang w:eastAsia="zh-CN"/>
                    </w:rPr>
                    <w:t>集气罩80%</w:t>
                  </w:r>
                  <w:r>
                    <w:rPr>
                      <w:rFonts w:ascii="Times New Roman" w:hAnsi="Times New Roman" w:cs="Times New Roman"/>
                      <w:color w:val="FF0000"/>
                      <w:sz w:val="21"/>
                      <w:szCs w:val="21"/>
                    </w:rPr>
                    <w:t>+袋式除尘器99%（TA002）+</w:t>
                  </w:r>
                  <w:r>
                    <w:rPr>
                      <w:rFonts w:hint="eastAsia" w:ascii="Times New Roman" w:hAnsi="Times New Roman" w:cs="Times New Roman"/>
                      <w:color w:val="FF0000"/>
                      <w:sz w:val="21"/>
                      <w:szCs w:val="21"/>
                      <w:lang w:eastAsia="zh-CN"/>
                    </w:rPr>
                    <w:t>26m排气筒</w:t>
                  </w:r>
                  <w:r>
                    <w:rPr>
                      <w:rFonts w:ascii="Times New Roman" w:hAnsi="Times New Roman" w:cs="Times New Roman"/>
                      <w:color w:val="FF0000"/>
                      <w:sz w:val="21"/>
                      <w:szCs w:val="21"/>
                    </w:rPr>
                    <w:t>（DA002）</w:t>
                  </w:r>
                </w:p>
              </w:tc>
            </w:tr>
            <w:tr w14:paraId="78C81772">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 w:type="dxa"/>
                  <w:bottom w:w="0" w:type="dxa"/>
                  <w:right w:w="10" w:type="dxa"/>
                </w:tblCellMar>
              </w:tblPrEx>
              <w:trPr>
                <w:trHeight w:val="23" w:hRule="atLeast"/>
                <w:jc w:val="center"/>
              </w:trPr>
              <w:tc>
                <w:tcPr>
                  <w:tcW w:w="368" w:type="pct"/>
                  <w:vMerge w:val="continue"/>
                  <w:tcBorders>
                    <w:tl2br w:val="nil"/>
                    <w:tr2bl w:val="nil"/>
                  </w:tcBorders>
                  <w:shd w:val="clear" w:color="auto" w:fill="auto"/>
                  <w:vAlign w:val="center"/>
                </w:tcPr>
                <w:p w14:paraId="32BA69AF">
                  <w:pPr>
                    <w:spacing w:line="240" w:lineRule="auto"/>
                    <w:jc w:val="center"/>
                    <w:rPr>
                      <w:color w:val="FF0000"/>
                      <w:szCs w:val="21"/>
                    </w:rPr>
                  </w:pPr>
                </w:p>
              </w:tc>
              <w:tc>
                <w:tcPr>
                  <w:tcW w:w="461" w:type="pct"/>
                  <w:tcBorders>
                    <w:tl2br w:val="nil"/>
                    <w:tr2bl w:val="nil"/>
                  </w:tcBorders>
                  <w:shd w:val="clear" w:color="auto" w:fill="auto"/>
                  <w:vAlign w:val="center"/>
                </w:tcPr>
                <w:p w14:paraId="5F707CFB">
                  <w:pPr>
                    <w:pStyle w:val="128"/>
                    <w:spacing w:line="240" w:lineRule="auto"/>
                    <w:jc w:val="center"/>
                    <w:rPr>
                      <w:rFonts w:ascii="Times New Roman" w:hAnsi="Times New Roman" w:cs="Times New Roman"/>
                      <w:color w:val="FF0000"/>
                      <w:sz w:val="21"/>
                      <w:szCs w:val="21"/>
                    </w:rPr>
                  </w:pPr>
                  <w:r>
                    <w:rPr>
                      <w:rFonts w:ascii="Times New Roman" w:hAnsi="Times New Roman" w:cs="Times New Roman"/>
                      <w:color w:val="FF0000"/>
                      <w:sz w:val="21"/>
                      <w:szCs w:val="21"/>
                      <w:lang w:val="en-US" w:eastAsia="en-US" w:bidi="en-US"/>
                    </w:rPr>
                    <w:t>G4</w:t>
                  </w:r>
                </w:p>
              </w:tc>
              <w:tc>
                <w:tcPr>
                  <w:tcW w:w="1555" w:type="pct"/>
                  <w:tcBorders>
                    <w:tl2br w:val="nil"/>
                    <w:tr2bl w:val="nil"/>
                  </w:tcBorders>
                  <w:shd w:val="clear" w:color="auto" w:fill="auto"/>
                  <w:vAlign w:val="center"/>
                </w:tcPr>
                <w:p w14:paraId="3604B04A">
                  <w:pPr>
                    <w:pStyle w:val="128"/>
                    <w:spacing w:line="240" w:lineRule="auto"/>
                    <w:jc w:val="center"/>
                    <w:rPr>
                      <w:rFonts w:ascii="Times New Roman" w:hAnsi="Times New Roman" w:cs="Times New Roman"/>
                      <w:color w:val="FF0000"/>
                      <w:sz w:val="21"/>
                      <w:szCs w:val="21"/>
                    </w:rPr>
                  </w:pPr>
                  <w:r>
                    <w:rPr>
                      <w:rFonts w:hint="eastAsia" w:ascii="Times New Roman" w:hAnsi="Times New Roman" w:cs="Times New Roman"/>
                      <w:color w:val="FF0000"/>
                      <w:kern w:val="0"/>
                      <w:sz w:val="21"/>
                      <w:szCs w:val="21"/>
                      <w:lang w:val="en-US" w:eastAsia="zh-CN" w:bidi="ar"/>
                    </w:rPr>
                    <w:t>废钢打包粉尘</w:t>
                  </w:r>
                </w:p>
              </w:tc>
              <w:tc>
                <w:tcPr>
                  <w:tcW w:w="1256" w:type="pct"/>
                  <w:tcBorders>
                    <w:tl2br w:val="nil"/>
                    <w:tr2bl w:val="nil"/>
                  </w:tcBorders>
                  <w:shd w:val="clear" w:color="auto" w:fill="auto"/>
                  <w:vAlign w:val="center"/>
                </w:tcPr>
                <w:p w14:paraId="2C1098DA">
                  <w:pPr>
                    <w:pStyle w:val="128"/>
                    <w:spacing w:line="240" w:lineRule="auto"/>
                    <w:jc w:val="center"/>
                    <w:rPr>
                      <w:rFonts w:ascii="Times New Roman" w:hAnsi="Times New Roman" w:cs="Times New Roman"/>
                      <w:color w:val="FF0000"/>
                      <w:sz w:val="21"/>
                      <w:szCs w:val="21"/>
                    </w:rPr>
                  </w:pPr>
                  <w:r>
                    <w:rPr>
                      <w:rFonts w:ascii="Times New Roman" w:hAnsi="Times New Roman" w:cs="Times New Roman"/>
                      <w:color w:val="FF0000"/>
                      <w:sz w:val="21"/>
                      <w:szCs w:val="21"/>
                    </w:rPr>
                    <w:t>颗粒物</w:t>
                  </w:r>
                </w:p>
              </w:tc>
              <w:tc>
                <w:tcPr>
                  <w:tcW w:w="1357" w:type="pct"/>
                  <w:vMerge w:val="continue"/>
                  <w:tcBorders>
                    <w:tl2br w:val="nil"/>
                    <w:tr2bl w:val="nil"/>
                  </w:tcBorders>
                  <w:shd w:val="clear" w:color="auto" w:fill="auto"/>
                  <w:vAlign w:val="center"/>
                </w:tcPr>
                <w:p w14:paraId="3C74D25B">
                  <w:pPr>
                    <w:pStyle w:val="128"/>
                    <w:spacing w:line="240" w:lineRule="auto"/>
                    <w:jc w:val="center"/>
                    <w:rPr>
                      <w:rFonts w:ascii="Times New Roman" w:hAnsi="Times New Roman" w:cs="Times New Roman"/>
                      <w:color w:val="FF0000"/>
                      <w:sz w:val="21"/>
                      <w:szCs w:val="21"/>
                    </w:rPr>
                  </w:pPr>
                </w:p>
              </w:tc>
            </w:tr>
            <w:tr w14:paraId="0FA115AD">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 w:type="dxa"/>
                  <w:bottom w:w="0" w:type="dxa"/>
                  <w:right w:w="10" w:type="dxa"/>
                </w:tblCellMar>
              </w:tblPrEx>
              <w:trPr>
                <w:trHeight w:val="23" w:hRule="atLeast"/>
                <w:jc w:val="center"/>
              </w:trPr>
              <w:tc>
                <w:tcPr>
                  <w:tcW w:w="368" w:type="pct"/>
                  <w:vMerge w:val="continue"/>
                  <w:tcBorders>
                    <w:tl2br w:val="nil"/>
                    <w:tr2bl w:val="nil"/>
                  </w:tcBorders>
                  <w:shd w:val="clear" w:color="auto" w:fill="auto"/>
                  <w:vAlign w:val="center"/>
                </w:tcPr>
                <w:p w14:paraId="4D8492CC">
                  <w:pPr>
                    <w:spacing w:line="240" w:lineRule="auto"/>
                    <w:jc w:val="center"/>
                    <w:rPr>
                      <w:color w:val="FF0000"/>
                      <w:szCs w:val="21"/>
                    </w:rPr>
                  </w:pPr>
                </w:p>
              </w:tc>
              <w:tc>
                <w:tcPr>
                  <w:tcW w:w="461" w:type="pct"/>
                  <w:tcBorders>
                    <w:tl2br w:val="nil"/>
                    <w:tr2bl w:val="nil"/>
                  </w:tcBorders>
                  <w:shd w:val="clear" w:color="auto" w:fill="auto"/>
                  <w:vAlign w:val="center"/>
                </w:tcPr>
                <w:p w14:paraId="24F04D59">
                  <w:pPr>
                    <w:pStyle w:val="128"/>
                    <w:spacing w:line="240" w:lineRule="auto"/>
                    <w:jc w:val="center"/>
                    <w:rPr>
                      <w:rFonts w:ascii="Times New Roman" w:hAnsi="Times New Roman" w:cs="Times New Roman"/>
                      <w:color w:val="FF0000"/>
                      <w:sz w:val="21"/>
                      <w:szCs w:val="21"/>
                    </w:rPr>
                  </w:pPr>
                  <w:r>
                    <w:rPr>
                      <w:rFonts w:ascii="Times New Roman" w:hAnsi="Times New Roman" w:cs="Times New Roman"/>
                      <w:color w:val="FF0000"/>
                      <w:sz w:val="21"/>
                      <w:szCs w:val="21"/>
                      <w:lang w:val="en-US" w:eastAsia="en-US" w:bidi="en-US"/>
                    </w:rPr>
                    <w:t>G5</w:t>
                  </w:r>
                </w:p>
              </w:tc>
              <w:tc>
                <w:tcPr>
                  <w:tcW w:w="1555" w:type="pct"/>
                  <w:tcBorders>
                    <w:tl2br w:val="nil"/>
                    <w:tr2bl w:val="nil"/>
                  </w:tcBorders>
                  <w:shd w:val="clear" w:color="auto" w:fill="auto"/>
                  <w:vAlign w:val="center"/>
                </w:tcPr>
                <w:p w14:paraId="49DB6FB3">
                  <w:pPr>
                    <w:pStyle w:val="128"/>
                    <w:spacing w:line="240" w:lineRule="auto"/>
                    <w:jc w:val="center"/>
                    <w:rPr>
                      <w:rFonts w:ascii="Times New Roman" w:hAnsi="Times New Roman" w:cs="Times New Roman"/>
                      <w:color w:val="FF0000"/>
                      <w:sz w:val="21"/>
                      <w:szCs w:val="21"/>
                    </w:rPr>
                  </w:pPr>
                  <w:r>
                    <w:rPr>
                      <w:rFonts w:hint="eastAsia" w:ascii="Times New Roman" w:hAnsi="Times New Roman" w:cs="Times New Roman"/>
                      <w:color w:val="FF0000"/>
                      <w:kern w:val="0"/>
                      <w:sz w:val="21"/>
                      <w:szCs w:val="21"/>
                      <w:lang w:val="en-US" w:eastAsia="zh-CN" w:bidi="ar"/>
                    </w:rPr>
                    <w:t>废橡胶破碎粉尘</w:t>
                  </w:r>
                </w:p>
              </w:tc>
              <w:tc>
                <w:tcPr>
                  <w:tcW w:w="1256" w:type="pct"/>
                  <w:tcBorders>
                    <w:tl2br w:val="nil"/>
                    <w:tr2bl w:val="nil"/>
                  </w:tcBorders>
                  <w:shd w:val="clear" w:color="auto" w:fill="auto"/>
                  <w:vAlign w:val="center"/>
                </w:tcPr>
                <w:p w14:paraId="5F47E7DD">
                  <w:pPr>
                    <w:pStyle w:val="128"/>
                    <w:spacing w:line="240" w:lineRule="auto"/>
                    <w:jc w:val="center"/>
                    <w:rPr>
                      <w:rFonts w:ascii="Times New Roman" w:hAnsi="Times New Roman" w:cs="Times New Roman"/>
                      <w:color w:val="FF0000"/>
                      <w:sz w:val="21"/>
                      <w:szCs w:val="21"/>
                    </w:rPr>
                  </w:pPr>
                  <w:r>
                    <w:rPr>
                      <w:rFonts w:ascii="Times New Roman" w:hAnsi="Times New Roman" w:cs="Times New Roman"/>
                      <w:color w:val="FF0000"/>
                      <w:sz w:val="21"/>
                      <w:szCs w:val="21"/>
                    </w:rPr>
                    <w:t>颗粒物</w:t>
                  </w:r>
                </w:p>
              </w:tc>
              <w:tc>
                <w:tcPr>
                  <w:tcW w:w="1357" w:type="pct"/>
                  <w:vMerge w:val="continue"/>
                  <w:tcBorders>
                    <w:tl2br w:val="nil"/>
                    <w:tr2bl w:val="nil"/>
                  </w:tcBorders>
                  <w:shd w:val="clear" w:color="auto" w:fill="auto"/>
                  <w:vAlign w:val="center"/>
                </w:tcPr>
                <w:p w14:paraId="21FFE96F">
                  <w:pPr>
                    <w:pStyle w:val="128"/>
                    <w:spacing w:line="240" w:lineRule="auto"/>
                    <w:jc w:val="center"/>
                    <w:rPr>
                      <w:rFonts w:ascii="Times New Roman" w:hAnsi="Times New Roman" w:cs="Times New Roman"/>
                      <w:color w:val="FF0000"/>
                      <w:sz w:val="21"/>
                      <w:szCs w:val="21"/>
                    </w:rPr>
                  </w:pPr>
                </w:p>
              </w:tc>
            </w:tr>
            <w:tr w14:paraId="1FD77852">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 w:type="dxa"/>
                  <w:bottom w:w="0" w:type="dxa"/>
                  <w:right w:w="10" w:type="dxa"/>
                </w:tblCellMar>
              </w:tblPrEx>
              <w:trPr>
                <w:trHeight w:val="23" w:hRule="atLeast"/>
                <w:jc w:val="center"/>
              </w:trPr>
              <w:tc>
                <w:tcPr>
                  <w:tcW w:w="368" w:type="pct"/>
                  <w:vMerge w:val="continue"/>
                  <w:tcBorders>
                    <w:tl2br w:val="nil"/>
                    <w:tr2bl w:val="nil"/>
                  </w:tcBorders>
                  <w:shd w:val="clear" w:color="auto" w:fill="auto"/>
                  <w:vAlign w:val="center"/>
                </w:tcPr>
                <w:p w14:paraId="5D6874DB">
                  <w:pPr>
                    <w:spacing w:line="240" w:lineRule="auto"/>
                    <w:jc w:val="center"/>
                    <w:rPr>
                      <w:color w:val="FF0000"/>
                      <w:szCs w:val="21"/>
                    </w:rPr>
                  </w:pPr>
                </w:p>
              </w:tc>
              <w:tc>
                <w:tcPr>
                  <w:tcW w:w="461" w:type="pct"/>
                  <w:tcBorders>
                    <w:tl2br w:val="nil"/>
                    <w:tr2bl w:val="nil"/>
                  </w:tcBorders>
                  <w:shd w:val="clear" w:color="auto" w:fill="auto"/>
                  <w:vAlign w:val="center"/>
                </w:tcPr>
                <w:p w14:paraId="2FC3C017">
                  <w:pPr>
                    <w:pStyle w:val="128"/>
                    <w:spacing w:line="240" w:lineRule="auto"/>
                    <w:jc w:val="center"/>
                    <w:rPr>
                      <w:rFonts w:hint="default" w:ascii="Times New Roman" w:hAnsi="Times New Roman" w:cs="Times New Roman"/>
                      <w:color w:val="FF0000"/>
                      <w:kern w:val="0"/>
                      <w:sz w:val="21"/>
                      <w:szCs w:val="21"/>
                      <w:lang w:val="en-US" w:eastAsia="zh-CN" w:bidi="ar"/>
                    </w:rPr>
                  </w:pPr>
                  <w:r>
                    <w:rPr>
                      <w:rFonts w:hint="eastAsia" w:ascii="Times New Roman" w:hAnsi="Times New Roman" w:cs="Times New Roman"/>
                      <w:color w:val="FF0000"/>
                      <w:kern w:val="0"/>
                      <w:sz w:val="21"/>
                      <w:szCs w:val="21"/>
                      <w:lang w:val="en-US" w:eastAsia="zh-CN" w:bidi="ar"/>
                    </w:rPr>
                    <w:t>G6</w:t>
                  </w:r>
                </w:p>
              </w:tc>
              <w:tc>
                <w:tcPr>
                  <w:tcW w:w="1555" w:type="pct"/>
                  <w:tcBorders>
                    <w:tl2br w:val="nil"/>
                    <w:tr2bl w:val="nil"/>
                  </w:tcBorders>
                  <w:shd w:val="clear" w:color="auto" w:fill="auto"/>
                  <w:vAlign w:val="center"/>
                </w:tcPr>
                <w:p w14:paraId="7DE86089">
                  <w:pPr>
                    <w:pStyle w:val="128"/>
                    <w:spacing w:line="240" w:lineRule="auto"/>
                    <w:jc w:val="center"/>
                    <w:rPr>
                      <w:rFonts w:hint="default" w:ascii="Times New Roman" w:hAnsi="Times New Roman" w:cs="Times New Roman"/>
                      <w:color w:val="FF0000"/>
                      <w:kern w:val="0"/>
                      <w:sz w:val="21"/>
                      <w:szCs w:val="21"/>
                      <w:lang w:val="en-US" w:eastAsia="zh-CN" w:bidi="ar"/>
                    </w:rPr>
                  </w:pPr>
                  <w:r>
                    <w:rPr>
                      <w:rFonts w:hint="eastAsia" w:ascii="Times New Roman" w:hAnsi="Times New Roman" w:cs="Times New Roman"/>
                      <w:color w:val="FF0000"/>
                      <w:kern w:val="0"/>
                      <w:sz w:val="21"/>
                      <w:szCs w:val="21"/>
                      <w:lang w:val="en-US" w:eastAsia="zh-CN" w:bidi="ar"/>
                    </w:rPr>
                    <w:t>污水处理站恶臭</w:t>
                  </w:r>
                </w:p>
              </w:tc>
              <w:tc>
                <w:tcPr>
                  <w:tcW w:w="1256" w:type="pct"/>
                  <w:tcBorders>
                    <w:tl2br w:val="nil"/>
                    <w:tr2bl w:val="nil"/>
                  </w:tcBorders>
                  <w:shd w:val="clear" w:color="auto" w:fill="auto"/>
                  <w:vAlign w:val="center"/>
                </w:tcPr>
                <w:p w14:paraId="6D471066">
                  <w:pPr>
                    <w:pStyle w:val="128"/>
                    <w:spacing w:line="240" w:lineRule="auto"/>
                    <w:jc w:val="center"/>
                    <w:rPr>
                      <w:rFonts w:hint="default" w:ascii="Times New Roman" w:hAnsi="Times New Roman" w:cs="Times New Roman"/>
                      <w:color w:val="FF0000"/>
                      <w:kern w:val="0"/>
                      <w:sz w:val="21"/>
                      <w:szCs w:val="21"/>
                      <w:lang w:val="en-US" w:eastAsia="zh-CN" w:bidi="ar"/>
                    </w:rPr>
                  </w:pPr>
                  <w:r>
                    <w:rPr>
                      <w:rFonts w:hint="eastAsia" w:ascii="Times New Roman" w:hAnsi="Times New Roman" w:cs="Times New Roman"/>
                      <w:color w:val="FF0000"/>
                      <w:kern w:val="0"/>
                      <w:sz w:val="21"/>
                      <w:szCs w:val="21"/>
                      <w:lang w:val="en-US" w:eastAsia="zh-CN" w:bidi="ar"/>
                    </w:rPr>
                    <w:t>氨、硫化氢</w:t>
                  </w:r>
                </w:p>
              </w:tc>
              <w:tc>
                <w:tcPr>
                  <w:tcW w:w="1357" w:type="pct"/>
                  <w:tcBorders>
                    <w:tl2br w:val="nil"/>
                    <w:tr2bl w:val="nil"/>
                  </w:tcBorders>
                  <w:shd w:val="clear" w:color="auto" w:fill="auto"/>
                  <w:vAlign w:val="center"/>
                </w:tcPr>
                <w:p w14:paraId="39020101">
                  <w:pPr>
                    <w:pStyle w:val="128"/>
                    <w:spacing w:line="240" w:lineRule="auto"/>
                    <w:jc w:val="center"/>
                    <w:rPr>
                      <w:rFonts w:hint="default" w:ascii="Times New Roman" w:hAnsi="Times New Roman" w:cs="Times New Roman"/>
                      <w:color w:val="FF0000"/>
                      <w:kern w:val="0"/>
                      <w:sz w:val="21"/>
                      <w:szCs w:val="21"/>
                      <w:lang w:val="en-US" w:eastAsia="zh-CN" w:bidi="ar"/>
                    </w:rPr>
                  </w:pPr>
                  <w:r>
                    <w:rPr>
                      <w:rFonts w:hint="eastAsia" w:ascii="Times New Roman" w:hAnsi="Times New Roman" w:cs="Times New Roman"/>
                      <w:color w:val="FF0000"/>
                      <w:kern w:val="0"/>
                      <w:sz w:val="21"/>
                      <w:szCs w:val="21"/>
                      <w:lang w:val="en-US" w:eastAsia="zh-CN" w:bidi="ar"/>
                    </w:rPr>
                    <w:t>密闭设置，定期喷洒除臭剂</w:t>
                  </w:r>
                </w:p>
              </w:tc>
            </w:tr>
            <w:tr w14:paraId="340605D4">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 w:type="dxa"/>
                  <w:bottom w:w="0" w:type="dxa"/>
                  <w:right w:w="10" w:type="dxa"/>
                </w:tblCellMar>
              </w:tblPrEx>
              <w:trPr>
                <w:trHeight w:val="23" w:hRule="atLeast"/>
                <w:jc w:val="center"/>
              </w:trPr>
              <w:tc>
                <w:tcPr>
                  <w:tcW w:w="368" w:type="pct"/>
                  <w:vMerge w:val="restart"/>
                  <w:tcBorders>
                    <w:tl2br w:val="nil"/>
                    <w:tr2bl w:val="nil"/>
                  </w:tcBorders>
                  <w:shd w:val="clear" w:color="auto" w:fill="auto"/>
                  <w:vAlign w:val="center"/>
                </w:tcPr>
                <w:p w14:paraId="08D3EF17">
                  <w:pPr>
                    <w:pStyle w:val="128"/>
                    <w:spacing w:line="240" w:lineRule="auto"/>
                    <w:jc w:val="center"/>
                    <w:rPr>
                      <w:rFonts w:ascii="Times New Roman" w:hAnsi="Times New Roman" w:cs="Times New Roman"/>
                      <w:color w:val="FF0000"/>
                      <w:sz w:val="21"/>
                      <w:szCs w:val="21"/>
                    </w:rPr>
                  </w:pPr>
                  <w:r>
                    <w:rPr>
                      <w:rFonts w:ascii="Times New Roman" w:hAnsi="Times New Roman" w:cs="Times New Roman"/>
                      <w:color w:val="FF0000"/>
                      <w:sz w:val="21"/>
                      <w:szCs w:val="21"/>
                    </w:rPr>
                    <w:t>废水</w:t>
                  </w:r>
                </w:p>
              </w:tc>
              <w:tc>
                <w:tcPr>
                  <w:tcW w:w="461" w:type="pct"/>
                  <w:tcBorders>
                    <w:tl2br w:val="nil"/>
                    <w:tr2bl w:val="nil"/>
                  </w:tcBorders>
                  <w:shd w:val="clear" w:color="auto" w:fill="auto"/>
                  <w:vAlign w:val="center"/>
                </w:tcPr>
                <w:p w14:paraId="54C0AF49">
                  <w:pPr>
                    <w:pStyle w:val="128"/>
                    <w:spacing w:line="240" w:lineRule="auto"/>
                    <w:jc w:val="center"/>
                    <w:rPr>
                      <w:rFonts w:ascii="Times New Roman" w:hAnsi="Times New Roman" w:cs="Times New Roman"/>
                      <w:color w:val="FF0000"/>
                      <w:sz w:val="21"/>
                      <w:szCs w:val="21"/>
                    </w:rPr>
                  </w:pPr>
                  <w:r>
                    <w:rPr>
                      <w:rFonts w:ascii="Times New Roman" w:hAnsi="Times New Roman" w:cs="Times New Roman"/>
                      <w:color w:val="FF0000"/>
                      <w:sz w:val="21"/>
                      <w:szCs w:val="21"/>
                      <w:lang w:val="en-US" w:eastAsia="en-US" w:bidi="en-US"/>
                    </w:rPr>
                    <w:t>W1</w:t>
                  </w:r>
                </w:p>
              </w:tc>
              <w:tc>
                <w:tcPr>
                  <w:tcW w:w="1555" w:type="pct"/>
                  <w:tcBorders>
                    <w:tl2br w:val="nil"/>
                    <w:tr2bl w:val="nil"/>
                  </w:tcBorders>
                  <w:shd w:val="clear" w:color="auto" w:fill="auto"/>
                  <w:vAlign w:val="center"/>
                </w:tcPr>
                <w:p w14:paraId="1AD1AD40">
                  <w:pPr>
                    <w:pStyle w:val="128"/>
                    <w:spacing w:line="240" w:lineRule="auto"/>
                    <w:jc w:val="center"/>
                    <w:rPr>
                      <w:rFonts w:ascii="Times New Roman" w:hAnsi="Times New Roman" w:cs="Times New Roman"/>
                      <w:color w:val="FF0000"/>
                      <w:sz w:val="21"/>
                      <w:szCs w:val="21"/>
                    </w:rPr>
                  </w:pPr>
                  <w:r>
                    <w:rPr>
                      <w:rFonts w:ascii="Times New Roman" w:hAnsi="Times New Roman" w:cs="Times New Roman"/>
                      <w:color w:val="FF0000"/>
                      <w:kern w:val="0"/>
                      <w:sz w:val="21"/>
                      <w:szCs w:val="21"/>
                      <w:lang w:val="en-US" w:eastAsia="zh-CN" w:bidi="ar"/>
                    </w:rPr>
                    <w:t>报废汽车发动机清洗</w:t>
                  </w:r>
                </w:p>
              </w:tc>
              <w:tc>
                <w:tcPr>
                  <w:tcW w:w="1256" w:type="pct"/>
                  <w:tcBorders>
                    <w:tl2br w:val="nil"/>
                    <w:tr2bl w:val="nil"/>
                  </w:tcBorders>
                  <w:shd w:val="clear" w:color="auto" w:fill="auto"/>
                  <w:vAlign w:val="center"/>
                </w:tcPr>
                <w:p w14:paraId="1145FF1C">
                  <w:pPr>
                    <w:pStyle w:val="128"/>
                    <w:spacing w:line="240" w:lineRule="auto"/>
                    <w:jc w:val="center"/>
                    <w:rPr>
                      <w:rFonts w:ascii="Times New Roman" w:hAnsi="Times New Roman" w:cs="Times New Roman"/>
                      <w:color w:val="FF0000"/>
                      <w:sz w:val="21"/>
                      <w:szCs w:val="21"/>
                    </w:rPr>
                  </w:pPr>
                  <w:r>
                    <w:rPr>
                      <w:rFonts w:ascii="Times New Roman" w:hAnsi="Times New Roman" w:cs="Times New Roman"/>
                      <w:color w:val="FF0000"/>
                      <w:sz w:val="21"/>
                      <w:szCs w:val="21"/>
                      <w:lang w:val="en-US" w:eastAsia="en-US" w:bidi="en-US"/>
                    </w:rPr>
                    <w:t>COD、SS、NH</w:t>
                  </w:r>
                  <w:r>
                    <w:rPr>
                      <w:rFonts w:ascii="Times New Roman" w:hAnsi="Times New Roman" w:cs="Times New Roman"/>
                      <w:color w:val="FF0000"/>
                      <w:sz w:val="21"/>
                      <w:szCs w:val="21"/>
                      <w:vertAlign w:val="subscript"/>
                      <w:lang w:val="en-US" w:eastAsia="en-US" w:bidi="en-US"/>
                    </w:rPr>
                    <w:t>3</w:t>
                  </w:r>
                  <w:r>
                    <w:rPr>
                      <w:rFonts w:ascii="Times New Roman" w:hAnsi="Times New Roman" w:cs="Times New Roman"/>
                      <w:color w:val="FF0000"/>
                      <w:sz w:val="21"/>
                      <w:szCs w:val="21"/>
                      <w:lang w:val="en-US" w:eastAsia="en-US" w:bidi="en-US"/>
                    </w:rPr>
                    <w:t>-N、</w:t>
                  </w:r>
                  <w:r>
                    <w:rPr>
                      <w:rFonts w:ascii="Times New Roman" w:hAnsi="Times New Roman" w:cs="Times New Roman"/>
                      <w:color w:val="FF0000"/>
                      <w:sz w:val="21"/>
                      <w:szCs w:val="21"/>
                    </w:rPr>
                    <w:t>石油类</w:t>
                  </w:r>
                </w:p>
              </w:tc>
              <w:tc>
                <w:tcPr>
                  <w:tcW w:w="1357" w:type="pct"/>
                  <w:vMerge w:val="restart"/>
                  <w:tcBorders>
                    <w:tl2br w:val="nil"/>
                    <w:tr2bl w:val="nil"/>
                  </w:tcBorders>
                  <w:shd w:val="clear" w:color="auto" w:fill="auto"/>
                  <w:vAlign w:val="center"/>
                </w:tcPr>
                <w:p w14:paraId="26FD4883">
                  <w:pPr>
                    <w:pStyle w:val="128"/>
                    <w:spacing w:line="240" w:lineRule="auto"/>
                    <w:jc w:val="center"/>
                    <w:rPr>
                      <w:rFonts w:ascii="Times New Roman" w:hAnsi="Times New Roman" w:cs="Times New Roman"/>
                      <w:color w:val="FF0000"/>
                      <w:sz w:val="21"/>
                      <w:szCs w:val="21"/>
                      <w:lang w:val="en-US" w:eastAsia="zh-CN"/>
                    </w:rPr>
                  </w:pPr>
                  <w:r>
                    <w:rPr>
                      <w:rFonts w:hint="eastAsia" w:ascii="Times New Roman" w:hAnsi="Times New Roman" w:cs="Times New Roman"/>
                      <w:color w:val="FF0000"/>
                      <w:sz w:val="21"/>
                      <w:szCs w:val="21"/>
                      <w:lang w:val="en-US" w:eastAsia="zh-CN"/>
                    </w:rPr>
                    <w:t>经厂内污水处理站处理达标后，通过管网排入北票市污水处理厂。</w:t>
                  </w:r>
                </w:p>
              </w:tc>
            </w:tr>
            <w:tr w14:paraId="2EF82230">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 w:type="dxa"/>
                  <w:bottom w:w="0" w:type="dxa"/>
                  <w:right w:w="10" w:type="dxa"/>
                </w:tblCellMar>
              </w:tblPrEx>
              <w:trPr>
                <w:trHeight w:val="23" w:hRule="atLeast"/>
                <w:jc w:val="center"/>
              </w:trPr>
              <w:tc>
                <w:tcPr>
                  <w:tcW w:w="368" w:type="pct"/>
                  <w:vMerge w:val="continue"/>
                  <w:tcBorders>
                    <w:tl2br w:val="nil"/>
                    <w:tr2bl w:val="nil"/>
                  </w:tcBorders>
                  <w:shd w:val="clear" w:color="auto" w:fill="auto"/>
                  <w:vAlign w:val="center"/>
                </w:tcPr>
                <w:p w14:paraId="6EE1EAEA">
                  <w:pPr>
                    <w:pStyle w:val="128"/>
                    <w:spacing w:line="240" w:lineRule="auto"/>
                    <w:jc w:val="center"/>
                    <w:rPr>
                      <w:rFonts w:ascii="Times New Roman" w:hAnsi="Times New Roman" w:cs="Times New Roman"/>
                      <w:color w:val="FF0000"/>
                      <w:sz w:val="21"/>
                      <w:szCs w:val="21"/>
                    </w:rPr>
                  </w:pPr>
                </w:p>
              </w:tc>
              <w:tc>
                <w:tcPr>
                  <w:tcW w:w="461" w:type="pct"/>
                  <w:tcBorders>
                    <w:tl2br w:val="nil"/>
                    <w:tr2bl w:val="nil"/>
                  </w:tcBorders>
                  <w:shd w:val="clear" w:color="auto" w:fill="auto"/>
                  <w:vAlign w:val="center"/>
                </w:tcPr>
                <w:p w14:paraId="5AB0C9CE">
                  <w:pPr>
                    <w:pStyle w:val="128"/>
                    <w:spacing w:line="240" w:lineRule="auto"/>
                    <w:jc w:val="center"/>
                    <w:rPr>
                      <w:rFonts w:ascii="Times New Roman" w:hAnsi="Times New Roman" w:cs="Times New Roman"/>
                      <w:color w:val="FF0000"/>
                      <w:sz w:val="21"/>
                      <w:szCs w:val="21"/>
                      <w:lang w:val="en-US" w:eastAsia="zh-CN" w:bidi="en-US"/>
                    </w:rPr>
                  </w:pPr>
                  <w:r>
                    <w:rPr>
                      <w:rFonts w:ascii="Times New Roman" w:hAnsi="Times New Roman" w:cs="Times New Roman"/>
                      <w:color w:val="FF0000"/>
                      <w:sz w:val="21"/>
                      <w:szCs w:val="21"/>
                      <w:lang w:val="en-US" w:eastAsia="en-US" w:bidi="en-US"/>
                    </w:rPr>
                    <w:t>W</w:t>
                  </w:r>
                  <w:r>
                    <w:rPr>
                      <w:rFonts w:hint="eastAsia" w:ascii="Times New Roman" w:hAnsi="Times New Roman" w:cs="Times New Roman"/>
                      <w:color w:val="FF0000"/>
                      <w:sz w:val="21"/>
                      <w:szCs w:val="21"/>
                      <w:lang w:val="en-US" w:eastAsia="zh-CN" w:bidi="en-US"/>
                    </w:rPr>
                    <w:t>2</w:t>
                  </w:r>
                </w:p>
              </w:tc>
              <w:tc>
                <w:tcPr>
                  <w:tcW w:w="1555" w:type="pct"/>
                  <w:tcBorders>
                    <w:tl2br w:val="nil"/>
                    <w:tr2bl w:val="nil"/>
                  </w:tcBorders>
                  <w:shd w:val="clear" w:color="auto" w:fill="auto"/>
                  <w:vAlign w:val="center"/>
                </w:tcPr>
                <w:p w14:paraId="7B820156">
                  <w:pPr>
                    <w:pStyle w:val="128"/>
                    <w:spacing w:line="240" w:lineRule="auto"/>
                    <w:jc w:val="center"/>
                    <w:rPr>
                      <w:rFonts w:ascii="Times New Roman" w:hAnsi="Times New Roman" w:cs="Times New Roman"/>
                      <w:color w:val="FF0000"/>
                      <w:sz w:val="21"/>
                      <w:szCs w:val="21"/>
                    </w:rPr>
                  </w:pPr>
                  <w:r>
                    <w:rPr>
                      <w:rFonts w:ascii="Times New Roman" w:hAnsi="Times New Roman" w:cs="Times New Roman"/>
                      <w:color w:val="FF0000"/>
                      <w:sz w:val="21"/>
                      <w:szCs w:val="21"/>
                    </w:rPr>
                    <w:t>车间冲洗</w:t>
                  </w:r>
                </w:p>
              </w:tc>
              <w:tc>
                <w:tcPr>
                  <w:tcW w:w="1256" w:type="pct"/>
                  <w:tcBorders>
                    <w:tl2br w:val="nil"/>
                    <w:tr2bl w:val="nil"/>
                  </w:tcBorders>
                  <w:shd w:val="clear" w:color="auto" w:fill="auto"/>
                  <w:vAlign w:val="center"/>
                </w:tcPr>
                <w:p w14:paraId="371859EF">
                  <w:pPr>
                    <w:pStyle w:val="128"/>
                    <w:spacing w:line="240" w:lineRule="auto"/>
                    <w:jc w:val="center"/>
                    <w:rPr>
                      <w:rFonts w:ascii="Times New Roman" w:hAnsi="Times New Roman" w:cs="Times New Roman"/>
                      <w:color w:val="FF0000"/>
                      <w:sz w:val="21"/>
                      <w:szCs w:val="21"/>
                      <w:lang w:val="en-US" w:eastAsia="en-US"/>
                    </w:rPr>
                  </w:pPr>
                  <w:r>
                    <w:rPr>
                      <w:rFonts w:ascii="Times New Roman" w:hAnsi="Times New Roman" w:cs="Times New Roman"/>
                      <w:color w:val="FF0000"/>
                      <w:sz w:val="21"/>
                      <w:szCs w:val="21"/>
                      <w:lang w:val="en-US" w:eastAsia="en-US" w:bidi="en-US"/>
                    </w:rPr>
                    <w:t>COD、SS、NH</w:t>
                  </w:r>
                  <w:r>
                    <w:rPr>
                      <w:rFonts w:ascii="Times New Roman" w:hAnsi="Times New Roman" w:cs="Times New Roman"/>
                      <w:color w:val="FF0000"/>
                      <w:sz w:val="21"/>
                      <w:szCs w:val="21"/>
                      <w:vertAlign w:val="subscript"/>
                      <w:lang w:val="en-US" w:eastAsia="en-US" w:bidi="en-US"/>
                    </w:rPr>
                    <w:t>3</w:t>
                  </w:r>
                  <w:r>
                    <w:rPr>
                      <w:rFonts w:ascii="Times New Roman" w:hAnsi="Times New Roman" w:cs="Times New Roman"/>
                      <w:color w:val="FF0000"/>
                      <w:sz w:val="21"/>
                      <w:szCs w:val="21"/>
                      <w:lang w:val="en-US" w:eastAsia="en-US" w:bidi="en-US"/>
                    </w:rPr>
                    <w:t>-N、</w:t>
                  </w:r>
                  <w:r>
                    <w:rPr>
                      <w:rFonts w:ascii="Times New Roman" w:hAnsi="Times New Roman" w:cs="Times New Roman"/>
                      <w:color w:val="FF0000"/>
                      <w:sz w:val="21"/>
                      <w:szCs w:val="21"/>
                    </w:rPr>
                    <w:t>石油类</w:t>
                  </w:r>
                </w:p>
              </w:tc>
              <w:tc>
                <w:tcPr>
                  <w:tcW w:w="1357" w:type="pct"/>
                  <w:vMerge w:val="continue"/>
                  <w:tcBorders>
                    <w:tl2br w:val="nil"/>
                    <w:tr2bl w:val="nil"/>
                  </w:tcBorders>
                  <w:shd w:val="clear" w:color="auto" w:fill="auto"/>
                  <w:vAlign w:val="center"/>
                </w:tcPr>
                <w:p w14:paraId="1FE18101">
                  <w:pPr>
                    <w:pStyle w:val="128"/>
                    <w:spacing w:line="240" w:lineRule="auto"/>
                    <w:jc w:val="center"/>
                    <w:rPr>
                      <w:rFonts w:ascii="Times New Roman" w:hAnsi="Times New Roman" w:cs="Times New Roman"/>
                      <w:color w:val="FF0000"/>
                      <w:sz w:val="21"/>
                      <w:szCs w:val="21"/>
                    </w:rPr>
                  </w:pPr>
                </w:p>
              </w:tc>
            </w:tr>
            <w:tr w14:paraId="78B79447">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 w:type="dxa"/>
                  <w:bottom w:w="0" w:type="dxa"/>
                  <w:right w:w="10" w:type="dxa"/>
                </w:tblCellMar>
              </w:tblPrEx>
              <w:trPr>
                <w:trHeight w:val="23" w:hRule="atLeast"/>
                <w:jc w:val="center"/>
              </w:trPr>
              <w:tc>
                <w:tcPr>
                  <w:tcW w:w="368" w:type="pct"/>
                  <w:vMerge w:val="continue"/>
                  <w:tcBorders>
                    <w:tl2br w:val="nil"/>
                    <w:tr2bl w:val="nil"/>
                  </w:tcBorders>
                  <w:shd w:val="clear" w:color="auto" w:fill="auto"/>
                  <w:vAlign w:val="center"/>
                </w:tcPr>
                <w:p w14:paraId="00E4ED8D">
                  <w:pPr>
                    <w:pStyle w:val="128"/>
                    <w:spacing w:line="240" w:lineRule="auto"/>
                    <w:jc w:val="center"/>
                    <w:rPr>
                      <w:rFonts w:ascii="Times New Roman" w:hAnsi="Times New Roman" w:cs="Times New Roman"/>
                      <w:color w:val="FF0000"/>
                      <w:sz w:val="21"/>
                      <w:szCs w:val="21"/>
                    </w:rPr>
                  </w:pPr>
                </w:p>
              </w:tc>
              <w:tc>
                <w:tcPr>
                  <w:tcW w:w="461" w:type="pct"/>
                  <w:tcBorders>
                    <w:tl2br w:val="nil"/>
                    <w:tr2bl w:val="nil"/>
                  </w:tcBorders>
                  <w:shd w:val="clear" w:color="auto" w:fill="auto"/>
                  <w:vAlign w:val="center"/>
                </w:tcPr>
                <w:p w14:paraId="3AAC0167">
                  <w:pPr>
                    <w:pStyle w:val="128"/>
                    <w:spacing w:line="240" w:lineRule="auto"/>
                    <w:jc w:val="center"/>
                    <w:rPr>
                      <w:rFonts w:ascii="Times New Roman" w:hAnsi="Times New Roman" w:cs="Times New Roman"/>
                      <w:color w:val="FF0000"/>
                      <w:sz w:val="21"/>
                      <w:szCs w:val="21"/>
                      <w:lang w:val="en-US" w:eastAsia="zh-CN"/>
                    </w:rPr>
                  </w:pPr>
                  <w:r>
                    <w:rPr>
                      <w:rFonts w:hint="eastAsia" w:ascii="Times New Roman" w:hAnsi="Times New Roman" w:cs="Times New Roman"/>
                      <w:color w:val="FF0000"/>
                      <w:sz w:val="21"/>
                      <w:szCs w:val="21"/>
                      <w:lang w:val="en-US" w:eastAsia="zh-CN"/>
                    </w:rPr>
                    <w:t>初期雨水</w:t>
                  </w:r>
                </w:p>
              </w:tc>
              <w:tc>
                <w:tcPr>
                  <w:tcW w:w="1555" w:type="pct"/>
                  <w:tcBorders>
                    <w:tl2br w:val="nil"/>
                    <w:tr2bl w:val="nil"/>
                  </w:tcBorders>
                  <w:shd w:val="clear" w:color="auto" w:fill="auto"/>
                  <w:vAlign w:val="center"/>
                </w:tcPr>
                <w:p w14:paraId="2FDA5AD1">
                  <w:pPr>
                    <w:pStyle w:val="128"/>
                    <w:spacing w:line="240" w:lineRule="auto"/>
                    <w:jc w:val="center"/>
                    <w:rPr>
                      <w:rFonts w:ascii="Times New Roman" w:hAnsi="Times New Roman" w:cs="Times New Roman"/>
                      <w:color w:val="FF0000"/>
                      <w:sz w:val="21"/>
                      <w:szCs w:val="21"/>
                    </w:rPr>
                  </w:pPr>
                  <w:r>
                    <w:rPr>
                      <w:rFonts w:ascii="Times New Roman" w:hAnsi="Times New Roman" w:cs="Times New Roman"/>
                      <w:color w:val="FF0000"/>
                      <w:sz w:val="21"/>
                      <w:szCs w:val="21"/>
                    </w:rPr>
                    <w:t>地表径流</w:t>
                  </w:r>
                </w:p>
              </w:tc>
              <w:tc>
                <w:tcPr>
                  <w:tcW w:w="1256" w:type="pct"/>
                  <w:tcBorders>
                    <w:tl2br w:val="nil"/>
                    <w:tr2bl w:val="nil"/>
                  </w:tcBorders>
                  <w:shd w:val="clear" w:color="auto" w:fill="auto"/>
                  <w:vAlign w:val="center"/>
                </w:tcPr>
                <w:p w14:paraId="3BDA411C">
                  <w:pPr>
                    <w:pStyle w:val="128"/>
                    <w:spacing w:line="240" w:lineRule="auto"/>
                    <w:jc w:val="center"/>
                    <w:rPr>
                      <w:rFonts w:ascii="Times New Roman" w:hAnsi="Times New Roman" w:cs="Times New Roman"/>
                      <w:color w:val="FF0000"/>
                      <w:sz w:val="21"/>
                      <w:szCs w:val="21"/>
                      <w:lang w:val="en-US" w:eastAsia="en-US" w:bidi="en-US"/>
                    </w:rPr>
                  </w:pPr>
                  <w:r>
                    <w:rPr>
                      <w:rFonts w:ascii="Times New Roman" w:hAnsi="Times New Roman" w:cs="Times New Roman"/>
                      <w:color w:val="FF0000"/>
                      <w:sz w:val="21"/>
                      <w:szCs w:val="21"/>
                      <w:lang w:val="en-US" w:eastAsia="en-US" w:bidi="en-US"/>
                    </w:rPr>
                    <w:t>COD、SS、NH</w:t>
                  </w:r>
                  <w:r>
                    <w:rPr>
                      <w:rFonts w:ascii="Times New Roman" w:hAnsi="Times New Roman" w:cs="Times New Roman"/>
                      <w:color w:val="FF0000"/>
                      <w:sz w:val="21"/>
                      <w:szCs w:val="21"/>
                      <w:vertAlign w:val="subscript"/>
                      <w:lang w:val="en-US" w:eastAsia="en-US" w:bidi="en-US"/>
                    </w:rPr>
                    <w:t>3</w:t>
                  </w:r>
                  <w:r>
                    <w:rPr>
                      <w:rFonts w:ascii="Times New Roman" w:hAnsi="Times New Roman" w:cs="Times New Roman"/>
                      <w:color w:val="FF0000"/>
                      <w:sz w:val="21"/>
                      <w:szCs w:val="21"/>
                      <w:lang w:val="en-US" w:eastAsia="en-US" w:bidi="en-US"/>
                    </w:rPr>
                    <w:t>-N、</w:t>
                  </w:r>
                  <w:r>
                    <w:rPr>
                      <w:rFonts w:ascii="Times New Roman" w:hAnsi="Times New Roman" w:cs="Times New Roman"/>
                      <w:color w:val="FF0000"/>
                      <w:sz w:val="21"/>
                      <w:szCs w:val="21"/>
                    </w:rPr>
                    <w:t>石油类</w:t>
                  </w:r>
                </w:p>
              </w:tc>
              <w:tc>
                <w:tcPr>
                  <w:tcW w:w="1357" w:type="pct"/>
                  <w:vMerge w:val="continue"/>
                  <w:tcBorders>
                    <w:tl2br w:val="nil"/>
                    <w:tr2bl w:val="nil"/>
                  </w:tcBorders>
                  <w:shd w:val="clear" w:color="auto" w:fill="auto"/>
                  <w:vAlign w:val="center"/>
                </w:tcPr>
                <w:p w14:paraId="19092555">
                  <w:pPr>
                    <w:pStyle w:val="128"/>
                    <w:spacing w:line="240" w:lineRule="auto"/>
                    <w:jc w:val="center"/>
                    <w:rPr>
                      <w:rFonts w:ascii="Times New Roman" w:hAnsi="Times New Roman" w:cs="Times New Roman"/>
                      <w:color w:val="FF0000"/>
                      <w:sz w:val="21"/>
                      <w:szCs w:val="21"/>
                    </w:rPr>
                  </w:pPr>
                </w:p>
              </w:tc>
            </w:tr>
            <w:tr w14:paraId="6CEC282F">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 w:type="dxa"/>
                  <w:bottom w:w="0" w:type="dxa"/>
                  <w:right w:w="10" w:type="dxa"/>
                </w:tblCellMar>
              </w:tblPrEx>
              <w:trPr>
                <w:trHeight w:val="23" w:hRule="atLeast"/>
                <w:jc w:val="center"/>
              </w:trPr>
              <w:tc>
                <w:tcPr>
                  <w:tcW w:w="368" w:type="pct"/>
                  <w:vMerge w:val="continue"/>
                  <w:tcBorders>
                    <w:tl2br w:val="nil"/>
                    <w:tr2bl w:val="nil"/>
                  </w:tcBorders>
                  <w:shd w:val="clear" w:color="auto" w:fill="auto"/>
                  <w:vAlign w:val="center"/>
                </w:tcPr>
                <w:p w14:paraId="33E0AE12">
                  <w:pPr>
                    <w:spacing w:line="240" w:lineRule="auto"/>
                    <w:jc w:val="center"/>
                    <w:rPr>
                      <w:color w:val="FF0000"/>
                      <w:szCs w:val="21"/>
                    </w:rPr>
                  </w:pPr>
                </w:p>
              </w:tc>
              <w:tc>
                <w:tcPr>
                  <w:tcW w:w="461" w:type="pct"/>
                  <w:tcBorders>
                    <w:tl2br w:val="nil"/>
                    <w:tr2bl w:val="nil"/>
                  </w:tcBorders>
                  <w:shd w:val="clear" w:color="auto" w:fill="auto"/>
                  <w:vAlign w:val="center"/>
                </w:tcPr>
                <w:p w14:paraId="3F8D918C">
                  <w:pPr>
                    <w:pStyle w:val="128"/>
                    <w:spacing w:line="240" w:lineRule="auto"/>
                    <w:jc w:val="center"/>
                    <w:rPr>
                      <w:rFonts w:ascii="Times New Roman" w:hAnsi="Times New Roman" w:cs="Times New Roman"/>
                      <w:color w:val="FF0000"/>
                      <w:sz w:val="21"/>
                      <w:szCs w:val="21"/>
                    </w:rPr>
                  </w:pPr>
                  <w:r>
                    <w:rPr>
                      <w:rFonts w:ascii="Times New Roman" w:hAnsi="Times New Roman" w:cs="Times New Roman"/>
                      <w:color w:val="FF0000"/>
                      <w:sz w:val="21"/>
                      <w:szCs w:val="21"/>
                    </w:rPr>
                    <w:t>生活污水</w:t>
                  </w:r>
                </w:p>
              </w:tc>
              <w:tc>
                <w:tcPr>
                  <w:tcW w:w="1555" w:type="pct"/>
                  <w:tcBorders>
                    <w:tl2br w:val="nil"/>
                    <w:tr2bl w:val="nil"/>
                  </w:tcBorders>
                  <w:shd w:val="clear" w:color="auto" w:fill="auto"/>
                  <w:vAlign w:val="center"/>
                </w:tcPr>
                <w:p w14:paraId="13D05610">
                  <w:pPr>
                    <w:pStyle w:val="128"/>
                    <w:spacing w:line="240" w:lineRule="auto"/>
                    <w:jc w:val="center"/>
                    <w:rPr>
                      <w:rFonts w:ascii="Times New Roman" w:hAnsi="Times New Roman" w:cs="Times New Roman"/>
                      <w:color w:val="FF0000"/>
                      <w:sz w:val="21"/>
                      <w:szCs w:val="21"/>
                    </w:rPr>
                  </w:pPr>
                  <w:r>
                    <w:rPr>
                      <w:rFonts w:ascii="Times New Roman" w:hAnsi="Times New Roman" w:cs="Times New Roman"/>
                      <w:color w:val="FF0000"/>
                      <w:sz w:val="21"/>
                      <w:szCs w:val="21"/>
                    </w:rPr>
                    <w:t>员工生活</w:t>
                  </w:r>
                </w:p>
              </w:tc>
              <w:tc>
                <w:tcPr>
                  <w:tcW w:w="1256" w:type="pct"/>
                  <w:tcBorders>
                    <w:tl2br w:val="nil"/>
                    <w:tr2bl w:val="nil"/>
                  </w:tcBorders>
                  <w:shd w:val="clear" w:color="auto" w:fill="auto"/>
                  <w:vAlign w:val="center"/>
                </w:tcPr>
                <w:p w14:paraId="50483EA6">
                  <w:pPr>
                    <w:pStyle w:val="128"/>
                    <w:spacing w:line="240" w:lineRule="auto"/>
                    <w:jc w:val="center"/>
                    <w:rPr>
                      <w:rFonts w:ascii="Times New Roman" w:hAnsi="Times New Roman" w:cs="Times New Roman"/>
                      <w:color w:val="FF0000"/>
                      <w:sz w:val="21"/>
                      <w:szCs w:val="21"/>
                    </w:rPr>
                  </w:pPr>
                  <w:r>
                    <w:rPr>
                      <w:rFonts w:ascii="Times New Roman" w:hAnsi="Times New Roman" w:cs="Times New Roman"/>
                      <w:color w:val="FF0000"/>
                      <w:sz w:val="21"/>
                      <w:szCs w:val="21"/>
                      <w:lang w:val="en-US" w:bidi="en-US"/>
                    </w:rPr>
                    <w:t>COD、BOD</w:t>
                  </w:r>
                  <w:r>
                    <w:rPr>
                      <w:rFonts w:ascii="Times New Roman" w:hAnsi="Times New Roman" w:cs="Times New Roman"/>
                      <w:color w:val="FF0000"/>
                      <w:sz w:val="21"/>
                      <w:szCs w:val="21"/>
                      <w:vertAlign w:val="subscript"/>
                      <w:lang w:val="en-US" w:bidi="en-US"/>
                    </w:rPr>
                    <w:t>5</w:t>
                  </w:r>
                  <w:r>
                    <w:rPr>
                      <w:rFonts w:ascii="Times New Roman" w:hAnsi="Times New Roman" w:cs="Times New Roman"/>
                      <w:color w:val="FF0000"/>
                      <w:sz w:val="21"/>
                      <w:szCs w:val="21"/>
                      <w:lang w:val="en-US" w:bidi="en-US"/>
                    </w:rPr>
                    <w:t>、SS</w:t>
                  </w:r>
                  <w:r>
                    <w:rPr>
                      <w:rFonts w:hint="eastAsia" w:ascii="Times New Roman" w:hAnsi="Times New Roman" w:cs="Times New Roman"/>
                      <w:color w:val="FF0000"/>
                      <w:sz w:val="21"/>
                      <w:szCs w:val="21"/>
                      <w:lang w:val="en-US" w:bidi="en-US"/>
                    </w:rPr>
                    <w:t>、TP</w:t>
                  </w:r>
                  <w:r>
                    <w:rPr>
                      <w:rFonts w:ascii="Times New Roman" w:hAnsi="Times New Roman" w:cs="Times New Roman"/>
                      <w:color w:val="FF0000"/>
                      <w:sz w:val="21"/>
                      <w:szCs w:val="21"/>
                      <w:lang w:val="en-US" w:bidi="en-US"/>
                    </w:rPr>
                    <w:t>、NH</w:t>
                  </w:r>
                  <w:r>
                    <w:rPr>
                      <w:rFonts w:ascii="Times New Roman" w:hAnsi="Times New Roman" w:cs="Times New Roman"/>
                      <w:color w:val="FF0000"/>
                      <w:sz w:val="21"/>
                      <w:szCs w:val="21"/>
                      <w:vertAlign w:val="subscript"/>
                      <w:lang w:val="en-US" w:bidi="en-US"/>
                    </w:rPr>
                    <w:t>3</w:t>
                  </w:r>
                  <w:r>
                    <w:rPr>
                      <w:rFonts w:ascii="Times New Roman" w:hAnsi="Times New Roman" w:cs="Times New Roman"/>
                      <w:color w:val="FF0000"/>
                      <w:sz w:val="21"/>
                      <w:szCs w:val="21"/>
                      <w:lang w:val="en-US" w:bidi="en-US"/>
                    </w:rPr>
                    <w:t>-N</w:t>
                  </w:r>
                </w:p>
              </w:tc>
              <w:tc>
                <w:tcPr>
                  <w:tcW w:w="1357" w:type="pct"/>
                  <w:tcBorders>
                    <w:tl2br w:val="nil"/>
                    <w:tr2bl w:val="nil"/>
                  </w:tcBorders>
                  <w:shd w:val="clear" w:color="auto" w:fill="auto"/>
                  <w:vAlign w:val="center"/>
                </w:tcPr>
                <w:p w14:paraId="6C3D3FCA">
                  <w:pPr>
                    <w:pStyle w:val="128"/>
                    <w:spacing w:line="240" w:lineRule="auto"/>
                    <w:jc w:val="center"/>
                    <w:rPr>
                      <w:rFonts w:ascii="Times New Roman" w:hAnsi="Times New Roman" w:cs="Times New Roman"/>
                      <w:color w:val="FF0000"/>
                      <w:sz w:val="21"/>
                      <w:szCs w:val="21"/>
                    </w:rPr>
                  </w:pPr>
                  <w:r>
                    <w:rPr>
                      <w:rFonts w:hint="eastAsia" w:ascii="Times New Roman" w:hAnsi="Times New Roman" w:cs="Times New Roman"/>
                      <w:color w:val="FF0000"/>
                      <w:sz w:val="21"/>
                      <w:szCs w:val="21"/>
                      <w:lang w:val="en-US" w:eastAsia="zh-CN"/>
                    </w:rPr>
                    <w:t>经厂内防渗化粪池处理后，通过管网排入北票市污水处理厂。</w:t>
                  </w:r>
                </w:p>
              </w:tc>
            </w:tr>
            <w:tr w14:paraId="44016FC4">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 w:type="dxa"/>
                  <w:bottom w:w="0" w:type="dxa"/>
                  <w:right w:w="10" w:type="dxa"/>
                </w:tblCellMar>
              </w:tblPrEx>
              <w:trPr>
                <w:trHeight w:val="23" w:hRule="atLeast"/>
                <w:jc w:val="center"/>
              </w:trPr>
              <w:tc>
                <w:tcPr>
                  <w:tcW w:w="368" w:type="pct"/>
                  <w:tcBorders>
                    <w:tl2br w:val="nil"/>
                    <w:tr2bl w:val="nil"/>
                  </w:tcBorders>
                  <w:shd w:val="clear" w:color="auto" w:fill="auto"/>
                  <w:vAlign w:val="center"/>
                </w:tcPr>
                <w:p w14:paraId="4D032A64">
                  <w:pPr>
                    <w:pStyle w:val="128"/>
                    <w:spacing w:line="240" w:lineRule="auto"/>
                    <w:jc w:val="center"/>
                    <w:rPr>
                      <w:rFonts w:ascii="Times New Roman" w:hAnsi="Times New Roman" w:cs="Times New Roman"/>
                      <w:color w:val="FF0000"/>
                      <w:sz w:val="21"/>
                      <w:szCs w:val="21"/>
                    </w:rPr>
                  </w:pPr>
                  <w:r>
                    <w:rPr>
                      <w:rFonts w:ascii="Times New Roman" w:hAnsi="Times New Roman" w:cs="Times New Roman"/>
                      <w:color w:val="FF0000"/>
                      <w:sz w:val="21"/>
                      <w:szCs w:val="21"/>
                    </w:rPr>
                    <w:t>噪声</w:t>
                  </w:r>
                </w:p>
              </w:tc>
              <w:tc>
                <w:tcPr>
                  <w:tcW w:w="461" w:type="pct"/>
                  <w:tcBorders>
                    <w:tl2br w:val="nil"/>
                    <w:tr2bl w:val="nil"/>
                  </w:tcBorders>
                  <w:shd w:val="clear" w:color="auto" w:fill="auto"/>
                  <w:vAlign w:val="center"/>
                </w:tcPr>
                <w:p w14:paraId="2C17B2DE">
                  <w:pPr>
                    <w:pStyle w:val="128"/>
                    <w:spacing w:line="240" w:lineRule="auto"/>
                    <w:jc w:val="center"/>
                    <w:rPr>
                      <w:rFonts w:ascii="Times New Roman" w:hAnsi="Times New Roman" w:cs="Times New Roman"/>
                      <w:color w:val="FF0000"/>
                      <w:sz w:val="21"/>
                      <w:szCs w:val="21"/>
                    </w:rPr>
                  </w:pPr>
                  <w:r>
                    <w:rPr>
                      <w:rFonts w:ascii="Times New Roman" w:hAnsi="Times New Roman" w:cs="Times New Roman"/>
                      <w:color w:val="FF0000"/>
                      <w:sz w:val="21"/>
                      <w:szCs w:val="21"/>
                    </w:rPr>
                    <w:t>设备噪声</w:t>
                  </w:r>
                </w:p>
              </w:tc>
              <w:tc>
                <w:tcPr>
                  <w:tcW w:w="1555" w:type="pct"/>
                  <w:tcBorders>
                    <w:tl2br w:val="nil"/>
                    <w:tr2bl w:val="nil"/>
                  </w:tcBorders>
                  <w:shd w:val="clear" w:color="auto" w:fill="auto"/>
                  <w:vAlign w:val="center"/>
                </w:tcPr>
                <w:p w14:paraId="75B20A22">
                  <w:pPr>
                    <w:pStyle w:val="128"/>
                    <w:spacing w:line="240" w:lineRule="auto"/>
                    <w:jc w:val="center"/>
                    <w:rPr>
                      <w:rFonts w:ascii="Times New Roman" w:hAnsi="Times New Roman" w:cs="Times New Roman"/>
                      <w:color w:val="FF0000"/>
                      <w:sz w:val="21"/>
                      <w:szCs w:val="21"/>
                    </w:rPr>
                  </w:pPr>
                  <w:r>
                    <w:rPr>
                      <w:rFonts w:ascii="Times New Roman" w:hAnsi="Times New Roman" w:cs="Times New Roman"/>
                      <w:color w:val="FF0000"/>
                      <w:sz w:val="21"/>
                      <w:szCs w:val="21"/>
                    </w:rPr>
                    <w:t>设备运行</w:t>
                  </w:r>
                </w:p>
              </w:tc>
              <w:tc>
                <w:tcPr>
                  <w:tcW w:w="1256" w:type="pct"/>
                  <w:tcBorders>
                    <w:tl2br w:val="nil"/>
                    <w:tr2bl w:val="nil"/>
                  </w:tcBorders>
                  <w:shd w:val="clear" w:color="auto" w:fill="auto"/>
                  <w:vAlign w:val="center"/>
                </w:tcPr>
                <w:p w14:paraId="732382D5">
                  <w:pPr>
                    <w:pStyle w:val="128"/>
                    <w:spacing w:line="240" w:lineRule="auto"/>
                    <w:jc w:val="center"/>
                    <w:rPr>
                      <w:rFonts w:ascii="Times New Roman" w:hAnsi="Times New Roman" w:cs="Times New Roman"/>
                      <w:color w:val="FF0000"/>
                      <w:sz w:val="21"/>
                      <w:szCs w:val="21"/>
                    </w:rPr>
                  </w:pPr>
                  <w:r>
                    <w:rPr>
                      <w:rFonts w:ascii="Times New Roman" w:hAnsi="Times New Roman" w:cs="Times New Roman"/>
                      <w:color w:val="FF0000"/>
                      <w:sz w:val="21"/>
                      <w:szCs w:val="21"/>
                    </w:rPr>
                    <w:t>机械噪声</w:t>
                  </w:r>
                </w:p>
              </w:tc>
              <w:tc>
                <w:tcPr>
                  <w:tcW w:w="1357" w:type="pct"/>
                  <w:tcBorders>
                    <w:tl2br w:val="nil"/>
                    <w:tr2bl w:val="nil"/>
                  </w:tcBorders>
                  <w:shd w:val="clear" w:color="auto" w:fill="auto"/>
                  <w:vAlign w:val="center"/>
                </w:tcPr>
                <w:p w14:paraId="24D47F78">
                  <w:pPr>
                    <w:pStyle w:val="128"/>
                    <w:spacing w:line="240" w:lineRule="auto"/>
                    <w:jc w:val="center"/>
                    <w:rPr>
                      <w:rFonts w:hint="eastAsia" w:ascii="Times New Roman" w:hAnsi="Times New Roman" w:eastAsia="宋体" w:cs="Times New Roman"/>
                      <w:color w:val="FF0000"/>
                      <w:sz w:val="21"/>
                      <w:szCs w:val="21"/>
                      <w:lang w:eastAsia="zh-CN"/>
                    </w:rPr>
                  </w:pPr>
                  <w:r>
                    <w:rPr>
                      <w:rFonts w:hint="eastAsia" w:ascii="Times New Roman" w:hAnsi="Times New Roman" w:cs="Times New Roman"/>
                      <w:color w:val="FF0000"/>
                      <w:sz w:val="21"/>
                      <w:szCs w:val="21"/>
                      <w:lang w:eastAsia="zh-CN"/>
                    </w:rPr>
                    <w:t>选用低噪声设备、安装隔振元件/隔振垫/柔性、实施屏蔽隔声、涂刷防护吸声地坪、使用软性传输装</w:t>
                  </w:r>
                </w:p>
              </w:tc>
            </w:tr>
            <w:tr w14:paraId="42887142">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 w:type="dxa"/>
                  <w:bottom w:w="0" w:type="dxa"/>
                  <w:right w:w="10" w:type="dxa"/>
                </w:tblCellMar>
              </w:tblPrEx>
              <w:trPr>
                <w:trHeight w:val="23" w:hRule="atLeast"/>
                <w:jc w:val="center"/>
              </w:trPr>
              <w:tc>
                <w:tcPr>
                  <w:tcW w:w="368" w:type="pct"/>
                  <w:vMerge w:val="restart"/>
                  <w:tcBorders>
                    <w:tl2br w:val="nil"/>
                    <w:tr2bl w:val="nil"/>
                  </w:tcBorders>
                  <w:shd w:val="clear" w:color="auto" w:fill="auto"/>
                  <w:vAlign w:val="center"/>
                </w:tcPr>
                <w:p w14:paraId="67DD6DDA">
                  <w:pPr>
                    <w:pStyle w:val="128"/>
                    <w:spacing w:line="240" w:lineRule="auto"/>
                    <w:jc w:val="center"/>
                    <w:rPr>
                      <w:rFonts w:ascii="Times New Roman" w:hAnsi="Times New Roman" w:cs="Times New Roman"/>
                      <w:color w:val="FF0000"/>
                      <w:sz w:val="21"/>
                      <w:szCs w:val="21"/>
                    </w:rPr>
                  </w:pPr>
                  <w:r>
                    <w:rPr>
                      <w:rFonts w:ascii="Times New Roman" w:hAnsi="Times New Roman" w:cs="Times New Roman"/>
                      <w:color w:val="FF0000"/>
                      <w:sz w:val="21"/>
                      <w:szCs w:val="21"/>
                    </w:rPr>
                    <w:t>固废</w:t>
                  </w:r>
                </w:p>
              </w:tc>
              <w:tc>
                <w:tcPr>
                  <w:tcW w:w="461" w:type="pct"/>
                  <w:tcBorders>
                    <w:tl2br w:val="nil"/>
                    <w:tr2bl w:val="nil"/>
                  </w:tcBorders>
                  <w:shd w:val="clear" w:color="auto" w:fill="auto"/>
                  <w:vAlign w:val="center"/>
                </w:tcPr>
                <w:p w14:paraId="79D57B3D">
                  <w:pPr>
                    <w:pStyle w:val="128"/>
                    <w:spacing w:line="240" w:lineRule="auto"/>
                    <w:jc w:val="center"/>
                    <w:rPr>
                      <w:rFonts w:ascii="Times New Roman" w:hAnsi="Times New Roman" w:cs="Times New Roman"/>
                      <w:color w:val="FF0000"/>
                      <w:sz w:val="21"/>
                      <w:szCs w:val="21"/>
                    </w:rPr>
                  </w:pPr>
                  <w:r>
                    <w:rPr>
                      <w:rFonts w:ascii="Times New Roman" w:hAnsi="Times New Roman" w:cs="Times New Roman"/>
                      <w:color w:val="FF0000"/>
                      <w:sz w:val="21"/>
                      <w:szCs w:val="21"/>
                      <w:lang w:val="en-US" w:eastAsia="en-US" w:bidi="en-US"/>
                    </w:rPr>
                    <w:t>S1</w:t>
                  </w:r>
                </w:p>
              </w:tc>
              <w:tc>
                <w:tcPr>
                  <w:tcW w:w="1555" w:type="pct"/>
                  <w:tcBorders>
                    <w:tl2br w:val="nil"/>
                    <w:tr2bl w:val="nil"/>
                  </w:tcBorders>
                  <w:shd w:val="clear" w:color="auto" w:fill="auto"/>
                  <w:vAlign w:val="center"/>
                </w:tcPr>
                <w:p w14:paraId="28A0C757">
                  <w:pPr>
                    <w:pStyle w:val="128"/>
                    <w:spacing w:line="240" w:lineRule="auto"/>
                    <w:jc w:val="center"/>
                    <w:rPr>
                      <w:rFonts w:ascii="Times New Roman" w:hAnsi="Times New Roman" w:cs="Times New Roman"/>
                      <w:color w:val="FF0000"/>
                      <w:sz w:val="21"/>
                      <w:szCs w:val="21"/>
                      <w:lang w:val="en-US" w:eastAsia="zh-CN"/>
                    </w:rPr>
                  </w:pPr>
                  <w:r>
                    <w:rPr>
                      <w:rFonts w:hint="eastAsia" w:ascii="Times New Roman" w:hAnsi="Times New Roman" w:cs="Times New Roman"/>
                      <w:color w:val="FF0000"/>
                      <w:sz w:val="21"/>
                      <w:szCs w:val="21"/>
                      <w:lang w:val="en-US" w:eastAsia="zh-CN"/>
                    </w:rPr>
                    <w:t>拆解</w:t>
                  </w:r>
                </w:p>
              </w:tc>
              <w:tc>
                <w:tcPr>
                  <w:tcW w:w="1256" w:type="pct"/>
                  <w:tcBorders>
                    <w:tl2br w:val="nil"/>
                    <w:tr2bl w:val="nil"/>
                  </w:tcBorders>
                  <w:shd w:val="clear" w:color="auto" w:fill="auto"/>
                  <w:vAlign w:val="center"/>
                </w:tcPr>
                <w:p w14:paraId="4990344A">
                  <w:pPr>
                    <w:pStyle w:val="128"/>
                    <w:spacing w:line="240" w:lineRule="auto"/>
                    <w:jc w:val="center"/>
                    <w:rPr>
                      <w:rFonts w:ascii="Times New Roman" w:hAnsi="Times New Roman" w:cs="Times New Roman"/>
                      <w:color w:val="FF0000"/>
                      <w:sz w:val="21"/>
                      <w:szCs w:val="21"/>
                    </w:rPr>
                  </w:pPr>
                  <w:r>
                    <w:rPr>
                      <w:rFonts w:hint="eastAsia" w:cs="Times New Roman"/>
                      <w:bCs/>
                      <w:color w:val="FF0000"/>
                      <w:sz w:val="21"/>
                      <w:szCs w:val="21"/>
                      <w:lang w:val="en-US" w:eastAsia="zh-CN"/>
                    </w:rPr>
                    <w:t>废液化气罐</w:t>
                  </w:r>
                </w:p>
              </w:tc>
              <w:tc>
                <w:tcPr>
                  <w:tcW w:w="1357" w:type="pct"/>
                  <w:vMerge w:val="restart"/>
                  <w:tcBorders>
                    <w:tl2br w:val="nil"/>
                    <w:tr2bl w:val="nil"/>
                  </w:tcBorders>
                  <w:shd w:val="clear" w:color="auto" w:fill="auto"/>
                  <w:vAlign w:val="center"/>
                </w:tcPr>
                <w:p w14:paraId="759FF59F">
                  <w:pPr>
                    <w:pStyle w:val="128"/>
                    <w:spacing w:line="240" w:lineRule="auto"/>
                    <w:jc w:val="center"/>
                    <w:rPr>
                      <w:rFonts w:ascii="Times New Roman" w:hAnsi="Times New Roman" w:cs="Times New Roman"/>
                      <w:color w:val="FF0000"/>
                      <w:sz w:val="21"/>
                      <w:szCs w:val="21"/>
                    </w:rPr>
                  </w:pPr>
                  <w:r>
                    <w:rPr>
                      <w:rFonts w:hint="eastAsia"/>
                      <w:color w:val="FF0000"/>
                      <w:kern w:val="0"/>
                      <w:sz w:val="21"/>
                      <w:szCs w:val="21"/>
                      <w:lang w:val="en-US" w:eastAsia="zh-CN" w:bidi="ar"/>
                    </w:rPr>
                    <w:t>厂内集中收集，分类、分区暂存在危废贮存点内，定期</w:t>
                  </w:r>
                  <w:r>
                    <w:rPr>
                      <w:rFonts w:hint="default" w:ascii="Times New Roman" w:hAnsi="Times New Roman" w:eastAsia="宋体" w:cs="Times New Roman"/>
                      <w:color w:val="FF0000"/>
                      <w:spacing w:val="-1"/>
                      <w:sz w:val="21"/>
                      <w:szCs w:val="21"/>
                    </w:rPr>
                    <w:t>交由具有相应资质的单位利用和处置</w:t>
                  </w:r>
                  <w:r>
                    <w:rPr>
                      <w:rFonts w:hint="eastAsia"/>
                      <w:color w:val="FF0000"/>
                      <w:kern w:val="0"/>
                      <w:sz w:val="21"/>
                      <w:szCs w:val="21"/>
                      <w:lang w:val="en-US" w:eastAsia="zh-CN" w:bidi="ar"/>
                    </w:rPr>
                    <w:t>。</w:t>
                  </w:r>
                </w:p>
              </w:tc>
            </w:tr>
            <w:tr w14:paraId="58F2F695">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 w:type="dxa"/>
                  <w:bottom w:w="0" w:type="dxa"/>
                  <w:right w:w="10" w:type="dxa"/>
                </w:tblCellMar>
              </w:tblPrEx>
              <w:trPr>
                <w:trHeight w:val="23" w:hRule="atLeast"/>
                <w:jc w:val="center"/>
              </w:trPr>
              <w:tc>
                <w:tcPr>
                  <w:tcW w:w="368" w:type="pct"/>
                  <w:vMerge w:val="continue"/>
                  <w:tcBorders>
                    <w:tl2br w:val="nil"/>
                    <w:tr2bl w:val="nil"/>
                  </w:tcBorders>
                  <w:shd w:val="clear" w:color="auto" w:fill="auto"/>
                  <w:vAlign w:val="center"/>
                </w:tcPr>
                <w:p w14:paraId="3917B885">
                  <w:pPr>
                    <w:spacing w:line="240" w:lineRule="auto"/>
                    <w:jc w:val="center"/>
                    <w:rPr>
                      <w:color w:val="FF0000"/>
                      <w:szCs w:val="21"/>
                    </w:rPr>
                  </w:pPr>
                </w:p>
              </w:tc>
              <w:tc>
                <w:tcPr>
                  <w:tcW w:w="461" w:type="pct"/>
                  <w:tcBorders>
                    <w:tl2br w:val="nil"/>
                    <w:tr2bl w:val="nil"/>
                  </w:tcBorders>
                  <w:shd w:val="clear" w:color="auto" w:fill="auto"/>
                  <w:vAlign w:val="center"/>
                </w:tcPr>
                <w:p w14:paraId="34E3BCB3">
                  <w:pPr>
                    <w:pStyle w:val="128"/>
                    <w:spacing w:line="240" w:lineRule="auto"/>
                    <w:jc w:val="center"/>
                    <w:rPr>
                      <w:rFonts w:ascii="Times New Roman" w:hAnsi="Times New Roman" w:cs="Times New Roman"/>
                      <w:color w:val="FF0000"/>
                      <w:sz w:val="21"/>
                      <w:szCs w:val="21"/>
                    </w:rPr>
                  </w:pPr>
                  <w:r>
                    <w:rPr>
                      <w:rFonts w:ascii="Times New Roman" w:hAnsi="Times New Roman" w:cs="Times New Roman"/>
                      <w:color w:val="FF0000"/>
                      <w:sz w:val="21"/>
                      <w:szCs w:val="21"/>
                      <w:lang w:val="en-US" w:eastAsia="en-US" w:bidi="en-US"/>
                    </w:rPr>
                    <w:t>S2</w:t>
                  </w:r>
                </w:p>
              </w:tc>
              <w:tc>
                <w:tcPr>
                  <w:tcW w:w="1555" w:type="pct"/>
                  <w:tcBorders>
                    <w:tl2br w:val="nil"/>
                    <w:tr2bl w:val="nil"/>
                  </w:tcBorders>
                  <w:shd w:val="clear" w:color="auto" w:fill="auto"/>
                  <w:vAlign w:val="center"/>
                </w:tcPr>
                <w:p w14:paraId="13A4580B">
                  <w:pPr>
                    <w:spacing w:line="240" w:lineRule="auto"/>
                    <w:jc w:val="center"/>
                    <w:rPr>
                      <w:color w:val="FF0000"/>
                      <w:szCs w:val="21"/>
                    </w:rPr>
                  </w:pPr>
                  <w:r>
                    <w:rPr>
                      <w:rFonts w:hint="eastAsia"/>
                      <w:color w:val="FF0000"/>
                      <w:szCs w:val="21"/>
                    </w:rPr>
                    <w:t>拆解</w:t>
                  </w:r>
                </w:p>
              </w:tc>
              <w:tc>
                <w:tcPr>
                  <w:tcW w:w="1256" w:type="pct"/>
                  <w:tcBorders>
                    <w:tl2br w:val="nil"/>
                    <w:tr2bl w:val="nil"/>
                  </w:tcBorders>
                  <w:shd w:val="clear" w:color="auto" w:fill="auto"/>
                  <w:vAlign w:val="center"/>
                </w:tcPr>
                <w:p w14:paraId="22515247">
                  <w:pPr>
                    <w:pStyle w:val="128"/>
                    <w:spacing w:line="240" w:lineRule="auto"/>
                    <w:jc w:val="center"/>
                    <w:rPr>
                      <w:rFonts w:ascii="Times New Roman" w:hAnsi="Times New Roman" w:cs="Times New Roman"/>
                      <w:color w:val="FF0000"/>
                      <w:sz w:val="21"/>
                      <w:szCs w:val="21"/>
                    </w:rPr>
                  </w:pPr>
                  <w:r>
                    <w:rPr>
                      <w:rFonts w:hint="eastAsia" w:cs="Times New Roman"/>
                      <w:bCs/>
                      <w:color w:val="FF0000"/>
                      <w:sz w:val="21"/>
                      <w:szCs w:val="21"/>
                      <w:lang w:val="en-US" w:eastAsia="zh-CN"/>
                    </w:rPr>
                    <w:t>废制冷剂</w:t>
                  </w:r>
                </w:p>
              </w:tc>
              <w:tc>
                <w:tcPr>
                  <w:tcW w:w="1357" w:type="pct"/>
                  <w:vMerge w:val="continue"/>
                  <w:tcBorders>
                    <w:tl2br w:val="nil"/>
                    <w:tr2bl w:val="nil"/>
                  </w:tcBorders>
                  <w:shd w:val="clear" w:color="auto" w:fill="auto"/>
                  <w:vAlign w:val="center"/>
                </w:tcPr>
                <w:p w14:paraId="57AECBA9">
                  <w:pPr>
                    <w:pStyle w:val="128"/>
                    <w:spacing w:line="240" w:lineRule="auto"/>
                    <w:jc w:val="center"/>
                    <w:rPr>
                      <w:rFonts w:ascii="Times New Roman" w:hAnsi="Times New Roman" w:cs="Times New Roman"/>
                      <w:color w:val="FF0000"/>
                      <w:sz w:val="21"/>
                      <w:szCs w:val="21"/>
                    </w:rPr>
                  </w:pPr>
                </w:p>
              </w:tc>
            </w:tr>
            <w:tr w14:paraId="7612B792">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 w:type="dxa"/>
                  <w:bottom w:w="0" w:type="dxa"/>
                  <w:right w:w="10" w:type="dxa"/>
                </w:tblCellMar>
              </w:tblPrEx>
              <w:trPr>
                <w:trHeight w:val="23" w:hRule="atLeast"/>
                <w:jc w:val="center"/>
              </w:trPr>
              <w:tc>
                <w:tcPr>
                  <w:tcW w:w="368" w:type="pct"/>
                  <w:vMerge w:val="continue"/>
                  <w:tcBorders>
                    <w:tl2br w:val="nil"/>
                    <w:tr2bl w:val="nil"/>
                  </w:tcBorders>
                  <w:shd w:val="clear" w:color="auto" w:fill="auto"/>
                  <w:vAlign w:val="center"/>
                </w:tcPr>
                <w:p w14:paraId="79D67A6D">
                  <w:pPr>
                    <w:spacing w:line="240" w:lineRule="auto"/>
                    <w:jc w:val="center"/>
                    <w:rPr>
                      <w:color w:val="FF0000"/>
                      <w:szCs w:val="21"/>
                    </w:rPr>
                  </w:pPr>
                </w:p>
              </w:tc>
              <w:tc>
                <w:tcPr>
                  <w:tcW w:w="461" w:type="pct"/>
                  <w:tcBorders>
                    <w:tl2br w:val="nil"/>
                    <w:tr2bl w:val="nil"/>
                  </w:tcBorders>
                  <w:shd w:val="clear" w:color="auto" w:fill="auto"/>
                  <w:vAlign w:val="center"/>
                </w:tcPr>
                <w:p w14:paraId="12502E9F">
                  <w:pPr>
                    <w:pStyle w:val="128"/>
                    <w:spacing w:line="240" w:lineRule="auto"/>
                    <w:jc w:val="center"/>
                    <w:rPr>
                      <w:rFonts w:ascii="Times New Roman" w:hAnsi="Times New Roman" w:cs="Times New Roman"/>
                      <w:color w:val="FF0000"/>
                      <w:sz w:val="21"/>
                      <w:szCs w:val="21"/>
                    </w:rPr>
                  </w:pPr>
                  <w:r>
                    <w:rPr>
                      <w:rFonts w:ascii="Times New Roman" w:hAnsi="Times New Roman" w:cs="Times New Roman"/>
                      <w:color w:val="FF0000"/>
                      <w:sz w:val="21"/>
                      <w:szCs w:val="21"/>
                      <w:lang w:val="en-US" w:eastAsia="en-US" w:bidi="en-US"/>
                    </w:rPr>
                    <w:t>S3</w:t>
                  </w:r>
                </w:p>
              </w:tc>
              <w:tc>
                <w:tcPr>
                  <w:tcW w:w="1555" w:type="pct"/>
                  <w:tcBorders>
                    <w:tl2br w:val="nil"/>
                    <w:tr2bl w:val="nil"/>
                  </w:tcBorders>
                  <w:shd w:val="clear" w:color="auto" w:fill="auto"/>
                  <w:vAlign w:val="center"/>
                </w:tcPr>
                <w:p w14:paraId="13029339">
                  <w:pPr>
                    <w:spacing w:line="240" w:lineRule="auto"/>
                    <w:jc w:val="center"/>
                    <w:rPr>
                      <w:color w:val="FF0000"/>
                      <w:szCs w:val="21"/>
                    </w:rPr>
                  </w:pPr>
                  <w:r>
                    <w:rPr>
                      <w:rFonts w:hint="eastAsia"/>
                      <w:color w:val="FF0000"/>
                      <w:szCs w:val="21"/>
                    </w:rPr>
                    <w:t>拆解</w:t>
                  </w:r>
                </w:p>
              </w:tc>
              <w:tc>
                <w:tcPr>
                  <w:tcW w:w="1256" w:type="pct"/>
                  <w:tcBorders>
                    <w:tl2br w:val="nil"/>
                    <w:tr2bl w:val="nil"/>
                  </w:tcBorders>
                  <w:shd w:val="clear" w:color="auto" w:fill="auto"/>
                  <w:vAlign w:val="center"/>
                </w:tcPr>
                <w:p w14:paraId="7AC23D82">
                  <w:pPr>
                    <w:pStyle w:val="128"/>
                    <w:spacing w:line="240" w:lineRule="auto"/>
                    <w:jc w:val="center"/>
                    <w:rPr>
                      <w:rFonts w:ascii="Times New Roman" w:hAnsi="Times New Roman" w:cs="Times New Roman"/>
                      <w:color w:val="FF0000"/>
                      <w:sz w:val="21"/>
                      <w:szCs w:val="21"/>
                    </w:rPr>
                  </w:pPr>
                  <w:r>
                    <w:rPr>
                      <w:rFonts w:hint="eastAsia" w:cs="Times New Roman"/>
                      <w:bCs/>
                      <w:color w:val="FF0000"/>
                      <w:sz w:val="21"/>
                      <w:szCs w:val="21"/>
                      <w:lang w:val="en-US" w:eastAsia="zh-CN"/>
                    </w:rPr>
                    <w:t>铅酸蓄电池</w:t>
                  </w:r>
                </w:p>
              </w:tc>
              <w:tc>
                <w:tcPr>
                  <w:tcW w:w="1357" w:type="pct"/>
                  <w:tcBorders>
                    <w:tl2br w:val="nil"/>
                    <w:tr2bl w:val="nil"/>
                  </w:tcBorders>
                  <w:shd w:val="clear" w:color="auto" w:fill="auto"/>
                  <w:vAlign w:val="center"/>
                </w:tcPr>
                <w:p w14:paraId="4DE27BEB">
                  <w:pPr>
                    <w:pStyle w:val="128"/>
                    <w:spacing w:line="240" w:lineRule="auto"/>
                    <w:jc w:val="center"/>
                    <w:rPr>
                      <w:rFonts w:ascii="Times New Roman" w:hAnsi="Times New Roman" w:cs="Times New Roman"/>
                      <w:color w:val="FF0000"/>
                      <w:sz w:val="21"/>
                      <w:szCs w:val="21"/>
                    </w:rPr>
                  </w:pPr>
                  <w:r>
                    <w:rPr>
                      <w:rFonts w:hint="eastAsia" w:ascii="Times New Roman" w:hAnsi="Times New Roman" w:cs="Times New Roman"/>
                      <w:color w:val="FF0000"/>
                      <w:sz w:val="21"/>
                      <w:szCs w:val="21"/>
                      <w:lang w:val="en-US" w:eastAsia="zh-CN"/>
                    </w:rPr>
                    <w:t>暂存于铅酸蓄电池贮存区，</w:t>
                  </w:r>
                  <w:r>
                    <w:rPr>
                      <w:rFonts w:hint="eastAsia" w:ascii="Times New Roman" w:hAnsi="Times New Roman" w:cs="Times New Roman"/>
                      <w:color w:val="FF0000"/>
                      <w:sz w:val="21"/>
                      <w:szCs w:val="21"/>
                      <w:lang w:eastAsia="zh-CN"/>
                    </w:rPr>
                    <w:t>破损电池利用专用防腐密闭的容器收集后与完好电池分开储存</w:t>
                  </w:r>
                  <w:r>
                    <w:rPr>
                      <w:rFonts w:ascii="Times New Roman" w:hAnsi="Times New Roman" w:cs="Times New Roman"/>
                      <w:color w:val="FF0000"/>
                      <w:sz w:val="21"/>
                      <w:szCs w:val="21"/>
                    </w:rPr>
                    <w:t>，</w:t>
                  </w:r>
                  <w:r>
                    <w:rPr>
                      <w:rFonts w:hint="eastAsia" w:ascii="Times New Roman" w:hAnsi="Times New Roman" w:cs="Times New Roman"/>
                      <w:color w:val="FF0000"/>
                      <w:sz w:val="21"/>
                      <w:szCs w:val="21"/>
                      <w:lang w:val="en-US" w:eastAsia="zh-CN"/>
                    </w:rPr>
                    <w:t>定期</w:t>
                  </w:r>
                  <w:r>
                    <w:rPr>
                      <w:rFonts w:hint="default" w:ascii="Times New Roman" w:hAnsi="Times New Roman" w:cs="Times New Roman"/>
                      <w:color w:val="FF0000"/>
                      <w:sz w:val="21"/>
                      <w:szCs w:val="21"/>
                    </w:rPr>
                    <w:t>交由持有相应类别危险废物经营许可证的单位处理</w:t>
                  </w:r>
                  <w:r>
                    <w:rPr>
                      <w:rFonts w:ascii="Times New Roman" w:hAnsi="Times New Roman" w:cs="Times New Roman"/>
                      <w:color w:val="FF0000"/>
                      <w:sz w:val="21"/>
                      <w:szCs w:val="21"/>
                    </w:rPr>
                    <w:t>。</w:t>
                  </w:r>
                </w:p>
              </w:tc>
            </w:tr>
            <w:tr w14:paraId="4A9F9587">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 w:type="dxa"/>
                  <w:bottom w:w="0" w:type="dxa"/>
                  <w:right w:w="10" w:type="dxa"/>
                </w:tblCellMar>
              </w:tblPrEx>
              <w:trPr>
                <w:trHeight w:val="23" w:hRule="atLeast"/>
                <w:jc w:val="center"/>
              </w:trPr>
              <w:tc>
                <w:tcPr>
                  <w:tcW w:w="368" w:type="pct"/>
                  <w:vMerge w:val="continue"/>
                  <w:tcBorders>
                    <w:tl2br w:val="nil"/>
                    <w:tr2bl w:val="nil"/>
                  </w:tcBorders>
                  <w:shd w:val="clear" w:color="auto" w:fill="auto"/>
                  <w:vAlign w:val="center"/>
                </w:tcPr>
                <w:p w14:paraId="6E98D357">
                  <w:pPr>
                    <w:spacing w:line="240" w:lineRule="auto"/>
                    <w:jc w:val="center"/>
                    <w:rPr>
                      <w:color w:val="FF0000"/>
                      <w:szCs w:val="21"/>
                    </w:rPr>
                  </w:pPr>
                </w:p>
              </w:tc>
              <w:tc>
                <w:tcPr>
                  <w:tcW w:w="461" w:type="pct"/>
                  <w:tcBorders>
                    <w:tl2br w:val="nil"/>
                    <w:tr2bl w:val="nil"/>
                  </w:tcBorders>
                  <w:shd w:val="clear" w:color="auto" w:fill="auto"/>
                  <w:vAlign w:val="center"/>
                </w:tcPr>
                <w:p w14:paraId="01BC4307">
                  <w:pPr>
                    <w:pStyle w:val="128"/>
                    <w:spacing w:line="240" w:lineRule="auto"/>
                    <w:jc w:val="center"/>
                    <w:rPr>
                      <w:rFonts w:ascii="Times New Roman" w:hAnsi="Times New Roman" w:cs="Times New Roman"/>
                      <w:color w:val="FF0000"/>
                      <w:sz w:val="21"/>
                      <w:szCs w:val="21"/>
                    </w:rPr>
                  </w:pPr>
                  <w:r>
                    <w:rPr>
                      <w:rFonts w:ascii="Times New Roman" w:hAnsi="Times New Roman" w:cs="Times New Roman"/>
                      <w:color w:val="FF0000"/>
                      <w:sz w:val="21"/>
                      <w:szCs w:val="21"/>
                      <w:lang w:val="en-US" w:eastAsia="en-US" w:bidi="en-US"/>
                    </w:rPr>
                    <w:t>S4</w:t>
                  </w:r>
                </w:p>
              </w:tc>
              <w:tc>
                <w:tcPr>
                  <w:tcW w:w="1555" w:type="pct"/>
                  <w:tcBorders>
                    <w:tl2br w:val="nil"/>
                    <w:tr2bl w:val="nil"/>
                  </w:tcBorders>
                  <w:shd w:val="clear" w:color="auto" w:fill="auto"/>
                  <w:vAlign w:val="center"/>
                </w:tcPr>
                <w:p w14:paraId="6B7D4A29">
                  <w:pPr>
                    <w:spacing w:line="240" w:lineRule="auto"/>
                    <w:jc w:val="center"/>
                    <w:rPr>
                      <w:color w:val="FF0000"/>
                      <w:szCs w:val="21"/>
                    </w:rPr>
                  </w:pPr>
                  <w:r>
                    <w:rPr>
                      <w:rFonts w:hint="eastAsia"/>
                      <w:color w:val="FF0000"/>
                      <w:szCs w:val="21"/>
                    </w:rPr>
                    <w:t>拆解</w:t>
                  </w:r>
                </w:p>
              </w:tc>
              <w:tc>
                <w:tcPr>
                  <w:tcW w:w="1256" w:type="pct"/>
                  <w:tcBorders>
                    <w:tl2br w:val="nil"/>
                    <w:tr2bl w:val="nil"/>
                  </w:tcBorders>
                  <w:shd w:val="clear" w:color="auto" w:fill="auto"/>
                  <w:vAlign w:val="center"/>
                </w:tcPr>
                <w:p w14:paraId="48AA17A6">
                  <w:pPr>
                    <w:pStyle w:val="128"/>
                    <w:spacing w:line="240" w:lineRule="auto"/>
                    <w:jc w:val="center"/>
                    <w:rPr>
                      <w:rFonts w:ascii="Times New Roman" w:hAnsi="Times New Roman" w:cs="Times New Roman"/>
                      <w:color w:val="FF0000"/>
                      <w:sz w:val="21"/>
                      <w:szCs w:val="21"/>
                    </w:rPr>
                  </w:pPr>
                  <w:r>
                    <w:rPr>
                      <w:rFonts w:hint="eastAsia" w:cs="Times New Roman"/>
                      <w:bCs/>
                      <w:color w:val="FF0000"/>
                      <w:sz w:val="21"/>
                      <w:szCs w:val="21"/>
                      <w:lang w:val="en-US" w:eastAsia="zh-CN"/>
                    </w:rPr>
                    <w:t>废矿物油</w:t>
                  </w:r>
                </w:p>
              </w:tc>
              <w:tc>
                <w:tcPr>
                  <w:tcW w:w="1357" w:type="pct"/>
                  <w:vMerge w:val="restart"/>
                  <w:tcBorders>
                    <w:tl2br w:val="nil"/>
                    <w:tr2bl w:val="nil"/>
                  </w:tcBorders>
                  <w:shd w:val="clear" w:color="auto" w:fill="auto"/>
                  <w:vAlign w:val="center"/>
                </w:tcPr>
                <w:p w14:paraId="4172421E">
                  <w:pPr>
                    <w:pStyle w:val="128"/>
                    <w:spacing w:line="240" w:lineRule="auto"/>
                    <w:jc w:val="center"/>
                    <w:rPr>
                      <w:rFonts w:ascii="Times New Roman" w:hAnsi="Times New Roman" w:cs="Times New Roman"/>
                      <w:color w:val="FF0000"/>
                      <w:sz w:val="21"/>
                      <w:szCs w:val="21"/>
                    </w:rPr>
                  </w:pPr>
                  <w:r>
                    <w:rPr>
                      <w:rFonts w:hint="eastAsia"/>
                      <w:color w:val="FF0000"/>
                      <w:kern w:val="0"/>
                      <w:sz w:val="21"/>
                      <w:szCs w:val="21"/>
                      <w:lang w:val="en-US" w:eastAsia="zh-CN" w:bidi="ar"/>
                    </w:rPr>
                    <w:t>厂内集中收集，分类、分区暂存在危废贮存点内，定期</w:t>
                  </w:r>
                  <w:r>
                    <w:rPr>
                      <w:rFonts w:hint="default" w:ascii="Times New Roman" w:hAnsi="Times New Roman" w:eastAsia="宋体" w:cs="Times New Roman"/>
                      <w:color w:val="FF0000"/>
                      <w:spacing w:val="-1"/>
                      <w:sz w:val="21"/>
                      <w:szCs w:val="21"/>
                    </w:rPr>
                    <w:t>交由持有相应类别危险废物经营许可证的单</w:t>
                  </w:r>
                  <w:r>
                    <w:rPr>
                      <w:rFonts w:hint="default" w:ascii="Times New Roman" w:hAnsi="Times New Roman" w:eastAsia="宋体" w:cs="Times New Roman"/>
                      <w:color w:val="FF0000"/>
                      <w:spacing w:val="-2"/>
                      <w:sz w:val="21"/>
                      <w:szCs w:val="21"/>
                    </w:rPr>
                    <w:t>位处理</w:t>
                  </w:r>
                  <w:r>
                    <w:rPr>
                      <w:rFonts w:hint="eastAsia"/>
                      <w:color w:val="FF0000"/>
                      <w:kern w:val="0"/>
                      <w:sz w:val="21"/>
                      <w:szCs w:val="21"/>
                      <w:lang w:val="en-US" w:eastAsia="zh-CN" w:bidi="ar"/>
                    </w:rPr>
                    <w:t>。</w:t>
                  </w:r>
                </w:p>
              </w:tc>
            </w:tr>
            <w:tr w14:paraId="59C7DBC0">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 w:type="dxa"/>
                  <w:bottom w:w="0" w:type="dxa"/>
                  <w:right w:w="10" w:type="dxa"/>
                </w:tblCellMar>
              </w:tblPrEx>
              <w:trPr>
                <w:trHeight w:val="23" w:hRule="atLeast"/>
                <w:jc w:val="center"/>
              </w:trPr>
              <w:tc>
                <w:tcPr>
                  <w:tcW w:w="368" w:type="pct"/>
                  <w:vMerge w:val="continue"/>
                  <w:tcBorders>
                    <w:tl2br w:val="nil"/>
                    <w:tr2bl w:val="nil"/>
                  </w:tcBorders>
                  <w:shd w:val="clear" w:color="auto" w:fill="auto"/>
                  <w:vAlign w:val="center"/>
                </w:tcPr>
                <w:p w14:paraId="17A81F66">
                  <w:pPr>
                    <w:spacing w:line="240" w:lineRule="auto"/>
                    <w:jc w:val="center"/>
                    <w:rPr>
                      <w:color w:val="FF0000"/>
                      <w:szCs w:val="21"/>
                    </w:rPr>
                  </w:pPr>
                </w:p>
              </w:tc>
              <w:tc>
                <w:tcPr>
                  <w:tcW w:w="461" w:type="pct"/>
                  <w:tcBorders>
                    <w:tl2br w:val="nil"/>
                    <w:tr2bl w:val="nil"/>
                  </w:tcBorders>
                  <w:shd w:val="clear" w:color="auto" w:fill="auto"/>
                  <w:vAlign w:val="center"/>
                </w:tcPr>
                <w:p w14:paraId="2CDE4FDC">
                  <w:pPr>
                    <w:pStyle w:val="128"/>
                    <w:spacing w:line="240" w:lineRule="auto"/>
                    <w:jc w:val="center"/>
                    <w:rPr>
                      <w:rFonts w:ascii="Times New Roman" w:hAnsi="Times New Roman" w:cs="Times New Roman"/>
                      <w:color w:val="FF0000"/>
                      <w:sz w:val="21"/>
                      <w:szCs w:val="21"/>
                    </w:rPr>
                  </w:pPr>
                  <w:r>
                    <w:rPr>
                      <w:rFonts w:ascii="Times New Roman" w:hAnsi="Times New Roman" w:cs="Times New Roman"/>
                      <w:color w:val="FF0000"/>
                      <w:sz w:val="21"/>
                      <w:szCs w:val="21"/>
                      <w:lang w:val="en-US" w:eastAsia="en-US" w:bidi="en-US"/>
                    </w:rPr>
                    <w:t>S5</w:t>
                  </w:r>
                </w:p>
              </w:tc>
              <w:tc>
                <w:tcPr>
                  <w:tcW w:w="1555" w:type="pct"/>
                  <w:tcBorders>
                    <w:tl2br w:val="nil"/>
                    <w:tr2bl w:val="nil"/>
                  </w:tcBorders>
                  <w:shd w:val="clear" w:color="auto" w:fill="auto"/>
                  <w:vAlign w:val="center"/>
                </w:tcPr>
                <w:p w14:paraId="5FB503F6">
                  <w:pPr>
                    <w:spacing w:line="240" w:lineRule="auto"/>
                    <w:jc w:val="center"/>
                    <w:rPr>
                      <w:color w:val="FF0000"/>
                      <w:szCs w:val="21"/>
                    </w:rPr>
                  </w:pPr>
                  <w:r>
                    <w:rPr>
                      <w:rFonts w:hint="eastAsia"/>
                      <w:color w:val="FF0000"/>
                      <w:szCs w:val="21"/>
                    </w:rPr>
                    <w:t>拆解</w:t>
                  </w:r>
                </w:p>
              </w:tc>
              <w:tc>
                <w:tcPr>
                  <w:tcW w:w="1256" w:type="pct"/>
                  <w:tcBorders>
                    <w:tl2br w:val="nil"/>
                    <w:tr2bl w:val="nil"/>
                  </w:tcBorders>
                  <w:shd w:val="clear" w:color="auto" w:fill="auto"/>
                  <w:vAlign w:val="center"/>
                </w:tcPr>
                <w:p w14:paraId="5517FAF7">
                  <w:pPr>
                    <w:pStyle w:val="128"/>
                    <w:spacing w:line="240" w:lineRule="auto"/>
                    <w:jc w:val="center"/>
                    <w:rPr>
                      <w:rFonts w:ascii="Times New Roman" w:hAnsi="Times New Roman" w:cs="Times New Roman"/>
                      <w:color w:val="FF0000"/>
                      <w:sz w:val="21"/>
                      <w:szCs w:val="21"/>
                    </w:rPr>
                  </w:pPr>
                  <w:r>
                    <w:rPr>
                      <w:rFonts w:hint="eastAsia" w:cs="Times New Roman"/>
                      <w:bCs/>
                      <w:color w:val="FF0000"/>
                      <w:sz w:val="21"/>
                      <w:szCs w:val="21"/>
                      <w:lang w:val="en-US" w:eastAsia="zh-CN"/>
                    </w:rPr>
                    <w:t>废燃料油</w:t>
                  </w:r>
                </w:p>
              </w:tc>
              <w:tc>
                <w:tcPr>
                  <w:tcW w:w="1357" w:type="pct"/>
                  <w:vMerge w:val="continue"/>
                  <w:tcBorders>
                    <w:tl2br w:val="nil"/>
                    <w:tr2bl w:val="nil"/>
                  </w:tcBorders>
                  <w:shd w:val="clear" w:color="auto" w:fill="auto"/>
                  <w:vAlign w:val="center"/>
                </w:tcPr>
                <w:p w14:paraId="2F5127EA">
                  <w:pPr>
                    <w:pStyle w:val="128"/>
                    <w:spacing w:line="240" w:lineRule="auto"/>
                    <w:jc w:val="center"/>
                    <w:rPr>
                      <w:rFonts w:ascii="Times New Roman" w:hAnsi="Times New Roman" w:cs="Times New Roman"/>
                      <w:color w:val="FF0000"/>
                      <w:sz w:val="21"/>
                      <w:szCs w:val="21"/>
                    </w:rPr>
                  </w:pPr>
                </w:p>
              </w:tc>
            </w:tr>
            <w:tr w14:paraId="60AF85A1">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 w:type="dxa"/>
                  <w:bottom w:w="0" w:type="dxa"/>
                  <w:right w:w="10" w:type="dxa"/>
                </w:tblCellMar>
              </w:tblPrEx>
              <w:trPr>
                <w:trHeight w:val="23" w:hRule="atLeast"/>
                <w:jc w:val="center"/>
              </w:trPr>
              <w:tc>
                <w:tcPr>
                  <w:tcW w:w="368" w:type="pct"/>
                  <w:vMerge w:val="continue"/>
                  <w:tcBorders>
                    <w:tl2br w:val="nil"/>
                    <w:tr2bl w:val="nil"/>
                  </w:tcBorders>
                  <w:shd w:val="clear" w:color="auto" w:fill="auto"/>
                  <w:vAlign w:val="center"/>
                </w:tcPr>
                <w:p w14:paraId="6A22B837">
                  <w:pPr>
                    <w:spacing w:line="240" w:lineRule="auto"/>
                    <w:jc w:val="center"/>
                    <w:rPr>
                      <w:color w:val="FF0000"/>
                      <w:szCs w:val="21"/>
                    </w:rPr>
                  </w:pPr>
                </w:p>
              </w:tc>
              <w:tc>
                <w:tcPr>
                  <w:tcW w:w="461" w:type="pct"/>
                  <w:tcBorders>
                    <w:tl2br w:val="nil"/>
                    <w:tr2bl w:val="nil"/>
                  </w:tcBorders>
                  <w:shd w:val="clear" w:color="auto" w:fill="auto"/>
                  <w:vAlign w:val="center"/>
                </w:tcPr>
                <w:p w14:paraId="703ACBEA">
                  <w:pPr>
                    <w:pStyle w:val="128"/>
                    <w:spacing w:line="240" w:lineRule="auto"/>
                    <w:jc w:val="center"/>
                    <w:rPr>
                      <w:rFonts w:ascii="Times New Roman" w:hAnsi="Times New Roman" w:cs="Times New Roman"/>
                      <w:color w:val="FF0000"/>
                      <w:sz w:val="21"/>
                      <w:szCs w:val="21"/>
                    </w:rPr>
                  </w:pPr>
                  <w:r>
                    <w:rPr>
                      <w:rFonts w:ascii="Times New Roman" w:hAnsi="Times New Roman" w:cs="Times New Roman"/>
                      <w:color w:val="FF0000"/>
                      <w:sz w:val="21"/>
                      <w:szCs w:val="21"/>
                      <w:lang w:val="en-US" w:eastAsia="en-US" w:bidi="en-US"/>
                    </w:rPr>
                    <w:t>S6</w:t>
                  </w:r>
                </w:p>
              </w:tc>
              <w:tc>
                <w:tcPr>
                  <w:tcW w:w="1555" w:type="pct"/>
                  <w:tcBorders>
                    <w:tl2br w:val="nil"/>
                    <w:tr2bl w:val="nil"/>
                  </w:tcBorders>
                  <w:shd w:val="clear" w:color="auto" w:fill="auto"/>
                  <w:vAlign w:val="center"/>
                </w:tcPr>
                <w:p w14:paraId="437B2647">
                  <w:pPr>
                    <w:spacing w:line="240" w:lineRule="auto"/>
                    <w:jc w:val="center"/>
                    <w:rPr>
                      <w:color w:val="FF0000"/>
                      <w:szCs w:val="21"/>
                    </w:rPr>
                  </w:pPr>
                  <w:r>
                    <w:rPr>
                      <w:rFonts w:hint="eastAsia"/>
                      <w:color w:val="FF0000"/>
                      <w:szCs w:val="21"/>
                    </w:rPr>
                    <w:t>拆解</w:t>
                  </w:r>
                </w:p>
              </w:tc>
              <w:tc>
                <w:tcPr>
                  <w:tcW w:w="1256" w:type="pct"/>
                  <w:tcBorders>
                    <w:tl2br w:val="nil"/>
                    <w:tr2bl w:val="nil"/>
                  </w:tcBorders>
                  <w:shd w:val="clear" w:color="auto" w:fill="auto"/>
                  <w:vAlign w:val="center"/>
                </w:tcPr>
                <w:p w14:paraId="6AED167C">
                  <w:pPr>
                    <w:pStyle w:val="128"/>
                    <w:spacing w:line="240" w:lineRule="auto"/>
                    <w:jc w:val="center"/>
                    <w:rPr>
                      <w:rFonts w:ascii="Times New Roman" w:hAnsi="Times New Roman" w:cs="Times New Roman"/>
                      <w:color w:val="FF0000"/>
                      <w:sz w:val="21"/>
                      <w:szCs w:val="21"/>
                    </w:rPr>
                  </w:pPr>
                  <w:r>
                    <w:rPr>
                      <w:rFonts w:hint="eastAsia" w:cs="Times New Roman"/>
                      <w:bCs/>
                      <w:color w:val="FF0000"/>
                      <w:sz w:val="21"/>
                      <w:szCs w:val="21"/>
                      <w:lang w:val="en-US" w:eastAsia="zh-CN"/>
                    </w:rPr>
                    <w:t>废尾气净化装置及催化剂</w:t>
                  </w:r>
                </w:p>
              </w:tc>
              <w:tc>
                <w:tcPr>
                  <w:tcW w:w="1357" w:type="pct"/>
                  <w:vMerge w:val="continue"/>
                  <w:tcBorders>
                    <w:tl2br w:val="nil"/>
                    <w:tr2bl w:val="nil"/>
                  </w:tcBorders>
                  <w:shd w:val="clear" w:color="auto" w:fill="auto"/>
                  <w:vAlign w:val="center"/>
                </w:tcPr>
                <w:p w14:paraId="67A7352D">
                  <w:pPr>
                    <w:pStyle w:val="128"/>
                    <w:spacing w:line="240" w:lineRule="auto"/>
                    <w:jc w:val="center"/>
                    <w:rPr>
                      <w:rFonts w:ascii="Times New Roman" w:hAnsi="Times New Roman" w:cs="Times New Roman"/>
                      <w:color w:val="FF0000"/>
                      <w:sz w:val="21"/>
                      <w:szCs w:val="21"/>
                    </w:rPr>
                  </w:pPr>
                </w:p>
              </w:tc>
            </w:tr>
            <w:tr w14:paraId="134F1E61">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 w:type="dxa"/>
                  <w:bottom w:w="0" w:type="dxa"/>
                  <w:right w:w="10" w:type="dxa"/>
                </w:tblCellMar>
              </w:tblPrEx>
              <w:trPr>
                <w:trHeight w:val="23" w:hRule="atLeast"/>
                <w:jc w:val="center"/>
              </w:trPr>
              <w:tc>
                <w:tcPr>
                  <w:tcW w:w="368" w:type="pct"/>
                  <w:vMerge w:val="continue"/>
                  <w:tcBorders>
                    <w:tl2br w:val="nil"/>
                    <w:tr2bl w:val="nil"/>
                  </w:tcBorders>
                  <w:shd w:val="clear" w:color="auto" w:fill="auto"/>
                  <w:vAlign w:val="center"/>
                </w:tcPr>
                <w:p w14:paraId="102072D3">
                  <w:pPr>
                    <w:spacing w:line="240" w:lineRule="auto"/>
                    <w:jc w:val="center"/>
                    <w:rPr>
                      <w:color w:val="FF0000"/>
                      <w:szCs w:val="21"/>
                    </w:rPr>
                  </w:pPr>
                </w:p>
              </w:tc>
              <w:tc>
                <w:tcPr>
                  <w:tcW w:w="461" w:type="pct"/>
                  <w:tcBorders>
                    <w:tl2br w:val="nil"/>
                    <w:tr2bl w:val="nil"/>
                  </w:tcBorders>
                  <w:shd w:val="clear" w:color="auto" w:fill="auto"/>
                  <w:vAlign w:val="center"/>
                </w:tcPr>
                <w:p w14:paraId="1212E237">
                  <w:pPr>
                    <w:pStyle w:val="128"/>
                    <w:spacing w:line="240" w:lineRule="auto"/>
                    <w:jc w:val="center"/>
                    <w:rPr>
                      <w:rFonts w:ascii="Times New Roman" w:hAnsi="Times New Roman" w:cs="Times New Roman"/>
                      <w:color w:val="FF0000"/>
                      <w:sz w:val="21"/>
                      <w:szCs w:val="21"/>
                    </w:rPr>
                  </w:pPr>
                  <w:r>
                    <w:rPr>
                      <w:rFonts w:ascii="Times New Roman" w:hAnsi="Times New Roman" w:cs="Times New Roman"/>
                      <w:color w:val="FF0000"/>
                      <w:sz w:val="21"/>
                      <w:szCs w:val="21"/>
                      <w:lang w:val="en-US" w:eastAsia="en-US" w:bidi="en-US"/>
                    </w:rPr>
                    <w:t>S7</w:t>
                  </w:r>
                </w:p>
              </w:tc>
              <w:tc>
                <w:tcPr>
                  <w:tcW w:w="1555" w:type="pct"/>
                  <w:tcBorders>
                    <w:tl2br w:val="nil"/>
                    <w:tr2bl w:val="nil"/>
                  </w:tcBorders>
                  <w:shd w:val="clear" w:color="auto" w:fill="auto"/>
                  <w:vAlign w:val="center"/>
                </w:tcPr>
                <w:p w14:paraId="689DDC17">
                  <w:pPr>
                    <w:spacing w:line="240" w:lineRule="auto"/>
                    <w:jc w:val="center"/>
                    <w:rPr>
                      <w:color w:val="FF0000"/>
                      <w:szCs w:val="21"/>
                    </w:rPr>
                  </w:pPr>
                  <w:r>
                    <w:rPr>
                      <w:rFonts w:hint="eastAsia"/>
                      <w:color w:val="FF0000"/>
                      <w:szCs w:val="21"/>
                    </w:rPr>
                    <w:t>拆解</w:t>
                  </w:r>
                </w:p>
              </w:tc>
              <w:tc>
                <w:tcPr>
                  <w:tcW w:w="1256" w:type="pct"/>
                  <w:tcBorders>
                    <w:tl2br w:val="nil"/>
                    <w:tr2bl w:val="nil"/>
                  </w:tcBorders>
                  <w:shd w:val="clear" w:color="auto" w:fill="auto"/>
                  <w:vAlign w:val="center"/>
                </w:tcPr>
                <w:p w14:paraId="6CCE9792">
                  <w:pPr>
                    <w:pStyle w:val="128"/>
                    <w:spacing w:line="240" w:lineRule="auto"/>
                    <w:jc w:val="center"/>
                    <w:rPr>
                      <w:rFonts w:ascii="Times New Roman" w:hAnsi="Times New Roman" w:cs="Times New Roman"/>
                      <w:color w:val="FF0000"/>
                      <w:sz w:val="21"/>
                      <w:szCs w:val="21"/>
                    </w:rPr>
                  </w:pPr>
                  <w:r>
                    <w:rPr>
                      <w:rFonts w:hint="eastAsia" w:cs="Times New Roman"/>
                      <w:bCs/>
                      <w:color w:val="FF0000"/>
                      <w:sz w:val="21"/>
                      <w:szCs w:val="21"/>
                      <w:lang w:val="en-US" w:eastAsia="zh-CN"/>
                    </w:rPr>
                    <w:t>废滤清器和废油箱</w:t>
                  </w:r>
                </w:p>
              </w:tc>
              <w:tc>
                <w:tcPr>
                  <w:tcW w:w="1357" w:type="pct"/>
                  <w:vMerge w:val="continue"/>
                  <w:tcBorders>
                    <w:tl2br w:val="nil"/>
                    <w:tr2bl w:val="nil"/>
                  </w:tcBorders>
                  <w:shd w:val="clear" w:color="auto" w:fill="auto"/>
                  <w:vAlign w:val="center"/>
                </w:tcPr>
                <w:p w14:paraId="6281A596">
                  <w:pPr>
                    <w:pStyle w:val="128"/>
                    <w:spacing w:line="240" w:lineRule="auto"/>
                    <w:jc w:val="center"/>
                    <w:rPr>
                      <w:rFonts w:ascii="Times New Roman" w:hAnsi="Times New Roman" w:cs="Times New Roman"/>
                      <w:color w:val="FF0000"/>
                      <w:sz w:val="21"/>
                      <w:szCs w:val="21"/>
                    </w:rPr>
                  </w:pPr>
                </w:p>
              </w:tc>
            </w:tr>
            <w:tr w14:paraId="622B2D7B">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PrEx>
              <w:trPr>
                <w:trHeight w:val="23" w:hRule="atLeast"/>
                <w:jc w:val="center"/>
              </w:trPr>
              <w:tc>
                <w:tcPr>
                  <w:tcW w:w="368" w:type="pct"/>
                  <w:vMerge w:val="continue"/>
                  <w:tcBorders>
                    <w:tl2br w:val="nil"/>
                    <w:tr2bl w:val="nil"/>
                  </w:tcBorders>
                  <w:shd w:val="clear" w:color="auto" w:fill="auto"/>
                  <w:vAlign w:val="center"/>
                </w:tcPr>
                <w:p w14:paraId="7A012FD7">
                  <w:pPr>
                    <w:spacing w:line="240" w:lineRule="auto"/>
                    <w:jc w:val="center"/>
                    <w:rPr>
                      <w:color w:val="FF0000"/>
                      <w:szCs w:val="21"/>
                    </w:rPr>
                  </w:pPr>
                </w:p>
              </w:tc>
              <w:tc>
                <w:tcPr>
                  <w:tcW w:w="461" w:type="pct"/>
                  <w:tcBorders>
                    <w:tl2br w:val="nil"/>
                    <w:tr2bl w:val="nil"/>
                  </w:tcBorders>
                  <w:shd w:val="clear" w:color="auto" w:fill="auto"/>
                  <w:vAlign w:val="center"/>
                </w:tcPr>
                <w:p w14:paraId="268751ED">
                  <w:pPr>
                    <w:pStyle w:val="128"/>
                    <w:spacing w:line="240" w:lineRule="auto"/>
                    <w:jc w:val="center"/>
                    <w:rPr>
                      <w:rFonts w:ascii="Times New Roman" w:hAnsi="Times New Roman" w:cs="Times New Roman"/>
                      <w:color w:val="FF0000"/>
                      <w:sz w:val="21"/>
                      <w:szCs w:val="21"/>
                    </w:rPr>
                  </w:pPr>
                  <w:r>
                    <w:rPr>
                      <w:rFonts w:ascii="Times New Roman" w:hAnsi="Times New Roman" w:cs="Times New Roman"/>
                      <w:color w:val="FF0000"/>
                      <w:sz w:val="21"/>
                      <w:szCs w:val="21"/>
                      <w:lang w:val="en-US" w:eastAsia="en-US" w:bidi="en-US"/>
                    </w:rPr>
                    <w:t>S8</w:t>
                  </w:r>
                </w:p>
              </w:tc>
              <w:tc>
                <w:tcPr>
                  <w:tcW w:w="1555" w:type="pct"/>
                  <w:tcBorders>
                    <w:tl2br w:val="nil"/>
                    <w:tr2bl w:val="nil"/>
                  </w:tcBorders>
                  <w:shd w:val="clear" w:color="auto" w:fill="auto"/>
                  <w:vAlign w:val="center"/>
                </w:tcPr>
                <w:p w14:paraId="690617D3">
                  <w:pPr>
                    <w:spacing w:line="240" w:lineRule="auto"/>
                    <w:jc w:val="center"/>
                    <w:rPr>
                      <w:color w:val="FF0000"/>
                      <w:szCs w:val="21"/>
                    </w:rPr>
                  </w:pPr>
                  <w:r>
                    <w:rPr>
                      <w:rFonts w:hint="eastAsia"/>
                      <w:color w:val="FF0000"/>
                      <w:szCs w:val="21"/>
                    </w:rPr>
                    <w:t>拆解</w:t>
                  </w:r>
                </w:p>
              </w:tc>
              <w:tc>
                <w:tcPr>
                  <w:tcW w:w="1256" w:type="pct"/>
                  <w:tcBorders>
                    <w:tl2br w:val="nil"/>
                    <w:tr2bl w:val="nil"/>
                  </w:tcBorders>
                  <w:shd w:val="clear" w:color="auto" w:fill="auto"/>
                  <w:vAlign w:val="center"/>
                </w:tcPr>
                <w:p w14:paraId="06D0B775">
                  <w:pPr>
                    <w:pStyle w:val="128"/>
                    <w:spacing w:line="240" w:lineRule="auto"/>
                    <w:jc w:val="center"/>
                    <w:rPr>
                      <w:rFonts w:ascii="Times New Roman" w:hAnsi="Times New Roman" w:cs="Times New Roman"/>
                      <w:color w:val="FF0000"/>
                      <w:sz w:val="21"/>
                      <w:szCs w:val="21"/>
                    </w:rPr>
                  </w:pPr>
                  <w:r>
                    <w:rPr>
                      <w:rFonts w:hint="eastAsia" w:cs="Times New Roman"/>
                      <w:bCs/>
                      <w:color w:val="FF0000"/>
                      <w:sz w:val="21"/>
                      <w:szCs w:val="21"/>
                      <w:lang w:val="en-US" w:eastAsia="zh-CN"/>
                    </w:rPr>
                    <w:t>废电路板及电子元件</w:t>
                  </w:r>
                </w:p>
              </w:tc>
              <w:tc>
                <w:tcPr>
                  <w:tcW w:w="1357" w:type="pct"/>
                  <w:tcBorders>
                    <w:tl2br w:val="nil"/>
                    <w:tr2bl w:val="nil"/>
                  </w:tcBorders>
                  <w:shd w:val="clear" w:color="auto" w:fill="auto"/>
                  <w:vAlign w:val="center"/>
                </w:tcPr>
                <w:p w14:paraId="1C68E11C">
                  <w:pPr>
                    <w:pStyle w:val="128"/>
                    <w:spacing w:line="240" w:lineRule="auto"/>
                    <w:jc w:val="center"/>
                    <w:rPr>
                      <w:rFonts w:hint="eastAsia" w:ascii="Times New Roman" w:hAnsi="Times New Roman" w:eastAsia="宋体" w:cs="Times New Roman"/>
                      <w:color w:val="FF0000"/>
                      <w:sz w:val="21"/>
                      <w:szCs w:val="21"/>
                      <w:lang w:eastAsia="zh-CN"/>
                    </w:rPr>
                  </w:pPr>
                  <w:r>
                    <w:rPr>
                      <w:rFonts w:hint="eastAsia"/>
                      <w:color w:val="FF0000"/>
                      <w:kern w:val="0"/>
                      <w:sz w:val="21"/>
                      <w:szCs w:val="21"/>
                      <w:lang w:val="en-US" w:eastAsia="zh-CN" w:bidi="ar"/>
                    </w:rPr>
                    <w:t>厂内集中收集，分类、分区暂存在危废贮存点内，定期</w:t>
                  </w:r>
                  <w:r>
                    <w:rPr>
                      <w:rFonts w:hint="default" w:ascii="Times New Roman" w:hAnsi="Times New Roman" w:eastAsia="宋体" w:cs="Times New Roman"/>
                      <w:color w:val="FF0000"/>
                      <w:spacing w:val="-1"/>
                      <w:sz w:val="21"/>
                      <w:szCs w:val="21"/>
                    </w:rPr>
                    <w:t>交由具有相应废弃电器电子产品处理资格企业、电子废物拆解利用处置单位名录内企业</w:t>
                  </w:r>
                  <w:r>
                    <w:rPr>
                      <w:rFonts w:hint="eastAsia" w:ascii="Times New Roman" w:hAnsi="Times New Roman" w:eastAsia="宋体" w:cs="Times New Roman"/>
                      <w:color w:val="FF0000"/>
                      <w:spacing w:val="-1"/>
                      <w:sz w:val="21"/>
                      <w:szCs w:val="21"/>
                      <w:lang w:eastAsia="zh-CN"/>
                    </w:rPr>
                    <w:t>。</w:t>
                  </w:r>
                </w:p>
              </w:tc>
            </w:tr>
            <w:tr w14:paraId="2FAA8CED">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 w:type="dxa"/>
                  <w:bottom w:w="0" w:type="dxa"/>
                  <w:right w:w="10" w:type="dxa"/>
                </w:tblCellMar>
              </w:tblPrEx>
              <w:trPr>
                <w:trHeight w:val="23" w:hRule="atLeast"/>
                <w:jc w:val="center"/>
              </w:trPr>
              <w:tc>
                <w:tcPr>
                  <w:tcW w:w="368" w:type="pct"/>
                  <w:vMerge w:val="continue"/>
                  <w:tcBorders>
                    <w:tl2br w:val="nil"/>
                    <w:tr2bl w:val="nil"/>
                  </w:tcBorders>
                  <w:shd w:val="clear" w:color="auto" w:fill="auto"/>
                  <w:vAlign w:val="center"/>
                </w:tcPr>
                <w:p w14:paraId="1204355F">
                  <w:pPr>
                    <w:spacing w:line="240" w:lineRule="auto"/>
                    <w:jc w:val="center"/>
                    <w:rPr>
                      <w:color w:val="FF0000"/>
                      <w:szCs w:val="21"/>
                    </w:rPr>
                  </w:pPr>
                </w:p>
              </w:tc>
              <w:tc>
                <w:tcPr>
                  <w:tcW w:w="461" w:type="pct"/>
                  <w:tcBorders>
                    <w:tl2br w:val="nil"/>
                    <w:tr2bl w:val="nil"/>
                  </w:tcBorders>
                  <w:shd w:val="clear" w:color="auto" w:fill="auto"/>
                  <w:vAlign w:val="center"/>
                </w:tcPr>
                <w:p w14:paraId="2AE16A71">
                  <w:pPr>
                    <w:pStyle w:val="128"/>
                    <w:spacing w:line="240" w:lineRule="auto"/>
                    <w:jc w:val="center"/>
                    <w:rPr>
                      <w:rFonts w:ascii="Times New Roman" w:hAnsi="Times New Roman" w:cs="Times New Roman"/>
                      <w:color w:val="FF0000"/>
                      <w:sz w:val="21"/>
                      <w:szCs w:val="21"/>
                    </w:rPr>
                  </w:pPr>
                  <w:r>
                    <w:rPr>
                      <w:rFonts w:ascii="Times New Roman" w:hAnsi="Times New Roman" w:cs="Times New Roman"/>
                      <w:color w:val="FF0000"/>
                      <w:sz w:val="21"/>
                      <w:szCs w:val="21"/>
                      <w:lang w:val="en-US" w:eastAsia="en-US" w:bidi="en-US"/>
                    </w:rPr>
                    <w:t>S9</w:t>
                  </w:r>
                </w:p>
              </w:tc>
              <w:tc>
                <w:tcPr>
                  <w:tcW w:w="1555" w:type="pct"/>
                  <w:tcBorders>
                    <w:tl2br w:val="nil"/>
                    <w:tr2bl w:val="nil"/>
                  </w:tcBorders>
                  <w:shd w:val="clear" w:color="auto" w:fill="auto"/>
                  <w:vAlign w:val="center"/>
                </w:tcPr>
                <w:p w14:paraId="53B683D5">
                  <w:pPr>
                    <w:spacing w:line="240" w:lineRule="auto"/>
                    <w:jc w:val="center"/>
                    <w:rPr>
                      <w:color w:val="FF0000"/>
                      <w:szCs w:val="21"/>
                    </w:rPr>
                  </w:pPr>
                  <w:r>
                    <w:rPr>
                      <w:rFonts w:hint="eastAsia"/>
                      <w:color w:val="FF0000"/>
                      <w:szCs w:val="21"/>
                    </w:rPr>
                    <w:t>拆解</w:t>
                  </w:r>
                </w:p>
              </w:tc>
              <w:tc>
                <w:tcPr>
                  <w:tcW w:w="1256" w:type="pct"/>
                  <w:tcBorders>
                    <w:tl2br w:val="nil"/>
                    <w:tr2bl w:val="nil"/>
                  </w:tcBorders>
                  <w:shd w:val="clear" w:color="auto" w:fill="auto"/>
                  <w:vAlign w:val="center"/>
                </w:tcPr>
                <w:p w14:paraId="3A404821">
                  <w:pPr>
                    <w:pStyle w:val="128"/>
                    <w:spacing w:line="240" w:lineRule="auto"/>
                    <w:jc w:val="center"/>
                    <w:rPr>
                      <w:rFonts w:ascii="Times New Roman" w:hAnsi="Times New Roman" w:cs="Times New Roman"/>
                      <w:color w:val="FF0000"/>
                      <w:sz w:val="21"/>
                      <w:szCs w:val="21"/>
                      <w:lang w:val="en-US" w:eastAsia="zh-CN"/>
                    </w:rPr>
                  </w:pPr>
                  <w:r>
                    <w:rPr>
                      <w:rFonts w:hint="eastAsia" w:cs="Times New Roman"/>
                      <w:bCs/>
                      <w:color w:val="FF0000"/>
                      <w:sz w:val="21"/>
                      <w:szCs w:val="21"/>
                      <w:lang w:val="en-US" w:eastAsia="zh-CN"/>
                    </w:rPr>
                    <w:t>含铅部件</w:t>
                  </w:r>
                </w:p>
              </w:tc>
              <w:tc>
                <w:tcPr>
                  <w:tcW w:w="1357" w:type="pct"/>
                  <w:vMerge w:val="restart"/>
                  <w:tcBorders>
                    <w:tl2br w:val="nil"/>
                    <w:tr2bl w:val="nil"/>
                  </w:tcBorders>
                  <w:shd w:val="clear" w:color="auto" w:fill="auto"/>
                  <w:vAlign w:val="center"/>
                </w:tcPr>
                <w:p w14:paraId="396553BB">
                  <w:pPr>
                    <w:pStyle w:val="128"/>
                    <w:spacing w:line="240" w:lineRule="auto"/>
                    <w:jc w:val="center"/>
                    <w:rPr>
                      <w:rFonts w:ascii="Times New Roman" w:hAnsi="Times New Roman" w:cs="Times New Roman"/>
                      <w:color w:val="FF0000"/>
                      <w:sz w:val="21"/>
                      <w:szCs w:val="21"/>
                    </w:rPr>
                  </w:pPr>
                  <w:r>
                    <w:rPr>
                      <w:rFonts w:hint="eastAsia"/>
                      <w:color w:val="FF0000"/>
                      <w:kern w:val="0"/>
                      <w:sz w:val="21"/>
                      <w:szCs w:val="21"/>
                      <w:lang w:val="en-US" w:eastAsia="zh-CN" w:bidi="ar"/>
                    </w:rPr>
                    <w:t>厂内集中收集，分类、分区暂存在危废贮存点内，定期</w:t>
                  </w:r>
                  <w:r>
                    <w:rPr>
                      <w:rFonts w:hint="default" w:ascii="Times New Roman" w:hAnsi="Times New Roman" w:eastAsia="宋体" w:cs="Times New Roman"/>
                      <w:color w:val="FF0000"/>
                      <w:spacing w:val="-1"/>
                      <w:sz w:val="21"/>
                      <w:szCs w:val="21"/>
                    </w:rPr>
                    <w:t>交由持有相应类别危险废物经营许可证的单</w:t>
                  </w:r>
                  <w:r>
                    <w:rPr>
                      <w:rFonts w:hint="default" w:ascii="Times New Roman" w:hAnsi="Times New Roman" w:eastAsia="宋体" w:cs="Times New Roman"/>
                      <w:color w:val="FF0000"/>
                      <w:spacing w:val="-2"/>
                      <w:sz w:val="21"/>
                      <w:szCs w:val="21"/>
                    </w:rPr>
                    <w:t>位处理</w:t>
                  </w:r>
                  <w:r>
                    <w:rPr>
                      <w:rFonts w:hint="eastAsia"/>
                      <w:color w:val="FF0000"/>
                      <w:kern w:val="0"/>
                      <w:sz w:val="21"/>
                      <w:szCs w:val="21"/>
                      <w:lang w:val="en-US" w:eastAsia="zh-CN" w:bidi="ar"/>
                    </w:rPr>
                    <w:t>。</w:t>
                  </w:r>
                </w:p>
              </w:tc>
            </w:tr>
            <w:tr w14:paraId="68BC79CE">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 w:type="dxa"/>
                  <w:bottom w:w="0" w:type="dxa"/>
                  <w:right w:w="10" w:type="dxa"/>
                </w:tblCellMar>
              </w:tblPrEx>
              <w:trPr>
                <w:trHeight w:val="23" w:hRule="atLeast"/>
                <w:jc w:val="center"/>
              </w:trPr>
              <w:tc>
                <w:tcPr>
                  <w:tcW w:w="368" w:type="pct"/>
                  <w:vMerge w:val="continue"/>
                  <w:tcBorders>
                    <w:tl2br w:val="nil"/>
                    <w:tr2bl w:val="nil"/>
                  </w:tcBorders>
                  <w:shd w:val="clear" w:color="auto" w:fill="auto"/>
                  <w:vAlign w:val="center"/>
                </w:tcPr>
                <w:p w14:paraId="382F57F6">
                  <w:pPr>
                    <w:spacing w:line="240" w:lineRule="auto"/>
                    <w:jc w:val="center"/>
                    <w:rPr>
                      <w:color w:val="FF0000"/>
                      <w:szCs w:val="21"/>
                    </w:rPr>
                  </w:pPr>
                </w:p>
              </w:tc>
              <w:tc>
                <w:tcPr>
                  <w:tcW w:w="461" w:type="pct"/>
                  <w:tcBorders>
                    <w:tl2br w:val="nil"/>
                    <w:tr2bl w:val="nil"/>
                  </w:tcBorders>
                  <w:shd w:val="clear" w:color="auto" w:fill="auto"/>
                  <w:vAlign w:val="center"/>
                </w:tcPr>
                <w:p w14:paraId="68ECF52C">
                  <w:pPr>
                    <w:pStyle w:val="128"/>
                    <w:spacing w:line="240" w:lineRule="auto"/>
                    <w:jc w:val="center"/>
                    <w:rPr>
                      <w:rFonts w:ascii="Times New Roman" w:hAnsi="Times New Roman" w:cs="Times New Roman"/>
                      <w:color w:val="FF0000"/>
                      <w:sz w:val="21"/>
                      <w:szCs w:val="21"/>
                      <w:lang w:val="en-US" w:eastAsia="en-US"/>
                    </w:rPr>
                  </w:pPr>
                  <w:r>
                    <w:rPr>
                      <w:rFonts w:ascii="Times New Roman" w:hAnsi="Times New Roman" w:cs="Times New Roman"/>
                      <w:color w:val="FF0000"/>
                      <w:sz w:val="21"/>
                      <w:szCs w:val="21"/>
                      <w:lang w:val="en-US" w:eastAsia="en-US" w:bidi="en-US"/>
                    </w:rPr>
                    <w:t>S10</w:t>
                  </w:r>
                </w:p>
              </w:tc>
              <w:tc>
                <w:tcPr>
                  <w:tcW w:w="1555" w:type="pct"/>
                  <w:tcBorders>
                    <w:tl2br w:val="nil"/>
                    <w:tr2bl w:val="nil"/>
                  </w:tcBorders>
                  <w:shd w:val="clear" w:color="auto" w:fill="auto"/>
                  <w:vAlign w:val="center"/>
                </w:tcPr>
                <w:p w14:paraId="0BE39873">
                  <w:pPr>
                    <w:spacing w:line="240" w:lineRule="auto"/>
                    <w:jc w:val="center"/>
                    <w:rPr>
                      <w:color w:val="FF0000"/>
                      <w:szCs w:val="21"/>
                      <w:lang w:bidi="zh-TW"/>
                    </w:rPr>
                  </w:pPr>
                  <w:r>
                    <w:rPr>
                      <w:rFonts w:hint="eastAsia"/>
                      <w:color w:val="FF0000"/>
                      <w:szCs w:val="21"/>
                    </w:rPr>
                    <w:t>拆解</w:t>
                  </w:r>
                </w:p>
              </w:tc>
              <w:tc>
                <w:tcPr>
                  <w:tcW w:w="1256" w:type="pct"/>
                  <w:tcBorders>
                    <w:tl2br w:val="nil"/>
                    <w:tr2bl w:val="nil"/>
                  </w:tcBorders>
                  <w:shd w:val="clear" w:color="auto" w:fill="auto"/>
                  <w:vAlign w:val="center"/>
                </w:tcPr>
                <w:p w14:paraId="43D7E680">
                  <w:pPr>
                    <w:pStyle w:val="128"/>
                    <w:spacing w:line="240" w:lineRule="auto"/>
                    <w:jc w:val="center"/>
                    <w:rPr>
                      <w:rFonts w:ascii="Times New Roman" w:hAnsi="Times New Roman" w:cs="Times New Roman"/>
                      <w:color w:val="FF0000"/>
                      <w:sz w:val="21"/>
                      <w:szCs w:val="21"/>
                    </w:rPr>
                  </w:pPr>
                  <w:r>
                    <w:rPr>
                      <w:rFonts w:hint="eastAsia" w:cs="Times New Roman"/>
                      <w:bCs/>
                      <w:color w:val="FF0000"/>
                      <w:sz w:val="21"/>
                      <w:szCs w:val="21"/>
                      <w:lang w:val="en-US" w:eastAsia="zh-CN"/>
                    </w:rPr>
                    <w:t>含汞部件</w:t>
                  </w:r>
                </w:p>
              </w:tc>
              <w:tc>
                <w:tcPr>
                  <w:tcW w:w="1357" w:type="pct"/>
                  <w:vMerge w:val="continue"/>
                  <w:tcBorders>
                    <w:tl2br w:val="nil"/>
                    <w:tr2bl w:val="nil"/>
                  </w:tcBorders>
                  <w:shd w:val="clear" w:color="auto" w:fill="auto"/>
                  <w:vAlign w:val="center"/>
                </w:tcPr>
                <w:p w14:paraId="51A6FCB9">
                  <w:pPr>
                    <w:pStyle w:val="128"/>
                    <w:spacing w:line="240" w:lineRule="auto"/>
                    <w:jc w:val="center"/>
                    <w:rPr>
                      <w:rFonts w:ascii="Times New Roman" w:hAnsi="Times New Roman" w:cs="Times New Roman"/>
                      <w:color w:val="FF0000"/>
                      <w:sz w:val="21"/>
                      <w:szCs w:val="21"/>
                    </w:rPr>
                  </w:pPr>
                </w:p>
              </w:tc>
            </w:tr>
            <w:tr w14:paraId="4F681796">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 w:type="dxa"/>
                  <w:bottom w:w="0" w:type="dxa"/>
                  <w:right w:w="10" w:type="dxa"/>
                </w:tblCellMar>
              </w:tblPrEx>
              <w:trPr>
                <w:trHeight w:val="23" w:hRule="atLeast"/>
                <w:jc w:val="center"/>
              </w:trPr>
              <w:tc>
                <w:tcPr>
                  <w:tcW w:w="368" w:type="pct"/>
                  <w:vMerge w:val="continue"/>
                  <w:tcBorders>
                    <w:tl2br w:val="nil"/>
                    <w:tr2bl w:val="nil"/>
                  </w:tcBorders>
                  <w:shd w:val="clear" w:color="auto" w:fill="auto"/>
                  <w:vAlign w:val="center"/>
                </w:tcPr>
                <w:p w14:paraId="0A3C8F74">
                  <w:pPr>
                    <w:spacing w:line="240" w:lineRule="auto"/>
                    <w:jc w:val="center"/>
                    <w:rPr>
                      <w:color w:val="FF0000"/>
                      <w:szCs w:val="21"/>
                    </w:rPr>
                  </w:pPr>
                </w:p>
              </w:tc>
              <w:tc>
                <w:tcPr>
                  <w:tcW w:w="461" w:type="pct"/>
                  <w:tcBorders>
                    <w:tl2br w:val="nil"/>
                    <w:tr2bl w:val="nil"/>
                  </w:tcBorders>
                  <w:shd w:val="clear" w:color="auto" w:fill="auto"/>
                  <w:vAlign w:val="center"/>
                </w:tcPr>
                <w:p w14:paraId="0DD1A09D">
                  <w:pPr>
                    <w:pStyle w:val="128"/>
                    <w:spacing w:line="240" w:lineRule="auto"/>
                    <w:jc w:val="center"/>
                    <w:rPr>
                      <w:rFonts w:ascii="Times New Roman" w:hAnsi="Times New Roman" w:cs="Times New Roman"/>
                      <w:color w:val="FF0000"/>
                      <w:sz w:val="21"/>
                      <w:szCs w:val="21"/>
                      <w:lang w:val="en-US" w:eastAsia="en-US"/>
                    </w:rPr>
                  </w:pPr>
                  <w:r>
                    <w:rPr>
                      <w:rFonts w:ascii="Times New Roman" w:hAnsi="Times New Roman" w:cs="Times New Roman"/>
                      <w:color w:val="FF0000"/>
                      <w:sz w:val="21"/>
                      <w:szCs w:val="21"/>
                      <w:lang w:val="en-US" w:eastAsia="en-US" w:bidi="en-US"/>
                    </w:rPr>
                    <w:t>S11</w:t>
                  </w:r>
                </w:p>
              </w:tc>
              <w:tc>
                <w:tcPr>
                  <w:tcW w:w="1555" w:type="pct"/>
                  <w:tcBorders>
                    <w:tl2br w:val="nil"/>
                    <w:tr2bl w:val="nil"/>
                  </w:tcBorders>
                  <w:shd w:val="clear" w:color="auto" w:fill="auto"/>
                  <w:vAlign w:val="center"/>
                </w:tcPr>
                <w:p w14:paraId="1BA19E93">
                  <w:pPr>
                    <w:pStyle w:val="128"/>
                    <w:spacing w:line="240" w:lineRule="auto"/>
                    <w:jc w:val="center"/>
                    <w:rPr>
                      <w:rFonts w:ascii="Times New Roman" w:hAnsi="Times New Roman" w:cs="Times New Roman"/>
                      <w:color w:val="FF0000"/>
                      <w:sz w:val="21"/>
                      <w:szCs w:val="21"/>
                      <w:lang w:val="en-US" w:eastAsia="zh-CN"/>
                    </w:rPr>
                  </w:pPr>
                  <w:r>
                    <w:rPr>
                      <w:rFonts w:hint="eastAsia" w:ascii="Times New Roman" w:hAnsi="Times New Roman" w:cs="Times New Roman"/>
                      <w:color w:val="FF0000"/>
                      <w:sz w:val="21"/>
                      <w:szCs w:val="21"/>
                      <w:lang w:val="en-US" w:eastAsia="zh-CN"/>
                    </w:rPr>
                    <w:t>废气治理</w:t>
                  </w:r>
                </w:p>
              </w:tc>
              <w:tc>
                <w:tcPr>
                  <w:tcW w:w="1256" w:type="pct"/>
                  <w:tcBorders>
                    <w:tl2br w:val="nil"/>
                    <w:tr2bl w:val="nil"/>
                  </w:tcBorders>
                  <w:shd w:val="clear" w:color="auto" w:fill="auto"/>
                  <w:vAlign w:val="center"/>
                </w:tcPr>
                <w:p w14:paraId="2E1CAAB6">
                  <w:pPr>
                    <w:pStyle w:val="128"/>
                    <w:spacing w:line="240" w:lineRule="auto"/>
                    <w:jc w:val="center"/>
                    <w:rPr>
                      <w:rFonts w:ascii="Times New Roman" w:hAnsi="Times New Roman" w:cs="Times New Roman"/>
                      <w:color w:val="FF0000"/>
                      <w:sz w:val="21"/>
                      <w:szCs w:val="21"/>
                    </w:rPr>
                  </w:pPr>
                  <w:r>
                    <w:rPr>
                      <w:rFonts w:hint="eastAsia" w:cs="Times New Roman"/>
                      <w:bCs/>
                      <w:color w:val="FF0000"/>
                      <w:sz w:val="21"/>
                      <w:szCs w:val="21"/>
                      <w:lang w:val="en-US" w:eastAsia="zh-CN"/>
                    </w:rPr>
                    <w:t>废活性炭</w:t>
                  </w:r>
                </w:p>
              </w:tc>
              <w:tc>
                <w:tcPr>
                  <w:tcW w:w="1357" w:type="pct"/>
                  <w:vMerge w:val="continue"/>
                  <w:tcBorders>
                    <w:tl2br w:val="nil"/>
                    <w:tr2bl w:val="nil"/>
                  </w:tcBorders>
                  <w:shd w:val="clear" w:color="auto" w:fill="auto"/>
                  <w:vAlign w:val="center"/>
                </w:tcPr>
                <w:p w14:paraId="014AA37D">
                  <w:pPr>
                    <w:pStyle w:val="128"/>
                    <w:spacing w:line="240" w:lineRule="auto"/>
                    <w:jc w:val="center"/>
                    <w:rPr>
                      <w:rFonts w:ascii="Times New Roman" w:hAnsi="Times New Roman" w:cs="Times New Roman"/>
                      <w:color w:val="FF0000"/>
                      <w:sz w:val="21"/>
                      <w:szCs w:val="21"/>
                    </w:rPr>
                  </w:pPr>
                </w:p>
              </w:tc>
            </w:tr>
            <w:tr w14:paraId="337391C5">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 w:type="dxa"/>
                  <w:bottom w:w="0" w:type="dxa"/>
                  <w:right w:w="10" w:type="dxa"/>
                </w:tblCellMar>
              </w:tblPrEx>
              <w:trPr>
                <w:trHeight w:val="23" w:hRule="atLeast"/>
                <w:jc w:val="center"/>
              </w:trPr>
              <w:tc>
                <w:tcPr>
                  <w:tcW w:w="368" w:type="pct"/>
                  <w:vMerge w:val="continue"/>
                  <w:tcBorders>
                    <w:tl2br w:val="nil"/>
                    <w:tr2bl w:val="nil"/>
                  </w:tcBorders>
                  <w:shd w:val="clear" w:color="auto" w:fill="auto"/>
                  <w:vAlign w:val="center"/>
                </w:tcPr>
                <w:p w14:paraId="56094020">
                  <w:pPr>
                    <w:spacing w:line="240" w:lineRule="auto"/>
                    <w:jc w:val="center"/>
                    <w:rPr>
                      <w:color w:val="FF0000"/>
                      <w:szCs w:val="21"/>
                    </w:rPr>
                  </w:pPr>
                </w:p>
              </w:tc>
              <w:tc>
                <w:tcPr>
                  <w:tcW w:w="461" w:type="pct"/>
                  <w:tcBorders>
                    <w:tl2br w:val="nil"/>
                    <w:tr2bl w:val="nil"/>
                  </w:tcBorders>
                  <w:shd w:val="clear" w:color="auto" w:fill="auto"/>
                  <w:vAlign w:val="center"/>
                </w:tcPr>
                <w:p w14:paraId="316239A4">
                  <w:pPr>
                    <w:pStyle w:val="128"/>
                    <w:spacing w:line="240" w:lineRule="auto"/>
                    <w:jc w:val="center"/>
                    <w:rPr>
                      <w:rFonts w:ascii="Times New Roman" w:hAnsi="Times New Roman" w:cs="Times New Roman"/>
                      <w:color w:val="FF0000"/>
                      <w:sz w:val="21"/>
                      <w:szCs w:val="21"/>
                      <w:lang w:val="en-US" w:eastAsia="en-US"/>
                    </w:rPr>
                  </w:pPr>
                  <w:r>
                    <w:rPr>
                      <w:rFonts w:ascii="Times New Roman" w:hAnsi="Times New Roman" w:cs="Times New Roman"/>
                      <w:color w:val="FF0000"/>
                      <w:sz w:val="21"/>
                      <w:szCs w:val="21"/>
                      <w:lang w:val="en-US" w:eastAsia="en-US" w:bidi="en-US"/>
                    </w:rPr>
                    <w:t>S12</w:t>
                  </w:r>
                </w:p>
              </w:tc>
              <w:tc>
                <w:tcPr>
                  <w:tcW w:w="1555" w:type="pct"/>
                  <w:tcBorders>
                    <w:tl2br w:val="nil"/>
                    <w:tr2bl w:val="nil"/>
                  </w:tcBorders>
                  <w:shd w:val="clear" w:color="auto" w:fill="auto"/>
                  <w:vAlign w:val="center"/>
                </w:tcPr>
                <w:p w14:paraId="73BC9F3A">
                  <w:pPr>
                    <w:pStyle w:val="128"/>
                    <w:spacing w:line="240" w:lineRule="auto"/>
                    <w:jc w:val="center"/>
                    <w:rPr>
                      <w:rFonts w:ascii="Times New Roman" w:hAnsi="Times New Roman" w:cs="Times New Roman"/>
                      <w:color w:val="FF0000"/>
                      <w:sz w:val="21"/>
                      <w:szCs w:val="21"/>
                      <w:lang w:val="en-US" w:eastAsia="zh-CN"/>
                    </w:rPr>
                  </w:pPr>
                  <w:r>
                    <w:rPr>
                      <w:rFonts w:hint="eastAsia" w:ascii="Times New Roman" w:hAnsi="Times New Roman" w:cs="Times New Roman"/>
                      <w:color w:val="FF0000"/>
                      <w:sz w:val="21"/>
                      <w:szCs w:val="21"/>
                      <w:lang w:val="en-US" w:eastAsia="zh-CN"/>
                    </w:rPr>
                    <w:t>废水治理</w:t>
                  </w:r>
                </w:p>
              </w:tc>
              <w:tc>
                <w:tcPr>
                  <w:tcW w:w="1256" w:type="pct"/>
                  <w:tcBorders>
                    <w:tl2br w:val="nil"/>
                    <w:tr2bl w:val="nil"/>
                  </w:tcBorders>
                  <w:shd w:val="clear" w:color="auto" w:fill="auto"/>
                  <w:vAlign w:val="center"/>
                </w:tcPr>
                <w:p w14:paraId="602FF0EE">
                  <w:pPr>
                    <w:pStyle w:val="128"/>
                    <w:spacing w:line="240" w:lineRule="auto"/>
                    <w:jc w:val="center"/>
                    <w:rPr>
                      <w:rFonts w:ascii="Times New Roman" w:hAnsi="Times New Roman" w:cs="Times New Roman"/>
                      <w:color w:val="FF0000"/>
                      <w:sz w:val="21"/>
                      <w:szCs w:val="21"/>
                      <w:lang w:eastAsia="zh-CN"/>
                    </w:rPr>
                  </w:pPr>
                  <w:r>
                    <w:rPr>
                      <w:rFonts w:hint="eastAsia" w:cs="Times New Roman"/>
                      <w:bCs/>
                      <w:color w:val="FF0000"/>
                      <w:sz w:val="21"/>
                      <w:szCs w:val="21"/>
                      <w:lang w:val="en-US" w:eastAsia="zh-CN"/>
                    </w:rPr>
                    <w:t>油泥及沉渣</w:t>
                  </w:r>
                </w:p>
              </w:tc>
              <w:tc>
                <w:tcPr>
                  <w:tcW w:w="1357" w:type="pct"/>
                  <w:vMerge w:val="continue"/>
                  <w:tcBorders>
                    <w:tl2br w:val="nil"/>
                    <w:tr2bl w:val="nil"/>
                  </w:tcBorders>
                  <w:shd w:val="clear" w:color="auto" w:fill="auto"/>
                  <w:vAlign w:val="center"/>
                </w:tcPr>
                <w:p w14:paraId="1916C544">
                  <w:pPr>
                    <w:pStyle w:val="128"/>
                    <w:spacing w:line="240" w:lineRule="auto"/>
                    <w:jc w:val="center"/>
                    <w:rPr>
                      <w:rFonts w:ascii="Times New Roman" w:hAnsi="Times New Roman" w:cs="Times New Roman"/>
                      <w:color w:val="FF0000"/>
                      <w:sz w:val="21"/>
                      <w:szCs w:val="21"/>
                    </w:rPr>
                  </w:pPr>
                </w:p>
              </w:tc>
            </w:tr>
            <w:tr w14:paraId="6B5D7AE6">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 w:type="dxa"/>
                  <w:bottom w:w="0" w:type="dxa"/>
                  <w:right w:w="10" w:type="dxa"/>
                </w:tblCellMar>
              </w:tblPrEx>
              <w:trPr>
                <w:trHeight w:val="23" w:hRule="atLeast"/>
                <w:jc w:val="center"/>
              </w:trPr>
              <w:tc>
                <w:tcPr>
                  <w:tcW w:w="368" w:type="pct"/>
                  <w:vMerge w:val="continue"/>
                  <w:tcBorders>
                    <w:tl2br w:val="nil"/>
                    <w:tr2bl w:val="nil"/>
                  </w:tcBorders>
                  <w:shd w:val="clear" w:color="auto" w:fill="auto"/>
                  <w:vAlign w:val="center"/>
                </w:tcPr>
                <w:p w14:paraId="5917F602">
                  <w:pPr>
                    <w:spacing w:line="240" w:lineRule="auto"/>
                    <w:jc w:val="center"/>
                    <w:rPr>
                      <w:color w:val="FF0000"/>
                      <w:szCs w:val="21"/>
                    </w:rPr>
                  </w:pPr>
                </w:p>
              </w:tc>
              <w:tc>
                <w:tcPr>
                  <w:tcW w:w="461" w:type="pct"/>
                  <w:tcBorders>
                    <w:tl2br w:val="nil"/>
                    <w:tr2bl w:val="nil"/>
                  </w:tcBorders>
                  <w:shd w:val="clear" w:color="auto" w:fill="auto"/>
                  <w:vAlign w:val="center"/>
                </w:tcPr>
                <w:p w14:paraId="0427BF92">
                  <w:pPr>
                    <w:pStyle w:val="128"/>
                    <w:spacing w:line="240" w:lineRule="auto"/>
                    <w:jc w:val="center"/>
                    <w:rPr>
                      <w:rFonts w:ascii="Times New Roman" w:hAnsi="Times New Roman" w:cs="Times New Roman"/>
                      <w:color w:val="FF0000"/>
                      <w:sz w:val="21"/>
                      <w:szCs w:val="21"/>
                      <w:lang w:val="en-US" w:eastAsia="en-US"/>
                    </w:rPr>
                  </w:pPr>
                  <w:r>
                    <w:rPr>
                      <w:rFonts w:ascii="Times New Roman" w:hAnsi="Times New Roman" w:cs="Times New Roman"/>
                      <w:color w:val="FF0000"/>
                      <w:sz w:val="21"/>
                      <w:szCs w:val="21"/>
                      <w:lang w:val="en-US" w:eastAsia="en-US" w:bidi="en-US"/>
                    </w:rPr>
                    <w:t>S13</w:t>
                  </w:r>
                </w:p>
              </w:tc>
              <w:tc>
                <w:tcPr>
                  <w:tcW w:w="1555" w:type="pct"/>
                  <w:tcBorders>
                    <w:tl2br w:val="nil"/>
                    <w:tr2bl w:val="nil"/>
                  </w:tcBorders>
                  <w:shd w:val="clear" w:color="auto" w:fill="auto"/>
                  <w:vAlign w:val="center"/>
                </w:tcPr>
                <w:p w14:paraId="14FA2F7D">
                  <w:pPr>
                    <w:pStyle w:val="128"/>
                    <w:spacing w:line="240" w:lineRule="auto"/>
                    <w:jc w:val="center"/>
                    <w:rPr>
                      <w:rFonts w:ascii="Times New Roman" w:hAnsi="Times New Roman" w:cs="Times New Roman"/>
                      <w:color w:val="FF0000"/>
                      <w:sz w:val="21"/>
                      <w:szCs w:val="21"/>
                      <w:lang w:val="en-US" w:eastAsia="zh-CN"/>
                    </w:rPr>
                  </w:pPr>
                  <w:r>
                    <w:rPr>
                      <w:rFonts w:hint="eastAsia" w:ascii="Times New Roman" w:hAnsi="Times New Roman" w:cs="Times New Roman"/>
                      <w:color w:val="FF0000"/>
                      <w:sz w:val="21"/>
                      <w:szCs w:val="21"/>
                      <w:lang w:val="en-US" w:eastAsia="zh-CN"/>
                    </w:rPr>
                    <w:t>拆解</w:t>
                  </w:r>
                </w:p>
              </w:tc>
              <w:tc>
                <w:tcPr>
                  <w:tcW w:w="1256" w:type="pct"/>
                  <w:tcBorders>
                    <w:tl2br w:val="nil"/>
                    <w:tr2bl w:val="nil"/>
                  </w:tcBorders>
                  <w:shd w:val="clear" w:color="auto" w:fill="auto"/>
                  <w:vAlign w:val="center"/>
                </w:tcPr>
                <w:p w14:paraId="632D4F10">
                  <w:pPr>
                    <w:pStyle w:val="128"/>
                    <w:spacing w:line="240" w:lineRule="auto"/>
                    <w:jc w:val="center"/>
                    <w:rPr>
                      <w:rFonts w:ascii="Times New Roman" w:hAnsi="Times New Roman" w:cs="Times New Roman"/>
                      <w:color w:val="FF0000"/>
                      <w:sz w:val="21"/>
                      <w:szCs w:val="21"/>
                      <w:lang w:eastAsia="zh-CN"/>
                    </w:rPr>
                  </w:pPr>
                  <w:r>
                    <w:rPr>
                      <w:rFonts w:hint="eastAsia" w:cs="Times New Roman"/>
                      <w:bCs/>
                      <w:color w:val="FF0000"/>
                      <w:sz w:val="21"/>
                      <w:szCs w:val="21"/>
                      <w:lang w:val="en-US" w:eastAsia="zh-CN"/>
                    </w:rPr>
                    <w:t>含多氯联苯废电容器</w:t>
                  </w:r>
                </w:p>
              </w:tc>
              <w:tc>
                <w:tcPr>
                  <w:tcW w:w="1357" w:type="pct"/>
                  <w:vMerge w:val="continue"/>
                  <w:tcBorders>
                    <w:tl2br w:val="nil"/>
                    <w:tr2bl w:val="nil"/>
                  </w:tcBorders>
                  <w:shd w:val="clear" w:color="auto" w:fill="auto"/>
                  <w:vAlign w:val="center"/>
                </w:tcPr>
                <w:p w14:paraId="480E681C">
                  <w:pPr>
                    <w:pStyle w:val="128"/>
                    <w:spacing w:line="240" w:lineRule="auto"/>
                    <w:jc w:val="center"/>
                    <w:rPr>
                      <w:rFonts w:ascii="Times New Roman" w:hAnsi="Times New Roman" w:cs="Times New Roman"/>
                      <w:color w:val="FF0000"/>
                      <w:sz w:val="21"/>
                      <w:szCs w:val="21"/>
                    </w:rPr>
                  </w:pPr>
                </w:p>
              </w:tc>
            </w:tr>
            <w:tr w14:paraId="73C048DD">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 w:type="dxa"/>
                  <w:bottom w:w="0" w:type="dxa"/>
                  <w:right w:w="10" w:type="dxa"/>
                </w:tblCellMar>
              </w:tblPrEx>
              <w:trPr>
                <w:trHeight w:val="23" w:hRule="atLeast"/>
                <w:jc w:val="center"/>
              </w:trPr>
              <w:tc>
                <w:tcPr>
                  <w:tcW w:w="368" w:type="pct"/>
                  <w:vMerge w:val="continue"/>
                  <w:tcBorders>
                    <w:tl2br w:val="nil"/>
                    <w:tr2bl w:val="nil"/>
                  </w:tcBorders>
                  <w:shd w:val="clear" w:color="auto" w:fill="auto"/>
                  <w:vAlign w:val="center"/>
                </w:tcPr>
                <w:p w14:paraId="4B927853">
                  <w:pPr>
                    <w:spacing w:line="240" w:lineRule="auto"/>
                    <w:jc w:val="center"/>
                    <w:rPr>
                      <w:color w:val="FF0000"/>
                      <w:szCs w:val="21"/>
                    </w:rPr>
                  </w:pPr>
                </w:p>
              </w:tc>
              <w:tc>
                <w:tcPr>
                  <w:tcW w:w="461" w:type="pct"/>
                  <w:tcBorders>
                    <w:tl2br w:val="nil"/>
                    <w:tr2bl w:val="nil"/>
                  </w:tcBorders>
                  <w:shd w:val="clear" w:color="auto" w:fill="auto"/>
                  <w:vAlign w:val="center"/>
                </w:tcPr>
                <w:p w14:paraId="6485CB03">
                  <w:pPr>
                    <w:pStyle w:val="128"/>
                    <w:spacing w:line="240" w:lineRule="auto"/>
                    <w:jc w:val="center"/>
                    <w:rPr>
                      <w:rFonts w:ascii="Times New Roman" w:hAnsi="Times New Roman" w:eastAsia="宋体" w:cs="Times New Roman"/>
                      <w:color w:val="FF0000"/>
                      <w:kern w:val="2"/>
                      <w:sz w:val="21"/>
                      <w:szCs w:val="21"/>
                      <w:lang w:val="en-US" w:eastAsia="en-US" w:bidi="zh-TW"/>
                    </w:rPr>
                  </w:pPr>
                  <w:r>
                    <w:rPr>
                      <w:rFonts w:ascii="Times New Roman" w:hAnsi="Times New Roman" w:cs="Times New Roman"/>
                      <w:color w:val="FF0000"/>
                      <w:sz w:val="21"/>
                      <w:szCs w:val="21"/>
                      <w:lang w:val="en-US" w:eastAsia="en-US" w:bidi="en-US"/>
                    </w:rPr>
                    <w:t>S1</w:t>
                  </w:r>
                  <w:r>
                    <w:rPr>
                      <w:rFonts w:hint="eastAsia" w:ascii="Times New Roman" w:hAnsi="Times New Roman" w:cs="Times New Roman"/>
                      <w:color w:val="FF0000"/>
                      <w:sz w:val="21"/>
                      <w:szCs w:val="21"/>
                      <w:lang w:val="en-US" w:eastAsia="zh-CN" w:bidi="en-US"/>
                    </w:rPr>
                    <w:t>4</w:t>
                  </w:r>
                </w:p>
              </w:tc>
              <w:tc>
                <w:tcPr>
                  <w:tcW w:w="1555" w:type="pct"/>
                  <w:tcBorders>
                    <w:tl2br w:val="nil"/>
                    <w:tr2bl w:val="nil"/>
                  </w:tcBorders>
                  <w:shd w:val="clear" w:color="auto" w:fill="auto"/>
                  <w:vAlign w:val="center"/>
                </w:tcPr>
                <w:p w14:paraId="018074F9">
                  <w:pPr>
                    <w:pStyle w:val="128"/>
                    <w:spacing w:line="240" w:lineRule="auto"/>
                    <w:jc w:val="center"/>
                    <w:rPr>
                      <w:rFonts w:hint="eastAsia" w:ascii="Times New Roman" w:hAnsi="Times New Roman" w:cs="Times New Roman"/>
                      <w:color w:val="FF0000"/>
                      <w:sz w:val="21"/>
                      <w:szCs w:val="21"/>
                      <w:lang w:val="en-US" w:eastAsia="zh-CN"/>
                    </w:rPr>
                  </w:pPr>
                  <w:r>
                    <w:rPr>
                      <w:rFonts w:hint="eastAsia" w:ascii="Times New Roman" w:hAnsi="Times New Roman" w:cs="Times New Roman"/>
                      <w:color w:val="FF0000"/>
                      <w:sz w:val="21"/>
                      <w:szCs w:val="21"/>
                      <w:lang w:val="en-US" w:eastAsia="zh-CN"/>
                    </w:rPr>
                    <w:t>拆解</w:t>
                  </w:r>
                </w:p>
              </w:tc>
              <w:tc>
                <w:tcPr>
                  <w:tcW w:w="1256" w:type="pct"/>
                  <w:tcBorders>
                    <w:tl2br w:val="nil"/>
                    <w:tr2bl w:val="nil"/>
                  </w:tcBorders>
                  <w:shd w:val="clear" w:color="auto" w:fill="auto"/>
                  <w:vAlign w:val="center"/>
                </w:tcPr>
                <w:p w14:paraId="34541EF0">
                  <w:pPr>
                    <w:pStyle w:val="128"/>
                    <w:spacing w:line="240" w:lineRule="auto"/>
                    <w:jc w:val="center"/>
                    <w:rPr>
                      <w:rFonts w:hint="eastAsia" w:cs="Times New Roman"/>
                      <w:bCs/>
                      <w:color w:val="FF0000"/>
                      <w:sz w:val="21"/>
                      <w:szCs w:val="21"/>
                      <w:lang w:val="en-US" w:eastAsia="zh-CN"/>
                    </w:rPr>
                  </w:pPr>
                  <w:r>
                    <w:rPr>
                      <w:rFonts w:hint="eastAsia" w:cs="Times New Roman"/>
                      <w:bCs/>
                      <w:color w:val="FF0000"/>
                      <w:sz w:val="21"/>
                      <w:szCs w:val="21"/>
                      <w:lang w:val="en-US" w:eastAsia="zh-CN"/>
                    </w:rPr>
                    <w:t>废有机溶剂</w:t>
                  </w:r>
                </w:p>
              </w:tc>
              <w:tc>
                <w:tcPr>
                  <w:tcW w:w="1357" w:type="pct"/>
                  <w:vMerge w:val="continue"/>
                  <w:tcBorders>
                    <w:tl2br w:val="nil"/>
                    <w:tr2bl w:val="nil"/>
                  </w:tcBorders>
                  <w:shd w:val="clear" w:color="auto" w:fill="auto"/>
                  <w:vAlign w:val="center"/>
                </w:tcPr>
                <w:p w14:paraId="2303862B">
                  <w:pPr>
                    <w:pStyle w:val="128"/>
                    <w:spacing w:line="240" w:lineRule="auto"/>
                    <w:jc w:val="center"/>
                    <w:rPr>
                      <w:rFonts w:ascii="Times New Roman" w:hAnsi="Times New Roman" w:cs="Times New Roman"/>
                      <w:color w:val="FF0000"/>
                      <w:sz w:val="21"/>
                      <w:szCs w:val="21"/>
                    </w:rPr>
                  </w:pPr>
                </w:p>
              </w:tc>
            </w:tr>
            <w:tr w14:paraId="65F68816">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PrEx>
              <w:trPr>
                <w:trHeight w:val="23" w:hRule="atLeast"/>
                <w:jc w:val="center"/>
              </w:trPr>
              <w:tc>
                <w:tcPr>
                  <w:tcW w:w="368" w:type="pct"/>
                  <w:vMerge w:val="continue"/>
                  <w:tcBorders>
                    <w:tl2br w:val="nil"/>
                    <w:tr2bl w:val="nil"/>
                  </w:tcBorders>
                  <w:shd w:val="clear" w:color="auto" w:fill="auto"/>
                  <w:vAlign w:val="center"/>
                </w:tcPr>
                <w:p w14:paraId="73C2E7D2">
                  <w:pPr>
                    <w:spacing w:line="240" w:lineRule="auto"/>
                    <w:jc w:val="center"/>
                    <w:rPr>
                      <w:color w:val="FF0000"/>
                      <w:szCs w:val="21"/>
                    </w:rPr>
                  </w:pPr>
                </w:p>
              </w:tc>
              <w:tc>
                <w:tcPr>
                  <w:tcW w:w="461" w:type="pct"/>
                  <w:tcBorders>
                    <w:tl2br w:val="nil"/>
                    <w:tr2bl w:val="nil"/>
                  </w:tcBorders>
                  <w:shd w:val="clear" w:color="auto" w:fill="auto"/>
                  <w:vAlign w:val="center"/>
                </w:tcPr>
                <w:p w14:paraId="4FD73D70">
                  <w:pPr>
                    <w:pStyle w:val="128"/>
                    <w:spacing w:line="240" w:lineRule="auto"/>
                    <w:jc w:val="center"/>
                    <w:rPr>
                      <w:rFonts w:ascii="Times New Roman" w:hAnsi="Times New Roman" w:eastAsia="宋体" w:cs="Times New Roman"/>
                      <w:color w:val="FF0000"/>
                      <w:kern w:val="2"/>
                      <w:sz w:val="21"/>
                      <w:szCs w:val="21"/>
                      <w:lang w:val="en-US" w:eastAsia="en-US" w:bidi="en-US"/>
                    </w:rPr>
                  </w:pPr>
                  <w:r>
                    <w:rPr>
                      <w:rFonts w:hint="eastAsia" w:ascii="Times New Roman" w:hAnsi="Times New Roman" w:cs="Times New Roman"/>
                      <w:color w:val="FF0000"/>
                      <w:sz w:val="21"/>
                      <w:szCs w:val="21"/>
                      <w:lang w:val="en-US" w:eastAsia="zh-CN" w:bidi="en-US"/>
                    </w:rPr>
                    <w:t>S15</w:t>
                  </w:r>
                </w:p>
              </w:tc>
              <w:tc>
                <w:tcPr>
                  <w:tcW w:w="1555" w:type="pct"/>
                  <w:tcBorders>
                    <w:tl2br w:val="nil"/>
                    <w:tr2bl w:val="nil"/>
                  </w:tcBorders>
                  <w:shd w:val="clear" w:color="auto" w:fill="auto"/>
                  <w:vAlign w:val="center"/>
                </w:tcPr>
                <w:p w14:paraId="09A38F27">
                  <w:pPr>
                    <w:pStyle w:val="128"/>
                    <w:spacing w:line="240" w:lineRule="auto"/>
                    <w:jc w:val="center"/>
                    <w:rPr>
                      <w:rFonts w:hint="eastAsia" w:ascii="Times New Roman" w:hAnsi="Times New Roman" w:cs="Times New Roman"/>
                      <w:color w:val="FF0000"/>
                      <w:sz w:val="21"/>
                      <w:szCs w:val="21"/>
                      <w:lang w:val="en-US" w:eastAsia="zh-CN"/>
                    </w:rPr>
                  </w:pPr>
                  <w:r>
                    <w:rPr>
                      <w:rFonts w:hint="eastAsia" w:ascii="Times New Roman" w:hAnsi="Times New Roman" w:cs="Times New Roman"/>
                      <w:color w:val="FF0000"/>
                      <w:sz w:val="21"/>
                      <w:szCs w:val="21"/>
                      <w:lang w:val="en-US" w:eastAsia="zh-CN"/>
                    </w:rPr>
                    <w:t>拆解</w:t>
                  </w:r>
                </w:p>
              </w:tc>
              <w:tc>
                <w:tcPr>
                  <w:tcW w:w="1256" w:type="pct"/>
                  <w:tcBorders>
                    <w:tl2br w:val="nil"/>
                    <w:tr2bl w:val="nil"/>
                  </w:tcBorders>
                  <w:shd w:val="clear" w:color="auto" w:fill="auto"/>
                  <w:vAlign w:val="center"/>
                </w:tcPr>
                <w:p w14:paraId="27544E0F">
                  <w:pPr>
                    <w:pStyle w:val="128"/>
                    <w:spacing w:line="240" w:lineRule="auto"/>
                    <w:jc w:val="center"/>
                    <w:rPr>
                      <w:rFonts w:hint="eastAsia" w:cs="Times New Roman"/>
                      <w:bCs/>
                      <w:color w:val="FF0000"/>
                      <w:sz w:val="21"/>
                      <w:szCs w:val="21"/>
                      <w:lang w:val="en-US" w:eastAsia="zh-CN"/>
                    </w:rPr>
                  </w:pPr>
                  <w:r>
                    <w:rPr>
                      <w:rFonts w:hint="eastAsia" w:cs="Times New Roman"/>
                      <w:bCs/>
                      <w:color w:val="FF0000"/>
                      <w:sz w:val="21"/>
                      <w:szCs w:val="21"/>
                      <w:lang w:val="en-US" w:eastAsia="zh-CN"/>
                    </w:rPr>
                    <w:t>石棉废物</w:t>
                  </w:r>
                </w:p>
              </w:tc>
              <w:tc>
                <w:tcPr>
                  <w:tcW w:w="1357" w:type="pct"/>
                  <w:vMerge w:val="continue"/>
                  <w:tcBorders>
                    <w:tl2br w:val="nil"/>
                    <w:tr2bl w:val="nil"/>
                  </w:tcBorders>
                  <w:shd w:val="clear" w:color="auto" w:fill="auto"/>
                  <w:vAlign w:val="center"/>
                </w:tcPr>
                <w:p w14:paraId="297EBEF9">
                  <w:pPr>
                    <w:pStyle w:val="128"/>
                    <w:spacing w:line="240" w:lineRule="auto"/>
                    <w:jc w:val="center"/>
                    <w:rPr>
                      <w:rFonts w:ascii="Times New Roman" w:hAnsi="Times New Roman" w:cs="Times New Roman"/>
                      <w:color w:val="FF0000"/>
                      <w:sz w:val="21"/>
                      <w:szCs w:val="21"/>
                    </w:rPr>
                  </w:pPr>
                </w:p>
              </w:tc>
            </w:tr>
            <w:tr w14:paraId="44EA42A0">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 w:type="dxa"/>
                  <w:bottom w:w="0" w:type="dxa"/>
                  <w:right w:w="10" w:type="dxa"/>
                </w:tblCellMar>
              </w:tblPrEx>
              <w:trPr>
                <w:trHeight w:val="23" w:hRule="atLeast"/>
                <w:jc w:val="center"/>
              </w:trPr>
              <w:tc>
                <w:tcPr>
                  <w:tcW w:w="368" w:type="pct"/>
                  <w:vMerge w:val="continue"/>
                  <w:tcBorders>
                    <w:tl2br w:val="nil"/>
                    <w:tr2bl w:val="nil"/>
                  </w:tcBorders>
                  <w:shd w:val="clear" w:color="auto" w:fill="auto"/>
                  <w:vAlign w:val="center"/>
                </w:tcPr>
                <w:p w14:paraId="4814D55F">
                  <w:pPr>
                    <w:spacing w:line="240" w:lineRule="auto"/>
                    <w:jc w:val="center"/>
                    <w:rPr>
                      <w:color w:val="FF0000"/>
                      <w:szCs w:val="21"/>
                    </w:rPr>
                  </w:pPr>
                </w:p>
              </w:tc>
              <w:tc>
                <w:tcPr>
                  <w:tcW w:w="461" w:type="pct"/>
                  <w:tcBorders>
                    <w:tl2br w:val="nil"/>
                    <w:tr2bl w:val="nil"/>
                  </w:tcBorders>
                  <w:shd w:val="clear" w:color="auto" w:fill="auto"/>
                  <w:vAlign w:val="center"/>
                </w:tcPr>
                <w:p w14:paraId="36178087">
                  <w:pPr>
                    <w:pStyle w:val="128"/>
                    <w:spacing w:line="240" w:lineRule="auto"/>
                    <w:jc w:val="center"/>
                    <w:rPr>
                      <w:rFonts w:ascii="Times New Roman" w:hAnsi="Times New Roman" w:cs="Times New Roman"/>
                      <w:color w:val="FF0000"/>
                      <w:sz w:val="21"/>
                      <w:szCs w:val="21"/>
                      <w:lang w:val="en-US" w:eastAsia="zh-CN"/>
                    </w:rPr>
                  </w:pPr>
                  <w:r>
                    <w:rPr>
                      <w:rFonts w:hint="eastAsia" w:ascii="Times New Roman" w:hAnsi="Times New Roman" w:cs="Times New Roman"/>
                      <w:color w:val="FF0000"/>
                      <w:sz w:val="21"/>
                      <w:szCs w:val="21"/>
                      <w:lang w:val="en-US" w:eastAsia="zh-CN" w:bidi="en-US"/>
                    </w:rPr>
                    <w:t>S16</w:t>
                  </w:r>
                </w:p>
              </w:tc>
              <w:tc>
                <w:tcPr>
                  <w:tcW w:w="1555" w:type="pct"/>
                  <w:tcBorders>
                    <w:tl2br w:val="nil"/>
                    <w:tr2bl w:val="nil"/>
                  </w:tcBorders>
                  <w:shd w:val="clear" w:color="auto" w:fill="auto"/>
                  <w:vAlign w:val="center"/>
                </w:tcPr>
                <w:p w14:paraId="6B7CEE0D">
                  <w:pPr>
                    <w:pStyle w:val="128"/>
                    <w:spacing w:line="240" w:lineRule="auto"/>
                    <w:jc w:val="center"/>
                    <w:rPr>
                      <w:rFonts w:ascii="Times New Roman" w:hAnsi="Times New Roman" w:cs="Times New Roman"/>
                      <w:color w:val="FF0000"/>
                      <w:sz w:val="21"/>
                      <w:szCs w:val="21"/>
                    </w:rPr>
                  </w:pPr>
                  <w:r>
                    <w:rPr>
                      <w:rFonts w:ascii="Times New Roman" w:hAnsi="Times New Roman" w:cs="Times New Roman"/>
                      <w:color w:val="FF0000"/>
                      <w:sz w:val="21"/>
                      <w:szCs w:val="21"/>
                    </w:rPr>
                    <w:t>拆解</w:t>
                  </w:r>
                </w:p>
              </w:tc>
              <w:tc>
                <w:tcPr>
                  <w:tcW w:w="1256" w:type="pct"/>
                  <w:tcBorders>
                    <w:tl2br w:val="nil"/>
                    <w:tr2bl w:val="nil"/>
                  </w:tcBorders>
                  <w:shd w:val="clear" w:color="auto" w:fill="auto"/>
                  <w:vAlign w:val="center"/>
                </w:tcPr>
                <w:p w14:paraId="5BE64356">
                  <w:pPr>
                    <w:spacing w:line="240" w:lineRule="auto"/>
                    <w:jc w:val="center"/>
                    <w:rPr>
                      <w:bCs/>
                      <w:color w:val="FF0000"/>
                      <w:szCs w:val="21"/>
                      <w:lang w:val="zh-TW" w:eastAsia="zh-TW"/>
                    </w:rPr>
                  </w:pPr>
                  <w:r>
                    <w:rPr>
                      <w:rFonts w:hint="eastAsia"/>
                      <w:bCs/>
                      <w:color w:val="FF0000"/>
                      <w:szCs w:val="21"/>
                      <w:lang w:val="en-US" w:eastAsia="zh-CN"/>
                    </w:rPr>
                    <w:t>可回用</w:t>
                  </w:r>
                  <w:r>
                    <w:rPr>
                      <w:rFonts w:hint="eastAsia"/>
                      <w:bCs/>
                      <w:color w:val="FF0000"/>
                      <w:szCs w:val="21"/>
                    </w:rPr>
                    <w:t>钢铁</w:t>
                  </w:r>
                </w:p>
              </w:tc>
              <w:tc>
                <w:tcPr>
                  <w:tcW w:w="1357" w:type="pct"/>
                  <w:vMerge w:val="restart"/>
                  <w:tcBorders>
                    <w:tl2br w:val="nil"/>
                    <w:tr2bl w:val="nil"/>
                  </w:tcBorders>
                  <w:shd w:val="clear" w:color="auto" w:fill="auto"/>
                  <w:vAlign w:val="center"/>
                </w:tcPr>
                <w:p w14:paraId="6E9C9128">
                  <w:pPr>
                    <w:pStyle w:val="128"/>
                    <w:spacing w:line="240" w:lineRule="auto"/>
                    <w:jc w:val="center"/>
                    <w:rPr>
                      <w:rFonts w:hint="eastAsia" w:ascii="Times New Roman" w:hAnsi="Times New Roman" w:cs="Times New Roman"/>
                      <w:color w:val="FF0000"/>
                      <w:sz w:val="21"/>
                      <w:szCs w:val="21"/>
                      <w:lang w:eastAsia="zh-CN"/>
                    </w:rPr>
                  </w:pPr>
                  <w:r>
                    <w:rPr>
                      <w:rFonts w:hint="eastAsia" w:ascii="Times New Roman" w:hAnsi="Times New Roman" w:cs="Times New Roman"/>
                      <w:color w:val="FF0000"/>
                      <w:sz w:val="21"/>
                      <w:szCs w:val="21"/>
                    </w:rPr>
                    <w:t>暂存于回用件暂存区，定期交由具有相应处理能力或经营范围的单位利用和处置</w:t>
                  </w:r>
                  <w:r>
                    <w:rPr>
                      <w:rFonts w:hint="eastAsia" w:ascii="Times New Roman" w:hAnsi="Times New Roman" w:cs="Times New Roman"/>
                      <w:color w:val="FF0000"/>
                      <w:sz w:val="21"/>
                      <w:szCs w:val="21"/>
                      <w:lang w:eastAsia="zh-CN"/>
                    </w:rPr>
                    <w:t>。</w:t>
                  </w:r>
                </w:p>
                <w:p w14:paraId="65BADA01">
                  <w:pPr>
                    <w:pStyle w:val="128"/>
                    <w:spacing w:line="240" w:lineRule="auto"/>
                    <w:jc w:val="center"/>
                    <w:rPr>
                      <w:rFonts w:ascii="Times New Roman" w:hAnsi="Times New Roman" w:cs="Times New Roman"/>
                      <w:color w:val="FF0000"/>
                      <w:sz w:val="21"/>
                      <w:szCs w:val="21"/>
                    </w:rPr>
                  </w:pPr>
                </w:p>
              </w:tc>
            </w:tr>
            <w:tr w14:paraId="4952F739">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 w:type="dxa"/>
                  <w:bottom w:w="0" w:type="dxa"/>
                  <w:right w:w="10" w:type="dxa"/>
                </w:tblCellMar>
              </w:tblPrEx>
              <w:trPr>
                <w:trHeight w:val="23" w:hRule="atLeast"/>
                <w:jc w:val="center"/>
              </w:trPr>
              <w:tc>
                <w:tcPr>
                  <w:tcW w:w="368" w:type="pct"/>
                  <w:vMerge w:val="continue"/>
                  <w:tcBorders>
                    <w:tl2br w:val="nil"/>
                    <w:tr2bl w:val="nil"/>
                  </w:tcBorders>
                  <w:shd w:val="clear" w:color="auto" w:fill="auto"/>
                  <w:vAlign w:val="center"/>
                </w:tcPr>
                <w:p w14:paraId="4EF5A951">
                  <w:pPr>
                    <w:pStyle w:val="128"/>
                    <w:spacing w:line="240" w:lineRule="auto"/>
                    <w:jc w:val="center"/>
                    <w:rPr>
                      <w:rFonts w:hint="eastAsia"/>
                      <w:color w:val="FF0000"/>
                    </w:rPr>
                  </w:pPr>
                </w:p>
              </w:tc>
              <w:tc>
                <w:tcPr>
                  <w:tcW w:w="461" w:type="pct"/>
                  <w:tcBorders>
                    <w:tl2br w:val="nil"/>
                    <w:tr2bl w:val="nil"/>
                  </w:tcBorders>
                  <w:shd w:val="clear" w:color="auto" w:fill="auto"/>
                  <w:vAlign w:val="center"/>
                </w:tcPr>
                <w:p w14:paraId="245F4F63">
                  <w:pPr>
                    <w:pStyle w:val="128"/>
                    <w:spacing w:line="240" w:lineRule="auto"/>
                    <w:jc w:val="center"/>
                    <w:rPr>
                      <w:rFonts w:ascii="Times New Roman" w:hAnsi="Times New Roman" w:cs="Times New Roman"/>
                      <w:color w:val="FF0000"/>
                      <w:sz w:val="21"/>
                      <w:szCs w:val="21"/>
                      <w:lang w:val="en-US" w:eastAsia="zh-CN" w:bidi="en-US"/>
                    </w:rPr>
                  </w:pPr>
                  <w:r>
                    <w:rPr>
                      <w:rFonts w:hint="eastAsia" w:ascii="Times New Roman" w:hAnsi="Times New Roman" w:cs="Times New Roman"/>
                      <w:color w:val="FF0000"/>
                      <w:sz w:val="21"/>
                      <w:szCs w:val="21"/>
                      <w:lang w:val="en-US" w:eastAsia="zh-CN" w:bidi="en-US"/>
                    </w:rPr>
                    <w:t>S17</w:t>
                  </w:r>
                </w:p>
              </w:tc>
              <w:tc>
                <w:tcPr>
                  <w:tcW w:w="1555" w:type="pct"/>
                  <w:tcBorders>
                    <w:tl2br w:val="nil"/>
                    <w:tr2bl w:val="nil"/>
                  </w:tcBorders>
                  <w:shd w:val="clear" w:color="auto" w:fill="auto"/>
                  <w:vAlign w:val="center"/>
                </w:tcPr>
                <w:p w14:paraId="7DD23861">
                  <w:pPr>
                    <w:spacing w:line="240" w:lineRule="auto"/>
                    <w:jc w:val="center"/>
                    <w:rPr>
                      <w:color w:val="FF0000"/>
                      <w:szCs w:val="21"/>
                      <w:lang w:eastAsia="en-US" w:bidi="en-US"/>
                    </w:rPr>
                  </w:pPr>
                  <w:r>
                    <w:rPr>
                      <w:color w:val="FF0000"/>
                      <w:szCs w:val="21"/>
                    </w:rPr>
                    <w:t>拆解</w:t>
                  </w:r>
                </w:p>
              </w:tc>
              <w:tc>
                <w:tcPr>
                  <w:tcW w:w="1256" w:type="pct"/>
                  <w:tcBorders>
                    <w:tl2br w:val="nil"/>
                    <w:tr2bl w:val="nil"/>
                  </w:tcBorders>
                  <w:shd w:val="clear" w:color="auto" w:fill="auto"/>
                  <w:vAlign w:val="center"/>
                </w:tcPr>
                <w:p w14:paraId="1E982795">
                  <w:pPr>
                    <w:spacing w:line="240" w:lineRule="auto"/>
                    <w:jc w:val="center"/>
                    <w:rPr>
                      <w:bCs/>
                      <w:color w:val="FF0000"/>
                      <w:szCs w:val="21"/>
                      <w:lang w:eastAsia="en-US"/>
                    </w:rPr>
                  </w:pPr>
                  <w:r>
                    <w:rPr>
                      <w:rFonts w:hint="eastAsia"/>
                      <w:bCs/>
                      <w:color w:val="FF0000"/>
                      <w:szCs w:val="21"/>
                      <w:lang w:val="en-US" w:eastAsia="zh-CN"/>
                    </w:rPr>
                    <w:t>可回用</w:t>
                  </w:r>
                  <w:r>
                    <w:rPr>
                      <w:rFonts w:hint="eastAsia"/>
                      <w:bCs/>
                      <w:color w:val="FF0000"/>
                      <w:szCs w:val="21"/>
                    </w:rPr>
                    <w:t>有色金属</w:t>
                  </w:r>
                </w:p>
              </w:tc>
              <w:tc>
                <w:tcPr>
                  <w:tcW w:w="1357" w:type="pct"/>
                  <w:vMerge w:val="continue"/>
                  <w:tcBorders>
                    <w:tl2br w:val="nil"/>
                    <w:tr2bl w:val="nil"/>
                  </w:tcBorders>
                  <w:shd w:val="clear" w:color="auto" w:fill="auto"/>
                  <w:vAlign w:val="center"/>
                </w:tcPr>
                <w:p w14:paraId="35A5A2DD">
                  <w:pPr>
                    <w:pStyle w:val="128"/>
                    <w:spacing w:line="240" w:lineRule="auto"/>
                    <w:jc w:val="center"/>
                    <w:rPr>
                      <w:rFonts w:ascii="Times New Roman" w:hAnsi="Times New Roman" w:cs="Times New Roman"/>
                      <w:color w:val="FF0000"/>
                      <w:sz w:val="21"/>
                      <w:szCs w:val="21"/>
                      <w:lang w:val="en-US" w:eastAsia="en-US" w:bidi="en-US"/>
                    </w:rPr>
                  </w:pPr>
                </w:p>
              </w:tc>
            </w:tr>
            <w:tr w14:paraId="4DEC5EBE">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 w:type="dxa"/>
                  <w:bottom w:w="0" w:type="dxa"/>
                  <w:right w:w="10" w:type="dxa"/>
                </w:tblCellMar>
              </w:tblPrEx>
              <w:trPr>
                <w:trHeight w:val="23" w:hRule="atLeast"/>
                <w:jc w:val="center"/>
              </w:trPr>
              <w:tc>
                <w:tcPr>
                  <w:tcW w:w="368" w:type="pct"/>
                  <w:vMerge w:val="continue"/>
                  <w:tcBorders>
                    <w:tl2br w:val="nil"/>
                    <w:tr2bl w:val="nil"/>
                  </w:tcBorders>
                  <w:shd w:val="clear" w:color="auto" w:fill="auto"/>
                  <w:vAlign w:val="center"/>
                </w:tcPr>
                <w:p w14:paraId="389D6ECA">
                  <w:pPr>
                    <w:pStyle w:val="128"/>
                    <w:spacing w:line="240" w:lineRule="auto"/>
                    <w:jc w:val="center"/>
                    <w:rPr>
                      <w:rFonts w:ascii="Times New Roman" w:hAnsi="Times New Roman" w:cs="Times New Roman"/>
                      <w:color w:val="FF0000"/>
                      <w:sz w:val="21"/>
                      <w:szCs w:val="21"/>
                      <w:lang w:val="en-US" w:eastAsia="en-US" w:bidi="en-US"/>
                    </w:rPr>
                  </w:pPr>
                </w:p>
              </w:tc>
              <w:tc>
                <w:tcPr>
                  <w:tcW w:w="461" w:type="pct"/>
                  <w:tcBorders>
                    <w:tl2br w:val="nil"/>
                    <w:tr2bl w:val="nil"/>
                  </w:tcBorders>
                  <w:shd w:val="clear" w:color="auto" w:fill="auto"/>
                  <w:vAlign w:val="center"/>
                </w:tcPr>
                <w:p w14:paraId="62CFB125">
                  <w:pPr>
                    <w:pStyle w:val="128"/>
                    <w:spacing w:line="240" w:lineRule="auto"/>
                    <w:jc w:val="center"/>
                    <w:rPr>
                      <w:rFonts w:ascii="Times New Roman" w:hAnsi="Times New Roman" w:cs="Times New Roman"/>
                      <w:color w:val="FF0000"/>
                      <w:sz w:val="21"/>
                      <w:szCs w:val="21"/>
                      <w:lang w:val="en-US" w:eastAsia="zh-CN" w:bidi="en-US"/>
                    </w:rPr>
                  </w:pPr>
                  <w:r>
                    <w:rPr>
                      <w:rFonts w:hint="eastAsia" w:ascii="Times New Roman" w:hAnsi="Times New Roman" w:cs="Times New Roman"/>
                      <w:color w:val="FF0000"/>
                      <w:sz w:val="21"/>
                      <w:szCs w:val="21"/>
                      <w:lang w:val="en-US" w:eastAsia="zh-CN" w:bidi="en-US"/>
                    </w:rPr>
                    <w:t>S18</w:t>
                  </w:r>
                </w:p>
              </w:tc>
              <w:tc>
                <w:tcPr>
                  <w:tcW w:w="1555" w:type="pct"/>
                  <w:tcBorders>
                    <w:tl2br w:val="nil"/>
                    <w:tr2bl w:val="nil"/>
                  </w:tcBorders>
                  <w:shd w:val="clear" w:color="auto" w:fill="auto"/>
                  <w:vAlign w:val="center"/>
                </w:tcPr>
                <w:p w14:paraId="4B4082B4">
                  <w:pPr>
                    <w:spacing w:line="240" w:lineRule="auto"/>
                    <w:jc w:val="center"/>
                    <w:rPr>
                      <w:color w:val="FF0000"/>
                      <w:szCs w:val="21"/>
                      <w:lang w:eastAsia="en-US" w:bidi="en-US"/>
                    </w:rPr>
                  </w:pPr>
                  <w:r>
                    <w:rPr>
                      <w:color w:val="FF0000"/>
                      <w:szCs w:val="21"/>
                    </w:rPr>
                    <w:t>拆解</w:t>
                  </w:r>
                </w:p>
              </w:tc>
              <w:tc>
                <w:tcPr>
                  <w:tcW w:w="1256" w:type="pct"/>
                  <w:tcBorders>
                    <w:tl2br w:val="nil"/>
                    <w:tr2bl w:val="nil"/>
                  </w:tcBorders>
                  <w:shd w:val="clear" w:color="auto" w:fill="auto"/>
                  <w:vAlign w:val="center"/>
                </w:tcPr>
                <w:p w14:paraId="1BE4A83A">
                  <w:pPr>
                    <w:spacing w:line="240" w:lineRule="auto"/>
                    <w:jc w:val="center"/>
                    <w:rPr>
                      <w:bCs/>
                      <w:color w:val="FF0000"/>
                      <w:szCs w:val="21"/>
                      <w:lang w:eastAsia="en-US"/>
                    </w:rPr>
                  </w:pPr>
                  <w:r>
                    <w:rPr>
                      <w:rFonts w:hint="eastAsia"/>
                      <w:bCs/>
                      <w:color w:val="FF0000"/>
                      <w:szCs w:val="21"/>
                      <w:lang w:val="en-US" w:eastAsia="zh-CN"/>
                    </w:rPr>
                    <w:t>可回用</w:t>
                  </w:r>
                  <w:r>
                    <w:rPr>
                      <w:rFonts w:hint="eastAsia"/>
                      <w:bCs/>
                      <w:color w:val="FF0000"/>
                      <w:szCs w:val="21"/>
                    </w:rPr>
                    <w:t>玻璃</w:t>
                  </w:r>
                </w:p>
              </w:tc>
              <w:tc>
                <w:tcPr>
                  <w:tcW w:w="1357" w:type="pct"/>
                  <w:vMerge w:val="continue"/>
                  <w:tcBorders>
                    <w:tl2br w:val="nil"/>
                    <w:tr2bl w:val="nil"/>
                  </w:tcBorders>
                  <w:shd w:val="clear" w:color="auto" w:fill="auto"/>
                  <w:vAlign w:val="center"/>
                </w:tcPr>
                <w:p w14:paraId="782F7B42">
                  <w:pPr>
                    <w:pStyle w:val="128"/>
                    <w:spacing w:line="240" w:lineRule="auto"/>
                    <w:jc w:val="center"/>
                    <w:rPr>
                      <w:rFonts w:ascii="Times New Roman" w:hAnsi="Times New Roman" w:cs="Times New Roman"/>
                      <w:color w:val="FF0000"/>
                      <w:sz w:val="21"/>
                      <w:szCs w:val="21"/>
                      <w:lang w:val="en-US" w:eastAsia="en-US" w:bidi="en-US"/>
                    </w:rPr>
                  </w:pPr>
                </w:p>
              </w:tc>
            </w:tr>
            <w:tr w14:paraId="5D8292F1">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 w:type="dxa"/>
                  <w:bottom w:w="0" w:type="dxa"/>
                  <w:right w:w="10" w:type="dxa"/>
                </w:tblCellMar>
              </w:tblPrEx>
              <w:trPr>
                <w:trHeight w:val="23" w:hRule="atLeast"/>
                <w:jc w:val="center"/>
              </w:trPr>
              <w:tc>
                <w:tcPr>
                  <w:tcW w:w="368" w:type="pct"/>
                  <w:vMerge w:val="continue"/>
                  <w:tcBorders>
                    <w:tl2br w:val="nil"/>
                    <w:tr2bl w:val="nil"/>
                  </w:tcBorders>
                  <w:shd w:val="clear" w:color="auto" w:fill="auto"/>
                  <w:vAlign w:val="center"/>
                </w:tcPr>
                <w:p w14:paraId="6EBD67DF">
                  <w:pPr>
                    <w:pStyle w:val="128"/>
                    <w:spacing w:line="240" w:lineRule="auto"/>
                    <w:jc w:val="center"/>
                    <w:rPr>
                      <w:rFonts w:ascii="Times New Roman" w:hAnsi="Times New Roman" w:cs="Times New Roman"/>
                      <w:color w:val="FF0000"/>
                      <w:sz w:val="21"/>
                      <w:szCs w:val="21"/>
                      <w:lang w:val="en-US" w:eastAsia="en-US" w:bidi="en-US"/>
                    </w:rPr>
                  </w:pPr>
                </w:p>
              </w:tc>
              <w:tc>
                <w:tcPr>
                  <w:tcW w:w="461" w:type="pct"/>
                  <w:tcBorders>
                    <w:tl2br w:val="nil"/>
                    <w:tr2bl w:val="nil"/>
                  </w:tcBorders>
                  <w:shd w:val="clear" w:color="auto" w:fill="auto"/>
                  <w:vAlign w:val="center"/>
                </w:tcPr>
                <w:p w14:paraId="47D19123">
                  <w:pPr>
                    <w:pStyle w:val="128"/>
                    <w:spacing w:line="240" w:lineRule="auto"/>
                    <w:jc w:val="center"/>
                    <w:rPr>
                      <w:rFonts w:ascii="Times New Roman" w:hAnsi="Times New Roman" w:cs="Times New Roman"/>
                      <w:color w:val="FF0000"/>
                      <w:sz w:val="21"/>
                      <w:szCs w:val="21"/>
                      <w:lang w:val="en-US" w:eastAsia="zh-CN" w:bidi="en-US"/>
                    </w:rPr>
                  </w:pPr>
                  <w:r>
                    <w:rPr>
                      <w:rFonts w:hint="eastAsia" w:ascii="Times New Roman" w:hAnsi="Times New Roman" w:cs="Times New Roman"/>
                      <w:color w:val="FF0000"/>
                      <w:sz w:val="21"/>
                      <w:szCs w:val="21"/>
                      <w:lang w:val="en-US" w:eastAsia="zh-CN" w:bidi="en-US"/>
                    </w:rPr>
                    <w:t>S19</w:t>
                  </w:r>
                </w:p>
              </w:tc>
              <w:tc>
                <w:tcPr>
                  <w:tcW w:w="1555" w:type="pct"/>
                  <w:tcBorders>
                    <w:tl2br w:val="nil"/>
                    <w:tr2bl w:val="nil"/>
                  </w:tcBorders>
                  <w:shd w:val="clear" w:color="auto" w:fill="auto"/>
                  <w:vAlign w:val="center"/>
                </w:tcPr>
                <w:p w14:paraId="0BDC61F5">
                  <w:pPr>
                    <w:spacing w:line="240" w:lineRule="auto"/>
                    <w:jc w:val="center"/>
                    <w:rPr>
                      <w:color w:val="FF0000"/>
                      <w:szCs w:val="21"/>
                      <w:lang w:eastAsia="en-US" w:bidi="en-US"/>
                    </w:rPr>
                  </w:pPr>
                  <w:r>
                    <w:rPr>
                      <w:color w:val="FF0000"/>
                      <w:szCs w:val="21"/>
                    </w:rPr>
                    <w:t>拆解</w:t>
                  </w:r>
                </w:p>
              </w:tc>
              <w:tc>
                <w:tcPr>
                  <w:tcW w:w="1256" w:type="pct"/>
                  <w:tcBorders>
                    <w:tl2br w:val="nil"/>
                    <w:tr2bl w:val="nil"/>
                  </w:tcBorders>
                  <w:shd w:val="clear" w:color="auto" w:fill="auto"/>
                  <w:vAlign w:val="center"/>
                </w:tcPr>
                <w:p w14:paraId="3CFA057D">
                  <w:pPr>
                    <w:spacing w:line="240" w:lineRule="auto"/>
                    <w:jc w:val="center"/>
                    <w:rPr>
                      <w:bCs/>
                      <w:color w:val="FF0000"/>
                      <w:szCs w:val="21"/>
                      <w:lang w:eastAsia="en-US"/>
                    </w:rPr>
                  </w:pPr>
                  <w:r>
                    <w:rPr>
                      <w:rFonts w:hint="eastAsia"/>
                      <w:bCs/>
                      <w:color w:val="FF0000"/>
                      <w:szCs w:val="21"/>
                      <w:lang w:val="en-US" w:eastAsia="zh-CN"/>
                    </w:rPr>
                    <w:t>可回用</w:t>
                  </w:r>
                  <w:r>
                    <w:rPr>
                      <w:rFonts w:hint="eastAsia"/>
                      <w:bCs/>
                      <w:color w:val="FF0000"/>
                      <w:szCs w:val="21"/>
                    </w:rPr>
                    <w:t>橡胶</w:t>
                  </w:r>
                </w:p>
              </w:tc>
              <w:tc>
                <w:tcPr>
                  <w:tcW w:w="1357" w:type="pct"/>
                  <w:vMerge w:val="continue"/>
                  <w:tcBorders>
                    <w:tl2br w:val="nil"/>
                    <w:tr2bl w:val="nil"/>
                  </w:tcBorders>
                  <w:shd w:val="clear" w:color="auto" w:fill="auto"/>
                  <w:vAlign w:val="center"/>
                </w:tcPr>
                <w:p w14:paraId="1D8E0CCF">
                  <w:pPr>
                    <w:pStyle w:val="128"/>
                    <w:spacing w:line="240" w:lineRule="auto"/>
                    <w:jc w:val="center"/>
                    <w:rPr>
                      <w:rFonts w:ascii="Times New Roman" w:hAnsi="Times New Roman" w:cs="Times New Roman"/>
                      <w:color w:val="FF0000"/>
                      <w:sz w:val="21"/>
                      <w:szCs w:val="21"/>
                      <w:lang w:val="en-US" w:eastAsia="en-US" w:bidi="en-US"/>
                    </w:rPr>
                  </w:pPr>
                </w:p>
              </w:tc>
            </w:tr>
            <w:tr w14:paraId="55F9CBC0">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 w:type="dxa"/>
                  <w:bottom w:w="0" w:type="dxa"/>
                  <w:right w:w="10" w:type="dxa"/>
                </w:tblCellMar>
              </w:tblPrEx>
              <w:trPr>
                <w:trHeight w:val="23" w:hRule="atLeast"/>
                <w:jc w:val="center"/>
              </w:trPr>
              <w:tc>
                <w:tcPr>
                  <w:tcW w:w="368" w:type="pct"/>
                  <w:vMerge w:val="continue"/>
                  <w:tcBorders>
                    <w:tl2br w:val="nil"/>
                    <w:tr2bl w:val="nil"/>
                  </w:tcBorders>
                  <w:shd w:val="clear" w:color="auto" w:fill="auto"/>
                  <w:vAlign w:val="center"/>
                </w:tcPr>
                <w:p w14:paraId="5EC6CE72">
                  <w:pPr>
                    <w:pStyle w:val="128"/>
                    <w:spacing w:line="240" w:lineRule="auto"/>
                    <w:jc w:val="center"/>
                    <w:rPr>
                      <w:rFonts w:ascii="Times New Roman" w:hAnsi="Times New Roman" w:cs="Times New Roman"/>
                      <w:color w:val="FF0000"/>
                      <w:sz w:val="21"/>
                      <w:szCs w:val="21"/>
                      <w:lang w:val="en-US" w:eastAsia="en-US" w:bidi="en-US"/>
                    </w:rPr>
                  </w:pPr>
                </w:p>
              </w:tc>
              <w:tc>
                <w:tcPr>
                  <w:tcW w:w="461" w:type="pct"/>
                  <w:tcBorders>
                    <w:tl2br w:val="nil"/>
                    <w:tr2bl w:val="nil"/>
                  </w:tcBorders>
                  <w:shd w:val="clear" w:color="auto" w:fill="auto"/>
                  <w:vAlign w:val="center"/>
                </w:tcPr>
                <w:p w14:paraId="6308D0D4">
                  <w:pPr>
                    <w:pStyle w:val="128"/>
                    <w:spacing w:line="240" w:lineRule="auto"/>
                    <w:jc w:val="center"/>
                    <w:rPr>
                      <w:rFonts w:ascii="Times New Roman" w:hAnsi="Times New Roman" w:cs="Times New Roman"/>
                      <w:color w:val="FF0000"/>
                      <w:sz w:val="21"/>
                      <w:szCs w:val="21"/>
                      <w:lang w:val="en-US" w:eastAsia="zh-CN" w:bidi="en-US"/>
                    </w:rPr>
                  </w:pPr>
                  <w:r>
                    <w:rPr>
                      <w:rFonts w:hint="eastAsia" w:ascii="Times New Roman" w:hAnsi="Times New Roman" w:cs="Times New Roman"/>
                      <w:color w:val="FF0000"/>
                      <w:sz w:val="21"/>
                      <w:szCs w:val="21"/>
                      <w:lang w:val="en-US" w:eastAsia="zh-CN" w:bidi="en-US"/>
                    </w:rPr>
                    <w:t>S20</w:t>
                  </w:r>
                </w:p>
              </w:tc>
              <w:tc>
                <w:tcPr>
                  <w:tcW w:w="1555" w:type="pct"/>
                  <w:tcBorders>
                    <w:tl2br w:val="nil"/>
                    <w:tr2bl w:val="nil"/>
                  </w:tcBorders>
                  <w:shd w:val="clear" w:color="auto" w:fill="auto"/>
                  <w:vAlign w:val="center"/>
                </w:tcPr>
                <w:p w14:paraId="223D0373">
                  <w:pPr>
                    <w:spacing w:line="240" w:lineRule="auto"/>
                    <w:jc w:val="center"/>
                    <w:rPr>
                      <w:color w:val="FF0000"/>
                      <w:szCs w:val="21"/>
                      <w:lang w:eastAsia="en-US" w:bidi="en-US"/>
                    </w:rPr>
                  </w:pPr>
                  <w:r>
                    <w:rPr>
                      <w:color w:val="FF0000"/>
                      <w:szCs w:val="21"/>
                    </w:rPr>
                    <w:t>拆解</w:t>
                  </w:r>
                </w:p>
              </w:tc>
              <w:tc>
                <w:tcPr>
                  <w:tcW w:w="1256" w:type="pct"/>
                  <w:tcBorders>
                    <w:tl2br w:val="nil"/>
                    <w:tr2bl w:val="nil"/>
                  </w:tcBorders>
                  <w:shd w:val="clear" w:color="auto" w:fill="auto"/>
                  <w:vAlign w:val="center"/>
                </w:tcPr>
                <w:p w14:paraId="47FDA5C4">
                  <w:pPr>
                    <w:spacing w:line="240" w:lineRule="auto"/>
                    <w:jc w:val="center"/>
                    <w:rPr>
                      <w:rFonts w:hint="eastAsia" w:eastAsia="宋体"/>
                      <w:bCs/>
                      <w:color w:val="FF0000"/>
                      <w:szCs w:val="21"/>
                      <w:lang w:eastAsia="zh-CN"/>
                    </w:rPr>
                  </w:pPr>
                  <w:r>
                    <w:rPr>
                      <w:rFonts w:hint="eastAsia"/>
                      <w:bCs/>
                      <w:color w:val="FF0000"/>
                      <w:szCs w:val="21"/>
                    </w:rPr>
                    <w:t>可回用</w:t>
                  </w:r>
                  <w:r>
                    <w:rPr>
                      <w:rFonts w:hint="eastAsia"/>
                      <w:bCs/>
                      <w:color w:val="FF0000"/>
                      <w:szCs w:val="21"/>
                      <w:lang w:val="en-US" w:eastAsia="zh-CN"/>
                    </w:rPr>
                    <w:t>塑料</w:t>
                  </w:r>
                </w:p>
              </w:tc>
              <w:tc>
                <w:tcPr>
                  <w:tcW w:w="1357" w:type="pct"/>
                  <w:vMerge w:val="continue"/>
                  <w:tcBorders>
                    <w:tl2br w:val="nil"/>
                    <w:tr2bl w:val="nil"/>
                  </w:tcBorders>
                  <w:shd w:val="clear" w:color="auto" w:fill="auto"/>
                  <w:vAlign w:val="center"/>
                </w:tcPr>
                <w:p w14:paraId="7DCC8F58">
                  <w:pPr>
                    <w:pStyle w:val="128"/>
                    <w:spacing w:line="240" w:lineRule="auto"/>
                    <w:jc w:val="center"/>
                    <w:rPr>
                      <w:rFonts w:ascii="Times New Roman" w:hAnsi="Times New Roman" w:cs="Times New Roman"/>
                      <w:color w:val="FF0000"/>
                      <w:sz w:val="21"/>
                      <w:szCs w:val="21"/>
                      <w:lang w:val="en-US" w:eastAsia="en-US" w:bidi="en-US"/>
                    </w:rPr>
                  </w:pPr>
                </w:p>
              </w:tc>
            </w:tr>
            <w:tr w14:paraId="5EE3D671">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 w:type="dxa"/>
                  <w:bottom w:w="0" w:type="dxa"/>
                  <w:right w:w="10" w:type="dxa"/>
                </w:tblCellMar>
              </w:tblPrEx>
              <w:trPr>
                <w:trHeight w:val="23" w:hRule="atLeast"/>
                <w:jc w:val="center"/>
              </w:trPr>
              <w:tc>
                <w:tcPr>
                  <w:tcW w:w="368" w:type="pct"/>
                  <w:vMerge w:val="continue"/>
                  <w:tcBorders>
                    <w:tl2br w:val="nil"/>
                    <w:tr2bl w:val="nil"/>
                  </w:tcBorders>
                  <w:shd w:val="clear" w:color="auto" w:fill="auto"/>
                  <w:vAlign w:val="center"/>
                </w:tcPr>
                <w:p w14:paraId="423341B3">
                  <w:pPr>
                    <w:pStyle w:val="128"/>
                    <w:spacing w:line="240" w:lineRule="auto"/>
                    <w:jc w:val="center"/>
                    <w:rPr>
                      <w:rFonts w:ascii="Times New Roman" w:hAnsi="Times New Roman" w:cs="Times New Roman"/>
                      <w:color w:val="FF0000"/>
                      <w:sz w:val="21"/>
                      <w:szCs w:val="21"/>
                      <w:lang w:val="en-US" w:eastAsia="en-US" w:bidi="en-US"/>
                    </w:rPr>
                  </w:pPr>
                </w:p>
              </w:tc>
              <w:tc>
                <w:tcPr>
                  <w:tcW w:w="461" w:type="pct"/>
                  <w:tcBorders>
                    <w:tl2br w:val="nil"/>
                    <w:tr2bl w:val="nil"/>
                  </w:tcBorders>
                  <w:shd w:val="clear" w:color="auto" w:fill="auto"/>
                  <w:vAlign w:val="center"/>
                </w:tcPr>
                <w:p w14:paraId="6C946FFF">
                  <w:pPr>
                    <w:pStyle w:val="128"/>
                    <w:spacing w:line="240" w:lineRule="auto"/>
                    <w:jc w:val="center"/>
                    <w:rPr>
                      <w:rFonts w:ascii="Times New Roman" w:hAnsi="Times New Roman" w:cs="Times New Roman"/>
                      <w:color w:val="FF0000"/>
                      <w:sz w:val="21"/>
                      <w:szCs w:val="21"/>
                      <w:lang w:val="en-US" w:eastAsia="zh-CN" w:bidi="en-US"/>
                    </w:rPr>
                  </w:pPr>
                  <w:r>
                    <w:rPr>
                      <w:rFonts w:hint="eastAsia" w:ascii="Times New Roman" w:hAnsi="Times New Roman" w:cs="Times New Roman"/>
                      <w:color w:val="FF0000"/>
                      <w:sz w:val="21"/>
                      <w:szCs w:val="21"/>
                      <w:lang w:val="en-US" w:eastAsia="zh-CN" w:bidi="en-US"/>
                    </w:rPr>
                    <w:t>S21</w:t>
                  </w:r>
                </w:p>
              </w:tc>
              <w:tc>
                <w:tcPr>
                  <w:tcW w:w="1555" w:type="pct"/>
                  <w:tcBorders>
                    <w:tl2br w:val="nil"/>
                    <w:tr2bl w:val="nil"/>
                  </w:tcBorders>
                  <w:shd w:val="clear" w:color="auto" w:fill="auto"/>
                  <w:vAlign w:val="center"/>
                </w:tcPr>
                <w:p w14:paraId="2961D6D0">
                  <w:pPr>
                    <w:spacing w:line="240" w:lineRule="auto"/>
                    <w:jc w:val="center"/>
                    <w:rPr>
                      <w:color w:val="FF0000"/>
                      <w:szCs w:val="21"/>
                      <w:lang w:eastAsia="en-US" w:bidi="en-US"/>
                    </w:rPr>
                  </w:pPr>
                  <w:r>
                    <w:rPr>
                      <w:color w:val="FF0000"/>
                      <w:szCs w:val="21"/>
                    </w:rPr>
                    <w:t>拆解</w:t>
                  </w:r>
                </w:p>
              </w:tc>
              <w:tc>
                <w:tcPr>
                  <w:tcW w:w="1256" w:type="pct"/>
                  <w:tcBorders>
                    <w:tl2br w:val="nil"/>
                    <w:tr2bl w:val="nil"/>
                  </w:tcBorders>
                  <w:shd w:val="clear" w:color="auto" w:fill="auto"/>
                  <w:vAlign w:val="center"/>
                </w:tcPr>
                <w:p w14:paraId="6B8CEFAE">
                  <w:pPr>
                    <w:spacing w:line="240" w:lineRule="auto"/>
                    <w:jc w:val="center"/>
                    <w:rPr>
                      <w:rFonts w:hint="eastAsia" w:eastAsia="宋体"/>
                      <w:bCs/>
                      <w:color w:val="FF0000"/>
                      <w:szCs w:val="21"/>
                      <w:lang w:eastAsia="zh-CN"/>
                    </w:rPr>
                  </w:pPr>
                  <w:r>
                    <w:rPr>
                      <w:rFonts w:hint="eastAsia"/>
                      <w:bCs/>
                      <w:color w:val="FF0000"/>
                      <w:szCs w:val="21"/>
                      <w:lang w:eastAsia="zh-CN"/>
                    </w:rPr>
                    <w:t>动力电池</w:t>
                  </w:r>
                </w:p>
              </w:tc>
              <w:tc>
                <w:tcPr>
                  <w:tcW w:w="1357" w:type="pct"/>
                  <w:tcBorders>
                    <w:tl2br w:val="nil"/>
                    <w:tr2bl w:val="nil"/>
                  </w:tcBorders>
                  <w:shd w:val="clear" w:color="auto" w:fill="auto"/>
                  <w:vAlign w:val="center"/>
                </w:tcPr>
                <w:p w14:paraId="02BBA98C">
                  <w:pPr>
                    <w:pStyle w:val="128"/>
                    <w:spacing w:line="240" w:lineRule="auto"/>
                    <w:jc w:val="center"/>
                    <w:rPr>
                      <w:rFonts w:ascii="Times New Roman" w:hAnsi="Times New Roman" w:cs="Times New Roman"/>
                      <w:color w:val="FF0000"/>
                      <w:sz w:val="21"/>
                      <w:szCs w:val="21"/>
                      <w:lang w:val="en-US" w:eastAsia="en-US" w:bidi="en-US"/>
                    </w:rPr>
                  </w:pPr>
                  <w:r>
                    <w:rPr>
                      <w:rFonts w:hint="eastAsia" w:ascii="Times New Roman" w:hAnsi="Times New Roman" w:cs="Times New Roman"/>
                      <w:color w:val="FF0000"/>
                      <w:sz w:val="21"/>
                      <w:szCs w:val="21"/>
                      <w:lang w:val="en-US" w:eastAsia="zh-CN"/>
                    </w:rPr>
                    <w:t>暂存于动力电池贮存区，</w:t>
                  </w:r>
                  <w:r>
                    <w:rPr>
                      <w:rFonts w:hint="eastAsia" w:ascii="Times New Roman" w:hAnsi="Times New Roman" w:cs="Times New Roman"/>
                      <w:color w:val="FF0000"/>
                      <w:sz w:val="21"/>
                      <w:szCs w:val="21"/>
                      <w:lang w:eastAsia="zh-CN"/>
                    </w:rPr>
                    <w:t>破损电池利用专用防腐密闭的容器收集后与完好电池分开储存</w:t>
                  </w:r>
                  <w:r>
                    <w:rPr>
                      <w:rFonts w:ascii="Times New Roman" w:hAnsi="Times New Roman" w:cs="Times New Roman"/>
                      <w:color w:val="FF0000"/>
                      <w:sz w:val="21"/>
                      <w:szCs w:val="21"/>
                    </w:rPr>
                    <w:t>，</w:t>
                  </w:r>
                  <w:r>
                    <w:rPr>
                      <w:rFonts w:hint="eastAsia" w:ascii="Times New Roman" w:hAnsi="Times New Roman" w:cs="Times New Roman"/>
                      <w:color w:val="FF0000"/>
                      <w:sz w:val="21"/>
                      <w:szCs w:val="21"/>
                      <w:lang w:val="en-US" w:eastAsia="zh-CN"/>
                    </w:rPr>
                    <w:t>定期</w:t>
                  </w:r>
                  <w:r>
                    <w:rPr>
                      <w:rFonts w:hint="default" w:ascii="Times New Roman" w:hAnsi="Times New Roman" w:cs="Times New Roman"/>
                      <w:color w:val="FF0000"/>
                      <w:sz w:val="21"/>
                      <w:szCs w:val="21"/>
                      <w:lang w:val="en-US" w:eastAsia="zh-CN"/>
                    </w:rPr>
                    <w:t>交售给新能源汽车生产企业建立的动力蓄电池回收服务网点，或符合国家对动力蓄电池梯次利用管理有关要求的梯次利用企业，或者从事废旧动力蓄电池综合利用的企业</w:t>
                  </w:r>
                  <w:r>
                    <w:rPr>
                      <w:rFonts w:ascii="Times New Roman" w:hAnsi="Times New Roman" w:cs="Times New Roman"/>
                      <w:color w:val="FF0000"/>
                      <w:sz w:val="21"/>
                      <w:szCs w:val="21"/>
                    </w:rPr>
                    <w:t>。</w:t>
                  </w:r>
                </w:p>
              </w:tc>
            </w:tr>
            <w:tr w14:paraId="155BB07A">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 w:type="dxa"/>
                  <w:bottom w:w="0" w:type="dxa"/>
                  <w:right w:w="10" w:type="dxa"/>
                </w:tblCellMar>
              </w:tblPrEx>
              <w:trPr>
                <w:trHeight w:val="23" w:hRule="atLeast"/>
                <w:jc w:val="center"/>
              </w:trPr>
              <w:tc>
                <w:tcPr>
                  <w:tcW w:w="368" w:type="pct"/>
                  <w:vMerge w:val="continue"/>
                  <w:tcBorders>
                    <w:tl2br w:val="nil"/>
                    <w:tr2bl w:val="nil"/>
                  </w:tcBorders>
                  <w:shd w:val="clear" w:color="auto" w:fill="auto"/>
                  <w:vAlign w:val="center"/>
                </w:tcPr>
                <w:p w14:paraId="15048BA6">
                  <w:pPr>
                    <w:pStyle w:val="128"/>
                    <w:spacing w:line="240" w:lineRule="auto"/>
                    <w:jc w:val="center"/>
                    <w:rPr>
                      <w:rFonts w:ascii="Times New Roman" w:hAnsi="Times New Roman" w:cs="Times New Roman"/>
                      <w:color w:val="FF0000"/>
                      <w:sz w:val="21"/>
                      <w:szCs w:val="21"/>
                      <w:lang w:val="en-US" w:eastAsia="en-US" w:bidi="en-US"/>
                    </w:rPr>
                  </w:pPr>
                </w:p>
              </w:tc>
              <w:tc>
                <w:tcPr>
                  <w:tcW w:w="461" w:type="pct"/>
                  <w:tcBorders>
                    <w:tl2br w:val="nil"/>
                    <w:tr2bl w:val="nil"/>
                  </w:tcBorders>
                  <w:shd w:val="clear" w:color="auto" w:fill="auto"/>
                  <w:vAlign w:val="center"/>
                </w:tcPr>
                <w:p w14:paraId="43A61EFB">
                  <w:pPr>
                    <w:pStyle w:val="128"/>
                    <w:spacing w:line="240" w:lineRule="auto"/>
                    <w:jc w:val="center"/>
                    <w:rPr>
                      <w:rFonts w:ascii="Times New Roman" w:hAnsi="Times New Roman" w:cs="Times New Roman"/>
                      <w:color w:val="FF0000"/>
                      <w:sz w:val="21"/>
                      <w:szCs w:val="21"/>
                      <w:lang w:val="en-US" w:eastAsia="zh-CN" w:bidi="en-US"/>
                    </w:rPr>
                  </w:pPr>
                  <w:r>
                    <w:rPr>
                      <w:rFonts w:hint="eastAsia" w:ascii="Times New Roman" w:hAnsi="Times New Roman" w:cs="Times New Roman"/>
                      <w:color w:val="FF0000"/>
                      <w:sz w:val="21"/>
                      <w:szCs w:val="21"/>
                      <w:lang w:val="en-US" w:eastAsia="zh-CN" w:bidi="en-US"/>
                    </w:rPr>
                    <w:t>S22</w:t>
                  </w:r>
                </w:p>
              </w:tc>
              <w:tc>
                <w:tcPr>
                  <w:tcW w:w="1555" w:type="pct"/>
                  <w:tcBorders>
                    <w:tl2br w:val="nil"/>
                    <w:tr2bl w:val="nil"/>
                  </w:tcBorders>
                  <w:shd w:val="clear" w:color="auto" w:fill="auto"/>
                  <w:vAlign w:val="center"/>
                </w:tcPr>
                <w:p w14:paraId="66767DD5">
                  <w:pPr>
                    <w:spacing w:line="240" w:lineRule="auto"/>
                    <w:jc w:val="center"/>
                    <w:rPr>
                      <w:color w:val="FF0000"/>
                      <w:szCs w:val="21"/>
                      <w:lang w:eastAsia="en-US" w:bidi="en-US"/>
                    </w:rPr>
                  </w:pPr>
                  <w:r>
                    <w:rPr>
                      <w:color w:val="FF0000"/>
                      <w:szCs w:val="21"/>
                    </w:rPr>
                    <w:t>拆解</w:t>
                  </w:r>
                </w:p>
              </w:tc>
              <w:tc>
                <w:tcPr>
                  <w:tcW w:w="1256" w:type="pct"/>
                  <w:tcBorders>
                    <w:tl2br w:val="nil"/>
                    <w:tr2bl w:val="nil"/>
                  </w:tcBorders>
                  <w:shd w:val="clear" w:color="auto" w:fill="auto"/>
                  <w:vAlign w:val="center"/>
                </w:tcPr>
                <w:p w14:paraId="0B36C53C">
                  <w:pPr>
                    <w:spacing w:line="240" w:lineRule="auto"/>
                    <w:jc w:val="center"/>
                    <w:rPr>
                      <w:bCs/>
                      <w:color w:val="FF0000"/>
                      <w:szCs w:val="21"/>
                      <w:lang w:eastAsia="en-US"/>
                    </w:rPr>
                  </w:pPr>
                  <w:r>
                    <w:rPr>
                      <w:rFonts w:hint="eastAsia"/>
                      <w:bCs/>
                      <w:color w:val="FF0000"/>
                      <w:szCs w:val="21"/>
                    </w:rPr>
                    <w:t>废皮布制品</w:t>
                  </w:r>
                </w:p>
              </w:tc>
              <w:tc>
                <w:tcPr>
                  <w:tcW w:w="1357" w:type="pct"/>
                  <w:vMerge w:val="restart"/>
                  <w:tcBorders>
                    <w:tl2br w:val="nil"/>
                    <w:tr2bl w:val="nil"/>
                  </w:tcBorders>
                  <w:shd w:val="clear" w:color="auto" w:fill="auto"/>
                  <w:vAlign w:val="center"/>
                </w:tcPr>
                <w:p w14:paraId="6FAA7236">
                  <w:pPr>
                    <w:spacing w:line="240" w:lineRule="auto"/>
                    <w:jc w:val="center"/>
                    <w:rPr>
                      <w:color w:val="FF0000"/>
                      <w:szCs w:val="21"/>
                      <w:lang w:bidi="en-US"/>
                    </w:rPr>
                  </w:pPr>
                  <w:r>
                    <w:rPr>
                      <w:rFonts w:hint="eastAsia"/>
                      <w:color w:val="FF0000"/>
                      <w:szCs w:val="21"/>
                      <w:lang w:bidi="en-US"/>
                    </w:rPr>
                    <w:t>暂存于一般固废暂存区，</w:t>
                  </w:r>
                  <w:r>
                    <w:rPr>
                      <w:rFonts w:hint="eastAsia"/>
                      <w:color w:val="FF0000"/>
                      <w:szCs w:val="21"/>
                      <w:lang w:eastAsia="zh-CN" w:bidi="en-US"/>
                    </w:rPr>
                    <w:t>定期交由具有相应处理能力或经营范围的单位利用和处置</w:t>
                  </w:r>
                  <w:r>
                    <w:rPr>
                      <w:rFonts w:hint="eastAsia"/>
                      <w:color w:val="FF0000"/>
                      <w:szCs w:val="21"/>
                      <w:lang w:bidi="en-US"/>
                    </w:rPr>
                    <w:t>。</w:t>
                  </w:r>
                </w:p>
              </w:tc>
            </w:tr>
            <w:tr w14:paraId="2D3C1483">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 w:type="dxa"/>
                  <w:bottom w:w="0" w:type="dxa"/>
                  <w:right w:w="10" w:type="dxa"/>
                </w:tblCellMar>
              </w:tblPrEx>
              <w:trPr>
                <w:trHeight w:val="23" w:hRule="atLeast"/>
                <w:jc w:val="center"/>
              </w:trPr>
              <w:tc>
                <w:tcPr>
                  <w:tcW w:w="368" w:type="pct"/>
                  <w:vMerge w:val="continue"/>
                  <w:tcBorders>
                    <w:tl2br w:val="nil"/>
                    <w:tr2bl w:val="nil"/>
                  </w:tcBorders>
                  <w:shd w:val="clear" w:color="auto" w:fill="auto"/>
                  <w:vAlign w:val="center"/>
                </w:tcPr>
                <w:p w14:paraId="2EBAF9BD">
                  <w:pPr>
                    <w:pStyle w:val="128"/>
                    <w:spacing w:line="240" w:lineRule="auto"/>
                    <w:jc w:val="center"/>
                    <w:rPr>
                      <w:rFonts w:ascii="Times New Roman" w:hAnsi="Times New Roman" w:cs="Times New Roman"/>
                      <w:color w:val="FF0000"/>
                      <w:sz w:val="21"/>
                      <w:szCs w:val="21"/>
                      <w:lang w:val="en-US" w:eastAsia="zh-CN" w:bidi="en-US"/>
                    </w:rPr>
                  </w:pPr>
                </w:p>
              </w:tc>
              <w:tc>
                <w:tcPr>
                  <w:tcW w:w="461" w:type="pct"/>
                  <w:tcBorders>
                    <w:tl2br w:val="nil"/>
                    <w:tr2bl w:val="nil"/>
                  </w:tcBorders>
                  <w:shd w:val="clear" w:color="auto" w:fill="auto"/>
                  <w:vAlign w:val="center"/>
                </w:tcPr>
                <w:p w14:paraId="4240D44F">
                  <w:pPr>
                    <w:pStyle w:val="128"/>
                    <w:spacing w:line="240" w:lineRule="auto"/>
                    <w:jc w:val="center"/>
                    <w:rPr>
                      <w:rFonts w:ascii="Times New Roman" w:hAnsi="Times New Roman" w:cs="Times New Roman"/>
                      <w:color w:val="FF0000"/>
                      <w:sz w:val="21"/>
                      <w:szCs w:val="21"/>
                      <w:lang w:val="en-US" w:eastAsia="zh-CN" w:bidi="en-US"/>
                    </w:rPr>
                  </w:pPr>
                  <w:r>
                    <w:rPr>
                      <w:rFonts w:hint="eastAsia" w:ascii="Times New Roman" w:hAnsi="Times New Roman" w:cs="Times New Roman"/>
                      <w:color w:val="FF0000"/>
                      <w:sz w:val="21"/>
                      <w:szCs w:val="21"/>
                      <w:lang w:val="en-US" w:eastAsia="zh-CN" w:bidi="en-US"/>
                    </w:rPr>
                    <w:t>S23</w:t>
                  </w:r>
                </w:p>
              </w:tc>
              <w:tc>
                <w:tcPr>
                  <w:tcW w:w="1555" w:type="pct"/>
                  <w:tcBorders>
                    <w:tl2br w:val="nil"/>
                    <w:tr2bl w:val="nil"/>
                  </w:tcBorders>
                  <w:shd w:val="clear" w:color="auto" w:fill="auto"/>
                  <w:vAlign w:val="center"/>
                </w:tcPr>
                <w:p w14:paraId="30F40E53">
                  <w:pPr>
                    <w:spacing w:line="240" w:lineRule="auto"/>
                    <w:jc w:val="center"/>
                    <w:rPr>
                      <w:color w:val="FF0000"/>
                      <w:szCs w:val="21"/>
                      <w:lang w:eastAsia="en-US" w:bidi="en-US"/>
                    </w:rPr>
                  </w:pPr>
                  <w:r>
                    <w:rPr>
                      <w:color w:val="FF0000"/>
                      <w:szCs w:val="21"/>
                    </w:rPr>
                    <w:t>拆解</w:t>
                  </w:r>
                </w:p>
              </w:tc>
              <w:tc>
                <w:tcPr>
                  <w:tcW w:w="1256" w:type="pct"/>
                  <w:tcBorders>
                    <w:tl2br w:val="nil"/>
                    <w:tr2bl w:val="nil"/>
                  </w:tcBorders>
                  <w:shd w:val="clear" w:color="auto" w:fill="auto"/>
                  <w:vAlign w:val="center"/>
                </w:tcPr>
                <w:p w14:paraId="3DDAD6EE">
                  <w:pPr>
                    <w:spacing w:line="240" w:lineRule="auto"/>
                    <w:jc w:val="center"/>
                    <w:rPr>
                      <w:bCs/>
                      <w:color w:val="FF0000"/>
                      <w:szCs w:val="21"/>
                      <w:lang w:eastAsia="en-US"/>
                    </w:rPr>
                  </w:pPr>
                  <w:r>
                    <w:rPr>
                      <w:rFonts w:hint="eastAsia"/>
                      <w:bCs/>
                      <w:color w:val="FF0000"/>
                      <w:szCs w:val="21"/>
                    </w:rPr>
                    <w:t>其他不可利用物</w:t>
                  </w:r>
                </w:p>
              </w:tc>
              <w:tc>
                <w:tcPr>
                  <w:tcW w:w="1357" w:type="pct"/>
                  <w:vMerge w:val="continue"/>
                  <w:tcBorders>
                    <w:tl2br w:val="nil"/>
                    <w:tr2bl w:val="nil"/>
                  </w:tcBorders>
                  <w:shd w:val="clear" w:color="auto" w:fill="auto"/>
                  <w:vAlign w:val="center"/>
                </w:tcPr>
                <w:p w14:paraId="55CD7C8E">
                  <w:pPr>
                    <w:pStyle w:val="128"/>
                    <w:spacing w:line="240" w:lineRule="auto"/>
                    <w:jc w:val="center"/>
                    <w:rPr>
                      <w:rFonts w:ascii="Times New Roman" w:hAnsi="Times New Roman" w:cs="Times New Roman"/>
                      <w:color w:val="FF0000"/>
                      <w:sz w:val="21"/>
                      <w:szCs w:val="21"/>
                      <w:lang w:val="en-US" w:eastAsia="en-US" w:bidi="en-US"/>
                    </w:rPr>
                  </w:pPr>
                </w:p>
              </w:tc>
            </w:tr>
            <w:tr w14:paraId="47A57118">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 w:type="dxa"/>
                  <w:bottom w:w="0" w:type="dxa"/>
                  <w:right w:w="10" w:type="dxa"/>
                </w:tblCellMar>
              </w:tblPrEx>
              <w:trPr>
                <w:trHeight w:val="23" w:hRule="atLeast"/>
                <w:jc w:val="center"/>
              </w:trPr>
              <w:tc>
                <w:tcPr>
                  <w:tcW w:w="368" w:type="pct"/>
                  <w:vMerge w:val="continue"/>
                  <w:tcBorders>
                    <w:tl2br w:val="nil"/>
                    <w:tr2bl w:val="nil"/>
                  </w:tcBorders>
                  <w:shd w:val="clear" w:color="auto" w:fill="auto"/>
                  <w:vAlign w:val="center"/>
                </w:tcPr>
                <w:p w14:paraId="62C3EF89">
                  <w:pPr>
                    <w:pStyle w:val="128"/>
                    <w:spacing w:line="240" w:lineRule="auto"/>
                    <w:jc w:val="center"/>
                    <w:rPr>
                      <w:rFonts w:ascii="Times New Roman" w:hAnsi="Times New Roman" w:cs="Times New Roman"/>
                      <w:color w:val="FF0000"/>
                      <w:sz w:val="21"/>
                      <w:szCs w:val="21"/>
                      <w:lang w:val="en-US" w:eastAsia="en-US" w:bidi="en-US"/>
                    </w:rPr>
                  </w:pPr>
                </w:p>
              </w:tc>
              <w:tc>
                <w:tcPr>
                  <w:tcW w:w="461" w:type="pct"/>
                  <w:tcBorders>
                    <w:tl2br w:val="nil"/>
                    <w:tr2bl w:val="nil"/>
                  </w:tcBorders>
                  <w:shd w:val="clear" w:color="auto" w:fill="auto"/>
                  <w:vAlign w:val="center"/>
                </w:tcPr>
                <w:p w14:paraId="2DAF81A6">
                  <w:pPr>
                    <w:pStyle w:val="128"/>
                    <w:spacing w:line="240" w:lineRule="auto"/>
                    <w:jc w:val="center"/>
                    <w:rPr>
                      <w:rFonts w:ascii="Times New Roman" w:hAnsi="Times New Roman" w:cs="Times New Roman"/>
                      <w:color w:val="FF0000"/>
                      <w:sz w:val="21"/>
                      <w:szCs w:val="21"/>
                      <w:lang w:val="en-US" w:eastAsia="zh-CN" w:bidi="en-US"/>
                    </w:rPr>
                  </w:pPr>
                  <w:r>
                    <w:rPr>
                      <w:rFonts w:hint="eastAsia" w:ascii="Times New Roman" w:hAnsi="Times New Roman" w:cs="Times New Roman"/>
                      <w:color w:val="FF0000"/>
                      <w:sz w:val="21"/>
                      <w:szCs w:val="21"/>
                      <w:lang w:val="en-US" w:eastAsia="zh-CN" w:bidi="en-US"/>
                    </w:rPr>
                    <w:t>S24</w:t>
                  </w:r>
                </w:p>
              </w:tc>
              <w:tc>
                <w:tcPr>
                  <w:tcW w:w="1555" w:type="pct"/>
                  <w:tcBorders>
                    <w:tl2br w:val="nil"/>
                    <w:tr2bl w:val="nil"/>
                  </w:tcBorders>
                  <w:shd w:val="clear" w:color="auto" w:fill="auto"/>
                  <w:vAlign w:val="center"/>
                </w:tcPr>
                <w:p w14:paraId="017D68D0">
                  <w:pPr>
                    <w:pStyle w:val="128"/>
                    <w:spacing w:line="240" w:lineRule="auto"/>
                    <w:jc w:val="center"/>
                    <w:rPr>
                      <w:rFonts w:ascii="Times New Roman" w:hAnsi="Times New Roman" w:cs="Times New Roman"/>
                      <w:color w:val="FF0000"/>
                      <w:sz w:val="21"/>
                      <w:szCs w:val="21"/>
                      <w:lang w:val="en-US" w:eastAsia="zh-CN" w:bidi="en-US"/>
                    </w:rPr>
                  </w:pPr>
                  <w:r>
                    <w:rPr>
                      <w:rFonts w:hint="eastAsia" w:ascii="Times New Roman" w:hAnsi="Times New Roman" w:cs="Times New Roman"/>
                      <w:color w:val="FF0000"/>
                      <w:sz w:val="21"/>
                      <w:szCs w:val="21"/>
                      <w:lang w:val="en-US" w:eastAsia="zh-CN" w:bidi="en-US"/>
                    </w:rPr>
                    <w:t>废气治理</w:t>
                  </w:r>
                </w:p>
              </w:tc>
              <w:tc>
                <w:tcPr>
                  <w:tcW w:w="1256" w:type="pct"/>
                  <w:tcBorders>
                    <w:tl2br w:val="nil"/>
                    <w:tr2bl w:val="nil"/>
                  </w:tcBorders>
                  <w:shd w:val="clear" w:color="auto" w:fill="auto"/>
                  <w:vAlign w:val="center"/>
                </w:tcPr>
                <w:p w14:paraId="39DABCC3">
                  <w:pPr>
                    <w:spacing w:line="240" w:lineRule="auto"/>
                    <w:jc w:val="center"/>
                    <w:rPr>
                      <w:bCs/>
                      <w:color w:val="FF0000"/>
                      <w:szCs w:val="21"/>
                      <w:lang w:eastAsia="en-US"/>
                    </w:rPr>
                  </w:pPr>
                  <w:r>
                    <w:rPr>
                      <w:rFonts w:hint="eastAsia"/>
                      <w:bCs/>
                      <w:color w:val="FF0000"/>
                      <w:szCs w:val="21"/>
                    </w:rPr>
                    <w:t>除尘灰</w:t>
                  </w:r>
                </w:p>
              </w:tc>
              <w:tc>
                <w:tcPr>
                  <w:tcW w:w="1357" w:type="pct"/>
                  <w:vMerge w:val="continue"/>
                  <w:tcBorders>
                    <w:tl2br w:val="nil"/>
                    <w:tr2bl w:val="nil"/>
                  </w:tcBorders>
                  <w:shd w:val="clear" w:color="auto" w:fill="auto"/>
                  <w:vAlign w:val="center"/>
                </w:tcPr>
                <w:p w14:paraId="0E9C3C01">
                  <w:pPr>
                    <w:pStyle w:val="128"/>
                    <w:spacing w:line="240" w:lineRule="auto"/>
                    <w:jc w:val="center"/>
                    <w:rPr>
                      <w:rFonts w:ascii="Times New Roman" w:hAnsi="Times New Roman" w:cs="Times New Roman"/>
                      <w:color w:val="FF0000"/>
                      <w:sz w:val="21"/>
                      <w:szCs w:val="21"/>
                      <w:lang w:val="en-US" w:eastAsia="en-US" w:bidi="en-US"/>
                    </w:rPr>
                  </w:pPr>
                </w:p>
              </w:tc>
            </w:tr>
            <w:tr w14:paraId="192A2E83">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 w:type="dxa"/>
                  <w:bottom w:w="0" w:type="dxa"/>
                  <w:right w:w="10" w:type="dxa"/>
                </w:tblCellMar>
              </w:tblPrEx>
              <w:trPr>
                <w:trHeight w:val="23" w:hRule="atLeast"/>
                <w:jc w:val="center"/>
              </w:trPr>
              <w:tc>
                <w:tcPr>
                  <w:tcW w:w="368" w:type="pct"/>
                  <w:vMerge w:val="continue"/>
                  <w:tcBorders>
                    <w:tl2br w:val="nil"/>
                    <w:tr2bl w:val="nil"/>
                  </w:tcBorders>
                  <w:shd w:val="clear" w:color="auto" w:fill="auto"/>
                  <w:vAlign w:val="center"/>
                </w:tcPr>
                <w:p w14:paraId="789E6CC8">
                  <w:pPr>
                    <w:pStyle w:val="128"/>
                    <w:spacing w:line="240" w:lineRule="auto"/>
                    <w:jc w:val="center"/>
                    <w:rPr>
                      <w:rFonts w:ascii="Times New Roman" w:hAnsi="Times New Roman" w:cs="Times New Roman"/>
                      <w:color w:val="FF0000"/>
                      <w:sz w:val="21"/>
                      <w:szCs w:val="21"/>
                      <w:lang w:val="en-US" w:eastAsia="en-US" w:bidi="en-US"/>
                    </w:rPr>
                  </w:pPr>
                </w:p>
              </w:tc>
              <w:tc>
                <w:tcPr>
                  <w:tcW w:w="461" w:type="pct"/>
                  <w:tcBorders>
                    <w:tl2br w:val="nil"/>
                    <w:tr2bl w:val="nil"/>
                  </w:tcBorders>
                  <w:shd w:val="clear" w:color="auto" w:fill="auto"/>
                  <w:vAlign w:val="center"/>
                </w:tcPr>
                <w:p w14:paraId="53D4C8CF">
                  <w:pPr>
                    <w:pStyle w:val="128"/>
                    <w:spacing w:line="240" w:lineRule="auto"/>
                    <w:jc w:val="center"/>
                    <w:rPr>
                      <w:rFonts w:ascii="Times New Roman" w:hAnsi="Times New Roman" w:cs="Times New Roman"/>
                      <w:color w:val="FF0000"/>
                      <w:sz w:val="21"/>
                      <w:szCs w:val="21"/>
                      <w:lang w:val="en-US" w:eastAsia="zh-CN" w:bidi="en-US"/>
                    </w:rPr>
                  </w:pPr>
                  <w:r>
                    <w:rPr>
                      <w:rFonts w:hint="eastAsia" w:ascii="Times New Roman" w:hAnsi="Times New Roman" w:cs="Times New Roman"/>
                      <w:color w:val="FF0000"/>
                      <w:sz w:val="21"/>
                      <w:szCs w:val="21"/>
                      <w:lang w:val="en-US" w:eastAsia="zh-CN" w:bidi="en-US"/>
                    </w:rPr>
                    <w:t>S25</w:t>
                  </w:r>
                </w:p>
              </w:tc>
              <w:tc>
                <w:tcPr>
                  <w:tcW w:w="1555" w:type="pct"/>
                  <w:tcBorders>
                    <w:tl2br w:val="nil"/>
                    <w:tr2bl w:val="nil"/>
                  </w:tcBorders>
                  <w:shd w:val="clear" w:color="auto" w:fill="auto"/>
                  <w:vAlign w:val="center"/>
                </w:tcPr>
                <w:p w14:paraId="6F0D89EE">
                  <w:pPr>
                    <w:pStyle w:val="128"/>
                    <w:spacing w:line="240" w:lineRule="auto"/>
                    <w:jc w:val="center"/>
                    <w:rPr>
                      <w:rFonts w:ascii="Times New Roman" w:hAnsi="Times New Roman" w:cs="Times New Roman"/>
                      <w:color w:val="FF0000"/>
                      <w:sz w:val="21"/>
                      <w:szCs w:val="21"/>
                      <w:lang w:val="en-US" w:eastAsia="en-US" w:bidi="en-US"/>
                    </w:rPr>
                  </w:pPr>
                  <w:r>
                    <w:rPr>
                      <w:rFonts w:hint="eastAsia" w:ascii="Times New Roman" w:hAnsi="Times New Roman" w:cs="Times New Roman"/>
                      <w:color w:val="FF0000"/>
                      <w:sz w:val="21"/>
                      <w:szCs w:val="21"/>
                      <w:lang w:val="en-US" w:eastAsia="zh-CN" w:bidi="en-US"/>
                    </w:rPr>
                    <w:t>废气治理</w:t>
                  </w:r>
                </w:p>
              </w:tc>
              <w:tc>
                <w:tcPr>
                  <w:tcW w:w="1256" w:type="pct"/>
                  <w:tcBorders>
                    <w:tl2br w:val="nil"/>
                    <w:tr2bl w:val="nil"/>
                  </w:tcBorders>
                  <w:shd w:val="clear" w:color="auto" w:fill="auto"/>
                  <w:vAlign w:val="center"/>
                </w:tcPr>
                <w:p w14:paraId="73D445E8">
                  <w:pPr>
                    <w:pStyle w:val="128"/>
                    <w:spacing w:line="240" w:lineRule="auto"/>
                    <w:jc w:val="center"/>
                    <w:rPr>
                      <w:rFonts w:ascii="Times New Roman" w:hAnsi="Times New Roman" w:cs="Times New Roman"/>
                      <w:color w:val="FF0000"/>
                      <w:sz w:val="21"/>
                      <w:szCs w:val="21"/>
                      <w:lang w:val="en-US" w:eastAsia="en-US"/>
                    </w:rPr>
                  </w:pPr>
                  <w:r>
                    <w:rPr>
                      <w:rFonts w:hint="eastAsia" w:ascii="Times New Roman" w:hAnsi="Times New Roman" w:cs="Times New Roman"/>
                      <w:color w:val="FF0000"/>
                      <w:sz w:val="21"/>
                      <w:szCs w:val="21"/>
                      <w:lang w:val="en-US" w:eastAsia="zh-CN"/>
                    </w:rPr>
                    <w:t>落地粉尘</w:t>
                  </w:r>
                </w:p>
              </w:tc>
              <w:tc>
                <w:tcPr>
                  <w:tcW w:w="1357" w:type="pct"/>
                  <w:vMerge w:val="continue"/>
                  <w:tcBorders>
                    <w:tl2br w:val="nil"/>
                    <w:tr2bl w:val="nil"/>
                  </w:tcBorders>
                  <w:shd w:val="clear" w:color="auto" w:fill="auto"/>
                  <w:vAlign w:val="center"/>
                </w:tcPr>
                <w:p w14:paraId="339E90A3">
                  <w:pPr>
                    <w:pStyle w:val="128"/>
                    <w:spacing w:line="240" w:lineRule="auto"/>
                    <w:jc w:val="center"/>
                    <w:rPr>
                      <w:rFonts w:ascii="Times New Roman" w:hAnsi="Times New Roman" w:cs="Times New Roman"/>
                      <w:color w:val="FF0000"/>
                      <w:sz w:val="21"/>
                      <w:szCs w:val="21"/>
                      <w:lang w:val="en-US" w:eastAsia="en-US" w:bidi="en-US"/>
                    </w:rPr>
                  </w:pPr>
                </w:p>
              </w:tc>
            </w:tr>
            <w:tr w14:paraId="5268A776">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 w:type="dxa"/>
                  <w:bottom w:w="0" w:type="dxa"/>
                  <w:right w:w="10" w:type="dxa"/>
                </w:tblCellMar>
              </w:tblPrEx>
              <w:trPr>
                <w:trHeight w:val="23" w:hRule="atLeast"/>
                <w:jc w:val="center"/>
              </w:trPr>
              <w:tc>
                <w:tcPr>
                  <w:tcW w:w="368" w:type="pct"/>
                  <w:vMerge w:val="continue"/>
                  <w:tcBorders>
                    <w:tl2br w:val="nil"/>
                    <w:tr2bl w:val="nil"/>
                  </w:tcBorders>
                  <w:shd w:val="clear" w:color="auto" w:fill="auto"/>
                  <w:vAlign w:val="center"/>
                </w:tcPr>
                <w:p w14:paraId="76271BD2">
                  <w:pPr>
                    <w:pStyle w:val="128"/>
                    <w:spacing w:line="240" w:lineRule="auto"/>
                    <w:jc w:val="center"/>
                    <w:rPr>
                      <w:rFonts w:ascii="Times New Roman" w:hAnsi="Times New Roman" w:cs="Times New Roman"/>
                      <w:color w:val="FF0000"/>
                      <w:sz w:val="21"/>
                      <w:szCs w:val="21"/>
                      <w:lang w:val="en-US" w:eastAsia="en-US" w:bidi="en-US"/>
                    </w:rPr>
                  </w:pPr>
                </w:p>
              </w:tc>
              <w:tc>
                <w:tcPr>
                  <w:tcW w:w="461" w:type="pct"/>
                  <w:tcBorders>
                    <w:tl2br w:val="nil"/>
                    <w:tr2bl w:val="nil"/>
                  </w:tcBorders>
                  <w:shd w:val="clear" w:color="auto" w:fill="auto"/>
                  <w:vAlign w:val="center"/>
                </w:tcPr>
                <w:p w14:paraId="1D7C18BD">
                  <w:pPr>
                    <w:pStyle w:val="128"/>
                    <w:spacing w:line="240" w:lineRule="auto"/>
                    <w:jc w:val="center"/>
                    <w:rPr>
                      <w:rFonts w:hint="default" w:ascii="Times New Roman" w:hAnsi="Times New Roman" w:cs="Times New Roman"/>
                      <w:color w:val="FF0000"/>
                      <w:sz w:val="21"/>
                      <w:szCs w:val="21"/>
                      <w:lang w:val="en-US" w:eastAsia="zh-CN" w:bidi="en-US"/>
                    </w:rPr>
                  </w:pPr>
                  <w:r>
                    <w:rPr>
                      <w:rFonts w:hint="eastAsia" w:ascii="Times New Roman" w:hAnsi="Times New Roman" w:cs="Times New Roman"/>
                      <w:color w:val="FF0000"/>
                      <w:sz w:val="21"/>
                      <w:szCs w:val="21"/>
                      <w:lang w:val="en-US" w:eastAsia="zh-CN" w:bidi="en-US"/>
                    </w:rPr>
                    <w:t>S26</w:t>
                  </w:r>
                </w:p>
              </w:tc>
              <w:tc>
                <w:tcPr>
                  <w:tcW w:w="1555" w:type="pct"/>
                  <w:tcBorders>
                    <w:tl2br w:val="nil"/>
                    <w:tr2bl w:val="nil"/>
                  </w:tcBorders>
                  <w:shd w:val="clear" w:color="auto" w:fill="auto"/>
                  <w:vAlign w:val="center"/>
                </w:tcPr>
                <w:p w14:paraId="0A7FA21E">
                  <w:pPr>
                    <w:pStyle w:val="128"/>
                    <w:spacing w:line="240" w:lineRule="auto"/>
                    <w:jc w:val="center"/>
                    <w:rPr>
                      <w:rFonts w:hint="default" w:ascii="Times New Roman" w:hAnsi="Times New Roman" w:cs="Times New Roman"/>
                      <w:color w:val="FF0000"/>
                      <w:sz w:val="21"/>
                      <w:szCs w:val="21"/>
                      <w:lang w:val="en-US" w:eastAsia="zh-CN" w:bidi="en-US"/>
                    </w:rPr>
                  </w:pPr>
                  <w:r>
                    <w:rPr>
                      <w:rFonts w:hint="eastAsia" w:ascii="Times New Roman" w:hAnsi="Times New Roman" w:cs="Times New Roman"/>
                      <w:color w:val="FF0000"/>
                      <w:sz w:val="21"/>
                      <w:szCs w:val="21"/>
                      <w:lang w:val="en-US" w:eastAsia="zh-CN" w:bidi="en-US"/>
                    </w:rPr>
                    <w:t>日常清理</w:t>
                  </w:r>
                </w:p>
              </w:tc>
              <w:tc>
                <w:tcPr>
                  <w:tcW w:w="1256" w:type="pct"/>
                  <w:tcBorders>
                    <w:tl2br w:val="nil"/>
                    <w:tr2bl w:val="nil"/>
                  </w:tcBorders>
                  <w:shd w:val="clear" w:color="auto" w:fill="auto"/>
                  <w:vAlign w:val="center"/>
                </w:tcPr>
                <w:p w14:paraId="444E37D8">
                  <w:pPr>
                    <w:pStyle w:val="128"/>
                    <w:spacing w:line="240" w:lineRule="auto"/>
                    <w:jc w:val="center"/>
                    <w:rPr>
                      <w:rFonts w:hint="default" w:ascii="Times New Roman" w:hAnsi="Times New Roman" w:cs="Times New Roman"/>
                      <w:color w:val="FF0000"/>
                      <w:sz w:val="21"/>
                      <w:szCs w:val="21"/>
                      <w:lang w:val="en-US" w:eastAsia="zh-CN"/>
                    </w:rPr>
                  </w:pPr>
                  <w:r>
                    <w:rPr>
                      <w:rFonts w:hint="eastAsia" w:ascii="Times New Roman" w:hAnsi="Times New Roman" w:cs="Times New Roman"/>
                      <w:color w:val="FF0000"/>
                      <w:sz w:val="21"/>
                      <w:szCs w:val="21"/>
                      <w:lang w:val="en-US" w:eastAsia="zh-CN"/>
                    </w:rPr>
                    <w:t xml:space="preserve">含油抹布 </w:t>
                  </w:r>
                </w:p>
              </w:tc>
              <w:tc>
                <w:tcPr>
                  <w:tcW w:w="1357" w:type="pct"/>
                  <w:tcBorders>
                    <w:tl2br w:val="nil"/>
                    <w:tr2bl w:val="nil"/>
                  </w:tcBorders>
                  <w:shd w:val="clear" w:color="auto" w:fill="auto"/>
                  <w:vAlign w:val="center"/>
                </w:tcPr>
                <w:p w14:paraId="541EB852">
                  <w:pPr>
                    <w:pStyle w:val="128"/>
                    <w:spacing w:line="240" w:lineRule="auto"/>
                    <w:jc w:val="center"/>
                    <w:rPr>
                      <w:rFonts w:ascii="Times New Roman" w:hAnsi="Times New Roman" w:cs="Times New Roman"/>
                      <w:color w:val="FF0000"/>
                      <w:sz w:val="21"/>
                      <w:szCs w:val="21"/>
                      <w:lang w:val="en-US" w:eastAsia="en-US" w:bidi="en-US"/>
                    </w:rPr>
                  </w:pPr>
                  <w:r>
                    <w:rPr>
                      <w:rFonts w:hint="eastAsia"/>
                      <w:color w:val="FF0000"/>
                      <w:kern w:val="0"/>
                      <w:sz w:val="21"/>
                      <w:szCs w:val="21"/>
                      <w:lang w:val="en-US" w:eastAsia="zh-CN" w:bidi="ar"/>
                    </w:rPr>
                    <w:t>厂内集中收集，分类、分区暂存在危废贮存点内，定期</w:t>
                  </w:r>
                  <w:r>
                    <w:rPr>
                      <w:rFonts w:hint="default" w:ascii="Times New Roman" w:hAnsi="Times New Roman" w:eastAsia="宋体" w:cs="Times New Roman"/>
                      <w:color w:val="FF0000"/>
                      <w:spacing w:val="-1"/>
                      <w:sz w:val="21"/>
                      <w:szCs w:val="21"/>
                    </w:rPr>
                    <w:t>交由具有相应废弃电器电子产品处理资格企业、电子废物拆解利用处置单位名录内企业</w:t>
                  </w:r>
                  <w:r>
                    <w:rPr>
                      <w:rFonts w:hint="eastAsia" w:ascii="Times New Roman" w:hAnsi="Times New Roman" w:eastAsia="宋体" w:cs="Times New Roman"/>
                      <w:color w:val="FF0000"/>
                      <w:spacing w:val="-1"/>
                      <w:sz w:val="21"/>
                      <w:szCs w:val="21"/>
                      <w:lang w:eastAsia="zh-CN"/>
                    </w:rPr>
                    <w:t>。</w:t>
                  </w:r>
                </w:p>
              </w:tc>
            </w:tr>
            <w:tr w14:paraId="13544359">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 w:type="dxa"/>
                  <w:bottom w:w="0" w:type="dxa"/>
                  <w:right w:w="10" w:type="dxa"/>
                </w:tblCellMar>
              </w:tblPrEx>
              <w:trPr>
                <w:trHeight w:val="23" w:hRule="atLeast"/>
                <w:jc w:val="center"/>
              </w:trPr>
              <w:tc>
                <w:tcPr>
                  <w:tcW w:w="368" w:type="pct"/>
                  <w:vMerge w:val="continue"/>
                  <w:tcBorders>
                    <w:tl2br w:val="nil"/>
                    <w:tr2bl w:val="nil"/>
                  </w:tcBorders>
                  <w:shd w:val="clear" w:color="auto" w:fill="auto"/>
                  <w:vAlign w:val="center"/>
                </w:tcPr>
                <w:p w14:paraId="579A9B43">
                  <w:pPr>
                    <w:spacing w:line="240" w:lineRule="auto"/>
                    <w:jc w:val="center"/>
                    <w:rPr>
                      <w:color w:val="FF0000"/>
                      <w:szCs w:val="21"/>
                    </w:rPr>
                  </w:pPr>
                </w:p>
              </w:tc>
              <w:tc>
                <w:tcPr>
                  <w:tcW w:w="461" w:type="pct"/>
                  <w:tcBorders>
                    <w:tl2br w:val="nil"/>
                    <w:tr2bl w:val="nil"/>
                  </w:tcBorders>
                  <w:shd w:val="clear" w:color="auto" w:fill="auto"/>
                  <w:vAlign w:val="center"/>
                </w:tcPr>
                <w:p w14:paraId="2BA765D9">
                  <w:pPr>
                    <w:pStyle w:val="128"/>
                    <w:spacing w:line="240" w:lineRule="auto"/>
                    <w:jc w:val="center"/>
                    <w:rPr>
                      <w:rFonts w:ascii="Times New Roman" w:hAnsi="Times New Roman" w:cs="Times New Roman"/>
                      <w:color w:val="FF0000"/>
                      <w:sz w:val="21"/>
                      <w:szCs w:val="21"/>
                      <w:lang w:val="en-US" w:eastAsia="en-US"/>
                    </w:rPr>
                  </w:pPr>
                  <w:r>
                    <w:rPr>
                      <w:rFonts w:ascii="Times New Roman" w:hAnsi="Times New Roman" w:cs="Times New Roman"/>
                      <w:color w:val="FF0000"/>
                      <w:sz w:val="21"/>
                      <w:szCs w:val="21"/>
                    </w:rPr>
                    <w:t>生活垃圾</w:t>
                  </w:r>
                </w:p>
              </w:tc>
              <w:tc>
                <w:tcPr>
                  <w:tcW w:w="1555" w:type="pct"/>
                  <w:tcBorders>
                    <w:tl2br w:val="nil"/>
                    <w:tr2bl w:val="nil"/>
                  </w:tcBorders>
                  <w:shd w:val="clear" w:color="auto" w:fill="auto"/>
                  <w:vAlign w:val="center"/>
                </w:tcPr>
                <w:p w14:paraId="5A73ED0D">
                  <w:pPr>
                    <w:pStyle w:val="128"/>
                    <w:spacing w:line="240" w:lineRule="auto"/>
                    <w:jc w:val="center"/>
                    <w:rPr>
                      <w:rFonts w:ascii="Times New Roman" w:hAnsi="Times New Roman" w:cs="Times New Roman"/>
                      <w:color w:val="FF0000"/>
                      <w:sz w:val="21"/>
                      <w:szCs w:val="21"/>
                    </w:rPr>
                  </w:pPr>
                  <w:r>
                    <w:rPr>
                      <w:rFonts w:ascii="Times New Roman" w:hAnsi="Times New Roman" w:cs="Times New Roman"/>
                      <w:color w:val="FF0000"/>
                      <w:sz w:val="21"/>
                      <w:szCs w:val="21"/>
                    </w:rPr>
                    <w:t>职工生活</w:t>
                  </w:r>
                </w:p>
              </w:tc>
              <w:tc>
                <w:tcPr>
                  <w:tcW w:w="1256" w:type="pct"/>
                  <w:tcBorders>
                    <w:tl2br w:val="nil"/>
                    <w:tr2bl w:val="nil"/>
                  </w:tcBorders>
                  <w:shd w:val="clear" w:color="auto" w:fill="auto"/>
                  <w:vAlign w:val="center"/>
                </w:tcPr>
                <w:p w14:paraId="5F85D30D">
                  <w:pPr>
                    <w:pStyle w:val="128"/>
                    <w:spacing w:line="240" w:lineRule="auto"/>
                    <w:jc w:val="center"/>
                    <w:rPr>
                      <w:rFonts w:ascii="Times New Roman" w:hAnsi="Times New Roman" w:cs="Times New Roman"/>
                      <w:color w:val="FF0000"/>
                      <w:sz w:val="21"/>
                      <w:szCs w:val="21"/>
                    </w:rPr>
                  </w:pPr>
                  <w:r>
                    <w:rPr>
                      <w:rFonts w:ascii="Times New Roman" w:hAnsi="Times New Roman" w:cs="Times New Roman"/>
                      <w:color w:val="FF0000"/>
                      <w:sz w:val="21"/>
                      <w:szCs w:val="21"/>
                    </w:rPr>
                    <w:t>生活垃圾</w:t>
                  </w:r>
                </w:p>
              </w:tc>
              <w:tc>
                <w:tcPr>
                  <w:tcW w:w="1357" w:type="pct"/>
                  <w:tcBorders>
                    <w:tl2br w:val="nil"/>
                    <w:tr2bl w:val="nil"/>
                  </w:tcBorders>
                  <w:shd w:val="clear" w:color="auto" w:fill="auto"/>
                  <w:vAlign w:val="center"/>
                </w:tcPr>
                <w:p w14:paraId="312B6B1F">
                  <w:pPr>
                    <w:pStyle w:val="128"/>
                    <w:spacing w:line="240" w:lineRule="auto"/>
                    <w:jc w:val="center"/>
                    <w:rPr>
                      <w:rFonts w:ascii="Times New Roman" w:hAnsi="Times New Roman" w:cs="Times New Roman"/>
                      <w:color w:val="FF0000"/>
                      <w:sz w:val="21"/>
                      <w:szCs w:val="21"/>
                    </w:rPr>
                  </w:pPr>
                  <w:r>
                    <w:rPr>
                      <w:rFonts w:hint="eastAsia" w:ascii="Times New Roman" w:hAnsi="Times New Roman" w:cs="Times New Roman"/>
                      <w:color w:val="FF0000"/>
                      <w:sz w:val="21"/>
                      <w:szCs w:val="21"/>
                      <w:lang w:val="en-US" w:eastAsia="zh-CN"/>
                    </w:rPr>
                    <w:t>生活垃圾暂存厂区</w:t>
                  </w:r>
                  <w:r>
                    <w:rPr>
                      <w:rFonts w:ascii="Times New Roman" w:hAnsi="Times New Roman" w:cs="Times New Roman"/>
                      <w:color w:val="FF0000"/>
                      <w:sz w:val="21"/>
                      <w:szCs w:val="21"/>
                    </w:rPr>
                    <w:t>垃圾桶</w:t>
                  </w:r>
                  <w:r>
                    <w:rPr>
                      <w:rFonts w:hint="eastAsia" w:ascii="Times New Roman" w:hAnsi="Times New Roman" w:cs="Times New Roman"/>
                      <w:color w:val="FF0000"/>
                      <w:sz w:val="21"/>
                      <w:szCs w:val="21"/>
                      <w:lang w:eastAsia="zh-CN"/>
                    </w:rPr>
                    <w:t>，</w:t>
                  </w:r>
                  <w:r>
                    <w:rPr>
                      <w:rFonts w:ascii="Times New Roman" w:hAnsi="Times New Roman" w:cs="Times New Roman"/>
                      <w:color w:val="FF0000"/>
                      <w:sz w:val="21"/>
                      <w:szCs w:val="21"/>
                    </w:rPr>
                    <w:t>定期由环卫部门统一收集</w:t>
                  </w:r>
                  <w:r>
                    <w:rPr>
                      <w:rFonts w:hint="eastAsia" w:ascii="Times New Roman" w:hAnsi="Times New Roman" w:cs="Times New Roman"/>
                      <w:color w:val="FF0000"/>
                      <w:sz w:val="21"/>
                      <w:szCs w:val="21"/>
                      <w:lang w:val="en-US" w:eastAsia="zh-CN"/>
                    </w:rPr>
                    <w:t>并</w:t>
                  </w:r>
                  <w:r>
                    <w:rPr>
                      <w:rFonts w:ascii="Times New Roman" w:hAnsi="Times New Roman" w:cs="Times New Roman"/>
                      <w:color w:val="FF0000"/>
                      <w:sz w:val="21"/>
                      <w:szCs w:val="21"/>
                    </w:rPr>
                    <w:t>清运处理</w:t>
                  </w:r>
                  <w:r>
                    <w:rPr>
                      <w:rFonts w:hint="eastAsia" w:ascii="Times New Roman" w:hAnsi="Times New Roman" w:cs="Times New Roman"/>
                      <w:color w:val="FF0000"/>
                      <w:sz w:val="21"/>
                      <w:szCs w:val="21"/>
                    </w:rPr>
                    <w:t>。</w:t>
                  </w:r>
                </w:p>
              </w:tc>
            </w:tr>
          </w:tbl>
          <w:p w14:paraId="70CB2B26">
            <w:pPr>
              <w:pStyle w:val="30"/>
              <w:jc w:val="center"/>
              <w:rPr>
                <w:rFonts w:hint="eastAsia" w:ascii="黑体" w:hAnsi="黑体" w:eastAsia="黑体"/>
                <w:snapToGrid w:val="0"/>
                <w:sz w:val="36"/>
                <w:szCs w:val="36"/>
                <w:vertAlign w:val="baseline"/>
              </w:rPr>
            </w:pPr>
          </w:p>
        </w:tc>
      </w:tr>
      <w:tr w14:paraId="2B6062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2903" w:hRule="atLeast"/>
        </w:trPr>
        <w:tc>
          <w:tcPr>
            <w:tcW w:w="767" w:type="dxa"/>
            <w:vAlign w:val="center"/>
          </w:tcPr>
          <w:p w14:paraId="34A4F0B4">
            <w:pPr>
              <w:pStyle w:val="30"/>
              <w:jc w:val="center"/>
              <w:rPr>
                <w:rFonts w:hint="eastAsia" w:cs="宋体"/>
                <w:color w:val="000000" w:themeColor="text1"/>
                <w:sz w:val="21"/>
                <w:szCs w:val="21"/>
                <w14:textFill>
                  <w14:solidFill>
                    <w14:schemeClr w14:val="tx1"/>
                  </w14:solidFill>
                </w14:textFill>
              </w:rPr>
            </w:pPr>
            <w:r>
              <w:rPr>
                <w:rFonts w:hint="eastAsia" w:cs="宋体"/>
                <w:bCs/>
                <w:color w:val="FF0000"/>
                <w:kern w:val="2"/>
                <w:sz w:val="21"/>
                <w:szCs w:val="21"/>
              </w:rPr>
              <w:t>与项目有关的原有环境污染问题</w:t>
            </w:r>
          </w:p>
        </w:tc>
        <w:tc>
          <w:tcPr>
            <w:tcW w:w="8293" w:type="dxa"/>
            <w:vAlign w:val="top"/>
          </w:tcPr>
          <w:p w14:paraId="2E8FBB96">
            <w:pPr>
              <w:adjustRightInd w:val="0"/>
              <w:snapToGrid w:val="0"/>
              <w:spacing w:line="360" w:lineRule="auto"/>
              <w:ind w:firstLine="482" w:firstLineChars="200"/>
              <w:rPr>
                <w:b/>
                <w:bCs/>
                <w:color w:val="FF0000"/>
                <w:sz w:val="24"/>
              </w:rPr>
            </w:pPr>
            <w:r>
              <w:rPr>
                <w:b/>
                <w:bCs/>
                <w:color w:val="FF0000"/>
                <w:sz w:val="24"/>
              </w:rPr>
              <w:t>1、与项目有关的原有环境污染问题</w:t>
            </w:r>
          </w:p>
          <w:p w14:paraId="5F90E86A">
            <w:pPr>
              <w:widowControl/>
              <w:spacing w:line="360" w:lineRule="auto"/>
              <w:ind w:firstLine="480" w:firstLineChars="200"/>
              <w:jc w:val="left"/>
              <w:rPr>
                <w:rFonts w:hint="eastAsia" w:ascii="黑体" w:hAnsi="黑体" w:eastAsia="黑体"/>
                <w:snapToGrid w:val="0"/>
                <w:sz w:val="36"/>
                <w:szCs w:val="36"/>
                <w:vertAlign w:val="baseline"/>
              </w:rPr>
            </w:pPr>
            <w:r>
              <w:rPr>
                <w:rFonts w:hint="eastAsia"/>
                <w:color w:val="FF0000"/>
                <w:kern w:val="0"/>
                <w:sz w:val="24"/>
                <w:lang w:bidi="ar"/>
              </w:rPr>
              <w:t>本项目为新建项目，租用北票市五间房天顺矿山配件制造厂闲置空厂房、空场地进行建设，位于辽宁省朝阳市北票市宝锦线凉水河北侧3幢01023。项目用地为工业用地，该地块原北票市五间房天顺矿山配件制造</w:t>
            </w:r>
            <w:r>
              <w:rPr>
                <w:rFonts w:hint="eastAsia"/>
                <w:color w:val="FF0000"/>
                <w:kern w:val="0"/>
                <w:sz w:val="24"/>
                <w:lang w:val="en-US" w:eastAsia="zh-CN" w:bidi="ar"/>
              </w:rPr>
              <w:t>厂</w:t>
            </w:r>
            <w:r>
              <w:rPr>
                <w:rFonts w:hint="eastAsia"/>
                <w:color w:val="FF0000"/>
                <w:kern w:val="0"/>
                <w:sz w:val="24"/>
                <w:lang w:bidi="ar"/>
              </w:rPr>
              <w:t>于2013年9月16日成立，2014年11月11日注销，运营时长约1年。根据《北票市五间房天顺矿山配件制造厂年产3000吨矿山设备项目可行性论证报告》，原厂设计年产能为3000吨矿山设备，实际生产期间产量接近设计产能，主要产品为矿山机械配件及环保设备。原厂环保措施包括：生产废水经沉淀池处理后回用，焊接烟尘采用移动式除尘器收集，废机油等危废暂存于专用库房并委托资质单位处置，运营期间无环境事故记录，由于原有厂区现已停止运营，</w:t>
            </w:r>
            <w:r>
              <w:rPr>
                <w:rFonts w:hint="eastAsia"/>
                <w:color w:val="FF0000"/>
                <w:kern w:val="0"/>
                <w:sz w:val="24"/>
                <w:lang w:val="en-US" w:eastAsia="zh-CN" w:bidi="ar"/>
              </w:rPr>
              <w:t>现阶段</w:t>
            </w:r>
            <w:r>
              <w:rPr>
                <w:rFonts w:hint="eastAsia"/>
                <w:color w:val="FF0000"/>
                <w:kern w:val="0"/>
                <w:sz w:val="24"/>
                <w:lang w:bidi="ar"/>
              </w:rPr>
              <w:t>无原有污染源，故无与项目有关的原有污染情况和环境问题。</w:t>
            </w:r>
          </w:p>
        </w:tc>
      </w:tr>
    </w:tbl>
    <w:p w14:paraId="51FBD60F">
      <w:pPr>
        <w:pStyle w:val="30"/>
        <w:jc w:val="center"/>
        <w:rPr>
          <w:rFonts w:hint="eastAsia" w:ascii="黑体" w:hAnsi="黑体" w:eastAsia="黑体"/>
          <w:snapToGrid w:val="0"/>
          <w:sz w:val="36"/>
          <w:szCs w:val="36"/>
        </w:rPr>
        <w:sectPr>
          <w:pgSz w:w="11906" w:h="16838"/>
          <w:pgMar w:top="1701" w:right="1531" w:bottom="1701" w:left="1531" w:header="851" w:footer="851" w:gutter="0"/>
          <w:pgBorders>
            <w:top w:val="none" w:sz="0" w:space="0"/>
            <w:left w:val="none" w:sz="0" w:space="0"/>
            <w:bottom w:val="none" w:sz="0" w:space="0"/>
            <w:right w:val="none" w:sz="0" w:space="0"/>
          </w:pgBorders>
          <w:pgNumType w:fmt="numberInDash"/>
          <w:cols w:space="720" w:num="1"/>
          <w:docGrid w:linePitch="312" w:charSpace="0"/>
        </w:sectPr>
      </w:pPr>
    </w:p>
    <w:p w14:paraId="0EBA2362">
      <w:pPr>
        <w:pStyle w:val="30"/>
        <w:jc w:val="center"/>
        <w:outlineLvl w:val="0"/>
        <w:rPr>
          <w:rFonts w:hint="eastAsia" w:ascii="黑体" w:hAnsi="黑体" w:eastAsia="黑体"/>
          <w:snapToGrid w:val="0"/>
          <w:sz w:val="30"/>
          <w:szCs w:val="30"/>
        </w:rPr>
      </w:pPr>
      <w:bookmarkStart w:id="8" w:name="_Toc32541"/>
      <w:r>
        <w:rPr>
          <w:rFonts w:hint="eastAsia" w:ascii="黑体" w:hAnsi="黑体" w:eastAsia="黑体"/>
          <w:snapToGrid w:val="0"/>
          <w:sz w:val="30"/>
          <w:szCs w:val="30"/>
        </w:rPr>
        <w:t>三、区域环境质量现状、环境保护目标及评价标准</w:t>
      </w:r>
      <w:bookmarkEnd w:id="8"/>
    </w:p>
    <w:tbl>
      <w:tblPr>
        <w:tblStyle w:val="34"/>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800"/>
        <w:gridCol w:w="8201"/>
      </w:tblGrid>
      <w:tr w14:paraId="0866702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00" w:type="dxa"/>
            <w:vAlign w:val="center"/>
          </w:tcPr>
          <w:p w14:paraId="15EC2FE2">
            <w:pPr>
              <w:adjustRightInd w:val="0"/>
              <w:snapToGrid w:val="0"/>
              <w:jc w:val="center"/>
              <w:rPr>
                <w:rFonts w:hint="eastAsia" w:ascii="宋体" w:hAnsi="宋体" w:cs="宋体"/>
                <w:color w:val="000000" w:themeColor="text1"/>
                <w:kern w:val="0"/>
                <w:szCs w:val="21"/>
                <w14:textFill>
                  <w14:solidFill>
                    <w14:schemeClr w14:val="tx1"/>
                  </w14:solidFill>
                </w14:textFill>
              </w:rPr>
            </w:pPr>
            <w:r>
              <w:rPr>
                <w:rFonts w:hint="eastAsia" w:ascii="宋体" w:hAnsi="宋体" w:cs="宋体"/>
                <w:color w:val="000000" w:themeColor="text1"/>
                <w:kern w:val="0"/>
                <w:szCs w:val="21"/>
                <w14:textFill>
                  <w14:solidFill>
                    <w14:schemeClr w14:val="tx1"/>
                  </w14:solidFill>
                </w14:textFill>
              </w:rPr>
              <w:t>区域</w:t>
            </w:r>
          </w:p>
          <w:p w14:paraId="20F5BD4E">
            <w:pPr>
              <w:adjustRightInd w:val="0"/>
              <w:snapToGrid w:val="0"/>
              <w:jc w:val="center"/>
              <w:rPr>
                <w:rFonts w:hint="eastAsia" w:ascii="宋体" w:hAnsi="宋体" w:cs="宋体"/>
                <w:color w:val="000000" w:themeColor="text1"/>
                <w:kern w:val="0"/>
                <w:szCs w:val="21"/>
                <w14:textFill>
                  <w14:solidFill>
                    <w14:schemeClr w14:val="tx1"/>
                  </w14:solidFill>
                </w14:textFill>
              </w:rPr>
            </w:pPr>
            <w:r>
              <w:rPr>
                <w:rFonts w:hint="eastAsia" w:ascii="宋体" w:hAnsi="宋体" w:cs="宋体"/>
                <w:color w:val="000000" w:themeColor="text1"/>
                <w:kern w:val="0"/>
                <w:szCs w:val="21"/>
                <w14:textFill>
                  <w14:solidFill>
                    <w14:schemeClr w14:val="tx1"/>
                  </w14:solidFill>
                </w14:textFill>
              </w:rPr>
              <w:t>环境</w:t>
            </w:r>
          </w:p>
          <w:p w14:paraId="0E6C28C3">
            <w:pPr>
              <w:adjustRightInd w:val="0"/>
              <w:snapToGrid w:val="0"/>
              <w:jc w:val="center"/>
              <w:rPr>
                <w:rFonts w:hint="eastAsia" w:ascii="宋体" w:hAnsi="宋体" w:cs="宋体"/>
                <w:color w:val="000000" w:themeColor="text1"/>
                <w:kern w:val="0"/>
                <w:szCs w:val="21"/>
                <w14:textFill>
                  <w14:solidFill>
                    <w14:schemeClr w14:val="tx1"/>
                  </w14:solidFill>
                </w14:textFill>
              </w:rPr>
            </w:pPr>
            <w:r>
              <w:rPr>
                <w:rFonts w:hint="eastAsia" w:ascii="宋体" w:hAnsi="宋体" w:cs="宋体"/>
                <w:color w:val="000000" w:themeColor="text1"/>
                <w:kern w:val="0"/>
                <w:szCs w:val="21"/>
                <w14:textFill>
                  <w14:solidFill>
                    <w14:schemeClr w14:val="tx1"/>
                  </w14:solidFill>
                </w14:textFill>
              </w:rPr>
              <w:t>质量</w:t>
            </w:r>
          </w:p>
          <w:p w14:paraId="666488FE">
            <w:pPr>
              <w:adjustRightInd w:val="0"/>
              <w:snapToGrid w:val="0"/>
              <w:jc w:val="center"/>
              <w:rPr>
                <w:rFonts w:hint="eastAsia" w:ascii="宋体" w:hAnsi="宋体" w:cs="宋体"/>
                <w:color w:val="000000" w:themeColor="text1"/>
                <w:kern w:val="0"/>
                <w:szCs w:val="21"/>
                <w14:textFill>
                  <w14:solidFill>
                    <w14:schemeClr w14:val="tx1"/>
                  </w14:solidFill>
                </w14:textFill>
              </w:rPr>
            </w:pPr>
            <w:r>
              <w:rPr>
                <w:rFonts w:hint="eastAsia" w:ascii="宋体" w:hAnsi="宋体" w:cs="宋体"/>
                <w:color w:val="000000" w:themeColor="text1"/>
                <w:kern w:val="0"/>
                <w:szCs w:val="21"/>
                <w14:textFill>
                  <w14:solidFill>
                    <w14:schemeClr w14:val="tx1"/>
                  </w14:solidFill>
                </w14:textFill>
              </w:rPr>
              <w:t>现状</w:t>
            </w:r>
          </w:p>
        </w:tc>
        <w:tc>
          <w:tcPr>
            <w:tcW w:w="8190" w:type="dxa"/>
            <w:vAlign w:val="center"/>
          </w:tcPr>
          <w:p w14:paraId="39E87568">
            <w:pPr>
              <w:widowControl/>
              <w:adjustRightInd w:val="0"/>
              <w:snapToGrid w:val="0"/>
              <w:spacing w:line="360" w:lineRule="auto"/>
              <w:jc w:val="left"/>
              <w:rPr>
                <w:b/>
                <w:bCs/>
                <w:color w:val="FF0000"/>
                <w:kern w:val="0"/>
                <w:sz w:val="24"/>
              </w:rPr>
            </w:pPr>
            <w:r>
              <w:rPr>
                <w:b/>
                <w:bCs/>
                <w:color w:val="FF0000"/>
                <w:kern w:val="0"/>
                <w:sz w:val="24"/>
              </w:rPr>
              <w:t>1.环境空气</w:t>
            </w:r>
          </w:p>
          <w:p w14:paraId="25ECD74C">
            <w:pPr>
              <w:widowControl/>
              <w:adjustRightInd w:val="0"/>
              <w:snapToGrid w:val="0"/>
              <w:spacing w:line="360" w:lineRule="auto"/>
              <w:ind w:firstLine="480" w:firstLineChars="200"/>
              <w:jc w:val="left"/>
              <w:rPr>
                <w:color w:val="FF0000"/>
                <w:kern w:val="0"/>
                <w:sz w:val="24"/>
              </w:rPr>
            </w:pPr>
            <w:r>
              <w:rPr>
                <w:color w:val="FF0000"/>
                <w:kern w:val="0"/>
                <w:sz w:val="24"/>
              </w:rPr>
              <w:t>（1）基本污染物</w:t>
            </w:r>
          </w:p>
          <w:p w14:paraId="0A0C4126">
            <w:pPr>
              <w:widowControl/>
              <w:spacing w:line="360" w:lineRule="auto"/>
              <w:ind w:firstLine="480" w:firstLineChars="200"/>
              <w:jc w:val="left"/>
              <w:rPr>
                <w:color w:val="FF0000"/>
                <w:szCs w:val="21"/>
              </w:rPr>
            </w:pPr>
            <w:r>
              <w:rPr>
                <w:color w:val="FF0000"/>
                <w:sz w:val="24"/>
              </w:rPr>
              <w:t>根据朝阳市生态环境局202</w:t>
            </w:r>
            <w:r>
              <w:rPr>
                <w:rFonts w:hint="eastAsia"/>
                <w:color w:val="FF0000"/>
                <w:sz w:val="24"/>
                <w:lang w:val="en-US" w:eastAsia="zh-CN"/>
              </w:rPr>
              <w:t>5</w:t>
            </w:r>
            <w:r>
              <w:rPr>
                <w:color w:val="FF0000"/>
                <w:sz w:val="24"/>
              </w:rPr>
              <w:t>年</w:t>
            </w:r>
            <w:r>
              <w:rPr>
                <w:rFonts w:hint="eastAsia"/>
                <w:color w:val="FF0000"/>
                <w:sz w:val="24"/>
              </w:rPr>
              <w:t>6</w:t>
            </w:r>
            <w:r>
              <w:rPr>
                <w:color w:val="FF0000"/>
                <w:sz w:val="24"/>
              </w:rPr>
              <w:t>月发布的《朝阳市生态环境质量公报》（202</w:t>
            </w:r>
            <w:r>
              <w:rPr>
                <w:rFonts w:hint="eastAsia"/>
                <w:color w:val="FF0000"/>
                <w:sz w:val="24"/>
                <w:lang w:val="en-US" w:eastAsia="zh-CN"/>
              </w:rPr>
              <w:t>4</w:t>
            </w:r>
            <w:r>
              <w:rPr>
                <w:color w:val="FF0000"/>
                <w:sz w:val="24"/>
              </w:rPr>
              <w:t>年）中城市环境空气项主要污染物浓度情况数据可知，朝阳市空气质量现状见下表。</w:t>
            </w:r>
          </w:p>
          <w:p w14:paraId="132C0DAC">
            <w:pPr>
              <w:jc w:val="center"/>
              <w:rPr>
                <w:color w:val="FF0000"/>
                <w:szCs w:val="21"/>
              </w:rPr>
            </w:pPr>
            <w:r>
              <w:rPr>
                <w:b/>
                <w:color w:val="FF0000"/>
                <w:szCs w:val="21"/>
              </w:rPr>
              <w:t>表3-1  202</w:t>
            </w:r>
            <w:r>
              <w:rPr>
                <w:rFonts w:hint="eastAsia"/>
                <w:b/>
                <w:color w:val="FF0000"/>
                <w:szCs w:val="21"/>
                <w:lang w:val="en-US" w:eastAsia="zh-CN"/>
              </w:rPr>
              <w:t>4</w:t>
            </w:r>
            <w:r>
              <w:rPr>
                <w:b/>
                <w:color w:val="FF0000"/>
                <w:szCs w:val="21"/>
              </w:rPr>
              <w:t>年1月-12月朝阳市六项指标累计浓度情况</w:t>
            </w:r>
          </w:p>
          <w:tbl>
            <w:tblPr>
              <w:tblStyle w:val="34"/>
              <w:tblW w:w="4996" w:type="pct"/>
              <w:jc w:val="center"/>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002"/>
              <w:gridCol w:w="1898"/>
              <w:gridCol w:w="1084"/>
              <w:gridCol w:w="1330"/>
              <w:gridCol w:w="1497"/>
              <w:gridCol w:w="1168"/>
            </w:tblGrid>
            <w:tr w14:paraId="2B76343C">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007" w:type="dxa"/>
                  <w:tcBorders>
                    <w:tl2br w:val="nil"/>
                    <w:tr2bl w:val="nil"/>
                  </w:tcBorders>
                  <w:noWrap w:val="0"/>
                  <w:vAlign w:val="center"/>
                </w:tcPr>
                <w:p w14:paraId="1E88E532">
                  <w:pPr>
                    <w:spacing w:line="240" w:lineRule="auto"/>
                    <w:jc w:val="center"/>
                    <w:rPr>
                      <w:rFonts w:hint="default" w:ascii="Times New Roman" w:hAnsi="Times New Roman" w:eastAsia="宋体" w:cs="Times New Roman"/>
                      <w:color w:val="FF0000"/>
                      <w:sz w:val="21"/>
                      <w:szCs w:val="21"/>
                      <w:lang w:val="en-US" w:eastAsia="zh-CN"/>
                    </w:rPr>
                  </w:pPr>
                  <w:r>
                    <w:rPr>
                      <w:rFonts w:hint="default" w:ascii="Times New Roman" w:hAnsi="Times New Roman" w:eastAsia="宋体" w:cs="Times New Roman"/>
                      <w:color w:val="FF0000"/>
                      <w:sz w:val="21"/>
                      <w:szCs w:val="21"/>
                      <w:lang w:val="en-US" w:eastAsia="zh-CN"/>
                    </w:rPr>
                    <w:t>污染物</w:t>
                  </w:r>
                </w:p>
              </w:tc>
              <w:tc>
                <w:tcPr>
                  <w:tcW w:w="1922" w:type="dxa"/>
                  <w:tcBorders>
                    <w:tl2br w:val="nil"/>
                    <w:tr2bl w:val="nil"/>
                  </w:tcBorders>
                  <w:noWrap w:val="0"/>
                  <w:vAlign w:val="center"/>
                </w:tcPr>
                <w:p w14:paraId="282AD0D1">
                  <w:pPr>
                    <w:spacing w:line="240" w:lineRule="auto"/>
                    <w:jc w:val="center"/>
                    <w:rPr>
                      <w:rFonts w:hint="default" w:ascii="Times New Roman" w:hAnsi="Times New Roman" w:eastAsia="宋体" w:cs="Times New Roman"/>
                      <w:color w:val="FF0000"/>
                      <w:sz w:val="21"/>
                      <w:szCs w:val="21"/>
                      <w:lang w:val="en-US" w:eastAsia="zh-CN"/>
                    </w:rPr>
                  </w:pPr>
                  <w:r>
                    <w:rPr>
                      <w:rFonts w:hint="default" w:ascii="Times New Roman" w:hAnsi="Times New Roman" w:eastAsia="宋体" w:cs="Times New Roman"/>
                      <w:color w:val="FF0000"/>
                      <w:sz w:val="21"/>
                      <w:szCs w:val="21"/>
                      <w:lang w:val="en-US" w:eastAsia="zh-CN"/>
                    </w:rPr>
                    <w:t>年评价指标</w:t>
                  </w:r>
                </w:p>
              </w:tc>
              <w:tc>
                <w:tcPr>
                  <w:tcW w:w="1093" w:type="dxa"/>
                  <w:tcBorders>
                    <w:tl2br w:val="nil"/>
                    <w:tr2bl w:val="nil"/>
                  </w:tcBorders>
                  <w:noWrap w:val="0"/>
                  <w:vAlign w:val="center"/>
                </w:tcPr>
                <w:p w14:paraId="5D983733">
                  <w:pPr>
                    <w:spacing w:line="240" w:lineRule="auto"/>
                    <w:jc w:val="center"/>
                    <w:rPr>
                      <w:rFonts w:hint="default" w:ascii="Times New Roman" w:hAnsi="Times New Roman" w:eastAsia="宋体" w:cs="Times New Roman"/>
                      <w:color w:val="FF0000"/>
                      <w:sz w:val="21"/>
                      <w:szCs w:val="21"/>
                      <w:lang w:val="en-US" w:eastAsia="zh-CN"/>
                    </w:rPr>
                  </w:pPr>
                  <w:r>
                    <w:rPr>
                      <w:rFonts w:hint="default" w:ascii="Times New Roman" w:hAnsi="Times New Roman" w:eastAsia="宋体" w:cs="Times New Roman"/>
                      <w:color w:val="FF0000"/>
                      <w:sz w:val="21"/>
                      <w:szCs w:val="21"/>
                      <w:lang w:val="en-US" w:eastAsia="zh-CN"/>
                    </w:rPr>
                    <w:t>现状浓度</w:t>
                  </w:r>
                </w:p>
              </w:tc>
              <w:tc>
                <w:tcPr>
                  <w:tcW w:w="1343" w:type="dxa"/>
                  <w:tcBorders>
                    <w:tl2br w:val="nil"/>
                    <w:tr2bl w:val="nil"/>
                  </w:tcBorders>
                  <w:noWrap w:val="0"/>
                  <w:vAlign w:val="center"/>
                </w:tcPr>
                <w:p w14:paraId="5EC51887">
                  <w:pPr>
                    <w:spacing w:line="240" w:lineRule="auto"/>
                    <w:jc w:val="center"/>
                    <w:rPr>
                      <w:rFonts w:hint="default" w:ascii="Times New Roman" w:hAnsi="Times New Roman" w:eastAsia="宋体" w:cs="Times New Roman"/>
                      <w:color w:val="FF0000"/>
                      <w:sz w:val="21"/>
                      <w:szCs w:val="21"/>
                      <w:lang w:val="en-US" w:eastAsia="zh-CN"/>
                    </w:rPr>
                  </w:pPr>
                  <w:r>
                    <w:rPr>
                      <w:rFonts w:hint="default" w:ascii="Times New Roman" w:hAnsi="Times New Roman" w:eastAsia="宋体" w:cs="Times New Roman"/>
                      <w:color w:val="FF0000"/>
                      <w:sz w:val="21"/>
                      <w:szCs w:val="21"/>
                      <w:lang w:val="en-US" w:eastAsia="zh-CN"/>
                    </w:rPr>
                    <w:t>标准值</w:t>
                  </w:r>
                </w:p>
              </w:tc>
              <w:tc>
                <w:tcPr>
                  <w:tcW w:w="1507" w:type="dxa"/>
                  <w:tcBorders>
                    <w:tl2br w:val="nil"/>
                    <w:tr2bl w:val="nil"/>
                  </w:tcBorders>
                  <w:noWrap w:val="0"/>
                  <w:vAlign w:val="center"/>
                </w:tcPr>
                <w:p w14:paraId="6E7CC8FD">
                  <w:pPr>
                    <w:spacing w:line="240" w:lineRule="auto"/>
                    <w:jc w:val="center"/>
                    <w:rPr>
                      <w:rFonts w:hint="default" w:ascii="Times New Roman" w:hAnsi="Times New Roman" w:eastAsia="宋体" w:cs="Times New Roman"/>
                      <w:color w:val="FF0000"/>
                      <w:sz w:val="21"/>
                      <w:szCs w:val="21"/>
                      <w:lang w:val="en-US" w:eastAsia="zh-CN"/>
                    </w:rPr>
                  </w:pPr>
                  <w:r>
                    <w:rPr>
                      <w:rFonts w:hint="default" w:ascii="Times New Roman" w:hAnsi="Times New Roman" w:eastAsia="宋体" w:cs="Times New Roman"/>
                      <w:color w:val="FF0000"/>
                      <w:sz w:val="21"/>
                      <w:szCs w:val="21"/>
                      <w:lang w:val="en-US" w:eastAsia="zh-CN"/>
                    </w:rPr>
                    <w:t>占标率（%）</w:t>
                  </w:r>
                </w:p>
              </w:tc>
              <w:tc>
                <w:tcPr>
                  <w:tcW w:w="1179" w:type="dxa"/>
                  <w:tcBorders>
                    <w:tl2br w:val="nil"/>
                    <w:tr2bl w:val="nil"/>
                  </w:tcBorders>
                  <w:noWrap w:val="0"/>
                  <w:vAlign w:val="center"/>
                </w:tcPr>
                <w:p w14:paraId="2C7EBCF9">
                  <w:pPr>
                    <w:spacing w:line="240" w:lineRule="auto"/>
                    <w:jc w:val="center"/>
                    <w:rPr>
                      <w:rFonts w:hint="default" w:ascii="Times New Roman" w:hAnsi="Times New Roman" w:eastAsia="宋体" w:cs="Times New Roman"/>
                      <w:color w:val="FF0000"/>
                      <w:sz w:val="21"/>
                      <w:szCs w:val="21"/>
                      <w:lang w:val="en-US" w:eastAsia="zh-CN"/>
                    </w:rPr>
                  </w:pPr>
                  <w:r>
                    <w:rPr>
                      <w:rFonts w:hint="default" w:ascii="Times New Roman" w:hAnsi="Times New Roman" w:eastAsia="宋体" w:cs="Times New Roman"/>
                      <w:color w:val="FF0000"/>
                      <w:sz w:val="21"/>
                      <w:szCs w:val="21"/>
                      <w:lang w:val="en-US" w:eastAsia="zh-CN"/>
                    </w:rPr>
                    <w:t>达标情况</w:t>
                  </w:r>
                </w:p>
              </w:tc>
            </w:tr>
            <w:tr w14:paraId="13ABA1C7">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007" w:type="dxa"/>
                  <w:tcBorders>
                    <w:tl2br w:val="nil"/>
                    <w:tr2bl w:val="nil"/>
                  </w:tcBorders>
                  <w:noWrap w:val="0"/>
                  <w:vAlign w:val="center"/>
                </w:tcPr>
                <w:p w14:paraId="68B8FFBD">
                  <w:pPr>
                    <w:spacing w:line="240" w:lineRule="auto"/>
                    <w:jc w:val="center"/>
                    <w:rPr>
                      <w:rFonts w:hint="default" w:ascii="Times New Roman" w:hAnsi="Times New Roman" w:eastAsia="宋体" w:cs="Times New Roman"/>
                      <w:color w:val="FF0000"/>
                      <w:sz w:val="21"/>
                      <w:szCs w:val="21"/>
                      <w:lang w:val="en-US" w:eastAsia="zh-CN"/>
                    </w:rPr>
                  </w:pPr>
                  <w:r>
                    <w:rPr>
                      <w:rFonts w:hint="default" w:ascii="Times New Roman" w:hAnsi="Times New Roman" w:eastAsia="宋体" w:cs="Times New Roman"/>
                      <w:color w:val="FF0000"/>
                      <w:sz w:val="21"/>
                      <w:szCs w:val="21"/>
                      <w:lang w:val="en-US" w:eastAsia="zh-CN"/>
                    </w:rPr>
                    <w:t>PM</w:t>
                  </w:r>
                  <w:r>
                    <w:rPr>
                      <w:rFonts w:hint="default" w:ascii="Times New Roman" w:hAnsi="Times New Roman" w:eastAsia="宋体" w:cs="Times New Roman"/>
                      <w:color w:val="FF0000"/>
                      <w:sz w:val="21"/>
                      <w:szCs w:val="21"/>
                      <w:vertAlign w:val="subscript"/>
                      <w:lang w:val="en-US" w:eastAsia="zh-CN"/>
                    </w:rPr>
                    <w:t>2.5</w:t>
                  </w:r>
                </w:p>
              </w:tc>
              <w:tc>
                <w:tcPr>
                  <w:tcW w:w="1922" w:type="dxa"/>
                  <w:tcBorders>
                    <w:tl2br w:val="nil"/>
                    <w:tr2bl w:val="nil"/>
                  </w:tcBorders>
                  <w:noWrap w:val="0"/>
                  <w:vAlign w:val="center"/>
                </w:tcPr>
                <w:p w14:paraId="5EF536B8">
                  <w:pPr>
                    <w:spacing w:line="240" w:lineRule="auto"/>
                    <w:jc w:val="center"/>
                    <w:rPr>
                      <w:rFonts w:hint="default" w:ascii="Times New Roman" w:hAnsi="Times New Roman" w:eastAsia="宋体" w:cs="Times New Roman"/>
                      <w:color w:val="FF0000"/>
                      <w:sz w:val="21"/>
                      <w:szCs w:val="21"/>
                      <w:lang w:val="en-US" w:eastAsia="zh-CN"/>
                    </w:rPr>
                  </w:pPr>
                  <w:r>
                    <w:rPr>
                      <w:rFonts w:hint="default" w:ascii="Times New Roman" w:hAnsi="Times New Roman" w:eastAsia="宋体" w:cs="Times New Roman"/>
                      <w:color w:val="FF0000"/>
                      <w:sz w:val="21"/>
                      <w:szCs w:val="21"/>
                      <w:lang w:val="en-US" w:eastAsia="zh-CN"/>
                    </w:rPr>
                    <w:t>年平均质量浓度</w:t>
                  </w:r>
                </w:p>
              </w:tc>
              <w:tc>
                <w:tcPr>
                  <w:tcW w:w="1093" w:type="dxa"/>
                  <w:tcBorders>
                    <w:tl2br w:val="nil"/>
                    <w:tr2bl w:val="nil"/>
                  </w:tcBorders>
                  <w:noWrap w:val="0"/>
                  <w:vAlign w:val="center"/>
                </w:tcPr>
                <w:p w14:paraId="550F6988">
                  <w:pPr>
                    <w:spacing w:line="240" w:lineRule="auto"/>
                    <w:jc w:val="center"/>
                    <w:rPr>
                      <w:rFonts w:hint="default" w:ascii="Times New Roman" w:hAnsi="Times New Roman" w:eastAsia="宋体" w:cs="Times New Roman"/>
                      <w:color w:val="FF0000"/>
                      <w:sz w:val="21"/>
                      <w:szCs w:val="21"/>
                      <w:lang w:val="en-US" w:eastAsia="zh-CN"/>
                    </w:rPr>
                  </w:pPr>
                  <w:r>
                    <w:rPr>
                      <w:rFonts w:hint="default" w:ascii="Times New Roman" w:hAnsi="Times New Roman" w:eastAsia="宋体" w:cs="Times New Roman"/>
                      <w:color w:val="FF0000"/>
                      <w:sz w:val="21"/>
                      <w:szCs w:val="21"/>
                      <w:lang w:val="en-US" w:eastAsia="zh-CN"/>
                    </w:rPr>
                    <w:t>28</w:t>
                  </w:r>
                </w:p>
              </w:tc>
              <w:tc>
                <w:tcPr>
                  <w:tcW w:w="1343" w:type="dxa"/>
                  <w:tcBorders>
                    <w:tl2br w:val="nil"/>
                    <w:tr2bl w:val="nil"/>
                  </w:tcBorders>
                  <w:noWrap w:val="0"/>
                  <w:vAlign w:val="center"/>
                </w:tcPr>
                <w:p w14:paraId="23CAEC23">
                  <w:pPr>
                    <w:spacing w:line="240" w:lineRule="auto"/>
                    <w:jc w:val="center"/>
                    <w:rPr>
                      <w:rFonts w:hint="default" w:ascii="Times New Roman" w:hAnsi="Times New Roman" w:eastAsia="宋体" w:cs="Times New Roman"/>
                      <w:color w:val="FF0000"/>
                      <w:sz w:val="21"/>
                      <w:szCs w:val="21"/>
                      <w:lang w:val="en-US" w:eastAsia="zh-CN"/>
                    </w:rPr>
                  </w:pPr>
                  <w:r>
                    <w:rPr>
                      <w:rFonts w:hint="default" w:ascii="Times New Roman" w:hAnsi="Times New Roman" w:eastAsia="宋体" w:cs="Times New Roman"/>
                      <w:color w:val="FF0000"/>
                      <w:sz w:val="21"/>
                      <w:szCs w:val="21"/>
                      <w:lang w:val="en-US" w:eastAsia="zh-CN"/>
                    </w:rPr>
                    <w:t>35</w:t>
                  </w:r>
                </w:p>
              </w:tc>
              <w:tc>
                <w:tcPr>
                  <w:tcW w:w="1507" w:type="dxa"/>
                  <w:tcBorders>
                    <w:tl2br w:val="nil"/>
                    <w:tr2bl w:val="nil"/>
                  </w:tcBorders>
                  <w:noWrap w:val="0"/>
                  <w:vAlign w:val="center"/>
                </w:tcPr>
                <w:p w14:paraId="2D2CE355">
                  <w:pPr>
                    <w:spacing w:line="240" w:lineRule="auto"/>
                    <w:jc w:val="center"/>
                    <w:rPr>
                      <w:rFonts w:hint="default" w:ascii="Times New Roman" w:hAnsi="Times New Roman" w:eastAsia="宋体" w:cs="Times New Roman"/>
                      <w:color w:val="FF0000"/>
                      <w:sz w:val="21"/>
                      <w:szCs w:val="21"/>
                      <w:lang w:val="en-US" w:eastAsia="zh-CN"/>
                    </w:rPr>
                  </w:pPr>
                  <w:r>
                    <w:rPr>
                      <w:rFonts w:hint="default" w:ascii="Times New Roman" w:hAnsi="Times New Roman" w:eastAsia="宋体" w:cs="Times New Roman"/>
                      <w:color w:val="FF0000"/>
                      <w:sz w:val="21"/>
                      <w:szCs w:val="21"/>
                      <w:lang w:val="en-US" w:eastAsia="zh-CN"/>
                    </w:rPr>
                    <w:t>80.00%</w:t>
                  </w:r>
                </w:p>
              </w:tc>
              <w:tc>
                <w:tcPr>
                  <w:tcW w:w="1179" w:type="dxa"/>
                  <w:tcBorders>
                    <w:tl2br w:val="nil"/>
                    <w:tr2bl w:val="nil"/>
                  </w:tcBorders>
                  <w:noWrap w:val="0"/>
                  <w:vAlign w:val="center"/>
                </w:tcPr>
                <w:p w14:paraId="6FC047F5">
                  <w:pPr>
                    <w:spacing w:line="240" w:lineRule="auto"/>
                    <w:jc w:val="center"/>
                    <w:rPr>
                      <w:rFonts w:hint="default" w:ascii="Times New Roman" w:hAnsi="Times New Roman" w:eastAsia="宋体" w:cs="Times New Roman"/>
                      <w:color w:val="FF0000"/>
                      <w:sz w:val="21"/>
                      <w:szCs w:val="21"/>
                      <w:lang w:val="en-US" w:eastAsia="zh-CN"/>
                    </w:rPr>
                  </w:pPr>
                  <w:r>
                    <w:rPr>
                      <w:rFonts w:hint="default" w:ascii="Times New Roman" w:hAnsi="Times New Roman" w:eastAsia="宋体" w:cs="Times New Roman"/>
                      <w:color w:val="FF0000"/>
                      <w:sz w:val="21"/>
                      <w:szCs w:val="21"/>
                      <w:lang w:val="en-US" w:eastAsia="zh-CN"/>
                    </w:rPr>
                    <w:t>达标</w:t>
                  </w:r>
                </w:p>
              </w:tc>
            </w:tr>
            <w:tr w14:paraId="79559255">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007" w:type="dxa"/>
                  <w:tcBorders>
                    <w:tl2br w:val="nil"/>
                    <w:tr2bl w:val="nil"/>
                  </w:tcBorders>
                  <w:noWrap w:val="0"/>
                  <w:vAlign w:val="center"/>
                </w:tcPr>
                <w:p w14:paraId="0712994A">
                  <w:pPr>
                    <w:spacing w:line="240" w:lineRule="auto"/>
                    <w:jc w:val="center"/>
                    <w:rPr>
                      <w:rFonts w:hint="default" w:ascii="Times New Roman" w:hAnsi="Times New Roman" w:eastAsia="宋体" w:cs="Times New Roman"/>
                      <w:color w:val="FF0000"/>
                      <w:sz w:val="21"/>
                      <w:szCs w:val="21"/>
                      <w:lang w:val="en-US" w:eastAsia="zh-CN"/>
                    </w:rPr>
                  </w:pPr>
                  <w:r>
                    <w:rPr>
                      <w:rFonts w:hint="default" w:ascii="Times New Roman" w:hAnsi="Times New Roman" w:eastAsia="宋体" w:cs="Times New Roman"/>
                      <w:color w:val="FF0000"/>
                      <w:sz w:val="21"/>
                      <w:szCs w:val="21"/>
                      <w:lang w:val="en-US" w:eastAsia="zh-CN"/>
                    </w:rPr>
                    <w:t>PM</w:t>
                  </w:r>
                  <w:r>
                    <w:rPr>
                      <w:rFonts w:hint="default" w:ascii="Times New Roman" w:hAnsi="Times New Roman" w:eastAsia="宋体" w:cs="Times New Roman"/>
                      <w:color w:val="FF0000"/>
                      <w:sz w:val="21"/>
                      <w:szCs w:val="21"/>
                      <w:vertAlign w:val="subscript"/>
                      <w:lang w:val="en-US" w:eastAsia="zh-CN"/>
                    </w:rPr>
                    <w:t>10</w:t>
                  </w:r>
                </w:p>
              </w:tc>
              <w:tc>
                <w:tcPr>
                  <w:tcW w:w="1922" w:type="dxa"/>
                  <w:tcBorders>
                    <w:tl2br w:val="nil"/>
                    <w:tr2bl w:val="nil"/>
                  </w:tcBorders>
                  <w:noWrap w:val="0"/>
                  <w:vAlign w:val="center"/>
                </w:tcPr>
                <w:p w14:paraId="0E46EF1B">
                  <w:pPr>
                    <w:spacing w:line="240" w:lineRule="auto"/>
                    <w:jc w:val="center"/>
                    <w:rPr>
                      <w:rFonts w:hint="default" w:ascii="Times New Roman" w:hAnsi="Times New Roman" w:eastAsia="宋体" w:cs="Times New Roman"/>
                      <w:color w:val="FF0000"/>
                      <w:sz w:val="21"/>
                      <w:szCs w:val="21"/>
                      <w:lang w:val="en-US" w:eastAsia="zh-CN"/>
                    </w:rPr>
                  </w:pPr>
                  <w:r>
                    <w:rPr>
                      <w:rFonts w:hint="default" w:ascii="Times New Roman" w:hAnsi="Times New Roman" w:eastAsia="宋体" w:cs="Times New Roman"/>
                      <w:color w:val="FF0000"/>
                      <w:sz w:val="21"/>
                      <w:szCs w:val="21"/>
                      <w:lang w:val="en-US" w:eastAsia="zh-CN"/>
                    </w:rPr>
                    <w:t>年平均质量浓度</w:t>
                  </w:r>
                </w:p>
              </w:tc>
              <w:tc>
                <w:tcPr>
                  <w:tcW w:w="1093" w:type="dxa"/>
                  <w:tcBorders>
                    <w:tl2br w:val="nil"/>
                    <w:tr2bl w:val="nil"/>
                  </w:tcBorders>
                  <w:noWrap w:val="0"/>
                  <w:vAlign w:val="center"/>
                </w:tcPr>
                <w:p w14:paraId="32FB812B">
                  <w:pPr>
                    <w:spacing w:line="240" w:lineRule="auto"/>
                    <w:jc w:val="center"/>
                    <w:rPr>
                      <w:rFonts w:hint="default" w:ascii="Times New Roman" w:hAnsi="Times New Roman" w:eastAsia="宋体" w:cs="Times New Roman"/>
                      <w:color w:val="FF0000"/>
                      <w:sz w:val="21"/>
                      <w:szCs w:val="21"/>
                      <w:lang w:val="en-US" w:eastAsia="zh-CN"/>
                    </w:rPr>
                  </w:pPr>
                  <w:r>
                    <w:rPr>
                      <w:rFonts w:hint="default" w:ascii="Times New Roman" w:hAnsi="Times New Roman" w:eastAsia="宋体" w:cs="Times New Roman"/>
                      <w:color w:val="FF0000"/>
                      <w:sz w:val="21"/>
                      <w:szCs w:val="21"/>
                      <w:lang w:val="en-US" w:eastAsia="zh-CN"/>
                    </w:rPr>
                    <w:t>5</w:t>
                  </w:r>
                  <w:r>
                    <w:rPr>
                      <w:rFonts w:hint="eastAsia" w:ascii="Times New Roman" w:hAnsi="Times New Roman" w:eastAsia="宋体" w:cs="Times New Roman"/>
                      <w:color w:val="FF0000"/>
                      <w:sz w:val="21"/>
                      <w:szCs w:val="21"/>
                      <w:lang w:val="en-US" w:eastAsia="zh-CN"/>
                    </w:rPr>
                    <w:t>0</w:t>
                  </w:r>
                </w:p>
              </w:tc>
              <w:tc>
                <w:tcPr>
                  <w:tcW w:w="1343" w:type="dxa"/>
                  <w:tcBorders>
                    <w:tl2br w:val="nil"/>
                    <w:tr2bl w:val="nil"/>
                  </w:tcBorders>
                  <w:noWrap w:val="0"/>
                  <w:vAlign w:val="center"/>
                </w:tcPr>
                <w:p w14:paraId="0DD08FC6">
                  <w:pPr>
                    <w:spacing w:line="240" w:lineRule="auto"/>
                    <w:jc w:val="center"/>
                    <w:rPr>
                      <w:rFonts w:hint="default" w:ascii="Times New Roman" w:hAnsi="Times New Roman" w:eastAsia="宋体" w:cs="Times New Roman"/>
                      <w:color w:val="FF0000"/>
                      <w:sz w:val="21"/>
                      <w:szCs w:val="21"/>
                      <w:lang w:val="en-US" w:eastAsia="zh-CN"/>
                    </w:rPr>
                  </w:pPr>
                  <w:r>
                    <w:rPr>
                      <w:rFonts w:hint="default" w:ascii="Times New Roman" w:hAnsi="Times New Roman" w:eastAsia="宋体" w:cs="Times New Roman"/>
                      <w:color w:val="FF0000"/>
                      <w:sz w:val="21"/>
                      <w:szCs w:val="21"/>
                      <w:lang w:val="en-US" w:eastAsia="zh-CN"/>
                    </w:rPr>
                    <w:t>70</w:t>
                  </w:r>
                </w:p>
              </w:tc>
              <w:tc>
                <w:tcPr>
                  <w:tcW w:w="1507" w:type="dxa"/>
                  <w:tcBorders>
                    <w:tl2br w:val="nil"/>
                    <w:tr2bl w:val="nil"/>
                  </w:tcBorders>
                  <w:noWrap w:val="0"/>
                  <w:vAlign w:val="center"/>
                </w:tcPr>
                <w:p w14:paraId="015B5EFE">
                  <w:pPr>
                    <w:spacing w:line="240" w:lineRule="auto"/>
                    <w:jc w:val="center"/>
                    <w:rPr>
                      <w:rFonts w:hint="default" w:ascii="Times New Roman" w:hAnsi="Times New Roman" w:eastAsia="宋体" w:cs="Times New Roman"/>
                      <w:color w:val="FF0000"/>
                      <w:sz w:val="21"/>
                      <w:szCs w:val="21"/>
                      <w:lang w:val="en-US" w:eastAsia="zh-CN"/>
                    </w:rPr>
                  </w:pPr>
                  <w:r>
                    <w:rPr>
                      <w:rFonts w:hint="default" w:ascii="Times New Roman" w:hAnsi="Times New Roman" w:eastAsia="宋体" w:cs="Times New Roman"/>
                      <w:color w:val="FF0000"/>
                      <w:sz w:val="21"/>
                      <w:szCs w:val="21"/>
                      <w:lang w:val="en-US" w:eastAsia="zh-CN"/>
                    </w:rPr>
                    <w:t>71.43%</w:t>
                  </w:r>
                </w:p>
              </w:tc>
              <w:tc>
                <w:tcPr>
                  <w:tcW w:w="1179" w:type="dxa"/>
                  <w:tcBorders>
                    <w:tl2br w:val="nil"/>
                    <w:tr2bl w:val="nil"/>
                  </w:tcBorders>
                  <w:noWrap w:val="0"/>
                  <w:vAlign w:val="center"/>
                </w:tcPr>
                <w:p w14:paraId="3ACF5F44">
                  <w:pPr>
                    <w:spacing w:line="240" w:lineRule="auto"/>
                    <w:jc w:val="center"/>
                    <w:rPr>
                      <w:rFonts w:hint="default" w:ascii="Times New Roman" w:hAnsi="Times New Roman" w:eastAsia="宋体" w:cs="Times New Roman"/>
                      <w:color w:val="FF0000"/>
                      <w:sz w:val="21"/>
                      <w:szCs w:val="21"/>
                      <w:lang w:val="en-US" w:eastAsia="zh-CN"/>
                    </w:rPr>
                  </w:pPr>
                  <w:r>
                    <w:rPr>
                      <w:rFonts w:hint="default" w:ascii="Times New Roman" w:hAnsi="Times New Roman" w:eastAsia="宋体" w:cs="Times New Roman"/>
                      <w:color w:val="FF0000"/>
                      <w:sz w:val="21"/>
                      <w:szCs w:val="21"/>
                      <w:lang w:val="en-US" w:eastAsia="zh-CN"/>
                    </w:rPr>
                    <w:t>达标</w:t>
                  </w:r>
                </w:p>
              </w:tc>
            </w:tr>
            <w:tr w14:paraId="7E728F6B">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007" w:type="dxa"/>
                  <w:tcBorders>
                    <w:tl2br w:val="nil"/>
                    <w:tr2bl w:val="nil"/>
                  </w:tcBorders>
                  <w:noWrap w:val="0"/>
                  <w:vAlign w:val="center"/>
                </w:tcPr>
                <w:p w14:paraId="5FFC51B6">
                  <w:pPr>
                    <w:spacing w:line="240" w:lineRule="auto"/>
                    <w:jc w:val="center"/>
                    <w:rPr>
                      <w:rFonts w:hint="default" w:ascii="Times New Roman" w:hAnsi="Times New Roman" w:eastAsia="宋体" w:cs="Times New Roman"/>
                      <w:color w:val="FF0000"/>
                      <w:sz w:val="21"/>
                      <w:szCs w:val="21"/>
                      <w:lang w:val="en-US" w:eastAsia="zh-CN"/>
                    </w:rPr>
                  </w:pPr>
                  <w:r>
                    <w:rPr>
                      <w:rFonts w:hint="default" w:ascii="Times New Roman" w:hAnsi="Times New Roman" w:eastAsia="宋体" w:cs="Times New Roman"/>
                      <w:color w:val="FF0000"/>
                      <w:sz w:val="21"/>
                      <w:szCs w:val="21"/>
                      <w:lang w:val="en-US" w:eastAsia="zh-CN"/>
                    </w:rPr>
                    <w:t>SO</w:t>
                  </w:r>
                  <w:r>
                    <w:rPr>
                      <w:rFonts w:hint="default" w:ascii="Times New Roman" w:hAnsi="Times New Roman" w:eastAsia="宋体" w:cs="Times New Roman"/>
                      <w:color w:val="FF0000"/>
                      <w:sz w:val="21"/>
                      <w:szCs w:val="21"/>
                      <w:vertAlign w:val="subscript"/>
                      <w:lang w:val="en-US" w:eastAsia="zh-CN"/>
                    </w:rPr>
                    <w:t>2</w:t>
                  </w:r>
                </w:p>
              </w:tc>
              <w:tc>
                <w:tcPr>
                  <w:tcW w:w="1922" w:type="dxa"/>
                  <w:tcBorders>
                    <w:tl2br w:val="nil"/>
                    <w:tr2bl w:val="nil"/>
                  </w:tcBorders>
                  <w:noWrap w:val="0"/>
                  <w:vAlign w:val="center"/>
                </w:tcPr>
                <w:p w14:paraId="388F3188">
                  <w:pPr>
                    <w:spacing w:line="240" w:lineRule="auto"/>
                    <w:jc w:val="center"/>
                    <w:rPr>
                      <w:rFonts w:hint="default" w:ascii="Times New Roman" w:hAnsi="Times New Roman" w:eastAsia="宋体" w:cs="Times New Roman"/>
                      <w:color w:val="FF0000"/>
                      <w:sz w:val="21"/>
                      <w:szCs w:val="21"/>
                      <w:lang w:val="en-US" w:eastAsia="zh-CN"/>
                    </w:rPr>
                  </w:pPr>
                  <w:r>
                    <w:rPr>
                      <w:rFonts w:hint="default" w:ascii="Times New Roman" w:hAnsi="Times New Roman" w:eastAsia="宋体" w:cs="Times New Roman"/>
                      <w:color w:val="FF0000"/>
                      <w:sz w:val="21"/>
                      <w:szCs w:val="21"/>
                      <w:lang w:val="en-US" w:eastAsia="zh-CN"/>
                    </w:rPr>
                    <w:t>年平均质量浓度</w:t>
                  </w:r>
                </w:p>
              </w:tc>
              <w:tc>
                <w:tcPr>
                  <w:tcW w:w="1093" w:type="dxa"/>
                  <w:tcBorders>
                    <w:tl2br w:val="nil"/>
                    <w:tr2bl w:val="nil"/>
                  </w:tcBorders>
                  <w:noWrap w:val="0"/>
                  <w:vAlign w:val="center"/>
                </w:tcPr>
                <w:p w14:paraId="4F04A5EC">
                  <w:pPr>
                    <w:spacing w:line="240" w:lineRule="auto"/>
                    <w:jc w:val="center"/>
                    <w:rPr>
                      <w:rFonts w:hint="default" w:ascii="Times New Roman" w:hAnsi="Times New Roman" w:eastAsia="宋体" w:cs="Times New Roman"/>
                      <w:color w:val="FF0000"/>
                      <w:sz w:val="21"/>
                      <w:szCs w:val="21"/>
                      <w:lang w:val="en-US" w:eastAsia="zh-CN"/>
                    </w:rPr>
                  </w:pPr>
                  <w:r>
                    <w:rPr>
                      <w:rFonts w:hint="default" w:ascii="Times New Roman" w:hAnsi="Times New Roman" w:eastAsia="宋体" w:cs="Times New Roman"/>
                      <w:color w:val="FF0000"/>
                      <w:sz w:val="21"/>
                      <w:szCs w:val="21"/>
                      <w:lang w:val="en-US" w:eastAsia="zh-CN"/>
                    </w:rPr>
                    <w:t>1</w:t>
                  </w:r>
                  <w:r>
                    <w:rPr>
                      <w:rFonts w:hint="eastAsia" w:ascii="Times New Roman" w:hAnsi="Times New Roman" w:eastAsia="宋体" w:cs="Times New Roman"/>
                      <w:color w:val="FF0000"/>
                      <w:sz w:val="21"/>
                      <w:szCs w:val="21"/>
                      <w:lang w:val="en-US" w:eastAsia="zh-CN"/>
                    </w:rPr>
                    <w:t>1</w:t>
                  </w:r>
                </w:p>
              </w:tc>
              <w:tc>
                <w:tcPr>
                  <w:tcW w:w="1343" w:type="dxa"/>
                  <w:tcBorders>
                    <w:tl2br w:val="nil"/>
                    <w:tr2bl w:val="nil"/>
                  </w:tcBorders>
                  <w:noWrap w:val="0"/>
                  <w:vAlign w:val="center"/>
                </w:tcPr>
                <w:p w14:paraId="725F3276">
                  <w:pPr>
                    <w:spacing w:line="240" w:lineRule="auto"/>
                    <w:jc w:val="center"/>
                    <w:rPr>
                      <w:rFonts w:hint="default" w:ascii="Times New Roman" w:hAnsi="Times New Roman" w:eastAsia="宋体" w:cs="Times New Roman"/>
                      <w:color w:val="FF0000"/>
                      <w:sz w:val="21"/>
                      <w:szCs w:val="21"/>
                      <w:lang w:val="en-US" w:eastAsia="zh-CN"/>
                    </w:rPr>
                  </w:pPr>
                  <w:r>
                    <w:rPr>
                      <w:rFonts w:hint="default" w:ascii="Times New Roman" w:hAnsi="Times New Roman" w:eastAsia="宋体" w:cs="Times New Roman"/>
                      <w:color w:val="FF0000"/>
                      <w:sz w:val="21"/>
                      <w:szCs w:val="21"/>
                      <w:lang w:val="en-US" w:eastAsia="zh-CN"/>
                    </w:rPr>
                    <w:t>60</w:t>
                  </w:r>
                </w:p>
              </w:tc>
              <w:tc>
                <w:tcPr>
                  <w:tcW w:w="1507" w:type="dxa"/>
                  <w:tcBorders>
                    <w:tl2br w:val="nil"/>
                    <w:tr2bl w:val="nil"/>
                  </w:tcBorders>
                  <w:noWrap w:val="0"/>
                  <w:vAlign w:val="center"/>
                </w:tcPr>
                <w:p w14:paraId="2AD0CBDB">
                  <w:pPr>
                    <w:spacing w:line="240" w:lineRule="auto"/>
                    <w:jc w:val="center"/>
                    <w:rPr>
                      <w:rFonts w:hint="default" w:ascii="Times New Roman" w:hAnsi="Times New Roman" w:eastAsia="宋体" w:cs="Times New Roman"/>
                      <w:color w:val="FF0000"/>
                      <w:sz w:val="21"/>
                      <w:szCs w:val="21"/>
                      <w:lang w:val="en-US" w:eastAsia="zh-CN"/>
                    </w:rPr>
                  </w:pPr>
                  <w:r>
                    <w:rPr>
                      <w:rFonts w:hint="default" w:ascii="Times New Roman" w:hAnsi="Times New Roman" w:eastAsia="宋体" w:cs="Times New Roman"/>
                      <w:color w:val="FF0000"/>
                      <w:sz w:val="21"/>
                      <w:szCs w:val="21"/>
                      <w:lang w:val="en-US" w:eastAsia="zh-CN"/>
                    </w:rPr>
                    <w:t>18.33%</w:t>
                  </w:r>
                </w:p>
              </w:tc>
              <w:tc>
                <w:tcPr>
                  <w:tcW w:w="1179" w:type="dxa"/>
                  <w:tcBorders>
                    <w:tl2br w:val="nil"/>
                    <w:tr2bl w:val="nil"/>
                  </w:tcBorders>
                  <w:noWrap w:val="0"/>
                  <w:vAlign w:val="center"/>
                </w:tcPr>
                <w:p w14:paraId="1AF55EC4">
                  <w:pPr>
                    <w:spacing w:line="240" w:lineRule="auto"/>
                    <w:jc w:val="center"/>
                    <w:rPr>
                      <w:rFonts w:hint="default" w:ascii="Times New Roman" w:hAnsi="Times New Roman" w:eastAsia="宋体" w:cs="Times New Roman"/>
                      <w:color w:val="FF0000"/>
                      <w:sz w:val="21"/>
                      <w:szCs w:val="21"/>
                      <w:lang w:val="en-US" w:eastAsia="zh-CN"/>
                    </w:rPr>
                  </w:pPr>
                  <w:r>
                    <w:rPr>
                      <w:rFonts w:hint="default" w:ascii="Times New Roman" w:hAnsi="Times New Roman" w:eastAsia="宋体" w:cs="Times New Roman"/>
                      <w:color w:val="FF0000"/>
                      <w:sz w:val="21"/>
                      <w:szCs w:val="21"/>
                      <w:lang w:val="en-US" w:eastAsia="zh-CN"/>
                    </w:rPr>
                    <w:t>达标</w:t>
                  </w:r>
                </w:p>
              </w:tc>
            </w:tr>
            <w:tr w14:paraId="5FD621FE">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007" w:type="dxa"/>
                  <w:tcBorders>
                    <w:tl2br w:val="nil"/>
                    <w:tr2bl w:val="nil"/>
                  </w:tcBorders>
                  <w:noWrap w:val="0"/>
                  <w:vAlign w:val="center"/>
                </w:tcPr>
                <w:p w14:paraId="790BFB02">
                  <w:pPr>
                    <w:spacing w:line="240" w:lineRule="auto"/>
                    <w:jc w:val="center"/>
                    <w:rPr>
                      <w:rFonts w:hint="default" w:ascii="Times New Roman" w:hAnsi="Times New Roman" w:eastAsia="宋体" w:cs="Times New Roman"/>
                      <w:color w:val="FF0000"/>
                      <w:sz w:val="21"/>
                      <w:szCs w:val="21"/>
                      <w:lang w:val="en-US" w:eastAsia="zh-CN"/>
                    </w:rPr>
                  </w:pPr>
                  <w:r>
                    <w:rPr>
                      <w:rFonts w:hint="default" w:ascii="Times New Roman" w:hAnsi="Times New Roman" w:eastAsia="宋体" w:cs="Times New Roman"/>
                      <w:color w:val="FF0000"/>
                      <w:sz w:val="21"/>
                      <w:szCs w:val="21"/>
                      <w:lang w:val="en-US" w:eastAsia="zh-CN"/>
                    </w:rPr>
                    <w:t>NO</w:t>
                  </w:r>
                  <w:r>
                    <w:rPr>
                      <w:rFonts w:hint="default" w:ascii="Times New Roman" w:hAnsi="Times New Roman" w:eastAsia="宋体" w:cs="Times New Roman"/>
                      <w:color w:val="FF0000"/>
                      <w:sz w:val="21"/>
                      <w:szCs w:val="21"/>
                      <w:vertAlign w:val="subscript"/>
                      <w:lang w:val="en-US" w:eastAsia="zh-CN"/>
                    </w:rPr>
                    <w:t>2</w:t>
                  </w:r>
                </w:p>
              </w:tc>
              <w:tc>
                <w:tcPr>
                  <w:tcW w:w="1922" w:type="dxa"/>
                  <w:tcBorders>
                    <w:tl2br w:val="nil"/>
                    <w:tr2bl w:val="nil"/>
                  </w:tcBorders>
                  <w:noWrap w:val="0"/>
                  <w:vAlign w:val="center"/>
                </w:tcPr>
                <w:p w14:paraId="45733E79">
                  <w:pPr>
                    <w:spacing w:line="240" w:lineRule="auto"/>
                    <w:jc w:val="center"/>
                    <w:rPr>
                      <w:rFonts w:hint="default" w:ascii="Times New Roman" w:hAnsi="Times New Roman" w:eastAsia="宋体" w:cs="Times New Roman"/>
                      <w:color w:val="FF0000"/>
                      <w:sz w:val="21"/>
                      <w:szCs w:val="21"/>
                      <w:lang w:val="en-US" w:eastAsia="zh-CN"/>
                    </w:rPr>
                  </w:pPr>
                  <w:r>
                    <w:rPr>
                      <w:rFonts w:hint="default" w:ascii="Times New Roman" w:hAnsi="Times New Roman" w:eastAsia="宋体" w:cs="Times New Roman"/>
                      <w:color w:val="FF0000"/>
                      <w:sz w:val="21"/>
                      <w:szCs w:val="21"/>
                      <w:lang w:val="en-US" w:eastAsia="zh-CN"/>
                    </w:rPr>
                    <w:t>年平均质量浓度</w:t>
                  </w:r>
                </w:p>
              </w:tc>
              <w:tc>
                <w:tcPr>
                  <w:tcW w:w="1093" w:type="dxa"/>
                  <w:tcBorders>
                    <w:tl2br w:val="nil"/>
                    <w:tr2bl w:val="nil"/>
                  </w:tcBorders>
                  <w:noWrap w:val="0"/>
                  <w:vAlign w:val="center"/>
                </w:tcPr>
                <w:p w14:paraId="70C48956">
                  <w:pPr>
                    <w:spacing w:line="240" w:lineRule="auto"/>
                    <w:jc w:val="center"/>
                    <w:rPr>
                      <w:rFonts w:hint="default" w:ascii="Times New Roman" w:hAnsi="Times New Roman" w:eastAsia="宋体" w:cs="Times New Roman"/>
                      <w:color w:val="FF0000"/>
                      <w:sz w:val="21"/>
                      <w:szCs w:val="21"/>
                      <w:lang w:val="en-US" w:eastAsia="zh-CN"/>
                    </w:rPr>
                  </w:pPr>
                  <w:r>
                    <w:rPr>
                      <w:rFonts w:hint="eastAsia" w:ascii="Times New Roman" w:hAnsi="Times New Roman" w:eastAsia="宋体" w:cs="Times New Roman"/>
                      <w:color w:val="FF0000"/>
                      <w:sz w:val="21"/>
                      <w:szCs w:val="21"/>
                      <w:lang w:val="en-US" w:eastAsia="zh-CN"/>
                    </w:rPr>
                    <w:t>19</w:t>
                  </w:r>
                </w:p>
              </w:tc>
              <w:tc>
                <w:tcPr>
                  <w:tcW w:w="1343" w:type="dxa"/>
                  <w:tcBorders>
                    <w:tl2br w:val="nil"/>
                    <w:tr2bl w:val="nil"/>
                  </w:tcBorders>
                  <w:noWrap w:val="0"/>
                  <w:vAlign w:val="center"/>
                </w:tcPr>
                <w:p w14:paraId="0682CD1C">
                  <w:pPr>
                    <w:spacing w:line="240" w:lineRule="auto"/>
                    <w:jc w:val="center"/>
                    <w:rPr>
                      <w:rFonts w:hint="default" w:ascii="Times New Roman" w:hAnsi="Times New Roman" w:eastAsia="宋体" w:cs="Times New Roman"/>
                      <w:color w:val="FF0000"/>
                      <w:sz w:val="21"/>
                      <w:szCs w:val="21"/>
                      <w:lang w:val="en-US" w:eastAsia="zh-CN"/>
                    </w:rPr>
                  </w:pPr>
                  <w:r>
                    <w:rPr>
                      <w:rFonts w:hint="default" w:ascii="Times New Roman" w:hAnsi="Times New Roman" w:eastAsia="宋体" w:cs="Times New Roman"/>
                      <w:color w:val="FF0000"/>
                      <w:sz w:val="21"/>
                      <w:szCs w:val="21"/>
                      <w:lang w:val="en-US" w:eastAsia="zh-CN"/>
                    </w:rPr>
                    <w:t>40</w:t>
                  </w:r>
                </w:p>
              </w:tc>
              <w:tc>
                <w:tcPr>
                  <w:tcW w:w="1507" w:type="dxa"/>
                  <w:tcBorders>
                    <w:tl2br w:val="nil"/>
                    <w:tr2bl w:val="nil"/>
                  </w:tcBorders>
                  <w:noWrap w:val="0"/>
                  <w:vAlign w:val="center"/>
                </w:tcPr>
                <w:p w14:paraId="735B9A9D">
                  <w:pPr>
                    <w:spacing w:line="240" w:lineRule="auto"/>
                    <w:jc w:val="center"/>
                    <w:rPr>
                      <w:rFonts w:hint="default" w:ascii="Times New Roman" w:hAnsi="Times New Roman" w:eastAsia="宋体" w:cs="Times New Roman"/>
                      <w:color w:val="FF0000"/>
                      <w:sz w:val="21"/>
                      <w:szCs w:val="21"/>
                      <w:lang w:val="en-US" w:eastAsia="zh-CN"/>
                    </w:rPr>
                  </w:pPr>
                  <w:r>
                    <w:rPr>
                      <w:rFonts w:hint="default" w:ascii="Times New Roman" w:hAnsi="Times New Roman" w:eastAsia="宋体" w:cs="Times New Roman"/>
                      <w:color w:val="FF0000"/>
                      <w:sz w:val="21"/>
                      <w:szCs w:val="21"/>
                      <w:lang w:val="en-US" w:eastAsia="zh-CN"/>
                    </w:rPr>
                    <w:t>47.50%</w:t>
                  </w:r>
                </w:p>
              </w:tc>
              <w:tc>
                <w:tcPr>
                  <w:tcW w:w="1179" w:type="dxa"/>
                  <w:tcBorders>
                    <w:tl2br w:val="nil"/>
                    <w:tr2bl w:val="nil"/>
                  </w:tcBorders>
                  <w:noWrap w:val="0"/>
                  <w:vAlign w:val="center"/>
                </w:tcPr>
                <w:p w14:paraId="5946B069">
                  <w:pPr>
                    <w:spacing w:line="240" w:lineRule="auto"/>
                    <w:jc w:val="center"/>
                    <w:rPr>
                      <w:rFonts w:hint="default" w:ascii="Times New Roman" w:hAnsi="Times New Roman" w:eastAsia="宋体" w:cs="Times New Roman"/>
                      <w:color w:val="FF0000"/>
                      <w:sz w:val="21"/>
                      <w:szCs w:val="21"/>
                      <w:lang w:val="en-US" w:eastAsia="zh-CN"/>
                    </w:rPr>
                  </w:pPr>
                  <w:r>
                    <w:rPr>
                      <w:rFonts w:hint="default" w:ascii="Times New Roman" w:hAnsi="Times New Roman" w:eastAsia="宋体" w:cs="Times New Roman"/>
                      <w:color w:val="FF0000"/>
                      <w:sz w:val="21"/>
                      <w:szCs w:val="21"/>
                      <w:lang w:val="en-US" w:eastAsia="zh-CN"/>
                    </w:rPr>
                    <w:t>达标</w:t>
                  </w:r>
                </w:p>
              </w:tc>
            </w:tr>
            <w:tr w14:paraId="09785E9A">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007" w:type="dxa"/>
                  <w:tcBorders>
                    <w:tl2br w:val="nil"/>
                    <w:tr2bl w:val="nil"/>
                  </w:tcBorders>
                  <w:noWrap w:val="0"/>
                  <w:vAlign w:val="center"/>
                </w:tcPr>
                <w:p w14:paraId="5FFCCCD6">
                  <w:pPr>
                    <w:spacing w:line="240" w:lineRule="auto"/>
                    <w:jc w:val="center"/>
                    <w:rPr>
                      <w:rFonts w:hint="default" w:ascii="Times New Roman" w:hAnsi="Times New Roman" w:eastAsia="宋体" w:cs="Times New Roman"/>
                      <w:color w:val="FF0000"/>
                      <w:sz w:val="21"/>
                      <w:szCs w:val="21"/>
                      <w:lang w:val="en-US" w:eastAsia="zh-CN"/>
                    </w:rPr>
                  </w:pPr>
                  <w:r>
                    <w:rPr>
                      <w:rFonts w:hint="default" w:ascii="Times New Roman" w:hAnsi="Times New Roman" w:eastAsia="宋体" w:cs="Times New Roman"/>
                      <w:color w:val="FF0000"/>
                      <w:sz w:val="21"/>
                      <w:szCs w:val="21"/>
                      <w:lang w:val="en-US" w:eastAsia="zh-CN"/>
                    </w:rPr>
                    <w:t>CO</w:t>
                  </w:r>
                </w:p>
              </w:tc>
              <w:tc>
                <w:tcPr>
                  <w:tcW w:w="1922" w:type="dxa"/>
                  <w:tcBorders>
                    <w:tl2br w:val="nil"/>
                    <w:tr2bl w:val="nil"/>
                  </w:tcBorders>
                  <w:noWrap w:val="0"/>
                  <w:vAlign w:val="center"/>
                </w:tcPr>
                <w:p w14:paraId="2FD08AC8">
                  <w:pPr>
                    <w:spacing w:line="240" w:lineRule="auto"/>
                    <w:jc w:val="center"/>
                    <w:rPr>
                      <w:rFonts w:hint="default" w:ascii="Times New Roman" w:hAnsi="Times New Roman" w:eastAsia="宋体" w:cs="Times New Roman"/>
                      <w:color w:val="FF0000"/>
                      <w:sz w:val="21"/>
                      <w:szCs w:val="21"/>
                      <w:lang w:val="en-US" w:eastAsia="zh-CN"/>
                    </w:rPr>
                  </w:pPr>
                  <w:r>
                    <w:rPr>
                      <w:rFonts w:hint="default" w:ascii="Times New Roman" w:hAnsi="Times New Roman" w:eastAsia="宋体" w:cs="Times New Roman"/>
                      <w:color w:val="FF0000"/>
                      <w:sz w:val="21"/>
                      <w:szCs w:val="21"/>
                      <w:lang w:val="en-US" w:eastAsia="zh-CN"/>
                    </w:rPr>
                    <w:t>百分位数日平均或8h平均质量浓度</w:t>
                  </w:r>
                </w:p>
              </w:tc>
              <w:tc>
                <w:tcPr>
                  <w:tcW w:w="1093" w:type="dxa"/>
                  <w:tcBorders>
                    <w:tl2br w:val="nil"/>
                    <w:tr2bl w:val="nil"/>
                  </w:tcBorders>
                  <w:noWrap w:val="0"/>
                  <w:vAlign w:val="center"/>
                </w:tcPr>
                <w:p w14:paraId="0A40BEB6">
                  <w:pPr>
                    <w:spacing w:line="240" w:lineRule="auto"/>
                    <w:jc w:val="center"/>
                    <w:rPr>
                      <w:rFonts w:hint="default" w:ascii="Times New Roman" w:hAnsi="Times New Roman" w:eastAsia="宋体" w:cs="Times New Roman"/>
                      <w:color w:val="FF0000"/>
                      <w:sz w:val="21"/>
                      <w:szCs w:val="21"/>
                      <w:lang w:val="en-US" w:eastAsia="zh-CN"/>
                    </w:rPr>
                  </w:pPr>
                  <w:r>
                    <w:rPr>
                      <w:rFonts w:hint="default" w:ascii="Times New Roman" w:hAnsi="Times New Roman" w:eastAsia="宋体" w:cs="Times New Roman"/>
                      <w:color w:val="FF0000"/>
                      <w:sz w:val="21"/>
                      <w:szCs w:val="21"/>
                      <w:lang w:val="en-US" w:eastAsia="zh-CN"/>
                    </w:rPr>
                    <w:t>1.4</w:t>
                  </w:r>
                </w:p>
              </w:tc>
              <w:tc>
                <w:tcPr>
                  <w:tcW w:w="1343" w:type="dxa"/>
                  <w:tcBorders>
                    <w:tl2br w:val="nil"/>
                    <w:tr2bl w:val="nil"/>
                  </w:tcBorders>
                  <w:noWrap w:val="0"/>
                  <w:vAlign w:val="center"/>
                </w:tcPr>
                <w:p w14:paraId="201C159E">
                  <w:pPr>
                    <w:spacing w:line="240" w:lineRule="auto"/>
                    <w:jc w:val="center"/>
                    <w:rPr>
                      <w:rFonts w:hint="default" w:ascii="Times New Roman" w:hAnsi="Times New Roman" w:eastAsia="宋体" w:cs="Times New Roman"/>
                      <w:color w:val="FF0000"/>
                      <w:sz w:val="21"/>
                      <w:szCs w:val="21"/>
                      <w:lang w:val="en-US" w:eastAsia="zh-CN"/>
                    </w:rPr>
                  </w:pPr>
                  <w:r>
                    <w:rPr>
                      <w:rFonts w:hint="default" w:ascii="Times New Roman" w:hAnsi="Times New Roman" w:eastAsia="宋体" w:cs="Times New Roman"/>
                      <w:color w:val="FF0000"/>
                      <w:sz w:val="21"/>
                      <w:szCs w:val="21"/>
                      <w:lang w:val="en-US" w:eastAsia="zh-CN"/>
                    </w:rPr>
                    <w:t>4</w:t>
                  </w:r>
                </w:p>
              </w:tc>
              <w:tc>
                <w:tcPr>
                  <w:tcW w:w="1507" w:type="dxa"/>
                  <w:tcBorders>
                    <w:tl2br w:val="nil"/>
                    <w:tr2bl w:val="nil"/>
                  </w:tcBorders>
                  <w:noWrap w:val="0"/>
                  <w:vAlign w:val="center"/>
                </w:tcPr>
                <w:p w14:paraId="0D9B5D33">
                  <w:pPr>
                    <w:spacing w:line="240" w:lineRule="auto"/>
                    <w:jc w:val="center"/>
                    <w:rPr>
                      <w:rFonts w:hint="default" w:ascii="Times New Roman" w:hAnsi="Times New Roman" w:eastAsia="宋体" w:cs="Times New Roman"/>
                      <w:color w:val="FF0000"/>
                      <w:sz w:val="21"/>
                      <w:szCs w:val="21"/>
                      <w:lang w:val="en-US" w:eastAsia="zh-CN"/>
                    </w:rPr>
                  </w:pPr>
                  <w:r>
                    <w:rPr>
                      <w:rFonts w:hint="default" w:ascii="Times New Roman" w:hAnsi="Times New Roman" w:eastAsia="宋体" w:cs="Times New Roman"/>
                      <w:color w:val="FF0000"/>
                      <w:sz w:val="21"/>
                      <w:szCs w:val="21"/>
                      <w:lang w:val="en-US" w:eastAsia="zh-CN"/>
                    </w:rPr>
                    <w:t>35.00%</w:t>
                  </w:r>
                </w:p>
              </w:tc>
              <w:tc>
                <w:tcPr>
                  <w:tcW w:w="1179" w:type="dxa"/>
                  <w:tcBorders>
                    <w:tl2br w:val="nil"/>
                    <w:tr2bl w:val="nil"/>
                  </w:tcBorders>
                  <w:noWrap w:val="0"/>
                  <w:vAlign w:val="center"/>
                </w:tcPr>
                <w:p w14:paraId="48F33206">
                  <w:pPr>
                    <w:spacing w:line="240" w:lineRule="auto"/>
                    <w:jc w:val="center"/>
                    <w:rPr>
                      <w:rFonts w:hint="default" w:ascii="Times New Roman" w:hAnsi="Times New Roman" w:eastAsia="宋体" w:cs="Times New Roman"/>
                      <w:color w:val="FF0000"/>
                      <w:sz w:val="21"/>
                      <w:szCs w:val="21"/>
                      <w:lang w:val="en-US" w:eastAsia="zh-CN"/>
                    </w:rPr>
                  </w:pPr>
                  <w:r>
                    <w:rPr>
                      <w:rFonts w:hint="default" w:ascii="Times New Roman" w:hAnsi="Times New Roman" w:eastAsia="宋体" w:cs="Times New Roman"/>
                      <w:color w:val="FF0000"/>
                      <w:sz w:val="21"/>
                      <w:szCs w:val="21"/>
                      <w:lang w:val="en-US" w:eastAsia="zh-CN"/>
                    </w:rPr>
                    <w:t>达标</w:t>
                  </w:r>
                </w:p>
              </w:tc>
            </w:tr>
            <w:tr w14:paraId="03F46630">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007" w:type="dxa"/>
                  <w:tcBorders>
                    <w:tl2br w:val="nil"/>
                    <w:tr2bl w:val="nil"/>
                  </w:tcBorders>
                  <w:noWrap w:val="0"/>
                  <w:vAlign w:val="center"/>
                </w:tcPr>
                <w:p w14:paraId="7948E9D9">
                  <w:pPr>
                    <w:spacing w:line="240" w:lineRule="auto"/>
                    <w:jc w:val="center"/>
                    <w:rPr>
                      <w:rFonts w:hint="default" w:ascii="Times New Roman" w:hAnsi="Times New Roman" w:eastAsia="宋体" w:cs="Times New Roman"/>
                      <w:color w:val="FF0000"/>
                      <w:sz w:val="21"/>
                      <w:szCs w:val="21"/>
                      <w:lang w:val="en-US" w:eastAsia="zh-CN"/>
                    </w:rPr>
                  </w:pPr>
                  <w:r>
                    <w:rPr>
                      <w:rFonts w:hint="default" w:ascii="Times New Roman" w:hAnsi="Times New Roman" w:eastAsia="宋体" w:cs="Times New Roman"/>
                      <w:color w:val="FF0000"/>
                      <w:sz w:val="21"/>
                      <w:szCs w:val="21"/>
                      <w:lang w:val="en-US" w:eastAsia="zh-CN"/>
                    </w:rPr>
                    <w:t>O</w:t>
                  </w:r>
                  <w:r>
                    <w:rPr>
                      <w:rFonts w:hint="default" w:ascii="Times New Roman" w:hAnsi="Times New Roman" w:eastAsia="宋体" w:cs="Times New Roman"/>
                      <w:color w:val="FF0000"/>
                      <w:sz w:val="21"/>
                      <w:szCs w:val="21"/>
                      <w:vertAlign w:val="subscript"/>
                      <w:lang w:val="en-US" w:eastAsia="zh-CN"/>
                    </w:rPr>
                    <w:t>3</w:t>
                  </w:r>
                </w:p>
              </w:tc>
              <w:tc>
                <w:tcPr>
                  <w:tcW w:w="1922" w:type="dxa"/>
                  <w:tcBorders>
                    <w:tl2br w:val="nil"/>
                    <w:tr2bl w:val="nil"/>
                  </w:tcBorders>
                  <w:noWrap w:val="0"/>
                  <w:vAlign w:val="center"/>
                </w:tcPr>
                <w:p w14:paraId="39BE59DB">
                  <w:pPr>
                    <w:spacing w:line="240" w:lineRule="auto"/>
                    <w:jc w:val="center"/>
                    <w:rPr>
                      <w:rFonts w:hint="default" w:ascii="Times New Roman" w:hAnsi="Times New Roman" w:eastAsia="宋体" w:cs="Times New Roman"/>
                      <w:color w:val="FF0000"/>
                      <w:sz w:val="21"/>
                      <w:szCs w:val="21"/>
                      <w:lang w:val="en-US" w:eastAsia="zh-CN"/>
                    </w:rPr>
                  </w:pPr>
                  <w:r>
                    <w:rPr>
                      <w:rFonts w:hint="default" w:ascii="Times New Roman" w:hAnsi="Times New Roman" w:eastAsia="宋体" w:cs="Times New Roman"/>
                      <w:color w:val="FF0000"/>
                      <w:sz w:val="21"/>
                      <w:szCs w:val="21"/>
                      <w:lang w:val="en-US" w:eastAsia="zh-CN"/>
                    </w:rPr>
                    <w:t>百分位数日平均或8h平均质量浓度</w:t>
                  </w:r>
                </w:p>
              </w:tc>
              <w:tc>
                <w:tcPr>
                  <w:tcW w:w="1093" w:type="dxa"/>
                  <w:tcBorders>
                    <w:tl2br w:val="nil"/>
                    <w:tr2bl w:val="nil"/>
                  </w:tcBorders>
                  <w:noWrap w:val="0"/>
                  <w:vAlign w:val="center"/>
                </w:tcPr>
                <w:p w14:paraId="4B9D48D9">
                  <w:pPr>
                    <w:spacing w:line="240" w:lineRule="auto"/>
                    <w:jc w:val="center"/>
                    <w:rPr>
                      <w:rFonts w:hint="default" w:ascii="Times New Roman" w:hAnsi="Times New Roman" w:eastAsia="宋体" w:cs="Times New Roman"/>
                      <w:color w:val="FF0000"/>
                      <w:sz w:val="21"/>
                      <w:szCs w:val="21"/>
                      <w:lang w:val="en-US" w:eastAsia="zh-CN"/>
                    </w:rPr>
                  </w:pPr>
                  <w:r>
                    <w:rPr>
                      <w:rFonts w:hint="default" w:ascii="Times New Roman" w:hAnsi="Times New Roman" w:eastAsia="宋体" w:cs="Times New Roman"/>
                      <w:color w:val="FF0000"/>
                      <w:sz w:val="21"/>
                      <w:szCs w:val="21"/>
                      <w:lang w:val="en-US" w:eastAsia="zh-CN"/>
                    </w:rPr>
                    <w:t>1</w:t>
                  </w:r>
                  <w:r>
                    <w:rPr>
                      <w:rFonts w:hint="eastAsia" w:ascii="Times New Roman" w:hAnsi="Times New Roman" w:eastAsia="宋体" w:cs="Times New Roman"/>
                      <w:color w:val="FF0000"/>
                      <w:sz w:val="21"/>
                      <w:szCs w:val="21"/>
                      <w:lang w:val="en-US" w:eastAsia="zh-CN"/>
                    </w:rPr>
                    <w:t>46</w:t>
                  </w:r>
                </w:p>
              </w:tc>
              <w:tc>
                <w:tcPr>
                  <w:tcW w:w="1343" w:type="dxa"/>
                  <w:tcBorders>
                    <w:tl2br w:val="nil"/>
                    <w:tr2bl w:val="nil"/>
                  </w:tcBorders>
                  <w:noWrap w:val="0"/>
                  <w:vAlign w:val="center"/>
                </w:tcPr>
                <w:p w14:paraId="6906E219">
                  <w:pPr>
                    <w:spacing w:line="240" w:lineRule="auto"/>
                    <w:jc w:val="center"/>
                    <w:rPr>
                      <w:rFonts w:hint="default" w:ascii="Times New Roman" w:hAnsi="Times New Roman" w:eastAsia="宋体" w:cs="Times New Roman"/>
                      <w:color w:val="FF0000"/>
                      <w:sz w:val="21"/>
                      <w:szCs w:val="21"/>
                      <w:lang w:val="en-US" w:eastAsia="zh-CN"/>
                    </w:rPr>
                  </w:pPr>
                  <w:r>
                    <w:rPr>
                      <w:rFonts w:hint="default" w:ascii="Times New Roman" w:hAnsi="Times New Roman" w:eastAsia="宋体" w:cs="Times New Roman"/>
                      <w:color w:val="FF0000"/>
                      <w:sz w:val="21"/>
                      <w:szCs w:val="21"/>
                      <w:lang w:val="en-US" w:eastAsia="zh-CN"/>
                    </w:rPr>
                    <w:t>160</w:t>
                  </w:r>
                </w:p>
              </w:tc>
              <w:tc>
                <w:tcPr>
                  <w:tcW w:w="1507" w:type="dxa"/>
                  <w:tcBorders>
                    <w:tl2br w:val="nil"/>
                    <w:tr2bl w:val="nil"/>
                  </w:tcBorders>
                  <w:noWrap w:val="0"/>
                  <w:vAlign w:val="center"/>
                </w:tcPr>
                <w:p w14:paraId="7B7D3E1A">
                  <w:pPr>
                    <w:spacing w:line="240" w:lineRule="auto"/>
                    <w:jc w:val="center"/>
                    <w:rPr>
                      <w:rFonts w:hint="default" w:ascii="Times New Roman" w:hAnsi="Times New Roman" w:eastAsia="宋体" w:cs="Times New Roman"/>
                      <w:color w:val="FF0000"/>
                      <w:sz w:val="21"/>
                      <w:szCs w:val="21"/>
                      <w:lang w:val="en-US" w:eastAsia="zh-CN"/>
                    </w:rPr>
                  </w:pPr>
                  <w:r>
                    <w:rPr>
                      <w:rFonts w:hint="default" w:ascii="Times New Roman" w:hAnsi="Times New Roman" w:eastAsia="宋体" w:cs="Times New Roman"/>
                      <w:color w:val="FF0000"/>
                      <w:sz w:val="21"/>
                      <w:szCs w:val="21"/>
                      <w:lang w:val="en-US" w:eastAsia="zh-CN"/>
                    </w:rPr>
                    <w:t>91.25%</w:t>
                  </w:r>
                </w:p>
              </w:tc>
              <w:tc>
                <w:tcPr>
                  <w:tcW w:w="1179" w:type="dxa"/>
                  <w:tcBorders>
                    <w:tl2br w:val="nil"/>
                    <w:tr2bl w:val="nil"/>
                  </w:tcBorders>
                  <w:noWrap w:val="0"/>
                  <w:vAlign w:val="center"/>
                </w:tcPr>
                <w:p w14:paraId="59E7E1EC">
                  <w:pPr>
                    <w:spacing w:line="240" w:lineRule="auto"/>
                    <w:jc w:val="center"/>
                    <w:rPr>
                      <w:rFonts w:hint="default" w:ascii="Times New Roman" w:hAnsi="Times New Roman" w:eastAsia="宋体" w:cs="Times New Roman"/>
                      <w:color w:val="FF0000"/>
                      <w:sz w:val="21"/>
                      <w:szCs w:val="21"/>
                      <w:lang w:val="en-US" w:eastAsia="zh-CN"/>
                    </w:rPr>
                  </w:pPr>
                  <w:r>
                    <w:rPr>
                      <w:rFonts w:hint="default" w:ascii="Times New Roman" w:hAnsi="Times New Roman" w:eastAsia="宋体" w:cs="Times New Roman"/>
                      <w:color w:val="FF0000"/>
                      <w:sz w:val="21"/>
                      <w:szCs w:val="21"/>
                      <w:lang w:val="en-US" w:eastAsia="zh-CN"/>
                    </w:rPr>
                    <w:t>达标</w:t>
                  </w:r>
                </w:p>
              </w:tc>
            </w:tr>
          </w:tbl>
          <w:p w14:paraId="4ED91BE5">
            <w:pPr>
              <w:spacing w:line="360" w:lineRule="auto"/>
              <w:ind w:firstLine="480" w:firstLineChars="200"/>
              <w:rPr>
                <w:bCs/>
                <w:sz w:val="24"/>
              </w:rPr>
            </w:pPr>
            <w:r>
              <w:rPr>
                <w:sz w:val="24"/>
              </w:rPr>
              <w:t>由表可见，项目区域基本因子</w:t>
            </w:r>
            <w:r>
              <w:rPr>
                <w:bCs/>
                <w:sz w:val="24"/>
              </w:rPr>
              <w:t>均</w:t>
            </w:r>
            <w:r>
              <w:rPr>
                <w:sz w:val="24"/>
              </w:rPr>
              <w:t>符合《环境空气质量标准》(GB3095—2012)中二级标准，该区域属于为环境空气质量达标区</w:t>
            </w:r>
            <w:r>
              <w:rPr>
                <w:bCs/>
                <w:sz w:val="24"/>
              </w:rPr>
              <w:t>。</w:t>
            </w:r>
          </w:p>
          <w:p w14:paraId="7A0FFC20">
            <w:pPr>
              <w:widowControl/>
              <w:adjustRightInd w:val="0"/>
              <w:snapToGrid w:val="0"/>
              <w:spacing w:line="360" w:lineRule="auto"/>
              <w:ind w:firstLine="480" w:firstLineChars="200"/>
              <w:jc w:val="left"/>
              <w:rPr>
                <w:color w:val="000000" w:themeColor="text1"/>
                <w:kern w:val="0"/>
                <w:sz w:val="24"/>
                <w14:textFill>
                  <w14:solidFill>
                    <w14:schemeClr w14:val="tx1"/>
                  </w14:solidFill>
                </w14:textFill>
              </w:rPr>
            </w:pPr>
            <w:r>
              <w:rPr>
                <w:color w:val="000000" w:themeColor="text1"/>
                <w:kern w:val="0"/>
                <w:sz w:val="24"/>
                <w14:textFill>
                  <w14:solidFill>
                    <w14:schemeClr w14:val="tx1"/>
                  </w14:solidFill>
                </w14:textFill>
              </w:rPr>
              <w:t>（2）其他污染物</w:t>
            </w:r>
          </w:p>
          <w:p w14:paraId="524852F5">
            <w:pPr>
              <w:adjustRightInd w:val="0"/>
              <w:snapToGrid w:val="0"/>
              <w:spacing w:line="360" w:lineRule="auto"/>
              <w:ind w:firstLine="480" w:firstLineChars="200"/>
              <w:rPr>
                <w:color w:val="000000" w:themeColor="text1"/>
                <w:kern w:val="0"/>
                <w:sz w:val="24"/>
                <w14:textFill>
                  <w14:solidFill>
                    <w14:schemeClr w14:val="tx1"/>
                  </w14:solidFill>
                </w14:textFill>
              </w:rPr>
            </w:pPr>
            <w:r>
              <w:rPr>
                <w:rFonts w:hint="eastAsia"/>
                <w:color w:val="000000" w:themeColor="text1"/>
                <w:kern w:val="0"/>
                <w:sz w:val="24"/>
                <w14:textFill>
                  <w14:solidFill>
                    <w14:schemeClr w14:val="tx1"/>
                  </w14:solidFill>
                </w14:textFill>
              </w:rPr>
              <w:t>建设单位委托</w:t>
            </w:r>
            <w:r>
              <w:rPr>
                <w:color w:val="000000" w:themeColor="text1"/>
                <w:kern w:val="0"/>
                <w:sz w:val="24"/>
                <w14:textFill>
                  <w14:solidFill>
                    <w14:schemeClr w14:val="tx1"/>
                  </w14:solidFill>
                </w14:textFill>
              </w:rPr>
              <w:t>朝阳彤天环保发展有限公司于202</w:t>
            </w:r>
            <w:r>
              <w:rPr>
                <w:rFonts w:hint="eastAsia"/>
                <w:color w:val="000000" w:themeColor="text1"/>
                <w:kern w:val="0"/>
                <w:sz w:val="24"/>
                <w14:textFill>
                  <w14:solidFill>
                    <w14:schemeClr w14:val="tx1"/>
                  </w14:solidFill>
                </w14:textFill>
              </w:rPr>
              <w:t>5</w:t>
            </w:r>
            <w:r>
              <w:rPr>
                <w:color w:val="000000" w:themeColor="text1"/>
                <w:kern w:val="0"/>
                <w:sz w:val="24"/>
                <w14:textFill>
                  <w14:solidFill>
                    <w14:schemeClr w14:val="tx1"/>
                  </w14:solidFill>
                </w14:textFill>
              </w:rPr>
              <w:t>年</w:t>
            </w:r>
            <w:r>
              <w:rPr>
                <w:rFonts w:hint="eastAsia"/>
                <w:color w:val="000000" w:themeColor="text1"/>
                <w:kern w:val="0"/>
                <w:sz w:val="24"/>
                <w14:textFill>
                  <w14:solidFill>
                    <w14:schemeClr w14:val="tx1"/>
                  </w14:solidFill>
                </w14:textFill>
              </w:rPr>
              <w:t>3</w:t>
            </w:r>
            <w:r>
              <w:rPr>
                <w:color w:val="000000" w:themeColor="text1"/>
                <w:kern w:val="0"/>
                <w:sz w:val="24"/>
                <w14:textFill>
                  <w14:solidFill>
                    <w14:schemeClr w14:val="tx1"/>
                  </w14:solidFill>
                </w14:textFill>
              </w:rPr>
              <w:t>月</w:t>
            </w:r>
            <w:r>
              <w:rPr>
                <w:rFonts w:hint="eastAsia"/>
                <w:color w:val="000000" w:themeColor="text1"/>
                <w:kern w:val="0"/>
                <w:sz w:val="24"/>
                <w14:textFill>
                  <w14:solidFill>
                    <w14:schemeClr w14:val="tx1"/>
                  </w14:solidFill>
                </w14:textFill>
              </w:rPr>
              <w:t>27</w:t>
            </w:r>
            <w:r>
              <w:rPr>
                <w:color w:val="000000" w:themeColor="text1"/>
                <w:kern w:val="0"/>
                <w:sz w:val="24"/>
                <w14:textFill>
                  <w14:solidFill>
                    <w14:schemeClr w14:val="tx1"/>
                  </w14:solidFill>
                </w14:textFill>
              </w:rPr>
              <w:t>日</w:t>
            </w:r>
            <w:r>
              <w:rPr>
                <w:rFonts w:hint="eastAsia"/>
                <w:color w:val="000000" w:themeColor="text1"/>
                <w:kern w:val="0"/>
                <w:sz w:val="24"/>
                <w14:textFill>
                  <w14:solidFill>
                    <w14:schemeClr w14:val="tx1"/>
                  </w14:solidFill>
                </w14:textFill>
              </w:rPr>
              <w:t>—3</w:t>
            </w:r>
            <w:r>
              <w:rPr>
                <w:color w:val="000000" w:themeColor="text1"/>
                <w:kern w:val="0"/>
                <w:sz w:val="24"/>
                <w14:textFill>
                  <w14:solidFill>
                    <w14:schemeClr w14:val="tx1"/>
                  </w14:solidFill>
                </w14:textFill>
              </w:rPr>
              <w:t>月</w:t>
            </w:r>
            <w:r>
              <w:rPr>
                <w:rFonts w:hint="eastAsia"/>
                <w:color w:val="000000" w:themeColor="text1"/>
                <w:kern w:val="0"/>
                <w:sz w:val="24"/>
                <w14:textFill>
                  <w14:solidFill>
                    <w14:schemeClr w14:val="tx1"/>
                  </w14:solidFill>
                </w14:textFill>
              </w:rPr>
              <w:t>29</w:t>
            </w:r>
            <w:r>
              <w:rPr>
                <w:color w:val="000000" w:themeColor="text1"/>
                <w:kern w:val="0"/>
                <w:sz w:val="24"/>
                <w14:textFill>
                  <w14:solidFill>
                    <w14:schemeClr w14:val="tx1"/>
                  </w14:solidFill>
                </w14:textFill>
              </w:rPr>
              <w:t>日连续</w:t>
            </w:r>
            <w:r>
              <w:rPr>
                <w:rFonts w:hint="eastAsia"/>
                <w:color w:val="000000" w:themeColor="text1"/>
                <w:kern w:val="0"/>
                <w:sz w:val="24"/>
                <w14:textFill>
                  <w14:solidFill>
                    <w14:schemeClr w14:val="tx1"/>
                  </w14:solidFill>
                </w14:textFill>
              </w:rPr>
              <w:t>3</w:t>
            </w:r>
            <w:r>
              <w:rPr>
                <w:color w:val="000000" w:themeColor="text1"/>
                <w:kern w:val="0"/>
                <w:sz w:val="24"/>
                <w14:textFill>
                  <w14:solidFill>
                    <w14:schemeClr w14:val="tx1"/>
                  </w14:solidFill>
                </w14:textFill>
              </w:rPr>
              <w:t>天对项目所在地环境空气质量中的总悬浮颗粒物、</w:t>
            </w:r>
            <w:r>
              <w:rPr>
                <w:rFonts w:hint="eastAsia"/>
                <w:color w:val="000000" w:themeColor="text1"/>
                <w:kern w:val="0"/>
                <w:sz w:val="24"/>
                <w14:textFill>
                  <w14:solidFill>
                    <w14:schemeClr w14:val="tx1"/>
                  </w14:solidFill>
                </w14:textFill>
              </w:rPr>
              <w:t>非甲烷总烃</w:t>
            </w:r>
            <w:r>
              <w:rPr>
                <w:color w:val="000000" w:themeColor="text1"/>
                <w:kern w:val="0"/>
                <w:sz w:val="24"/>
                <w14:textFill>
                  <w14:solidFill>
                    <w14:schemeClr w14:val="tx1"/>
                  </w14:solidFill>
                </w14:textFill>
              </w:rPr>
              <w:t>进行现状监测。</w:t>
            </w:r>
          </w:p>
          <w:p w14:paraId="3BA35A3E">
            <w:pPr>
              <w:adjustRightInd w:val="0"/>
              <w:snapToGrid w:val="0"/>
              <w:spacing w:line="360" w:lineRule="auto"/>
              <w:ind w:firstLine="480" w:firstLineChars="200"/>
              <w:rPr>
                <w:color w:val="000000" w:themeColor="text1"/>
                <w:kern w:val="0"/>
                <w:sz w:val="24"/>
                <w14:textFill>
                  <w14:solidFill>
                    <w14:schemeClr w14:val="tx1"/>
                  </w14:solidFill>
                </w14:textFill>
              </w:rPr>
            </w:pPr>
            <w:r>
              <w:rPr>
                <w:color w:val="000000" w:themeColor="text1"/>
                <w:kern w:val="0"/>
                <w:sz w:val="24"/>
                <w14:textFill>
                  <w14:solidFill>
                    <w14:schemeClr w14:val="tx1"/>
                  </w14:solidFill>
                </w14:textFill>
              </w:rPr>
              <w:t>①监测点位：本项目西北侧空地（</w:t>
            </w:r>
            <w:r>
              <w:rPr>
                <w:rFonts w:hint="eastAsia"/>
                <w:color w:val="000000" w:themeColor="text1"/>
                <w:kern w:val="0"/>
                <w:sz w:val="24"/>
                <w14:textFill>
                  <w14:solidFill>
                    <w14:schemeClr w14:val="tx1"/>
                  </w14:solidFill>
                </w14:textFill>
              </w:rPr>
              <w:t>环境敏感点方向</w:t>
            </w:r>
            <w:r>
              <w:rPr>
                <w:color w:val="000000" w:themeColor="text1"/>
                <w:kern w:val="0"/>
                <w:sz w:val="24"/>
                <w14:textFill>
                  <w14:solidFill>
                    <w14:schemeClr w14:val="tx1"/>
                  </w14:solidFill>
                </w14:textFill>
              </w:rPr>
              <w:t>）的1个点位，检测点位坐标（N：41°46′40.37″，E：120°45′14.38″）。</w:t>
            </w:r>
          </w:p>
          <w:p w14:paraId="04C9E32E">
            <w:pPr>
              <w:adjustRightInd w:val="0"/>
              <w:snapToGrid w:val="0"/>
              <w:spacing w:line="360" w:lineRule="auto"/>
              <w:ind w:firstLine="480" w:firstLineChars="200"/>
              <w:rPr>
                <w:color w:val="000000" w:themeColor="text1"/>
                <w:kern w:val="0"/>
                <w:sz w:val="24"/>
                <w14:textFill>
                  <w14:solidFill>
                    <w14:schemeClr w14:val="tx1"/>
                  </w14:solidFill>
                </w14:textFill>
              </w:rPr>
            </w:pPr>
            <w:r>
              <w:rPr>
                <w:color w:val="000000" w:themeColor="text1"/>
                <w:kern w:val="0"/>
                <w:sz w:val="24"/>
                <w14:textFill>
                  <w14:solidFill>
                    <w14:schemeClr w14:val="tx1"/>
                  </w14:solidFill>
                </w14:textFill>
              </w:rPr>
              <w:t>②监测时间及频率：连续监测</w:t>
            </w:r>
            <w:r>
              <w:rPr>
                <w:rFonts w:hint="eastAsia"/>
                <w:color w:val="000000" w:themeColor="text1"/>
                <w:kern w:val="0"/>
                <w:sz w:val="24"/>
                <w14:textFill>
                  <w14:solidFill>
                    <w14:schemeClr w14:val="tx1"/>
                  </w14:solidFill>
                </w14:textFill>
              </w:rPr>
              <w:t>3</w:t>
            </w:r>
            <w:r>
              <w:rPr>
                <w:color w:val="000000" w:themeColor="text1"/>
                <w:kern w:val="0"/>
                <w:sz w:val="24"/>
                <w14:textFill>
                  <w14:solidFill>
                    <w14:schemeClr w14:val="tx1"/>
                  </w14:solidFill>
                </w14:textFill>
              </w:rPr>
              <w:t>天，监测总悬浮颗粒物24小时平均值</w:t>
            </w:r>
            <w:r>
              <w:rPr>
                <w:rFonts w:hint="eastAsia"/>
                <w:color w:val="000000" w:themeColor="text1"/>
                <w:kern w:val="0"/>
                <w:sz w:val="24"/>
                <w14:textFill>
                  <w14:solidFill>
                    <w14:schemeClr w14:val="tx1"/>
                  </w14:solidFill>
                </w14:textFill>
              </w:rPr>
              <w:t>，非甲烷总烃一次值</w:t>
            </w:r>
            <w:r>
              <w:rPr>
                <w:color w:val="000000" w:themeColor="text1"/>
                <w:kern w:val="0"/>
                <w:sz w:val="24"/>
                <w14:textFill>
                  <w14:solidFill>
                    <w14:schemeClr w14:val="tx1"/>
                  </w14:solidFill>
                </w14:textFill>
              </w:rPr>
              <w:t>。</w:t>
            </w:r>
          </w:p>
          <w:p w14:paraId="501D0957">
            <w:pPr>
              <w:adjustRightInd w:val="0"/>
              <w:snapToGrid w:val="0"/>
              <w:spacing w:line="360" w:lineRule="auto"/>
              <w:ind w:firstLine="480" w:firstLineChars="200"/>
              <w:jc w:val="left"/>
              <w:rPr>
                <w:bCs/>
                <w:color w:val="000000" w:themeColor="text1"/>
                <w:kern w:val="0"/>
                <w:sz w:val="24"/>
                <w14:textFill>
                  <w14:solidFill>
                    <w14:schemeClr w14:val="tx1"/>
                  </w14:solidFill>
                </w14:textFill>
              </w:rPr>
            </w:pPr>
            <w:r>
              <w:rPr>
                <w:rFonts w:hint="eastAsia" w:ascii="宋体" w:hAnsi="宋体" w:cs="宋体"/>
                <w:bCs/>
                <w:color w:val="000000" w:themeColor="text1"/>
                <w:kern w:val="0"/>
                <w:sz w:val="24"/>
                <w14:textFill>
                  <w14:solidFill>
                    <w14:schemeClr w14:val="tx1"/>
                  </w14:solidFill>
                </w14:textFill>
              </w:rPr>
              <w:t>③</w:t>
            </w:r>
            <w:r>
              <w:rPr>
                <w:bCs/>
                <w:color w:val="000000" w:themeColor="text1"/>
                <w:kern w:val="0"/>
                <w:sz w:val="24"/>
                <w14:textFill>
                  <w14:solidFill>
                    <w14:schemeClr w14:val="tx1"/>
                  </w14:solidFill>
                </w14:textFill>
              </w:rPr>
              <w:t>监测结果</w:t>
            </w:r>
          </w:p>
          <w:p w14:paraId="04FC4033">
            <w:pPr>
              <w:adjustRightInd w:val="0"/>
              <w:snapToGrid w:val="0"/>
              <w:spacing w:line="360" w:lineRule="auto"/>
              <w:ind w:firstLine="480" w:firstLineChars="200"/>
              <w:jc w:val="left"/>
              <w:rPr>
                <w:bCs/>
                <w:color w:val="000000" w:themeColor="text1"/>
                <w:kern w:val="0"/>
                <w:sz w:val="24"/>
                <w14:textFill>
                  <w14:solidFill>
                    <w14:schemeClr w14:val="tx1"/>
                  </w14:solidFill>
                </w14:textFill>
              </w:rPr>
            </w:pPr>
            <w:r>
              <w:rPr>
                <w:bCs/>
                <w:color w:val="000000" w:themeColor="text1"/>
                <w:kern w:val="0"/>
                <w:sz w:val="24"/>
                <w14:textFill>
                  <w14:solidFill>
                    <w14:schemeClr w14:val="tx1"/>
                  </w14:solidFill>
                </w14:textFill>
              </w:rPr>
              <w:t>监测分析结果详见</w:t>
            </w:r>
            <w:r>
              <w:rPr>
                <w:rFonts w:hint="eastAsia"/>
                <w:bCs/>
                <w:color w:val="000000" w:themeColor="text1"/>
                <w:kern w:val="0"/>
                <w:sz w:val="24"/>
                <w14:textFill>
                  <w14:solidFill>
                    <w14:schemeClr w14:val="tx1"/>
                  </w14:solidFill>
                </w14:textFill>
              </w:rPr>
              <w:t>下</w:t>
            </w:r>
            <w:r>
              <w:rPr>
                <w:bCs/>
                <w:color w:val="000000" w:themeColor="text1"/>
                <w:kern w:val="0"/>
                <w:sz w:val="24"/>
                <w14:textFill>
                  <w14:solidFill>
                    <w14:schemeClr w14:val="tx1"/>
                  </w14:solidFill>
                </w14:textFill>
              </w:rPr>
              <w:t>表。</w:t>
            </w:r>
          </w:p>
          <w:p w14:paraId="5C37A617">
            <w:pPr>
              <w:pStyle w:val="89"/>
              <w:widowControl/>
              <w:adjustRightInd w:val="0"/>
              <w:snapToGrid w:val="0"/>
              <w:spacing w:line="240" w:lineRule="auto"/>
              <w:ind w:firstLine="0" w:firstLineChars="0"/>
              <w:jc w:val="center"/>
              <w:rPr>
                <w:b/>
                <w:color w:val="000000" w:themeColor="text1"/>
                <w:sz w:val="21"/>
                <w:szCs w:val="21"/>
                <w14:textFill>
                  <w14:solidFill>
                    <w14:schemeClr w14:val="tx1"/>
                  </w14:solidFill>
                </w14:textFill>
              </w:rPr>
            </w:pPr>
            <w:r>
              <w:rPr>
                <w:b/>
                <w:color w:val="000000" w:themeColor="text1"/>
                <w:sz w:val="21"/>
                <w:szCs w:val="21"/>
                <w14:textFill>
                  <w14:solidFill>
                    <w14:schemeClr w14:val="tx1"/>
                  </w14:solidFill>
                </w14:textFill>
              </w:rPr>
              <w:t>表3-</w:t>
            </w:r>
            <w:r>
              <w:rPr>
                <w:rFonts w:hint="eastAsia"/>
                <w:b/>
                <w:color w:val="000000" w:themeColor="text1"/>
                <w:sz w:val="21"/>
                <w:szCs w:val="21"/>
                <w14:textFill>
                  <w14:solidFill>
                    <w14:schemeClr w14:val="tx1"/>
                  </w14:solidFill>
                </w14:textFill>
              </w:rPr>
              <w:t xml:space="preserve">2    </w:t>
            </w:r>
            <w:r>
              <w:rPr>
                <w:b/>
                <w:color w:val="000000" w:themeColor="text1"/>
                <w:sz w:val="21"/>
                <w:szCs w:val="21"/>
                <w14:textFill>
                  <w14:solidFill>
                    <w14:schemeClr w14:val="tx1"/>
                  </w14:solidFill>
                </w14:textFill>
              </w:rPr>
              <w:t>环境质量现状监测结果表</w:t>
            </w:r>
          </w:p>
          <w:tbl>
            <w:tblPr>
              <w:tblStyle w:val="34"/>
              <w:tblW w:w="5000" w:type="pct"/>
              <w:tblInd w:w="5" w:type="dxa"/>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180"/>
              <w:gridCol w:w="1474"/>
              <w:gridCol w:w="2075"/>
              <w:gridCol w:w="1998"/>
              <w:gridCol w:w="1258"/>
            </w:tblGrid>
            <w:tr w14:paraId="52E1E1BD">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39" w:type="pct"/>
                  <w:tcBorders>
                    <w:tl2br w:val="nil"/>
                    <w:tr2bl w:val="nil"/>
                  </w:tcBorders>
                  <w:vAlign w:val="center"/>
                </w:tcPr>
                <w:p w14:paraId="5DEB97B8">
                  <w:pPr>
                    <w:spacing w:line="360" w:lineRule="auto"/>
                    <w:jc w:val="center"/>
                    <w:rPr>
                      <w:b/>
                      <w:szCs w:val="21"/>
                    </w:rPr>
                  </w:pPr>
                  <w:r>
                    <w:rPr>
                      <w:b/>
                      <w:szCs w:val="21"/>
                    </w:rPr>
                    <w:t>采样点位</w:t>
                  </w:r>
                </w:p>
              </w:tc>
              <w:tc>
                <w:tcPr>
                  <w:tcW w:w="4260" w:type="pct"/>
                  <w:gridSpan w:val="4"/>
                  <w:tcBorders>
                    <w:tl2br w:val="nil"/>
                    <w:tr2bl w:val="nil"/>
                  </w:tcBorders>
                  <w:vAlign w:val="center"/>
                </w:tcPr>
                <w:p w14:paraId="3228661B">
                  <w:pPr>
                    <w:spacing w:line="360" w:lineRule="auto"/>
                    <w:jc w:val="center"/>
                    <w:rPr>
                      <w:b/>
                      <w:szCs w:val="21"/>
                    </w:rPr>
                  </w:pPr>
                  <w:r>
                    <w:rPr>
                      <w:rFonts w:hint="eastAsia"/>
                      <w:b/>
                      <w:szCs w:val="21"/>
                    </w:rPr>
                    <w:t>1、西北侧空地</w:t>
                  </w:r>
                </w:p>
              </w:tc>
            </w:tr>
            <w:tr w14:paraId="4EB95A01">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39" w:type="pct"/>
                  <w:tcBorders>
                    <w:tl2br w:val="nil"/>
                    <w:tr2bl w:val="nil"/>
                  </w:tcBorders>
                  <w:vAlign w:val="center"/>
                </w:tcPr>
                <w:p w14:paraId="3E9DF7E3">
                  <w:pPr>
                    <w:spacing w:line="360" w:lineRule="auto"/>
                    <w:jc w:val="center"/>
                    <w:rPr>
                      <w:b/>
                      <w:szCs w:val="21"/>
                    </w:rPr>
                  </w:pPr>
                  <w:r>
                    <w:rPr>
                      <w:b/>
                      <w:szCs w:val="21"/>
                    </w:rPr>
                    <w:t>检测项目</w:t>
                  </w:r>
                </w:p>
              </w:tc>
              <w:tc>
                <w:tcPr>
                  <w:tcW w:w="923" w:type="pct"/>
                  <w:tcBorders>
                    <w:tl2br w:val="nil"/>
                    <w:tr2bl w:val="nil"/>
                  </w:tcBorders>
                  <w:vAlign w:val="center"/>
                </w:tcPr>
                <w:p w14:paraId="4D3B8C57">
                  <w:pPr>
                    <w:spacing w:line="360" w:lineRule="auto"/>
                    <w:jc w:val="center"/>
                    <w:rPr>
                      <w:b/>
                      <w:szCs w:val="21"/>
                    </w:rPr>
                  </w:pPr>
                  <w:r>
                    <w:rPr>
                      <w:rFonts w:hint="eastAsia"/>
                      <w:b/>
                      <w:szCs w:val="21"/>
                    </w:rPr>
                    <w:t>采样</w:t>
                  </w:r>
                  <w:r>
                    <w:rPr>
                      <w:b/>
                      <w:szCs w:val="21"/>
                    </w:rPr>
                    <w:t>时间</w:t>
                  </w:r>
                </w:p>
              </w:tc>
              <w:tc>
                <w:tcPr>
                  <w:tcW w:w="1299" w:type="pct"/>
                  <w:tcBorders>
                    <w:tl2br w:val="nil"/>
                    <w:tr2bl w:val="nil"/>
                  </w:tcBorders>
                  <w:vAlign w:val="center"/>
                </w:tcPr>
                <w:p w14:paraId="0083CD63">
                  <w:pPr>
                    <w:spacing w:line="360" w:lineRule="auto"/>
                    <w:jc w:val="center"/>
                    <w:rPr>
                      <w:b/>
                      <w:szCs w:val="21"/>
                    </w:rPr>
                  </w:pPr>
                  <w:r>
                    <w:rPr>
                      <w:rFonts w:hint="eastAsia"/>
                      <w:b/>
                      <w:szCs w:val="21"/>
                    </w:rPr>
                    <w:t>样品编号</w:t>
                  </w:r>
                </w:p>
              </w:tc>
              <w:tc>
                <w:tcPr>
                  <w:tcW w:w="1251" w:type="pct"/>
                  <w:tcBorders>
                    <w:tl2br w:val="nil"/>
                    <w:tr2bl w:val="nil"/>
                  </w:tcBorders>
                  <w:vAlign w:val="center"/>
                </w:tcPr>
                <w:p w14:paraId="5B6AF208">
                  <w:pPr>
                    <w:spacing w:line="360" w:lineRule="auto"/>
                    <w:jc w:val="center"/>
                    <w:rPr>
                      <w:b/>
                      <w:szCs w:val="21"/>
                    </w:rPr>
                  </w:pPr>
                  <w:r>
                    <w:rPr>
                      <w:rFonts w:hint="eastAsia"/>
                      <w:b/>
                      <w:szCs w:val="21"/>
                    </w:rPr>
                    <w:t>检测结果</w:t>
                  </w:r>
                </w:p>
              </w:tc>
              <w:tc>
                <w:tcPr>
                  <w:tcW w:w="786" w:type="pct"/>
                  <w:tcBorders>
                    <w:tl2br w:val="nil"/>
                    <w:tr2bl w:val="nil"/>
                  </w:tcBorders>
                  <w:vAlign w:val="center"/>
                </w:tcPr>
                <w:p w14:paraId="30D3F70C">
                  <w:pPr>
                    <w:spacing w:line="360" w:lineRule="auto"/>
                    <w:jc w:val="center"/>
                    <w:rPr>
                      <w:b/>
                      <w:szCs w:val="21"/>
                    </w:rPr>
                  </w:pPr>
                  <w:r>
                    <w:rPr>
                      <w:rFonts w:hint="eastAsia"/>
                      <w:b/>
                      <w:szCs w:val="21"/>
                    </w:rPr>
                    <w:t>单位</w:t>
                  </w:r>
                </w:p>
              </w:tc>
            </w:tr>
            <w:tr w14:paraId="110974DE">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39" w:type="pct"/>
                  <w:vMerge w:val="restart"/>
                  <w:tcBorders>
                    <w:tl2br w:val="nil"/>
                    <w:tr2bl w:val="nil"/>
                  </w:tcBorders>
                  <w:vAlign w:val="center"/>
                </w:tcPr>
                <w:p w14:paraId="37BEBF9E">
                  <w:pPr>
                    <w:jc w:val="center"/>
                    <w:rPr>
                      <w:szCs w:val="21"/>
                    </w:rPr>
                  </w:pPr>
                  <w:r>
                    <w:rPr>
                      <w:rFonts w:hint="eastAsia"/>
                      <w:szCs w:val="21"/>
                    </w:rPr>
                    <w:t>总悬浮</w:t>
                  </w:r>
                </w:p>
                <w:p w14:paraId="2BC9CF6A">
                  <w:pPr>
                    <w:jc w:val="center"/>
                    <w:rPr>
                      <w:szCs w:val="21"/>
                    </w:rPr>
                  </w:pPr>
                  <w:r>
                    <w:rPr>
                      <w:rFonts w:hint="eastAsia"/>
                      <w:szCs w:val="21"/>
                    </w:rPr>
                    <w:t>颗粒物</w:t>
                  </w:r>
                </w:p>
              </w:tc>
              <w:tc>
                <w:tcPr>
                  <w:tcW w:w="923" w:type="pct"/>
                  <w:tcBorders>
                    <w:tl2br w:val="nil"/>
                    <w:tr2bl w:val="nil"/>
                  </w:tcBorders>
                  <w:vAlign w:val="center"/>
                </w:tcPr>
                <w:p w14:paraId="7826E621">
                  <w:pPr>
                    <w:jc w:val="center"/>
                    <w:rPr>
                      <w:szCs w:val="21"/>
                    </w:rPr>
                  </w:pPr>
                  <w:r>
                    <w:rPr>
                      <w:rFonts w:hint="eastAsia"/>
                      <w:szCs w:val="21"/>
                    </w:rPr>
                    <w:t>3月27日24h</w:t>
                  </w:r>
                </w:p>
              </w:tc>
              <w:tc>
                <w:tcPr>
                  <w:tcW w:w="1299" w:type="pct"/>
                  <w:tcBorders>
                    <w:tl2br w:val="nil"/>
                    <w:tr2bl w:val="nil"/>
                  </w:tcBorders>
                  <w:vAlign w:val="center"/>
                </w:tcPr>
                <w:p w14:paraId="07576AEA">
                  <w:pPr>
                    <w:jc w:val="center"/>
                    <w:rPr>
                      <w:szCs w:val="21"/>
                    </w:rPr>
                  </w:pPr>
                  <w:r>
                    <w:rPr>
                      <w:rFonts w:hint="eastAsia"/>
                      <w:szCs w:val="21"/>
                    </w:rPr>
                    <w:t>W25185Q0101-01</w:t>
                  </w:r>
                </w:p>
              </w:tc>
              <w:tc>
                <w:tcPr>
                  <w:tcW w:w="1251" w:type="pct"/>
                  <w:tcBorders>
                    <w:tl2br w:val="nil"/>
                    <w:tr2bl w:val="nil"/>
                  </w:tcBorders>
                  <w:vAlign w:val="center"/>
                </w:tcPr>
                <w:p w14:paraId="3FAD4E47">
                  <w:pPr>
                    <w:jc w:val="center"/>
                    <w:rPr>
                      <w:szCs w:val="21"/>
                    </w:rPr>
                  </w:pPr>
                  <w:r>
                    <w:rPr>
                      <w:rFonts w:hint="eastAsia"/>
                      <w:szCs w:val="21"/>
                    </w:rPr>
                    <w:t>167</w:t>
                  </w:r>
                </w:p>
              </w:tc>
              <w:tc>
                <w:tcPr>
                  <w:tcW w:w="786" w:type="pct"/>
                  <w:vMerge w:val="restart"/>
                  <w:tcBorders>
                    <w:tl2br w:val="nil"/>
                    <w:tr2bl w:val="nil"/>
                  </w:tcBorders>
                  <w:vAlign w:val="center"/>
                </w:tcPr>
                <w:p w14:paraId="76A0C744">
                  <w:pPr>
                    <w:jc w:val="center"/>
                    <w:rPr>
                      <w:szCs w:val="21"/>
                    </w:rPr>
                  </w:pPr>
                  <w:r>
                    <w:rPr>
                      <w:szCs w:val="21"/>
                    </w:rPr>
                    <w:t>μg/m</w:t>
                  </w:r>
                  <w:r>
                    <w:rPr>
                      <w:szCs w:val="21"/>
                      <w:vertAlign w:val="superscript"/>
                    </w:rPr>
                    <w:t>3</w:t>
                  </w:r>
                </w:p>
              </w:tc>
            </w:tr>
            <w:tr w14:paraId="60BC564A">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39" w:type="pct"/>
                  <w:vMerge w:val="continue"/>
                  <w:tcBorders>
                    <w:tl2br w:val="nil"/>
                    <w:tr2bl w:val="nil"/>
                  </w:tcBorders>
                  <w:vAlign w:val="center"/>
                </w:tcPr>
                <w:p w14:paraId="32D51130">
                  <w:pPr>
                    <w:jc w:val="center"/>
                    <w:rPr>
                      <w:szCs w:val="21"/>
                    </w:rPr>
                  </w:pPr>
                </w:p>
              </w:tc>
              <w:tc>
                <w:tcPr>
                  <w:tcW w:w="923" w:type="pct"/>
                  <w:tcBorders>
                    <w:tl2br w:val="nil"/>
                    <w:tr2bl w:val="nil"/>
                  </w:tcBorders>
                  <w:vAlign w:val="center"/>
                </w:tcPr>
                <w:p w14:paraId="33011C2E">
                  <w:pPr>
                    <w:jc w:val="center"/>
                    <w:rPr>
                      <w:szCs w:val="21"/>
                    </w:rPr>
                  </w:pPr>
                  <w:r>
                    <w:rPr>
                      <w:rFonts w:hint="eastAsia"/>
                      <w:szCs w:val="21"/>
                    </w:rPr>
                    <w:t>3月28日24h</w:t>
                  </w:r>
                </w:p>
              </w:tc>
              <w:tc>
                <w:tcPr>
                  <w:tcW w:w="1299" w:type="pct"/>
                  <w:tcBorders>
                    <w:tl2br w:val="nil"/>
                    <w:tr2bl w:val="nil"/>
                  </w:tcBorders>
                  <w:vAlign w:val="center"/>
                </w:tcPr>
                <w:p w14:paraId="4CA2DDF6">
                  <w:pPr>
                    <w:jc w:val="center"/>
                    <w:rPr>
                      <w:szCs w:val="21"/>
                    </w:rPr>
                  </w:pPr>
                  <w:r>
                    <w:rPr>
                      <w:rFonts w:hint="eastAsia"/>
                      <w:szCs w:val="21"/>
                    </w:rPr>
                    <w:t>W25185Q0101-02</w:t>
                  </w:r>
                </w:p>
              </w:tc>
              <w:tc>
                <w:tcPr>
                  <w:tcW w:w="1251" w:type="pct"/>
                  <w:tcBorders>
                    <w:tl2br w:val="nil"/>
                    <w:tr2bl w:val="nil"/>
                  </w:tcBorders>
                  <w:vAlign w:val="center"/>
                </w:tcPr>
                <w:p w14:paraId="1F2A0AA0">
                  <w:pPr>
                    <w:jc w:val="center"/>
                    <w:rPr>
                      <w:szCs w:val="21"/>
                    </w:rPr>
                  </w:pPr>
                  <w:r>
                    <w:rPr>
                      <w:rFonts w:hint="eastAsia"/>
                      <w:szCs w:val="21"/>
                    </w:rPr>
                    <w:t>159</w:t>
                  </w:r>
                </w:p>
              </w:tc>
              <w:tc>
                <w:tcPr>
                  <w:tcW w:w="786" w:type="pct"/>
                  <w:vMerge w:val="continue"/>
                  <w:tcBorders>
                    <w:tl2br w:val="nil"/>
                    <w:tr2bl w:val="nil"/>
                  </w:tcBorders>
                  <w:vAlign w:val="center"/>
                </w:tcPr>
                <w:p w14:paraId="2AE650F3">
                  <w:pPr>
                    <w:jc w:val="center"/>
                    <w:rPr>
                      <w:szCs w:val="21"/>
                    </w:rPr>
                  </w:pPr>
                </w:p>
              </w:tc>
            </w:tr>
            <w:tr w14:paraId="2F7F63A8">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39" w:type="pct"/>
                  <w:vMerge w:val="continue"/>
                  <w:tcBorders>
                    <w:tl2br w:val="nil"/>
                    <w:tr2bl w:val="nil"/>
                  </w:tcBorders>
                  <w:vAlign w:val="center"/>
                </w:tcPr>
                <w:p w14:paraId="344730D2">
                  <w:pPr>
                    <w:jc w:val="center"/>
                    <w:rPr>
                      <w:szCs w:val="21"/>
                    </w:rPr>
                  </w:pPr>
                </w:p>
              </w:tc>
              <w:tc>
                <w:tcPr>
                  <w:tcW w:w="923" w:type="pct"/>
                  <w:tcBorders>
                    <w:tl2br w:val="nil"/>
                    <w:tr2bl w:val="nil"/>
                  </w:tcBorders>
                  <w:vAlign w:val="center"/>
                </w:tcPr>
                <w:p w14:paraId="2A28BD42">
                  <w:pPr>
                    <w:jc w:val="center"/>
                    <w:rPr>
                      <w:szCs w:val="21"/>
                    </w:rPr>
                  </w:pPr>
                  <w:r>
                    <w:rPr>
                      <w:rFonts w:hint="eastAsia"/>
                      <w:szCs w:val="21"/>
                    </w:rPr>
                    <w:t>3月29日24h</w:t>
                  </w:r>
                </w:p>
              </w:tc>
              <w:tc>
                <w:tcPr>
                  <w:tcW w:w="1299" w:type="pct"/>
                  <w:tcBorders>
                    <w:tl2br w:val="nil"/>
                    <w:tr2bl w:val="nil"/>
                  </w:tcBorders>
                  <w:vAlign w:val="center"/>
                </w:tcPr>
                <w:p w14:paraId="77F16610">
                  <w:pPr>
                    <w:jc w:val="center"/>
                    <w:rPr>
                      <w:szCs w:val="21"/>
                    </w:rPr>
                  </w:pPr>
                  <w:r>
                    <w:rPr>
                      <w:rFonts w:hint="eastAsia"/>
                      <w:szCs w:val="21"/>
                    </w:rPr>
                    <w:t>W25185Q0101-03</w:t>
                  </w:r>
                </w:p>
              </w:tc>
              <w:tc>
                <w:tcPr>
                  <w:tcW w:w="1251" w:type="pct"/>
                  <w:tcBorders>
                    <w:tl2br w:val="nil"/>
                    <w:tr2bl w:val="nil"/>
                  </w:tcBorders>
                  <w:vAlign w:val="center"/>
                </w:tcPr>
                <w:p w14:paraId="02E572E5">
                  <w:pPr>
                    <w:jc w:val="center"/>
                    <w:rPr>
                      <w:szCs w:val="21"/>
                    </w:rPr>
                  </w:pPr>
                  <w:r>
                    <w:rPr>
                      <w:rFonts w:hint="eastAsia"/>
                      <w:szCs w:val="21"/>
                    </w:rPr>
                    <w:t>172</w:t>
                  </w:r>
                </w:p>
              </w:tc>
              <w:tc>
                <w:tcPr>
                  <w:tcW w:w="786" w:type="pct"/>
                  <w:vMerge w:val="continue"/>
                  <w:tcBorders>
                    <w:tl2br w:val="nil"/>
                    <w:tr2bl w:val="nil"/>
                  </w:tcBorders>
                  <w:vAlign w:val="center"/>
                </w:tcPr>
                <w:p w14:paraId="37757111">
                  <w:pPr>
                    <w:jc w:val="center"/>
                    <w:rPr>
                      <w:szCs w:val="21"/>
                    </w:rPr>
                  </w:pPr>
                </w:p>
              </w:tc>
            </w:tr>
            <w:tr w14:paraId="10D3C020">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39" w:type="pct"/>
                  <w:vMerge w:val="restart"/>
                  <w:tcBorders>
                    <w:tl2br w:val="nil"/>
                    <w:tr2bl w:val="nil"/>
                  </w:tcBorders>
                  <w:vAlign w:val="center"/>
                </w:tcPr>
                <w:p w14:paraId="451F03A4">
                  <w:pPr>
                    <w:jc w:val="center"/>
                    <w:rPr>
                      <w:szCs w:val="21"/>
                    </w:rPr>
                  </w:pPr>
                  <w:r>
                    <w:rPr>
                      <w:rFonts w:hint="eastAsia"/>
                      <w:szCs w:val="21"/>
                    </w:rPr>
                    <w:t>非甲烷总烃</w:t>
                  </w:r>
                </w:p>
              </w:tc>
              <w:tc>
                <w:tcPr>
                  <w:tcW w:w="923" w:type="pct"/>
                  <w:tcBorders>
                    <w:tl2br w:val="nil"/>
                    <w:tr2bl w:val="nil"/>
                  </w:tcBorders>
                  <w:shd w:val="clear" w:color="auto" w:fill="auto"/>
                  <w:vAlign w:val="center"/>
                </w:tcPr>
                <w:p w14:paraId="51DB7BBA">
                  <w:pPr>
                    <w:jc w:val="center"/>
                    <w:rPr>
                      <w:szCs w:val="21"/>
                    </w:rPr>
                  </w:pPr>
                  <w:r>
                    <w:rPr>
                      <w:rFonts w:hint="eastAsia"/>
                      <w:szCs w:val="21"/>
                    </w:rPr>
                    <w:t>3月27日（1）</w:t>
                  </w:r>
                </w:p>
              </w:tc>
              <w:tc>
                <w:tcPr>
                  <w:tcW w:w="1299" w:type="pct"/>
                  <w:tcBorders>
                    <w:tl2br w:val="nil"/>
                    <w:tr2bl w:val="nil"/>
                  </w:tcBorders>
                  <w:shd w:val="clear" w:color="auto" w:fill="auto"/>
                  <w:vAlign w:val="center"/>
                </w:tcPr>
                <w:p w14:paraId="6C265D8B">
                  <w:pPr>
                    <w:jc w:val="center"/>
                    <w:rPr>
                      <w:szCs w:val="21"/>
                    </w:rPr>
                  </w:pPr>
                  <w:r>
                    <w:rPr>
                      <w:rFonts w:hint="eastAsia"/>
                      <w:szCs w:val="21"/>
                    </w:rPr>
                    <w:t>W25185Q020101</w:t>
                  </w:r>
                </w:p>
              </w:tc>
              <w:tc>
                <w:tcPr>
                  <w:tcW w:w="1251" w:type="pct"/>
                  <w:tcBorders>
                    <w:tl2br w:val="nil"/>
                    <w:tr2bl w:val="nil"/>
                  </w:tcBorders>
                  <w:shd w:val="clear" w:color="auto" w:fill="auto"/>
                  <w:vAlign w:val="center"/>
                </w:tcPr>
                <w:p w14:paraId="16DF8892">
                  <w:pPr>
                    <w:jc w:val="center"/>
                    <w:rPr>
                      <w:szCs w:val="21"/>
                    </w:rPr>
                  </w:pPr>
                  <w:r>
                    <w:rPr>
                      <w:rFonts w:hint="eastAsia"/>
                      <w:szCs w:val="21"/>
                    </w:rPr>
                    <w:t>0.40</w:t>
                  </w:r>
                </w:p>
              </w:tc>
              <w:tc>
                <w:tcPr>
                  <w:tcW w:w="786" w:type="pct"/>
                  <w:vMerge w:val="restart"/>
                  <w:tcBorders>
                    <w:tl2br w:val="nil"/>
                    <w:tr2bl w:val="nil"/>
                  </w:tcBorders>
                  <w:vAlign w:val="center"/>
                </w:tcPr>
                <w:p w14:paraId="1887123F">
                  <w:pPr>
                    <w:jc w:val="center"/>
                    <w:rPr>
                      <w:szCs w:val="21"/>
                    </w:rPr>
                  </w:pPr>
                  <w:r>
                    <w:rPr>
                      <w:rFonts w:hint="eastAsia"/>
                      <w:szCs w:val="21"/>
                    </w:rPr>
                    <w:t>m</w:t>
                  </w:r>
                  <w:r>
                    <w:rPr>
                      <w:szCs w:val="21"/>
                    </w:rPr>
                    <w:t>g/m</w:t>
                  </w:r>
                  <w:r>
                    <w:rPr>
                      <w:szCs w:val="21"/>
                      <w:vertAlign w:val="superscript"/>
                    </w:rPr>
                    <w:t>3</w:t>
                  </w:r>
                </w:p>
              </w:tc>
            </w:tr>
            <w:tr w14:paraId="72B183EE">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39" w:type="pct"/>
                  <w:vMerge w:val="continue"/>
                  <w:tcBorders>
                    <w:tl2br w:val="nil"/>
                    <w:tr2bl w:val="nil"/>
                  </w:tcBorders>
                  <w:vAlign w:val="center"/>
                </w:tcPr>
                <w:p w14:paraId="267E38CF">
                  <w:pPr>
                    <w:jc w:val="center"/>
                    <w:rPr>
                      <w:szCs w:val="21"/>
                    </w:rPr>
                  </w:pPr>
                </w:p>
              </w:tc>
              <w:tc>
                <w:tcPr>
                  <w:tcW w:w="923" w:type="pct"/>
                  <w:tcBorders>
                    <w:tl2br w:val="nil"/>
                    <w:tr2bl w:val="nil"/>
                  </w:tcBorders>
                  <w:shd w:val="clear" w:color="auto" w:fill="auto"/>
                  <w:vAlign w:val="center"/>
                </w:tcPr>
                <w:p w14:paraId="535624FB">
                  <w:pPr>
                    <w:jc w:val="center"/>
                    <w:rPr>
                      <w:szCs w:val="21"/>
                    </w:rPr>
                  </w:pPr>
                  <w:r>
                    <w:rPr>
                      <w:rFonts w:hint="eastAsia"/>
                      <w:szCs w:val="21"/>
                    </w:rPr>
                    <w:t>3月27日（2）</w:t>
                  </w:r>
                </w:p>
              </w:tc>
              <w:tc>
                <w:tcPr>
                  <w:tcW w:w="1299" w:type="pct"/>
                  <w:tcBorders>
                    <w:tl2br w:val="nil"/>
                    <w:tr2bl w:val="nil"/>
                  </w:tcBorders>
                  <w:shd w:val="clear" w:color="auto" w:fill="auto"/>
                  <w:vAlign w:val="center"/>
                </w:tcPr>
                <w:p w14:paraId="2AD58B79">
                  <w:pPr>
                    <w:jc w:val="center"/>
                    <w:rPr>
                      <w:szCs w:val="21"/>
                    </w:rPr>
                  </w:pPr>
                  <w:r>
                    <w:rPr>
                      <w:rFonts w:hint="eastAsia"/>
                      <w:szCs w:val="21"/>
                    </w:rPr>
                    <w:t>W25185Q020102</w:t>
                  </w:r>
                </w:p>
              </w:tc>
              <w:tc>
                <w:tcPr>
                  <w:tcW w:w="1251" w:type="pct"/>
                  <w:tcBorders>
                    <w:tl2br w:val="nil"/>
                    <w:tr2bl w:val="nil"/>
                  </w:tcBorders>
                  <w:shd w:val="clear" w:color="auto" w:fill="auto"/>
                  <w:vAlign w:val="center"/>
                </w:tcPr>
                <w:p w14:paraId="5D547613">
                  <w:pPr>
                    <w:jc w:val="center"/>
                    <w:rPr>
                      <w:szCs w:val="21"/>
                    </w:rPr>
                  </w:pPr>
                  <w:r>
                    <w:rPr>
                      <w:rFonts w:hint="eastAsia"/>
                      <w:szCs w:val="21"/>
                    </w:rPr>
                    <w:t>0.45</w:t>
                  </w:r>
                </w:p>
              </w:tc>
              <w:tc>
                <w:tcPr>
                  <w:tcW w:w="786" w:type="pct"/>
                  <w:vMerge w:val="continue"/>
                  <w:tcBorders>
                    <w:tl2br w:val="nil"/>
                    <w:tr2bl w:val="nil"/>
                  </w:tcBorders>
                  <w:vAlign w:val="center"/>
                </w:tcPr>
                <w:p w14:paraId="0C429DEF">
                  <w:pPr>
                    <w:jc w:val="center"/>
                    <w:rPr>
                      <w:szCs w:val="21"/>
                    </w:rPr>
                  </w:pPr>
                </w:p>
              </w:tc>
            </w:tr>
            <w:tr w14:paraId="547868FA">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39" w:type="pct"/>
                  <w:vMerge w:val="continue"/>
                  <w:tcBorders>
                    <w:tl2br w:val="nil"/>
                    <w:tr2bl w:val="nil"/>
                  </w:tcBorders>
                  <w:vAlign w:val="center"/>
                </w:tcPr>
                <w:p w14:paraId="1F1F44D0">
                  <w:pPr>
                    <w:jc w:val="center"/>
                    <w:rPr>
                      <w:szCs w:val="21"/>
                    </w:rPr>
                  </w:pPr>
                </w:p>
              </w:tc>
              <w:tc>
                <w:tcPr>
                  <w:tcW w:w="923" w:type="pct"/>
                  <w:tcBorders>
                    <w:tl2br w:val="nil"/>
                    <w:tr2bl w:val="nil"/>
                  </w:tcBorders>
                  <w:shd w:val="clear" w:color="auto" w:fill="auto"/>
                  <w:vAlign w:val="center"/>
                </w:tcPr>
                <w:p w14:paraId="0D9FA314">
                  <w:pPr>
                    <w:jc w:val="center"/>
                    <w:rPr>
                      <w:szCs w:val="21"/>
                    </w:rPr>
                  </w:pPr>
                  <w:r>
                    <w:rPr>
                      <w:rFonts w:hint="eastAsia"/>
                      <w:szCs w:val="21"/>
                    </w:rPr>
                    <w:t>3月27日（3）</w:t>
                  </w:r>
                </w:p>
              </w:tc>
              <w:tc>
                <w:tcPr>
                  <w:tcW w:w="1299" w:type="pct"/>
                  <w:tcBorders>
                    <w:tl2br w:val="nil"/>
                    <w:tr2bl w:val="nil"/>
                  </w:tcBorders>
                  <w:shd w:val="clear" w:color="auto" w:fill="auto"/>
                  <w:vAlign w:val="center"/>
                </w:tcPr>
                <w:p w14:paraId="403FDCA1">
                  <w:pPr>
                    <w:jc w:val="center"/>
                    <w:rPr>
                      <w:szCs w:val="21"/>
                    </w:rPr>
                  </w:pPr>
                  <w:r>
                    <w:rPr>
                      <w:rFonts w:hint="eastAsia"/>
                      <w:szCs w:val="21"/>
                    </w:rPr>
                    <w:t>W25185Q020103</w:t>
                  </w:r>
                </w:p>
              </w:tc>
              <w:tc>
                <w:tcPr>
                  <w:tcW w:w="1251" w:type="pct"/>
                  <w:tcBorders>
                    <w:tl2br w:val="nil"/>
                    <w:tr2bl w:val="nil"/>
                  </w:tcBorders>
                  <w:shd w:val="clear" w:color="auto" w:fill="auto"/>
                  <w:vAlign w:val="center"/>
                </w:tcPr>
                <w:p w14:paraId="6CFFE653">
                  <w:pPr>
                    <w:jc w:val="center"/>
                    <w:rPr>
                      <w:szCs w:val="21"/>
                    </w:rPr>
                  </w:pPr>
                  <w:r>
                    <w:rPr>
                      <w:rFonts w:hint="eastAsia"/>
                      <w:szCs w:val="21"/>
                    </w:rPr>
                    <w:t>0.43</w:t>
                  </w:r>
                </w:p>
              </w:tc>
              <w:tc>
                <w:tcPr>
                  <w:tcW w:w="786" w:type="pct"/>
                  <w:vMerge w:val="continue"/>
                  <w:tcBorders>
                    <w:tl2br w:val="nil"/>
                    <w:tr2bl w:val="nil"/>
                  </w:tcBorders>
                  <w:vAlign w:val="center"/>
                </w:tcPr>
                <w:p w14:paraId="3033F630">
                  <w:pPr>
                    <w:jc w:val="center"/>
                    <w:rPr>
                      <w:szCs w:val="21"/>
                    </w:rPr>
                  </w:pPr>
                </w:p>
              </w:tc>
            </w:tr>
            <w:tr w14:paraId="1AAEFF90">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39" w:type="pct"/>
                  <w:vMerge w:val="continue"/>
                  <w:tcBorders>
                    <w:tl2br w:val="nil"/>
                    <w:tr2bl w:val="nil"/>
                  </w:tcBorders>
                  <w:vAlign w:val="center"/>
                </w:tcPr>
                <w:p w14:paraId="2A601AFC">
                  <w:pPr>
                    <w:jc w:val="center"/>
                    <w:rPr>
                      <w:szCs w:val="21"/>
                    </w:rPr>
                  </w:pPr>
                </w:p>
              </w:tc>
              <w:tc>
                <w:tcPr>
                  <w:tcW w:w="923" w:type="pct"/>
                  <w:tcBorders>
                    <w:tl2br w:val="nil"/>
                    <w:tr2bl w:val="nil"/>
                  </w:tcBorders>
                  <w:shd w:val="clear" w:color="auto" w:fill="auto"/>
                  <w:vAlign w:val="center"/>
                </w:tcPr>
                <w:p w14:paraId="43F7F90F">
                  <w:pPr>
                    <w:jc w:val="center"/>
                    <w:rPr>
                      <w:szCs w:val="21"/>
                    </w:rPr>
                  </w:pPr>
                  <w:r>
                    <w:rPr>
                      <w:rFonts w:hint="eastAsia"/>
                      <w:szCs w:val="21"/>
                    </w:rPr>
                    <w:t>3月28日（1）</w:t>
                  </w:r>
                </w:p>
              </w:tc>
              <w:tc>
                <w:tcPr>
                  <w:tcW w:w="1299" w:type="pct"/>
                  <w:tcBorders>
                    <w:tl2br w:val="nil"/>
                    <w:tr2bl w:val="nil"/>
                  </w:tcBorders>
                  <w:shd w:val="clear" w:color="auto" w:fill="auto"/>
                  <w:vAlign w:val="center"/>
                </w:tcPr>
                <w:p w14:paraId="1B1A812E">
                  <w:pPr>
                    <w:jc w:val="center"/>
                    <w:rPr>
                      <w:szCs w:val="21"/>
                    </w:rPr>
                  </w:pPr>
                  <w:r>
                    <w:rPr>
                      <w:rFonts w:hint="eastAsia"/>
                      <w:szCs w:val="21"/>
                    </w:rPr>
                    <w:t>W25185Q020104</w:t>
                  </w:r>
                </w:p>
              </w:tc>
              <w:tc>
                <w:tcPr>
                  <w:tcW w:w="1251" w:type="pct"/>
                  <w:tcBorders>
                    <w:tl2br w:val="nil"/>
                    <w:tr2bl w:val="nil"/>
                  </w:tcBorders>
                  <w:shd w:val="clear" w:color="auto" w:fill="auto"/>
                  <w:vAlign w:val="center"/>
                </w:tcPr>
                <w:p w14:paraId="62DA752F">
                  <w:pPr>
                    <w:jc w:val="center"/>
                    <w:rPr>
                      <w:szCs w:val="21"/>
                    </w:rPr>
                  </w:pPr>
                  <w:r>
                    <w:rPr>
                      <w:rFonts w:hint="eastAsia"/>
                      <w:szCs w:val="21"/>
                    </w:rPr>
                    <w:t>0.42</w:t>
                  </w:r>
                </w:p>
              </w:tc>
              <w:tc>
                <w:tcPr>
                  <w:tcW w:w="786" w:type="pct"/>
                  <w:vMerge w:val="continue"/>
                  <w:tcBorders>
                    <w:tl2br w:val="nil"/>
                    <w:tr2bl w:val="nil"/>
                  </w:tcBorders>
                  <w:vAlign w:val="center"/>
                </w:tcPr>
                <w:p w14:paraId="71CE841B">
                  <w:pPr>
                    <w:jc w:val="center"/>
                    <w:rPr>
                      <w:szCs w:val="21"/>
                    </w:rPr>
                  </w:pPr>
                </w:p>
              </w:tc>
            </w:tr>
            <w:tr w14:paraId="30ABA48F">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39" w:type="pct"/>
                  <w:vMerge w:val="continue"/>
                  <w:tcBorders>
                    <w:tl2br w:val="nil"/>
                    <w:tr2bl w:val="nil"/>
                  </w:tcBorders>
                  <w:vAlign w:val="center"/>
                </w:tcPr>
                <w:p w14:paraId="468F059D">
                  <w:pPr>
                    <w:jc w:val="center"/>
                    <w:rPr>
                      <w:szCs w:val="21"/>
                    </w:rPr>
                  </w:pPr>
                </w:p>
              </w:tc>
              <w:tc>
                <w:tcPr>
                  <w:tcW w:w="923" w:type="pct"/>
                  <w:tcBorders>
                    <w:tl2br w:val="nil"/>
                    <w:tr2bl w:val="nil"/>
                  </w:tcBorders>
                  <w:shd w:val="clear" w:color="auto" w:fill="auto"/>
                  <w:vAlign w:val="center"/>
                </w:tcPr>
                <w:p w14:paraId="77D72AC1">
                  <w:pPr>
                    <w:jc w:val="center"/>
                    <w:rPr>
                      <w:szCs w:val="21"/>
                    </w:rPr>
                  </w:pPr>
                  <w:r>
                    <w:rPr>
                      <w:rFonts w:hint="eastAsia"/>
                      <w:szCs w:val="21"/>
                    </w:rPr>
                    <w:t>3月28日（2）</w:t>
                  </w:r>
                </w:p>
              </w:tc>
              <w:tc>
                <w:tcPr>
                  <w:tcW w:w="1299" w:type="pct"/>
                  <w:tcBorders>
                    <w:tl2br w:val="nil"/>
                    <w:tr2bl w:val="nil"/>
                  </w:tcBorders>
                  <w:shd w:val="clear" w:color="auto" w:fill="auto"/>
                  <w:vAlign w:val="center"/>
                </w:tcPr>
                <w:p w14:paraId="14901C56">
                  <w:pPr>
                    <w:jc w:val="center"/>
                    <w:rPr>
                      <w:szCs w:val="21"/>
                    </w:rPr>
                  </w:pPr>
                  <w:r>
                    <w:rPr>
                      <w:rFonts w:hint="eastAsia"/>
                      <w:szCs w:val="21"/>
                    </w:rPr>
                    <w:t>W25185Q020105</w:t>
                  </w:r>
                </w:p>
              </w:tc>
              <w:tc>
                <w:tcPr>
                  <w:tcW w:w="1251" w:type="pct"/>
                  <w:tcBorders>
                    <w:tl2br w:val="nil"/>
                    <w:tr2bl w:val="nil"/>
                  </w:tcBorders>
                  <w:shd w:val="clear" w:color="auto" w:fill="auto"/>
                  <w:vAlign w:val="center"/>
                </w:tcPr>
                <w:p w14:paraId="779BCA35">
                  <w:pPr>
                    <w:jc w:val="center"/>
                    <w:rPr>
                      <w:szCs w:val="21"/>
                    </w:rPr>
                  </w:pPr>
                  <w:r>
                    <w:rPr>
                      <w:rFonts w:hint="eastAsia"/>
                      <w:szCs w:val="21"/>
                    </w:rPr>
                    <w:t>0.47</w:t>
                  </w:r>
                </w:p>
              </w:tc>
              <w:tc>
                <w:tcPr>
                  <w:tcW w:w="786" w:type="pct"/>
                  <w:vMerge w:val="continue"/>
                  <w:tcBorders>
                    <w:tl2br w:val="nil"/>
                    <w:tr2bl w:val="nil"/>
                  </w:tcBorders>
                  <w:vAlign w:val="center"/>
                </w:tcPr>
                <w:p w14:paraId="2EA95196">
                  <w:pPr>
                    <w:jc w:val="center"/>
                    <w:rPr>
                      <w:szCs w:val="21"/>
                    </w:rPr>
                  </w:pPr>
                </w:p>
              </w:tc>
            </w:tr>
            <w:tr w14:paraId="07B6BE3D">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39" w:type="pct"/>
                  <w:vMerge w:val="continue"/>
                  <w:tcBorders>
                    <w:tl2br w:val="nil"/>
                    <w:tr2bl w:val="nil"/>
                  </w:tcBorders>
                  <w:vAlign w:val="center"/>
                </w:tcPr>
                <w:p w14:paraId="43D4DD36">
                  <w:pPr>
                    <w:jc w:val="center"/>
                    <w:rPr>
                      <w:szCs w:val="21"/>
                    </w:rPr>
                  </w:pPr>
                </w:p>
              </w:tc>
              <w:tc>
                <w:tcPr>
                  <w:tcW w:w="923" w:type="pct"/>
                  <w:tcBorders>
                    <w:tl2br w:val="nil"/>
                    <w:tr2bl w:val="nil"/>
                  </w:tcBorders>
                  <w:shd w:val="clear" w:color="auto" w:fill="auto"/>
                  <w:vAlign w:val="center"/>
                </w:tcPr>
                <w:p w14:paraId="58374399">
                  <w:pPr>
                    <w:jc w:val="center"/>
                    <w:rPr>
                      <w:szCs w:val="21"/>
                    </w:rPr>
                  </w:pPr>
                  <w:r>
                    <w:rPr>
                      <w:rFonts w:hint="eastAsia"/>
                      <w:szCs w:val="21"/>
                    </w:rPr>
                    <w:t>3月28日（3）</w:t>
                  </w:r>
                </w:p>
              </w:tc>
              <w:tc>
                <w:tcPr>
                  <w:tcW w:w="1299" w:type="pct"/>
                  <w:tcBorders>
                    <w:tl2br w:val="nil"/>
                    <w:tr2bl w:val="nil"/>
                  </w:tcBorders>
                  <w:shd w:val="clear" w:color="auto" w:fill="auto"/>
                  <w:vAlign w:val="center"/>
                </w:tcPr>
                <w:p w14:paraId="5B291C66">
                  <w:pPr>
                    <w:jc w:val="center"/>
                    <w:rPr>
                      <w:szCs w:val="21"/>
                    </w:rPr>
                  </w:pPr>
                  <w:r>
                    <w:rPr>
                      <w:rFonts w:hint="eastAsia"/>
                      <w:szCs w:val="21"/>
                    </w:rPr>
                    <w:t>W25185Q020106</w:t>
                  </w:r>
                </w:p>
              </w:tc>
              <w:tc>
                <w:tcPr>
                  <w:tcW w:w="1251" w:type="pct"/>
                  <w:tcBorders>
                    <w:tl2br w:val="nil"/>
                    <w:tr2bl w:val="nil"/>
                  </w:tcBorders>
                  <w:shd w:val="clear" w:color="auto" w:fill="auto"/>
                  <w:vAlign w:val="center"/>
                </w:tcPr>
                <w:p w14:paraId="53334A66">
                  <w:pPr>
                    <w:jc w:val="center"/>
                    <w:rPr>
                      <w:szCs w:val="21"/>
                    </w:rPr>
                  </w:pPr>
                  <w:r>
                    <w:rPr>
                      <w:rFonts w:hint="eastAsia"/>
                      <w:szCs w:val="21"/>
                    </w:rPr>
                    <w:t>0.44</w:t>
                  </w:r>
                </w:p>
              </w:tc>
              <w:tc>
                <w:tcPr>
                  <w:tcW w:w="786" w:type="pct"/>
                  <w:vMerge w:val="continue"/>
                  <w:tcBorders>
                    <w:tl2br w:val="nil"/>
                    <w:tr2bl w:val="nil"/>
                  </w:tcBorders>
                  <w:vAlign w:val="center"/>
                </w:tcPr>
                <w:p w14:paraId="71BA009F">
                  <w:pPr>
                    <w:jc w:val="center"/>
                    <w:rPr>
                      <w:szCs w:val="21"/>
                    </w:rPr>
                  </w:pPr>
                </w:p>
              </w:tc>
            </w:tr>
            <w:tr w14:paraId="35646B5F">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39" w:type="pct"/>
                  <w:vMerge w:val="continue"/>
                  <w:tcBorders>
                    <w:tl2br w:val="nil"/>
                    <w:tr2bl w:val="nil"/>
                  </w:tcBorders>
                  <w:vAlign w:val="center"/>
                </w:tcPr>
                <w:p w14:paraId="08ACE1FC">
                  <w:pPr>
                    <w:jc w:val="center"/>
                    <w:rPr>
                      <w:szCs w:val="21"/>
                    </w:rPr>
                  </w:pPr>
                </w:p>
              </w:tc>
              <w:tc>
                <w:tcPr>
                  <w:tcW w:w="923" w:type="pct"/>
                  <w:tcBorders>
                    <w:tl2br w:val="nil"/>
                    <w:tr2bl w:val="nil"/>
                  </w:tcBorders>
                  <w:shd w:val="clear" w:color="auto" w:fill="auto"/>
                  <w:vAlign w:val="center"/>
                </w:tcPr>
                <w:p w14:paraId="6B664062">
                  <w:pPr>
                    <w:jc w:val="center"/>
                    <w:rPr>
                      <w:szCs w:val="21"/>
                    </w:rPr>
                  </w:pPr>
                  <w:r>
                    <w:rPr>
                      <w:rFonts w:hint="eastAsia"/>
                      <w:szCs w:val="21"/>
                    </w:rPr>
                    <w:t>3月29日（1）</w:t>
                  </w:r>
                </w:p>
              </w:tc>
              <w:tc>
                <w:tcPr>
                  <w:tcW w:w="1299" w:type="pct"/>
                  <w:tcBorders>
                    <w:tl2br w:val="nil"/>
                    <w:tr2bl w:val="nil"/>
                  </w:tcBorders>
                  <w:shd w:val="clear" w:color="auto" w:fill="auto"/>
                  <w:vAlign w:val="center"/>
                </w:tcPr>
                <w:p w14:paraId="4CC0E683">
                  <w:pPr>
                    <w:jc w:val="center"/>
                    <w:rPr>
                      <w:szCs w:val="21"/>
                    </w:rPr>
                  </w:pPr>
                  <w:r>
                    <w:rPr>
                      <w:rFonts w:hint="eastAsia"/>
                      <w:szCs w:val="21"/>
                    </w:rPr>
                    <w:t>W25185Q020107</w:t>
                  </w:r>
                </w:p>
              </w:tc>
              <w:tc>
                <w:tcPr>
                  <w:tcW w:w="1251" w:type="pct"/>
                  <w:tcBorders>
                    <w:tl2br w:val="nil"/>
                    <w:tr2bl w:val="nil"/>
                  </w:tcBorders>
                  <w:shd w:val="clear" w:color="auto" w:fill="auto"/>
                  <w:vAlign w:val="center"/>
                </w:tcPr>
                <w:p w14:paraId="1F58139F">
                  <w:pPr>
                    <w:jc w:val="center"/>
                    <w:rPr>
                      <w:szCs w:val="21"/>
                    </w:rPr>
                  </w:pPr>
                  <w:r>
                    <w:rPr>
                      <w:rFonts w:hint="eastAsia"/>
                      <w:szCs w:val="21"/>
                    </w:rPr>
                    <w:t>0.39</w:t>
                  </w:r>
                </w:p>
              </w:tc>
              <w:tc>
                <w:tcPr>
                  <w:tcW w:w="786" w:type="pct"/>
                  <w:vMerge w:val="continue"/>
                  <w:tcBorders>
                    <w:tl2br w:val="nil"/>
                    <w:tr2bl w:val="nil"/>
                  </w:tcBorders>
                  <w:vAlign w:val="center"/>
                </w:tcPr>
                <w:p w14:paraId="10F5810C">
                  <w:pPr>
                    <w:jc w:val="center"/>
                    <w:rPr>
                      <w:szCs w:val="21"/>
                    </w:rPr>
                  </w:pPr>
                </w:p>
              </w:tc>
            </w:tr>
            <w:tr w14:paraId="76F5971B">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PrEx>
              <w:tc>
                <w:tcPr>
                  <w:tcW w:w="739" w:type="pct"/>
                  <w:vMerge w:val="continue"/>
                  <w:tcBorders>
                    <w:tl2br w:val="nil"/>
                    <w:tr2bl w:val="nil"/>
                  </w:tcBorders>
                  <w:vAlign w:val="center"/>
                </w:tcPr>
                <w:p w14:paraId="6877F653">
                  <w:pPr>
                    <w:jc w:val="center"/>
                    <w:rPr>
                      <w:szCs w:val="21"/>
                    </w:rPr>
                  </w:pPr>
                </w:p>
              </w:tc>
              <w:tc>
                <w:tcPr>
                  <w:tcW w:w="923" w:type="pct"/>
                  <w:tcBorders>
                    <w:tl2br w:val="nil"/>
                    <w:tr2bl w:val="nil"/>
                  </w:tcBorders>
                  <w:shd w:val="clear" w:color="auto" w:fill="auto"/>
                  <w:vAlign w:val="center"/>
                </w:tcPr>
                <w:p w14:paraId="5D31ADAF">
                  <w:pPr>
                    <w:jc w:val="center"/>
                    <w:rPr>
                      <w:szCs w:val="21"/>
                    </w:rPr>
                  </w:pPr>
                  <w:r>
                    <w:rPr>
                      <w:rFonts w:hint="eastAsia"/>
                      <w:szCs w:val="21"/>
                    </w:rPr>
                    <w:t>3月29日（2）</w:t>
                  </w:r>
                </w:p>
              </w:tc>
              <w:tc>
                <w:tcPr>
                  <w:tcW w:w="1299" w:type="pct"/>
                  <w:tcBorders>
                    <w:tl2br w:val="nil"/>
                    <w:tr2bl w:val="nil"/>
                  </w:tcBorders>
                  <w:shd w:val="clear" w:color="auto" w:fill="auto"/>
                  <w:vAlign w:val="center"/>
                </w:tcPr>
                <w:p w14:paraId="55E1031E">
                  <w:pPr>
                    <w:jc w:val="center"/>
                    <w:rPr>
                      <w:szCs w:val="21"/>
                    </w:rPr>
                  </w:pPr>
                  <w:r>
                    <w:rPr>
                      <w:rFonts w:hint="eastAsia"/>
                      <w:szCs w:val="21"/>
                    </w:rPr>
                    <w:t>W25185Q020108</w:t>
                  </w:r>
                </w:p>
              </w:tc>
              <w:tc>
                <w:tcPr>
                  <w:tcW w:w="1251" w:type="pct"/>
                  <w:tcBorders>
                    <w:tl2br w:val="nil"/>
                    <w:tr2bl w:val="nil"/>
                  </w:tcBorders>
                  <w:shd w:val="clear" w:color="auto" w:fill="auto"/>
                  <w:vAlign w:val="center"/>
                </w:tcPr>
                <w:p w14:paraId="344168FF">
                  <w:pPr>
                    <w:jc w:val="center"/>
                    <w:rPr>
                      <w:szCs w:val="21"/>
                    </w:rPr>
                  </w:pPr>
                  <w:r>
                    <w:rPr>
                      <w:rFonts w:hint="eastAsia"/>
                      <w:szCs w:val="21"/>
                    </w:rPr>
                    <w:t>0.43</w:t>
                  </w:r>
                </w:p>
              </w:tc>
              <w:tc>
                <w:tcPr>
                  <w:tcW w:w="786" w:type="pct"/>
                  <w:vMerge w:val="continue"/>
                  <w:tcBorders>
                    <w:tl2br w:val="nil"/>
                    <w:tr2bl w:val="nil"/>
                  </w:tcBorders>
                  <w:vAlign w:val="center"/>
                </w:tcPr>
                <w:p w14:paraId="4C65C2F9">
                  <w:pPr>
                    <w:jc w:val="center"/>
                    <w:rPr>
                      <w:szCs w:val="21"/>
                    </w:rPr>
                  </w:pPr>
                </w:p>
              </w:tc>
            </w:tr>
            <w:tr w14:paraId="39C76739">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39" w:type="pct"/>
                  <w:vMerge w:val="continue"/>
                  <w:tcBorders>
                    <w:tl2br w:val="nil"/>
                    <w:tr2bl w:val="nil"/>
                  </w:tcBorders>
                  <w:vAlign w:val="center"/>
                </w:tcPr>
                <w:p w14:paraId="46B2E00B">
                  <w:pPr>
                    <w:jc w:val="center"/>
                    <w:rPr>
                      <w:szCs w:val="21"/>
                    </w:rPr>
                  </w:pPr>
                </w:p>
              </w:tc>
              <w:tc>
                <w:tcPr>
                  <w:tcW w:w="923" w:type="pct"/>
                  <w:tcBorders>
                    <w:tl2br w:val="nil"/>
                    <w:tr2bl w:val="nil"/>
                  </w:tcBorders>
                  <w:shd w:val="clear" w:color="auto" w:fill="auto"/>
                  <w:vAlign w:val="center"/>
                </w:tcPr>
                <w:p w14:paraId="5749DBF0">
                  <w:pPr>
                    <w:jc w:val="center"/>
                    <w:rPr>
                      <w:szCs w:val="21"/>
                    </w:rPr>
                  </w:pPr>
                  <w:r>
                    <w:rPr>
                      <w:rFonts w:hint="eastAsia"/>
                      <w:szCs w:val="21"/>
                    </w:rPr>
                    <w:t>3月29日（3）</w:t>
                  </w:r>
                </w:p>
              </w:tc>
              <w:tc>
                <w:tcPr>
                  <w:tcW w:w="1299" w:type="pct"/>
                  <w:tcBorders>
                    <w:tl2br w:val="nil"/>
                    <w:tr2bl w:val="nil"/>
                  </w:tcBorders>
                  <w:shd w:val="clear" w:color="auto" w:fill="auto"/>
                  <w:vAlign w:val="center"/>
                </w:tcPr>
                <w:p w14:paraId="47876D24">
                  <w:pPr>
                    <w:jc w:val="center"/>
                    <w:rPr>
                      <w:szCs w:val="21"/>
                    </w:rPr>
                  </w:pPr>
                  <w:r>
                    <w:rPr>
                      <w:rFonts w:hint="eastAsia"/>
                      <w:szCs w:val="21"/>
                    </w:rPr>
                    <w:t>W25185Q020109</w:t>
                  </w:r>
                </w:p>
              </w:tc>
              <w:tc>
                <w:tcPr>
                  <w:tcW w:w="1251" w:type="pct"/>
                  <w:tcBorders>
                    <w:tl2br w:val="nil"/>
                    <w:tr2bl w:val="nil"/>
                  </w:tcBorders>
                  <w:shd w:val="clear" w:color="auto" w:fill="auto"/>
                  <w:vAlign w:val="center"/>
                </w:tcPr>
                <w:p w14:paraId="3172C796">
                  <w:pPr>
                    <w:jc w:val="center"/>
                    <w:rPr>
                      <w:szCs w:val="21"/>
                    </w:rPr>
                  </w:pPr>
                  <w:r>
                    <w:rPr>
                      <w:rFonts w:hint="eastAsia"/>
                      <w:szCs w:val="21"/>
                    </w:rPr>
                    <w:t>0.41</w:t>
                  </w:r>
                </w:p>
              </w:tc>
              <w:tc>
                <w:tcPr>
                  <w:tcW w:w="786" w:type="pct"/>
                  <w:vMerge w:val="continue"/>
                  <w:tcBorders>
                    <w:tl2br w:val="nil"/>
                    <w:tr2bl w:val="nil"/>
                  </w:tcBorders>
                  <w:vAlign w:val="center"/>
                </w:tcPr>
                <w:p w14:paraId="1B5F803D">
                  <w:pPr>
                    <w:jc w:val="center"/>
                    <w:rPr>
                      <w:szCs w:val="21"/>
                    </w:rPr>
                  </w:pPr>
                </w:p>
              </w:tc>
            </w:tr>
          </w:tbl>
          <w:p w14:paraId="31CFBEFD">
            <w:pPr>
              <w:pStyle w:val="89"/>
              <w:widowControl/>
              <w:adjustRightInd w:val="0"/>
              <w:snapToGrid w:val="0"/>
              <w:spacing w:line="240" w:lineRule="auto"/>
              <w:ind w:firstLine="0" w:firstLineChars="0"/>
              <w:jc w:val="center"/>
              <w:rPr>
                <w:b/>
                <w:color w:val="FF0000"/>
                <w:sz w:val="21"/>
                <w:szCs w:val="21"/>
              </w:rPr>
            </w:pPr>
            <w:r>
              <w:rPr>
                <w:b/>
                <w:color w:val="FF0000"/>
                <w:sz w:val="21"/>
                <w:szCs w:val="21"/>
              </w:rPr>
              <w:t>表3-</w:t>
            </w:r>
            <w:r>
              <w:rPr>
                <w:rFonts w:hint="eastAsia"/>
                <w:b/>
                <w:color w:val="FF0000"/>
                <w:sz w:val="21"/>
                <w:szCs w:val="21"/>
              </w:rPr>
              <w:t>3    气象参数</w:t>
            </w:r>
            <w:r>
              <w:rPr>
                <w:b/>
                <w:color w:val="FF0000"/>
                <w:sz w:val="21"/>
                <w:szCs w:val="21"/>
              </w:rPr>
              <w:t>表</w:t>
            </w:r>
          </w:p>
          <w:tbl>
            <w:tblPr>
              <w:tblStyle w:val="34"/>
              <w:tblW w:w="4996" w:type="pct"/>
              <w:tblInd w:w="5" w:type="dxa"/>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716"/>
              <w:gridCol w:w="993"/>
              <w:gridCol w:w="1132"/>
              <w:gridCol w:w="1132"/>
              <w:gridCol w:w="1132"/>
              <w:gridCol w:w="1132"/>
              <w:gridCol w:w="1742"/>
            </w:tblGrid>
            <w:tr w14:paraId="32ECAA8F">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49" w:type="pct"/>
                  <w:tcBorders>
                    <w:tl2br w:val="nil"/>
                    <w:tr2bl w:val="nil"/>
                  </w:tcBorders>
                  <w:vAlign w:val="center"/>
                </w:tcPr>
                <w:p w14:paraId="09DEBC1E">
                  <w:pPr>
                    <w:jc w:val="center"/>
                    <w:rPr>
                      <w:b/>
                      <w:bCs/>
                      <w:color w:val="FF0000"/>
                      <w:szCs w:val="21"/>
                    </w:rPr>
                  </w:pPr>
                  <w:r>
                    <w:rPr>
                      <w:b/>
                      <w:bCs/>
                      <w:color w:val="FF0000"/>
                      <w:szCs w:val="21"/>
                    </w:rPr>
                    <w:t>序号</w:t>
                  </w:r>
                </w:p>
              </w:tc>
              <w:tc>
                <w:tcPr>
                  <w:tcW w:w="622" w:type="pct"/>
                  <w:tcBorders>
                    <w:tl2br w:val="nil"/>
                    <w:tr2bl w:val="nil"/>
                  </w:tcBorders>
                  <w:vAlign w:val="center"/>
                </w:tcPr>
                <w:p w14:paraId="40E373F6">
                  <w:pPr>
                    <w:jc w:val="center"/>
                    <w:rPr>
                      <w:b/>
                      <w:bCs/>
                      <w:color w:val="FF0000"/>
                      <w:szCs w:val="21"/>
                    </w:rPr>
                  </w:pPr>
                  <w:r>
                    <w:rPr>
                      <w:b/>
                      <w:bCs/>
                      <w:color w:val="FF0000"/>
                      <w:szCs w:val="21"/>
                    </w:rPr>
                    <w:t>天气</w:t>
                  </w:r>
                </w:p>
              </w:tc>
              <w:tc>
                <w:tcPr>
                  <w:tcW w:w="709" w:type="pct"/>
                  <w:tcBorders>
                    <w:tl2br w:val="nil"/>
                    <w:tr2bl w:val="nil"/>
                  </w:tcBorders>
                  <w:vAlign w:val="center"/>
                </w:tcPr>
                <w:p w14:paraId="70E46C85">
                  <w:pPr>
                    <w:jc w:val="center"/>
                    <w:rPr>
                      <w:b/>
                      <w:bCs/>
                      <w:color w:val="FF0000"/>
                      <w:szCs w:val="21"/>
                    </w:rPr>
                  </w:pPr>
                  <w:r>
                    <w:rPr>
                      <w:b/>
                      <w:bCs/>
                      <w:color w:val="FF0000"/>
                      <w:szCs w:val="21"/>
                    </w:rPr>
                    <w:t>气温℃</w:t>
                  </w:r>
                </w:p>
              </w:tc>
              <w:tc>
                <w:tcPr>
                  <w:tcW w:w="709" w:type="pct"/>
                  <w:tcBorders>
                    <w:tl2br w:val="nil"/>
                    <w:tr2bl w:val="nil"/>
                  </w:tcBorders>
                  <w:vAlign w:val="center"/>
                </w:tcPr>
                <w:p w14:paraId="06242773">
                  <w:pPr>
                    <w:jc w:val="center"/>
                    <w:rPr>
                      <w:b/>
                      <w:bCs/>
                      <w:color w:val="FF0000"/>
                      <w:szCs w:val="21"/>
                    </w:rPr>
                  </w:pPr>
                  <w:r>
                    <w:rPr>
                      <w:b/>
                      <w:bCs/>
                      <w:color w:val="FF0000"/>
                      <w:szCs w:val="21"/>
                    </w:rPr>
                    <w:t>气压KPa</w:t>
                  </w:r>
                </w:p>
              </w:tc>
              <w:tc>
                <w:tcPr>
                  <w:tcW w:w="709" w:type="pct"/>
                  <w:tcBorders>
                    <w:tl2br w:val="nil"/>
                    <w:tr2bl w:val="nil"/>
                  </w:tcBorders>
                  <w:vAlign w:val="center"/>
                </w:tcPr>
                <w:p w14:paraId="340A2771">
                  <w:pPr>
                    <w:jc w:val="center"/>
                    <w:rPr>
                      <w:b/>
                      <w:bCs/>
                      <w:color w:val="FF0000"/>
                      <w:szCs w:val="21"/>
                    </w:rPr>
                  </w:pPr>
                  <w:r>
                    <w:rPr>
                      <w:b/>
                      <w:bCs/>
                      <w:color w:val="FF0000"/>
                      <w:szCs w:val="21"/>
                    </w:rPr>
                    <w:t>风向</w:t>
                  </w:r>
                </w:p>
              </w:tc>
              <w:tc>
                <w:tcPr>
                  <w:tcW w:w="709" w:type="pct"/>
                  <w:tcBorders>
                    <w:tl2br w:val="nil"/>
                    <w:tr2bl w:val="nil"/>
                  </w:tcBorders>
                  <w:vAlign w:val="center"/>
                </w:tcPr>
                <w:p w14:paraId="0497EA87">
                  <w:pPr>
                    <w:jc w:val="center"/>
                    <w:rPr>
                      <w:b/>
                      <w:bCs/>
                      <w:color w:val="FF0000"/>
                      <w:szCs w:val="21"/>
                    </w:rPr>
                  </w:pPr>
                  <w:r>
                    <w:rPr>
                      <w:b/>
                      <w:bCs/>
                      <w:color w:val="FF0000"/>
                      <w:szCs w:val="21"/>
                    </w:rPr>
                    <w:t>风速m/s</w:t>
                  </w:r>
                </w:p>
              </w:tc>
              <w:tc>
                <w:tcPr>
                  <w:tcW w:w="1091" w:type="pct"/>
                  <w:tcBorders>
                    <w:tl2br w:val="nil"/>
                    <w:tr2bl w:val="nil"/>
                  </w:tcBorders>
                  <w:vAlign w:val="center"/>
                </w:tcPr>
                <w:p w14:paraId="530CF3AA">
                  <w:pPr>
                    <w:jc w:val="center"/>
                    <w:rPr>
                      <w:b/>
                      <w:bCs/>
                      <w:color w:val="FF0000"/>
                      <w:szCs w:val="21"/>
                    </w:rPr>
                  </w:pPr>
                  <w:r>
                    <w:rPr>
                      <w:b/>
                      <w:bCs/>
                      <w:color w:val="FF0000"/>
                      <w:szCs w:val="21"/>
                    </w:rPr>
                    <w:t>监测时间</w:t>
                  </w:r>
                </w:p>
              </w:tc>
            </w:tr>
            <w:tr w14:paraId="22CB0954">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49" w:type="pct"/>
                  <w:tcBorders>
                    <w:tl2br w:val="nil"/>
                    <w:tr2bl w:val="nil"/>
                  </w:tcBorders>
                  <w:vAlign w:val="center"/>
                </w:tcPr>
                <w:p w14:paraId="3C57F5B5">
                  <w:pPr>
                    <w:jc w:val="center"/>
                    <w:rPr>
                      <w:color w:val="FF0000"/>
                      <w:szCs w:val="21"/>
                    </w:rPr>
                  </w:pPr>
                  <w:r>
                    <w:rPr>
                      <w:rFonts w:hint="eastAsia"/>
                      <w:color w:val="FF0000"/>
                      <w:szCs w:val="21"/>
                    </w:rPr>
                    <w:t>1</w:t>
                  </w:r>
                </w:p>
              </w:tc>
              <w:tc>
                <w:tcPr>
                  <w:tcW w:w="622" w:type="pct"/>
                  <w:tcBorders>
                    <w:tl2br w:val="nil"/>
                    <w:tr2bl w:val="nil"/>
                  </w:tcBorders>
                  <w:vAlign w:val="center"/>
                </w:tcPr>
                <w:p w14:paraId="1579FEB8">
                  <w:pPr>
                    <w:jc w:val="center"/>
                    <w:rPr>
                      <w:color w:val="FF0000"/>
                      <w:szCs w:val="21"/>
                    </w:rPr>
                  </w:pPr>
                  <w:r>
                    <w:rPr>
                      <w:rFonts w:hint="eastAsia"/>
                      <w:color w:val="FF0000"/>
                      <w:szCs w:val="21"/>
                    </w:rPr>
                    <w:t>晴</w:t>
                  </w:r>
                </w:p>
              </w:tc>
              <w:tc>
                <w:tcPr>
                  <w:tcW w:w="709" w:type="pct"/>
                  <w:tcBorders>
                    <w:tl2br w:val="nil"/>
                    <w:tr2bl w:val="nil"/>
                  </w:tcBorders>
                  <w:vAlign w:val="center"/>
                </w:tcPr>
                <w:p w14:paraId="042D83C8">
                  <w:pPr>
                    <w:jc w:val="center"/>
                    <w:rPr>
                      <w:color w:val="FF0000"/>
                      <w:szCs w:val="21"/>
                    </w:rPr>
                  </w:pPr>
                  <w:r>
                    <w:rPr>
                      <w:rFonts w:hint="eastAsia"/>
                      <w:color w:val="FF0000"/>
                      <w:szCs w:val="21"/>
                    </w:rPr>
                    <w:t>-0.5</w:t>
                  </w:r>
                </w:p>
              </w:tc>
              <w:tc>
                <w:tcPr>
                  <w:tcW w:w="709" w:type="pct"/>
                  <w:tcBorders>
                    <w:tl2br w:val="nil"/>
                    <w:tr2bl w:val="nil"/>
                  </w:tcBorders>
                  <w:vAlign w:val="center"/>
                </w:tcPr>
                <w:p w14:paraId="61254634">
                  <w:pPr>
                    <w:jc w:val="center"/>
                    <w:rPr>
                      <w:color w:val="FF0000"/>
                      <w:szCs w:val="21"/>
                    </w:rPr>
                  </w:pPr>
                  <w:r>
                    <w:rPr>
                      <w:rFonts w:hint="eastAsia"/>
                      <w:color w:val="FF0000"/>
                      <w:szCs w:val="21"/>
                    </w:rPr>
                    <w:t>98.7</w:t>
                  </w:r>
                </w:p>
              </w:tc>
              <w:tc>
                <w:tcPr>
                  <w:tcW w:w="709" w:type="pct"/>
                  <w:tcBorders>
                    <w:tl2br w:val="nil"/>
                    <w:tr2bl w:val="nil"/>
                  </w:tcBorders>
                  <w:vAlign w:val="center"/>
                </w:tcPr>
                <w:p w14:paraId="6E031BB8">
                  <w:pPr>
                    <w:jc w:val="center"/>
                    <w:rPr>
                      <w:color w:val="FF0000"/>
                      <w:szCs w:val="21"/>
                    </w:rPr>
                  </w:pPr>
                  <w:r>
                    <w:rPr>
                      <w:rFonts w:hint="eastAsia"/>
                      <w:color w:val="FF0000"/>
                      <w:szCs w:val="21"/>
                    </w:rPr>
                    <w:t>北</w:t>
                  </w:r>
                </w:p>
              </w:tc>
              <w:tc>
                <w:tcPr>
                  <w:tcW w:w="709" w:type="pct"/>
                  <w:tcBorders>
                    <w:tl2br w:val="nil"/>
                    <w:tr2bl w:val="nil"/>
                  </w:tcBorders>
                  <w:vAlign w:val="center"/>
                </w:tcPr>
                <w:p w14:paraId="084B5217">
                  <w:pPr>
                    <w:jc w:val="center"/>
                    <w:rPr>
                      <w:color w:val="FF0000"/>
                      <w:szCs w:val="21"/>
                    </w:rPr>
                  </w:pPr>
                  <w:r>
                    <w:rPr>
                      <w:rFonts w:hint="eastAsia"/>
                      <w:color w:val="FF0000"/>
                      <w:szCs w:val="21"/>
                    </w:rPr>
                    <w:t>2.6</w:t>
                  </w:r>
                </w:p>
              </w:tc>
              <w:tc>
                <w:tcPr>
                  <w:tcW w:w="1091" w:type="pct"/>
                  <w:tcBorders>
                    <w:tl2br w:val="nil"/>
                    <w:tr2bl w:val="nil"/>
                  </w:tcBorders>
                  <w:vAlign w:val="center"/>
                </w:tcPr>
                <w:p w14:paraId="4C98F3BA">
                  <w:pPr>
                    <w:jc w:val="center"/>
                    <w:rPr>
                      <w:color w:val="FF0000"/>
                      <w:szCs w:val="21"/>
                    </w:rPr>
                  </w:pPr>
                  <w:r>
                    <w:rPr>
                      <w:rFonts w:hint="eastAsia"/>
                      <w:color w:val="FF0000"/>
                      <w:szCs w:val="21"/>
                    </w:rPr>
                    <w:t>3</w:t>
                  </w:r>
                  <w:r>
                    <w:rPr>
                      <w:color w:val="FF0000"/>
                      <w:szCs w:val="21"/>
                    </w:rPr>
                    <w:t>月</w:t>
                  </w:r>
                  <w:r>
                    <w:rPr>
                      <w:rFonts w:hint="eastAsia"/>
                      <w:color w:val="FF0000"/>
                      <w:szCs w:val="21"/>
                    </w:rPr>
                    <w:t>27</w:t>
                  </w:r>
                  <w:r>
                    <w:rPr>
                      <w:color w:val="FF0000"/>
                      <w:szCs w:val="21"/>
                    </w:rPr>
                    <w:t>日24h</w:t>
                  </w:r>
                </w:p>
              </w:tc>
            </w:tr>
            <w:tr w14:paraId="46BE7067">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49" w:type="pct"/>
                  <w:tcBorders>
                    <w:tl2br w:val="nil"/>
                    <w:tr2bl w:val="nil"/>
                  </w:tcBorders>
                  <w:vAlign w:val="center"/>
                </w:tcPr>
                <w:p w14:paraId="62319E6D">
                  <w:pPr>
                    <w:jc w:val="center"/>
                    <w:rPr>
                      <w:color w:val="FF0000"/>
                      <w:szCs w:val="21"/>
                    </w:rPr>
                  </w:pPr>
                  <w:r>
                    <w:rPr>
                      <w:rFonts w:hint="eastAsia"/>
                      <w:color w:val="FF0000"/>
                      <w:szCs w:val="21"/>
                    </w:rPr>
                    <w:t>2</w:t>
                  </w:r>
                </w:p>
              </w:tc>
              <w:tc>
                <w:tcPr>
                  <w:tcW w:w="622" w:type="pct"/>
                  <w:tcBorders>
                    <w:tl2br w:val="nil"/>
                    <w:tr2bl w:val="nil"/>
                  </w:tcBorders>
                  <w:vAlign w:val="center"/>
                </w:tcPr>
                <w:p w14:paraId="24979D4E">
                  <w:pPr>
                    <w:jc w:val="center"/>
                    <w:rPr>
                      <w:color w:val="FF0000"/>
                      <w:szCs w:val="21"/>
                    </w:rPr>
                  </w:pPr>
                  <w:r>
                    <w:rPr>
                      <w:rFonts w:hint="eastAsia"/>
                      <w:color w:val="FF0000"/>
                      <w:szCs w:val="21"/>
                    </w:rPr>
                    <w:t>晴</w:t>
                  </w:r>
                </w:p>
              </w:tc>
              <w:tc>
                <w:tcPr>
                  <w:tcW w:w="709" w:type="pct"/>
                  <w:tcBorders>
                    <w:tl2br w:val="nil"/>
                    <w:tr2bl w:val="nil"/>
                  </w:tcBorders>
                  <w:vAlign w:val="center"/>
                </w:tcPr>
                <w:p w14:paraId="677A8DC7">
                  <w:pPr>
                    <w:jc w:val="center"/>
                    <w:rPr>
                      <w:color w:val="FF0000"/>
                      <w:szCs w:val="21"/>
                    </w:rPr>
                  </w:pPr>
                  <w:r>
                    <w:rPr>
                      <w:rFonts w:hint="eastAsia"/>
                      <w:color w:val="FF0000"/>
                      <w:szCs w:val="21"/>
                    </w:rPr>
                    <w:t>-0.5</w:t>
                  </w:r>
                </w:p>
              </w:tc>
              <w:tc>
                <w:tcPr>
                  <w:tcW w:w="709" w:type="pct"/>
                  <w:tcBorders>
                    <w:tl2br w:val="nil"/>
                    <w:tr2bl w:val="nil"/>
                  </w:tcBorders>
                  <w:vAlign w:val="center"/>
                </w:tcPr>
                <w:p w14:paraId="639E0054">
                  <w:pPr>
                    <w:jc w:val="center"/>
                    <w:rPr>
                      <w:color w:val="FF0000"/>
                      <w:szCs w:val="21"/>
                    </w:rPr>
                  </w:pPr>
                  <w:r>
                    <w:rPr>
                      <w:rFonts w:hint="eastAsia"/>
                      <w:color w:val="FF0000"/>
                      <w:szCs w:val="21"/>
                    </w:rPr>
                    <w:t>98.7</w:t>
                  </w:r>
                </w:p>
              </w:tc>
              <w:tc>
                <w:tcPr>
                  <w:tcW w:w="709" w:type="pct"/>
                  <w:tcBorders>
                    <w:tl2br w:val="nil"/>
                    <w:tr2bl w:val="nil"/>
                  </w:tcBorders>
                  <w:vAlign w:val="center"/>
                </w:tcPr>
                <w:p w14:paraId="3F7F8C14">
                  <w:pPr>
                    <w:jc w:val="center"/>
                    <w:rPr>
                      <w:color w:val="FF0000"/>
                      <w:szCs w:val="21"/>
                    </w:rPr>
                  </w:pPr>
                  <w:r>
                    <w:rPr>
                      <w:rFonts w:hint="eastAsia"/>
                      <w:color w:val="FF0000"/>
                      <w:szCs w:val="21"/>
                    </w:rPr>
                    <w:t>北</w:t>
                  </w:r>
                </w:p>
              </w:tc>
              <w:tc>
                <w:tcPr>
                  <w:tcW w:w="709" w:type="pct"/>
                  <w:tcBorders>
                    <w:tl2br w:val="nil"/>
                    <w:tr2bl w:val="nil"/>
                  </w:tcBorders>
                  <w:vAlign w:val="center"/>
                </w:tcPr>
                <w:p w14:paraId="1B2DB4E2">
                  <w:pPr>
                    <w:jc w:val="center"/>
                    <w:rPr>
                      <w:color w:val="FF0000"/>
                      <w:szCs w:val="21"/>
                    </w:rPr>
                  </w:pPr>
                  <w:r>
                    <w:rPr>
                      <w:rFonts w:hint="eastAsia"/>
                      <w:color w:val="FF0000"/>
                      <w:szCs w:val="21"/>
                    </w:rPr>
                    <w:t>2.6</w:t>
                  </w:r>
                </w:p>
              </w:tc>
              <w:tc>
                <w:tcPr>
                  <w:tcW w:w="1091" w:type="pct"/>
                  <w:tcBorders>
                    <w:tl2br w:val="nil"/>
                    <w:tr2bl w:val="nil"/>
                  </w:tcBorders>
                  <w:vAlign w:val="center"/>
                </w:tcPr>
                <w:p w14:paraId="4380FEDE">
                  <w:pPr>
                    <w:jc w:val="center"/>
                    <w:rPr>
                      <w:color w:val="FF0000"/>
                      <w:szCs w:val="21"/>
                    </w:rPr>
                  </w:pPr>
                  <w:r>
                    <w:rPr>
                      <w:rFonts w:hint="eastAsia"/>
                      <w:color w:val="FF0000"/>
                      <w:szCs w:val="21"/>
                    </w:rPr>
                    <w:t>3</w:t>
                  </w:r>
                  <w:r>
                    <w:rPr>
                      <w:color w:val="FF0000"/>
                      <w:szCs w:val="21"/>
                    </w:rPr>
                    <w:t>月</w:t>
                  </w:r>
                  <w:r>
                    <w:rPr>
                      <w:rFonts w:hint="eastAsia"/>
                      <w:color w:val="FF0000"/>
                      <w:szCs w:val="21"/>
                    </w:rPr>
                    <w:t>27</w:t>
                  </w:r>
                  <w:r>
                    <w:rPr>
                      <w:color w:val="FF0000"/>
                      <w:szCs w:val="21"/>
                    </w:rPr>
                    <w:t>日0</w:t>
                  </w:r>
                  <w:r>
                    <w:rPr>
                      <w:rFonts w:hint="eastAsia"/>
                      <w:color w:val="FF0000"/>
                      <w:szCs w:val="21"/>
                    </w:rPr>
                    <w:t>9</w:t>
                  </w:r>
                  <w:r>
                    <w:rPr>
                      <w:color w:val="FF0000"/>
                      <w:szCs w:val="21"/>
                    </w:rPr>
                    <w:t>:</w:t>
                  </w:r>
                  <w:r>
                    <w:rPr>
                      <w:rFonts w:hint="eastAsia"/>
                      <w:color w:val="FF0000"/>
                      <w:szCs w:val="21"/>
                    </w:rPr>
                    <w:t>15</w:t>
                  </w:r>
                </w:p>
              </w:tc>
            </w:tr>
            <w:tr w14:paraId="44B928E4">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49" w:type="pct"/>
                  <w:tcBorders>
                    <w:tl2br w:val="nil"/>
                    <w:tr2bl w:val="nil"/>
                  </w:tcBorders>
                  <w:vAlign w:val="center"/>
                </w:tcPr>
                <w:p w14:paraId="12EAEC86">
                  <w:pPr>
                    <w:jc w:val="center"/>
                    <w:rPr>
                      <w:color w:val="FF0000"/>
                      <w:szCs w:val="21"/>
                    </w:rPr>
                  </w:pPr>
                  <w:r>
                    <w:rPr>
                      <w:rFonts w:hint="eastAsia"/>
                      <w:color w:val="FF0000"/>
                      <w:szCs w:val="21"/>
                    </w:rPr>
                    <w:t>3</w:t>
                  </w:r>
                </w:p>
              </w:tc>
              <w:tc>
                <w:tcPr>
                  <w:tcW w:w="622" w:type="pct"/>
                  <w:tcBorders>
                    <w:tl2br w:val="nil"/>
                    <w:tr2bl w:val="nil"/>
                  </w:tcBorders>
                  <w:vAlign w:val="center"/>
                </w:tcPr>
                <w:p w14:paraId="598080A2">
                  <w:pPr>
                    <w:jc w:val="center"/>
                    <w:rPr>
                      <w:color w:val="FF0000"/>
                      <w:szCs w:val="21"/>
                    </w:rPr>
                  </w:pPr>
                  <w:r>
                    <w:rPr>
                      <w:rFonts w:hint="eastAsia"/>
                      <w:color w:val="FF0000"/>
                      <w:szCs w:val="21"/>
                    </w:rPr>
                    <w:t>晴</w:t>
                  </w:r>
                </w:p>
              </w:tc>
              <w:tc>
                <w:tcPr>
                  <w:tcW w:w="709" w:type="pct"/>
                  <w:tcBorders>
                    <w:tl2br w:val="nil"/>
                    <w:tr2bl w:val="nil"/>
                  </w:tcBorders>
                  <w:vAlign w:val="center"/>
                </w:tcPr>
                <w:p w14:paraId="31D3AA48">
                  <w:pPr>
                    <w:jc w:val="center"/>
                    <w:rPr>
                      <w:color w:val="FF0000"/>
                      <w:szCs w:val="21"/>
                    </w:rPr>
                  </w:pPr>
                  <w:r>
                    <w:rPr>
                      <w:rFonts w:hint="eastAsia"/>
                      <w:color w:val="FF0000"/>
                      <w:szCs w:val="21"/>
                    </w:rPr>
                    <w:t>2.6</w:t>
                  </w:r>
                </w:p>
              </w:tc>
              <w:tc>
                <w:tcPr>
                  <w:tcW w:w="709" w:type="pct"/>
                  <w:tcBorders>
                    <w:tl2br w:val="nil"/>
                    <w:tr2bl w:val="nil"/>
                  </w:tcBorders>
                  <w:vAlign w:val="center"/>
                </w:tcPr>
                <w:p w14:paraId="2038676C">
                  <w:pPr>
                    <w:jc w:val="center"/>
                    <w:rPr>
                      <w:color w:val="FF0000"/>
                      <w:szCs w:val="21"/>
                    </w:rPr>
                  </w:pPr>
                  <w:r>
                    <w:rPr>
                      <w:rFonts w:hint="eastAsia"/>
                      <w:color w:val="FF0000"/>
                      <w:szCs w:val="21"/>
                    </w:rPr>
                    <w:t>98.7</w:t>
                  </w:r>
                </w:p>
              </w:tc>
              <w:tc>
                <w:tcPr>
                  <w:tcW w:w="709" w:type="pct"/>
                  <w:tcBorders>
                    <w:tl2br w:val="nil"/>
                    <w:tr2bl w:val="nil"/>
                  </w:tcBorders>
                  <w:vAlign w:val="center"/>
                </w:tcPr>
                <w:p w14:paraId="2EE456DA">
                  <w:pPr>
                    <w:jc w:val="center"/>
                    <w:rPr>
                      <w:color w:val="FF0000"/>
                      <w:szCs w:val="21"/>
                    </w:rPr>
                  </w:pPr>
                  <w:r>
                    <w:rPr>
                      <w:rFonts w:hint="eastAsia"/>
                      <w:color w:val="FF0000"/>
                      <w:szCs w:val="21"/>
                    </w:rPr>
                    <w:t>北</w:t>
                  </w:r>
                </w:p>
              </w:tc>
              <w:tc>
                <w:tcPr>
                  <w:tcW w:w="709" w:type="pct"/>
                  <w:tcBorders>
                    <w:tl2br w:val="nil"/>
                    <w:tr2bl w:val="nil"/>
                  </w:tcBorders>
                  <w:vAlign w:val="center"/>
                </w:tcPr>
                <w:p w14:paraId="08E4C104">
                  <w:pPr>
                    <w:jc w:val="center"/>
                    <w:rPr>
                      <w:color w:val="FF0000"/>
                      <w:szCs w:val="21"/>
                    </w:rPr>
                  </w:pPr>
                  <w:r>
                    <w:rPr>
                      <w:rFonts w:hint="eastAsia"/>
                      <w:color w:val="FF0000"/>
                      <w:szCs w:val="21"/>
                    </w:rPr>
                    <w:t>2.5</w:t>
                  </w:r>
                </w:p>
              </w:tc>
              <w:tc>
                <w:tcPr>
                  <w:tcW w:w="1091" w:type="pct"/>
                  <w:tcBorders>
                    <w:tl2br w:val="nil"/>
                    <w:tr2bl w:val="nil"/>
                  </w:tcBorders>
                  <w:vAlign w:val="center"/>
                </w:tcPr>
                <w:p w14:paraId="4ACD656F">
                  <w:pPr>
                    <w:jc w:val="center"/>
                    <w:rPr>
                      <w:color w:val="FF0000"/>
                      <w:szCs w:val="21"/>
                    </w:rPr>
                  </w:pPr>
                  <w:r>
                    <w:rPr>
                      <w:rFonts w:hint="eastAsia"/>
                      <w:color w:val="FF0000"/>
                      <w:szCs w:val="21"/>
                    </w:rPr>
                    <w:t>3</w:t>
                  </w:r>
                  <w:r>
                    <w:rPr>
                      <w:color w:val="FF0000"/>
                      <w:szCs w:val="21"/>
                    </w:rPr>
                    <w:t>月</w:t>
                  </w:r>
                  <w:r>
                    <w:rPr>
                      <w:rFonts w:hint="eastAsia"/>
                      <w:color w:val="FF0000"/>
                      <w:szCs w:val="21"/>
                    </w:rPr>
                    <w:t>27</w:t>
                  </w:r>
                  <w:r>
                    <w:rPr>
                      <w:color w:val="FF0000"/>
                      <w:szCs w:val="21"/>
                    </w:rPr>
                    <w:t>日</w:t>
                  </w:r>
                  <w:r>
                    <w:rPr>
                      <w:rFonts w:hint="eastAsia"/>
                      <w:color w:val="FF0000"/>
                      <w:szCs w:val="21"/>
                    </w:rPr>
                    <w:t>11</w:t>
                  </w:r>
                  <w:r>
                    <w:rPr>
                      <w:color w:val="FF0000"/>
                      <w:szCs w:val="21"/>
                    </w:rPr>
                    <w:t>:0</w:t>
                  </w:r>
                  <w:r>
                    <w:rPr>
                      <w:rFonts w:hint="eastAsia"/>
                      <w:color w:val="FF0000"/>
                      <w:szCs w:val="21"/>
                    </w:rPr>
                    <w:t>3</w:t>
                  </w:r>
                </w:p>
              </w:tc>
            </w:tr>
            <w:tr w14:paraId="24B41C84">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49" w:type="pct"/>
                  <w:tcBorders>
                    <w:tl2br w:val="nil"/>
                    <w:tr2bl w:val="nil"/>
                  </w:tcBorders>
                  <w:vAlign w:val="center"/>
                </w:tcPr>
                <w:p w14:paraId="0E629D4E">
                  <w:pPr>
                    <w:jc w:val="center"/>
                    <w:rPr>
                      <w:color w:val="FF0000"/>
                      <w:szCs w:val="21"/>
                    </w:rPr>
                  </w:pPr>
                  <w:r>
                    <w:rPr>
                      <w:rFonts w:hint="eastAsia"/>
                      <w:color w:val="FF0000"/>
                      <w:szCs w:val="21"/>
                    </w:rPr>
                    <w:t>4</w:t>
                  </w:r>
                </w:p>
              </w:tc>
              <w:tc>
                <w:tcPr>
                  <w:tcW w:w="622" w:type="pct"/>
                  <w:tcBorders>
                    <w:tl2br w:val="nil"/>
                    <w:tr2bl w:val="nil"/>
                  </w:tcBorders>
                  <w:vAlign w:val="center"/>
                </w:tcPr>
                <w:p w14:paraId="78397114">
                  <w:pPr>
                    <w:jc w:val="center"/>
                    <w:rPr>
                      <w:color w:val="FF0000"/>
                      <w:szCs w:val="21"/>
                    </w:rPr>
                  </w:pPr>
                  <w:r>
                    <w:rPr>
                      <w:rFonts w:hint="eastAsia"/>
                      <w:color w:val="FF0000"/>
                      <w:szCs w:val="21"/>
                    </w:rPr>
                    <w:t>晴</w:t>
                  </w:r>
                </w:p>
              </w:tc>
              <w:tc>
                <w:tcPr>
                  <w:tcW w:w="709" w:type="pct"/>
                  <w:tcBorders>
                    <w:tl2br w:val="nil"/>
                    <w:tr2bl w:val="nil"/>
                  </w:tcBorders>
                  <w:vAlign w:val="center"/>
                </w:tcPr>
                <w:p w14:paraId="4EB411DD">
                  <w:pPr>
                    <w:jc w:val="center"/>
                    <w:rPr>
                      <w:color w:val="FF0000"/>
                      <w:szCs w:val="21"/>
                    </w:rPr>
                  </w:pPr>
                  <w:r>
                    <w:rPr>
                      <w:rFonts w:hint="eastAsia"/>
                      <w:color w:val="FF0000"/>
                      <w:szCs w:val="21"/>
                    </w:rPr>
                    <w:t>5.2</w:t>
                  </w:r>
                </w:p>
              </w:tc>
              <w:tc>
                <w:tcPr>
                  <w:tcW w:w="709" w:type="pct"/>
                  <w:tcBorders>
                    <w:tl2br w:val="nil"/>
                    <w:tr2bl w:val="nil"/>
                  </w:tcBorders>
                  <w:vAlign w:val="center"/>
                </w:tcPr>
                <w:p w14:paraId="6D1E2007">
                  <w:pPr>
                    <w:jc w:val="center"/>
                    <w:rPr>
                      <w:color w:val="FF0000"/>
                      <w:szCs w:val="21"/>
                    </w:rPr>
                  </w:pPr>
                  <w:r>
                    <w:rPr>
                      <w:rFonts w:hint="eastAsia"/>
                      <w:color w:val="FF0000"/>
                      <w:szCs w:val="21"/>
                    </w:rPr>
                    <w:t>98.6</w:t>
                  </w:r>
                </w:p>
              </w:tc>
              <w:tc>
                <w:tcPr>
                  <w:tcW w:w="709" w:type="pct"/>
                  <w:tcBorders>
                    <w:tl2br w:val="nil"/>
                    <w:tr2bl w:val="nil"/>
                  </w:tcBorders>
                  <w:vAlign w:val="center"/>
                </w:tcPr>
                <w:p w14:paraId="37BF9718">
                  <w:pPr>
                    <w:jc w:val="center"/>
                    <w:rPr>
                      <w:color w:val="FF0000"/>
                      <w:szCs w:val="21"/>
                    </w:rPr>
                  </w:pPr>
                  <w:r>
                    <w:rPr>
                      <w:rFonts w:hint="eastAsia"/>
                      <w:color w:val="FF0000"/>
                      <w:szCs w:val="21"/>
                    </w:rPr>
                    <w:t>北</w:t>
                  </w:r>
                </w:p>
              </w:tc>
              <w:tc>
                <w:tcPr>
                  <w:tcW w:w="709" w:type="pct"/>
                  <w:tcBorders>
                    <w:tl2br w:val="nil"/>
                    <w:tr2bl w:val="nil"/>
                  </w:tcBorders>
                  <w:vAlign w:val="center"/>
                </w:tcPr>
                <w:p w14:paraId="4C143295">
                  <w:pPr>
                    <w:jc w:val="center"/>
                    <w:rPr>
                      <w:color w:val="FF0000"/>
                      <w:szCs w:val="21"/>
                    </w:rPr>
                  </w:pPr>
                  <w:r>
                    <w:rPr>
                      <w:rFonts w:hint="eastAsia"/>
                      <w:color w:val="FF0000"/>
                      <w:szCs w:val="21"/>
                    </w:rPr>
                    <w:t>2.3</w:t>
                  </w:r>
                </w:p>
              </w:tc>
              <w:tc>
                <w:tcPr>
                  <w:tcW w:w="1091" w:type="pct"/>
                  <w:tcBorders>
                    <w:tl2br w:val="nil"/>
                    <w:tr2bl w:val="nil"/>
                  </w:tcBorders>
                  <w:vAlign w:val="center"/>
                </w:tcPr>
                <w:p w14:paraId="3DE5672E">
                  <w:pPr>
                    <w:jc w:val="center"/>
                    <w:rPr>
                      <w:color w:val="FF0000"/>
                      <w:szCs w:val="21"/>
                    </w:rPr>
                  </w:pPr>
                  <w:r>
                    <w:rPr>
                      <w:rFonts w:hint="eastAsia"/>
                      <w:color w:val="FF0000"/>
                      <w:szCs w:val="21"/>
                    </w:rPr>
                    <w:t>3</w:t>
                  </w:r>
                  <w:r>
                    <w:rPr>
                      <w:color w:val="FF0000"/>
                      <w:szCs w:val="21"/>
                    </w:rPr>
                    <w:t>月</w:t>
                  </w:r>
                  <w:r>
                    <w:rPr>
                      <w:rFonts w:hint="eastAsia"/>
                      <w:color w:val="FF0000"/>
                      <w:szCs w:val="21"/>
                    </w:rPr>
                    <w:t>27</w:t>
                  </w:r>
                  <w:r>
                    <w:rPr>
                      <w:color w:val="FF0000"/>
                      <w:szCs w:val="21"/>
                    </w:rPr>
                    <w:t>日1</w:t>
                  </w:r>
                  <w:r>
                    <w:rPr>
                      <w:rFonts w:hint="eastAsia"/>
                      <w:color w:val="FF0000"/>
                      <w:szCs w:val="21"/>
                    </w:rPr>
                    <w:t>3</w:t>
                  </w:r>
                  <w:r>
                    <w:rPr>
                      <w:color w:val="FF0000"/>
                      <w:szCs w:val="21"/>
                    </w:rPr>
                    <w:t>:0</w:t>
                  </w:r>
                  <w:r>
                    <w:rPr>
                      <w:rFonts w:hint="eastAsia"/>
                      <w:color w:val="FF0000"/>
                      <w:szCs w:val="21"/>
                    </w:rPr>
                    <w:t>2</w:t>
                  </w:r>
                </w:p>
              </w:tc>
            </w:tr>
            <w:tr w14:paraId="0CDC6BF7">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49" w:type="pct"/>
                  <w:tcBorders>
                    <w:tl2br w:val="nil"/>
                    <w:tr2bl w:val="nil"/>
                  </w:tcBorders>
                  <w:vAlign w:val="center"/>
                </w:tcPr>
                <w:p w14:paraId="2CB6AE66">
                  <w:pPr>
                    <w:jc w:val="center"/>
                    <w:rPr>
                      <w:color w:val="FF0000"/>
                      <w:szCs w:val="21"/>
                    </w:rPr>
                  </w:pPr>
                  <w:r>
                    <w:rPr>
                      <w:rFonts w:hint="eastAsia"/>
                      <w:color w:val="FF0000"/>
                      <w:szCs w:val="21"/>
                    </w:rPr>
                    <w:t>5</w:t>
                  </w:r>
                </w:p>
              </w:tc>
              <w:tc>
                <w:tcPr>
                  <w:tcW w:w="622" w:type="pct"/>
                  <w:tcBorders>
                    <w:tl2br w:val="nil"/>
                    <w:tr2bl w:val="nil"/>
                  </w:tcBorders>
                  <w:vAlign w:val="center"/>
                </w:tcPr>
                <w:p w14:paraId="774D4C9A">
                  <w:pPr>
                    <w:jc w:val="center"/>
                    <w:rPr>
                      <w:color w:val="FF0000"/>
                      <w:szCs w:val="21"/>
                    </w:rPr>
                  </w:pPr>
                  <w:r>
                    <w:rPr>
                      <w:rFonts w:hint="eastAsia"/>
                      <w:color w:val="FF0000"/>
                      <w:szCs w:val="21"/>
                    </w:rPr>
                    <w:t>多云</w:t>
                  </w:r>
                </w:p>
              </w:tc>
              <w:tc>
                <w:tcPr>
                  <w:tcW w:w="709" w:type="pct"/>
                  <w:tcBorders>
                    <w:tl2br w:val="nil"/>
                    <w:tr2bl w:val="nil"/>
                  </w:tcBorders>
                  <w:vAlign w:val="center"/>
                </w:tcPr>
                <w:p w14:paraId="6B80B012">
                  <w:pPr>
                    <w:jc w:val="center"/>
                    <w:rPr>
                      <w:color w:val="FF0000"/>
                      <w:szCs w:val="21"/>
                    </w:rPr>
                  </w:pPr>
                  <w:r>
                    <w:rPr>
                      <w:rFonts w:hint="eastAsia"/>
                      <w:color w:val="FF0000"/>
                      <w:szCs w:val="21"/>
                    </w:rPr>
                    <w:t>-2.6</w:t>
                  </w:r>
                </w:p>
              </w:tc>
              <w:tc>
                <w:tcPr>
                  <w:tcW w:w="709" w:type="pct"/>
                  <w:tcBorders>
                    <w:tl2br w:val="nil"/>
                    <w:tr2bl w:val="nil"/>
                  </w:tcBorders>
                  <w:vAlign w:val="center"/>
                </w:tcPr>
                <w:p w14:paraId="42EF93C2">
                  <w:pPr>
                    <w:jc w:val="center"/>
                    <w:rPr>
                      <w:color w:val="FF0000"/>
                      <w:szCs w:val="21"/>
                    </w:rPr>
                  </w:pPr>
                  <w:r>
                    <w:rPr>
                      <w:rFonts w:hint="eastAsia"/>
                      <w:color w:val="FF0000"/>
                      <w:szCs w:val="21"/>
                    </w:rPr>
                    <w:t>98.8</w:t>
                  </w:r>
                </w:p>
              </w:tc>
              <w:tc>
                <w:tcPr>
                  <w:tcW w:w="709" w:type="pct"/>
                  <w:tcBorders>
                    <w:tl2br w:val="nil"/>
                    <w:tr2bl w:val="nil"/>
                  </w:tcBorders>
                  <w:vAlign w:val="center"/>
                </w:tcPr>
                <w:p w14:paraId="7C043EA2">
                  <w:pPr>
                    <w:jc w:val="center"/>
                    <w:rPr>
                      <w:color w:val="FF0000"/>
                      <w:szCs w:val="21"/>
                    </w:rPr>
                  </w:pPr>
                  <w:r>
                    <w:rPr>
                      <w:rFonts w:hint="eastAsia"/>
                      <w:color w:val="FF0000"/>
                      <w:szCs w:val="21"/>
                    </w:rPr>
                    <w:t>西北</w:t>
                  </w:r>
                </w:p>
              </w:tc>
              <w:tc>
                <w:tcPr>
                  <w:tcW w:w="709" w:type="pct"/>
                  <w:tcBorders>
                    <w:tl2br w:val="nil"/>
                    <w:tr2bl w:val="nil"/>
                  </w:tcBorders>
                  <w:vAlign w:val="center"/>
                </w:tcPr>
                <w:p w14:paraId="49E3BFCB">
                  <w:pPr>
                    <w:jc w:val="center"/>
                    <w:rPr>
                      <w:color w:val="FF0000"/>
                      <w:szCs w:val="21"/>
                    </w:rPr>
                  </w:pPr>
                  <w:r>
                    <w:rPr>
                      <w:rFonts w:hint="eastAsia"/>
                      <w:color w:val="FF0000"/>
                      <w:szCs w:val="21"/>
                    </w:rPr>
                    <w:t>2.1</w:t>
                  </w:r>
                </w:p>
              </w:tc>
              <w:tc>
                <w:tcPr>
                  <w:tcW w:w="1091" w:type="pct"/>
                  <w:tcBorders>
                    <w:tl2br w:val="nil"/>
                    <w:tr2bl w:val="nil"/>
                  </w:tcBorders>
                  <w:vAlign w:val="center"/>
                </w:tcPr>
                <w:p w14:paraId="41419ACC">
                  <w:pPr>
                    <w:jc w:val="center"/>
                    <w:rPr>
                      <w:color w:val="FF0000"/>
                      <w:szCs w:val="21"/>
                    </w:rPr>
                  </w:pPr>
                  <w:r>
                    <w:rPr>
                      <w:rFonts w:hint="eastAsia"/>
                      <w:color w:val="FF0000"/>
                      <w:szCs w:val="21"/>
                    </w:rPr>
                    <w:t>3</w:t>
                  </w:r>
                  <w:r>
                    <w:rPr>
                      <w:color w:val="FF0000"/>
                      <w:szCs w:val="21"/>
                    </w:rPr>
                    <w:t>月2</w:t>
                  </w:r>
                  <w:r>
                    <w:rPr>
                      <w:rFonts w:hint="eastAsia"/>
                      <w:color w:val="FF0000"/>
                      <w:szCs w:val="21"/>
                    </w:rPr>
                    <w:t>8</w:t>
                  </w:r>
                  <w:r>
                    <w:rPr>
                      <w:color w:val="FF0000"/>
                      <w:szCs w:val="21"/>
                    </w:rPr>
                    <w:t>日24h</w:t>
                  </w:r>
                </w:p>
              </w:tc>
            </w:tr>
            <w:tr w14:paraId="5CD65ED9">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49" w:type="pct"/>
                  <w:tcBorders>
                    <w:tl2br w:val="nil"/>
                    <w:tr2bl w:val="nil"/>
                  </w:tcBorders>
                  <w:vAlign w:val="center"/>
                </w:tcPr>
                <w:p w14:paraId="7F268CC3">
                  <w:pPr>
                    <w:jc w:val="center"/>
                    <w:rPr>
                      <w:color w:val="FF0000"/>
                      <w:szCs w:val="21"/>
                    </w:rPr>
                  </w:pPr>
                  <w:r>
                    <w:rPr>
                      <w:rFonts w:hint="eastAsia"/>
                      <w:color w:val="FF0000"/>
                      <w:szCs w:val="21"/>
                    </w:rPr>
                    <w:t>6</w:t>
                  </w:r>
                </w:p>
              </w:tc>
              <w:tc>
                <w:tcPr>
                  <w:tcW w:w="622" w:type="pct"/>
                  <w:tcBorders>
                    <w:tl2br w:val="nil"/>
                    <w:tr2bl w:val="nil"/>
                  </w:tcBorders>
                  <w:vAlign w:val="center"/>
                </w:tcPr>
                <w:p w14:paraId="04F3113A">
                  <w:pPr>
                    <w:jc w:val="center"/>
                    <w:rPr>
                      <w:color w:val="FF0000"/>
                      <w:szCs w:val="21"/>
                    </w:rPr>
                  </w:pPr>
                  <w:r>
                    <w:rPr>
                      <w:rFonts w:hint="eastAsia"/>
                      <w:color w:val="FF0000"/>
                      <w:szCs w:val="21"/>
                    </w:rPr>
                    <w:t>多云</w:t>
                  </w:r>
                </w:p>
              </w:tc>
              <w:tc>
                <w:tcPr>
                  <w:tcW w:w="709" w:type="pct"/>
                  <w:tcBorders>
                    <w:tl2br w:val="nil"/>
                    <w:tr2bl w:val="nil"/>
                  </w:tcBorders>
                  <w:vAlign w:val="center"/>
                </w:tcPr>
                <w:p w14:paraId="7BE87F43">
                  <w:pPr>
                    <w:jc w:val="center"/>
                    <w:rPr>
                      <w:color w:val="FF0000"/>
                      <w:szCs w:val="21"/>
                    </w:rPr>
                  </w:pPr>
                  <w:r>
                    <w:rPr>
                      <w:rFonts w:hint="eastAsia"/>
                      <w:color w:val="FF0000"/>
                      <w:szCs w:val="21"/>
                    </w:rPr>
                    <w:t>-2.6</w:t>
                  </w:r>
                </w:p>
              </w:tc>
              <w:tc>
                <w:tcPr>
                  <w:tcW w:w="709" w:type="pct"/>
                  <w:tcBorders>
                    <w:tl2br w:val="nil"/>
                    <w:tr2bl w:val="nil"/>
                  </w:tcBorders>
                  <w:vAlign w:val="center"/>
                </w:tcPr>
                <w:p w14:paraId="21671917">
                  <w:pPr>
                    <w:jc w:val="center"/>
                    <w:rPr>
                      <w:color w:val="FF0000"/>
                      <w:szCs w:val="21"/>
                    </w:rPr>
                  </w:pPr>
                  <w:r>
                    <w:rPr>
                      <w:rFonts w:hint="eastAsia"/>
                      <w:color w:val="FF0000"/>
                      <w:szCs w:val="21"/>
                    </w:rPr>
                    <w:t>98.8</w:t>
                  </w:r>
                </w:p>
              </w:tc>
              <w:tc>
                <w:tcPr>
                  <w:tcW w:w="709" w:type="pct"/>
                  <w:tcBorders>
                    <w:tl2br w:val="nil"/>
                    <w:tr2bl w:val="nil"/>
                  </w:tcBorders>
                  <w:vAlign w:val="center"/>
                </w:tcPr>
                <w:p w14:paraId="0B3A42A1">
                  <w:pPr>
                    <w:jc w:val="center"/>
                    <w:rPr>
                      <w:color w:val="FF0000"/>
                      <w:szCs w:val="21"/>
                    </w:rPr>
                  </w:pPr>
                  <w:r>
                    <w:rPr>
                      <w:rFonts w:hint="eastAsia"/>
                      <w:color w:val="FF0000"/>
                      <w:szCs w:val="21"/>
                    </w:rPr>
                    <w:t>西北</w:t>
                  </w:r>
                </w:p>
              </w:tc>
              <w:tc>
                <w:tcPr>
                  <w:tcW w:w="709" w:type="pct"/>
                  <w:tcBorders>
                    <w:tl2br w:val="nil"/>
                    <w:tr2bl w:val="nil"/>
                  </w:tcBorders>
                  <w:vAlign w:val="center"/>
                </w:tcPr>
                <w:p w14:paraId="551AC19A">
                  <w:pPr>
                    <w:jc w:val="center"/>
                    <w:rPr>
                      <w:color w:val="FF0000"/>
                      <w:szCs w:val="21"/>
                    </w:rPr>
                  </w:pPr>
                  <w:r>
                    <w:rPr>
                      <w:rFonts w:hint="eastAsia"/>
                      <w:color w:val="FF0000"/>
                      <w:szCs w:val="21"/>
                    </w:rPr>
                    <w:t>2.3</w:t>
                  </w:r>
                </w:p>
              </w:tc>
              <w:tc>
                <w:tcPr>
                  <w:tcW w:w="1091" w:type="pct"/>
                  <w:tcBorders>
                    <w:tl2br w:val="nil"/>
                    <w:tr2bl w:val="nil"/>
                  </w:tcBorders>
                  <w:vAlign w:val="center"/>
                </w:tcPr>
                <w:p w14:paraId="7E8203BD">
                  <w:pPr>
                    <w:jc w:val="center"/>
                    <w:rPr>
                      <w:color w:val="FF0000"/>
                      <w:szCs w:val="21"/>
                    </w:rPr>
                  </w:pPr>
                  <w:r>
                    <w:rPr>
                      <w:rFonts w:hint="eastAsia"/>
                      <w:color w:val="FF0000"/>
                      <w:szCs w:val="21"/>
                    </w:rPr>
                    <w:t>3</w:t>
                  </w:r>
                  <w:r>
                    <w:rPr>
                      <w:color w:val="FF0000"/>
                      <w:szCs w:val="21"/>
                    </w:rPr>
                    <w:t>月2</w:t>
                  </w:r>
                  <w:r>
                    <w:rPr>
                      <w:rFonts w:hint="eastAsia"/>
                      <w:color w:val="FF0000"/>
                      <w:szCs w:val="21"/>
                    </w:rPr>
                    <w:t>8</w:t>
                  </w:r>
                  <w:r>
                    <w:rPr>
                      <w:color w:val="FF0000"/>
                      <w:szCs w:val="21"/>
                    </w:rPr>
                    <w:t>日0</w:t>
                  </w:r>
                  <w:r>
                    <w:rPr>
                      <w:rFonts w:hint="eastAsia"/>
                      <w:color w:val="FF0000"/>
                      <w:szCs w:val="21"/>
                    </w:rPr>
                    <w:t>9</w:t>
                  </w:r>
                  <w:r>
                    <w:rPr>
                      <w:color w:val="FF0000"/>
                      <w:szCs w:val="21"/>
                    </w:rPr>
                    <w:t>:</w:t>
                  </w:r>
                  <w:r>
                    <w:rPr>
                      <w:rFonts w:hint="eastAsia"/>
                      <w:color w:val="FF0000"/>
                      <w:szCs w:val="21"/>
                    </w:rPr>
                    <w:t>18</w:t>
                  </w:r>
                </w:p>
              </w:tc>
            </w:tr>
            <w:tr w14:paraId="464ECB28">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49" w:type="pct"/>
                  <w:tcBorders>
                    <w:tl2br w:val="nil"/>
                    <w:tr2bl w:val="nil"/>
                  </w:tcBorders>
                  <w:vAlign w:val="center"/>
                </w:tcPr>
                <w:p w14:paraId="270187F8">
                  <w:pPr>
                    <w:jc w:val="center"/>
                    <w:rPr>
                      <w:color w:val="FF0000"/>
                      <w:szCs w:val="21"/>
                    </w:rPr>
                  </w:pPr>
                  <w:r>
                    <w:rPr>
                      <w:rFonts w:hint="eastAsia"/>
                      <w:color w:val="FF0000"/>
                      <w:szCs w:val="21"/>
                    </w:rPr>
                    <w:t>7</w:t>
                  </w:r>
                </w:p>
              </w:tc>
              <w:tc>
                <w:tcPr>
                  <w:tcW w:w="622" w:type="pct"/>
                  <w:tcBorders>
                    <w:tl2br w:val="nil"/>
                    <w:tr2bl w:val="nil"/>
                  </w:tcBorders>
                  <w:vAlign w:val="center"/>
                </w:tcPr>
                <w:p w14:paraId="00CA0678">
                  <w:pPr>
                    <w:jc w:val="center"/>
                    <w:rPr>
                      <w:color w:val="FF0000"/>
                      <w:szCs w:val="21"/>
                    </w:rPr>
                  </w:pPr>
                  <w:r>
                    <w:rPr>
                      <w:rFonts w:hint="eastAsia"/>
                      <w:color w:val="FF0000"/>
                      <w:szCs w:val="21"/>
                    </w:rPr>
                    <w:t>多云</w:t>
                  </w:r>
                </w:p>
              </w:tc>
              <w:tc>
                <w:tcPr>
                  <w:tcW w:w="709" w:type="pct"/>
                  <w:tcBorders>
                    <w:tl2br w:val="nil"/>
                    <w:tr2bl w:val="nil"/>
                  </w:tcBorders>
                  <w:vAlign w:val="center"/>
                </w:tcPr>
                <w:p w14:paraId="6166E71C">
                  <w:pPr>
                    <w:jc w:val="center"/>
                    <w:rPr>
                      <w:color w:val="FF0000"/>
                      <w:szCs w:val="21"/>
                    </w:rPr>
                  </w:pPr>
                  <w:r>
                    <w:rPr>
                      <w:rFonts w:hint="eastAsia"/>
                      <w:color w:val="FF0000"/>
                      <w:szCs w:val="21"/>
                    </w:rPr>
                    <w:t>0.7</w:t>
                  </w:r>
                </w:p>
              </w:tc>
              <w:tc>
                <w:tcPr>
                  <w:tcW w:w="709" w:type="pct"/>
                  <w:tcBorders>
                    <w:tl2br w:val="nil"/>
                    <w:tr2bl w:val="nil"/>
                  </w:tcBorders>
                  <w:vAlign w:val="center"/>
                </w:tcPr>
                <w:p w14:paraId="43BCFBE2">
                  <w:pPr>
                    <w:jc w:val="center"/>
                    <w:rPr>
                      <w:color w:val="FF0000"/>
                      <w:szCs w:val="21"/>
                    </w:rPr>
                  </w:pPr>
                  <w:r>
                    <w:rPr>
                      <w:rFonts w:hint="eastAsia"/>
                      <w:color w:val="FF0000"/>
                      <w:szCs w:val="21"/>
                    </w:rPr>
                    <w:t>98.8</w:t>
                  </w:r>
                </w:p>
              </w:tc>
              <w:tc>
                <w:tcPr>
                  <w:tcW w:w="709" w:type="pct"/>
                  <w:tcBorders>
                    <w:tl2br w:val="nil"/>
                    <w:tr2bl w:val="nil"/>
                  </w:tcBorders>
                  <w:vAlign w:val="center"/>
                </w:tcPr>
                <w:p w14:paraId="4417E2D2">
                  <w:pPr>
                    <w:jc w:val="center"/>
                    <w:rPr>
                      <w:color w:val="FF0000"/>
                      <w:szCs w:val="21"/>
                    </w:rPr>
                  </w:pPr>
                  <w:r>
                    <w:rPr>
                      <w:rFonts w:hint="eastAsia"/>
                      <w:color w:val="FF0000"/>
                      <w:szCs w:val="21"/>
                    </w:rPr>
                    <w:t>西北</w:t>
                  </w:r>
                </w:p>
              </w:tc>
              <w:tc>
                <w:tcPr>
                  <w:tcW w:w="709" w:type="pct"/>
                  <w:tcBorders>
                    <w:tl2br w:val="nil"/>
                    <w:tr2bl w:val="nil"/>
                  </w:tcBorders>
                  <w:vAlign w:val="center"/>
                </w:tcPr>
                <w:p w14:paraId="63656455">
                  <w:pPr>
                    <w:jc w:val="center"/>
                    <w:rPr>
                      <w:color w:val="FF0000"/>
                      <w:szCs w:val="21"/>
                    </w:rPr>
                  </w:pPr>
                  <w:r>
                    <w:rPr>
                      <w:rFonts w:hint="eastAsia"/>
                      <w:color w:val="FF0000"/>
                      <w:szCs w:val="21"/>
                    </w:rPr>
                    <w:t>2.2</w:t>
                  </w:r>
                </w:p>
              </w:tc>
              <w:tc>
                <w:tcPr>
                  <w:tcW w:w="1091" w:type="pct"/>
                  <w:tcBorders>
                    <w:tl2br w:val="nil"/>
                    <w:tr2bl w:val="nil"/>
                  </w:tcBorders>
                  <w:vAlign w:val="center"/>
                </w:tcPr>
                <w:p w14:paraId="43C70D1C">
                  <w:pPr>
                    <w:jc w:val="center"/>
                    <w:rPr>
                      <w:color w:val="FF0000"/>
                      <w:szCs w:val="21"/>
                    </w:rPr>
                  </w:pPr>
                  <w:r>
                    <w:rPr>
                      <w:rFonts w:hint="eastAsia"/>
                      <w:color w:val="FF0000"/>
                      <w:szCs w:val="21"/>
                    </w:rPr>
                    <w:t>3</w:t>
                  </w:r>
                  <w:r>
                    <w:rPr>
                      <w:color w:val="FF0000"/>
                      <w:szCs w:val="21"/>
                    </w:rPr>
                    <w:t>月2</w:t>
                  </w:r>
                  <w:r>
                    <w:rPr>
                      <w:rFonts w:hint="eastAsia"/>
                      <w:color w:val="FF0000"/>
                      <w:szCs w:val="21"/>
                    </w:rPr>
                    <w:t>8</w:t>
                  </w:r>
                  <w:r>
                    <w:rPr>
                      <w:color w:val="FF0000"/>
                      <w:szCs w:val="21"/>
                    </w:rPr>
                    <w:t>日</w:t>
                  </w:r>
                  <w:r>
                    <w:rPr>
                      <w:rFonts w:hint="eastAsia"/>
                      <w:color w:val="FF0000"/>
                      <w:szCs w:val="21"/>
                    </w:rPr>
                    <w:t>11</w:t>
                  </w:r>
                  <w:r>
                    <w:rPr>
                      <w:color w:val="FF0000"/>
                      <w:szCs w:val="21"/>
                    </w:rPr>
                    <w:t>:</w:t>
                  </w:r>
                  <w:r>
                    <w:rPr>
                      <w:rFonts w:hint="eastAsia"/>
                      <w:color w:val="FF0000"/>
                      <w:szCs w:val="21"/>
                    </w:rPr>
                    <w:t>1</w:t>
                  </w:r>
                  <w:r>
                    <w:rPr>
                      <w:color w:val="FF0000"/>
                      <w:szCs w:val="21"/>
                    </w:rPr>
                    <w:t>0</w:t>
                  </w:r>
                </w:p>
              </w:tc>
            </w:tr>
            <w:tr w14:paraId="449BCEBC">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49" w:type="pct"/>
                  <w:tcBorders>
                    <w:tl2br w:val="nil"/>
                    <w:tr2bl w:val="nil"/>
                  </w:tcBorders>
                  <w:vAlign w:val="center"/>
                </w:tcPr>
                <w:p w14:paraId="57D48B28">
                  <w:pPr>
                    <w:jc w:val="center"/>
                    <w:rPr>
                      <w:color w:val="FF0000"/>
                      <w:szCs w:val="21"/>
                    </w:rPr>
                  </w:pPr>
                  <w:r>
                    <w:rPr>
                      <w:rFonts w:hint="eastAsia"/>
                      <w:color w:val="FF0000"/>
                      <w:szCs w:val="21"/>
                    </w:rPr>
                    <w:t>8</w:t>
                  </w:r>
                </w:p>
              </w:tc>
              <w:tc>
                <w:tcPr>
                  <w:tcW w:w="622" w:type="pct"/>
                  <w:tcBorders>
                    <w:tl2br w:val="nil"/>
                    <w:tr2bl w:val="nil"/>
                  </w:tcBorders>
                  <w:vAlign w:val="center"/>
                </w:tcPr>
                <w:p w14:paraId="0FEB5E44">
                  <w:pPr>
                    <w:jc w:val="center"/>
                    <w:rPr>
                      <w:color w:val="FF0000"/>
                      <w:szCs w:val="21"/>
                    </w:rPr>
                  </w:pPr>
                  <w:r>
                    <w:rPr>
                      <w:rFonts w:hint="eastAsia"/>
                      <w:color w:val="FF0000"/>
                      <w:szCs w:val="21"/>
                    </w:rPr>
                    <w:t>多云</w:t>
                  </w:r>
                </w:p>
              </w:tc>
              <w:tc>
                <w:tcPr>
                  <w:tcW w:w="709" w:type="pct"/>
                  <w:tcBorders>
                    <w:tl2br w:val="nil"/>
                    <w:tr2bl w:val="nil"/>
                  </w:tcBorders>
                  <w:vAlign w:val="center"/>
                </w:tcPr>
                <w:p w14:paraId="538C1D49">
                  <w:pPr>
                    <w:jc w:val="center"/>
                    <w:rPr>
                      <w:color w:val="FF0000"/>
                      <w:szCs w:val="21"/>
                    </w:rPr>
                  </w:pPr>
                  <w:r>
                    <w:rPr>
                      <w:rFonts w:hint="eastAsia"/>
                      <w:color w:val="FF0000"/>
                      <w:szCs w:val="21"/>
                    </w:rPr>
                    <w:t>3.2</w:t>
                  </w:r>
                </w:p>
              </w:tc>
              <w:tc>
                <w:tcPr>
                  <w:tcW w:w="709" w:type="pct"/>
                  <w:tcBorders>
                    <w:tl2br w:val="nil"/>
                    <w:tr2bl w:val="nil"/>
                  </w:tcBorders>
                  <w:vAlign w:val="center"/>
                </w:tcPr>
                <w:p w14:paraId="414C5768">
                  <w:pPr>
                    <w:jc w:val="center"/>
                    <w:rPr>
                      <w:color w:val="FF0000"/>
                      <w:szCs w:val="21"/>
                    </w:rPr>
                  </w:pPr>
                  <w:r>
                    <w:rPr>
                      <w:rFonts w:hint="eastAsia"/>
                      <w:color w:val="FF0000"/>
                      <w:szCs w:val="21"/>
                    </w:rPr>
                    <w:t>98.7</w:t>
                  </w:r>
                </w:p>
              </w:tc>
              <w:tc>
                <w:tcPr>
                  <w:tcW w:w="709" w:type="pct"/>
                  <w:tcBorders>
                    <w:tl2br w:val="nil"/>
                    <w:tr2bl w:val="nil"/>
                  </w:tcBorders>
                  <w:vAlign w:val="center"/>
                </w:tcPr>
                <w:p w14:paraId="28C1FB1D">
                  <w:pPr>
                    <w:jc w:val="center"/>
                    <w:rPr>
                      <w:color w:val="FF0000"/>
                      <w:szCs w:val="21"/>
                    </w:rPr>
                  </w:pPr>
                  <w:r>
                    <w:rPr>
                      <w:rFonts w:hint="eastAsia"/>
                      <w:color w:val="FF0000"/>
                      <w:szCs w:val="21"/>
                    </w:rPr>
                    <w:t>西北</w:t>
                  </w:r>
                </w:p>
              </w:tc>
              <w:tc>
                <w:tcPr>
                  <w:tcW w:w="709" w:type="pct"/>
                  <w:tcBorders>
                    <w:tl2br w:val="nil"/>
                    <w:tr2bl w:val="nil"/>
                  </w:tcBorders>
                  <w:vAlign w:val="center"/>
                </w:tcPr>
                <w:p w14:paraId="34CB4234">
                  <w:pPr>
                    <w:jc w:val="center"/>
                    <w:rPr>
                      <w:color w:val="FF0000"/>
                      <w:szCs w:val="21"/>
                    </w:rPr>
                  </w:pPr>
                  <w:r>
                    <w:rPr>
                      <w:rFonts w:hint="eastAsia"/>
                      <w:color w:val="FF0000"/>
                      <w:szCs w:val="21"/>
                    </w:rPr>
                    <w:t>2.0</w:t>
                  </w:r>
                </w:p>
              </w:tc>
              <w:tc>
                <w:tcPr>
                  <w:tcW w:w="1091" w:type="pct"/>
                  <w:tcBorders>
                    <w:tl2br w:val="nil"/>
                    <w:tr2bl w:val="nil"/>
                  </w:tcBorders>
                  <w:vAlign w:val="center"/>
                </w:tcPr>
                <w:p w14:paraId="74B7A758">
                  <w:pPr>
                    <w:jc w:val="center"/>
                    <w:rPr>
                      <w:color w:val="FF0000"/>
                      <w:szCs w:val="21"/>
                    </w:rPr>
                  </w:pPr>
                  <w:r>
                    <w:rPr>
                      <w:rFonts w:hint="eastAsia"/>
                      <w:color w:val="FF0000"/>
                      <w:szCs w:val="21"/>
                    </w:rPr>
                    <w:t>3</w:t>
                  </w:r>
                  <w:r>
                    <w:rPr>
                      <w:color w:val="FF0000"/>
                      <w:szCs w:val="21"/>
                    </w:rPr>
                    <w:t>月2</w:t>
                  </w:r>
                  <w:r>
                    <w:rPr>
                      <w:rFonts w:hint="eastAsia"/>
                      <w:color w:val="FF0000"/>
                      <w:szCs w:val="21"/>
                    </w:rPr>
                    <w:t>8</w:t>
                  </w:r>
                  <w:r>
                    <w:rPr>
                      <w:color w:val="FF0000"/>
                      <w:szCs w:val="21"/>
                    </w:rPr>
                    <w:t>日1</w:t>
                  </w:r>
                  <w:r>
                    <w:rPr>
                      <w:rFonts w:hint="eastAsia"/>
                      <w:color w:val="FF0000"/>
                      <w:szCs w:val="21"/>
                    </w:rPr>
                    <w:t>3</w:t>
                  </w:r>
                  <w:r>
                    <w:rPr>
                      <w:color w:val="FF0000"/>
                      <w:szCs w:val="21"/>
                    </w:rPr>
                    <w:t>:0</w:t>
                  </w:r>
                  <w:r>
                    <w:rPr>
                      <w:rFonts w:hint="eastAsia"/>
                      <w:color w:val="FF0000"/>
                      <w:szCs w:val="21"/>
                    </w:rPr>
                    <w:t>9</w:t>
                  </w:r>
                </w:p>
              </w:tc>
            </w:tr>
            <w:tr w14:paraId="20B405FD">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49" w:type="pct"/>
                  <w:tcBorders>
                    <w:tl2br w:val="nil"/>
                    <w:tr2bl w:val="nil"/>
                  </w:tcBorders>
                  <w:vAlign w:val="center"/>
                </w:tcPr>
                <w:p w14:paraId="2856CE33">
                  <w:pPr>
                    <w:jc w:val="center"/>
                    <w:rPr>
                      <w:color w:val="FF0000"/>
                      <w:szCs w:val="21"/>
                    </w:rPr>
                  </w:pPr>
                  <w:r>
                    <w:rPr>
                      <w:rFonts w:hint="eastAsia"/>
                      <w:color w:val="FF0000"/>
                      <w:szCs w:val="21"/>
                    </w:rPr>
                    <w:t>9</w:t>
                  </w:r>
                </w:p>
              </w:tc>
              <w:tc>
                <w:tcPr>
                  <w:tcW w:w="622" w:type="pct"/>
                  <w:tcBorders>
                    <w:tl2br w:val="nil"/>
                    <w:tr2bl w:val="nil"/>
                  </w:tcBorders>
                  <w:vAlign w:val="center"/>
                </w:tcPr>
                <w:p w14:paraId="25315471">
                  <w:pPr>
                    <w:jc w:val="center"/>
                    <w:rPr>
                      <w:color w:val="FF0000"/>
                      <w:szCs w:val="21"/>
                    </w:rPr>
                  </w:pPr>
                  <w:r>
                    <w:rPr>
                      <w:rFonts w:hint="eastAsia"/>
                      <w:color w:val="FF0000"/>
                      <w:szCs w:val="21"/>
                    </w:rPr>
                    <w:t>多云</w:t>
                  </w:r>
                </w:p>
              </w:tc>
              <w:tc>
                <w:tcPr>
                  <w:tcW w:w="709" w:type="pct"/>
                  <w:tcBorders>
                    <w:tl2br w:val="nil"/>
                    <w:tr2bl w:val="nil"/>
                  </w:tcBorders>
                  <w:vAlign w:val="center"/>
                </w:tcPr>
                <w:p w14:paraId="70814BB0">
                  <w:pPr>
                    <w:jc w:val="center"/>
                    <w:rPr>
                      <w:color w:val="FF0000"/>
                      <w:szCs w:val="21"/>
                    </w:rPr>
                  </w:pPr>
                  <w:r>
                    <w:rPr>
                      <w:rFonts w:hint="eastAsia"/>
                      <w:color w:val="FF0000"/>
                      <w:szCs w:val="21"/>
                    </w:rPr>
                    <w:t>-3.1</w:t>
                  </w:r>
                </w:p>
              </w:tc>
              <w:tc>
                <w:tcPr>
                  <w:tcW w:w="709" w:type="pct"/>
                  <w:tcBorders>
                    <w:tl2br w:val="nil"/>
                    <w:tr2bl w:val="nil"/>
                  </w:tcBorders>
                  <w:vAlign w:val="center"/>
                </w:tcPr>
                <w:p w14:paraId="2B419A92">
                  <w:pPr>
                    <w:jc w:val="center"/>
                    <w:rPr>
                      <w:color w:val="FF0000"/>
                      <w:szCs w:val="21"/>
                    </w:rPr>
                  </w:pPr>
                  <w:r>
                    <w:rPr>
                      <w:rFonts w:hint="eastAsia"/>
                      <w:color w:val="FF0000"/>
                      <w:szCs w:val="21"/>
                    </w:rPr>
                    <w:t>98.8</w:t>
                  </w:r>
                </w:p>
              </w:tc>
              <w:tc>
                <w:tcPr>
                  <w:tcW w:w="709" w:type="pct"/>
                  <w:tcBorders>
                    <w:tl2br w:val="nil"/>
                    <w:tr2bl w:val="nil"/>
                  </w:tcBorders>
                  <w:vAlign w:val="center"/>
                </w:tcPr>
                <w:p w14:paraId="0ED3A1CB">
                  <w:pPr>
                    <w:jc w:val="center"/>
                    <w:rPr>
                      <w:color w:val="FF0000"/>
                      <w:szCs w:val="21"/>
                    </w:rPr>
                  </w:pPr>
                  <w:r>
                    <w:rPr>
                      <w:rFonts w:hint="eastAsia"/>
                      <w:color w:val="FF0000"/>
                      <w:szCs w:val="21"/>
                    </w:rPr>
                    <w:t>西北</w:t>
                  </w:r>
                </w:p>
              </w:tc>
              <w:tc>
                <w:tcPr>
                  <w:tcW w:w="709" w:type="pct"/>
                  <w:tcBorders>
                    <w:tl2br w:val="nil"/>
                    <w:tr2bl w:val="nil"/>
                  </w:tcBorders>
                  <w:vAlign w:val="center"/>
                </w:tcPr>
                <w:p w14:paraId="67F2988C">
                  <w:pPr>
                    <w:jc w:val="center"/>
                    <w:rPr>
                      <w:color w:val="FF0000"/>
                      <w:szCs w:val="21"/>
                    </w:rPr>
                  </w:pPr>
                  <w:r>
                    <w:rPr>
                      <w:rFonts w:hint="eastAsia"/>
                      <w:color w:val="FF0000"/>
                      <w:szCs w:val="21"/>
                    </w:rPr>
                    <w:t>2.5</w:t>
                  </w:r>
                </w:p>
              </w:tc>
              <w:tc>
                <w:tcPr>
                  <w:tcW w:w="1091" w:type="pct"/>
                  <w:tcBorders>
                    <w:tl2br w:val="nil"/>
                    <w:tr2bl w:val="nil"/>
                  </w:tcBorders>
                  <w:vAlign w:val="center"/>
                </w:tcPr>
                <w:p w14:paraId="60D32EB7">
                  <w:pPr>
                    <w:jc w:val="center"/>
                    <w:rPr>
                      <w:color w:val="FF0000"/>
                      <w:szCs w:val="21"/>
                    </w:rPr>
                  </w:pPr>
                  <w:r>
                    <w:rPr>
                      <w:rFonts w:hint="eastAsia"/>
                      <w:color w:val="FF0000"/>
                      <w:szCs w:val="21"/>
                    </w:rPr>
                    <w:t>3</w:t>
                  </w:r>
                  <w:r>
                    <w:rPr>
                      <w:color w:val="FF0000"/>
                      <w:szCs w:val="21"/>
                    </w:rPr>
                    <w:t>月</w:t>
                  </w:r>
                  <w:r>
                    <w:rPr>
                      <w:rFonts w:hint="eastAsia"/>
                      <w:color w:val="FF0000"/>
                      <w:szCs w:val="21"/>
                    </w:rPr>
                    <w:t>29</w:t>
                  </w:r>
                  <w:r>
                    <w:rPr>
                      <w:color w:val="FF0000"/>
                      <w:szCs w:val="21"/>
                    </w:rPr>
                    <w:t>日24h</w:t>
                  </w:r>
                </w:p>
              </w:tc>
            </w:tr>
            <w:tr w14:paraId="37B9D9CE">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49" w:type="pct"/>
                  <w:tcBorders>
                    <w:tl2br w:val="nil"/>
                    <w:tr2bl w:val="nil"/>
                  </w:tcBorders>
                  <w:vAlign w:val="center"/>
                </w:tcPr>
                <w:p w14:paraId="355676C7">
                  <w:pPr>
                    <w:jc w:val="center"/>
                    <w:rPr>
                      <w:color w:val="FF0000"/>
                      <w:szCs w:val="21"/>
                    </w:rPr>
                  </w:pPr>
                  <w:r>
                    <w:rPr>
                      <w:rFonts w:hint="eastAsia"/>
                      <w:color w:val="FF0000"/>
                      <w:szCs w:val="21"/>
                    </w:rPr>
                    <w:t>10</w:t>
                  </w:r>
                </w:p>
              </w:tc>
              <w:tc>
                <w:tcPr>
                  <w:tcW w:w="622" w:type="pct"/>
                  <w:tcBorders>
                    <w:tl2br w:val="nil"/>
                    <w:tr2bl w:val="nil"/>
                  </w:tcBorders>
                  <w:vAlign w:val="center"/>
                </w:tcPr>
                <w:p w14:paraId="51178F27">
                  <w:pPr>
                    <w:jc w:val="center"/>
                    <w:rPr>
                      <w:color w:val="FF0000"/>
                      <w:szCs w:val="21"/>
                    </w:rPr>
                  </w:pPr>
                  <w:r>
                    <w:rPr>
                      <w:rFonts w:hint="eastAsia"/>
                      <w:color w:val="FF0000"/>
                      <w:szCs w:val="21"/>
                    </w:rPr>
                    <w:t>多云</w:t>
                  </w:r>
                </w:p>
              </w:tc>
              <w:tc>
                <w:tcPr>
                  <w:tcW w:w="709" w:type="pct"/>
                  <w:tcBorders>
                    <w:tl2br w:val="nil"/>
                    <w:tr2bl w:val="nil"/>
                  </w:tcBorders>
                  <w:vAlign w:val="center"/>
                </w:tcPr>
                <w:p w14:paraId="0FDBA35D">
                  <w:pPr>
                    <w:jc w:val="center"/>
                    <w:rPr>
                      <w:color w:val="FF0000"/>
                      <w:szCs w:val="21"/>
                    </w:rPr>
                  </w:pPr>
                  <w:r>
                    <w:rPr>
                      <w:rFonts w:hint="eastAsia"/>
                      <w:color w:val="FF0000"/>
                      <w:szCs w:val="21"/>
                    </w:rPr>
                    <w:t>-3.1</w:t>
                  </w:r>
                </w:p>
              </w:tc>
              <w:tc>
                <w:tcPr>
                  <w:tcW w:w="709" w:type="pct"/>
                  <w:tcBorders>
                    <w:tl2br w:val="nil"/>
                    <w:tr2bl w:val="nil"/>
                  </w:tcBorders>
                  <w:vAlign w:val="center"/>
                </w:tcPr>
                <w:p w14:paraId="7816D23E">
                  <w:pPr>
                    <w:jc w:val="center"/>
                    <w:rPr>
                      <w:color w:val="FF0000"/>
                      <w:szCs w:val="21"/>
                    </w:rPr>
                  </w:pPr>
                  <w:r>
                    <w:rPr>
                      <w:rFonts w:hint="eastAsia"/>
                      <w:color w:val="FF0000"/>
                      <w:szCs w:val="21"/>
                    </w:rPr>
                    <w:t>98.8</w:t>
                  </w:r>
                </w:p>
              </w:tc>
              <w:tc>
                <w:tcPr>
                  <w:tcW w:w="709" w:type="pct"/>
                  <w:tcBorders>
                    <w:tl2br w:val="nil"/>
                    <w:tr2bl w:val="nil"/>
                  </w:tcBorders>
                  <w:vAlign w:val="center"/>
                </w:tcPr>
                <w:p w14:paraId="1E8C7BDA">
                  <w:pPr>
                    <w:jc w:val="center"/>
                    <w:rPr>
                      <w:color w:val="FF0000"/>
                      <w:szCs w:val="21"/>
                    </w:rPr>
                  </w:pPr>
                  <w:r>
                    <w:rPr>
                      <w:rFonts w:hint="eastAsia"/>
                      <w:color w:val="FF0000"/>
                      <w:szCs w:val="21"/>
                    </w:rPr>
                    <w:t>西北</w:t>
                  </w:r>
                </w:p>
              </w:tc>
              <w:tc>
                <w:tcPr>
                  <w:tcW w:w="709" w:type="pct"/>
                  <w:tcBorders>
                    <w:tl2br w:val="nil"/>
                    <w:tr2bl w:val="nil"/>
                  </w:tcBorders>
                  <w:vAlign w:val="center"/>
                </w:tcPr>
                <w:p w14:paraId="0E782042">
                  <w:pPr>
                    <w:jc w:val="center"/>
                    <w:rPr>
                      <w:color w:val="FF0000"/>
                      <w:szCs w:val="21"/>
                    </w:rPr>
                  </w:pPr>
                  <w:r>
                    <w:rPr>
                      <w:rFonts w:hint="eastAsia"/>
                      <w:color w:val="FF0000"/>
                      <w:szCs w:val="21"/>
                    </w:rPr>
                    <w:t>2.3</w:t>
                  </w:r>
                </w:p>
              </w:tc>
              <w:tc>
                <w:tcPr>
                  <w:tcW w:w="1091" w:type="pct"/>
                  <w:tcBorders>
                    <w:tl2br w:val="nil"/>
                    <w:tr2bl w:val="nil"/>
                  </w:tcBorders>
                  <w:vAlign w:val="center"/>
                </w:tcPr>
                <w:p w14:paraId="317A3116">
                  <w:pPr>
                    <w:jc w:val="center"/>
                    <w:rPr>
                      <w:color w:val="FF0000"/>
                      <w:szCs w:val="21"/>
                    </w:rPr>
                  </w:pPr>
                  <w:r>
                    <w:rPr>
                      <w:rFonts w:hint="eastAsia"/>
                      <w:color w:val="FF0000"/>
                      <w:szCs w:val="21"/>
                    </w:rPr>
                    <w:t>3</w:t>
                  </w:r>
                  <w:r>
                    <w:rPr>
                      <w:color w:val="FF0000"/>
                      <w:szCs w:val="21"/>
                    </w:rPr>
                    <w:t>月</w:t>
                  </w:r>
                  <w:r>
                    <w:rPr>
                      <w:rFonts w:hint="eastAsia"/>
                      <w:color w:val="FF0000"/>
                      <w:szCs w:val="21"/>
                    </w:rPr>
                    <w:t>29</w:t>
                  </w:r>
                  <w:r>
                    <w:rPr>
                      <w:color w:val="FF0000"/>
                      <w:szCs w:val="21"/>
                    </w:rPr>
                    <w:t>日0</w:t>
                  </w:r>
                  <w:r>
                    <w:rPr>
                      <w:rFonts w:hint="eastAsia"/>
                      <w:color w:val="FF0000"/>
                      <w:szCs w:val="21"/>
                    </w:rPr>
                    <w:t>9</w:t>
                  </w:r>
                  <w:r>
                    <w:rPr>
                      <w:color w:val="FF0000"/>
                      <w:szCs w:val="21"/>
                    </w:rPr>
                    <w:t>:</w:t>
                  </w:r>
                  <w:r>
                    <w:rPr>
                      <w:rFonts w:hint="eastAsia"/>
                      <w:color w:val="FF0000"/>
                      <w:szCs w:val="21"/>
                    </w:rPr>
                    <w:t>30</w:t>
                  </w:r>
                </w:p>
              </w:tc>
            </w:tr>
            <w:tr w14:paraId="151FA6D1">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49" w:type="pct"/>
                  <w:tcBorders>
                    <w:tl2br w:val="nil"/>
                    <w:tr2bl w:val="nil"/>
                  </w:tcBorders>
                  <w:vAlign w:val="center"/>
                </w:tcPr>
                <w:p w14:paraId="6FE5923E">
                  <w:pPr>
                    <w:jc w:val="center"/>
                    <w:rPr>
                      <w:color w:val="FF0000"/>
                      <w:szCs w:val="21"/>
                    </w:rPr>
                  </w:pPr>
                  <w:r>
                    <w:rPr>
                      <w:rFonts w:hint="eastAsia"/>
                      <w:color w:val="FF0000"/>
                      <w:szCs w:val="21"/>
                    </w:rPr>
                    <w:t>11</w:t>
                  </w:r>
                </w:p>
              </w:tc>
              <w:tc>
                <w:tcPr>
                  <w:tcW w:w="622" w:type="pct"/>
                  <w:tcBorders>
                    <w:tl2br w:val="nil"/>
                    <w:tr2bl w:val="nil"/>
                  </w:tcBorders>
                  <w:vAlign w:val="center"/>
                </w:tcPr>
                <w:p w14:paraId="55284FA1">
                  <w:pPr>
                    <w:jc w:val="center"/>
                    <w:rPr>
                      <w:color w:val="FF0000"/>
                      <w:szCs w:val="21"/>
                    </w:rPr>
                  </w:pPr>
                  <w:r>
                    <w:rPr>
                      <w:rFonts w:hint="eastAsia"/>
                      <w:color w:val="FF0000"/>
                      <w:szCs w:val="21"/>
                    </w:rPr>
                    <w:t>多云</w:t>
                  </w:r>
                </w:p>
              </w:tc>
              <w:tc>
                <w:tcPr>
                  <w:tcW w:w="709" w:type="pct"/>
                  <w:tcBorders>
                    <w:tl2br w:val="nil"/>
                    <w:tr2bl w:val="nil"/>
                  </w:tcBorders>
                  <w:vAlign w:val="center"/>
                </w:tcPr>
                <w:p w14:paraId="0683BE1D">
                  <w:pPr>
                    <w:jc w:val="center"/>
                    <w:rPr>
                      <w:color w:val="FF0000"/>
                      <w:szCs w:val="21"/>
                    </w:rPr>
                  </w:pPr>
                  <w:r>
                    <w:rPr>
                      <w:rFonts w:hint="eastAsia"/>
                      <w:color w:val="FF0000"/>
                      <w:szCs w:val="21"/>
                    </w:rPr>
                    <w:t>-0.2</w:t>
                  </w:r>
                </w:p>
              </w:tc>
              <w:tc>
                <w:tcPr>
                  <w:tcW w:w="709" w:type="pct"/>
                  <w:tcBorders>
                    <w:tl2br w:val="nil"/>
                    <w:tr2bl w:val="nil"/>
                  </w:tcBorders>
                  <w:vAlign w:val="center"/>
                </w:tcPr>
                <w:p w14:paraId="07212439">
                  <w:pPr>
                    <w:jc w:val="center"/>
                    <w:rPr>
                      <w:color w:val="FF0000"/>
                      <w:szCs w:val="21"/>
                    </w:rPr>
                  </w:pPr>
                  <w:r>
                    <w:rPr>
                      <w:rFonts w:hint="eastAsia"/>
                      <w:color w:val="FF0000"/>
                      <w:szCs w:val="21"/>
                    </w:rPr>
                    <w:t>98.8</w:t>
                  </w:r>
                </w:p>
              </w:tc>
              <w:tc>
                <w:tcPr>
                  <w:tcW w:w="709" w:type="pct"/>
                  <w:tcBorders>
                    <w:tl2br w:val="nil"/>
                    <w:tr2bl w:val="nil"/>
                  </w:tcBorders>
                  <w:vAlign w:val="center"/>
                </w:tcPr>
                <w:p w14:paraId="1D774F57">
                  <w:pPr>
                    <w:jc w:val="center"/>
                    <w:rPr>
                      <w:color w:val="FF0000"/>
                      <w:szCs w:val="21"/>
                    </w:rPr>
                  </w:pPr>
                  <w:r>
                    <w:rPr>
                      <w:rFonts w:hint="eastAsia"/>
                      <w:color w:val="FF0000"/>
                      <w:szCs w:val="21"/>
                    </w:rPr>
                    <w:t>西北</w:t>
                  </w:r>
                </w:p>
              </w:tc>
              <w:tc>
                <w:tcPr>
                  <w:tcW w:w="709" w:type="pct"/>
                  <w:tcBorders>
                    <w:tl2br w:val="nil"/>
                    <w:tr2bl w:val="nil"/>
                  </w:tcBorders>
                  <w:vAlign w:val="center"/>
                </w:tcPr>
                <w:p w14:paraId="052B6BAA">
                  <w:pPr>
                    <w:jc w:val="center"/>
                    <w:rPr>
                      <w:color w:val="FF0000"/>
                      <w:szCs w:val="21"/>
                    </w:rPr>
                  </w:pPr>
                  <w:r>
                    <w:rPr>
                      <w:rFonts w:hint="eastAsia"/>
                      <w:color w:val="FF0000"/>
                      <w:szCs w:val="21"/>
                    </w:rPr>
                    <w:t>2.4</w:t>
                  </w:r>
                </w:p>
              </w:tc>
              <w:tc>
                <w:tcPr>
                  <w:tcW w:w="1091" w:type="pct"/>
                  <w:tcBorders>
                    <w:tl2br w:val="nil"/>
                    <w:tr2bl w:val="nil"/>
                  </w:tcBorders>
                  <w:vAlign w:val="center"/>
                </w:tcPr>
                <w:p w14:paraId="6DCE0EEE">
                  <w:pPr>
                    <w:jc w:val="center"/>
                    <w:rPr>
                      <w:color w:val="FF0000"/>
                      <w:szCs w:val="21"/>
                    </w:rPr>
                  </w:pPr>
                  <w:r>
                    <w:rPr>
                      <w:rFonts w:hint="eastAsia"/>
                      <w:color w:val="FF0000"/>
                      <w:szCs w:val="21"/>
                    </w:rPr>
                    <w:t>3</w:t>
                  </w:r>
                  <w:r>
                    <w:rPr>
                      <w:color w:val="FF0000"/>
                      <w:szCs w:val="21"/>
                    </w:rPr>
                    <w:t>月</w:t>
                  </w:r>
                  <w:r>
                    <w:rPr>
                      <w:rFonts w:hint="eastAsia"/>
                      <w:color w:val="FF0000"/>
                      <w:szCs w:val="21"/>
                    </w:rPr>
                    <w:t>29</w:t>
                  </w:r>
                  <w:r>
                    <w:rPr>
                      <w:color w:val="FF0000"/>
                      <w:szCs w:val="21"/>
                    </w:rPr>
                    <w:t>日</w:t>
                  </w:r>
                  <w:r>
                    <w:rPr>
                      <w:rFonts w:hint="eastAsia"/>
                      <w:color w:val="FF0000"/>
                      <w:szCs w:val="21"/>
                    </w:rPr>
                    <w:t>11</w:t>
                  </w:r>
                  <w:r>
                    <w:rPr>
                      <w:color w:val="FF0000"/>
                      <w:szCs w:val="21"/>
                    </w:rPr>
                    <w:t>:</w:t>
                  </w:r>
                  <w:r>
                    <w:rPr>
                      <w:rFonts w:hint="eastAsia"/>
                      <w:color w:val="FF0000"/>
                      <w:szCs w:val="21"/>
                    </w:rPr>
                    <w:t>25</w:t>
                  </w:r>
                </w:p>
              </w:tc>
            </w:tr>
            <w:tr w14:paraId="64668EBF">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49" w:type="pct"/>
                  <w:tcBorders>
                    <w:tl2br w:val="nil"/>
                    <w:tr2bl w:val="nil"/>
                  </w:tcBorders>
                  <w:vAlign w:val="center"/>
                </w:tcPr>
                <w:p w14:paraId="7A4F5832">
                  <w:pPr>
                    <w:jc w:val="center"/>
                    <w:rPr>
                      <w:color w:val="FF0000"/>
                      <w:szCs w:val="21"/>
                    </w:rPr>
                  </w:pPr>
                  <w:r>
                    <w:rPr>
                      <w:rFonts w:hint="eastAsia"/>
                      <w:color w:val="FF0000"/>
                      <w:szCs w:val="21"/>
                    </w:rPr>
                    <w:t>12</w:t>
                  </w:r>
                </w:p>
              </w:tc>
              <w:tc>
                <w:tcPr>
                  <w:tcW w:w="622" w:type="pct"/>
                  <w:tcBorders>
                    <w:tl2br w:val="nil"/>
                    <w:tr2bl w:val="nil"/>
                  </w:tcBorders>
                  <w:vAlign w:val="center"/>
                </w:tcPr>
                <w:p w14:paraId="50F75FD0">
                  <w:pPr>
                    <w:jc w:val="center"/>
                    <w:rPr>
                      <w:color w:val="FF0000"/>
                      <w:szCs w:val="21"/>
                    </w:rPr>
                  </w:pPr>
                  <w:r>
                    <w:rPr>
                      <w:rFonts w:hint="eastAsia"/>
                      <w:color w:val="FF0000"/>
                      <w:szCs w:val="21"/>
                    </w:rPr>
                    <w:t>多云</w:t>
                  </w:r>
                </w:p>
              </w:tc>
              <w:tc>
                <w:tcPr>
                  <w:tcW w:w="709" w:type="pct"/>
                  <w:tcBorders>
                    <w:tl2br w:val="nil"/>
                    <w:tr2bl w:val="nil"/>
                  </w:tcBorders>
                  <w:vAlign w:val="center"/>
                </w:tcPr>
                <w:p w14:paraId="3D238CE6">
                  <w:pPr>
                    <w:jc w:val="center"/>
                    <w:rPr>
                      <w:color w:val="FF0000"/>
                      <w:szCs w:val="21"/>
                    </w:rPr>
                  </w:pPr>
                  <w:r>
                    <w:rPr>
                      <w:rFonts w:hint="eastAsia"/>
                      <w:color w:val="FF0000"/>
                      <w:szCs w:val="21"/>
                    </w:rPr>
                    <w:t>1.3</w:t>
                  </w:r>
                </w:p>
              </w:tc>
              <w:tc>
                <w:tcPr>
                  <w:tcW w:w="709" w:type="pct"/>
                  <w:tcBorders>
                    <w:tl2br w:val="nil"/>
                    <w:tr2bl w:val="nil"/>
                  </w:tcBorders>
                  <w:vAlign w:val="center"/>
                </w:tcPr>
                <w:p w14:paraId="17E12155">
                  <w:pPr>
                    <w:jc w:val="center"/>
                    <w:rPr>
                      <w:color w:val="FF0000"/>
                      <w:szCs w:val="21"/>
                    </w:rPr>
                  </w:pPr>
                  <w:r>
                    <w:rPr>
                      <w:rFonts w:hint="eastAsia"/>
                      <w:color w:val="FF0000"/>
                      <w:szCs w:val="21"/>
                    </w:rPr>
                    <w:t>98.8</w:t>
                  </w:r>
                </w:p>
              </w:tc>
              <w:tc>
                <w:tcPr>
                  <w:tcW w:w="709" w:type="pct"/>
                  <w:tcBorders>
                    <w:tl2br w:val="nil"/>
                    <w:tr2bl w:val="nil"/>
                  </w:tcBorders>
                  <w:vAlign w:val="center"/>
                </w:tcPr>
                <w:p w14:paraId="32C88230">
                  <w:pPr>
                    <w:jc w:val="center"/>
                    <w:rPr>
                      <w:color w:val="FF0000"/>
                      <w:szCs w:val="21"/>
                    </w:rPr>
                  </w:pPr>
                  <w:r>
                    <w:rPr>
                      <w:rFonts w:hint="eastAsia"/>
                      <w:color w:val="FF0000"/>
                      <w:szCs w:val="21"/>
                    </w:rPr>
                    <w:t>西北</w:t>
                  </w:r>
                </w:p>
              </w:tc>
              <w:tc>
                <w:tcPr>
                  <w:tcW w:w="709" w:type="pct"/>
                  <w:tcBorders>
                    <w:tl2br w:val="nil"/>
                    <w:tr2bl w:val="nil"/>
                  </w:tcBorders>
                  <w:vAlign w:val="center"/>
                </w:tcPr>
                <w:p w14:paraId="513729C7">
                  <w:pPr>
                    <w:jc w:val="center"/>
                    <w:rPr>
                      <w:color w:val="FF0000"/>
                      <w:szCs w:val="21"/>
                    </w:rPr>
                  </w:pPr>
                  <w:r>
                    <w:rPr>
                      <w:rFonts w:hint="eastAsia"/>
                      <w:color w:val="FF0000"/>
                      <w:szCs w:val="21"/>
                    </w:rPr>
                    <w:t>2.1</w:t>
                  </w:r>
                </w:p>
              </w:tc>
              <w:tc>
                <w:tcPr>
                  <w:tcW w:w="1091" w:type="pct"/>
                  <w:tcBorders>
                    <w:tl2br w:val="nil"/>
                    <w:tr2bl w:val="nil"/>
                  </w:tcBorders>
                  <w:vAlign w:val="center"/>
                </w:tcPr>
                <w:p w14:paraId="4C4A95ED">
                  <w:pPr>
                    <w:jc w:val="center"/>
                    <w:rPr>
                      <w:color w:val="FF0000"/>
                      <w:szCs w:val="21"/>
                    </w:rPr>
                  </w:pPr>
                  <w:r>
                    <w:rPr>
                      <w:rFonts w:hint="eastAsia"/>
                      <w:color w:val="FF0000"/>
                      <w:szCs w:val="21"/>
                    </w:rPr>
                    <w:t>3</w:t>
                  </w:r>
                  <w:r>
                    <w:rPr>
                      <w:color w:val="FF0000"/>
                      <w:szCs w:val="21"/>
                    </w:rPr>
                    <w:t>月</w:t>
                  </w:r>
                  <w:r>
                    <w:rPr>
                      <w:rFonts w:hint="eastAsia"/>
                      <w:color w:val="FF0000"/>
                      <w:szCs w:val="21"/>
                    </w:rPr>
                    <w:t>29</w:t>
                  </w:r>
                  <w:r>
                    <w:rPr>
                      <w:color w:val="FF0000"/>
                      <w:szCs w:val="21"/>
                    </w:rPr>
                    <w:t>日1</w:t>
                  </w:r>
                  <w:r>
                    <w:rPr>
                      <w:rFonts w:hint="eastAsia"/>
                      <w:color w:val="FF0000"/>
                      <w:szCs w:val="21"/>
                    </w:rPr>
                    <w:t>3</w:t>
                  </w:r>
                  <w:r>
                    <w:rPr>
                      <w:color w:val="FF0000"/>
                      <w:szCs w:val="21"/>
                    </w:rPr>
                    <w:t>:</w:t>
                  </w:r>
                  <w:r>
                    <w:rPr>
                      <w:rFonts w:hint="eastAsia"/>
                      <w:color w:val="FF0000"/>
                      <w:szCs w:val="21"/>
                    </w:rPr>
                    <w:t>20</w:t>
                  </w:r>
                </w:p>
              </w:tc>
            </w:tr>
          </w:tbl>
          <w:p w14:paraId="4D7F1392">
            <w:pPr>
              <w:widowControl/>
              <w:spacing w:line="500" w:lineRule="exact"/>
              <w:ind w:firstLine="480" w:firstLineChars="200"/>
              <w:rPr>
                <w:bCs/>
                <w:color w:val="000000" w:themeColor="text1"/>
                <w:sz w:val="24"/>
                <w14:textFill>
                  <w14:solidFill>
                    <w14:schemeClr w14:val="tx1"/>
                  </w14:solidFill>
                </w14:textFill>
              </w:rPr>
            </w:pPr>
            <w:r>
              <w:rPr>
                <w:color w:val="000000" w:themeColor="text1"/>
                <w:sz w:val="24"/>
                <w14:textFill>
                  <w14:solidFill>
                    <w14:schemeClr w14:val="tx1"/>
                  </w14:solidFill>
                </w14:textFill>
              </w:rPr>
              <w:t>监测结果表明：</w:t>
            </w:r>
            <w:r>
              <w:rPr>
                <w:sz w:val="24"/>
              </w:rPr>
              <w:t>由监测数据可知：TSP符合《环境空气质量标准》(GB3095-2012)二级标准（300µg/m</w:t>
            </w:r>
            <w:r>
              <w:rPr>
                <w:sz w:val="24"/>
                <w:vertAlign w:val="superscript"/>
              </w:rPr>
              <w:t>3</w:t>
            </w:r>
            <w:r>
              <w:rPr>
                <w:sz w:val="24"/>
              </w:rPr>
              <w:t>）；非甲烷总烃符合《大气污染物综合排放标准详解》（2.0mg/m</w:t>
            </w:r>
            <w:r>
              <w:rPr>
                <w:sz w:val="24"/>
                <w:vertAlign w:val="superscript"/>
              </w:rPr>
              <w:t>3</w:t>
            </w:r>
            <w:r>
              <w:rPr>
                <w:sz w:val="24"/>
              </w:rPr>
              <w:t>）</w:t>
            </w:r>
            <w:r>
              <w:rPr>
                <w:rFonts w:hint="eastAsia"/>
                <w:bCs/>
                <w:color w:val="000000" w:themeColor="text1"/>
                <w:kern w:val="0"/>
                <w:sz w:val="24"/>
                <w14:textFill>
                  <w14:solidFill>
                    <w14:schemeClr w14:val="tx1"/>
                  </w14:solidFill>
                </w14:textFill>
              </w:rPr>
              <w:t>，故项目所在区域大气环境质量较好</w:t>
            </w:r>
            <w:r>
              <w:rPr>
                <w:bCs/>
                <w:color w:val="000000" w:themeColor="text1"/>
                <w:kern w:val="0"/>
                <w:sz w:val="24"/>
                <w14:textFill>
                  <w14:solidFill>
                    <w14:schemeClr w14:val="tx1"/>
                  </w14:solidFill>
                </w14:textFill>
              </w:rPr>
              <w:t>。</w:t>
            </w:r>
          </w:p>
          <w:p w14:paraId="1F1EAE3E">
            <w:pPr>
              <w:widowControl/>
              <w:spacing w:line="500" w:lineRule="exact"/>
              <w:rPr>
                <w:b/>
                <w:bCs/>
                <w:color w:val="000000" w:themeColor="text1"/>
                <w:kern w:val="0"/>
                <w:sz w:val="24"/>
                <w:lang w:bidi="ar"/>
                <w14:textFill>
                  <w14:solidFill>
                    <w14:schemeClr w14:val="tx1"/>
                  </w14:solidFill>
                </w14:textFill>
              </w:rPr>
            </w:pPr>
            <w:r>
              <w:rPr>
                <w:b/>
                <w:bCs/>
                <w:color w:val="000000" w:themeColor="text1"/>
                <w:kern w:val="0"/>
                <w:sz w:val="24"/>
                <w14:textFill>
                  <w14:solidFill>
                    <w14:schemeClr w14:val="tx1"/>
                  </w14:solidFill>
                </w14:textFill>
              </w:rPr>
              <w:t>2</w:t>
            </w:r>
            <w:r>
              <w:rPr>
                <w:rFonts w:hint="eastAsia"/>
                <w:b/>
                <w:bCs/>
                <w:color w:val="000000" w:themeColor="text1"/>
                <w:kern w:val="0"/>
                <w:sz w:val="24"/>
                <w14:textFill>
                  <w14:solidFill>
                    <w14:schemeClr w14:val="tx1"/>
                  </w14:solidFill>
                </w14:textFill>
              </w:rPr>
              <w:t>.</w:t>
            </w:r>
            <w:r>
              <w:rPr>
                <w:b/>
                <w:bCs/>
                <w:color w:val="000000" w:themeColor="text1"/>
                <w:kern w:val="0"/>
                <w:sz w:val="24"/>
                <w14:textFill>
                  <w14:solidFill>
                    <w14:schemeClr w14:val="tx1"/>
                  </w14:solidFill>
                </w14:textFill>
              </w:rPr>
              <w:t>土壤</w:t>
            </w:r>
          </w:p>
          <w:p w14:paraId="770F5111">
            <w:pPr>
              <w:widowControl/>
              <w:spacing w:line="500" w:lineRule="exact"/>
              <w:ind w:firstLine="480" w:firstLineChars="200"/>
              <w:rPr>
                <w:color w:val="000000" w:themeColor="text1"/>
                <w:kern w:val="0"/>
                <w:sz w:val="24"/>
                <w:lang w:bidi="ar"/>
                <w14:textFill>
                  <w14:solidFill>
                    <w14:schemeClr w14:val="tx1"/>
                  </w14:solidFill>
                </w14:textFill>
              </w:rPr>
            </w:pPr>
            <w:r>
              <w:rPr>
                <w:color w:val="000000" w:themeColor="text1"/>
                <w:kern w:val="0"/>
                <w:sz w:val="24"/>
                <w:lang w:bidi="ar"/>
                <w14:textFill>
                  <w14:solidFill>
                    <w14:schemeClr w14:val="tx1"/>
                  </w14:solidFill>
                </w14:textFill>
              </w:rPr>
              <w:t>本项目所在地土壤质量执行《土壤环境质量建设用地土壤污染风险管控标准（试行）》（GB36600-2018）中第二类用地筛选值标准，见表3-</w:t>
            </w:r>
            <w:r>
              <w:rPr>
                <w:rFonts w:hint="eastAsia"/>
                <w:color w:val="000000" w:themeColor="text1"/>
                <w:kern w:val="0"/>
                <w:sz w:val="24"/>
                <w:lang w:bidi="ar"/>
                <w14:textFill>
                  <w14:solidFill>
                    <w14:schemeClr w14:val="tx1"/>
                  </w14:solidFill>
                </w14:textFill>
              </w:rPr>
              <w:t>4</w:t>
            </w:r>
            <w:r>
              <w:rPr>
                <w:color w:val="000000" w:themeColor="text1"/>
                <w:kern w:val="0"/>
                <w:sz w:val="24"/>
                <w:lang w:bidi="ar"/>
                <w14:textFill>
                  <w14:solidFill>
                    <w14:schemeClr w14:val="tx1"/>
                  </w14:solidFill>
                </w14:textFill>
              </w:rPr>
              <w:t>。</w:t>
            </w:r>
          </w:p>
          <w:p w14:paraId="21A6037F">
            <w:pPr>
              <w:widowControl/>
              <w:spacing w:line="500" w:lineRule="exact"/>
              <w:ind w:firstLine="422" w:firstLineChars="200"/>
              <w:jc w:val="center"/>
              <w:rPr>
                <w:rFonts w:eastAsia="Times New Roman"/>
                <w:b/>
                <w:color w:val="000000" w:themeColor="text1"/>
                <w:szCs w:val="21"/>
                <w14:textFill>
                  <w14:solidFill>
                    <w14:schemeClr w14:val="tx1"/>
                  </w14:solidFill>
                </w14:textFill>
              </w:rPr>
            </w:pPr>
            <w:r>
              <w:rPr>
                <w:b/>
                <w:color w:val="000000" w:themeColor="text1"/>
                <w:szCs w:val="21"/>
                <w14:textFill>
                  <w14:solidFill>
                    <w14:schemeClr w14:val="tx1"/>
                  </w14:solidFill>
                </w14:textFill>
              </w:rPr>
              <w:t>表3-</w:t>
            </w:r>
            <w:r>
              <w:rPr>
                <w:rFonts w:hint="eastAsia"/>
                <w:b/>
                <w:color w:val="000000" w:themeColor="text1"/>
                <w:szCs w:val="21"/>
                <w14:textFill>
                  <w14:solidFill>
                    <w14:schemeClr w14:val="tx1"/>
                  </w14:solidFill>
                </w14:textFill>
              </w:rPr>
              <w:t>4</w:t>
            </w:r>
            <w:r>
              <w:rPr>
                <w:b/>
                <w:color w:val="000000" w:themeColor="text1"/>
                <w:szCs w:val="21"/>
                <w14:textFill>
                  <w14:solidFill>
                    <w14:schemeClr w14:val="tx1"/>
                  </w14:solidFill>
                </w14:textFill>
              </w:rPr>
              <w:t xml:space="preserve">  </w:t>
            </w:r>
            <w:r>
              <w:rPr>
                <w:rFonts w:hint="eastAsia"/>
                <w:b/>
                <w:color w:val="000000" w:themeColor="text1"/>
                <w:szCs w:val="21"/>
                <w14:textFill>
                  <w14:solidFill>
                    <w14:schemeClr w14:val="tx1"/>
                  </w14:solidFill>
                </w14:textFill>
              </w:rPr>
              <w:t xml:space="preserve">  </w:t>
            </w:r>
            <w:r>
              <w:rPr>
                <w:b/>
                <w:color w:val="000000" w:themeColor="text1"/>
                <w:szCs w:val="21"/>
                <w14:textFill>
                  <w14:solidFill>
                    <w14:schemeClr w14:val="tx1"/>
                  </w14:solidFill>
                </w14:textFill>
              </w:rPr>
              <w:t>建设用地土壤污染风险管控标准  单位：</w:t>
            </w:r>
            <w:r>
              <w:rPr>
                <w:rFonts w:eastAsia="Times New Roman"/>
                <w:b/>
                <w:color w:val="000000" w:themeColor="text1"/>
                <w:szCs w:val="21"/>
                <w14:textFill>
                  <w14:solidFill>
                    <w14:schemeClr w14:val="tx1"/>
                  </w14:solidFill>
                </w14:textFill>
              </w:rPr>
              <w:t>mg/kg</w:t>
            </w:r>
          </w:p>
          <w:tbl>
            <w:tblPr>
              <w:tblStyle w:val="34"/>
              <w:tblW w:w="4998" w:type="pct"/>
              <w:tblInd w:w="10" w:type="dxa"/>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autofit"/>
              <w:tblCellMar>
                <w:top w:w="0" w:type="dxa"/>
                <w:left w:w="0" w:type="dxa"/>
                <w:bottom w:w="0" w:type="dxa"/>
                <w:right w:w="0" w:type="dxa"/>
              </w:tblCellMar>
            </w:tblPr>
            <w:tblGrid>
              <w:gridCol w:w="767"/>
              <w:gridCol w:w="1187"/>
              <w:gridCol w:w="1366"/>
              <w:gridCol w:w="1253"/>
              <w:gridCol w:w="1164"/>
              <w:gridCol w:w="1119"/>
              <w:gridCol w:w="1126"/>
            </w:tblGrid>
            <w:tr w14:paraId="137880CC">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73" w:hRule="atLeast"/>
              </w:trPr>
              <w:tc>
                <w:tcPr>
                  <w:tcW w:w="481" w:type="pct"/>
                  <w:vAlign w:val="center"/>
                </w:tcPr>
                <w:p w14:paraId="78E0DE99">
                  <w:pPr>
                    <w:spacing w:line="240" w:lineRule="auto"/>
                    <w:jc w:val="center"/>
                    <w:rPr>
                      <w:b/>
                      <w:bCs/>
                      <w:color w:val="000000" w:themeColor="text1"/>
                      <w:szCs w:val="21"/>
                      <w14:textFill>
                        <w14:solidFill>
                          <w14:schemeClr w14:val="tx1"/>
                        </w14:solidFill>
                      </w14:textFill>
                    </w:rPr>
                  </w:pPr>
                  <w:r>
                    <w:rPr>
                      <w:b/>
                      <w:bCs/>
                      <w:color w:val="000000" w:themeColor="text1"/>
                      <w:szCs w:val="21"/>
                      <w14:textFill>
                        <w14:solidFill>
                          <w14:schemeClr w14:val="tx1"/>
                        </w14:solidFill>
                      </w14:textFill>
                    </w:rPr>
                    <w:t>指标</w:t>
                  </w:r>
                </w:p>
              </w:tc>
              <w:tc>
                <w:tcPr>
                  <w:tcW w:w="744" w:type="pct"/>
                  <w:vAlign w:val="center"/>
                </w:tcPr>
                <w:p w14:paraId="65C88E03">
                  <w:pPr>
                    <w:spacing w:line="240" w:lineRule="auto"/>
                    <w:jc w:val="center"/>
                    <w:rPr>
                      <w:szCs w:val="21"/>
                    </w:rPr>
                  </w:pPr>
                  <w:r>
                    <w:rPr>
                      <w:szCs w:val="21"/>
                    </w:rPr>
                    <w:t>pH</w:t>
                  </w:r>
                </w:p>
              </w:tc>
              <w:tc>
                <w:tcPr>
                  <w:tcW w:w="856" w:type="pct"/>
                  <w:vAlign w:val="center"/>
                </w:tcPr>
                <w:p w14:paraId="59FD01CC">
                  <w:pPr>
                    <w:spacing w:line="240" w:lineRule="auto"/>
                    <w:jc w:val="center"/>
                    <w:rPr>
                      <w:szCs w:val="21"/>
                    </w:rPr>
                  </w:pPr>
                  <w:r>
                    <w:rPr>
                      <w:szCs w:val="21"/>
                    </w:rPr>
                    <w:t>镉</w:t>
                  </w:r>
                </w:p>
              </w:tc>
              <w:tc>
                <w:tcPr>
                  <w:tcW w:w="785" w:type="pct"/>
                  <w:vAlign w:val="center"/>
                </w:tcPr>
                <w:p w14:paraId="5A3AE0D9">
                  <w:pPr>
                    <w:spacing w:line="240" w:lineRule="auto"/>
                    <w:jc w:val="center"/>
                    <w:rPr>
                      <w:szCs w:val="21"/>
                    </w:rPr>
                  </w:pPr>
                  <w:r>
                    <w:rPr>
                      <w:szCs w:val="21"/>
                    </w:rPr>
                    <w:t>汞</w:t>
                  </w:r>
                </w:p>
              </w:tc>
              <w:tc>
                <w:tcPr>
                  <w:tcW w:w="729" w:type="pct"/>
                  <w:vAlign w:val="center"/>
                </w:tcPr>
                <w:p w14:paraId="1FD0DAB2">
                  <w:pPr>
                    <w:spacing w:line="240" w:lineRule="auto"/>
                    <w:jc w:val="center"/>
                    <w:rPr>
                      <w:szCs w:val="21"/>
                    </w:rPr>
                  </w:pPr>
                  <w:r>
                    <w:rPr>
                      <w:szCs w:val="21"/>
                    </w:rPr>
                    <w:t>砷</w:t>
                  </w:r>
                </w:p>
              </w:tc>
              <w:tc>
                <w:tcPr>
                  <w:tcW w:w="695" w:type="pct"/>
                  <w:vAlign w:val="center"/>
                </w:tcPr>
                <w:p w14:paraId="2A62ADCA">
                  <w:pPr>
                    <w:spacing w:line="240" w:lineRule="auto"/>
                    <w:jc w:val="center"/>
                    <w:rPr>
                      <w:szCs w:val="21"/>
                    </w:rPr>
                  </w:pPr>
                  <w:r>
                    <w:rPr>
                      <w:szCs w:val="21"/>
                    </w:rPr>
                    <w:t>铜</w:t>
                  </w:r>
                </w:p>
              </w:tc>
              <w:tc>
                <w:tcPr>
                  <w:tcW w:w="705" w:type="pct"/>
                  <w:vAlign w:val="center"/>
                </w:tcPr>
                <w:p w14:paraId="26B1F108">
                  <w:pPr>
                    <w:spacing w:line="240" w:lineRule="auto"/>
                    <w:jc w:val="center"/>
                    <w:rPr>
                      <w:szCs w:val="21"/>
                    </w:rPr>
                  </w:pPr>
                  <w:r>
                    <w:rPr>
                      <w:szCs w:val="21"/>
                    </w:rPr>
                    <w:t>铅</w:t>
                  </w:r>
                </w:p>
              </w:tc>
            </w:tr>
            <w:tr w14:paraId="40731CC2">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71" w:hRule="atLeast"/>
              </w:trPr>
              <w:tc>
                <w:tcPr>
                  <w:tcW w:w="481" w:type="pct"/>
                  <w:vAlign w:val="center"/>
                </w:tcPr>
                <w:p w14:paraId="10F1D121">
                  <w:pPr>
                    <w:spacing w:line="240" w:lineRule="auto"/>
                    <w:jc w:val="center"/>
                    <w:rPr>
                      <w:b/>
                      <w:bCs/>
                      <w:color w:val="000000" w:themeColor="text1"/>
                      <w:szCs w:val="21"/>
                      <w14:textFill>
                        <w14:solidFill>
                          <w14:schemeClr w14:val="tx1"/>
                        </w14:solidFill>
                      </w14:textFill>
                    </w:rPr>
                  </w:pPr>
                  <w:r>
                    <w:rPr>
                      <w:b/>
                      <w:bCs/>
                      <w:color w:val="000000" w:themeColor="text1"/>
                      <w:szCs w:val="21"/>
                      <w14:textFill>
                        <w14:solidFill>
                          <w14:schemeClr w14:val="tx1"/>
                        </w14:solidFill>
                      </w14:textFill>
                    </w:rPr>
                    <w:t>标准值</w:t>
                  </w:r>
                </w:p>
              </w:tc>
              <w:tc>
                <w:tcPr>
                  <w:tcW w:w="744" w:type="pct"/>
                  <w:vAlign w:val="center"/>
                </w:tcPr>
                <w:p w14:paraId="27F08940">
                  <w:pPr>
                    <w:spacing w:line="240" w:lineRule="auto"/>
                    <w:jc w:val="center"/>
                    <w:rPr>
                      <w:szCs w:val="21"/>
                    </w:rPr>
                  </w:pPr>
                  <w:r>
                    <w:rPr>
                      <w:szCs w:val="21"/>
                    </w:rPr>
                    <w:t>—</w:t>
                  </w:r>
                </w:p>
              </w:tc>
              <w:tc>
                <w:tcPr>
                  <w:tcW w:w="856" w:type="pct"/>
                  <w:vAlign w:val="center"/>
                </w:tcPr>
                <w:p w14:paraId="51CE20CF">
                  <w:pPr>
                    <w:spacing w:line="240" w:lineRule="auto"/>
                    <w:jc w:val="center"/>
                    <w:rPr>
                      <w:szCs w:val="21"/>
                    </w:rPr>
                  </w:pPr>
                  <w:r>
                    <w:rPr>
                      <w:szCs w:val="21"/>
                    </w:rPr>
                    <w:t>65</w:t>
                  </w:r>
                </w:p>
              </w:tc>
              <w:tc>
                <w:tcPr>
                  <w:tcW w:w="785" w:type="pct"/>
                  <w:vAlign w:val="center"/>
                </w:tcPr>
                <w:p w14:paraId="6BCD86C1">
                  <w:pPr>
                    <w:spacing w:line="240" w:lineRule="auto"/>
                    <w:jc w:val="center"/>
                    <w:rPr>
                      <w:szCs w:val="21"/>
                    </w:rPr>
                  </w:pPr>
                  <w:r>
                    <w:rPr>
                      <w:szCs w:val="21"/>
                    </w:rPr>
                    <w:t>38</w:t>
                  </w:r>
                </w:p>
              </w:tc>
              <w:tc>
                <w:tcPr>
                  <w:tcW w:w="729" w:type="pct"/>
                  <w:vAlign w:val="center"/>
                </w:tcPr>
                <w:p w14:paraId="46B786FC">
                  <w:pPr>
                    <w:spacing w:line="240" w:lineRule="auto"/>
                    <w:jc w:val="center"/>
                    <w:rPr>
                      <w:szCs w:val="21"/>
                    </w:rPr>
                  </w:pPr>
                  <w:r>
                    <w:rPr>
                      <w:szCs w:val="21"/>
                    </w:rPr>
                    <w:t>60</w:t>
                  </w:r>
                </w:p>
              </w:tc>
              <w:tc>
                <w:tcPr>
                  <w:tcW w:w="695" w:type="pct"/>
                  <w:vAlign w:val="center"/>
                </w:tcPr>
                <w:p w14:paraId="09C2488B">
                  <w:pPr>
                    <w:spacing w:line="240" w:lineRule="auto"/>
                    <w:jc w:val="center"/>
                    <w:rPr>
                      <w:szCs w:val="21"/>
                    </w:rPr>
                  </w:pPr>
                  <w:r>
                    <w:rPr>
                      <w:szCs w:val="21"/>
                    </w:rPr>
                    <w:t>18000</w:t>
                  </w:r>
                </w:p>
              </w:tc>
              <w:tc>
                <w:tcPr>
                  <w:tcW w:w="705" w:type="pct"/>
                  <w:vAlign w:val="center"/>
                </w:tcPr>
                <w:p w14:paraId="7D65AB8C">
                  <w:pPr>
                    <w:spacing w:line="240" w:lineRule="auto"/>
                    <w:jc w:val="center"/>
                    <w:rPr>
                      <w:szCs w:val="21"/>
                    </w:rPr>
                  </w:pPr>
                  <w:r>
                    <w:rPr>
                      <w:szCs w:val="21"/>
                    </w:rPr>
                    <w:t>800</w:t>
                  </w:r>
                </w:p>
              </w:tc>
            </w:tr>
            <w:tr w14:paraId="5EE79017">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71" w:hRule="atLeast"/>
              </w:trPr>
              <w:tc>
                <w:tcPr>
                  <w:tcW w:w="481" w:type="pct"/>
                  <w:vAlign w:val="center"/>
                </w:tcPr>
                <w:p w14:paraId="1B2324E8">
                  <w:pPr>
                    <w:spacing w:line="240" w:lineRule="auto"/>
                    <w:jc w:val="center"/>
                    <w:rPr>
                      <w:b/>
                      <w:bCs/>
                      <w:color w:val="000000" w:themeColor="text1"/>
                      <w:szCs w:val="21"/>
                      <w14:textFill>
                        <w14:solidFill>
                          <w14:schemeClr w14:val="tx1"/>
                        </w14:solidFill>
                      </w14:textFill>
                    </w:rPr>
                  </w:pPr>
                  <w:r>
                    <w:rPr>
                      <w:b/>
                      <w:bCs/>
                      <w:color w:val="000000" w:themeColor="text1"/>
                      <w:szCs w:val="21"/>
                      <w14:textFill>
                        <w14:solidFill>
                          <w14:schemeClr w14:val="tx1"/>
                        </w14:solidFill>
                      </w14:textFill>
                    </w:rPr>
                    <w:t>指标</w:t>
                  </w:r>
                </w:p>
              </w:tc>
              <w:tc>
                <w:tcPr>
                  <w:tcW w:w="744" w:type="pct"/>
                  <w:vAlign w:val="center"/>
                </w:tcPr>
                <w:p w14:paraId="2E4B975F">
                  <w:pPr>
                    <w:spacing w:line="240" w:lineRule="auto"/>
                    <w:jc w:val="center"/>
                    <w:rPr>
                      <w:szCs w:val="21"/>
                    </w:rPr>
                  </w:pPr>
                  <w:r>
                    <w:rPr>
                      <w:szCs w:val="21"/>
                    </w:rPr>
                    <w:t>四氯化碳</w:t>
                  </w:r>
                </w:p>
              </w:tc>
              <w:tc>
                <w:tcPr>
                  <w:tcW w:w="856" w:type="pct"/>
                  <w:vAlign w:val="center"/>
                </w:tcPr>
                <w:p w14:paraId="24FAEF1B">
                  <w:pPr>
                    <w:spacing w:line="240" w:lineRule="auto"/>
                    <w:jc w:val="center"/>
                    <w:rPr>
                      <w:szCs w:val="21"/>
                    </w:rPr>
                  </w:pPr>
                  <w:r>
                    <w:rPr>
                      <w:szCs w:val="21"/>
                    </w:rPr>
                    <w:t>氯仿</w:t>
                  </w:r>
                </w:p>
              </w:tc>
              <w:tc>
                <w:tcPr>
                  <w:tcW w:w="785" w:type="pct"/>
                  <w:vAlign w:val="center"/>
                </w:tcPr>
                <w:p w14:paraId="49B39F3F">
                  <w:pPr>
                    <w:spacing w:line="240" w:lineRule="auto"/>
                    <w:jc w:val="center"/>
                    <w:rPr>
                      <w:szCs w:val="21"/>
                    </w:rPr>
                  </w:pPr>
                  <w:r>
                    <w:rPr>
                      <w:szCs w:val="21"/>
                    </w:rPr>
                    <w:t>氯甲烷</w:t>
                  </w:r>
                </w:p>
              </w:tc>
              <w:tc>
                <w:tcPr>
                  <w:tcW w:w="729" w:type="pct"/>
                  <w:vAlign w:val="center"/>
                </w:tcPr>
                <w:p w14:paraId="0AF115D2">
                  <w:pPr>
                    <w:spacing w:line="240" w:lineRule="auto"/>
                    <w:jc w:val="center"/>
                    <w:rPr>
                      <w:szCs w:val="21"/>
                    </w:rPr>
                  </w:pPr>
                  <w:r>
                    <w:rPr>
                      <w:szCs w:val="21"/>
                    </w:rPr>
                    <w:t>1,1-二氯</w:t>
                  </w:r>
                </w:p>
                <w:p w14:paraId="5DDEDC46">
                  <w:pPr>
                    <w:spacing w:line="240" w:lineRule="auto"/>
                    <w:jc w:val="center"/>
                    <w:rPr>
                      <w:szCs w:val="21"/>
                    </w:rPr>
                  </w:pPr>
                  <w:r>
                    <w:rPr>
                      <w:szCs w:val="21"/>
                    </w:rPr>
                    <w:t>乙烷</w:t>
                  </w:r>
                </w:p>
              </w:tc>
              <w:tc>
                <w:tcPr>
                  <w:tcW w:w="695" w:type="pct"/>
                  <w:vAlign w:val="center"/>
                </w:tcPr>
                <w:p w14:paraId="49B5521B">
                  <w:pPr>
                    <w:spacing w:line="240" w:lineRule="auto"/>
                    <w:jc w:val="center"/>
                    <w:rPr>
                      <w:szCs w:val="21"/>
                    </w:rPr>
                  </w:pPr>
                  <w:r>
                    <w:rPr>
                      <w:szCs w:val="21"/>
                    </w:rPr>
                    <w:t>1,2-二氯</w:t>
                  </w:r>
                </w:p>
                <w:p w14:paraId="4C1BA622">
                  <w:pPr>
                    <w:spacing w:line="240" w:lineRule="auto"/>
                    <w:jc w:val="center"/>
                    <w:rPr>
                      <w:szCs w:val="21"/>
                    </w:rPr>
                  </w:pPr>
                  <w:r>
                    <w:rPr>
                      <w:szCs w:val="21"/>
                    </w:rPr>
                    <w:t>乙烷</w:t>
                  </w:r>
                </w:p>
              </w:tc>
              <w:tc>
                <w:tcPr>
                  <w:tcW w:w="705" w:type="pct"/>
                  <w:vAlign w:val="center"/>
                </w:tcPr>
                <w:p w14:paraId="5BC13566">
                  <w:pPr>
                    <w:spacing w:line="240" w:lineRule="auto"/>
                    <w:jc w:val="center"/>
                    <w:rPr>
                      <w:szCs w:val="21"/>
                    </w:rPr>
                  </w:pPr>
                  <w:r>
                    <w:rPr>
                      <w:szCs w:val="21"/>
                    </w:rPr>
                    <w:t>1,1-二氯</w:t>
                  </w:r>
                </w:p>
                <w:p w14:paraId="1E2A7C19">
                  <w:pPr>
                    <w:spacing w:line="240" w:lineRule="auto"/>
                    <w:jc w:val="center"/>
                    <w:rPr>
                      <w:szCs w:val="21"/>
                    </w:rPr>
                  </w:pPr>
                  <w:r>
                    <w:rPr>
                      <w:szCs w:val="21"/>
                    </w:rPr>
                    <w:t>乙烯</w:t>
                  </w:r>
                </w:p>
              </w:tc>
            </w:tr>
            <w:tr w14:paraId="4E7153F5">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71" w:hRule="atLeast"/>
              </w:trPr>
              <w:tc>
                <w:tcPr>
                  <w:tcW w:w="481" w:type="pct"/>
                  <w:vAlign w:val="center"/>
                </w:tcPr>
                <w:p w14:paraId="748FA75B">
                  <w:pPr>
                    <w:spacing w:line="240" w:lineRule="auto"/>
                    <w:jc w:val="center"/>
                    <w:rPr>
                      <w:b/>
                      <w:bCs/>
                      <w:color w:val="000000" w:themeColor="text1"/>
                      <w:szCs w:val="21"/>
                      <w14:textFill>
                        <w14:solidFill>
                          <w14:schemeClr w14:val="tx1"/>
                        </w14:solidFill>
                      </w14:textFill>
                    </w:rPr>
                  </w:pPr>
                  <w:r>
                    <w:rPr>
                      <w:b/>
                      <w:bCs/>
                      <w:color w:val="000000" w:themeColor="text1"/>
                      <w:szCs w:val="21"/>
                      <w14:textFill>
                        <w14:solidFill>
                          <w14:schemeClr w14:val="tx1"/>
                        </w14:solidFill>
                      </w14:textFill>
                    </w:rPr>
                    <w:t>标准值</w:t>
                  </w:r>
                </w:p>
              </w:tc>
              <w:tc>
                <w:tcPr>
                  <w:tcW w:w="744" w:type="pct"/>
                  <w:vAlign w:val="center"/>
                </w:tcPr>
                <w:p w14:paraId="46144891">
                  <w:pPr>
                    <w:spacing w:line="240" w:lineRule="auto"/>
                    <w:jc w:val="center"/>
                    <w:rPr>
                      <w:szCs w:val="21"/>
                    </w:rPr>
                  </w:pPr>
                  <w:r>
                    <w:rPr>
                      <w:szCs w:val="21"/>
                    </w:rPr>
                    <w:t>2.8</w:t>
                  </w:r>
                </w:p>
              </w:tc>
              <w:tc>
                <w:tcPr>
                  <w:tcW w:w="856" w:type="pct"/>
                  <w:vAlign w:val="center"/>
                </w:tcPr>
                <w:p w14:paraId="1330BBEB">
                  <w:pPr>
                    <w:spacing w:line="240" w:lineRule="auto"/>
                    <w:jc w:val="center"/>
                    <w:rPr>
                      <w:szCs w:val="21"/>
                    </w:rPr>
                  </w:pPr>
                  <w:r>
                    <w:rPr>
                      <w:szCs w:val="21"/>
                    </w:rPr>
                    <w:t>0.9</w:t>
                  </w:r>
                </w:p>
              </w:tc>
              <w:tc>
                <w:tcPr>
                  <w:tcW w:w="785" w:type="pct"/>
                  <w:vAlign w:val="center"/>
                </w:tcPr>
                <w:p w14:paraId="4FA5E6A9">
                  <w:pPr>
                    <w:spacing w:line="240" w:lineRule="auto"/>
                    <w:jc w:val="center"/>
                    <w:rPr>
                      <w:szCs w:val="21"/>
                    </w:rPr>
                  </w:pPr>
                  <w:r>
                    <w:rPr>
                      <w:szCs w:val="21"/>
                    </w:rPr>
                    <w:t>37</w:t>
                  </w:r>
                </w:p>
              </w:tc>
              <w:tc>
                <w:tcPr>
                  <w:tcW w:w="729" w:type="pct"/>
                  <w:vAlign w:val="center"/>
                </w:tcPr>
                <w:p w14:paraId="2A8EB564">
                  <w:pPr>
                    <w:spacing w:line="240" w:lineRule="auto"/>
                    <w:jc w:val="center"/>
                    <w:rPr>
                      <w:szCs w:val="21"/>
                    </w:rPr>
                  </w:pPr>
                  <w:r>
                    <w:rPr>
                      <w:szCs w:val="21"/>
                    </w:rPr>
                    <w:t>9</w:t>
                  </w:r>
                </w:p>
              </w:tc>
              <w:tc>
                <w:tcPr>
                  <w:tcW w:w="695" w:type="pct"/>
                  <w:vAlign w:val="center"/>
                </w:tcPr>
                <w:p w14:paraId="3FD1888E">
                  <w:pPr>
                    <w:spacing w:line="240" w:lineRule="auto"/>
                    <w:jc w:val="center"/>
                    <w:rPr>
                      <w:szCs w:val="21"/>
                    </w:rPr>
                  </w:pPr>
                  <w:r>
                    <w:rPr>
                      <w:szCs w:val="21"/>
                    </w:rPr>
                    <w:t>5</w:t>
                  </w:r>
                </w:p>
              </w:tc>
              <w:tc>
                <w:tcPr>
                  <w:tcW w:w="705" w:type="pct"/>
                  <w:vAlign w:val="center"/>
                </w:tcPr>
                <w:p w14:paraId="64709782">
                  <w:pPr>
                    <w:spacing w:line="240" w:lineRule="auto"/>
                    <w:jc w:val="center"/>
                    <w:rPr>
                      <w:szCs w:val="21"/>
                    </w:rPr>
                  </w:pPr>
                  <w:r>
                    <w:rPr>
                      <w:szCs w:val="21"/>
                    </w:rPr>
                    <w:t>66</w:t>
                  </w:r>
                </w:p>
              </w:tc>
            </w:tr>
            <w:tr w14:paraId="7A58B38F">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71" w:hRule="atLeast"/>
              </w:trPr>
              <w:tc>
                <w:tcPr>
                  <w:tcW w:w="481" w:type="pct"/>
                  <w:vAlign w:val="center"/>
                </w:tcPr>
                <w:p w14:paraId="6CAEAFE6">
                  <w:pPr>
                    <w:spacing w:line="240" w:lineRule="auto"/>
                    <w:jc w:val="center"/>
                    <w:rPr>
                      <w:b/>
                      <w:bCs/>
                      <w:color w:val="000000" w:themeColor="text1"/>
                      <w:szCs w:val="21"/>
                      <w14:textFill>
                        <w14:solidFill>
                          <w14:schemeClr w14:val="tx1"/>
                        </w14:solidFill>
                      </w14:textFill>
                    </w:rPr>
                  </w:pPr>
                  <w:r>
                    <w:rPr>
                      <w:b/>
                      <w:bCs/>
                      <w:color w:val="000000" w:themeColor="text1"/>
                      <w:szCs w:val="21"/>
                      <w14:textFill>
                        <w14:solidFill>
                          <w14:schemeClr w14:val="tx1"/>
                        </w14:solidFill>
                      </w14:textFill>
                    </w:rPr>
                    <w:t>指标</w:t>
                  </w:r>
                </w:p>
              </w:tc>
              <w:tc>
                <w:tcPr>
                  <w:tcW w:w="744" w:type="pct"/>
                  <w:vAlign w:val="center"/>
                </w:tcPr>
                <w:p w14:paraId="049EF8DA">
                  <w:pPr>
                    <w:spacing w:line="240" w:lineRule="auto"/>
                    <w:jc w:val="center"/>
                    <w:rPr>
                      <w:szCs w:val="21"/>
                    </w:rPr>
                  </w:pPr>
                  <w:r>
                    <w:rPr>
                      <w:szCs w:val="21"/>
                    </w:rPr>
                    <w:t>1,2-二氯</w:t>
                  </w:r>
                </w:p>
                <w:p w14:paraId="61BD850E">
                  <w:pPr>
                    <w:spacing w:line="240" w:lineRule="auto"/>
                    <w:jc w:val="center"/>
                    <w:rPr>
                      <w:szCs w:val="21"/>
                    </w:rPr>
                  </w:pPr>
                  <w:r>
                    <w:rPr>
                      <w:szCs w:val="21"/>
                    </w:rPr>
                    <w:t>丙烷</w:t>
                  </w:r>
                </w:p>
              </w:tc>
              <w:tc>
                <w:tcPr>
                  <w:tcW w:w="856" w:type="pct"/>
                  <w:vAlign w:val="center"/>
                </w:tcPr>
                <w:p w14:paraId="3EA65D53">
                  <w:pPr>
                    <w:spacing w:line="240" w:lineRule="auto"/>
                    <w:jc w:val="center"/>
                    <w:rPr>
                      <w:szCs w:val="21"/>
                    </w:rPr>
                  </w:pPr>
                  <w:r>
                    <w:rPr>
                      <w:szCs w:val="21"/>
                    </w:rPr>
                    <w:t>1,1,1,2-四氯</w:t>
                  </w:r>
                </w:p>
                <w:p w14:paraId="0F5720EE">
                  <w:pPr>
                    <w:spacing w:line="240" w:lineRule="auto"/>
                    <w:jc w:val="center"/>
                    <w:rPr>
                      <w:szCs w:val="21"/>
                    </w:rPr>
                  </w:pPr>
                  <w:r>
                    <w:rPr>
                      <w:szCs w:val="21"/>
                    </w:rPr>
                    <w:t>乙烷</w:t>
                  </w:r>
                </w:p>
              </w:tc>
              <w:tc>
                <w:tcPr>
                  <w:tcW w:w="785" w:type="pct"/>
                  <w:vAlign w:val="center"/>
                </w:tcPr>
                <w:p w14:paraId="1C9713E5">
                  <w:pPr>
                    <w:spacing w:line="240" w:lineRule="auto"/>
                    <w:jc w:val="center"/>
                    <w:rPr>
                      <w:szCs w:val="21"/>
                    </w:rPr>
                  </w:pPr>
                  <w:r>
                    <w:rPr>
                      <w:szCs w:val="21"/>
                    </w:rPr>
                    <w:t>1,1,2,2-四氯</w:t>
                  </w:r>
                </w:p>
                <w:p w14:paraId="6AE2EBF7">
                  <w:pPr>
                    <w:spacing w:line="240" w:lineRule="auto"/>
                    <w:jc w:val="center"/>
                    <w:rPr>
                      <w:szCs w:val="21"/>
                    </w:rPr>
                  </w:pPr>
                  <w:r>
                    <w:rPr>
                      <w:szCs w:val="21"/>
                    </w:rPr>
                    <w:t>乙烷</w:t>
                  </w:r>
                </w:p>
              </w:tc>
              <w:tc>
                <w:tcPr>
                  <w:tcW w:w="729" w:type="pct"/>
                  <w:vAlign w:val="center"/>
                </w:tcPr>
                <w:p w14:paraId="1E835047">
                  <w:pPr>
                    <w:spacing w:line="240" w:lineRule="auto"/>
                    <w:jc w:val="center"/>
                    <w:rPr>
                      <w:szCs w:val="21"/>
                    </w:rPr>
                  </w:pPr>
                  <w:r>
                    <w:rPr>
                      <w:szCs w:val="21"/>
                    </w:rPr>
                    <w:t>四氯乙烯</w:t>
                  </w:r>
                </w:p>
              </w:tc>
              <w:tc>
                <w:tcPr>
                  <w:tcW w:w="695" w:type="pct"/>
                  <w:vAlign w:val="center"/>
                </w:tcPr>
                <w:p w14:paraId="2EAB7CD9">
                  <w:pPr>
                    <w:spacing w:line="240" w:lineRule="auto"/>
                    <w:jc w:val="center"/>
                    <w:rPr>
                      <w:szCs w:val="21"/>
                    </w:rPr>
                  </w:pPr>
                  <w:r>
                    <w:rPr>
                      <w:szCs w:val="21"/>
                    </w:rPr>
                    <w:t>硝基苯</w:t>
                  </w:r>
                </w:p>
              </w:tc>
              <w:tc>
                <w:tcPr>
                  <w:tcW w:w="705" w:type="pct"/>
                  <w:vAlign w:val="center"/>
                </w:tcPr>
                <w:p w14:paraId="03E16E7F">
                  <w:pPr>
                    <w:spacing w:line="240" w:lineRule="auto"/>
                    <w:jc w:val="center"/>
                    <w:rPr>
                      <w:szCs w:val="21"/>
                    </w:rPr>
                  </w:pPr>
                  <w:r>
                    <w:rPr>
                      <w:szCs w:val="21"/>
                    </w:rPr>
                    <w:t>苯胺</w:t>
                  </w:r>
                </w:p>
              </w:tc>
            </w:tr>
            <w:tr w14:paraId="71B346E7">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71" w:hRule="atLeast"/>
              </w:trPr>
              <w:tc>
                <w:tcPr>
                  <w:tcW w:w="481" w:type="pct"/>
                  <w:vAlign w:val="center"/>
                </w:tcPr>
                <w:p w14:paraId="37ED6258">
                  <w:pPr>
                    <w:spacing w:line="240" w:lineRule="auto"/>
                    <w:jc w:val="center"/>
                    <w:rPr>
                      <w:b/>
                      <w:bCs/>
                      <w:color w:val="000000" w:themeColor="text1"/>
                      <w:szCs w:val="21"/>
                      <w14:textFill>
                        <w14:solidFill>
                          <w14:schemeClr w14:val="tx1"/>
                        </w14:solidFill>
                      </w14:textFill>
                    </w:rPr>
                  </w:pPr>
                  <w:r>
                    <w:rPr>
                      <w:b/>
                      <w:bCs/>
                      <w:color w:val="000000" w:themeColor="text1"/>
                      <w:szCs w:val="21"/>
                      <w14:textFill>
                        <w14:solidFill>
                          <w14:schemeClr w14:val="tx1"/>
                        </w14:solidFill>
                      </w14:textFill>
                    </w:rPr>
                    <w:t>标准值</w:t>
                  </w:r>
                </w:p>
              </w:tc>
              <w:tc>
                <w:tcPr>
                  <w:tcW w:w="744" w:type="pct"/>
                  <w:vAlign w:val="center"/>
                </w:tcPr>
                <w:p w14:paraId="28E2AB4D">
                  <w:pPr>
                    <w:spacing w:line="240" w:lineRule="auto"/>
                    <w:jc w:val="center"/>
                    <w:rPr>
                      <w:szCs w:val="21"/>
                    </w:rPr>
                  </w:pPr>
                  <w:r>
                    <w:rPr>
                      <w:szCs w:val="21"/>
                    </w:rPr>
                    <w:t>5</w:t>
                  </w:r>
                </w:p>
              </w:tc>
              <w:tc>
                <w:tcPr>
                  <w:tcW w:w="856" w:type="pct"/>
                  <w:vAlign w:val="center"/>
                </w:tcPr>
                <w:p w14:paraId="1AD280F1">
                  <w:pPr>
                    <w:spacing w:line="240" w:lineRule="auto"/>
                    <w:jc w:val="center"/>
                    <w:rPr>
                      <w:szCs w:val="21"/>
                    </w:rPr>
                  </w:pPr>
                  <w:r>
                    <w:rPr>
                      <w:szCs w:val="21"/>
                    </w:rPr>
                    <w:t>10</w:t>
                  </w:r>
                </w:p>
              </w:tc>
              <w:tc>
                <w:tcPr>
                  <w:tcW w:w="785" w:type="pct"/>
                  <w:vAlign w:val="center"/>
                </w:tcPr>
                <w:p w14:paraId="18A95A78">
                  <w:pPr>
                    <w:spacing w:line="240" w:lineRule="auto"/>
                    <w:jc w:val="center"/>
                    <w:rPr>
                      <w:szCs w:val="21"/>
                    </w:rPr>
                  </w:pPr>
                  <w:r>
                    <w:rPr>
                      <w:szCs w:val="21"/>
                    </w:rPr>
                    <w:t>6.8</w:t>
                  </w:r>
                </w:p>
              </w:tc>
              <w:tc>
                <w:tcPr>
                  <w:tcW w:w="729" w:type="pct"/>
                  <w:vAlign w:val="center"/>
                </w:tcPr>
                <w:p w14:paraId="34007AEC">
                  <w:pPr>
                    <w:spacing w:line="240" w:lineRule="auto"/>
                    <w:jc w:val="center"/>
                    <w:rPr>
                      <w:szCs w:val="21"/>
                    </w:rPr>
                  </w:pPr>
                  <w:r>
                    <w:rPr>
                      <w:szCs w:val="21"/>
                    </w:rPr>
                    <w:t>53</w:t>
                  </w:r>
                </w:p>
              </w:tc>
              <w:tc>
                <w:tcPr>
                  <w:tcW w:w="695" w:type="pct"/>
                  <w:vAlign w:val="center"/>
                </w:tcPr>
                <w:p w14:paraId="11787499">
                  <w:pPr>
                    <w:spacing w:line="240" w:lineRule="auto"/>
                    <w:jc w:val="center"/>
                    <w:rPr>
                      <w:szCs w:val="21"/>
                    </w:rPr>
                  </w:pPr>
                  <w:r>
                    <w:rPr>
                      <w:szCs w:val="21"/>
                    </w:rPr>
                    <w:t>76</w:t>
                  </w:r>
                </w:p>
              </w:tc>
              <w:tc>
                <w:tcPr>
                  <w:tcW w:w="705" w:type="pct"/>
                  <w:vAlign w:val="center"/>
                </w:tcPr>
                <w:p w14:paraId="551DC249">
                  <w:pPr>
                    <w:spacing w:line="240" w:lineRule="auto"/>
                    <w:jc w:val="center"/>
                    <w:rPr>
                      <w:szCs w:val="21"/>
                    </w:rPr>
                  </w:pPr>
                  <w:r>
                    <w:rPr>
                      <w:szCs w:val="21"/>
                    </w:rPr>
                    <w:t>260</w:t>
                  </w:r>
                </w:p>
              </w:tc>
            </w:tr>
            <w:tr w14:paraId="387F7AC8">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71" w:hRule="atLeast"/>
              </w:trPr>
              <w:tc>
                <w:tcPr>
                  <w:tcW w:w="481" w:type="pct"/>
                  <w:vAlign w:val="center"/>
                </w:tcPr>
                <w:p w14:paraId="05B40AB3">
                  <w:pPr>
                    <w:spacing w:line="240" w:lineRule="auto"/>
                    <w:jc w:val="center"/>
                    <w:rPr>
                      <w:b/>
                      <w:bCs/>
                      <w:color w:val="000000" w:themeColor="text1"/>
                      <w:szCs w:val="21"/>
                      <w14:textFill>
                        <w14:solidFill>
                          <w14:schemeClr w14:val="tx1"/>
                        </w14:solidFill>
                      </w14:textFill>
                    </w:rPr>
                  </w:pPr>
                  <w:r>
                    <w:rPr>
                      <w:b/>
                      <w:bCs/>
                      <w:color w:val="000000" w:themeColor="text1"/>
                      <w:szCs w:val="21"/>
                      <w14:textFill>
                        <w14:solidFill>
                          <w14:schemeClr w14:val="tx1"/>
                        </w14:solidFill>
                      </w14:textFill>
                    </w:rPr>
                    <w:t>指标</w:t>
                  </w:r>
                </w:p>
              </w:tc>
              <w:tc>
                <w:tcPr>
                  <w:tcW w:w="744" w:type="pct"/>
                  <w:vAlign w:val="center"/>
                </w:tcPr>
                <w:p w14:paraId="670B3564">
                  <w:pPr>
                    <w:spacing w:line="240" w:lineRule="auto"/>
                    <w:jc w:val="center"/>
                    <w:rPr>
                      <w:szCs w:val="21"/>
                    </w:rPr>
                  </w:pPr>
                  <w:r>
                    <w:rPr>
                      <w:szCs w:val="21"/>
                    </w:rPr>
                    <w:t>苯并</w:t>
                  </w:r>
                  <w:r>
                    <w:rPr>
                      <w:rFonts w:hint="eastAsia"/>
                      <w:szCs w:val="21"/>
                      <w:lang w:eastAsia="zh-CN"/>
                    </w:rPr>
                    <w:t>〔</w:t>
                  </w:r>
                  <w:r>
                    <w:rPr>
                      <w:szCs w:val="21"/>
                    </w:rPr>
                    <w:t>b</w:t>
                  </w:r>
                  <w:r>
                    <w:rPr>
                      <w:rFonts w:hint="eastAsia"/>
                      <w:szCs w:val="21"/>
                      <w:lang w:eastAsia="zh-CN"/>
                    </w:rPr>
                    <w:t>〕</w:t>
                  </w:r>
                  <w:r>
                    <w:rPr>
                      <w:szCs w:val="21"/>
                    </w:rPr>
                    <w:t>荧蒽</w:t>
                  </w:r>
                </w:p>
              </w:tc>
              <w:tc>
                <w:tcPr>
                  <w:tcW w:w="856" w:type="pct"/>
                  <w:vAlign w:val="center"/>
                </w:tcPr>
                <w:p w14:paraId="340C184B">
                  <w:pPr>
                    <w:spacing w:line="240" w:lineRule="auto"/>
                    <w:jc w:val="center"/>
                    <w:rPr>
                      <w:szCs w:val="21"/>
                    </w:rPr>
                  </w:pPr>
                  <w:r>
                    <w:rPr>
                      <w:szCs w:val="21"/>
                    </w:rPr>
                    <w:t>苯并</w:t>
                  </w:r>
                  <w:r>
                    <w:rPr>
                      <w:rFonts w:hint="eastAsia"/>
                      <w:szCs w:val="21"/>
                      <w:lang w:eastAsia="zh-CN"/>
                    </w:rPr>
                    <w:t>〔</w:t>
                  </w:r>
                  <w:r>
                    <w:rPr>
                      <w:szCs w:val="21"/>
                    </w:rPr>
                    <w:t>k</w:t>
                  </w:r>
                  <w:r>
                    <w:rPr>
                      <w:rFonts w:hint="eastAsia"/>
                      <w:szCs w:val="21"/>
                      <w:lang w:eastAsia="zh-CN"/>
                    </w:rPr>
                    <w:t>〕</w:t>
                  </w:r>
                  <w:r>
                    <w:rPr>
                      <w:szCs w:val="21"/>
                    </w:rPr>
                    <w:t>荧蒽</w:t>
                  </w:r>
                </w:p>
              </w:tc>
              <w:tc>
                <w:tcPr>
                  <w:tcW w:w="785" w:type="pct"/>
                  <w:vAlign w:val="center"/>
                </w:tcPr>
                <w:p w14:paraId="4F0CBC5A">
                  <w:pPr>
                    <w:spacing w:line="240" w:lineRule="auto"/>
                    <w:jc w:val="center"/>
                    <w:rPr>
                      <w:szCs w:val="21"/>
                    </w:rPr>
                  </w:pPr>
                  <w:r>
                    <w:rPr>
                      <w:szCs w:val="21"/>
                    </w:rPr>
                    <w:t>䓛</w:t>
                  </w:r>
                </w:p>
              </w:tc>
              <w:tc>
                <w:tcPr>
                  <w:tcW w:w="729" w:type="pct"/>
                  <w:vAlign w:val="center"/>
                </w:tcPr>
                <w:p w14:paraId="36A2B0FF">
                  <w:pPr>
                    <w:spacing w:line="240" w:lineRule="auto"/>
                    <w:jc w:val="center"/>
                    <w:rPr>
                      <w:szCs w:val="21"/>
                    </w:rPr>
                  </w:pPr>
                  <w:r>
                    <w:rPr>
                      <w:szCs w:val="21"/>
                    </w:rPr>
                    <w:t>二苯</w:t>
                  </w:r>
                </w:p>
                <w:p w14:paraId="1A6CFA7C">
                  <w:pPr>
                    <w:spacing w:line="240" w:lineRule="auto"/>
                    <w:jc w:val="center"/>
                    <w:rPr>
                      <w:szCs w:val="21"/>
                    </w:rPr>
                  </w:pPr>
                  <w:r>
                    <w:rPr>
                      <w:szCs w:val="21"/>
                    </w:rPr>
                    <w:t>并</w:t>
                  </w:r>
                  <w:r>
                    <w:rPr>
                      <w:rFonts w:hint="eastAsia"/>
                      <w:szCs w:val="21"/>
                      <w:lang w:eastAsia="zh-CN"/>
                    </w:rPr>
                    <w:t>〔</w:t>
                  </w:r>
                  <w:r>
                    <w:rPr>
                      <w:szCs w:val="21"/>
                    </w:rPr>
                    <w:t>a,h</w:t>
                  </w:r>
                  <w:r>
                    <w:rPr>
                      <w:rFonts w:hint="eastAsia"/>
                      <w:szCs w:val="21"/>
                      <w:lang w:eastAsia="zh-CN"/>
                    </w:rPr>
                    <w:t>〕</w:t>
                  </w:r>
                  <w:r>
                    <w:rPr>
                      <w:szCs w:val="21"/>
                    </w:rPr>
                    <w:t>蒽</w:t>
                  </w:r>
                </w:p>
              </w:tc>
              <w:tc>
                <w:tcPr>
                  <w:tcW w:w="695" w:type="pct"/>
                  <w:vAlign w:val="center"/>
                </w:tcPr>
                <w:p w14:paraId="61D22456">
                  <w:pPr>
                    <w:spacing w:line="240" w:lineRule="auto"/>
                    <w:jc w:val="center"/>
                    <w:rPr>
                      <w:szCs w:val="21"/>
                    </w:rPr>
                  </w:pPr>
                  <w:r>
                    <w:rPr>
                      <w:szCs w:val="21"/>
                    </w:rPr>
                    <w:t>茚并</w:t>
                  </w:r>
                </w:p>
                <w:p w14:paraId="55C8E769">
                  <w:pPr>
                    <w:spacing w:line="240" w:lineRule="auto"/>
                    <w:jc w:val="center"/>
                    <w:rPr>
                      <w:szCs w:val="21"/>
                    </w:rPr>
                  </w:pPr>
                  <w:r>
                    <w:rPr>
                      <w:rFonts w:hint="eastAsia"/>
                      <w:szCs w:val="21"/>
                      <w:lang w:eastAsia="zh-CN"/>
                    </w:rPr>
                    <w:t>〔</w:t>
                  </w:r>
                  <w:r>
                    <w:rPr>
                      <w:szCs w:val="21"/>
                    </w:rPr>
                    <w:t>1,2,3-cd</w:t>
                  </w:r>
                  <w:r>
                    <w:rPr>
                      <w:rFonts w:hint="eastAsia"/>
                      <w:szCs w:val="21"/>
                      <w:lang w:eastAsia="zh-CN"/>
                    </w:rPr>
                    <w:t>〕</w:t>
                  </w:r>
                  <w:r>
                    <w:rPr>
                      <w:szCs w:val="21"/>
                    </w:rPr>
                    <w:t>芘</w:t>
                  </w:r>
                </w:p>
              </w:tc>
              <w:tc>
                <w:tcPr>
                  <w:tcW w:w="705" w:type="pct"/>
                  <w:vAlign w:val="center"/>
                </w:tcPr>
                <w:p w14:paraId="17627DC4">
                  <w:pPr>
                    <w:spacing w:line="240" w:lineRule="auto"/>
                    <w:jc w:val="center"/>
                    <w:rPr>
                      <w:szCs w:val="21"/>
                    </w:rPr>
                  </w:pPr>
                  <w:r>
                    <w:rPr>
                      <w:szCs w:val="21"/>
                    </w:rPr>
                    <w:t>萘</w:t>
                  </w:r>
                </w:p>
              </w:tc>
            </w:tr>
            <w:tr w14:paraId="7701E77B">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71" w:hRule="atLeast"/>
              </w:trPr>
              <w:tc>
                <w:tcPr>
                  <w:tcW w:w="481" w:type="pct"/>
                  <w:vAlign w:val="center"/>
                </w:tcPr>
                <w:p w14:paraId="0D961570">
                  <w:pPr>
                    <w:spacing w:line="240" w:lineRule="auto"/>
                    <w:jc w:val="center"/>
                    <w:rPr>
                      <w:b/>
                      <w:bCs/>
                      <w:color w:val="000000" w:themeColor="text1"/>
                      <w:szCs w:val="21"/>
                      <w14:textFill>
                        <w14:solidFill>
                          <w14:schemeClr w14:val="tx1"/>
                        </w14:solidFill>
                      </w14:textFill>
                    </w:rPr>
                  </w:pPr>
                  <w:r>
                    <w:rPr>
                      <w:b/>
                      <w:bCs/>
                      <w:color w:val="000000" w:themeColor="text1"/>
                      <w:szCs w:val="21"/>
                      <w14:textFill>
                        <w14:solidFill>
                          <w14:schemeClr w14:val="tx1"/>
                        </w14:solidFill>
                      </w14:textFill>
                    </w:rPr>
                    <w:t>标准值</w:t>
                  </w:r>
                </w:p>
              </w:tc>
              <w:tc>
                <w:tcPr>
                  <w:tcW w:w="744" w:type="pct"/>
                  <w:vAlign w:val="center"/>
                </w:tcPr>
                <w:p w14:paraId="51C127CD">
                  <w:pPr>
                    <w:spacing w:line="240" w:lineRule="auto"/>
                    <w:jc w:val="center"/>
                    <w:rPr>
                      <w:szCs w:val="21"/>
                    </w:rPr>
                  </w:pPr>
                  <w:r>
                    <w:rPr>
                      <w:szCs w:val="21"/>
                    </w:rPr>
                    <w:t>15</w:t>
                  </w:r>
                </w:p>
              </w:tc>
              <w:tc>
                <w:tcPr>
                  <w:tcW w:w="856" w:type="pct"/>
                  <w:vAlign w:val="center"/>
                </w:tcPr>
                <w:p w14:paraId="7A20D390">
                  <w:pPr>
                    <w:spacing w:line="240" w:lineRule="auto"/>
                    <w:jc w:val="center"/>
                    <w:rPr>
                      <w:szCs w:val="21"/>
                    </w:rPr>
                  </w:pPr>
                  <w:r>
                    <w:rPr>
                      <w:szCs w:val="21"/>
                    </w:rPr>
                    <w:t>151</w:t>
                  </w:r>
                </w:p>
              </w:tc>
              <w:tc>
                <w:tcPr>
                  <w:tcW w:w="785" w:type="pct"/>
                  <w:vAlign w:val="center"/>
                </w:tcPr>
                <w:p w14:paraId="58613153">
                  <w:pPr>
                    <w:spacing w:line="240" w:lineRule="auto"/>
                    <w:jc w:val="center"/>
                    <w:rPr>
                      <w:szCs w:val="21"/>
                    </w:rPr>
                  </w:pPr>
                  <w:r>
                    <w:rPr>
                      <w:szCs w:val="21"/>
                    </w:rPr>
                    <w:t>1293</w:t>
                  </w:r>
                </w:p>
              </w:tc>
              <w:tc>
                <w:tcPr>
                  <w:tcW w:w="729" w:type="pct"/>
                  <w:vAlign w:val="center"/>
                </w:tcPr>
                <w:p w14:paraId="23AE1A4A">
                  <w:pPr>
                    <w:spacing w:line="240" w:lineRule="auto"/>
                    <w:jc w:val="center"/>
                    <w:rPr>
                      <w:szCs w:val="21"/>
                    </w:rPr>
                  </w:pPr>
                  <w:r>
                    <w:rPr>
                      <w:szCs w:val="21"/>
                    </w:rPr>
                    <w:t>1.5</w:t>
                  </w:r>
                </w:p>
              </w:tc>
              <w:tc>
                <w:tcPr>
                  <w:tcW w:w="695" w:type="pct"/>
                  <w:vAlign w:val="center"/>
                </w:tcPr>
                <w:p w14:paraId="69335A41">
                  <w:pPr>
                    <w:spacing w:line="240" w:lineRule="auto"/>
                    <w:jc w:val="center"/>
                    <w:rPr>
                      <w:szCs w:val="21"/>
                    </w:rPr>
                  </w:pPr>
                  <w:r>
                    <w:rPr>
                      <w:szCs w:val="21"/>
                    </w:rPr>
                    <w:t>15</w:t>
                  </w:r>
                </w:p>
              </w:tc>
              <w:tc>
                <w:tcPr>
                  <w:tcW w:w="705" w:type="pct"/>
                  <w:vAlign w:val="center"/>
                </w:tcPr>
                <w:p w14:paraId="721A537D">
                  <w:pPr>
                    <w:spacing w:line="240" w:lineRule="auto"/>
                    <w:jc w:val="center"/>
                    <w:rPr>
                      <w:szCs w:val="21"/>
                    </w:rPr>
                  </w:pPr>
                  <w:r>
                    <w:rPr>
                      <w:szCs w:val="21"/>
                    </w:rPr>
                    <w:t>70</w:t>
                  </w:r>
                </w:p>
              </w:tc>
            </w:tr>
            <w:tr w14:paraId="3468A78A">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71" w:hRule="atLeast"/>
              </w:trPr>
              <w:tc>
                <w:tcPr>
                  <w:tcW w:w="481" w:type="pct"/>
                  <w:vAlign w:val="center"/>
                </w:tcPr>
                <w:p w14:paraId="1F1A4A4E">
                  <w:pPr>
                    <w:spacing w:line="240" w:lineRule="auto"/>
                    <w:jc w:val="center"/>
                    <w:rPr>
                      <w:b/>
                      <w:bCs/>
                      <w:color w:val="000000" w:themeColor="text1"/>
                      <w:szCs w:val="21"/>
                      <w14:textFill>
                        <w14:solidFill>
                          <w14:schemeClr w14:val="tx1"/>
                        </w14:solidFill>
                      </w14:textFill>
                    </w:rPr>
                  </w:pPr>
                  <w:r>
                    <w:rPr>
                      <w:b/>
                      <w:bCs/>
                      <w:color w:val="000000" w:themeColor="text1"/>
                      <w:szCs w:val="21"/>
                      <w14:textFill>
                        <w14:solidFill>
                          <w14:schemeClr w14:val="tx1"/>
                        </w14:solidFill>
                      </w14:textFill>
                    </w:rPr>
                    <w:t>指标</w:t>
                  </w:r>
                </w:p>
              </w:tc>
              <w:tc>
                <w:tcPr>
                  <w:tcW w:w="744" w:type="pct"/>
                  <w:vAlign w:val="center"/>
                </w:tcPr>
                <w:p w14:paraId="4EA1461C">
                  <w:pPr>
                    <w:spacing w:line="240" w:lineRule="auto"/>
                    <w:jc w:val="center"/>
                    <w:rPr>
                      <w:szCs w:val="21"/>
                    </w:rPr>
                  </w:pPr>
                  <w:r>
                    <w:rPr>
                      <w:szCs w:val="21"/>
                    </w:rPr>
                    <w:t>1</w:t>
                  </w:r>
                  <w:r>
                    <w:rPr>
                      <w:rFonts w:hint="eastAsia"/>
                      <w:szCs w:val="21"/>
                    </w:rPr>
                    <w:t>，</w:t>
                  </w:r>
                  <w:r>
                    <w:rPr>
                      <w:szCs w:val="21"/>
                    </w:rPr>
                    <w:t>2,3-三氯</w:t>
                  </w:r>
                </w:p>
                <w:p w14:paraId="1C0B8DB8">
                  <w:pPr>
                    <w:spacing w:line="240" w:lineRule="auto"/>
                    <w:jc w:val="center"/>
                    <w:rPr>
                      <w:szCs w:val="21"/>
                    </w:rPr>
                  </w:pPr>
                  <w:r>
                    <w:rPr>
                      <w:szCs w:val="21"/>
                    </w:rPr>
                    <w:t>丙烷</w:t>
                  </w:r>
                </w:p>
              </w:tc>
              <w:tc>
                <w:tcPr>
                  <w:tcW w:w="856" w:type="pct"/>
                  <w:vAlign w:val="center"/>
                </w:tcPr>
                <w:p w14:paraId="024894C1">
                  <w:pPr>
                    <w:spacing w:line="240" w:lineRule="auto"/>
                    <w:jc w:val="center"/>
                    <w:rPr>
                      <w:szCs w:val="21"/>
                    </w:rPr>
                  </w:pPr>
                  <w:r>
                    <w:rPr>
                      <w:szCs w:val="21"/>
                    </w:rPr>
                    <w:t>苯</w:t>
                  </w:r>
                </w:p>
              </w:tc>
              <w:tc>
                <w:tcPr>
                  <w:tcW w:w="785" w:type="pct"/>
                  <w:vAlign w:val="center"/>
                </w:tcPr>
                <w:p w14:paraId="357F597A">
                  <w:pPr>
                    <w:spacing w:line="240" w:lineRule="auto"/>
                    <w:jc w:val="center"/>
                    <w:rPr>
                      <w:szCs w:val="21"/>
                    </w:rPr>
                  </w:pPr>
                  <w:r>
                    <w:rPr>
                      <w:szCs w:val="21"/>
                    </w:rPr>
                    <w:t>氯苯</w:t>
                  </w:r>
                </w:p>
              </w:tc>
              <w:tc>
                <w:tcPr>
                  <w:tcW w:w="729" w:type="pct"/>
                  <w:vAlign w:val="center"/>
                </w:tcPr>
                <w:p w14:paraId="71985AFC">
                  <w:pPr>
                    <w:spacing w:line="240" w:lineRule="auto"/>
                    <w:jc w:val="center"/>
                    <w:rPr>
                      <w:szCs w:val="21"/>
                    </w:rPr>
                  </w:pPr>
                  <w:r>
                    <w:rPr>
                      <w:szCs w:val="21"/>
                    </w:rPr>
                    <w:t>1,2-二氯苯</w:t>
                  </w:r>
                </w:p>
              </w:tc>
              <w:tc>
                <w:tcPr>
                  <w:tcW w:w="695" w:type="pct"/>
                  <w:vAlign w:val="center"/>
                </w:tcPr>
                <w:p w14:paraId="7CE77931">
                  <w:pPr>
                    <w:spacing w:line="240" w:lineRule="auto"/>
                    <w:jc w:val="center"/>
                    <w:rPr>
                      <w:szCs w:val="21"/>
                    </w:rPr>
                  </w:pPr>
                  <w:r>
                    <w:rPr>
                      <w:szCs w:val="21"/>
                    </w:rPr>
                    <w:t>1,4-二氯苯</w:t>
                  </w:r>
                </w:p>
              </w:tc>
              <w:tc>
                <w:tcPr>
                  <w:tcW w:w="705" w:type="pct"/>
                  <w:vAlign w:val="center"/>
                </w:tcPr>
                <w:p w14:paraId="5721528C">
                  <w:pPr>
                    <w:spacing w:line="240" w:lineRule="auto"/>
                    <w:jc w:val="center"/>
                    <w:rPr>
                      <w:szCs w:val="21"/>
                    </w:rPr>
                  </w:pPr>
                  <w:r>
                    <w:rPr>
                      <w:szCs w:val="21"/>
                    </w:rPr>
                    <w:t>乙苯</w:t>
                  </w:r>
                </w:p>
              </w:tc>
            </w:tr>
            <w:tr w14:paraId="4B0C35E1">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71" w:hRule="atLeast"/>
              </w:trPr>
              <w:tc>
                <w:tcPr>
                  <w:tcW w:w="481" w:type="pct"/>
                  <w:vAlign w:val="center"/>
                </w:tcPr>
                <w:p w14:paraId="2DF03B71">
                  <w:pPr>
                    <w:spacing w:line="240" w:lineRule="auto"/>
                    <w:jc w:val="center"/>
                    <w:rPr>
                      <w:b/>
                      <w:bCs/>
                      <w:color w:val="000000" w:themeColor="text1"/>
                      <w:szCs w:val="21"/>
                      <w14:textFill>
                        <w14:solidFill>
                          <w14:schemeClr w14:val="tx1"/>
                        </w14:solidFill>
                      </w14:textFill>
                    </w:rPr>
                  </w:pPr>
                  <w:r>
                    <w:rPr>
                      <w:b/>
                      <w:bCs/>
                      <w:color w:val="000000" w:themeColor="text1"/>
                      <w:szCs w:val="21"/>
                      <w14:textFill>
                        <w14:solidFill>
                          <w14:schemeClr w14:val="tx1"/>
                        </w14:solidFill>
                      </w14:textFill>
                    </w:rPr>
                    <w:t>标准值</w:t>
                  </w:r>
                </w:p>
              </w:tc>
              <w:tc>
                <w:tcPr>
                  <w:tcW w:w="744" w:type="pct"/>
                  <w:vAlign w:val="center"/>
                </w:tcPr>
                <w:p w14:paraId="74251D83">
                  <w:pPr>
                    <w:spacing w:line="240" w:lineRule="auto"/>
                    <w:jc w:val="center"/>
                    <w:rPr>
                      <w:szCs w:val="21"/>
                    </w:rPr>
                  </w:pPr>
                  <w:r>
                    <w:rPr>
                      <w:szCs w:val="21"/>
                    </w:rPr>
                    <w:t>0.5</w:t>
                  </w:r>
                </w:p>
              </w:tc>
              <w:tc>
                <w:tcPr>
                  <w:tcW w:w="856" w:type="pct"/>
                  <w:vAlign w:val="center"/>
                </w:tcPr>
                <w:p w14:paraId="4EEA2506">
                  <w:pPr>
                    <w:spacing w:line="240" w:lineRule="auto"/>
                    <w:jc w:val="center"/>
                    <w:rPr>
                      <w:szCs w:val="21"/>
                    </w:rPr>
                  </w:pPr>
                  <w:r>
                    <w:rPr>
                      <w:szCs w:val="21"/>
                    </w:rPr>
                    <w:t>4</w:t>
                  </w:r>
                </w:p>
              </w:tc>
              <w:tc>
                <w:tcPr>
                  <w:tcW w:w="785" w:type="pct"/>
                  <w:vAlign w:val="center"/>
                </w:tcPr>
                <w:p w14:paraId="079B2988">
                  <w:pPr>
                    <w:spacing w:line="240" w:lineRule="auto"/>
                    <w:jc w:val="center"/>
                    <w:rPr>
                      <w:szCs w:val="21"/>
                    </w:rPr>
                  </w:pPr>
                  <w:r>
                    <w:rPr>
                      <w:szCs w:val="21"/>
                    </w:rPr>
                    <w:t>270</w:t>
                  </w:r>
                </w:p>
              </w:tc>
              <w:tc>
                <w:tcPr>
                  <w:tcW w:w="729" w:type="pct"/>
                  <w:vAlign w:val="center"/>
                </w:tcPr>
                <w:p w14:paraId="6694EB6B">
                  <w:pPr>
                    <w:spacing w:line="240" w:lineRule="auto"/>
                    <w:jc w:val="center"/>
                    <w:rPr>
                      <w:szCs w:val="21"/>
                    </w:rPr>
                  </w:pPr>
                  <w:r>
                    <w:rPr>
                      <w:szCs w:val="21"/>
                    </w:rPr>
                    <w:t>560</w:t>
                  </w:r>
                </w:p>
              </w:tc>
              <w:tc>
                <w:tcPr>
                  <w:tcW w:w="695" w:type="pct"/>
                  <w:vAlign w:val="center"/>
                </w:tcPr>
                <w:p w14:paraId="7A185DBB">
                  <w:pPr>
                    <w:spacing w:line="240" w:lineRule="auto"/>
                    <w:jc w:val="center"/>
                    <w:rPr>
                      <w:szCs w:val="21"/>
                    </w:rPr>
                  </w:pPr>
                  <w:r>
                    <w:rPr>
                      <w:szCs w:val="21"/>
                    </w:rPr>
                    <w:t>20</w:t>
                  </w:r>
                </w:p>
              </w:tc>
              <w:tc>
                <w:tcPr>
                  <w:tcW w:w="705" w:type="pct"/>
                  <w:vAlign w:val="center"/>
                </w:tcPr>
                <w:p w14:paraId="13D0C46D">
                  <w:pPr>
                    <w:spacing w:line="240" w:lineRule="auto"/>
                    <w:jc w:val="center"/>
                    <w:rPr>
                      <w:szCs w:val="21"/>
                    </w:rPr>
                  </w:pPr>
                  <w:r>
                    <w:rPr>
                      <w:szCs w:val="21"/>
                    </w:rPr>
                    <w:t>28</w:t>
                  </w:r>
                </w:p>
              </w:tc>
            </w:tr>
            <w:tr w14:paraId="5A0A08C8">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71" w:hRule="atLeast"/>
              </w:trPr>
              <w:tc>
                <w:tcPr>
                  <w:tcW w:w="481" w:type="pct"/>
                  <w:vAlign w:val="center"/>
                </w:tcPr>
                <w:p w14:paraId="2E7BDFFE">
                  <w:pPr>
                    <w:spacing w:line="240" w:lineRule="auto"/>
                    <w:jc w:val="center"/>
                    <w:rPr>
                      <w:b/>
                      <w:bCs/>
                      <w:color w:val="000000" w:themeColor="text1"/>
                      <w:szCs w:val="21"/>
                      <w14:textFill>
                        <w14:solidFill>
                          <w14:schemeClr w14:val="tx1"/>
                        </w14:solidFill>
                      </w14:textFill>
                    </w:rPr>
                  </w:pPr>
                  <w:r>
                    <w:rPr>
                      <w:b/>
                      <w:bCs/>
                      <w:color w:val="000000" w:themeColor="text1"/>
                      <w:szCs w:val="21"/>
                      <w14:textFill>
                        <w14:solidFill>
                          <w14:schemeClr w14:val="tx1"/>
                        </w14:solidFill>
                      </w14:textFill>
                    </w:rPr>
                    <w:t>指标</w:t>
                  </w:r>
                </w:p>
              </w:tc>
              <w:tc>
                <w:tcPr>
                  <w:tcW w:w="744" w:type="pct"/>
                  <w:vAlign w:val="center"/>
                </w:tcPr>
                <w:p w14:paraId="614CD249">
                  <w:pPr>
                    <w:spacing w:line="240" w:lineRule="auto"/>
                    <w:jc w:val="center"/>
                    <w:rPr>
                      <w:szCs w:val="21"/>
                    </w:rPr>
                  </w:pPr>
                  <w:r>
                    <w:rPr>
                      <w:szCs w:val="21"/>
                    </w:rPr>
                    <w:t>邻二甲苯</w:t>
                  </w:r>
                </w:p>
              </w:tc>
              <w:tc>
                <w:tcPr>
                  <w:tcW w:w="856" w:type="pct"/>
                  <w:vAlign w:val="center"/>
                </w:tcPr>
                <w:p w14:paraId="5B2C3181">
                  <w:pPr>
                    <w:spacing w:line="240" w:lineRule="auto"/>
                    <w:jc w:val="center"/>
                    <w:rPr>
                      <w:szCs w:val="21"/>
                    </w:rPr>
                  </w:pPr>
                  <w:r>
                    <w:rPr>
                      <w:szCs w:val="21"/>
                    </w:rPr>
                    <w:t>镍</w:t>
                  </w:r>
                </w:p>
              </w:tc>
              <w:tc>
                <w:tcPr>
                  <w:tcW w:w="785" w:type="pct"/>
                  <w:vAlign w:val="center"/>
                </w:tcPr>
                <w:p w14:paraId="49740CC9">
                  <w:pPr>
                    <w:spacing w:line="240" w:lineRule="auto"/>
                    <w:jc w:val="center"/>
                    <w:rPr>
                      <w:szCs w:val="21"/>
                    </w:rPr>
                  </w:pPr>
                  <w:r>
                    <w:rPr>
                      <w:szCs w:val="21"/>
                    </w:rPr>
                    <w:t>二氯甲烷</w:t>
                  </w:r>
                </w:p>
              </w:tc>
              <w:tc>
                <w:tcPr>
                  <w:tcW w:w="729" w:type="pct"/>
                  <w:vAlign w:val="center"/>
                </w:tcPr>
                <w:p w14:paraId="041B5C95">
                  <w:pPr>
                    <w:spacing w:line="240" w:lineRule="auto"/>
                    <w:jc w:val="center"/>
                    <w:rPr>
                      <w:szCs w:val="21"/>
                    </w:rPr>
                  </w:pPr>
                  <w:r>
                    <w:rPr>
                      <w:szCs w:val="21"/>
                    </w:rPr>
                    <w:t>苯并</w:t>
                  </w:r>
                  <w:r>
                    <w:rPr>
                      <w:rFonts w:hint="eastAsia"/>
                      <w:szCs w:val="21"/>
                      <w:lang w:eastAsia="zh-CN"/>
                    </w:rPr>
                    <w:t>〔</w:t>
                  </w:r>
                  <w:r>
                    <w:rPr>
                      <w:szCs w:val="21"/>
                    </w:rPr>
                    <w:t>a</w:t>
                  </w:r>
                  <w:r>
                    <w:rPr>
                      <w:rFonts w:hint="eastAsia"/>
                      <w:szCs w:val="21"/>
                      <w:lang w:eastAsia="zh-CN"/>
                    </w:rPr>
                    <w:t>〕</w:t>
                  </w:r>
                  <w:r>
                    <w:rPr>
                      <w:szCs w:val="21"/>
                    </w:rPr>
                    <w:t>芘</w:t>
                  </w:r>
                </w:p>
              </w:tc>
              <w:tc>
                <w:tcPr>
                  <w:tcW w:w="695" w:type="pct"/>
                  <w:vAlign w:val="center"/>
                </w:tcPr>
                <w:p w14:paraId="28BB6046">
                  <w:pPr>
                    <w:spacing w:line="240" w:lineRule="auto"/>
                    <w:jc w:val="center"/>
                    <w:rPr>
                      <w:szCs w:val="21"/>
                    </w:rPr>
                  </w:pPr>
                  <w:r>
                    <w:rPr>
                      <w:szCs w:val="21"/>
                    </w:rPr>
                    <w:t>三氯乙烯</w:t>
                  </w:r>
                </w:p>
              </w:tc>
              <w:tc>
                <w:tcPr>
                  <w:tcW w:w="705" w:type="pct"/>
                  <w:vAlign w:val="center"/>
                </w:tcPr>
                <w:p w14:paraId="37693459">
                  <w:pPr>
                    <w:spacing w:line="240" w:lineRule="auto"/>
                    <w:jc w:val="center"/>
                    <w:rPr>
                      <w:szCs w:val="21"/>
                    </w:rPr>
                  </w:pPr>
                  <w:r>
                    <w:rPr>
                      <w:szCs w:val="21"/>
                    </w:rPr>
                    <w:t>间二甲苯+对二甲苯</w:t>
                  </w:r>
                </w:p>
              </w:tc>
            </w:tr>
            <w:tr w14:paraId="4C16F69B">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71" w:hRule="atLeast"/>
              </w:trPr>
              <w:tc>
                <w:tcPr>
                  <w:tcW w:w="481" w:type="pct"/>
                  <w:vAlign w:val="center"/>
                </w:tcPr>
                <w:p w14:paraId="4DFFC150">
                  <w:pPr>
                    <w:spacing w:line="240" w:lineRule="auto"/>
                    <w:jc w:val="center"/>
                    <w:rPr>
                      <w:b/>
                      <w:bCs/>
                      <w:color w:val="000000" w:themeColor="text1"/>
                      <w:szCs w:val="21"/>
                      <w14:textFill>
                        <w14:solidFill>
                          <w14:schemeClr w14:val="tx1"/>
                        </w14:solidFill>
                      </w14:textFill>
                    </w:rPr>
                  </w:pPr>
                  <w:r>
                    <w:rPr>
                      <w:b/>
                      <w:bCs/>
                      <w:color w:val="000000" w:themeColor="text1"/>
                      <w:szCs w:val="21"/>
                      <w14:textFill>
                        <w14:solidFill>
                          <w14:schemeClr w14:val="tx1"/>
                        </w14:solidFill>
                      </w14:textFill>
                    </w:rPr>
                    <w:t>标准值</w:t>
                  </w:r>
                </w:p>
              </w:tc>
              <w:tc>
                <w:tcPr>
                  <w:tcW w:w="744" w:type="pct"/>
                  <w:vAlign w:val="center"/>
                </w:tcPr>
                <w:p w14:paraId="67A8000A">
                  <w:pPr>
                    <w:spacing w:line="240" w:lineRule="auto"/>
                    <w:jc w:val="center"/>
                    <w:rPr>
                      <w:szCs w:val="21"/>
                    </w:rPr>
                  </w:pPr>
                  <w:r>
                    <w:rPr>
                      <w:szCs w:val="21"/>
                    </w:rPr>
                    <w:t>640</w:t>
                  </w:r>
                </w:p>
              </w:tc>
              <w:tc>
                <w:tcPr>
                  <w:tcW w:w="856" w:type="pct"/>
                  <w:vAlign w:val="center"/>
                </w:tcPr>
                <w:p w14:paraId="331661A4">
                  <w:pPr>
                    <w:spacing w:line="240" w:lineRule="auto"/>
                    <w:jc w:val="center"/>
                    <w:rPr>
                      <w:szCs w:val="21"/>
                    </w:rPr>
                  </w:pPr>
                  <w:r>
                    <w:rPr>
                      <w:szCs w:val="21"/>
                    </w:rPr>
                    <w:t>900</w:t>
                  </w:r>
                </w:p>
              </w:tc>
              <w:tc>
                <w:tcPr>
                  <w:tcW w:w="785" w:type="pct"/>
                  <w:vAlign w:val="center"/>
                </w:tcPr>
                <w:p w14:paraId="7CAC9A87">
                  <w:pPr>
                    <w:spacing w:line="240" w:lineRule="auto"/>
                    <w:jc w:val="center"/>
                    <w:rPr>
                      <w:szCs w:val="21"/>
                    </w:rPr>
                  </w:pPr>
                  <w:r>
                    <w:rPr>
                      <w:szCs w:val="21"/>
                    </w:rPr>
                    <w:t>616</w:t>
                  </w:r>
                </w:p>
              </w:tc>
              <w:tc>
                <w:tcPr>
                  <w:tcW w:w="729" w:type="pct"/>
                  <w:vAlign w:val="center"/>
                </w:tcPr>
                <w:p w14:paraId="04B137F7">
                  <w:pPr>
                    <w:spacing w:line="240" w:lineRule="auto"/>
                    <w:jc w:val="center"/>
                    <w:rPr>
                      <w:szCs w:val="21"/>
                    </w:rPr>
                  </w:pPr>
                  <w:r>
                    <w:rPr>
                      <w:szCs w:val="21"/>
                    </w:rPr>
                    <w:t>1.5</w:t>
                  </w:r>
                </w:p>
              </w:tc>
              <w:tc>
                <w:tcPr>
                  <w:tcW w:w="695" w:type="pct"/>
                  <w:vAlign w:val="center"/>
                </w:tcPr>
                <w:p w14:paraId="1DBCA938">
                  <w:pPr>
                    <w:spacing w:line="240" w:lineRule="auto"/>
                    <w:jc w:val="center"/>
                    <w:rPr>
                      <w:szCs w:val="21"/>
                    </w:rPr>
                  </w:pPr>
                  <w:r>
                    <w:rPr>
                      <w:szCs w:val="21"/>
                    </w:rPr>
                    <w:t>2.8</w:t>
                  </w:r>
                </w:p>
              </w:tc>
              <w:tc>
                <w:tcPr>
                  <w:tcW w:w="705" w:type="pct"/>
                  <w:vAlign w:val="center"/>
                </w:tcPr>
                <w:p w14:paraId="69B47C71">
                  <w:pPr>
                    <w:spacing w:line="240" w:lineRule="auto"/>
                    <w:jc w:val="center"/>
                    <w:rPr>
                      <w:szCs w:val="21"/>
                    </w:rPr>
                  </w:pPr>
                  <w:r>
                    <w:rPr>
                      <w:szCs w:val="21"/>
                    </w:rPr>
                    <w:t>570</w:t>
                  </w:r>
                </w:p>
              </w:tc>
            </w:tr>
            <w:tr w14:paraId="0D03CD66">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71" w:hRule="atLeast"/>
              </w:trPr>
              <w:tc>
                <w:tcPr>
                  <w:tcW w:w="481" w:type="pct"/>
                  <w:vAlign w:val="center"/>
                </w:tcPr>
                <w:p w14:paraId="27FF864E">
                  <w:pPr>
                    <w:spacing w:line="240" w:lineRule="auto"/>
                    <w:jc w:val="center"/>
                    <w:rPr>
                      <w:b/>
                      <w:bCs/>
                      <w:color w:val="000000" w:themeColor="text1"/>
                      <w:szCs w:val="21"/>
                      <w14:textFill>
                        <w14:solidFill>
                          <w14:schemeClr w14:val="tx1"/>
                        </w14:solidFill>
                      </w14:textFill>
                    </w:rPr>
                  </w:pPr>
                  <w:r>
                    <w:rPr>
                      <w:b/>
                      <w:bCs/>
                      <w:color w:val="000000" w:themeColor="text1"/>
                      <w:szCs w:val="21"/>
                      <w14:textFill>
                        <w14:solidFill>
                          <w14:schemeClr w14:val="tx1"/>
                        </w14:solidFill>
                      </w14:textFill>
                    </w:rPr>
                    <w:t>指标</w:t>
                  </w:r>
                </w:p>
              </w:tc>
              <w:tc>
                <w:tcPr>
                  <w:tcW w:w="744" w:type="pct"/>
                  <w:vAlign w:val="center"/>
                </w:tcPr>
                <w:p w14:paraId="10D02AB1">
                  <w:pPr>
                    <w:spacing w:line="240" w:lineRule="auto"/>
                    <w:jc w:val="center"/>
                    <w:rPr>
                      <w:szCs w:val="21"/>
                    </w:rPr>
                  </w:pPr>
                  <w:r>
                    <w:rPr>
                      <w:szCs w:val="21"/>
                    </w:rPr>
                    <w:t>反-1,2-</w:t>
                  </w:r>
                </w:p>
                <w:p w14:paraId="1D027F4D">
                  <w:pPr>
                    <w:spacing w:line="240" w:lineRule="auto"/>
                    <w:jc w:val="center"/>
                    <w:rPr>
                      <w:szCs w:val="21"/>
                    </w:rPr>
                  </w:pPr>
                  <w:r>
                    <w:rPr>
                      <w:szCs w:val="21"/>
                    </w:rPr>
                    <w:t>二氯乙烯</w:t>
                  </w:r>
                </w:p>
              </w:tc>
              <w:tc>
                <w:tcPr>
                  <w:tcW w:w="856" w:type="pct"/>
                  <w:vAlign w:val="center"/>
                </w:tcPr>
                <w:p w14:paraId="03DA6CE4">
                  <w:pPr>
                    <w:spacing w:line="240" w:lineRule="auto"/>
                    <w:jc w:val="center"/>
                    <w:rPr>
                      <w:szCs w:val="21"/>
                    </w:rPr>
                  </w:pPr>
                  <w:r>
                    <w:rPr>
                      <w:szCs w:val="21"/>
                    </w:rPr>
                    <w:t>苯并</w:t>
                  </w:r>
                  <w:r>
                    <w:rPr>
                      <w:rFonts w:hint="eastAsia"/>
                      <w:szCs w:val="21"/>
                      <w:lang w:eastAsia="zh-CN"/>
                    </w:rPr>
                    <w:t>〔</w:t>
                  </w:r>
                  <w:r>
                    <w:rPr>
                      <w:szCs w:val="21"/>
                    </w:rPr>
                    <w:t>a</w:t>
                  </w:r>
                  <w:r>
                    <w:rPr>
                      <w:rFonts w:hint="eastAsia"/>
                      <w:szCs w:val="21"/>
                      <w:lang w:eastAsia="zh-CN"/>
                    </w:rPr>
                    <w:t>〕</w:t>
                  </w:r>
                  <w:r>
                    <w:rPr>
                      <w:szCs w:val="21"/>
                    </w:rPr>
                    <w:t>蒽</w:t>
                  </w:r>
                </w:p>
              </w:tc>
              <w:tc>
                <w:tcPr>
                  <w:tcW w:w="785" w:type="pct"/>
                  <w:vAlign w:val="center"/>
                </w:tcPr>
                <w:p w14:paraId="6D9017FB">
                  <w:pPr>
                    <w:spacing w:line="240" w:lineRule="auto"/>
                    <w:jc w:val="center"/>
                    <w:rPr>
                      <w:szCs w:val="21"/>
                    </w:rPr>
                  </w:pPr>
                  <w:r>
                    <w:rPr>
                      <w:szCs w:val="21"/>
                    </w:rPr>
                    <w:t>1，1,2-三氯</w:t>
                  </w:r>
                </w:p>
                <w:p w14:paraId="4BF4D804">
                  <w:pPr>
                    <w:spacing w:line="240" w:lineRule="auto"/>
                    <w:jc w:val="center"/>
                    <w:rPr>
                      <w:szCs w:val="21"/>
                    </w:rPr>
                  </w:pPr>
                  <w:r>
                    <w:rPr>
                      <w:szCs w:val="21"/>
                    </w:rPr>
                    <w:t>乙烷</w:t>
                  </w:r>
                </w:p>
              </w:tc>
              <w:tc>
                <w:tcPr>
                  <w:tcW w:w="729" w:type="pct"/>
                  <w:vAlign w:val="center"/>
                </w:tcPr>
                <w:p w14:paraId="0B0FF795">
                  <w:pPr>
                    <w:spacing w:line="240" w:lineRule="auto"/>
                    <w:jc w:val="center"/>
                    <w:rPr>
                      <w:szCs w:val="21"/>
                    </w:rPr>
                  </w:pPr>
                  <w:r>
                    <w:rPr>
                      <w:szCs w:val="21"/>
                    </w:rPr>
                    <w:t>甲苯</w:t>
                  </w:r>
                </w:p>
              </w:tc>
              <w:tc>
                <w:tcPr>
                  <w:tcW w:w="695" w:type="pct"/>
                  <w:vAlign w:val="center"/>
                </w:tcPr>
                <w:p w14:paraId="7E99D8B4">
                  <w:pPr>
                    <w:spacing w:line="240" w:lineRule="auto"/>
                    <w:jc w:val="center"/>
                    <w:rPr>
                      <w:szCs w:val="21"/>
                    </w:rPr>
                  </w:pPr>
                  <w:r>
                    <w:rPr>
                      <w:szCs w:val="21"/>
                    </w:rPr>
                    <w:t>铬（六价）</w:t>
                  </w:r>
                </w:p>
              </w:tc>
              <w:tc>
                <w:tcPr>
                  <w:tcW w:w="705" w:type="pct"/>
                  <w:vAlign w:val="center"/>
                </w:tcPr>
                <w:p w14:paraId="6F1B7FD4">
                  <w:pPr>
                    <w:spacing w:line="240" w:lineRule="auto"/>
                    <w:jc w:val="center"/>
                    <w:rPr>
                      <w:szCs w:val="21"/>
                    </w:rPr>
                  </w:pPr>
                  <w:r>
                    <w:rPr>
                      <w:szCs w:val="21"/>
                    </w:rPr>
                    <w:t>顺-1,2-二氯乙烯</w:t>
                  </w:r>
                </w:p>
              </w:tc>
            </w:tr>
            <w:tr w14:paraId="1AEC6B3E">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90" w:hRule="atLeast"/>
              </w:trPr>
              <w:tc>
                <w:tcPr>
                  <w:tcW w:w="481" w:type="pct"/>
                  <w:vAlign w:val="center"/>
                </w:tcPr>
                <w:p w14:paraId="65EB6C63">
                  <w:pPr>
                    <w:spacing w:line="240" w:lineRule="auto"/>
                    <w:jc w:val="center"/>
                    <w:rPr>
                      <w:b/>
                      <w:bCs/>
                      <w:color w:val="000000" w:themeColor="text1"/>
                      <w:szCs w:val="21"/>
                      <w14:textFill>
                        <w14:solidFill>
                          <w14:schemeClr w14:val="tx1"/>
                        </w14:solidFill>
                      </w14:textFill>
                    </w:rPr>
                  </w:pPr>
                  <w:r>
                    <w:rPr>
                      <w:b/>
                      <w:bCs/>
                      <w:color w:val="000000" w:themeColor="text1"/>
                      <w:szCs w:val="21"/>
                      <w14:textFill>
                        <w14:solidFill>
                          <w14:schemeClr w14:val="tx1"/>
                        </w14:solidFill>
                      </w14:textFill>
                    </w:rPr>
                    <w:t>标准值</w:t>
                  </w:r>
                </w:p>
              </w:tc>
              <w:tc>
                <w:tcPr>
                  <w:tcW w:w="744" w:type="pct"/>
                  <w:vAlign w:val="center"/>
                </w:tcPr>
                <w:p w14:paraId="13AA03DC">
                  <w:pPr>
                    <w:spacing w:line="240" w:lineRule="auto"/>
                    <w:jc w:val="center"/>
                    <w:rPr>
                      <w:szCs w:val="21"/>
                    </w:rPr>
                  </w:pPr>
                  <w:r>
                    <w:rPr>
                      <w:szCs w:val="21"/>
                    </w:rPr>
                    <w:t>54</w:t>
                  </w:r>
                </w:p>
              </w:tc>
              <w:tc>
                <w:tcPr>
                  <w:tcW w:w="856" w:type="pct"/>
                  <w:vAlign w:val="center"/>
                </w:tcPr>
                <w:p w14:paraId="7C62C5FE">
                  <w:pPr>
                    <w:spacing w:line="240" w:lineRule="auto"/>
                    <w:jc w:val="center"/>
                    <w:rPr>
                      <w:szCs w:val="21"/>
                    </w:rPr>
                  </w:pPr>
                  <w:r>
                    <w:rPr>
                      <w:szCs w:val="21"/>
                    </w:rPr>
                    <w:t>15</w:t>
                  </w:r>
                </w:p>
              </w:tc>
              <w:tc>
                <w:tcPr>
                  <w:tcW w:w="785" w:type="pct"/>
                  <w:vAlign w:val="center"/>
                </w:tcPr>
                <w:p w14:paraId="74528E84">
                  <w:pPr>
                    <w:spacing w:line="240" w:lineRule="auto"/>
                    <w:jc w:val="center"/>
                    <w:rPr>
                      <w:szCs w:val="21"/>
                    </w:rPr>
                  </w:pPr>
                  <w:r>
                    <w:rPr>
                      <w:szCs w:val="21"/>
                    </w:rPr>
                    <w:t>2.8</w:t>
                  </w:r>
                </w:p>
              </w:tc>
              <w:tc>
                <w:tcPr>
                  <w:tcW w:w="729" w:type="pct"/>
                  <w:vAlign w:val="center"/>
                </w:tcPr>
                <w:p w14:paraId="1E3257DD">
                  <w:pPr>
                    <w:spacing w:line="240" w:lineRule="auto"/>
                    <w:jc w:val="center"/>
                    <w:rPr>
                      <w:szCs w:val="21"/>
                    </w:rPr>
                  </w:pPr>
                  <w:r>
                    <w:rPr>
                      <w:szCs w:val="21"/>
                    </w:rPr>
                    <w:t>1200</w:t>
                  </w:r>
                </w:p>
              </w:tc>
              <w:tc>
                <w:tcPr>
                  <w:tcW w:w="695" w:type="pct"/>
                  <w:vAlign w:val="center"/>
                </w:tcPr>
                <w:p w14:paraId="0C618125">
                  <w:pPr>
                    <w:spacing w:line="240" w:lineRule="auto"/>
                    <w:jc w:val="center"/>
                    <w:rPr>
                      <w:szCs w:val="21"/>
                    </w:rPr>
                  </w:pPr>
                  <w:r>
                    <w:rPr>
                      <w:szCs w:val="21"/>
                    </w:rPr>
                    <w:t>5.7</w:t>
                  </w:r>
                </w:p>
              </w:tc>
              <w:tc>
                <w:tcPr>
                  <w:tcW w:w="705" w:type="pct"/>
                  <w:vAlign w:val="center"/>
                </w:tcPr>
                <w:p w14:paraId="13A42357">
                  <w:pPr>
                    <w:spacing w:line="240" w:lineRule="auto"/>
                    <w:jc w:val="center"/>
                    <w:rPr>
                      <w:szCs w:val="21"/>
                    </w:rPr>
                  </w:pPr>
                  <w:r>
                    <w:rPr>
                      <w:szCs w:val="21"/>
                    </w:rPr>
                    <w:t>296</w:t>
                  </w:r>
                </w:p>
              </w:tc>
            </w:tr>
            <w:tr w14:paraId="5292D465">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71" w:hRule="atLeast"/>
              </w:trPr>
              <w:tc>
                <w:tcPr>
                  <w:tcW w:w="481" w:type="pct"/>
                  <w:vAlign w:val="center"/>
                </w:tcPr>
                <w:p w14:paraId="7ADAEA8F">
                  <w:pPr>
                    <w:spacing w:line="240" w:lineRule="auto"/>
                    <w:jc w:val="center"/>
                    <w:rPr>
                      <w:b/>
                      <w:bCs/>
                      <w:color w:val="000000" w:themeColor="text1"/>
                      <w:szCs w:val="21"/>
                      <w14:textFill>
                        <w14:solidFill>
                          <w14:schemeClr w14:val="tx1"/>
                        </w14:solidFill>
                      </w14:textFill>
                    </w:rPr>
                  </w:pPr>
                  <w:r>
                    <w:rPr>
                      <w:b/>
                      <w:bCs/>
                      <w:color w:val="000000" w:themeColor="text1"/>
                      <w:szCs w:val="21"/>
                      <w14:textFill>
                        <w14:solidFill>
                          <w14:schemeClr w14:val="tx1"/>
                        </w14:solidFill>
                      </w14:textFill>
                    </w:rPr>
                    <w:t>指标</w:t>
                  </w:r>
                </w:p>
              </w:tc>
              <w:tc>
                <w:tcPr>
                  <w:tcW w:w="744" w:type="pct"/>
                  <w:vAlign w:val="center"/>
                </w:tcPr>
                <w:p w14:paraId="3B656344">
                  <w:pPr>
                    <w:spacing w:line="240" w:lineRule="auto"/>
                    <w:jc w:val="center"/>
                    <w:rPr>
                      <w:szCs w:val="21"/>
                    </w:rPr>
                  </w:pPr>
                  <w:r>
                    <w:rPr>
                      <w:szCs w:val="21"/>
                    </w:rPr>
                    <w:t>2-氯酚</w:t>
                  </w:r>
                </w:p>
              </w:tc>
              <w:tc>
                <w:tcPr>
                  <w:tcW w:w="856" w:type="pct"/>
                  <w:vAlign w:val="center"/>
                </w:tcPr>
                <w:p w14:paraId="3B9DF029">
                  <w:pPr>
                    <w:spacing w:line="240" w:lineRule="auto"/>
                    <w:jc w:val="center"/>
                    <w:rPr>
                      <w:szCs w:val="21"/>
                    </w:rPr>
                  </w:pPr>
                  <w:r>
                    <w:rPr>
                      <w:szCs w:val="21"/>
                    </w:rPr>
                    <w:t>1，1,1-三氯乙烷</w:t>
                  </w:r>
                </w:p>
              </w:tc>
              <w:tc>
                <w:tcPr>
                  <w:tcW w:w="785" w:type="pct"/>
                  <w:vAlign w:val="center"/>
                </w:tcPr>
                <w:p w14:paraId="3513212C">
                  <w:pPr>
                    <w:spacing w:line="240" w:lineRule="auto"/>
                    <w:jc w:val="center"/>
                    <w:rPr>
                      <w:szCs w:val="21"/>
                    </w:rPr>
                  </w:pPr>
                  <w:r>
                    <w:rPr>
                      <w:szCs w:val="21"/>
                    </w:rPr>
                    <w:t>苯乙烯</w:t>
                  </w:r>
                </w:p>
              </w:tc>
              <w:tc>
                <w:tcPr>
                  <w:tcW w:w="729" w:type="pct"/>
                  <w:vAlign w:val="center"/>
                </w:tcPr>
                <w:p w14:paraId="39EC6B61">
                  <w:pPr>
                    <w:spacing w:line="240" w:lineRule="auto"/>
                    <w:jc w:val="center"/>
                    <w:rPr>
                      <w:szCs w:val="21"/>
                    </w:rPr>
                  </w:pPr>
                  <w:r>
                    <w:rPr>
                      <w:szCs w:val="21"/>
                    </w:rPr>
                    <w:t>锌</w:t>
                  </w:r>
                </w:p>
              </w:tc>
              <w:tc>
                <w:tcPr>
                  <w:tcW w:w="695" w:type="pct"/>
                  <w:vAlign w:val="center"/>
                </w:tcPr>
                <w:p w14:paraId="3DE02C46">
                  <w:pPr>
                    <w:spacing w:line="240" w:lineRule="auto"/>
                    <w:jc w:val="center"/>
                    <w:rPr>
                      <w:szCs w:val="21"/>
                    </w:rPr>
                  </w:pPr>
                  <w:r>
                    <w:rPr>
                      <w:szCs w:val="21"/>
                    </w:rPr>
                    <w:t>氯乙烯</w:t>
                  </w:r>
                </w:p>
              </w:tc>
              <w:tc>
                <w:tcPr>
                  <w:tcW w:w="705" w:type="pct"/>
                  <w:vAlign w:val="center"/>
                </w:tcPr>
                <w:p w14:paraId="5C0F5092">
                  <w:pPr>
                    <w:spacing w:line="240" w:lineRule="auto"/>
                    <w:jc w:val="center"/>
                    <w:rPr>
                      <w:szCs w:val="21"/>
                    </w:rPr>
                  </w:pPr>
                  <w:r>
                    <w:rPr>
                      <w:szCs w:val="21"/>
                    </w:rPr>
                    <w:t>1,1,2,2-四氯乙烷</w:t>
                  </w:r>
                </w:p>
              </w:tc>
            </w:tr>
            <w:tr w14:paraId="0F9970C5">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71" w:hRule="atLeast"/>
              </w:trPr>
              <w:tc>
                <w:tcPr>
                  <w:tcW w:w="481" w:type="pct"/>
                  <w:vAlign w:val="center"/>
                </w:tcPr>
                <w:p w14:paraId="65EAFAFC">
                  <w:pPr>
                    <w:spacing w:line="240" w:lineRule="auto"/>
                    <w:jc w:val="center"/>
                    <w:rPr>
                      <w:b/>
                      <w:bCs/>
                      <w:color w:val="000000" w:themeColor="text1"/>
                      <w:szCs w:val="21"/>
                      <w14:textFill>
                        <w14:solidFill>
                          <w14:schemeClr w14:val="tx1"/>
                        </w14:solidFill>
                      </w14:textFill>
                    </w:rPr>
                  </w:pPr>
                  <w:r>
                    <w:rPr>
                      <w:b/>
                      <w:bCs/>
                      <w:color w:val="000000" w:themeColor="text1"/>
                      <w:szCs w:val="21"/>
                      <w14:textFill>
                        <w14:solidFill>
                          <w14:schemeClr w14:val="tx1"/>
                        </w14:solidFill>
                      </w14:textFill>
                    </w:rPr>
                    <w:t>标准值</w:t>
                  </w:r>
                </w:p>
              </w:tc>
              <w:tc>
                <w:tcPr>
                  <w:tcW w:w="744" w:type="pct"/>
                  <w:vAlign w:val="center"/>
                </w:tcPr>
                <w:p w14:paraId="02AB7CA7">
                  <w:pPr>
                    <w:spacing w:line="240" w:lineRule="auto"/>
                    <w:jc w:val="center"/>
                    <w:rPr>
                      <w:szCs w:val="21"/>
                    </w:rPr>
                  </w:pPr>
                  <w:r>
                    <w:rPr>
                      <w:szCs w:val="21"/>
                    </w:rPr>
                    <w:t>2256</w:t>
                  </w:r>
                </w:p>
              </w:tc>
              <w:tc>
                <w:tcPr>
                  <w:tcW w:w="856" w:type="pct"/>
                  <w:vAlign w:val="center"/>
                </w:tcPr>
                <w:p w14:paraId="07D9C3C0">
                  <w:pPr>
                    <w:spacing w:line="240" w:lineRule="auto"/>
                    <w:jc w:val="center"/>
                    <w:rPr>
                      <w:szCs w:val="21"/>
                    </w:rPr>
                  </w:pPr>
                  <w:r>
                    <w:rPr>
                      <w:szCs w:val="21"/>
                    </w:rPr>
                    <w:t>840</w:t>
                  </w:r>
                </w:p>
              </w:tc>
              <w:tc>
                <w:tcPr>
                  <w:tcW w:w="785" w:type="pct"/>
                  <w:vAlign w:val="center"/>
                </w:tcPr>
                <w:p w14:paraId="48374F41">
                  <w:pPr>
                    <w:spacing w:line="240" w:lineRule="auto"/>
                    <w:jc w:val="center"/>
                    <w:rPr>
                      <w:szCs w:val="21"/>
                    </w:rPr>
                  </w:pPr>
                  <w:r>
                    <w:rPr>
                      <w:szCs w:val="21"/>
                    </w:rPr>
                    <w:t>1290</w:t>
                  </w:r>
                </w:p>
              </w:tc>
              <w:tc>
                <w:tcPr>
                  <w:tcW w:w="729" w:type="pct"/>
                  <w:vAlign w:val="center"/>
                </w:tcPr>
                <w:p w14:paraId="0CE84B6C">
                  <w:pPr>
                    <w:spacing w:line="240" w:lineRule="auto"/>
                    <w:jc w:val="center"/>
                    <w:rPr>
                      <w:szCs w:val="21"/>
                    </w:rPr>
                  </w:pPr>
                  <w:r>
                    <w:rPr>
                      <w:szCs w:val="21"/>
                    </w:rPr>
                    <w:t>—</w:t>
                  </w:r>
                </w:p>
              </w:tc>
              <w:tc>
                <w:tcPr>
                  <w:tcW w:w="695" w:type="pct"/>
                  <w:vAlign w:val="center"/>
                </w:tcPr>
                <w:p w14:paraId="46A2181F">
                  <w:pPr>
                    <w:spacing w:line="240" w:lineRule="auto"/>
                    <w:jc w:val="center"/>
                    <w:rPr>
                      <w:szCs w:val="21"/>
                    </w:rPr>
                  </w:pPr>
                  <w:r>
                    <w:rPr>
                      <w:rFonts w:hint="eastAsia"/>
                      <w:szCs w:val="21"/>
                    </w:rPr>
                    <w:t>0.43</w:t>
                  </w:r>
                </w:p>
              </w:tc>
              <w:tc>
                <w:tcPr>
                  <w:tcW w:w="705" w:type="pct"/>
                  <w:vAlign w:val="center"/>
                </w:tcPr>
                <w:p w14:paraId="53842558">
                  <w:pPr>
                    <w:spacing w:line="240" w:lineRule="auto"/>
                    <w:jc w:val="center"/>
                    <w:rPr>
                      <w:szCs w:val="21"/>
                    </w:rPr>
                  </w:pPr>
                  <w:r>
                    <w:rPr>
                      <w:rFonts w:hint="eastAsia"/>
                      <w:szCs w:val="21"/>
                    </w:rPr>
                    <w:t>6.2</w:t>
                  </w:r>
                </w:p>
              </w:tc>
            </w:tr>
          </w:tbl>
          <w:p w14:paraId="0C87FA34">
            <w:pPr>
              <w:widowControl/>
              <w:adjustRightInd w:val="0"/>
              <w:snapToGrid w:val="0"/>
              <w:spacing w:line="500" w:lineRule="exact"/>
              <w:ind w:firstLine="480" w:firstLineChars="200"/>
              <w:rPr>
                <w:color w:val="000000" w:themeColor="text1"/>
                <w:kern w:val="0"/>
                <w:sz w:val="24"/>
                <w:lang w:bidi="ar"/>
                <w14:textFill>
                  <w14:solidFill>
                    <w14:schemeClr w14:val="tx1"/>
                  </w14:solidFill>
                </w14:textFill>
              </w:rPr>
            </w:pPr>
            <w:r>
              <w:rPr>
                <w:color w:val="000000" w:themeColor="text1"/>
                <w:kern w:val="0"/>
                <w:sz w:val="24"/>
                <w:lang w:bidi="ar"/>
                <w14:textFill>
                  <w14:solidFill>
                    <w14:schemeClr w14:val="tx1"/>
                  </w14:solidFill>
                </w14:textFill>
              </w:rPr>
              <w:t>根据《环境影响评价技术导则 土壤环境（试行）》（HJ964-2018）对评价范围内土壤进行了现状检测，检测报告见附件。</w:t>
            </w:r>
          </w:p>
          <w:p w14:paraId="57965F0D">
            <w:pPr>
              <w:widowControl/>
              <w:adjustRightInd w:val="0"/>
              <w:snapToGrid w:val="0"/>
              <w:spacing w:line="500" w:lineRule="exact"/>
              <w:ind w:firstLine="480" w:firstLineChars="200"/>
              <w:rPr>
                <w:color w:val="000000" w:themeColor="text1"/>
                <w:kern w:val="0"/>
                <w:sz w:val="24"/>
                <w:lang w:bidi="ar"/>
                <w14:textFill>
                  <w14:solidFill>
                    <w14:schemeClr w14:val="tx1"/>
                  </w14:solidFill>
                </w14:textFill>
              </w:rPr>
            </w:pPr>
            <w:r>
              <w:rPr>
                <w:rFonts w:hint="eastAsia"/>
                <w:color w:val="000000" w:themeColor="text1"/>
                <w:kern w:val="0"/>
                <w:sz w:val="24"/>
                <w14:textFill>
                  <w14:solidFill>
                    <w14:schemeClr w14:val="tx1"/>
                  </w14:solidFill>
                </w14:textFill>
              </w:rPr>
              <w:t>建设单位委托</w:t>
            </w:r>
            <w:r>
              <w:rPr>
                <w:color w:val="000000" w:themeColor="text1"/>
                <w:kern w:val="0"/>
                <w:sz w:val="24"/>
                <w14:textFill>
                  <w14:solidFill>
                    <w14:schemeClr w14:val="tx1"/>
                  </w14:solidFill>
                </w14:textFill>
              </w:rPr>
              <w:t>辽朝阳彤天环保发展有限公司于202</w:t>
            </w:r>
            <w:r>
              <w:rPr>
                <w:rFonts w:hint="eastAsia"/>
                <w:color w:val="000000" w:themeColor="text1"/>
                <w:kern w:val="0"/>
                <w:sz w:val="24"/>
                <w14:textFill>
                  <w14:solidFill>
                    <w14:schemeClr w14:val="tx1"/>
                  </w14:solidFill>
                </w14:textFill>
              </w:rPr>
              <w:t>5</w:t>
            </w:r>
            <w:r>
              <w:rPr>
                <w:color w:val="000000" w:themeColor="text1"/>
                <w:kern w:val="0"/>
                <w:sz w:val="24"/>
                <w14:textFill>
                  <w14:solidFill>
                    <w14:schemeClr w14:val="tx1"/>
                  </w14:solidFill>
                </w14:textFill>
              </w:rPr>
              <w:t>年</w:t>
            </w:r>
            <w:r>
              <w:rPr>
                <w:rFonts w:hint="eastAsia"/>
                <w:color w:val="000000" w:themeColor="text1"/>
                <w:kern w:val="0"/>
                <w:sz w:val="24"/>
                <w14:textFill>
                  <w14:solidFill>
                    <w14:schemeClr w14:val="tx1"/>
                  </w14:solidFill>
                </w14:textFill>
              </w:rPr>
              <w:t>3</w:t>
            </w:r>
            <w:r>
              <w:rPr>
                <w:color w:val="000000" w:themeColor="text1"/>
                <w:kern w:val="0"/>
                <w:sz w:val="24"/>
                <w14:textFill>
                  <w14:solidFill>
                    <w14:schemeClr w14:val="tx1"/>
                  </w14:solidFill>
                </w14:textFill>
              </w:rPr>
              <w:t>月</w:t>
            </w:r>
            <w:r>
              <w:rPr>
                <w:rFonts w:hint="eastAsia"/>
                <w:color w:val="000000" w:themeColor="text1"/>
                <w:kern w:val="0"/>
                <w:sz w:val="24"/>
                <w14:textFill>
                  <w14:solidFill>
                    <w14:schemeClr w14:val="tx1"/>
                  </w14:solidFill>
                </w14:textFill>
              </w:rPr>
              <w:t>27</w:t>
            </w:r>
            <w:r>
              <w:rPr>
                <w:color w:val="000000" w:themeColor="text1"/>
                <w:kern w:val="0"/>
                <w:sz w:val="24"/>
                <w14:textFill>
                  <w14:solidFill>
                    <w14:schemeClr w14:val="tx1"/>
                  </w14:solidFill>
                </w14:textFill>
              </w:rPr>
              <w:t>日对项目所在地</w:t>
            </w:r>
            <w:r>
              <w:rPr>
                <w:color w:val="000000" w:themeColor="text1"/>
                <w:kern w:val="0"/>
                <w:sz w:val="24"/>
                <w:lang w:bidi="ar"/>
                <w14:textFill>
                  <w14:solidFill>
                    <w14:schemeClr w14:val="tx1"/>
                  </w14:solidFill>
                </w14:textFill>
              </w:rPr>
              <w:t>土壤进行了检测。</w:t>
            </w:r>
          </w:p>
          <w:p w14:paraId="3EC95E79">
            <w:pPr>
              <w:widowControl/>
              <w:adjustRightInd w:val="0"/>
              <w:snapToGrid w:val="0"/>
              <w:spacing w:line="500" w:lineRule="exact"/>
              <w:ind w:firstLine="480" w:firstLineChars="200"/>
              <w:rPr>
                <w:color w:val="000000" w:themeColor="text1"/>
                <w:kern w:val="0"/>
                <w:sz w:val="24"/>
                <w:lang w:bidi="ar"/>
                <w14:textFill>
                  <w14:solidFill>
                    <w14:schemeClr w14:val="tx1"/>
                  </w14:solidFill>
                </w14:textFill>
              </w:rPr>
            </w:pPr>
            <w:r>
              <w:rPr>
                <w:color w:val="000000" w:themeColor="text1"/>
                <w:kern w:val="0"/>
                <w:sz w:val="24"/>
                <w:lang w:bidi="ar"/>
                <w14:textFill>
                  <w14:solidFill>
                    <w14:schemeClr w14:val="tx1"/>
                  </w14:solidFill>
                </w14:textFill>
              </w:rPr>
              <w:t>①监测点位：厂区中心（0-20cm）（N：41°46′36.92″，E：120°45′17.46″）</w:t>
            </w:r>
          </w:p>
          <w:p w14:paraId="4E3A1F3F">
            <w:pPr>
              <w:adjustRightInd w:val="0"/>
              <w:snapToGrid w:val="0"/>
              <w:spacing w:line="500" w:lineRule="exact"/>
              <w:ind w:firstLine="480" w:firstLineChars="200"/>
              <w:rPr>
                <w:color w:val="000000" w:themeColor="text1"/>
                <w:kern w:val="0"/>
                <w:sz w:val="24"/>
                <w14:textFill>
                  <w14:solidFill>
                    <w14:schemeClr w14:val="tx1"/>
                  </w14:solidFill>
                </w14:textFill>
              </w:rPr>
            </w:pPr>
            <w:r>
              <w:rPr>
                <w:color w:val="000000" w:themeColor="text1"/>
                <w:kern w:val="0"/>
                <w:sz w:val="24"/>
                <w14:textFill>
                  <w14:solidFill>
                    <w14:schemeClr w14:val="tx1"/>
                  </w14:solidFill>
                </w14:textFill>
              </w:rPr>
              <w:t>②监测时间及频率：监测1天，1次/天。</w:t>
            </w:r>
          </w:p>
          <w:p w14:paraId="26CDA52E">
            <w:pPr>
              <w:adjustRightInd w:val="0"/>
              <w:snapToGrid w:val="0"/>
              <w:spacing w:line="500" w:lineRule="exact"/>
              <w:ind w:firstLine="480" w:firstLineChars="200"/>
              <w:rPr>
                <w:color w:val="000000" w:themeColor="text1"/>
                <w:kern w:val="0"/>
                <w:sz w:val="24"/>
                <w14:textFill>
                  <w14:solidFill>
                    <w14:schemeClr w14:val="tx1"/>
                  </w14:solidFill>
                </w14:textFill>
              </w:rPr>
            </w:pPr>
            <w:r>
              <w:rPr>
                <w:color w:val="000000" w:themeColor="text1"/>
                <w:kern w:val="0"/>
                <w:sz w:val="24"/>
                <w14:textFill>
                  <w14:solidFill>
                    <w14:schemeClr w14:val="tx1"/>
                  </w14:solidFill>
                </w14:textFill>
              </w:rPr>
              <w:t>土壤现状监测结果见下表3-</w:t>
            </w:r>
            <w:r>
              <w:rPr>
                <w:rFonts w:hint="eastAsia"/>
                <w:color w:val="000000" w:themeColor="text1"/>
                <w:kern w:val="0"/>
                <w:sz w:val="24"/>
                <w14:textFill>
                  <w14:solidFill>
                    <w14:schemeClr w14:val="tx1"/>
                  </w14:solidFill>
                </w14:textFill>
              </w:rPr>
              <w:t>5</w:t>
            </w:r>
            <w:r>
              <w:rPr>
                <w:color w:val="000000" w:themeColor="text1"/>
                <w:kern w:val="0"/>
                <w:sz w:val="24"/>
                <w14:textFill>
                  <w14:solidFill>
                    <w14:schemeClr w14:val="tx1"/>
                  </w14:solidFill>
                </w14:textFill>
              </w:rPr>
              <w:t>。</w:t>
            </w:r>
          </w:p>
          <w:p w14:paraId="3A46A1C4">
            <w:pPr>
              <w:adjustRightInd w:val="0"/>
              <w:snapToGrid w:val="0"/>
              <w:spacing w:line="500" w:lineRule="exact"/>
              <w:jc w:val="center"/>
              <w:rPr>
                <w:b/>
                <w:bCs/>
                <w:color w:val="000000" w:themeColor="text1"/>
                <w:kern w:val="0"/>
                <w:szCs w:val="21"/>
                <w14:textFill>
                  <w14:solidFill>
                    <w14:schemeClr w14:val="tx1"/>
                  </w14:solidFill>
                </w14:textFill>
              </w:rPr>
            </w:pPr>
            <w:r>
              <w:rPr>
                <w:b/>
                <w:bCs/>
                <w:color w:val="000000" w:themeColor="text1"/>
                <w:kern w:val="0"/>
                <w:szCs w:val="21"/>
                <w14:textFill>
                  <w14:solidFill>
                    <w14:schemeClr w14:val="tx1"/>
                  </w14:solidFill>
                </w14:textFill>
              </w:rPr>
              <w:t>表3-</w:t>
            </w:r>
            <w:r>
              <w:rPr>
                <w:rFonts w:hint="eastAsia"/>
                <w:b/>
                <w:bCs/>
                <w:color w:val="000000" w:themeColor="text1"/>
                <w:kern w:val="0"/>
                <w:szCs w:val="21"/>
                <w14:textFill>
                  <w14:solidFill>
                    <w14:schemeClr w14:val="tx1"/>
                  </w14:solidFill>
                </w14:textFill>
              </w:rPr>
              <w:t>5</w:t>
            </w:r>
            <w:r>
              <w:rPr>
                <w:b/>
                <w:bCs/>
                <w:color w:val="000000" w:themeColor="text1"/>
                <w:kern w:val="0"/>
                <w:szCs w:val="21"/>
                <w14:textFill>
                  <w14:solidFill>
                    <w14:schemeClr w14:val="tx1"/>
                  </w14:solidFill>
                </w14:textFill>
              </w:rPr>
              <w:t xml:space="preserve"> </w:t>
            </w:r>
            <w:r>
              <w:rPr>
                <w:rFonts w:hint="eastAsia"/>
                <w:b/>
                <w:bCs/>
                <w:color w:val="000000" w:themeColor="text1"/>
                <w:kern w:val="0"/>
                <w:szCs w:val="21"/>
                <w14:textFill>
                  <w14:solidFill>
                    <w14:schemeClr w14:val="tx1"/>
                  </w14:solidFill>
                </w14:textFill>
              </w:rPr>
              <w:t xml:space="preserve">  </w:t>
            </w:r>
            <w:r>
              <w:rPr>
                <w:b/>
                <w:bCs/>
                <w:color w:val="000000" w:themeColor="text1"/>
                <w:kern w:val="0"/>
                <w:szCs w:val="21"/>
                <w14:textFill>
                  <w14:solidFill>
                    <w14:schemeClr w14:val="tx1"/>
                  </w14:solidFill>
                </w14:textFill>
              </w:rPr>
              <w:t xml:space="preserve"> 土壤现状监测结果</w:t>
            </w:r>
          </w:p>
          <w:tbl>
            <w:tblPr>
              <w:tblStyle w:val="34"/>
              <w:tblW w:w="4998" w:type="pct"/>
              <w:tblInd w:w="0" w:type="dxa"/>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4009"/>
              <w:gridCol w:w="1215"/>
              <w:gridCol w:w="1512"/>
              <w:gridCol w:w="1246"/>
            </w:tblGrid>
            <w:tr w14:paraId="64B3A098">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86" w:hRule="atLeast"/>
              </w:trPr>
              <w:tc>
                <w:tcPr>
                  <w:tcW w:w="2511" w:type="pct"/>
                  <w:vAlign w:val="center"/>
                </w:tcPr>
                <w:p w14:paraId="42B89DB1">
                  <w:pPr>
                    <w:adjustRightInd w:val="0"/>
                    <w:snapToGrid w:val="0"/>
                    <w:spacing w:line="360" w:lineRule="auto"/>
                    <w:jc w:val="center"/>
                    <w:rPr>
                      <w:b/>
                      <w:bCs/>
                      <w:color w:val="000000" w:themeColor="text1"/>
                      <w:kern w:val="0"/>
                      <w:szCs w:val="21"/>
                      <w14:textFill>
                        <w14:solidFill>
                          <w14:schemeClr w14:val="tx1"/>
                        </w14:solidFill>
                      </w14:textFill>
                    </w:rPr>
                  </w:pPr>
                  <w:r>
                    <w:rPr>
                      <w:b/>
                      <w:bCs/>
                      <w:color w:val="000000" w:themeColor="text1"/>
                      <w:kern w:val="0"/>
                      <w:szCs w:val="21"/>
                      <w14:textFill>
                        <w14:solidFill>
                          <w14:schemeClr w14:val="tx1"/>
                        </w14:solidFill>
                      </w14:textFill>
                    </w:rPr>
                    <w:t>监测项目</w:t>
                  </w:r>
                </w:p>
              </w:tc>
              <w:tc>
                <w:tcPr>
                  <w:tcW w:w="761" w:type="pct"/>
                  <w:vAlign w:val="center"/>
                </w:tcPr>
                <w:p w14:paraId="3F865FB3">
                  <w:pPr>
                    <w:adjustRightInd w:val="0"/>
                    <w:snapToGrid w:val="0"/>
                    <w:spacing w:line="360" w:lineRule="auto"/>
                    <w:jc w:val="center"/>
                    <w:rPr>
                      <w:b/>
                      <w:bCs/>
                      <w:color w:val="000000" w:themeColor="text1"/>
                      <w:kern w:val="0"/>
                      <w:szCs w:val="21"/>
                      <w14:textFill>
                        <w14:solidFill>
                          <w14:schemeClr w14:val="tx1"/>
                        </w14:solidFill>
                      </w14:textFill>
                    </w:rPr>
                  </w:pPr>
                  <w:r>
                    <w:rPr>
                      <w:b/>
                      <w:bCs/>
                      <w:color w:val="000000" w:themeColor="text1"/>
                      <w:kern w:val="0"/>
                      <w:szCs w:val="21"/>
                      <w14:textFill>
                        <w14:solidFill>
                          <w14:schemeClr w14:val="tx1"/>
                        </w14:solidFill>
                      </w14:textFill>
                    </w:rPr>
                    <w:t>监测结果</w:t>
                  </w:r>
                </w:p>
              </w:tc>
              <w:tc>
                <w:tcPr>
                  <w:tcW w:w="947" w:type="pct"/>
                  <w:vAlign w:val="center"/>
                </w:tcPr>
                <w:p w14:paraId="21122C0C">
                  <w:pPr>
                    <w:adjustRightInd w:val="0"/>
                    <w:snapToGrid w:val="0"/>
                    <w:spacing w:line="360" w:lineRule="auto"/>
                    <w:jc w:val="center"/>
                    <w:rPr>
                      <w:b/>
                      <w:bCs/>
                      <w:color w:val="000000" w:themeColor="text1"/>
                      <w:kern w:val="0"/>
                      <w:szCs w:val="21"/>
                      <w14:textFill>
                        <w14:solidFill>
                          <w14:schemeClr w14:val="tx1"/>
                        </w14:solidFill>
                      </w14:textFill>
                    </w:rPr>
                  </w:pPr>
                  <w:r>
                    <w:rPr>
                      <w:b/>
                      <w:bCs/>
                      <w:color w:val="000000" w:themeColor="text1"/>
                      <w:kern w:val="0"/>
                      <w:szCs w:val="21"/>
                      <w14:textFill>
                        <w14:solidFill>
                          <w14:schemeClr w14:val="tx1"/>
                        </w14:solidFill>
                      </w14:textFill>
                    </w:rPr>
                    <w:t>标准值mg/kg</w:t>
                  </w:r>
                </w:p>
              </w:tc>
              <w:tc>
                <w:tcPr>
                  <w:tcW w:w="780" w:type="pct"/>
                  <w:vAlign w:val="center"/>
                </w:tcPr>
                <w:p w14:paraId="51308FEA">
                  <w:pPr>
                    <w:adjustRightInd w:val="0"/>
                    <w:snapToGrid w:val="0"/>
                    <w:spacing w:line="360" w:lineRule="auto"/>
                    <w:jc w:val="center"/>
                    <w:rPr>
                      <w:b/>
                      <w:bCs/>
                      <w:color w:val="000000" w:themeColor="text1"/>
                      <w:kern w:val="0"/>
                      <w:szCs w:val="21"/>
                      <w14:textFill>
                        <w14:solidFill>
                          <w14:schemeClr w14:val="tx1"/>
                        </w14:solidFill>
                      </w14:textFill>
                    </w:rPr>
                  </w:pPr>
                  <w:r>
                    <w:rPr>
                      <w:b/>
                      <w:bCs/>
                      <w:color w:val="000000" w:themeColor="text1"/>
                      <w:kern w:val="0"/>
                      <w:szCs w:val="21"/>
                      <w14:textFill>
                        <w14:solidFill>
                          <w14:schemeClr w14:val="tx1"/>
                        </w14:solidFill>
                      </w14:textFill>
                    </w:rPr>
                    <w:t>达标</w:t>
                  </w:r>
                </w:p>
                <w:p w14:paraId="4F0DEFC1">
                  <w:pPr>
                    <w:adjustRightInd w:val="0"/>
                    <w:snapToGrid w:val="0"/>
                    <w:spacing w:line="360" w:lineRule="auto"/>
                    <w:jc w:val="center"/>
                    <w:rPr>
                      <w:b/>
                      <w:bCs/>
                      <w:color w:val="000000" w:themeColor="text1"/>
                      <w:kern w:val="0"/>
                      <w:szCs w:val="21"/>
                      <w14:textFill>
                        <w14:solidFill>
                          <w14:schemeClr w14:val="tx1"/>
                        </w14:solidFill>
                      </w14:textFill>
                    </w:rPr>
                  </w:pPr>
                  <w:r>
                    <w:rPr>
                      <w:b/>
                      <w:bCs/>
                      <w:color w:val="000000" w:themeColor="text1"/>
                      <w:kern w:val="0"/>
                      <w:szCs w:val="21"/>
                      <w14:textFill>
                        <w14:solidFill>
                          <w14:schemeClr w14:val="tx1"/>
                        </w14:solidFill>
                      </w14:textFill>
                    </w:rPr>
                    <w:t>情况</w:t>
                  </w:r>
                </w:p>
              </w:tc>
            </w:tr>
            <w:tr w14:paraId="3E8A676D">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511" w:type="pct"/>
                  <w:vAlign w:val="center"/>
                </w:tcPr>
                <w:p w14:paraId="5A24CD1F">
                  <w:pPr>
                    <w:jc w:val="center"/>
                    <w:rPr>
                      <w:szCs w:val="21"/>
                    </w:rPr>
                  </w:pPr>
                  <w:r>
                    <w:rPr>
                      <w:rFonts w:hint="eastAsia"/>
                      <w:szCs w:val="21"/>
                    </w:rPr>
                    <w:t>PH</w:t>
                  </w:r>
                </w:p>
              </w:tc>
              <w:tc>
                <w:tcPr>
                  <w:tcW w:w="761" w:type="pct"/>
                  <w:vAlign w:val="center"/>
                </w:tcPr>
                <w:p w14:paraId="50DDF94D">
                  <w:pPr>
                    <w:jc w:val="center"/>
                    <w:rPr>
                      <w:szCs w:val="21"/>
                    </w:rPr>
                  </w:pPr>
                  <w:r>
                    <w:rPr>
                      <w:rFonts w:hint="eastAsia"/>
                      <w:szCs w:val="21"/>
                    </w:rPr>
                    <w:t>8.2</w:t>
                  </w:r>
                </w:p>
              </w:tc>
              <w:tc>
                <w:tcPr>
                  <w:tcW w:w="947" w:type="pct"/>
                  <w:vAlign w:val="center"/>
                </w:tcPr>
                <w:p w14:paraId="6EB1CD0C">
                  <w:pPr>
                    <w:jc w:val="center"/>
                    <w:rPr>
                      <w:szCs w:val="21"/>
                    </w:rPr>
                  </w:pPr>
                  <w:r>
                    <w:rPr>
                      <w:szCs w:val="21"/>
                    </w:rPr>
                    <w:t>无量纲</w:t>
                  </w:r>
                </w:p>
              </w:tc>
              <w:tc>
                <w:tcPr>
                  <w:tcW w:w="780" w:type="pct"/>
                  <w:vAlign w:val="center"/>
                </w:tcPr>
                <w:p w14:paraId="3614298A">
                  <w:pPr>
                    <w:jc w:val="center"/>
                    <w:rPr>
                      <w:szCs w:val="21"/>
                    </w:rPr>
                  </w:pPr>
                  <w:r>
                    <w:rPr>
                      <w:rFonts w:hint="eastAsia"/>
                      <w:szCs w:val="21"/>
                    </w:rPr>
                    <w:t>/</w:t>
                  </w:r>
                </w:p>
              </w:tc>
            </w:tr>
            <w:tr w14:paraId="483E1C30">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511" w:type="pct"/>
                  <w:vAlign w:val="center"/>
                </w:tcPr>
                <w:p w14:paraId="5EAEA7B3">
                  <w:pPr>
                    <w:jc w:val="center"/>
                    <w:rPr>
                      <w:szCs w:val="21"/>
                      <w:lang w:eastAsia="en-US"/>
                    </w:rPr>
                  </w:pPr>
                  <w:r>
                    <w:rPr>
                      <w:szCs w:val="21"/>
                    </w:rPr>
                    <w:t>铜(mg/kg)</w:t>
                  </w:r>
                </w:p>
              </w:tc>
              <w:tc>
                <w:tcPr>
                  <w:tcW w:w="761" w:type="pct"/>
                  <w:vAlign w:val="center"/>
                </w:tcPr>
                <w:p w14:paraId="6D645577">
                  <w:pPr>
                    <w:jc w:val="center"/>
                    <w:rPr>
                      <w:szCs w:val="21"/>
                    </w:rPr>
                  </w:pPr>
                  <w:r>
                    <w:rPr>
                      <w:rFonts w:hint="eastAsia"/>
                      <w:szCs w:val="21"/>
                    </w:rPr>
                    <w:t>16</w:t>
                  </w:r>
                </w:p>
              </w:tc>
              <w:tc>
                <w:tcPr>
                  <w:tcW w:w="947" w:type="pct"/>
                  <w:vAlign w:val="center"/>
                </w:tcPr>
                <w:p w14:paraId="3D2FB576">
                  <w:pPr>
                    <w:jc w:val="center"/>
                    <w:rPr>
                      <w:szCs w:val="21"/>
                    </w:rPr>
                  </w:pPr>
                  <w:r>
                    <w:rPr>
                      <w:rFonts w:hint="eastAsia"/>
                      <w:szCs w:val="21"/>
                    </w:rPr>
                    <w:t>18000</w:t>
                  </w:r>
                </w:p>
              </w:tc>
              <w:tc>
                <w:tcPr>
                  <w:tcW w:w="780" w:type="pct"/>
                  <w:vAlign w:val="center"/>
                </w:tcPr>
                <w:p w14:paraId="6A5133D3">
                  <w:pPr>
                    <w:jc w:val="center"/>
                    <w:rPr>
                      <w:szCs w:val="21"/>
                    </w:rPr>
                  </w:pPr>
                  <w:r>
                    <w:rPr>
                      <w:szCs w:val="21"/>
                    </w:rPr>
                    <w:t>达标</w:t>
                  </w:r>
                </w:p>
              </w:tc>
            </w:tr>
            <w:tr w14:paraId="3D041DD2">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511" w:type="pct"/>
                  <w:vAlign w:val="center"/>
                </w:tcPr>
                <w:p w14:paraId="11CC44EB">
                  <w:pPr>
                    <w:jc w:val="center"/>
                    <w:rPr>
                      <w:szCs w:val="21"/>
                      <w:lang w:eastAsia="en-US"/>
                    </w:rPr>
                  </w:pPr>
                  <w:r>
                    <w:rPr>
                      <w:szCs w:val="21"/>
                    </w:rPr>
                    <w:t>镍(mg/kg)</w:t>
                  </w:r>
                </w:p>
              </w:tc>
              <w:tc>
                <w:tcPr>
                  <w:tcW w:w="761" w:type="pct"/>
                  <w:vAlign w:val="center"/>
                </w:tcPr>
                <w:p w14:paraId="647C98ED">
                  <w:pPr>
                    <w:jc w:val="center"/>
                    <w:rPr>
                      <w:szCs w:val="21"/>
                    </w:rPr>
                  </w:pPr>
                  <w:r>
                    <w:rPr>
                      <w:rFonts w:hint="eastAsia"/>
                      <w:szCs w:val="21"/>
                    </w:rPr>
                    <w:t>7</w:t>
                  </w:r>
                </w:p>
              </w:tc>
              <w:tc>
                <w:tcPr>
                  <w:tcW w:w="947" w:type="pct"/>
                  <w:vAlign w:val="center"/>
                </w:tcPr>
                <w:p w14:paraId="1B03A6B9">
                  <w:pPr>
                    <w:jc w:val="center"/>
                    <w:rPr>
                      <w:szCs w:val="21"/>
                    </w:rPr>
                  </w:pPr>
                  <w:r>
                    <w:rPr>
                      <w:rFonts w:hint="eastAsia"/>
                      <w:szCs w:val="21"/>
                    </w:rPr>
                    <w:t>900</w:t>
                  </w:r>
                </w:p>
              </w:tc>
              <w:tc>
                <w:tcPr>
                  <w:tcW w:w="780" w:type="pct"/>
                  <w:vAlign w:val="center"/>
                </w:tcPr>
                <w:p w14:paraId="761FCCE3">
                  <w:pPr>
                    <w:jc w:val="center"/>
                    <w:rPr>
                      <w:szCs w:val="21"/>
                    </w:rPr>
                  </w:pPr>
                  <w:r>
                    <w:rPr>
                      <w:szCs w:val="21"/>
                    </w:rPr>
                    <w:t>达标</w:t>
                  </w:r>
                </w:p>
              </w:tc>
            </w:tr>
            <w:tr w14:paraId="48D8B03D">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2511" w:type="pct"/>
                  <w:vAlign w:val="center"/>
                </w:tcPr>
                <w:p w14:paraId="61F8D6C8">
                  <w:pPr>
                    <w:jc w:val="center"/>
                    <w:rPr>
                      <w:szCs w:val="21"/>
                      <w:lang w:eastAsia="en-US"/>
                    </w:rPr>
                  </w:pPr>
                  <w:r>
                    <w:rPr>
                      <w:szCs w:val="21"/>
                    </w:rPr>
                    <w:t>六价铬(mg/kg)</w:t>
                  </w:r>
                </w:p>
              </w:tc>
              <w:tc>
                <w:tcPr>
                  <w:tcW w:w="761" w:type="pct"/>
                  <w:vAlign w:val="center"/>
                </w:tcPr>
                <w:p w14:paraId="22549A2A">
                  <w:pPr>
                    <w:jc w:val="center"/>
                    <w:rPr>
                      <w:szCs w:val="21"/>
                    </w:rPr>
                  </w:pPr>
                  <w:r>
                    <w:rPr>
                      <w:szCs w:val="21"/>
                    </w:rPr>
                    <w:t>ND</w:t>
                  </w:r>
                </w:p>
              </w:tc>
              <w:tc>
                <w:tcPr>
                  <w:tcW w:w="947" w:type="pct"/>
                  <w:vAlign w:val="center"/>
                </w:tcPr>
                <w:p w14:paraId="22AAF921">
                  <w:pPr>
                    <w:jc w:val="center"/>
                    <w:rPr>
                      <w:szCs w:val="21"/>
                    </w:rPr>
                  </w:pPr>
                  <w:r>
                    <w:rPr>
                      <w:rFonts w:hint="eastAsia"/>
                      <w:szCs w:val="21"/>
                    </w:rPr>
                    <w:t>5.7</w:t>
                  </w:r>
                </w:p>
              </w:tc>
              <w:tc>
                <w:tcPr>
                  <w:tcW w:w="780" w:type="pct"/>
                  <w:vAlign w:val="center"/>
                </w:tcPr>
                <w:p w14:paraId="14241F7D">
                  <w:pPr>
                    <w:jc w:val="center"/>
                    <w:rPr>
                      <w:szCs w:val="21"/>
                    </w:rPr>
                  </w:pPr>
                  <w:r>
                    <w:rPr>
                      <w:szCs w:val="21"/>
                    </w:rPr>
                    <w:t>达标</w:t>
                  </w:r>
                </w:p>
              </w:tc>
            </w:tr>
            <w:tr w14:paraId="431B9837">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511" w:type="pct"/>
                  <w:vAlign w:val="center"/>
                </w:tcPr>
                <w:p w14:paraId="3BEDE5FC">
                  <w:pPr>
                    <w:jc w:val="center"/>
                    <w:rPr>
                      <w:szCs w:val="21"/>
                      <w:lang w:eastAsia="en-US"/>
                    </w:rPr>
                  </w:pPr>
                  <w:r>
                    <w:rPr>
                      <w:szCs w:val="21"/>
                    </w:rPr>
                    <w:t>镉(mg/kg)</w:t>
                  </w:r>
                </w:p>
              </w:tc>
              <w:tc>
                <w:tcPr>
                  <w:tcW w:w="761" w:type="pct"/>
                  <w:vAlign w:val="center"/>
                </w:tcPr>
                <w:p w14:paraId="309CB583">
                  <w:pPr>
                    <w:jc w:val="center"/>
                    <w:rPr>
                      <w:szCs w:val="21"/>
                    </w:rPr>
                  </w:pPr>
                  <w:r>
                    <w:rPr>
                      <w:szCs w:val="21"/>
                    </w:rPr>
                    <w:t>ND</w:t>
                  </w:r>
                </w:p>
              </w:tc>
              <w:tc>
                <w:tcPr>
                  <w:tcW w:w="947" w:type="pct"/>
                  <w:vAlign w:val="center"/>
                </w:tcPr>
                <w:p w14:paraId="06EC2894">
                  <w:pPr>
                    <w:jc w:val="center"/>
                    <w:rPr>
                      <w:szCs w:val="21"/>
                    </w:rPr>
                  </w:pPr>
                  <w:r>
                    <w:rPr>
                      <w:szCs w:val="21"/>
                    </w:rPr>
                    <w:t>65</w:t>
                  </w:r>
                </w:p>
              </w:tc>
              <w:tc>
                <w:tcPr>
                  <w:tcW w:w="780" w:type="pct"/>
                  <w:vAlign w:val="center"/>
                </w:tcPr>
                <w:p w14:paraId="2CDD5BE8">
                  <w:pPr>
                    <w:jc w:val="center"/>
                    <w:rPr>
                      <w:szCs w:val="21"/>
                    </w:rPr>
                  </w:pPr>
                  <w:r>
                    <w:rPr>
                      <w:szCs w:val="21"/>
                    </w:rPr>
                    <w:t>达标</w:t>
                  </w:r>
                </w:p>
              </w:tc>
            </w:tr>
            <w:tr w14:paraId="73BD13CE">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511" w:type="pct"/>
                  <w:vAlign w:val="center"/>
                </w:tcPr>
                <w:p w14:paraId="14AB5405">
                  <w:pPr>
                    <w:jc w:val="center"/>
                    <w:rPr>
                      <w:szCs w:val="21"/>
                      <w:lang w:eastAsia="en-US"/>
                    </w:rPr>
                  </w:pPr>
                  <w:r>
                    <w:rPr>
                      <w:szCs w:val="21"/>
                    </w:rPr>
                    <w:t>铅(mg/kg)</w:t>
                  </w:r>
                </w:p>
              </w:tc>
              <w:tc>
                <w:tcPr>
                  <w:tcW w:w="761" w:type="pct"/>
                  <w:vAlign w:val="center"/>
                </w:tcPr>
                <w:p w14:paraId="0BC2F5B9">
                  <w:pPr>
                    <w:jc w:val="center"/>
                    <w:rPr>
                      <w:szCs w:val="21"/>
                    </w:rPr>
                  </w:pPr>
                  <w:r>
                    <w:rPr>
                      <w:szCs w:val="21"/>
                    </w:rPr>
                    <w:t>ND</w:t>
                  </w:r>
                </w:p>
              </w:tc>
              <w:tc>
                <w:tcPr>
                  <w:tcW w:w="947" w:type="pct"/>
                  <w:vAlign w:val="center"/>
                </w:tcPr>
                <w:p w14:paraId="51596CA2">
                  <w:pPr>
                    <w:jc w:val="center"/>
                    <w:rPr>
                      <w:szCs w:val="21"/>
                    </w:rPr>
                  </w:pPr>
                  <w:r>
                    <w:rPr>
                      <w:rFonts w:hint="eastAsia"/>
                      <w:szCs w:val="21"/>
                    </w:rPr>
                    <w:t>800</w:t>
                  </w:r>
                </w:p>
              </w:tc>
              <w:tc>
                <w:tcPr>
                  <w:tcW w:w="780" w:type="pct"/>
                  <w:vAlign w:val="center"/>
                </w:tcPr>
                <w:p w14:paraId="6EA9660E">
                  <w:pPr>
                    <w:jc w:val="center"/>
                    <w:rPr>
                      <w:szCs w:val="21"/>
                    </w:rPr>
                  </w:pPr>
                  <w:r>
                    <w:rPr>
                      <w:szCs w:val="21"/>
                    </w:rPr>
                    <w:t>达标</w:t>
                  </w:r>
                </w:p>
              </w:tc>
            </w:tr>
            <w:tr w14:paraId="6CB0E068">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511" w:type="pct"/>
                  <w:vAlign w:val="center"/>
                </w:tcPr>
                <w:p w14:paraId="37ADB541">
                  <w:pPr>
                    <w:jc w:val="center"/>
                    <w:rPr>
                      <w:szCs w:val="21"/>
                      <w:lang w:eastAsia="en-US"/>
                    </w:rPr>
                  </w:pPr>
                  <w:r>
                    <w:rPr>
                      <w:szCs w:val="21"/>
                    </w:rPr>
                    <w:t>砷(mg/kg)</w:t>
                  </w:r>
                </w:p>
              </w:tc>
              <w:tc>
                <w:tcPr>
                  <w:tcW w:w="761" w:type="pct"/>
                  <w:vAlign w:val="center"/>
                </w:tcPr>
                <w:p w14:paraId="1E0F5C5A">
                  <w:pPr>
                    <w:jc w:val="center"/>
                    <w:rPr>
                      <w:szCs w:val="21"/>
                    </w:rPr>
                  </w:pPr>
                  <w:r>
                    <w:rPr>
                      <w:rFonts w:hint="eastAsia"/>
                      <w:szCs w:val="21"/>
                    </w:rPr>
                    <w:t>0.985</w:t>
                  </w:r>
                </w:p>
              </w:tc>
              <w:tc>
                <w:tcPr>
                  <w:tcW w:w="947" w:type="pct"/>
                  <w:vAlign w:val="center"/>
                </w:tcPr>
                <w:p w14:paraId="4E56A516">
                  <w:pPr>
                    <w:jc w:val="center"/>
                    <w:rPr>
                      <w:szCs w:val="21"/>
                    </w:rPr>
                  </w:pPr>
                  <w:r>
                    <w:rPr>
                      <w:rFonts w:hint="eastAsia"/>
                      <w:szCs w:val="21"/>
                    </w:rPr>
                    <w:t>60</w:t>
                  </w:r>
                </w:p>
              </w:tc>
              <w:tc>
                <w:tcPr>
                  <w:tcW w:w="780" w:type="pct"/>
                  <w:vAlign w:val="center"/>
                </w:tcPr>
                <w:p w14:paraId="6D082644">
                  <w:pPr>
                    <w:jc w:val="center"/>
                    <w:rPr>
                      <w:szCs w:val="21"/>
                    </w:rPr>
                  </w:pPr>
                  <w:r>
                    <w:rPr>
                      <w:szCs w:val="21"/>
                    </w:rPr>
                    <w:t>达标</w:t>
                  </w:r>
                </w:p>
              </w:tc>
            </w:tr>
            <w:tr w14:paraId="0AD24325">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511" w:type="pct"/>
                  <w:vAlign w:val="center"/>
                </w:tcPr>
                <w:p w14:paraId="589DF096">
                  <w:pPr>
                    <w:jc w:val="center"/>
                    <w:rPr>
                      <w:szCs w:val="21"/>
                      <w:lang w:eastAsia="en-US"/>
                    </w:rPr>
                  </w:pPr>
                  <w:r>
                    <w:rPr>
                      <w:szCs w:val="21"/>
                    </w:rPr>
                    <w:t>汞(mg/kg)</w:t>
                  </w:r>
                </w:p>
              </w:tc>
              <w:tc>
                <w:tcPr>
                  <w:tcW w:w="761" w:type="pct"/>
                  <w:vAlign w:val="center"/>
                </w:tcPr>
                <w:p w14:paraId="3E239F9B">
                  <w:pPr>
                    <w:jc w:val="center"/>
                    <w:rPr>
                      <w:szCs w:val="21"/>
                    </w:rPr>
                  </w:pPr>
                  <w:r>
                    <w:rPr>
                      <w:rFonts w:hint="eastAsia"/>
                      <w:szCs w:val="21"/>
                    </w:rPr>
                    <w:t>0.15</w:t>
                  </w:r>
                </w:p>
              </w:tc>
              <w:tc>
                <w:tcPr>
                  <w:tcW w:w="947" w:type="pct"/>
                  <w:vAlign w:val="center"/>
                </w:tcPr>
                <w:p w14:paraId="77AED379">
                  <w:pPr>
                    <w:jc w:val="center"/>
                    <w:rPr>
                      <w:szCs w:val="21"/>
                    </w:rPr>
                  </w:pPr>
                  <w:r>
                    <w:rPr>
                      <w:rFonts w:hint="eastAsia"/>
                      <w:szCs w:val="21"/>
                    </w:rPr>
                    <w:t>38</w:t>
                  </w:r>
                </w:p>
              </w:tc>
              <w:tc>
                <w:tcPr>
                  <w:tcW w:w="780" w:type="pct"/>
                  <w:vAlign w:val="center"/>
                </w:tcPr>
                <w:p w14:paraId="08F3C4D1">
                  <w:pPr>
                    <w:jc w:val="center"/>
                    <w:rPr>
                      <w:szCs w:val="21"/>
                    </w:rPr>
                  </w:pPr>
                  <w:r>
                    <w:rPr>
                      <w:szCs w:val="21"/>
                    </w:rPr>
                    <w:t>达标</w:t>
                  </w:r>
                </w:p>
              </w:tc>
            </w:tr>
            <w:tr w14:paraId="3312B733">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511" w:type="pct"/>
                  <w:vAlign w:val="center"/>
                </w:tcPr>
                <w:p w14:paraId="3F66A547">
                  <w:pPr>
                    <w:jc w:val="center"/>
                    <w:rPr>
                      <w:szCs w:val="21"/>
                      <w:lang w:eastAsia="en-US"/>
                    </w:rPr>
                  </w:pPr>
                  <w:r>
                    <w:rPr>
                      <w:szCs w:val="21"/>
                    </w:rPr>
                    <w:t>四氯化碳(μg/kg)</w:t>
                  </w:r>
                </w:p>
              </w:tc>
              <w:tc>
                <w:tcPr>
                  <w:tcW w:w="761" w:type="pct"/>
                  <w:vAlign w:val="center"/>
                </w:tcPr>
                <w:p w14:paraId="5FDF6F88">
                  <w:pPr>
                    <w:jc w:val="center"/>
                    <w:rPr>
                      <w:szCs w:val="21"/>
                    </w:rPr>
                  </w:pPr>
                  <w:r>
                    <w:rPr>
                      <w:szCs w:val="21"/>
                    </w:rPr>
                    <w:t>ND</w:t>
                  </w:r>
                </w:p>
              </w:tc>
              <w:tc>
                <w:tcPr>
                  <w:tcW w:w="947" w:type="pct"/>
                  <w:vAlign w:val="center"/>
                </w:tcPr>
                <w:p w14:paraId="19C68CF9">
                  <w:pPr>
                    <w:jc w:val="center"/>
                    <w:rPr>
                      <w:szCs w:val="21"/>
                    </w:rPr>
                  </w:pPr>
                  <w:r>
                    <w:rPr>
                      <w:rFonts w:hint="eastAsia"/>
                      <w:szCs w:val="21"/>
                    </w:rPr>
                    <w:t>2.8</w:t>
                  </w:r>
                </w:p>
              </w:tc>
              <w:tc>
                <w:tcPr>
                  <w:tcW w:w="780" w:type="pct"/>
                  <w:vAlign w:val="center"/>
                </w:tcPr>
                <w:p w14:paraId="711AFAC1">
                  <w:pPr>
                    <w:jc w:val="center"/>
                    <w:rPr>
                      <w:szCs w:val="21"/>
                    </w:rPr>
                  </w:pPr>
                  <w:r>
                    <w:rPr>
                      <w:szCs w:val="21"/>
                    </w:rPr>
                    <w:t>达标</w:t>
                  </w:r>
                </w:p>
              </w:tc>
            </w:tr>
            <w:tr w14:paraId="54248188">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511" w:type="pct"/>
                  <w:vAlign w:val="center"/>
                </w:tcPr>
                <w:p w14:paraId="700AE762">
                  <w:pPr>
                    <w:jc w:val="center"/>
                    <w:rPr>
                      <w:szCs w:val="21"/>
                      <w:lang w:eastAsia="en-US"/>
                    </w:rPr>
                  </w:pPr>
                  <w:r>
                    <w:rPr>
                      <w:szCs w:val="21"/>
                    </w:rPr>
                    <w:t>氯仿(μg/kg)</w:t>
                  </w:r>
                </w:p>
              </w:tc>
              <w:tc>
                <w:tcPr>
                  <w:tcW w:w="761" w:type="pct"/>
                  <w:vAlign w:val="center"/>
                </w:tcPr>
                <w:p w14:paraId="6D5B7BDB">
                  <w:pPr>
                    <w:jc w:val="center"/>
                    <w:rPr>
                      <w:szCs w:val="21"/>
                    </w:rPr>
                  </w:pPr>
                  <w:r>
                    <w:rPr>
                      <w:szCs w:val="21"/>
                    </w:rPr>
                    <w:t>ND</w:t>
                  </w:r>
                </w:p>
              </w:tc>
              <w:tc>
                <w:tcPr>
                  <w:tcW w:w="947" w:type="pct"/>
                  <w:vAlign w:val="center"/>
                </w:tcPr>
                <w:p w14:paraId="69AB7811">
                  <w:pPr>
                    <w:jc w:val="center"/>
                    <w:rPr>
                      <w:szCs w:val="21"/>
                    </w:rPr>
                  </w:pPr>
                  <w:r>
                    <w:rPr>
                      <w:rFonts w:hint="eastAsia"/>
                      <w:szCs w:val="21"/>
                    </w:rPr>
                    <w:t>0.9</w:t>
                  </w:r>
                </w:p>
              </w:tc>
              <w:tc>
                <w:tcPr>
                  <w:tcW w:w="780" w:type="pct"/>
                  <w:vAlign w:val="center"/>
                </w:tcPr>
                <w:p w14:paraId="722A1996">
                  <w:pPr>
                    <w:jc w:val="center"/>
                    <w:rPr>
                      <w:szCs w:val="21"/>
                    </w:rPr>
                  </w:pPr>
                  <w:r>
                    <w:rPr>
                      <w:szCs w:val="21"/>
                    </w:rPr>
                    <w:t>达标</w:t>
                  </w:r>
                </w:p>
              </w:tc>
            </w:tr>
            <w:tr w14:paraId="1379FE38">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511" w:type="pct"/>
                  <w:vAlign w:val="center"/>
                </w:tcPr>
                <w:p w14:paraId="178A29EE">
                  <w:pPr>
                    <w:jc w:val="center"/>
                    <w:rPr>
                      <w:szCs w:val="21"/>
                    </w:rPr>
                  </w:pPr>
                  <w:r>
                    <w:rPr>
                      <w:szCs w:val="21"/>
                    </w:rPr>
                    <w:t>氯甲烷(μg/kg)</w:t>
                  </w:r>
                </w:p>
              </w:tc>
              <w:tc>
                <w:tcPr>
                  <w:tcW w:w="761" w:type="pct"/>
                  <w:vAlign w:val="center"/>
                </w:tcPr>
                <w:p w14:paraId="2A775C0A">
                  <w:pPr>
                    <w:jc w:val="center"/>
                    <w:rPr>
                      <w:szCs w:val="21"/>
                    </w:rPr>
                  </w:pPr>
                  <w:r>
                    <w:rPr>
                      <w:rFonts w:hint="eastAsia"/>
                      <w:szCs w:val="21"/>
                    </w:rPr>
                    <w:t>2</w:t>
                  </w:r>
                </w:p>
              </w:tc>
              <w:tc>
                <w:tcPr>
                  <w:tcW w:w="947" w:type="pct"/>
                  <w:vAlign w:val="center"/>
                </w:tcPr>
                <w:p w14:paraId="4012B789">
                  <w:pPr>
                    <w:jc w:val="center"/>
                    <w:rPr>
                      <w:szCs w:val="21"/>
                    </w:rPr>
                  </w:pPr>
                  <w:r>
                    <w:rPr>
                      <w:rFonts w:hint="eastAsia"/>
                      <w:szCs w:val="21"/>
                    </w:rPr>
                    <w:t>37</w:t>
                  </w:r>
                </w:p>
              </w:tc>
              <w:tc>
                <w:tcPr>
                  <w:tcW w:w="780" w:type="pct"/>
                  <w:vAlign w:val="center"/>
                </w:tcPr>
                <w:p w14:paraId="2917DCAF">
                  <w:pPr>
                    <w:jc w:val="center"/>
                    <w:rPr>
                      <w:szCs w:val="21"/>
                    </w:rPr>
                  </w:pPr>
                  <w:r>
                    <w:rPr>
                      <w:szCs w:val="21"/>
                    </w:rPr>
                    <w:t>达标</w:t>
                  </w:r>
                </w:p>
              </w:tc>
            </w:tr>
            <w:tr w14:paraId="7A8713A2">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511" w:type="pct"/>
                  <w:vAlign w:val="center"/>
                </w:tcPr>
                <w:p w14:paraId="4A1A5940">
                  <w:pPr>
                    <w:jc w:val="center"/>
                    <w:rPr>
                      <w:szCs w:val="21"/>
                      <w:lang w:eastAsia="en-US"/>
                    </w:rPr>
                  </w:pPr>
                  <w:r>
                    <w:rPr>
                      <w:szCs w:val="21"/>
                    </w:rPr>
                    <w:t>1,1-二氯乙烷(μg/kg)</w:t>
                  </w:r>
                </w:p>
              </w:tc>
              <w:tc>
                <w:tcPr>
                  <w:tcW w:w="761" w:type="pct"/>
                  <w:vAlign w:val="center"/>
                </w:tcPr>
                <w:p w14:paraId="6FDEBAD9">
                  <w:pPr>
                    <w:jc w:val="center"/>
                    <w:rPr>
                      <w:szCs w:val="21"/>
                    </w:rPr>
                  </w:pPr>
                  <w:r>
                    <w:rPr>
                      <w:szCs w:val="21"/>
                    </w:rPr>
                    <w:t>ND</w:t>
                  </w:r>
                </w:p>
              </w:tc>
              <w:tc>
                <w:tcPr>
                  <w:tcW w:w="947" w:type="pct"/>
                  <w:vAlign w:val="center"/>
                </w:tcPr>
                <w:p w14:paraId="4EB3056D">
                  <w:pPr>
                    <w:jc w:val="center"/>
                    <w:rPr>
                      <w:szCs w:val="21"/>
                    </w:rPr>
                  </w:pPr>
                  <w:r>
                    <w:rPr>
                      <w:rFonts w:hint="eastAsia"/>
                      <w:szCs w:val="21"/>
                    </w:rPr>
                    <w:t>9</w:t>
                  </w:r>
                </w:p>
              </w:tc>
              <w:tc>
                <w:tcPr>
                  <w:tcW w:w="780" w:type="pct"/>
                  <w:vAlign w:val="center"/>
                </w:tcPr>
                <w:p w14:paraId="44E40455">
                  <w:pPr>
                    <w:jc w:val="center"/>
                    <w:rPr>
                      <w:szCs w:val="21"/>
                    </w:rPr>
                  </w:pPr>
                  <w:r>
                    <w:rPr>
                      <w:szCs w:val="21"/>
                    </w:rPr>
                    <w:t>达标</w:t>
                  </w:r>
                </w:p>
              </w:tc>
            </w:tr>
            <w:tr w14:paraId="24256B6B">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511" w:type="pct"/>
                  <w:vAlign w:val="center"/>
                </w:tcPr>
                <w:p w14:paraId="2B091721">
                  <w:pPr>
                    <w:jc w:val="center"/>
                    <w:rPr>
                      <w:szCs w:val="21"/>
                      <w:lang w:eastAsia="en-US"/>
                    </w:rPr>
                  </w:pPr>
                  <w:r>
                    <w:rPr>
                      <w:szCs w:val="21"/>
                    </w:rPr>
                    <w:t>1,2-二氯乙烷(μg/kg)</w:t>
                  </w:r>
                </w:p>
              </w:tc>
              <w:tc>
                <w:tcPr>
                  <w:tcW w:w="761" w:type="pct"/>
                  <w:vAlign w:val="center"/>
                </w:tcPr>
                <w:p w14:paraId="16C90869">
                  <w:pPr>
                    <w:jc w:val="center"/>
                    <w:rPr>
                      <w:szCs w:val="21"/>
                    </w:rPr>
                  </w:pPr>
                  <w:r>
                    <w:rPr>
                      <w:szCs w:val="21"/>
                    </w:rPr>
                    <w:t>ND</w:t>
                  </w:r>
                </w:p>
              </w:tc>
              <w:tc>
                <w:tcPr>
                  <w:tcW w:w="947" w:type="pct"/>
                  <w:vAlign w:val="center"/>
                </w:tcPr>
                <w:p w14:paraId="39545932">
                  <w:pPr>
                    <w:jc w:val="center"/>
                    <w:rPr>
                      <w:szCs w:val="21"/>
                    </w:rPr>
                  </w:pPr>
                  <w:r>
                    <w:rPr>
                      <w:rFonts w:hint="eastAsia"/>
                      <w:szCs w:val="21"/>
                    </w:rPr>
                    <w:t>5</w:t>
                  </w:r>
                </w:p>
              </w:tc>
              <w:tc>
                <w:tcPr>
                  <w:tcW w:w="780" w:type="pct"/>
                  <w:vAlign w:val="center"/>
                </w:tcPr>
                <w:p w14:paraId="73EE9DB7">
                  <w:pPr>
                    <w:jc w:val="center"/>
                    <w:rPr>
                      <w:szCs w:val="21"/>
                    </w:rPr>
                  </w:pPr>
                  <w:r>
                    <w:rPr>
                      <w:szCs w:val="21"/>
                    </w:rPr>
                    <w:t>达标</w:t>
                  </w:r>
                </w:p>
              </w:tc>
            </w:tr>
            <w:tr w14:paraId="10F04C93">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511" w:type="pct"/>
                  <w:vAlign w:val="center"/>
                </w:tcPr>
                <w:p w14:paraId="4A96BE1D">
                  <w:pPr>
                    <w:jc w:val="center"/>
                    <w:rPr>
                      <w:szCs w:val="21"/>
                      <w:lang w:eastAsia="en-US"/>
                    </w:rPr>
                  </w:pPr>
                  <w:r>
                    <w:rPr>
                      <w:szCs w:val="21"/>
                    </w:rPr>
                    <w:t>1,1-二氯乙烯(μg/kg)</w:t>
                  </w:r>
                </w:p>
              </w:tc>
              <w:tc>
                <w:tcPr>
                  <w:tcW w:w="761" w:type="pct"/>
                  <w:vAlign w:val="center"/>
                </w:tcPr>
                <w:p w14:paraId="14083B00">
                  <w:pPr>
                    <w:jc w:val="center"/>
                    <w:rPr>
                      <w:szCs w:val="21"/>
                    </w:rPr>
                  </w:pPr>
                  <w:r>
                    <w:rPr>
                      <w:szCs w:val="21"/>
                    </w:rPr>
                    <w:t>ND</w:t>
                  </w:r>
                </w:p>
              </w:tc>
              <w:tc>
                <w:tcPr>
                  <w:tcW w:w="947" w:type="pct"/>
                  <w:vAlign w:val="center"/>
                </w:tcPr>
                <w:p w14:paraId="1ACC2806">
                  <w:pPr>
                    <w:jc w:val="center"/>
                    <w:rPr>
                      <w:szCs w:val="21"/>
                    </w:rPr>
                  </w:pPr>
                  <w:r>
                    <w:rPr>
                      <w:rFonts w:hint="eastAsia"/>
                      <w:szCs w:val="21"/>
                    </w:rPr>
                    <w:t>66</w:t>
                  </w:r>
                </w:p>
              </w:tc>
              <w:tc>
                <w:tcPr>
                  <w:tcW w:w="780" w:type="pct"/>
                  <w:vAlign w:val="center"/>
                </w:tcPr>
                <w:p w14:paraId="25282A6D">
                  <w:pPr>
                    <w:jc w:val="center"/>
                    <w:rPr>
                      <w:szCs w:val="21"/>
                    </w:rPr>
                  </w:pPr>
                  <w:r>
                    <w:rPr>
                      <w:szCs w:val="21"/>
                    </w:rPr>
                    <w:t>达标</w:t>
                  </w:r>
                </w:p>
              </w:tc>
            </w:tr>
            <w:tr w14:paraId="73210D9C">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511" w:type="pct"/>
                  <w:vAlign w:val="center"/>
                </w:tcPr>
                <w:p w14:paraId="6DB666FC">
                  <w:pPr>
                    <w:jc w:val="center"/>
                    <w:rPr>
                      <w:szCs w:val="21"/>
                      <w:lang w:eastAsia="en-US"/>
                    </w:rPr>
                  </w:pPr>
                  <w:r>
                    <w:rPr>
                      <w:szCs w:val="21"/>
                    </w:rPr>
                    <w:t>顺-1,2-二氯乙烯(μg/kg)</w:t>
                  </w:r>
                </w:p>
              </w:tc>
              <w:tc>
                <w:tcPr>
                  <w:tcW w:w="761" w:type="pct"/>
                  <w:vAlign w:val="center"/>
                </w:tcPr>
                <w:p w14:paraId="0999CB9C">
                  <w:pPr>
                    <w:jc w:val="center"/>
                    <w:rPr>
                      <w:szCs w:val="21"/>
                    </w:rPr>
                  </w:pPr>
                  <w:r>
                    <w:rPr>
                      <w:szCs w:val="21"/>
                    </w:rPr>
                    <w:t>ND</w:t>
                  </w:r>
                </w:p>
              </w:tc>
              <w:tc>
                <w:tcPr>
                  <w:tcW w:w="947" w:type="pct"/>
                  <w:vAlign w:val="center"/>
                </w:tcPr>
                <w:p w14:paraId="6C24CF19">
                  <w:pPr>
                    <w:jc w:val="center"/>
                    <w:rPr>
                      <w:szCs w:val="21"/>
                    </w:rPr>
                  </w:pPr>
                  <w:r>
                    <w:rPr>
                      <w:rFonts w:hint="eastAsia"/>
                      <w:szCs w:val="21"/>
                    </w:rPr>
                    <w:t>296</w:t>
                  </w:r>
                </w:p>
              </w:tc>
              <w:tc>
                <w:tcPr>
                  <w:tcW w:w="780" w:type="pct"/>
                  <w:vAlign w:val="center"/>
                </w:tcPr>
                <w:p w14:paraId="5B29F175">
                  <w:pPr>
                    <w:jc w:val="center"/>
                    <w:rPr>
                      <w:szCs w:val="21"/>
                    </w:rPr>
                  </w:pPr>
                  <w:r>
                    <w:rPr>
                      <w:szCs w:val="21"/>
                    </w:rPr>
                    <w:t>达标</w:t>
                  </w:r>
                </w:p>
              </w:tc>
            </w:tr>
            <w:tr w14:paraId="70686027">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511" w:type="pct"/>
                  <w:vAlign w:val="center"/>
                </w:tcPr>
                <w:p w14:paraId="56142064">
                  <w:pPr>
                    <w:jc w:val="center"/>
                    <w:rPr>
                      <w:szCs w:val="21"/>
                      <w:lang w:eastAsia="en-US"/>
                    </w:rPr>
                  </w:pPr>
                  <w:r>
                    <w:rPr>
                      <w:szCs w:val="21"/>
                    </w:rPr>
                    <w:t>反-1,2-二氯乙烯(μg/kg)</w:t>
                  </w:r>
                </w:p>
              </w:tc>
              <w:tc>
                <w:tcPr>
                  <w:tcW w:w="761" w:type="pct"/>
                  <w:vAlign w:val="center"/>
                </w:tcPr>
                <w:p w14:paraId="5D2B8CF2">
                  <w:pPr>
                    <w:jc w:val="center"/>
                    <w:rPr>
                      <w:szCs w:val="21"/>
                    </w:rPr>
                  </w:pPr>
                  <w:r>
                    <w:rPr>
                      <w:szCs w:val="21"/>
                    </w:rPr>
                    <w:t>ND</w:t>
                  </w:r>
                </w:p>
              </w:tc>
              <w:tc>
                <w:tcPr>
                  <w:tcW w:w="947" w:type="pct"/>
                  <w:vAlign w:val="center"/>
                </w:tcPr>
                <w:p w14:paraId="6ACAF9FA">
                  <w:pPr>
                    <w:jc w:val="center"/>
                    <w:rPr>
                      <w:szCs w:val="21"/>
                    </w:rPr>
                  </w:pPr>
                  <w:r>
                    <w:rPr>
                      <w:rFonts w:hint="eastAsia"/>
                      <w:szCs w:val="21"/>
                    </w:rPr>
                    <w:t>54</w:t>
                  </w:r>
                </w:p>
              </w:tc>
              <w:tc>
                <w:tcPr>
                  <w:tcW w:w="780" w:type="pct"/>
                  <w:vAlign w:val="center"/>
                </w:tcPr>
                <w:p w14:paraId="07E4D267">
                  <w:pPr>
                    <w:jc w:val="center"/>
                    <w:rPr>
                      <w:szCs w:val="21"/>
                    </w:rPr>
                  </w:pPr>
                  <w:r>
                    <w:rPr>
                      <w:szCs w:val="21"/>
                    </w:rPr>
                    <w:t>达标</w:t>
                  </w:r>
                </w:p>
              </w:tc>
            </w:tr>
            <w:tr w14:paraId="2104ECCE">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511" w:type="pct"/>
                  <w:vAlign w:val="center"/>
                </w:tcPr>
                <w:p w14:paraId="6F3DB4D9">
                  <w:pPr>
                    <w:jc w:val="center"/>
                    <w:rPr>
                      <w:szCs w:val="21"/>
                    </w:rPr>
                  </w:pPr>
                  <w:r>
                    <w:rPr>
                      <w:szCs w:val="21"/>
                    </w:rPr>
                    <w:t>二氯甲烷(μg/kg)</w:t>
                  </w:r>
                </w:p>
              </w:tc>
              <w:tc>
                <w:tcPr>
                  <w:tcW w:w="761" w:type="pct"/>
                  <w:vAlign w:val="center"/>
                </w:tcPr>
                <w:p w14:paraId="2D4FCC43">
                  <w:pPr>
                    <w:jc w:val="center"/>
                    <w:rPr>
                      <w:szCs w:val="21"/>
                    </w:rPr>
                  </w:pPr>
                  <w:r>
                    <w:rPr>
                      <w:szCs w:val="21"/>
                    </w:rPr>
                    <w:t>ND</w:t>
                  </w:r>
                </w:p>
              </w:tc>
              <w:tc>
                <w:tcPr>
                  <w:tcW w:w="947" w:type="pct"/>
                  <w:vAlign w:val="center"/>
                </w:tcPr>
                <w:p w14:paraId="695C01AD">
                  <w:pPr>
                    <w:jc w:val="center"/>
                    <w:rPr>
                      <w:szCs w:val="21"/>
                    </w:rPr>
                  </w:pPr>
                  <w:r>
                    <w:rPr>
                      <w:rFonts w:hint="eastAsia"/>
                      <w:szCs w:val="21"/>
                    </w:rPr>
                    <w:t>616</w:t>
                  </w:r>
                </w:p>
              </w:tc>
              <w:tc>
                <w:tcPr>
                  <w:tcW w:w="780" w:type="pct"/>
                  <w:vAlign w:val="center"/>
                </w:tcPr>
                <w:p w14:paraId="09B933CD">
                  <w:pPr>
                    <w:jc w:val="center"/>
                    <w:rPr>
                      <w:szCs w:val="21"/>
                    </w:rPr>
                  </w:pPr>
                  <w:r>
                    <w:rPr>
                      <w:szCs w:val="21"/>
                    </w:rPr>
                    <w:t>达标</w:t>
                  </w:r>
                </w:p>
              </w:tc>
            </w:tr>
            <w:tr w14:paraId="34C3E5B8">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511" w:type="pct"/>
                  <w:vAlign w:val="center"/>
                </w:tcPr>
                <w:p w14:paraId="54FD708E">
                  <w:pPr>
                    <w:jc w:val="center"/>
                    <w:rPr>
                      <w:szCs w:val="21"/>
                      <w:lang w:eastAsia="en-US"/>
                    </w:rPr>
                  </w:pPr>
                  <w:r>
                    <w:rPr>
                      <w:szCs w:val="21"/>
                    </w:rPr>
                    <w:t>1,2-二氯丙烷(μg/kg)</w:t>
                  </w:r>
                </w:p>
              </w:tc>
              <w:tc>
                <w:tcPr>
                  <w:tcW w:w="761" w:type="pct"/>
                  <w:vAlign w:val="center"/>
                </w:tcPr>
                <w:p w14:paraId="19D3C9A3">
                  <w:pPr>
                    <w:jc w:val="center"/>
                    <w:rPr>
                      <w:szCs w:val="21"/>
                    </w:rPr>
                  </w:pPr>
                  <w:r>
                    <w:rPr>
                      <w:szCs w:val="21"/>
                    </w:rPr>
                    <w:t>ND</w:t>
                  </w:r>
                </w:p>
              </w:tc>
              <w:tc>
                <w:tcPr>
                  <w:tcW w:w="947" w:type="pct"/>
                  <w:vAlign w:val="center"/>
                </w:tcPr>
                <w:p w14:paraId="6CEB21B8">
                  <w:pPr>
                    <w:jc w:val="center"/>
                    <w:rPr>
                      <w:szCs w:val="21"/>
                    </w:rPr>
                  </w:pPr>
                  <w:r>
                    <w:rPr>
                      <w:rFonts w:hint="eastAsia"/>
                      <w:szCs w:val="21"/>
                    </w:rPr>
                    <w:t>5</w:t>
                  </w:r>
                </w:p>
              </w:tc>
              <w:tc>
                <w:tcPr>
                  <w:tcW w:w="780" w:type="pct"/>
                  <w:vAlign w:val="center"/>
                </w:tcPr>
                <w:p w14:paraId="13796FD4">
                  <w:pPr>
                    <w:jc w:val="center"/>
                    <w:rPr>
                      <w:szCs w:val="21"/>
                    </w:rPr>
                  </w:pPr>
                  <w:r>
                    <w:rPr>
                      <w:szCs w:val="21"/>
                    </w:rPr>
                    <w:t>达标</w:t>
                  </w:r>
                </w:p>
              </w:tc>
            </w:tr>
            <w:tr w14:paraId="498359FB">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511" w:type="pct"/>
                  <w:vAlign w:val="center"/>
                </w:tcPr>
                <w:p w14:paraId="5A50852E">
                  <w:pPr>
                    <w:jc w:val="center"/>
                    <w:rPr>
                      <w:szCs w:val="21"/>
                      <w:lang w:eastAsia="en-US"/>
                    </w:rPr>
                  </w:pPr>
                  <w:r>
                    <w:rPr>
                      <w:szCs w:val="21"/>
                    </w:rPr>
                    <w:t>1,1,1,2-四氯乙烷(μg/kg)</w:t>
                  </w:r>
                </w:p>
              </w:tc>
              <w:tc>
                <w:tcPr>
                  <w:tcW w:w="761" w:type="pct"/>
                  <w:vAlign w:val="center"/>
                </w:tcPr>
                <w:p w14:paraId="5E121E89">
                  <w:pPr>
                    <w:jc w:val="center"/>
                    <w:rPr>
                      <w:szCs w:val="21"/>
                    </w:rPr>
                  </w:pPr>
                  <w:r>
                    <w:rPr>
                      <w:szCs w:val="21"/>
                    </w:rPr>
                    <w:t>ND</w:t>
                  </w:r>
                </w:p>
              </w:tc>
              <w:tc>
                <w:tcPr>
                  <w:tcW w:w="947" w:type="pct"/>
                  <w:vAlign w:val="center"/>
                </w:tcPr>
                <w:p w14:paraId="782A4C07">
                  <w:pPr>
                    <w:jc w:val="center"/>
                    <w:rPr>
                      <w:szCs w:val="21"/>
                    </w:rPr>
                  </w:pPr>
                  <w:r>
                    <w:rPr>
                      <w:rFonts w:hint="eastAsia"/>
                      <w:szCs w:val="21"/>
                    </w:rPr>
                    <w:t>10</w:t>
                  </w:r>
                </w:p>
              </w:tc>
              <w:tc>
                <w:tcPr>
                  <w:tcW w:w="780" w:type="pct"/>
                  <w:vAlign w:val="center"/>
                </w:tcPr>
                <w:p w14:paraId="09B395B8">
                  <w:pPr>
                    <w:jc w:val="center"/>
                    <w:rPr>
                      <w:szCs w:val="21"/>
                    </w:rPr>
                  </w:pPr>
                  <w:r>
                    <w:rPr>
                      <w:szCs w:val="21"/>
                    </w:rPr>
                    <w:t>达标</w:t>
                  </w:r>
                </w:p>
              </w:tc>
            </w:tr>
            <w:tr w14:paraId="20844E93">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511" w:type="pct"/>
                  <w:vAlign w:val="center"/>
                </w:tcPr>
                <w:p w14:paraId="4F1FDD7B">
                  <w:pPr>
                    <w:jc w:val="center"/>
                    <w:rPr>
                      <w:szCs w:val="21"/>
                      <w:lang w:eastAsia="en-US"/>
                    </w:rPr>
                  </w:pPr>
                  <w:r>
                    <w:rPr>
                      <w:szCs w:val="21"/>
                    </w:rPr>
                    <w:t>1,1,2,2-四氯乙烷(μg/kg)</w:t>
                  </w:r>
                </w:p>
              </w:tc>
              <w:tc>
                <w:tcPr>
                  <w:tcW w:w="761" w:type="pct"/>
                  <w:vAlign w:val="center"/>
                </w:tcPr>
                <w:p w14:paraId="148095B9">
                  <w:pPr>
                    <w:jc w:val="center"/>
                    <w:rPr>
                      <w:szCs w:val="21"/>
                    </w:rPr>
                  </w:pPr>
                  <w:r>
                    <w:rPr>
                      <w:rFonts w:hint="eastAsia"/>
                      <w:szCs w:val="21"/>
                    </w:rPr>
                    <w:t>8.2</w:t>
                  </w:r>
                  <w:r>
                    <w:rPr>
                      <w:szCs w:val="21"/>
                    </w:rPr>
                    <w:t>μg/kg</w:t>
                  </w:r>
                </w:p>
              </w:tc>
              <w:tc>
                <w:tcPr>
                  <w:tcW w:w="947" w:type="pct"/>
                  <w:vAlign w:val="center"/>
                </w:tcPr>
                <w:p w14:paraId="23FC8C1C">
                  <w:pPr>
                    <w:jc w:val="center"/>
                    <w:rPr>
                      <w:szCs w:val="21"/>
                    </w:rPr>
                  </w:pPr>
                  <w:r>
                    <w:rPr>
                      <w:rFonts w:hint="eastAsia"/>
                      <w:szCs w:val="21"/>
                    </w:rPr>
                    <w:t>6.8mg/kg</w:t>
                  </w:r>
                </w:p>
              </w:tc>
              <w:tc>
                <w:tcPr>
                  <w:tcW w:w="780" w:type="pct"/>
                  <w:vAlign w:val="center"/>
                </w:tcPr>
                <w:p w14:paraId="2A97E6F7">
                  <w:pPr>
                    <w:jc w:val="center"/>
                    <w:rPr>
                      <w:szCs w:val="21"/>
                    </w:rPr>
                  </w:pPr>
                  <w:r>
                    <w:rPr>
                      <w:szCs w:val="21"/>
                    </w:rPr>
                    <w:t>达标</w:t>
                  </w:r>
                </w:p>
              </w:tc>
            </w:tr>
            <w:tr w14:paraId="73979E60">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511" w:type="pct"/>
                  <w:vAlign w:val="center"/>
                </w:tcPr>
                <w:p w14:paraId="0EC723C3">
                  <w:pPr>
                    <w:jc w:val="center"/>
                    <w:rPr>
                      <w:szCs w:val="21"/>
                    </w:rPr>
                  </w:pPr>
                  <w:r>
                    <w:rPr>
                      <w:szCs w:val="21"/>
                    </w:rPr>
                    <w:t>四氯乙烯(μg/kg)</w:t>
                  </w:r>
                </w:p>
              </w:tc>
              <w:tc>
                <w:tcPr>
                  <w:tcW w:w="761" w:type="pct"/>
                  <w:vAlign w:val="center"/>
                </w:tcPr>
                <w:p w14:paraId="08B3B8D3">
                  <w:pPr>
                    <w:jc w:val="center"/>
                    <w:rPr>
                      <w:szCs w:val="21"/>
                    </w:rPr>
                  </w:pPr>
                  <w:r>
                    <w:rPr>
                      <w:szCs w:val="21"/>
                    </w:rPr>
                    <w:t>ND</w:t>
                  </w:r>
                </w:p>
              </w:tc>
              <w:tc>
                <w:tcPr>
                  <w:tcW w:w="947" w:type="pct"/>
                  <w:vAlign w:val="center"/>
                </w:tcPr>
                <w:p w14:paraId="71C626FA">
                  <w:pPr>
                    <w:jc w:val="center"/>
                    <w:rPr>
                      <w:szCs w:val="21"/>
                    </w:rPr>
                  </w:pPr>
                  <w:r>
                    <w:rPr>
                      <w:rFonts w:hint="eastAsia"/>
                      <w:szCs w:val="21"/>
                    </w:rPr>
                    <w:t>53</w:t>
                  </w:r>
                </w:p>
              </w:tc>
              <w:tc>
                <w:tcPr>
                  <w:tcW w:w="780" w:type="pct"/>
                  <w:vAlign w:val="center"/>
                </w:tcPr>
                <w:p w14:paraId="59D24B17">
                  <w:pPr>
                    <w:jc w:val="center"/>
                    <w:rPr>
                      <w:szCs w:val="21"/>
                    </w:rPr>
                  </w:pPr>
                  <w:r>
                    <w:rPr>
                      <w:szCs w:val="21"/>
                    </w:rPr>
                    <w:t>达标</w:t>
                  </w:r>
                </w:p>
              </w:tc>
            </w:tr>
            <w:tr w14:paraId="65B812BF">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511" w:type="pct"/>
                  <w:vAlign w:val="center"/>
                </w:tcPr>
                <w:p w14:paraId="1AA3ADBB">
                  <w:pPr>
                    <w:jc w:val="center"/>
                    <w:rPr>
                      <w:szCs w:val="21"/>
                      <w:lang w:eastAsia="en-US"/>
                    </w:rPr>
                  </w:pPr>
                  <w:r>
                    <w:rPr>
                      <w:szCs w:val="21"/>
                    </w:rPr>
                    <w:t>1,1,1-三氯乙烷(μg/kg)</w:t>
                  </w:r>
                </w:p>
              </w:tc>
              <w:tc>
                <w:tcPr>
                  <w:tcW w:w="761" w:type="pct"/>
                  <w:vAlign w:val="center"/>
                </w:tcPr>
                <w:p w14:paraId="144CA54B">
                  <w:pPr>
                    <w:jc w:val="center"/>
                    <w:rPr>
                      <w:szCs w:val="21"/>
                    </w:rPr>
                  </w:pPr>
                  <w:r>
                    <w:rPr>
                      <w:szCs w:val="21"/>
                    </w:rPr>
                    <w:t>ND</w:t>
                  </w:r>
                </w:p>
              </w:tc>
              <w:tc>
                <w:tcPr>
                  <w:tcW w:w="947" w:type="pct"/>
                  <w:vAlign w:val="center"/>
                </w:tcPr>
                <w:p w14:paraId="5B6DF73A">
                  <w:pPr>
                    <w:jc w:val="center"/>
                    <w:rPr>
                      <w:szCs w:val="21"/>
                    </w:rPr>
                  </w:pPr>
                  <w:r>
                    <w:rPr>
                      <w:rFonts w:hint="eastAsia"/>
                      <w:szCs w:val="21"/>
                    </w:rPr>
                    <w:t>840</w:t>
                  </w:r>
                </w:p>
              </w:tc>
              <w:tc>
                <w:tcPr>
                  <w:tcW w:w="780" w:type="pct"/>
                  <w:vAlign w:val="center"/>
                </w:tcPr>
                <w:p w14:paraId="24B242C4">
                  <w:pPr>
                    <w:jc w:val="center"/>
                    <w:rPr>
                      <w:szCs w:val="21"/>
                    </w:rPr>
                  </w:pPr>
                  <w:r>
                    <w:rPr>
                      <w:szCs w:val="21"/>
                    </w:rPr>
                    <w:t>达标</w:t>
                  </w:r>
                </w:p>
              </w:tc>
            </w:tr>
            <w:tr w14:paraId="66AEA583">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511" w:type="pct"/>
                  <w:vAlign w:val="center"/>
                </w:tcPr>
                <w:p w14:paraId="61B41668">
                  <w:pPr>
                    <w:jc w:val="center"/>
                    <w:rPr>
                      <w:szCs w:val="21"/>
                    </w:rPr>
                  </w:pPr>
                  <w:r>
                    <w:rPr>
                      <w:szCs w:val="21"/>
                    </w:rPr>
                    <w:t>1,1,2-三氯乙烷(μg/kg)</w:t>
                  </w:r>
                </w:p>
              </w:tc>
              <w:tc>
                <w:tcPr>
                  <w:tcW w:w="761" w:type="pct"/>
                  <w:vAlign w:val="center"/>
                </w:tcPr>
                <w:p w14:paraId="54CC78A2">
                  <w:pPr>
                    <w:jc w:val="center"/>
                    <w:rPr>
                      <w:szCs w:val="21"/>
                    </w:rPr>
                  </w:pPr>
                  <w:r>
                    <w:rPr>
                      <w:szCs w:val="21"/>
                    </w:rPr>
                    <w:t>ND</w:t>
                  </w:r>
                </w:p>
              </w:tc>
              <w:tc>
                <w:tcPr>
                  <w:tcW w:w="947" w:type="pct"/>
                  <w:vAlign w:val="center"/>
                </w:tcPr>
                <w:p w14:paraId="433CCB6C">
                  <w:pPr>
                    <w:jc w:val="center"/>
                    <w:rPr>
                      <w:szCs w:val="21"/>
                    </w:rPr>
                  </w:pPr>
                  <w:r>
                    <w:rPr>
                      <w:rFonts w:hint="eastAsia"/>
                      <w:szCs w:val="21"/>
                    </w:rPr>
                    <w:t>2.8</w:t>
                  </w:r>
                </w:p>
              </w:tc>
              <w:tc>
                <w:tcPr>
                  <w:tcW w:w="780" w:type="pct"/>
                  <w:vAlign w:val="center"/>
                </w:tcPr>
                <w:p w14:paraId="0E54CFA5">
                  <w:pPr>
                    <w:jc w:val="center"/>
                    <w:rPr>
                      <w:szCs w:val="21"/>
                    </w:rPr>
                  </w:pPr>
                  <w:r>
                    <w:rPr>
                      <w:szCs w:val="21"/>
                    </w:rPr>
                    <w:t>达标</w:t>
                  </w:r>
                </w:p>
              </w:tc>
            </w:tr>
            <w:tr w14:paraId="19B8D1B4">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511" w:type="pct"/>
                  <w:vAlign w:val="center"/>
                </w:tcPr>
                <w:p w14:paraId="551071BF">
                  <w:pPr>
                    <w:jc w:val="center"/>
                    <w:rPr>
                      <w:szCs w:val="21"/>
                      <w:lang w:eastAsia="en-US"/>
                    </w:rPr>
                  </w:pPr>
                  <w:r>
                    <w:rPr>
                      <w:szCs w:val="21"/>
                    </w:rPr>
                    <w:t>三氯乙烯(μg/kg)</w:t>
                  </w:r>
                </w:p>
              </w:tc>
              <w:tc>
                <w:tcPr>
                  <w:tcW w:w="761" w:type="pct"/>
                  <w:vAlign w:val="center"/>
                </w:tcPr>
                <w:p w14:paraId="72E8A073">
                  <w:pPr>
                    <w:jc w:val="center"/>
                    <w:rPr>
                      <w:szCs w:val="21"/>
                    </w:rPr>
                  </w:pPr>
                  <w:r>
                    <w:rPr>
                      <w:szCs w:val="21"/>
                    </w:rPr>
                    <w:t>ND</w:t>
                  </w:r>
                </w:p>
              </w:tc>
              <w:tc>
                <w:tcPr>
                  <w:tcW w:w="947" w:type="pct"/>
                  <w:vAlign w:val="center"/>
                </w:tcPr>
                <w:p w14:paraId="6160437A">
                  <w:pPr>
                    <w:jc w:val="center"/>
                    <w:rPr>
                      <w:szCs w:val="21"/>
                    </w:rPr>
                  </w:pPr>
                  <w:r>
                    <w:rPr>
                      <w:rFonts w:hint="eastAsia"/>
                      <w:szCs w:val="21"/>
                    </w:rPr>
                    <w:t>2.8</w:t>
                  </w:r>
                </w:p>
              </w:tc>
              <w:tc>
                <w:tcPr>
                  <w:tcW w:w="780" w:type="pct"/>
                  <w:vAlign w:val="center"/>
                </w:tcPr>
                <w:p w14:paraId="45098825">
                  <w:pPr>
                    <w:jc w:val="center"/>
                    <w:rPr>
                      <w:szCs w:val="21"/>
                    </w:rPr>
                  </w:pPr>
                  <w:r>
                    <w:rPr>
                      <w:szCs w:val="21"/>
                    </w:rPr>
                    <w:t>达标</w:t>
                  </w:r>
                </w:p>
              </w:tc>
            </w:tr>
            <w:tr w14:paraId="62B72C03">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511" w:type="pct"/>
                  <w:vAlign w:val="center"/>
                </w:tcPr>
                <w:p w14:paraId="6251AD32">
                  <w:pPr>
                    <w:jc w:val="center"/>
                    <w:rPr>
                      <w:szCs w:val="21"/>
                      <w:lang w:eastAsia="en-US"/>
                    </w:rPr>
                  </w:pPr>
                  <w:r>
                    <w:rPr>
                      <w:szCs w:val="21"/>
                    </w:rPr>
                    <w:t>1,2,3-三氯丙烷(μg/kg)</w:t>
                  </w:r>
                </w:p>
              </w:tc>
              <w:tc>
                <w:tcPr>
                  <w:tcW w:w="761" w:type="pct"/>
                  <w:vAlign w:val="center"/>
                </w:tcPr>
                <w:p w14:paraId="726E49F4">
                  <w:pPr>
                    <w:jc w:val="center"/>
                    <w:rPr>
                      <w:szCs w:val="21"/>
                    </w:rPr>
                  </w:pPr>
                  <w:r>
                    <w:rPr>
                      <w:rFonts w:hint="eastAsia"/>
                      <w:szCs w:val="21"/>
                    </w:rPr>
                    <w:t>22.5</w:t>
                  </w:r>
                  <w:r>
                    <w:rPr>
                      <w:szCs w:val="21"/>
                    </w:rPr>
                    <w:t>μg/kg</w:t>
                  </w:r>
                </w:p>
              </w:tc>
              <w:tc>
                <w:tcPr>
                  <w:tcW w:w="947" w:type="pct"/>
                  <w:vAlign w:val="center"/>
                </w:tcPr>
                <w:p w14:paraId="0C17F9F9">
                  <w:pPr>
                    <w:jc w:val="center"/>
                    <w:rPr>
                      <w:szCs w:val="21"/>
                    </w:rPr>
                  </w:pPr>
                  <w:r>
                    <w:rPr>
                      <w:rFonts w:hint="eastAsia"/>
                      <w:szCs w:val="21"/>
                    </w:rPr>
                    <w:t>0.5mg/kg</w:t>
                  </w:r>
                </w:p>
              </w:tc>
              <w:tc>
                <w:tcPr>
                  <w:tcW w:w="780" w:type="pct"/>
                  <w:vAlign w:val="center"/>
                </w:tcPr>
                <w:p w14:paraId="0EDD8154">
                  <w:pPr>
                    <w:jc w:val="center"/>
                    <w:rPr>
                      <w:szCs w:val="21"/>
                    </w:rPr>
                  </w:pPr>
                  <w:r>
                    <w:rPr>
                      <w:szCs w:val="21"/>
                    </w:rPr>
                    <w:t>达标</w:t>
                  </w:r>
                </w:p>
              </w:tc>
            </w:tr>
            <w:tr w14:paraId="32F7F8C2">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511" w:type="pct"/>
                  <w:vAlign w:val="center"/>
                </w:tcPr>
                <w:p w14:paraId="28204748">
                  <w:pPr>
                    <w:jc w:val="center"/>
                    <w:rPr>
                      <w:szCs w:val="21"/>
                      <w:lang w:eastAsia="en-US"/>
                    </w:rPr>
                  </w:pPr>
                  <w:r>
                    <w:rPr>
                      <w:szCs w:val="21"/>
                    </w:rPr>
                    <w:t>氯乙烯(μg/kg)</w:t>
                  </w:r>
                </w:p>
              </w:tc>
              <w:tc>
                <w:tcPr>
                  <w:tcW w:w="761" w:type="pct"/>
                  <w:vAlign w:val="center"/>
                </w:tcPr>
                <w:p w14:paraId="795B66FA">
                  <w:pPr>
                    <w:jc w:val="center"/>
                    <w:rPr>
                      <w:szCs w:val="21"/>
                    </w:rPr>
                  </w:pPr>
                  <w:r>
                    <w:rPr>
                      <w:szCs w:val="21"/>
                    </w:rPr>
                    <w:t>ND</w:t>
                  </w:r>
                </w:p>
              </w:tc>
              <w:tc>
                <w:tcPr>
                  <w:tcW w:w="947" w:type="pct"/>
                  <w:vAlign w:val="center"/>
                </w:tcPr>
                <w:p w14:paraId="428A6C26">
                  <w:pPr>
                    <w:jc w:val="center"/>
                    <w:rPr>
                      <w:szCs w:val="21"/>
                    </w:rPr>
                  </w:pPr>
                  <w:r>
                    <w:rPr>
                      <w:rFonts w:hint="eastAsia"/>
                      <w:szCs w:val="21"/>
                    </w:rPr>
                    <w:t>0.43</w:t>
                  </w:r>
                </w:p>
              </w:tc>
              <w:tc>
                <w:tcPr>
                  <w:tcW w:w="780" w:type="pct"/>
                  <w:vAlign w:val="center"/>
                </w:tcPr>
                <w:p w14:paraId="5363B3DD">
                  <w:pPr>
                    <w:jc w:val="center"/>
                    <w:rPr>
                      <w:szCs w:val="21"/>
                    </w:rPr>
                  </w:pPr>
                  <w:r>
                    <w:rPr>
                      <w:szCs w:val="21"/>
                    </w:rPr>
                    <w:t>达标</w:t>
                  </w:r>
                </w:p>
              </w:tc>
            </w:tr>
            <w:tr w14:paraId="2A1A6E95">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511" w:type="pct"/>
                  <w:vAlign w:val="center"/>
                </w:tcPr>
                <w:p w14:paraId="6E0EEB49">
                  <w:pPr>
                    <w:jc w:val="center"/>
                    <w:rPr>
                      <w:szCs w:val="21"/>
                    </w:rPr>
                  </w:pPr>
                  <w:r>
                    <w:rPr>
                      <w:szCs w:val="21"/>
                    </w:rPr>
                    <w:t>苯(μg/kg)</w:t>
                  </w:r>
                </w:p>
              </w:tc>
              <w:tc>
                <w:tcPr>
                  <w:tcW w:w="761" w:type="pct"/>
                  <w:vAlign w:val="center"/>
                </w:tcPr>
                <w:p w14:paraId="4D65544B">
                  <w:pPr>
                    <w:jc w:val="center"/>
                    <w:rPr>
                      <w:szCs w:val="21"/>
                    </w:rPr>
                  </w:pPr>
                  <w:r>
                    <w:rPr>
                      <w:szCs w:val="21"/>
                    </w:rPr>
                    <w:t>ND</w:t>
                  </w:r>
                </w:p>
              </w:tc>
              <w:tc>
                <w:tcPr>
                  <w:tcW w:w="947" w:type="pct"/>
                  <w:vAlign w:val="center"/>
                </w:tcPr>
                <w:p w14:paraId="435F95FD">
                  <w:pPr>
                    <w:jc w:val="center"/>
                    <w:rPr>
                      <w:szCs w:val="21"/>
                    </w:rPr>
                  </w:pPr>
                  <w:r>
                    <w:rPr>
                      <w:rFonts w:hint="eastAsia"/>
                      <w:szCs w:val="21"/>
                    </w:rPr>
                    <w:t>4</w:t>
                  </w:r>
                </w:p>
              </w:tc>
              <w:tc>
                <w:tcPr>
                  <w:tcW w:w="780" w:type="pct"/>
                  <w:vAlign w:val="center"/>
                </w:tcPr>
                <w:p w14:paraId="4509F575">
                  <w:pPr>
                    <w:jc w:val="center"/>
                    <w:rPr>
                      <w:szCs w:val="21"/>
                    </w:rPr>
                  </w:pPr>
                  <w:r>
                    <w:rPr>
                      <w:szCs w:val="21"/>
                    </w:rPr>
                    <w:t>达标</w:t>
                  </w:r>
                </w:p>
              </w:tc>
            </w:tr>
            <w:tr w14:paraId="0279C172">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511" w:type="pct"/>
                  <w:vAlign w:val="center"/>
                </w:tcPr>
                <w:p w14:paraId="5311253E">
                  <w:pPr>
                    <w:jc w:val="center"/>
                    <w:rPr>
                      <w:szCs w:val="21"/>
                    </w:rPr>
                  </w:pPr>
                  <w:r>
                    <w:rPr>
                      <w:szCs w:val="21"/>
                    </w:rPr>
                    <w:t>氯苯(μg/kg)</w:t>
                  </w:r>
                </w:p>
              </w:tc>
              <w:tc>
                <w:tcPr>
                  <w:tcW w:w="761" w:type="pct"/>
                  <w:vAlign w:val="center"/>
                </w:tcPr>
                <w:p w14:paraId="53CE9091">
                  <w:pPr>
                    <w:jc w:val="center"/>
                    <w:rPr>
                      <w:szCs w:val="21"/>
                    </w:rPr>
                  </w:pPr>
                  <w:r>
                    <w:rPr>
                      <w:szCs w:val="21"/>
                    </w:rPr>
                    <w:t>ND</w:t>
                  </w:r>
                </w:p>
              </w:tc>
              <w:tc>
                <w:tcPr>
                  <w:tcW w:w="947" w:type="pct"/>
                  <w:vAlign w:val="center"/>
                </w:tcPr>
                <w:p w14:paraId="368CEABC">
                  <w:pPr>
                    <w:jc w:val="center"/>
                    <w:rPr>
                      <w:szCs w:val="21"/>
                    </w:rPr>
                  </w:pPr>
                  <w:r>
                    <w:rPr>
                      <w:rFonts w:hint="eastAsia"/>
                      <w:szCs w:val="21"/>
                    </w:rPr>
                    <w:t>270</w:t>
                  </w:r>
                </w:p>
              </w:tc>
              <w:tc>
                <w:tcPr>
                  <w:tcW w:w="780" w:type="pct"/>
                  <w:vAlign w:val="center"/>
                </w:tcPr>
                <w:p w14:paraId="571602E4">
                  <w:pPr>
                    <w:jc w:val="center"/>
                    <w:rPr>
                      <w:szCs w:val="21"/>
                    </w:rPr>
                  </w:pPr>
                  <w:r>
                    <w:rPr>
                      <w:szCs w:val="21"/>
                    </w:rPr>
                    <w:t>达标</w:t>
                  </w:r>
                </w:p>
              </w:tc>
            </w:tr>
            <w:tr w14:paraId="4889B549">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511" w:type="pct"/>
                  <w:vAlign w:val="center"/>
                </w:tcPr>
                <w:p w14:paraId="13FED303">
                  <w:pPr>
                    <w:jc w:val="center"/>
                    <w:rPr>
                      <w:szCs w:val="21"/>
                    </w:rPr>
                  </w:pPr>
                  <w:r>
                    <w:rPr>
                      <w:szCs w:val="21"/>
                    </w:rPr>
                    <w:t>1,2-二氯苯(μg/kg)</w:t>
                  </w:r>
                </w:p>
              </w:tc>
              <w:tc>
                <w:tcPr>
                  <w:tcW w:w="761" w:type="pct"/>
                  <w:vAlign w:val="center"/>
                </w:tcPr>
                <w:p w14:paraId="31F1CE18">
                  <w:pPr>
                    <w:jc w:val="center"/>
                    <w:rPr>
                      <w:szCs w:val="21"/>
                    </w:rPr>
                  </w:pPr>
                  <w:r>
                    <w:rPr>
                      <w:szCs w:val="21"/>
                    </w:rPr>
                    <w:t>ND</w:t>
                  </w:r>
                </w:p>
              </w:tc>
              <w:tc>
                <w:tcPr>
                  <w:tcW w:w="947" w:type="pct"/>
                  <w:vAlign w:val="center"/>
                </w:tcPr>
                <w:p w14:paraId="247C3B73">
                  <w:pPr>
                    <w:jc w:val="center"/>
                    <w:rPr>
                      <w:szCs w:val="21"/>
                    </w:rPr>
                  </w:pPr>
                  <w:r>
                    <w:rPr>
                      <w:rFonts w:hint="eastAsia"/>
                      <w:szCs w:val="21"/>
                    </w:rPr>
                    <w:t>560</w:t>
                  </w:r>
                </w:p>
              </w:tc>
              <w:tc>
                <w:tcPr>
                  <w:tcW w:w="780" w:type="pct"/>
                  <w:vAlign w:val="center"/>
                </w:tcPr>
                <w:p w14:paraId="4D015E41">
                  <w:pPr>
                    <w:jc w:val="center"/>
                    <w:rPr>
                      <w:szCs w:val="21"/>
                    </w:rPr>
                  </w:pPr>
                  <w:r>
                    <w:rPr>
                      <w:szCs w:val="21"/>
                    </w:rPr>
                    <w:t>达标</w:t>
                  </w:r>
                </w:p>
              </w:tc>
            </w:tr>
            <w:tr w14:paraId="114F0C99">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511" w:type="pct"/>
                  <w:vAlign w:val="center"/>
                </w:tcPr>
                <w:p w14:paraId="65FC8AE8">
                  <w:pPr>
                    <w:jc w:val="center"/>
                    <w:rPr>
                      <w:szCs w:val="21"/>
                    </w:rPr>
                  </w:pPr>
                  <w:r>
                    <w:rPr>
                      <w:szCs w:val="21"/>
                    </w:rPr>
                    <w:t>1,4-二氯苯(μg/kg)</w:t>
                  </w:r>
                </w:p>
              </w:tc>
              <w:tc>
                <w:tcPr>
                  <w:tcW w:w="761" w:type="pct"/>
                  <w:vAlign w:val="center"/>
                </w:tcPr>
                <w:p w14:paraId="2469DADF">
                  <w:pPr>
                    <w:jc w:val="center"/>
                    <w:rPr>
                      <w:szCs w:val="21"/>
                    </w:rPr>
                  </w:pPr>
                  <w:r>
                    <w:rPr>
                      <w:szCs w:val="21"/>
                    </w:rPr>
                    <w:t>ND</w:t>
                  </w:r>
                </w:p>
              </w:tc>
              <w:tc>
                <w:tcPr>
                  <w:tcW w:w="947" w:type="pct"/>
                  <w:vAlign w:val="center"/>
                </w:tcPr>
                <w:p w14:paraId="0BFE68C5">
                  <w:pPr>
                    <w:jc w:val="center"/>
                    <w:rPr>
                      <w:szCs w:val="21"/>
                    </w:rPr>
                  </w:pPr>
                  <w:r>
                    <w:rPr>
                      <w:rFonts w:hint="eastAsia"/>
                      <w:szCs w:val="21"/>
                    </w:rPr>
                    <w:t>20</w:t>
                  </w:r>
                </w:p>
              </w:tc>
              <w:tc>
                <w:tcPr>
                  <w:tcW w:w="780" w:type="pct"/>
                  <w:vAlign w:val="center"/>
                </w:tcPr>
                <w:p w14:paraId="3A05F32E">
                  <w:pPr>
                    <w:jc w:val="center"/>
                    <w:rPr>
                      <w:szCs w:val="21"/>
                    </w:rPr>
                  </w:pPr>
                  <w:r>
                    <w:rPr>
                      <w:szCs w:val="21"/>
                    </w:rPr>
                    <w:t>达标</w:t>
                  </w:r>
                </w:p>
              </w:tc>
            </w:tr>
            <w:tr w14:paraId="13FA35C0">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511" w:type="pct"/>
                  <w:vAlign w:val="center"/>
                </w:tcPr>
                <w:p w14:paraId="20A2F7BD">
                  <w:pPr>
                    <w:jc w:val="center"/>
                    <w:rPr>
                      <w:szCs w:val="21"/>
                    </w:rPr>
                  </w:pPr>
                  <w:r>
                    <w:rPr>
                      <w:szCs w:val="21"/>
                    </w:rPr>
                    <w:t>乙苯(μg/kg)</w:t>
                  </w:r>
                </w:p>
              </w:tc>
              <w:tc>
                <w:tcPr>
                  <w:tcW w:w="761" w:type="pct"/>
                  <w:vAlign w:val="center"/>
                </w:tcPr>
                <w:p w14:paraId="2706E34E">
                  <w:pPr>
                    <w:jc w:val="center"/>
                    <w:rPr>
                      <w:szCs w:val="21"/>
                    </w:rPr>
                  </w:pPr>
                  <w:r>
                    <w:rPr>
                      <w:szCs w:val="21"/>
                    </w:rPr>
                    <w:t>ND</w:t>
                  </w:r>
                </w:p>
              </w:tc>
              <w:tc>
                <w:tcPr>
                  <w:tcW w:w="947" w:type="pct"/>
                  <w:vAlign w:val="center"/>
                </w:tcPr>
                <w:p w14:paraId="4E4AF26A">
                  <w:pPr>
                    <w:jc w:val="center"/>
                    <w:rPr>
                      <w:szCs w:val="21"/>
                    </w:rPr>
                  </w:pPr>
                  <w:r>
                    <w:rPr>
                      <w:rFonts w:hint="eastAsia"/>
                      <w:szCs w:val="21"/>
                    </w:rPr>
                    <w:t>28</w:t>
                  </w:r>
                </w:p>
              </w:tc>
              <w:tc>
                <w:tcPr>
                  <w:tcW w:w="780" w:type="pct"/>
                  <w:vAlign w:val="center"/>
                </w:tcPr>
                <w:p w14:paraId="2C42A680">
                  <w:pPr>
                    <w:jc w:val="center"/>
                    <w:rPr>
                      <w:szCs w:val="21"/>
                    </w:rPr>
                  </w:pPr>
                  <w:r>
                    <w:rPr>
                      <w:szCs w:val="21"/>
                    </w:rPr>
                    <w:t>达标</w:t>
                  </w:r>
                </w:p>
              </w:tc>
            </w:tr>
            <w:tr w14:paraId="759D536E">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511" w:type="pct"/>
                  <w:vAlign w:val="center"/>
                </w:tcPr>
                <w:p w14:paraId="00ECB18A">
                  <w:pPr>
                    <w:jc w:val="center"/>
                    <w:rPr>
                      <w:szCs w:val="21"/>
                    </w:rPr>
                  </w:pPr>
                  <w:r>
                    <w:rPr>
                      <w:szCs w:val="21"/>
                    </w:rPr>
                    <w:t>苯乙烯(μg/kg)</w:t>
                  </w:r>
                </w:p>
              </w:tc>
              <w:tc>
                <w:tcPr>
                  <w:tcW w:w="761" w:type="pct"/>
                  <w:vAlign w:val="center"/>
                </w:tcPr>
                <w:p w14:paraId="1363A3BF">
                  <w:pPr>
                    <w:jc w:val="center"/>
                    <w:rPr>
                      <w:szCs w:val="21"/>
                    </w:rPr>
                  </w:pPr>
                  <w:r>
                    <w:rPr>
                      <w:szCs w:val="21"/>
                    </w:rPr>
                    <w:t>ND</w:t>
                  </w:r>
                </w:p>
              </w:tc>
              <w:tc>
                <w:tcPr>
                  <w:tcW w:w="947" w:type="pct"/>
                  <w:vAlign w:val="center"/>
                </w:tcPr>
                <w:p w14:paraId="708D9B18">
                  <w:pPr>
                    <w:jc w:val="center"/>
                    <w:rPr>
                      <w:szCs w:val="21"/>
                    </w:rPr>
                  </w:pPr>
                  <w:r>
                    <w:rPr>
                      <w:rFonts w:hint="eastAsia"/>
                      <w:szCs w:val="21"/>
                    </w:rPr>
                    <w:t>1290</w:t>
                  </w:r>
                </w:p>
              </w:tc>
              <w:tc>
                <w:tcPr>
                  <w:tcW w:w="780" w:type="pct"/>
                  <w:vAlign w:val="center"/>
                </w:tcPr>
                <w:p w14:paraId="0383E2B8">
                  <w:pPr>
                    <w:jc w:val="center"/>
                    <w:rPr>
                      <w:szCs w:val="21"/>
                    </w:rPr>
                  </w:pPr>
                  <w:r>
                    <w:rPr>
                      <w:szCs w:val="21"/>
                    </w:rPr>
                    <w:t>达标</w:t>
                  </w:r>
                </w:p>
              </w:tc>
            </w:tr>
            <w:tr w14:paraId="7E6A056A">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511" w:type="pct"/>
                  <w:vAlign w:val="center"/>
                </w:tcPr>
                <w:p w14:paraId="2F9691B5">
                  <w:pPr>
                    <w:jc w:val="center"/>
                    <w:rPr>
                      <w:szCs w:val="21"/>
                    </w:rPr>
                  </w:pPr>
                  <w:r>
                    <w:rPr>
                      <w:szCs w:val="21"/>
                    </w:rPr>
                    <w:t>甲苯(μg/kg)</w:t>
                  </w:r>
                </w:p>
              </w:tc>
              <w:tc>
                <w:tcPr>
                  <w:tcW w:w="761" w:type="pct"/>
                  <w:vAlign w:val="center"/>
                </w:tcPr>
                <w:p w14:paraId="3E609236">
                  <w:pPr>
                    <w:jc w:val="center"/>
                    <w:rPr>
                      <w:szCs w:val="21"/>
                    </w:rPr>
                  </w:pPr>
                  <w:r>
                    <w:rPr>
                      <w:szCs w:val="21"/>
                    </w:rPr>
                    <w:t>ND</w:t>
                  </w:r>
                </w:p>
              </w:tc>
              <w:tc>
                <w:tcPr>
                  <w:tcW w:w="947" w:type="pct"/>
                  <w:vAlign w:val="center"/>
                </w:tcPr>
                <w:p w14:paraId="19D60A12">
                  <w:pPr>
                    <w:jc w:val="center"/>
                    <w:rPr>
                      <w:szCs w:val="21"/>
                    </w:rPr>
                  </w:pPr>
                  <w:r>
                    <w:rPr>
                      <w:rFonts w:hint="eastAsia"/>
                      <w:szCs w:val="21"/>
                    </w:rPr>
                    <w:t>1200</w:t>
                  </w:r>
                </w:p>
              </w:tc>
              <w:tc>
                <w:tcPr>
                  <w:tcW w:w="780" w:type="pct"/>
                  <w:vAlign w:val="center"/>
                </w:tcPr>
                <w:p w14:paraId="434D0FF5">
                  <w:pPr>
                    <w:jc w:val="center"/>
                    <w:rPr>
                      <w:szCs w:val="21"/>
                    </w:rPr>
                  </w:pPr>
                  <w:r>
                    <w:rPr>
                      <w:szCs w:val="21"/>
                    </w:rPr>
                    <w:t>达标</w:t>
                  </w:r>
                </w:p>
              </w:tc>
            </w:tr>
            <w:tr w14:paraId="28D9B0F4">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511" w:type="pct"/>
                  <w:vAlign w:val="center"/>
                </w:tcPr>
                <w:p w14:paraId="445EA46D">
                  <w:pPr>
                    <w:jc w:val="center"/>
                    <w:rPr>
                      <w:szCs w:val="21"/>
                    </w:rPr>
                  </w:pPr>
                  <w:r>
                    <w:rPr>
                      <w:szCs w:val="21"/>
                    </w:rPr>
                    <w:t>间二甲苯+对二甲苯(μg/kg)</w:t>
                  </w:r>
                </w:p>
              </w:tc>
              <w:tc>
                <w:tcPr>
                  <w:tcW w:w="761" w:type="pct"/>
                  <w:vAlign w:val="center"/>
                </w:tcPr>
                <w:p w14:paraId="7DD6B93E">
                  <w:pPr>
                    <w:jc w:val="center"/>
                    <w:rPr>
                      <w:szCs w:val="21"/>
                    </w:rPr>
                  </w:pPr>
                  <w:r>
                    <w:rPr>
                      <w:szCs w:val="21"/>
                    </w:rPr>
                    <w:t>ND</w:t>
                  </w:r>
                </w:p>
              </w:tc>
              <w:tc>
                <w:tcPr>
                  <w:tcW w:w="947" w:type="pct"/>
                  <w:vAlign w:val="center"/>
                </w:tcPr>
                <w:p w14:paraId="318D82F3">
                  <w:pPr>
                    <w:jc w:val="center"/>
                    <w:rPr>
                      <w:szCs w:val="21"/>
                    </w:rPr>
                  </w:pPr>
                  <w:r>
                    <w:rPr>
                      <w:rFonts w:hint="eastAsia"/>
                      <w:szCs w:val="21"/>
                    </w:rPr>
                    <w:t>570</w:t>
                  </w:r>
                </w:p>
              </w:tc>
              <w:tc>
                <w:tcPr>
                  <w:tcW w:w="780" w:type="pct"/>
                  <w:vAlign w:val="center"/>
                </w:tcPr>
                <w:p w14:paraId="1CE56ED5">
                  <w:pPr>
                    <w:jc w:val="center"/>
                    <w:rPr>
                      <w:szCs w:val="21"/>
                    </w:rPr>
                  </w:pPr>
                  <w:r>
                    <w:rPr>
                      <w:szCs w:val="21"/>
                    </w:rPr>
                    <w:t>达标</w:t>
                  </w:r>
                </w:p>
              </w:tc>
            </w:tr>
            <w:tr w14:paraId="4DC47989">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511" w:type="pct"/>
                  <w:vAlign w:val="center"/>
                </w:tcPr>
                <w:p w14:paraId="426656BC">
                  <w:pPr>
                    <w:jc w:val="center"/>
                    <w:rPr>
                      <w:szCs w:val="21"/>
                    </w:rPr>
                  </w:pPr>
                  <w:r>
                    <w:rPr>
                      <w:szCs w:val="21"/>
                    </w:rPr>
                    <w:t>邻二甲苯(μg/kg)</w:t>
                  </w:r>
                </w:p>
              </w:tc>
              <w:tc>
                <w:tcPr>
                  <w:tcW w:w="761" w:type="pct"/>
                  <w:vAlign w:val="center"/>
                </w:tcPr>
                <w:p w14:paraId="6B1A38D2">
                  <w:pPr>
                    <w:jc w:val="center"/>
                    <w:rPr>
                      <w:szCs w:val="21"/>
                    </w:rPr>
                  </w:pPr>
                  <w:r>
                    <w:rPr>
                      <w:szCs w:val="21"/>
                    </w:rPr>
                    <w:t>ND</w:t>
                  </w:r>
                </w:p>
              </w:tc>
              <w:tc>
                <w:tcPr>
                  <w:tcW w:w="947" w:type="pct"/>
                  <w:vAlign w:val="center"/>
                </w:tcPr>
                <w:p w14:paraId="6802B7EA">
                  <w:pPr>
                    <w:jc w:val="center"/>
                    <w:rPr>
                      <w:szCs w:val="21"/>
                    </w:rPr>
                  </w:pPr>
                  <w:r>
                    <w:rPr>
                      <w:rFonts w:hint="eastAsia"/>
                      <w:szCs w:val="21"/>
                    </w:rPr>
                    <w:t>640</w:t>
                  </w:r>
                </w:p>
              </w:tc>
              <w:tc>
                <w:tcPr>
                  <w:tcW w:w="780" w:type="pct"/>
                  <w:vAlign w:val="center"/>
                </w:tcPr>
                <w:p w14:paraId="4B566DF0">
                  <w:pPr>
                    <w:jc w:val="center"/>
                    <w:rPr>
                      <w:szCs w:val="21"/>
                    </w:rPr>
                  </w:pPr>
                  <w:r>
                    <w:rPr>
                      <w:szCs w:val="21"/>
                    </w:rPr>
                    <w:t>达标</w:t>
                  </w:r>
                </w:p>
              </w:tc>
            </w:tr>
            <w:tr w14:paraId="7C815B1D">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511" w:type="pct"/>
                  <w:vAlign w:val="center"/>
                </w:tcPr>
                <w:p w14:paraId="05776573">
                  <w:pPr>
                    <w:jc w:val="center"/>
                    <w:rPr>
                      <w:szCs w:val="21"/>
                    </w:rPr>
                  </w:pPr>
                  <w:r>
                    <w:rPr>
                      <w:szCs w:val="21"/>
                    </w:rPr>
                    <w:t>苯胺(mg/kg)</w:t>
                  </w:r>
                </w:p>
              </w:tc>
              <w:tc>
                <w:tcPr>
                  <w:tcW w:w="761" w:type="pct"/>
                  <w:vAlign w:val="center"/>
                </w:tcPr>
                <w:p w14:paraId="507B96BD">
                  <w:pPr>
                    <w:jc w:val="center"/>
                    <w:rPr>
                      <w:szCs w:val="21"/>
                    </w:rPr>
                  </w:pPr>
                  <w:r>
                    <w:rPr>
                      <w:szCs w:val="21"/>
                    </w:rPr>
                    <w:t>ND</w:t>
                  </w:r>
                </w:p>
              </w:tc>
              <w:tc>
                <w:tcPr>
                  <w:tcW w:w="947" w:type="pct"/>
                  <w:vAlign w:val="center"/>
                </w:tcPr>
                <w:p w14:paraId="30529FB6">
                  <w:pPr>
                    <w:jc w:val="center"/>
                    <w:rPr>
                      <w:szCs w:val="21"/>
                    </w:rPr>
                  </w:pPr>
                  <w:r>
                    <w:rPr>
                      <w:rFonts w:hint="eastAsia"/>
                      <w:szCs w:val="21"/>
                    </w:rPr>
                    <w:t>260</w:t>
                  </w:r>
                </w:p>
              </w:tc>
              <w:tc>
                <w:tcPr>
                  <w:tcW w:w="780" w:type="pct"/>
                  <w:vAlign w:val="center"/>
                </w:tcPr>
                <w:p w14:paraId="6CC5D4CB">
                  <w:pPr>
                    <w:jc w:val="center"/>
                    <w:rPr>
                      <w:szCs w:val="21"/>
                    </w:rPr>
                  </w:pPr>
                  <w:r>
                    <w:rPr>
                      <w:szCs w:val="21"/>
                    </w:rPr>
                    <w:t>达标</w:t>
                  </w:r>
                </w:p>
              </w:tc>
            </w:tr>
            <w:tr w14:paraId="64718C8C">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511" w:type="pct"/>
                  <w:vAlign w:val="center"/>
                </w:tcPr>
                <w:p w14:paraId="099172FB">
                  <w:pPr>
                    <w:jc w:val="center"/>
                    <w:rPr>
                      <w:szCs w:val="21"/>
                    </w:rPr>
                  </w:pPr>
                  <w:r>
                    <w:rPr>
                      <w:szCs w:val="21"/>
                    </w:rPr>
                    <w:t>硝基苯(mg/kg)</w:t>
                  </w:r>
                </w:p>
              </w:tc>
              <w:tc>
                <w:tcPr>
                  <w:tcW w:w="761" w:type="pct"/>
                  <w:vAlign w:val="center"/>
                </w:tcPr>
                <w:p w14:paraId="2BF4BC02">
                  <w:pPr>
                    <w:jc w:val="center"/>
                    <w:rPr>
                      <w:szCs w:val="21"/>
                    </w:rPr>
                  </w:pPr>
                  <w:r>
                    <w:rPr>
                      <w:szCs w:val="21"/>
                    </w:rPr>
                    <w:t>ND</w:t>
                  </w:r>
                </w:p>
              </w:tc>
              <w:tc>
                <w:tcPr>
                  <w:tcW w:w="947" w:type="pct"/>
                  <w:vAlign w:val="center"/>
                </w:tcPr>
                <w:p w14:paraId="66DD74BD">
                  <w:pPr>
                    <w:jc w:val="center"/>
                    <w:rPr>
                      <w:szCs w:val="21"/>
                    </w:rPr>
                  </w:pPr>
                  <w:r>
                    <w:rPr>
                      <w:rFonts w:hint="eastAsia"/>
                      <w:szCs w:val="21"/>
                    </w:rPr>
                    <w:t>76</w:t>
                  </w:r>
                </w:p>
              </w:tc>
              <w:tc>
                <w:tcPr>
                  <w:tcW w:w="780" w:type="pct"/>
                  <w:vAlign w:val="center"/>
                </w:tcPr>
                <w:p w14:paraId="58D45299">
                  <w:pPr>
                    <w:jc w:val="center"/>
                    <w:rPr>
                      <w:szCs w:val="21"/>
                    </w:rPr>
                  </w:pPr>
                  <w:r>
                    <w:rPr>
                      <w:szCs w:val="21"/>
                    </w:rPr>
                    <w:t>达标</w:t>
                  </w:r>
                </w:p>
              </w:tc>
            </w:tr>
            <w:tr w14:paraId="22BBE913">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511" w:type="pct"/>
                  <w:vAlign w:val="center"/>
                </w:tcPr>
                <w:p w14:paraId="7329D64F">
                  <w:pPr>
                    <w:jc w:val="center"/>
                    <w:rPr>
                      <w:szCs w:val="21"/>
                    </w:rPr>
                  </w:pPr>
                  <w:r>
                    <w:rPr>
                      <w:szCs w:val="21"/>
                    </w:rPr>
                    <w:t>2-氯酚(mg/kg)</w:t>
                  </w:r>
                </w:p>
              </w:tc>
              <w:tc>
                <w:tcPr>
                  <w:tcW w:w="761" w:type="pct"/>
                  <w:vAlign w:val="center"/>
                </w:tcPr>
                <w:p w14:paraId="270F93C8">
                  <w:pPr>
                    <w:jc w:val="center"/>
                    <w:rPr>
                      <w:szCs w:val="21"/>
                    </w:rPr>
                  </w:pPr>
                  <w:r>
                    <w:rPr>
                      <w:szCs w:val="21"/>
                    </w:rPr>
                    <w:t>ND</w:t>
                  </w:r>
                </w:p>
              </w:tc>
              <w:tc>
                <w:tcPr>
                  <w:tcW w:w="947" w:type="pct"/>
                  <w:vAlign w:val="center"/>
                </w:tcPr>
                <w:p w14:paraId="1BA51588">
                  <w:pPr>
                    <w:jc w:val="center"/>
                    <w:rPr>
                      <w:szCs w:val="21"/>
                    </w:rPr>
                  </w:pPr>
                  <w:r>
                    <w:rPr>
                      <w:rFonts w:hint="eastAsia"/>
                      <w:szCs w:val="21"/>
                    </w:rPr>
                    <w:t>2256</w:t>
                  </w:r>
                </w:p>
              </w:tc>
              <w:tc>
                <w:tcPr>
                  <w:tcW w:w="780" w:type="pct"/>
                  <w:vAlign w:val="center"/>
                </w:tcPr>
                <w:p w14:paraId="2737CCE3">
                  <w:pPr>
                    <w:jc w:val="center"/>
                    <w:rPr>
                      <w:szCs w:val="21"/>
                    </w:rPr>
                  </w:pPr>
                  <w:r>
                    <w:rPr>
                      <w:szCs w:val="21"/>
                    </w:rPr>
                    <w:t>达标</w:t>
                  </w:r>
                </w:p>
              </w:tc>
            </w:tr>
            <w:tr w14:paraId="7457DABB">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511" w:type="pct"/>
                  <w:vAlign w:val="center"/>
                </w:tcPr>
                <w:p w14:paraId="1DE931C1">
                  <w:pPr>
                    <w:jc w:val="center"/>
                    <w:rPr>
                      <w:szCs w:val="21"/>
                    </w:rPr>
                  </w:pPr>
                  <w:r>
                    <w:rPr>
                      <w:szCs w:val="21"/>
                    </w:rPr>
                    <w:t>苯并(a)蒽(mg/kg)</w:t>
                  </w:r>
                </w:p>
              </w:tc>
              <w:tc>
                <w:tcPr>
                  <w:tcW w:w="761" w:type="pct"/>
                  <w:vAlign w:val="center"/>
                </w:tcPr>
                <w:p w14:paraId="16268744">
                  <w:pPr>
                    <w:jc w:val="center"/>
                    <w:rPr>
                      <w:szCs w:val="21"/>
                    </w:rPr>
                  </w:pPr>
                  <w:r>
                    <w:rPr>
                      <w:szCs w:val="21"/>
                    </w:rPr>
                    <w:t>ND</w:t>
                  </w:r>
                </w:p>
              </w:tc>
              <w:tc>
                <w:tcPr>
                  <w:tcW w:w="947" w:type="pct"/>
                  <w:vAlign w:val="center"/>
                </w:tcPr>
                <w:p w14:paraId="5F20007C">
                  <w:pPr>
                    <w:jc w:val="center"/>
                    <w:rPr>
                      <w:szCs w:val="21"/>
                    </w:rPr>
                  </w:pPr>
                  <w:r>
                    <w:rPr>
                      <w:rFonts w:hint="eastAsia"/>
                      <w:szCs w:val="21"/>
                    </w:rPr>
                    <w:t>15</w:t>
                  </w:r>
                </w:p>
              </w:tc>
              <w:tc>
                <w:tcPr>
                  <w:tcW w:w="780" w:type="pct"/>
                  <w:vAlign w:val="center"/>
                </w:tcPr>
                <w:p w14:paraId="69BF8B82">
                  <w:pPr>
                    <w:jc w:val="center"/>
                    <w:rPr>
                      <w:szCs w:val="21"/>
                    </w:rPr>
                  </w:pPr>
                  <w:r>
                    <w:rPr>
                      <w:szCs w:val="21"/>
                    </w:rPr>
                    <w:t>达标</w:t>
                  </w:r>
                </w:p>
              </w:tc>
            </w:tr>
            <w:tr w14:paraId="35CF57B2">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511" w:type="pct"/>
                  <w:vAlign w:val="center"/>
                </w:tcPr>
                <w:p w14:paraId="696F3656">
                  <w:pPr>
                    <w:jc w:val="center"/>
                    <w:rPr>
                      <w:szCs w:val="21"/>
                    </w:rPr>
                  </w:pPr>
                  <w:r>
                    <w:rPr>
                      <w:szCs w:val="21"/>
                    </w:rPr>
                    <w:t>苯并(a)芘(mg/kg)</w:t>
                  </w:r>
                </w:p>
              </w:tc>
              <w:tc>
                <w:tcPr>
                  <w:tcW w:w="761" w:type="pct"/>
                  <w:vAlign w:val="center"/>
                </w:tcPr>
                <w:p w14:paraId="6A846B90">
                  <w:pPr>
                    <w:jc w:val="center"/>
                    <w:rPr>
                      <w:szCs w:val="21"/>
                    </w:rPr>
                  </w:pPr>
                  <w:r>
                    <w:rPr>
                      <w:szCs w:val="21"/>
                    </w:rPr>
                    <w:t>ND</w:t>
                  </w:r>
                </w:p>
              </w:tc>
              <w:tc>
                <w:tcPr>
                  <w:tcW w:w="947" w:type="pct"/>
                  <w:vAlign w:val="center"/>
                </w:tcPr>
                <w:p w14:paraId="751F69D9">
                  <w:pPr>
                    <w:jc w:val="center"/>
                    <w:rPr>
                      <w:szCs w:val="21"/>
                    </w:rPr>
                  </w:pPr>
                  <w:r>
                    <w:rPr>
                      <w:rFonts w:hint="eastAsia"/>
                      <w:szCs w:val="21"/>
                    </w:rPr>
                    <w:t>1.5</w:t>
                  </w:r>
                </w:p>
              </w:tc>
              <w:tc>
                <w:tcPr>
                  <w:tcW w:w="780" w:type="pct"/>
                  <w:vAlign w:val="center"/>
                </w:tcPr>
                <w:p w14:paraId="512C914F">
                  <w:pPr>
                    <w:jc w:val="center"/>
                    <w:rPr>
                      <w:szCs w:val="21"/>
                    </w:rPr>
                  </w:pPr>
                  <w:r>
                    <w:rPr>
                      <w:szCs w:val="21"/>
                    </w:rPr>
                    <w:t>达标</w:t>
                  </w:r>
                </w:p>
              </w:tc>
            </w:tr>
            <w:tr w14:paraId="73F0ED19">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511" w:type="pct"/>
                  <w:vAlign w:val="center"/>
                </w:tcPr>
                <w:p w14:paraId="6E6412E4">
                  <w:pPr>
                    <w:jc w:val="center"/>
                    <w:rPr>
                      <w:szCs w:val="21"/>
                    </w:rPr>
                  </w:pPr>
                  <w:r>
                    <w:rPr>
                      <w:szCs w:val="21"/>
                    </w:rPr>
                    <w:t>苯并(b)荧蒽(mg/kg)</w:t>
                  </w:r>
                </w:p>
              </w:tc>
              <w:tc>
                <w:tcPr>
                  <w:tcW w:w="761" w:type="pct"/>
                  <w:vAlign w:val="center"/>
                </w:tcPr>
                <w:p w14:paraId="10359CC2">
                  <w:pPr>
                    <w:jc w:val="center"/>
                    <w:rPr>
                      <w:szCs w:val="21"/>
                    </w:rPr>
                  </w:pPr>
                  <w:r>
                    <w:rPr>
                      <w:szCs w:val="21"/>
                    </w:rPr>
                    <w:t>ND</w:t>
                  </w:r>
                </w:p>
              </w:tc>
              <w:tc>
                <w:tcPr>
                  <w:tcW w:w="947" w:type="pct"/>
                  <w:vAlign w:val="center"/>
                </w:tcPr>
                <w:p w14:paraId="73CB6F8D">
                  <w:pPr>
                    <w:jc w:val="center"/>
                    <w:rPr>
                      <w:szCs w:val="21"/>
                    </w:rPr>
                  </w:pPr>
                  <w:r>
                    <w:rPr>
                      <w:rFonts w:hint="eastAsia"/>
                      <w:szCs w:val="21"/>
                    </w:rPr>
                    <w:t>15</w:t>
                  </w:r>
                </w:p>
              </w:tc>
              <w:tc>
                <w:tcPr>
                  <w:tcW w:w="780" w:type="pct"/>
                  <w:vAlign w:val="center"/>
                </w:tcPr>
                <w:p w14:paraId="5E837373">
                  <w:pPr>
                    <w:jc w:val="center"/>
                    <w:rPr>
                      <w:szCs w:val="21"/>
                    </w:rPr>
                  </w:pPr>
                  <w:r>
                    <w:rPr>
                      <w:szCs w:val="21"/>
                    </w:rPr>
                    <w:t>达标</w:t>
                  </w:r>
                </w:p>
              </w:tc>
            </w:tr>
            <w:tr w14:paraId="5380C4FE">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511" w:type="pct"/>
                  <w:vAlign w:val="center"/>
                </w:tcPr>
                <w:p w14:paraId="7CC4CE9D">
                  <w:pPr>
                    <w:jc w:val="center"/>
                    <w:rPr>
                      <w:szCs w:val="21"/>
                    </w:rPr>
                  </w:pPr>
                  <w:r>
                    <w:rPr>
                      <w:szCs w:val="21"/>
                    </w:rPr>
                    <w:t>苯并(k)荧蒽(mg/kg)</w:t>
                  </w:r>
                </w:p>
              </w:tc>
              <w:tc>
                <w:tcPr>
                  <w:tcW w:w="761" w:type="pct"/>
                  <w:vAlign w:val="center"/>
                </w:tcPr>
                <w:p w14:paraId="25376B07">
                  <w:pPr>
                    <w:jc w:val="center"/>
                    <w:rPr>
                      <w:szCs w:val="21"/>
                    </w:rPr>
                  </w:pPr>
                  <w:r>
                    <w:rPr>
                      <w:szCs w:val="21"/>
                    </w:rPr>
                    <w:t>ND</w:t>
                  </w:r>
                </w:p>
              </w:tc>
              <w:tc>
                <w:tcPr>
                  <w:tcW w:w="947" w:type="pct"/>
                  <w:vAlign w:val="center"/>
                </w:tcPr>
                <w:p w14:paraId="5A11A71C">
                  <w:pPr>
                    <w:jc w:val="center"/>
                    <w:rPr>
                      <w:szCs w:val="21"/>
                    </w:rPr>
                  </w:pPr>
                  <w:r>
                    <w:rPr>
                      <w:rFonts w:hint="eastAsia"/>
                      <w:szCs w:val="21"/>
                    </w:rPr>
                    <w:t>151</w:t>
                  </w:r>
                </w:p>
              </w:tc>
              <w:tc>
                <w:tcPr>
                  <w:tcW w:w="780" w:type="pct"/>
                  <w:vAlign w:val="center"/>
                </w:tcPr>
                <w:p w14:paraId="7244C685">
                  <w:pPr>
                    <w:jc w:val="center"/>
                    <w:rPr>
                      <w:szCs w:val="21"/>
                    </w:rPr>
                  </w:pPr>
                  <w:r>
                    <w:rPr>
                      <w:szCs w:val="21"/>
                    </w:rPr>
                    <w:t>达标</w:t>
                  </w:r>
                </w:p>
              </w:tc>
            </w:tr>
            <w:tr w14:paraId="2E328EE2">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511" w:type="pct"/>
                  <w:vAlign w:val="center"/>
                </w:tcPr>
                <w:p w14:paraId="0E1214AD">
                  <w:pPr>
                    <w:jc w:val="center"/>
                    <w:rPr>
                      <w:szCs w:val="21"/>
                    </w:rPr>
                  </w:pPr>
                  <w:r>
                    <w:rPr>
                      <w:szCs w:val="21"/>
                    </w:rPr>
                    <w:t>䓛(mg/kg)</w:t>
                  </w:r>
                </w:p>
              </w:tc>
              <w:tc>
                <w:tcPr>
                  <w:tcW w:w="761" w:type="pct"/>
                  <w:vAlign w:val="center"/>
                </w:tcPr>
                <w:p w14:paraId="66AFE080">
                  <w:pPr>
                    <w:jc w:val="center"/>
                    <w:rPr>
                      <w:szCs w:val="21"/>
                    </w:rPr>
                  </w:pPr>
                  <w:r>
                    <w:rPr>
                      <w:szCs w:val="21"/>
                    </w:rPr>
                    <w:t>ND</w:t>
                  </w:r>
                </w:p>
              </w:tc>
              <w:tc>
                <w:tcPr>
                  <w:tcW w:w="947" w:type="pct"/>
                  <w:vAlign w:val="center"/>
                </w:tcPr>
                <w:p w14:paraId="04447C6C">
                  <w:pPr>
                    <w:jc w:val="center"/>
                    <w:rPr>
                      <w:szCs w:val="21"/>
                    </w:rPr>
                  </w:pPr>
                  <w:r>
                    <w:rPr>
                      <w:rFonts w:hint="eastAsia"/>
                      <w:szCs w:val="21"/>
                    </w:rPr>
                    <w:t>1293</w:t>
                  </w:r>
                </w:p>
              </w:tc>
              <w:tc>
                <w:tcPr>
                  <w:tcW w:w="780" w:type="pct"/>
                  <w:vAlign w:val="center"/>
                </w:tcPr>
                <w:p w14:paraId="5266009E">
                  <w:pPr>
                    <w:jc w:val="center"/>
                    <w:rPr>
                      <w:szCs w:val="21"/>
                    </w:rPr>
                  </w:pPr>
                  <w:r>
                    <w:rPr>
                      <w:szCs w:val="21"/>
                    </w:rPr>
                    <w:t>达标</w:t>
                  </w:r>
                </w:p>
              </w:tc>
            </w:tr>
            <w:tr w14:paraId="7EAE5CAC">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511" w:type="pct"/>
                  <w:vAlign w:val="center"/>
                </w:tcPr>
                <w:p w14:paraId="64A033A4">
                  <w:pPr>
                    <w:jc w:val="center"/>
                    <w:rPr>
                      <w:szCs w:val="21"/>
                    </w:rPr>
                  </w:pPr>
                  <w:r>
                    <w:rPr>
                      <w:szCs w:val="21"/>
                    </w:rPr>
                    <w:t>二苯并</w:t>
                  </w:r>
                  <w:r>
                    <w:rPr>
                      <w:rFonts w:hint="eastAsia"/>
                      <w:szCs w:val="21"/>
                      <w:lang w:eastAsia="zh-CN"/>
                    </w:rPr>
                    <w:t>〔</w:t>
                  </w:r>
                  <w:r>
                    <w:rPr>
                      <w:szCs w:val="21"/>
                    </w:rPr>
                    <w:t>a,h</w:t>
                  </w:r>
                  <w:r>
                    <w:rPr>
                      <w:rFonts w:hint="eastAsia"/>
                      <w:szCs w:val="21"/>
                      <w:lang w:eastAsia="zh-CN"/>
                    </w:rPr>
                    <w:t>〕</w:t>
                  </w:r>
                  <w:r>
                    <w:rPr>
                      <w:szCs w:val="21"/>
                    </w:rPr>
                    <w:t>蒽(mg/kg)</w:t>
                  </w:r>
                </w:p>
              </w:tc>
              <w:tc>
                <w:tcPr>
                  <w:tcW w:w="761" w:type="pct"/>
                  <w:vAlign w:val="center"/>
                </w:tcPr>
                <w:p w14:paraId="70E9F59D">
                  <w:pPr>
                    <w:jc w:val="center"/>
                    <w:rPr>
                      <w:szCs w:val="21"/>
                    </w:rPr>
                  </w:pPr>
                  <w:r>
                    <w:rPr>
                      <w:szCs w:val="21"/>
                    </w:rPr>
                    <w:t>ND</w:t>
                  </w:r>
                </w:p>
              </w:tc>
              <w:tc>
                <w:tcPr>
                  <w:tcW w:w="947" w:type="pct"/>
                  <w:vAlign w:val="center"/>
                </w:tcPr>
                <w:p w14:paraId="5A807C79">
                  <w:pPr>
                    <w:jc w:val="center"/>
                    <w:rPr>
                      <w:szCs w:val="21"/>
                    </w:rPr>
                  </w:pPr>
                  <w:r>
                    <w:rPr>
                      <w:rFonts w:hint="eastAsia"/>
                      <w:szCs w:val="21"/>
                    </w:rPr>
                    <w:t>1.5</w:t>
                  </w:r>
                </w:p>
              </w:tc>
              <w:tc>
                <w:tcPr>
                  <w:tcW w:w="780" w:type="pct"/>
                  <w:vAlign w:val="center"/>
                </w:tcPr>
                <w:p w14:paraId="0E34124A">
                  <w:pPr>
                    <w:jc w:val="center"/>
                    <w:rPr>
                      <w:szCs w:val="21"/>
                    </w:rPr>
                  </w:pPr>
                  <w:r>
                    <w:rPr>
                      <w:szCs w:val="21"/>
                    </w:rPr>
                    <w:t>达标</w:t>
                  </w:r>
                </w:p>
              </w:tc>
            </w:tr>
            <w:tr w14:paraId="4851694A">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511" w:type="pct"/>
                  <w:vAlign w:val="center"/>
                </w:tcPr>
                <w:p w14:paraId="022630BE">
                  <w:pPr>
                    <w:jc w:val="center"/>
                    <w:rPr>
                      <w:szCs w:val="21"/>
                    </w:rPr>
                  </w:pPr>
                  <w:r>
                    <w:rPr>
                      <w:szCs w:val="21"/>
                    </w:rPr>
                    <w:t>茚并</w:t>
                  </w:r>
                  <w:r>
                    <w:rPr>
                      <w:rFonts w:hint="eastAsia"/>
                      <w:szCs w:val="21"/>
                      <w:lang w:eastAsia="zh-CN"/>
                    </w:rPr>
                    <w:t>〔</w:t>
                  </w:r>
                  <w:r>
                    <w:rPr>
                      <w:szCs w:val="21"/>
                    </w:rPr>
                    <w:t>1,2,3-cd</w:t>
                  </w:r>
                  <w:r>
                    <w:rPr>
                      <w:rFonts w:hint="eastAsia"/>
                      <w:szCs w:val="21"/>
                      <w:lang w:eastAsia="zh-CN"/>
                    </w:rPr>
                    <w:t>〕</w:t>
                  </w:r>
                  <w:r>
                    <w:rPr>
                      <w:szCs w:val="21"/>
                    </w:rPr>
                    <w:t>芘(mg/kg)</w:t>
                  </w:r>
                </w:p>
              </w:tc>
              <w:tc>
                <w:tcPr>
                  <w:tcW w:w="761" w:type="pct"/>
                  <w:vAlign w:val="center"/>
                </w:tcPr>
                <w:p w14:paraId="0E289F0D">
                  <w:pPr>
                    <w:jc w:val="center"/>
                    <w:rPr>
                      <w:szCs w:val="21"/>
                    </w:rPr>
                  </w:pPr>
                  <w:r>
                    <w:rPr>
                      <w:szCs w:val="21"/>
                    </w:rPr>
                    <w:t>ND</w:t>
                  </w:r>
                </w:p>
              </w:tc>
              <w:tc>
                <w:tcPr>
                  <w:tcW w:w="947" w:type="pct"/>
                  <w:vAlign w:val="center"/>
                </w:tcPr>
                <w:p w14:paraId="476A67C7">
                  <w:pPr>
                    <w:jc w:val="center"/>
                    <w:rPr>
                      <w:szCs w:val="21"/>
                    </w:rPr>
                  </w:pPr>
                  <w:r>
                    <w:rPr>
                      <w:rFonts w:hint="eastAsia"/>
                      <w:szCs w:val="21"/>
                    </w:rPr>
                    <w:t>15</w:t>
                  </w:r>
                </w:p>
              </w:tc>
              <w:tc>
                <w:tcPr>
                  <w:tcW w:w="780" w:type="pct"/>
                  <w:vAlign w:val="center"/>
                </w:tcPr>
                <w:p w14:paraId="581C14A9">
                  <w:pPr>
                    <w:jc w:val="center"/>
                    <w:rPr>
                      <w:szCs w:val="21"/>
                    </w:rPr>
                  </w:pPr>
                  <w:r>
                    <w:rPr>
                      <w:szCs w:val="21"/>
                    </w:rPr>
                    <w:t>达标</w:t>
                  </w:r>
                </w:p>
              </w:tc>
            </w:tr>
            <w:tr w14:paraId="46A08F5C">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511" w:type="pct"/>
                  <w:vAlign w:val="center"/>
                </w:tcPr>
                <w:p w14:paraId="76412A2D">
                  <w:pPr>
                    <w:jc w:val="center"/>
                    <w:rPr>
                      <w:szCs w:val="21"/>
                    </w:rPr>
                  </w:pPr>
                  <w:r>
                    <w:rPr>
                      <w:szCs w:val="21"/>
                    </w:rPr>
                    <w:t>萘(mg/kg)</w:t>
                  </w:r>
                </w:p>
              </w:tc>
              <w:tc>
                <w:tcPr>
                  <w:tcW w:w="761" w:type="pct"/>
                  <w:vAlign w:val="center"/>
                </w:tcPr>
                <w:p w14:paraId="3CFBE893">
                  <w:pPr>
                    <w:jc w:val="center"/>
                    <w:rPr>
                      <w:szCs w:val="21"/>
                    </w:rPr>
                  </w:pPr>
                  <w:r>
                    <w:rPr>
                      <w:szCs w:val="21"/>
                    </w:rPr>
                    <w:t>ND</w:t>
                  </w:r>
                </w:p>
              </w:tc>
              <w:tc>
                <w:tcPr>
                  <w:tcW w:w="947" w:type="pct"/>
                  <w:vAlign w:val="center"/>
                </w:tcPr>
                <w:p w14:paraId="27161C5B">
                  <w:pPr>
                    <w:jc w:val="center"/>
                    <w:rPr>
                      <w:szCs w:val="21"/>
                    </w:rPr>
                  </w:pPr>
                  <w:r>
                    <w:rPr>
                      <w:rFonts w:hint="eastAsia"/>
                      <w:szCs w:val="21"/>
                    </w:rPr>
                    <w:t>70</w:t>
                  </w:r>
                </w:p>
              </w:tc>
              <w:tc>
                <w:tcPr>
                  <w:tcW w:w="780" w:type="pct"/>
                  <w:vAlign w:val="center"/>
                </w:tcPr>
                <w:p w14:paraId="164A9771">
                  <w:pPr>
                    <w:jc w:val="center"/>
                    <w:rPr>
                      <w:szCs w:val="21"/>
                    </w:rPr>
                  </w:pPr>
                  <w:r>
                    <w:rPr>
                      <w:szCs w:val="21"/>
                    </w:rPr>
                    <w:t>达标</w:t>
                  </w:r>
                </w:p>
              </w:tc>
            </w:tr>
            <w:tr w14:paraId="03F382CC">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511" w:type="pct"/>
                  <w:vAlign w:val="center"/>
                </w:tcPr>
                <w:p w14:paraId="18A896F0">
                  <w:pPr>
                    <w:jc w:val="center"/>
                    <w:rPr>
                      <w:szCs w:val="21"/>
                    </w:rPr>
                  </w:pPr>
                  <w:r>
                    <w:rPr>
                      <w:rFonts w:hint="eastAsia"/>
                      <w:szCs w:val="21"/>
                    </w:rPr>
                    <w:t>全盐量（</w:t>
                  </w:r>
                  <w:r>
                    <w:rPr>
                      <w:szCs w:val="21"/>
                    </w:rPr>
                    <w:t>g/kg</w:t>
                  </w:r>
                  <w:r>
                    <w:rPr>
                      <w:rFonts w:hint="eastAsia"/>
                      <w:szCs w:val="21"/>
                    </w:rPr>
                    <w:t>）</w:t>
                  </w:r>
                </w:p>
              </w:tc>
              <w:tc>
                <w:tcPr>
                  <w:tcW w:w="761" w:type="pct"/>
                  <w:vAlign w:val="center"/>
                </w:tcPr>
                <w:p w14:paraId="16B338DA">
                  <w:pPr>
                    <w:jc w:val="center"/>
                    <w:rPr>
                      <w:szCs w:val="21"/>
                    </w:rPr>
                  </w:pPr>
                  <w:r>
                    <w:rPr>
                      <w:rFonts w:hint="eastAsia"/>
                      <w:szCs w:val="21"/>
                    </w:rPr>
                    <w:t>0.1</w:t>
                  </w:r>
                </w:p>
              </w:tc>
              <w:tc>
                <w:tcPr>
                  <w:tcW w:w="947" w:type="pct"/>
                  <w:vAlign w:val="center"/>
                </w:tcPr>
                <w:p w14:paraId="7498B77E">
                  <w:pPr>
                    <w:jc w:val="center"/>
                    <w:rPr>
                      <w:szCs w:val="21"/>
                    </w:rPr>
                  </w:pPr>
                  <w:r>
                    <w:rPr>
                      <w:rFonts w:hint="eastAsia"/>
                      <w:szCs w:val="21"/>
                    </w:rPr>
                    <w:t>/</w:t>
                  </w:r>
                </w:p>
              </w:tc>
              <w:tc>
                <w:tcPr>
                  <w:tcW w:w="780" w:type="pct"/>
                  <w:vAlign w:val="center"/>
                </w:tcPr>
                <w:p w14:paraId="21C454BC">
                  <w:pPr>
                    <w:jc w:val="center"/>
                    <w:rPr>
                      <w:szCs w:val="21"/>
                    </w:rPr>
                  </w:pPr>
                  <w:r>
                    <w:rPr>
                      <w:rFonts w:hint="eastAsia"/>
                      <w:szCs w:val="21"/>
                    </w:rPr>
                    <w:t>/</w:t>
                  </w:r>
                </w:p>
              </w:tc>
            </w:tr>
            <w:tr w14:paraId="6EE8EE93">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511" w:type="pct"/>
                  <w:vAlign w:val="center"/>
                </w:tcPr>
                <w:p w14:paraId="2FED7F10">
                  <w:pPr>
                    <w:jc w:val="center"/>
                    <w:rPr>
                      <w:szCs w:val="21"/>
                    </w:rPr>
                  </w:pPr>
                  <w:r>
                    <w:rPr>
                      <w:rFonts w:hint="eastAsia"/>
                      <w:szCs w:val="21"/>
                    </w:rPr>
                    <w:t>石油烃</w:t>
                  </w:r>
                  <w:r>
                    <w:rPr>
                      <w:szCs w:val="21"/>
                    </w:rPr>
                    <w:t>mg/kg</w:t>
                  </w:r>
                </w:p>
              </w:tc>
              <w:tc>
                <w:tcPr>
                  <w:tcW w:w="761" w:type="pct"/>
                  <w:vAlign w:val="center"/>
                </w:tcPr>
                <w:p w14:paraId="45305012">
                  <w:pPr>
                    <w:jc w:val="center"/>
                    <w:rPr>
                      <w:szCs w:val="21"/>
                    </w:rPr>
                  </w:pPr>
                  <w:r>
                    <w:rPr>
                      <w:szCs w:val="21"/>
                    </w:rPr>
                    <w:t>ND</w:t>
                  </w:r>
                </w:p>
              </w:tc>
              <w:tc>
                <w:tcPr>
                  <w:tcW w:w="947" w:type="pct"/>
                  <w:vAlign w:val="center"/>
                </w:tcPr>
                <w:p w14:paraId="697C9269">
                  <w:pPr>
                    <w:jc w:val="center"/>
                    <w:rPr>
                      <w:szCs w:val="21"/>
                    </w:rPr>
                  </w:pPr>
                  <w:r>
                    <w:rPr>
                      <w:rFonts w:hint="eastAsia"/>
                      <w:szCs w:val="21"/>
                    </w:rPr>
                    <w:t>/</w:t>
                  </w:r>
                </w:p>
              </w:tc>
              <w:tc>
                <w:tcPr>
                  <w:tcW w:w="780" w:type="pct"/>
                  <w:vAlign w:val="center"/>
                </w:tcPr>
                <w:p w14:paraId="6B09B81C">
                  <w:pPr>
                    <w:jc w:val="center"/>
                    <w:rPr>
                      <w:szCs w:val="21"/>
                    </w:rPr>
                  </w:pPr>
                  <w:r>
                    <w:rPr>
                      <w:rFonts w:hint="eastAsia"/>
                      <w:szCs w:val="21"/>
                    </w:rPr>
                    <w:t>/</w:t>
                  </w:r>
                </w:p>
              </w:tc>
            </w:tr>
            <w:tr w14:paraId="2158D3B0">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511" w:type="pct"/>
                  <w:shd w:val="clear" w:color="auto" w:fill="auto"/>
                  <w:vAlign w:val="center"/>
                </w:tcPr>
                <w:p w14:paraId="79156686">
                  <w:pPr>
                    <w:jc w:val="center"/>
                    <w:rPr>
                      <w:szCs w:val="21"/>
                    </w:rPr>
                  </w:pPr>
                  <w:r>
                    <w:rPr>
                      <w:rFonts w:hint="eastAsia"/>
                      <w:szCs w:val="21"/>
                    </w:rPr>
                    <w:t>容重</w:t>
                  </w:r>
                  <w:r>
                    <w:rPr>
                      <w:szCs w:val="21"/>
                    </w:rPr>
                    <w:t>g/cm3</w:t>
                  </w:r>
                </w:p>
              </w:tc>
              <w:tc>
                <w:tcPr>
                  <w:tcW w:w="1226" w:type="dxa"/>
                  <w:vAlign w:val="center"/>
                </w:tcPr>
                <w:p w14:paraId="450B1CE3">
                  <w:pPr>
                    <w:jc w:val="center"/>
                    <w:rPr>
                      <w:szCs w:val="21"/>
                    </w:rPr>
                  </w:pPr>
                  <w:r>
                    <w:rPr>
                      <w:rFonts w:hint="eastAsia"/>
                      <w:szCs w:val="21"/>
                    </w:rPr>
                    <w:t>1.30</w:t>
                  </w:r>
                </w:p>
              </w:tc>
              <w:tc>
                <w:tcPr>
                  <w:tcW w:w="947" w:type="pct"/>
                  <w:vAlign w:val="center"/>
                </w:tcPr>
                <w:p w14:paraId="56601431">
                  <w:pPr>
                    <w:jc w:val="center"/>
                    <w:rPr>
                      <w:szCs w:val="21"/>
                    </w:rPr>
                  </w:pPr>
                  <w:r>
                    <w:rPr>
                      <w:rFonts w:hint="eastAsia"/>
                      <w:szCs w:val="21"/>
                    </w:rPr>
                    <w:t>/</w:t>
                  </w:r>
                </w:p>
              </w:tc>
              <w:tc>
                <w:tcPr>
                  <w:tcW w:w="780" w:type="pct"/>
                  <w:vAlign w:val="center"/>
                </w:tcPr>
                <w:p w14:paraId="3EF392F0">
                  <w:pPr>
                    <w:jc w:val="center"/>
                    <w:rPr>
                      <w:szCs w:val="21"/>
                    </w:rPr>
                  </w:pPr>
                  <w:r>
                    <w:rPr>
                      <w:rFonts w:hint="eastAsia"/>
                      <w:szCs w:val="21"/>
                    </w:rPr>
                    <w:t>/</w:t>
                  </w:r>
                </w:p>
              </w:tc>
            </w:tr>
            <w:tr w14:paraId="6C1A0178">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511" w:type="pct"/>
                  <w:shd w:val="clear" w:color="auto" w:fill="auto"/>
                  <w:vAlign w:val="center"/>
                </w:tcPr>
                <w:p w14:paraId="67BDB9E3">
                  <w:pPr>
                    <w:jc w:val="center"/>
                    <w:rPr>
                      <w:szCs w:val="21"/>
                    </w:rPr>
                  </w:pPr>
                  <w:r>
                    <w:rPr>
                      <w:rFonts w:hint="eastAsia"/>
                      <w:szCs w:val="21"/>
                    </w:rPr>
                    <w:t>阳离子交换量cmol+/kg</w:t>
                  </w:r>
                </w:p>
              </w:tc>
              <w:tc>
                <w:tcPr>
                  <w:tcW w:w="1226" w:type="dxa"/>
                  <w:vAlign w:val="center"/>
                </w:tcPr>
                <w:p w14:paraId="74912715">
                  <w:pPr>
                    <w:jc w:val="center"/>
                    <w:rPr>
                      <w:szCs w:val="21"/>
                    </w:rPr>
                  </w:pPr>
                  <w:r>
                    <w:rPr>
                      <w:rFonts w:hint="eastAsia"/>
                      <w:szCs w:val="21"/>
                    </w:rPr>
                    <w:t>25.6</w:t>
                  </w:r>
                </w:p>
              </w:tc>
              <w:tc>
                <w:tcPr>
                  <w:tcW w:w="947" w:type="pct"/>
                  <w:vAlign w:val="center"/>
                </w:tcPr>
                <w:p w14:paraId="7F9546DD">
                  <w:pPr>
                    <w:jc w:val="center"/>
                    <w:rPr>
                      <w:szCs w:val="21"/>
                    </w:rPr>
                  </w:pPr>
                  <w:r>
                    <w:rPr>
                      <w:rFonts w:hint="eastAsia"/>
                      <w:szCs w:val="21"/>
                    </w:rPr>
                    <w:t>/</w:t>
                  </w:r>
                </w:p>
              </w:tc>
              <w:tc>
                <w:tcPr>
                  <w:tcW w:w="780" w:type="pct"/>
                  <w:vAlign w:val="center"/>
                </w:tcPr>
                <w:p w14:paraId="1CCC7E67">
                  <w:pPr>
                    <w:jc w:val="center"/>
                    <w:rPr>
                      <w:szCs w:val="21"/>
                    </w:rPr>
                  </w:pPr>
                  <w:r>
                    <w:rPr>
                      <w:rFonts w:hint="eastAsia"/>
                      <w:szCs w:val="21"/>
                    </w:rPr>
                    <w:t>/</w:t>
                  </w:r>
                </w:p>
              </w:tc>
            </w:tr>
            <w:tr w14:paraId="32A516BA">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511" w:type="pct"/>
                  <w:shd w:val="clear" w:color="auto" w:fill="auto"/>
                  <w:vAlign w:val="center"/>
                </w:tcPr>
                <w:p w14:paraId="3CB74072">
                  <w:pPr>
                    <w:jc w:val="center"/>
                    <w:rPr>
                      <w:szCs w:val="21"/>
                    </w:rPr>
                  </w:pPr>
                  <w:r>
                    <w:rPr>
                      <w:rFonts w:hint="eastAsia"/>
                      <w:szCs w:val="21"/>
                    </w:rPr>
                    <w:t>总孔隙度%</w:t>
                  </w:r>
                </w:p>
              </w:tc>
              <w:tc>
                <w:tcPr>
                  <w:tcW w:w="1226" w:type="dxa"/>
                  <w:vAlign w:val="center"/>
                </w:tcPr>
                <w:p w14:paraId="5D3025F6">
                  <w:pPr>
                    <w:jc w:val="center"/>
                    <w:rPr>
                      <w:szCs w:val="21"/>
                    </w:rPr>
                  </w:pPr>
                  <w:r>
                    <w:rPr>
                      <w:rFonts w:hint="eastAsia"/>
                      <w:szCs w:val="21"/>
                    </w:rPr>
                    <w:t>55.6</w:t>
                  </w:r>
                </w:p>
              </w:tc>
              <w:tc>
                <w:tcPr>
                  <w:tcW w:w="947" w:type="pct"/>
                  <w:vAlign w:val="center"/>
                </w:tcPr>
                <w:p w14:paraId="1B2D3253">
                  <w:pPr>
                    <w:jc w:val="center"/>
                    <w:rPr>
                      <w:szCs w:val="21"/>
                    </w:rPr>
                  </w:pPr>
                  <w:r>
                    <w:rPr>
                      <w:rFonts w:hint="eastAsia"/>
                      <w:szCs w:val="21"/>
                    </w:rPr>
                    <w:t>/</w:t>
                  </w:r>
                </w:p>
              </w:tc>
              <w:tc>
                <w:tcPr>
                  <w:tcW w:w="780" w:type="pct"/>
                  <w:vAlign w:val="center"/>
                </w:tcPr>
                <w:p w14:paraId="2FF05978">
                  <w:pPr>
                    <w:jc w:val="center"/>
                    <w:rPr>
                      <w:szCs w:val="21"/>
                    </w:rPr>
                  </w:pPr>
                  <w:r>
                    <w:rPr>
                      <w:rFonts w:hint="eastAsia"/>
                      <w:szCs w:val="21"/>
                    </w:rPr>
                    <w:t>/</w:t>
                  </w:r>
                </w:p>
              </w:tc>
            </w:tr>
            <w:tr w14:paraId="34437DAC">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511" w:type="pct"/>
                  <w:shd w:val="clear" w:color="auto" w:fill="auto"/>
                  <w:vAlign w:val="center"/>
                </w:tcPr>
                <w:p w14:paraId="0265B803">
                  <w:pPr>
                    <w:jc w:val="center"/>
                    <w:rPr>
                      <w:szCs w:val="21"/>
                    </w:rPr>
                  </w:pPr>
                  <w:r>
                    <w:rPr>
                      <w:rFonts w:hint="eastAsia"/>
                      <w:szCs w:val="21"/>
                    </w:rPr>
                    <w:t>渗透率mm</w:t>
                  </w:r>
                  <w:r>
                    <w:rPr>
                      <w:szCs w:val="21"/>
                    </w:rPr>
                    <w:t>/</w:t>
                  </w:r>
                  <w:r>
                    <w:rPr>
                      <w:rFonts w:hint="eastAsia"/>
                      <w:szCs w:val="21"/>
                    </w:rPr>
                    <w:t>min</w:t>
                  </w:r>
                </w:p>
              </w:tc>
              <w:tc>
                <w:tcPr>
                  <w:tcW w:w="1226" w:type="dxa"/>
                  <w:vAlign w:val="center"/>
                </w:tcPr>
                <w:p w14:paraId="135107C9">
                  <w:pPr>
                    <w:jc w:val="center"/>
                    <w:rPr>
                      <w:szCs w:val="21"/>
                    </w:rPr>
                  </w:pPr>
                  <w:r>
                    <w:rPr>
                      <w:rFonts w:hint="eastAsia"/>
                      <w:szCs w:val="21"/>
                    </w:rPr>
                    <w:t>0.56</w:t>
                  </w:r>
                </w:p>
              </w:tc>
              <w:tc>
                <w:tcPr>
                  <w:tcW w:w="947" w:type="pct"/>
                  <w:vAlign w:val="center"/>
                </w:tcPr>
                <w:p w14:paraId="26A46272">
                  <w:pPr>
                    <w:jc w:val="center"/>
                    <w:rPr>
                      <w:szCs w:val="21"/>
                    </w:rPr>
                  </w:pPr>
                  <w:r>
                    <w:rPr>
                      <w:rFonts w:hint="eastAsia"/>
                      <w:szCs w:val="21"/>
                    </w:rPr>
                    <w:t>/</w:t>
                  </w:r>
                </w:p>
              </w:tc>
              <w:tc>
                <w:tcPr>
                  <w:tcW w:w="780" w:type="pct"/>
                  <w:vAlign w:val="center"/>
                </w:tcPr>
                <w:p w14:paraId="0B617148">
                  <w:pPr>
                    <w:jc w:val="center"/>
                    <w:rPr>
                      <w:szCs w:val="21"/>
                    </w:rPr>
                  </w:pPr>
                  <w:r>
                    <w:rPr>
                      <w:rFonts w:hint="eastAsia"/>
                      <w:szCs w:val="21"/>
                    </w:rPr>
                    <w:t>/</w:t>
                  </w:r>
                </w:p>
              </w:tc>
            </w:tr>
            <w:tr w14:paraId="48B30E2B">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511" w:type="pct"/>
                  <w:shd w:val="clear" w:color="auto" w:fill="auto"/>
                  <w:vAlign w:val="center"/>
                </w:tcPr>
                <w:p w14:paraId="1C38F0E6">
                  <w:pPr>
                    <w:jc w:val="center"/>
                    <w:rPr>
                      <w:szCs w:val="21"/>
                    </w:rPr>
                  </w:pPr>
                  <w:r>
                    <w:rPr>
                      <w:rFonts w:hint="eastAsia"/>
                      <w:szCs w:val="21"/>
                    </w:rPr>
                    <w:t>氧化还原电位</w:t>
                  </w:r>
                  <w:r>
                    <w:rPr>
                      <w:szCs w:val="21"/>
                    </w:rPr>
                    <w:t>mV</w:t>
                  </w:r>
                </w:p>
              </w:tc>
              <w:tc>
                <w:tcPr>
                  <w:tcW w:w="1226" w:type="dxa"/>
                  <w:vAlign w:val="center"/>
                </w:tcPr>
                <w:p w14:paraId="4F7E70FC">
                  <w:pPr>
                    <w:jc w:val="center"/>
                    <w:rPr>
                      <w:szCs w:val="21"/>
                    </w:rPr>
                  </w:pPr>
                  <w:r>
                    <w:rPr>
                      <w:rFonts w:hint="eastAsia"/>
                      <w:szCs w:val="21"/>
                    </w:rPr>
                    <w:t>197</w:t>
                  </w:r>
                </w:p>
              </w:tc>
              <w:tc>
                <w:tcPr>
                  <w:tcW w:w="947" w:type="pct"/>
                  <w:vAlign w:val="center"/>
                </w:tcPr>
                <w:p w14:paraId="40C14DB0">
                  <w:pPr>
                    <w:jc w:val="center"/>
                    <w:rPr>
                      <w:szCs w:val="21"/>
                    </w:rPr>
                  </w:pPr>
                  <w:r>
                    <w:rPr>
                      <w:rFonts w:hint="eastAsia"/>
                      <w:szCs w:val="21"/>
                    </w:rPr>
                    <w:t>/</w:t>
                  </w:r>
                </w:p>
              </w:tc>
              <w:tc>
                <w:tcPr>
                  <w:tcW w:w="780" w:type="pct"/>
                  <w:vAlign w:val="center"/>
                </w:tcPr>
                <w:p w14:paraId="52CE201E">
                  <w:pPr>
                    <w:jc w:val="center"/>
                    <w:rPr>
                      <w:szCs w:val="21"/>
                    </w:rPr>
                  </w:pPr>
                  <w:r>
                    <w:rPr>
                      <w:rFonts w:hint="eastAsia"/>
                      <w:szCs w:val="21"/>
                    </w:rPr>
                    <w:t>/</w:t>
                  </w:r>
                </w:p>
              </w:tc>
            </w:tr>
          </w:tbl>
          <w:p w14:paraId="18335759">
            <w:pPr>
              <w:spacing w:line="360" w:lineRule="auto"/>
              <w:ind w:firstLine="480" w:firstLineChars="200"/>
              <w:jc w:val="left"/>
              <w:rPr>
                <w:color w:val="000000" w:themeColor="text1"/>
                <w:kern w:val="0"/>
                <w:sz w:val="24"/>
                <w14:textFill>
                  <w14:solidFill>
                    <w14:schemeClr w14:val="tx1"/>
                  </w14:solidFill>
                </w14:textFill>
              </w:rPr>
            </w:pPr>
            <w:r>
              <w:rPr>
                <w:color w:val="000000" w:themeColor="text1"/>
                <w:kern w:val="0"/>
                <w:sz w:val="24"/>
                <w14:textFill>
                  <w14:solidFill>
                    <w14:schemeClr w14:val="tx1"/>
                  </w14:solidFill>
                </w14:textFill>
              </w:rPr>
              <w:t>备注：</w:t>
            </w:r>
            <w:r>
              <w:rPr>
                <w:color w:val="000000" w:themeColor="text1"/>
                <w:kern w:val="0"/>
                <w:szCs w:val="21"/>
                <w14:textFill>
                  <w14:solidFill>
                    <w14:schemeClr w14:val="tx1"/>
                  </w14:solidFill>
                </w14:textFill>
              </w:rPr>
              <w:t>ND表示为“未检出”。</w:t>
            </w:r>
          </w:p>
          <w:p w14:paraId="04AAAF01">
            <w:pPr>
              <w:widowControl/>
              <w:spacing w:line="500" w:lineRule="exact"/>
              <w:ind w:firstLine="480" w:firstLineChars="200"/>
              <w:rPr>
                <w:color w:val="000000" w:themeColor="text1"/>
                <w:kern w:val="0"/>
                <w:sz w:val="24"/>
                <w:lang w:bidi="ar"/>
                <w14:textFill>
                  <w14:solidFill>
                    <w14:schemeClr w14:val="tx1"/>
                  </w14:solidFill>
                </w14:textFill>
              </w:rPr>
            </w:pPr>
            <w:r>
              <w:rPr>
                <w:color w:val="000000" w:themeColor="text1"/>
                <w:kern w:val="0"/>
                <w:sz w:val="24"/>
                <w:lang w:bidi="ar"/>
                <w14:textFill>
                  <w14:solidFill>
                    <w14:schemeClr w14:val="tx1"/>
                  </w14:solidFill>
                </w14:textFill>
              </w:rPr>
              <w:t>③监测</w:t>
            </w:r>
            <w:r>
              <w:rPr>
                <w:rFonts w:hint="eastAsia"/>
                <w:color w:val="000000" w:themeColor="text1"/>
                <w:kern w:val="0"/>
                <w:sz w:val="24"/>
                <w:lang w:bidi="ar"/>
                <w14:textFill>
                  <w14:solidFill>
                    <w14:schemeClr w14:val="tx1"/>
                  </w14:solidFill>
                </w14:textFill>
              </w:rPr>
              <w:t>结果</w:t>
            </w:r>
            <w:r>
              <w:rPr>
                <w:color w:val="000000" w:themeColor="text1"/>
                <w:kern w:val="0"/>
                <w:sz w:val="24"/>
                <w:lang w:bidi="ar"/>
                <w14:textFill>
                  <w14:solidFill>
                    <w14:schemeClr w14:val="tx1"/>
                  </w14:solidFill>
                </w14:textFill>
              </w:rPr>
              <w:t>分析</w:t>
            </w:r>
          </w:p>
          <w:p w14:paraId="23085949">
            <w:pPr>
              <w:widowControl/>
              <w:spacing w:line="500" w:lineRule="exact"/>
              <w:ind w:firstLine="480" w:firstLineChars="200"/>
              <w:rPr>
                <w:color w:val="000000" w:themeColor="text1"/>
                <w:kern w:val="0"/>
                <w:sz w:val="24"/>
                <w:lang w:bidi="ar"/>
                <w14:textFill>
                  <w14:solidFill>
                    <w14:schemeClr w14:val="tx1"/>
                  </w14:solidFill>
                </w14:textFill>
              </w:rPr>
            </w:pPr>
            <w:r>
              <w:rPr>
                <w:color w:val="000000" w:themeColor="text1"/>
                <w:kern w:val="0"/>
                <w:sz w:val="24"/>
                <w:lang w:bidi="ar"/>
                <w14:textFill>
                  <w14:solidFill>
                    <w14:schemeClr w14:val="tx1"/>
                  </w14:solidFill>
                </w14:textFill>
              </w:rPr>
              <w:t>由上表监测结果可知，本项目所在区域土壤环境满足《土壤环境质量建设用地土壤污染风险管控标准》（GB36600-2018）中第二类用地筛选值标准限制要求。</w:t>
            </w:r>
          </w:p>
          <w:p w14:paraId="12560789">
            <w:pPr>
              <w:adjustRightInd w:val="0"/>
              <w:snapToGrid w:val="0"/>
              <w:spacing w:line="500" w:lineRule="exact"/>
              <w:rPr>
                <w:b/>
                <w:bCs/>
                <w:color w:val="000000" w:themeColor="text1"/>
                <w:sz w:val="24"/>
                <w14:textFill>
                  <w14:solidFill>
                    <w14:schemeClr w14:val="tx1"/>
                  </w14:solidFill>
                </w14:textFill>
              </w:rPr>
            </w:pPr>
            <w:r>
              <w:rPr>
                <w:b/>
                <w:bCs/>
                <w:color w:val="000000" w:themeColor="text1"/>
                <w:sz w:val="24"/>
                <w14:textFill>
                  <w14:solidFill>
                    <w14:schemeClr w14:val="tx1"/>
                  </w14:solidFill>
                </w14:textFill>
              </w:rPr>
              <w:t>3</w:t>
            </w:r>
            <w:r>
              <w:rPr>
                <w:rFonts w:hint="eastAsia"/>
                <w:b/>
                <w:bCs/>
                <w:color w:val="000000" w:themeColor="text1"/>
                <w:sz w:val="24"/>
                <w14:textFill>
                  <w14:solidFill>
                    <w14:schemeClr w14:val="tx1"/>
                  </w14:solidFill>
                </w14:textFill>
              </w:rPr>
              <w:t>.</w:t>
            </w:r>
            <w:r>
              <w:rPr>
                <w:b/>
                <w:bCs/>
                <w:color w:val="000000" w:themeColor="text1"/>
                <w:sz w:val="24"/>
                <w14:textFill>
                  <w14:solidFill>
                    <w14:schemeClr w14:val="tx1"/>
                  </w14:solidFill>
                </w14:textFill>
              </w:rPr>
              <w:t>地下水</w:t>
            </w:r>
          </w:p>
          <w:p w14:paraId="096BC739">
            <w:pPr>
              <w:widowControl/>
              <w:spacing w:line="500" w:lineRule="exact"/>
              <w:ind w:firstLine="480" w:firstLineChars="200"/>
              <w:rPr>
                <w:color w:val="000000" w:themeColor="text1"/>
                <w:kern w:val="0"/>
                <w:sz w:val="24"/>
                <w:lang w:bidi="ar"/>
                <w14:textFill>
                  <w14:solidFill>
                    <w14:schemeClr w14:val="tx1"/>
                  </w14:solidFill>
                </w14:textFill>
              </w:rPr>
            </w:pPr>
            <w:r>
              <w:rPr>
                <w:color w:val="000000" w:themeColor="text1"/>
                <w:kern w:val="0"/>
                <w:sz w:val="24"/>
                <w:lang w:bidi="ar"/>
                <w14:textFill>
                  <w14:solidFill>
                    <w14:schemeClr w14:val="tx1"/>
                  </w14:solidFill>
                </w14:textFill>
              </w:rPr>
              <w:t>本项目所在地地下水执行国家《地下水质量标准》(GB/T 14848-2017）Ⅲ类标准，详见表3-</w:t>
            </w:r>
            <w:r>
              <w:rPr>
                <w:rFonts w:hint="eastAsia"/>
                <w:color w:val="000000" w:themeColor="text1"/>
                <w:kern w:val="0"/>
                <w:sz w:val="24"/>
                <w:lang w:bidi="ar"/>
                <w14:textFill>
                  <w14:solidFill>
                    <w14:schemeClr w14:val="tx1"/>
                  </w14:solidFill>
                </w14:textFill>
              </w:rPr>
              <w:t>6</w:t>
            </w:r>
            <w:r>
              <w:rPr>
                <w:color w:val="000000" w:themeColor="text1"/>
                <w:kern w:val="0"/>
                <w:sz w:val="24"/>
                <w:lang w:bidi="ar"/>
                <w14:textFill>
                  <w14:solidFill>
                    <w14:schemeClr w14:val="tx1"/>
                  </w14:solidFill>
                </w14:textFill>
              </w:rPr>
              <w:t>。</w:t>
            </w:r>
          </w:p>
          <w:p w14:paraId="06C68EE2">
            <w:pPr>
              <w:pStyle w:val="49"/>
              <w:tabs>
                <w:tab w:val="left" w:pos="4665"/>
                <w:tab w:val="left" w:pos="8970"/>
              </w:tabs>
              <w:spacing w:line="500" w:lineRule="exact"/>
              <w:jc w:val="center"/>
              <w:rPr>
                <w:rFonts w:ascii="Times New Roman" w:hAnsi="Times New Roman" w:eastAsia="宋体"/>
                <w:b/>
                <w:bCs/>
                <w:color w:val="000000" w:themeColor="text1"/>
                <w:sz w:val="21"/>
                <w:szCs w:val="21"/>
                <w14:textFill>
                  <w14:solidFill>
                    <w14:schemeClr w14:val="tx1"/>
                  </w14:solidFill>
                </w14:textFill>
              </w:rPr>
            </w:pPr>
            <w:r>
              <w:rPr>
                <w:rFonts w:ascii="Times New Roman" w:hAnsi="Times New Roman" w:eastAsia="宋体"/>
                <w:b/>
                <w:bCs/>
                <w:color w:val="000000" w:themeColor="text1"/>
                <w:kern w:val="0"/>
                <w:sz w:val="21"/>
                <w:szCs w:val="21"/>
                <w:lang w:bidi="ar"/>
                <w14:textFill>
                  <w14:solidFill>
                    <w14:schemeClr w14:val="tx1"/>
                  </w14:solidFill>
                </w14:textFill>
              </w:rPr>
              <w:t>表3-</w:t>
            </w:r>
            <w:r>
              <w:rPr>
                <w:rFonts w:hint="eastAsia" w:ascii="Times New Roman" w:hAnsi="Times New Roman" w:eastAsia="宋体"/>
                <w:b/>
                <w:bCs/>
                <w:color w:val="000000" w:themeColor="text1"/>
                <w:kern w:val="0"/>
                <w:sz w:val="21"/>
                <w:szCs w:val="21"/>
                <w:lang w:bidi="ar"/>
                <w14:textFill>
                  <w14:solidFill>
                    <w14:schemeClr w14:val="tx1"/>
                  </w14:solidFill>
                </w14:textFill>
              </w:rPr>
              <w:t>6</w:t>
            </w:r>
            <w:r>
              <w:rPr>
                <w:rFonts w:ascii="Times New Roman" w:hAnsi="Times New Roman" w:eastAsia="宋体"/>
                <w:b/>
                <w:bCs/>
                <w:color w:val="000000" w:themeColor="text1"/>
                <w:kern w:val="0"/>
                <w:sz w:val="21"/>
                <w:szCs w:val="21"/>
                <w:lang w:bidi="ar"/>
                <w14:textFill>
                  <w14:solidFill>
                    <w14:schemeClr w14:val="tx1"/>
                  </w14:solidFill>
                </w14:textFill>
              </w:rPr>
              <w:t xml:space="preserve">  </w:t>
            </w:r>
            <w:r>
              <w:rPr>
                <w:rFonts w:hint="eastAsia" w:ascii="Times New Roman" w:hAnsi="Times New Roman" w:eastAsia="宋体"/>
                <w:b/>
                <w:bCs/>
                <w:color w:val="000000" w:themeColor="text1"/>
                <w:kern w:val="0"/>
                <w:sz w:val="21"/>
                <w:szCs w:val="21"/>
                <w:lang w:bidi="ar"/>
                <w14:textFill>
                  <w14:solidFill>
                    <w14:schemeClr w14:val="tx1"/>
                  </w14:solidFill>
                </w14:textFill>
              </w:rPr>
              <w:t xml:space="preserve">  </w:t>
            </w:r>
            <w:r>
              <w:rPr>
                <w:rFonts w:ascii="Times New Roman" w:hAnsi="Times New Roman" w:eastAsia="宋体"/>
                <w:b/>
                <w:bCs/>
                <w:color w:val="000000" w:themeColor="text1"/>
                <w:kern w:val="0"/>
                <w:sz w:val="21"/>
                <w:szCs w:val="21"/>
                <w:lang w:bidi="ar"/>
                <w14:textFill>
                  <w14:solidFill>
                    <w14:schemeClr w14:val="tx1"/>
                  </w14:solidFill>
                </w14:textFill>
              </w:rPr>
              <w:t xml:space="preserve">地下水质量标准   </w:t>
            </w:r>
            <w:r>
              <w:rPr>
                <w:rFonts w:ascii="Times New Roman" w:hAnsi="Times New Roman" w:eastAsia="宋体"/>
                <w:b/>
                <w:color w:val="000000" w:themeColor="text1"/>
                <w:sz w:val="21"/>
                <w:szCs w:val="21"/>
                <w14:textFill>
                  <w14:solidFill>
                    <w14:schemeClr w14:val="tx1"/>
                  </w14:solidFill>
                </w14:textFill>
              </w:rPr>
              <w:t>单位：mg/L</w:t>
            </w:r>
          </w:p>
          <w:tbl>
            <w:tblPr>
              <w:tblStyle w:val="34"/>
              <w:tblW w:w="4998" w:type="pct"/>
              <w:jc w:val="center"/>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695"/>
              <w:gridCol w:w="2836"/>
              <w:gridCol w:w="1493"/>
              <w:gridCol w:w="2958"/>
            </w:tblGrid>
            <w:tr w14:paraId="1B355669">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PrEx>
              <w:trPr>
                <w:cantSplit/>
                <w:trHeight w:val="340" w:hRule="atLeast"/>
                <w:jc w:val="center"/>
              </w:trPr>
              <w:tc>
                <w:tcPr>
                  <w:tcW w:w="435" w:type="pct"/>
                  <w:vAlign w:val="center"/>
                </w:tcPr>
                <w:p w14:paraId="0A6417EC">
                  <w:pPr>
                    <w:autoSpaceDE w:val="0"/>
                    <w:spacing w:line="240" w:lineRule="auto"/>
                    <w:jc w:val="center"/>
                    <w:rPr>
                      <w:b/>
                      <w:bCs/>
                      <w:color w:val="000000" w:themeColor="text1"/>
                      <w:szCs w:val="21"/>
                      <w14:textFill>
                        <w14:solidFill>
                          <w14:schemeClr w14:val="tx1"/>
                        </w14:solidFill>
                      </w14:textFill>
                    </w:rPr>
                  </w:pPr>
                  <w:r>
                    <w:rPr>
                      <w:b/>
                      <w:bCs/>
                      <w:color w:val="000000" w:themeColor="text1"/>
                      <w:szCs w:val="21"/>
                      <w14:textFill>
                        <w14:solidFill>
                          <w14:schemeClr w14:val="tx1"/>
                        </w14:solidFill>
                      </w14:textFill>
                    </w:rPr>
                    <w:t>序号</w:t>
                  </w:r>
                </w:p>
              </w:tc>
              <w:tc>
                <w:tcPr>
                  <w:tcW w:w="1776" w:type="pct"/>
                  <w:vAlign w:val="center"/>
                </w:tcPr>
                <w:p w14:paraId="3CF66578">
                  <w:pPr>
                    <w:autoSpaceDE w:val="0"/>
                    <w:spacing w:line="240" w:lineRule="auto"/>
                    <w:jc w:val="center"/>
                    <w:rPr>
                      <w:b/>
                      <w:bCs/>
                      <w:color w:val="000000" w:themeColor="text1"/>
                      <w:szCs w:val="21"/>
                      <w14:textFill>
                        <w14:solidFill>
                          <w14:schemeClr w14:val="tx1"/>
                        </w14:solidFill>
                      </w14:textFill>
                    </w:rPr>
                  </w:pPr>
                  <w:r>
                    <w:rPr>
                      <w:b/>
                      <w:bCs/>
                      <w:color w:val="000000" w:themeColor="text1"/>
                      <w:szCs w:val="21"/>
                      <w14:textFill>
                        <w14:solidFill>
                          <w14:schemeClr w14:val="tx1"/>
                        </w14:solidFill>
                      </w14:textFill>
                    </w:rPr>
                    <w:t>指标</w:t>
                  </w:r>
                </w:p>
              </w:tc>
              <w:tc>
                <w:tcPr>
                  <w:tcW w:w="935" w:type="pct"/>
                  <w:vAlign w:val="center"/>
                </w:tcPr>
                <w:p w14:paraId="539F70ED">
                  <w:pPr>
                    <w:autoSpaceDE w:val="0"/>
                    <w:spacing w:line="240" w:lineRule="auto"/>
                    <w:jc w:val="center"/>
                    <w:rPr>
                      <w:b/>
                      <w:bCs/>
                      <w:color w:val="000000" w:themeColor="text1"/>
                      <w:szCs w:val="21"/>
                      <w14:textFill>
                        <w14:solidFill>
                          <w14:schemeClr w14:val="tx1"/>
                        </w14:solidFill>
                      </w14:textFill>
                    </w:rPr>
                  </w:pPr>
                  <w:r>
                    <w:rPr>
                      <w:b/>
                      <w:bCs/>
                      <w:color w:val="000000" w:themeColor="text1"/>
                      <w:szCs w:val="21"/>
                      <w14:textFill>
                        <w14:solidFill>
                          <w14:schemeClr w14:val="tx1"/>
                        </w14:solidFill>
                      </w14:textFill>
                    </w:rPr>
                    <w:t>标准值</w:t>
                  </w:r>
                </w:p>
              </w:tc>
              <w:tc>
                <w:tcPr>
                  <w:tcW w:w="1852" w:type="pct"/>
                  <w:vAlign w:val="center"/>
                </w:tcPr>
                <w:p w14:paraId="26BC271D">
                  <w:pPr>
                    <w:autoSpaceDE w:val="0"/>
                    <w:spacing w:line="240" w:lineRule="auto"/>
                    <w:jc w:val="center"/>
                    <w:rPr>
                      <w:b/>
                      <w:bCs/>
                      <w:color w:val="000000" w:themeColor="text1"/>
                      <w:szCs w:val="21"/>
                      <w14:textFill>
                        <w14:solidFill>
                          <w14:schemeClr w14:val="tx1"/>
                        </w14:solidFill>
                      </w14:textFill>
                    </w:rPr>
                  </w:pPr>
                  <w:r>
                    <w:rPr>
                      <w:b/>
                      <w:bCs/>
                      <w:color w:val="000000" w:themeColor="text1"/>
                      <w:szCs w:val="21"/>
                      <w14:textFill>
                        <w14:solidFill>
                          <w14:schemeClr w14:val="tx1"/>
                        </w14:solidFill>
                      </w14:textFill>
                    </w:rPr>
                    <w:t>采用标准</w:t>
                  </w:r>
                </w:p>
              </w:tc>
            </w:tr>
            <w:tr w14:paraId="7C3D5841">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29" w:hRule="atLeast"/>
                <w:jc w:val="center"/>
              </w:trPr>
              <w:tc>
                <w:tcPr>
                  <w:tcW w:w="435" w:type="pct"/>
                  <w:vAlign w:val="center"/>
                </w:tcPr>
                <w:p w14:paraId="6840A992">
                  <w:pPr>
                    <w:autoSpaceDE w:val="0"/>
                    <w:spacing w:line="240" w:lineRule="auto"/>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1</w:t>
                  </w:r>
                </w:p>
              </w:tc>
              <w:tc>
                <w:tcPr>
                  <w:tcW w:w="1776" w:type="pct"/>
                  <w:vAlign w:val="center"/>
                </w:tcPr>
                <w:p w14:paraId="13B6456C">
                  <w:pPr>
                    <w:spacing w:line="240" w:lineRule="auto"/>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Na+</w:t>
                  </w:r>
                </w:p>
              </w:tc>
              <w:tc>
                <w:tcPr>
                  <w:tcW w:w="935" w:type="pct"/>
                  <w:vAlign w:val="center"/>
                </w:tcPr>
                <w:p w14:paraId="5291EB9E">
                  <w:pPr>
                    <w:autoSpaceDE w:val="0"/>
                    <w:spacing w:line="240" w:lineRule="auto"/>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≤200</w:t>
                  </w:r>
                </w:p>
              </w:tc>
              <w:tc>
                <w:tcPr>
                  <w:tcW w:w="1852" w:type="pct"/>
                  <w:vMerge w:val="restart"/>
                  <w:vAlign w:val="center"/>
                </w:tcPr>
                <w:p w14:paraId="4308ECC2">
                  <w:pPr>
                    <w:widowControl/>
                    <w:spacing w:line="240" w:lineRule="auto"/>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《地下水质量标准》（GB/T14848-2017）</w:t>
                  </w:r>
                </w:p>
                <w:p w14:paraId="486F9895">
                  <w:pPr>
                    <w:widowControl/>
                    <w:spacing w:line="240" w:lineRule="auto"/>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表1中Ⅲ类标准</w:t>
                  </w:r>
                </w:p>
              </w:tc>
            </w:tr>
            <w:tr w14:paraId="01D7F7ED">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90" w:hRule="atLeast"/>
                <w:jc w:val="center"/>
              </w:trPr>
              <w:tc>
                <w:tcPr>
                  <w:tcW w:w="435" w:type="pct"/>
                  <w:vAlign w:val="center"/>
                </w:tcPr>
                <w:p w14:paraId="586FA46E">
                  <w:pPr>
                    <w:autoSpaceDE w:val="0"/>
                    <w:spacing w:line="240" w:lineRule="auto"/>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2</w:t>
                  </w:r>
                </w:p>
              </w:tc>
              <w:tc>
                <w:tcPr>
                  <w:tcW w:w="1776" w:type="pct"/>
                  <w:vAlign w:val="center"/>
                </w:tcPr>
                <w:p w14:paraId="4E0402AD">
                  <w:pPr>
                    <w:pStyle w:val="79"/>
                    <w:spacing w:line="240" w:lineRule="auto"/>
                    <w:jc w:val="center"/>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pH</w:t>
                  </w:r>
                </w:p>
              </w:tc>
              <w:tc>
                <w:tcPr>
                  <w:tcW w:w="935" w:type="pct"/>
                  <w:vAlign w:val="center"/>
                </w:tcPr>
                <w:p w14:paraId="0AE78436">
                  <w:pPr>
                    <w:autoSpaceDE w:val="0"/>
                    <w:spacing w:line="240" w:lineRule="auto"/>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6.5-8.5</w:t>
                  </w:r>
                </w:p>
              </w:tc>
              <w:tc>
                <w:tcPr>
                  <w:tcW w:w="1852" w:type="pct"/>
                  <w:vMerge w:val="continue"/>
                  <w:vAlign w:val="center"/>
                </w:tcPr>
                <w:p w14:paraId="6EC7CB87">
                  <w:pPr>
                    <w:widowControl/>
                    <w:spacing w:line="240" w:lineRule="auto"/>
                    <w:jc w:val="center"/>
                    <w:rPr>
                      <w:color w:val="000000" w:themeColor="text1"/>
                      <w:szCs w:val="21"/>
                      <w14:textFill>
                        <w14:solidFill>
                          <w14:schemeClr w14:val="tx1"/>
                        </w14:solidFill>
                      </w14:textFill>
                    </w:rPr>
                  </w:pPr>
                </w:p>
              </w:tc>
            </w:tr>
            <w:tr w14:paraId="3DF5C7AA">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30" w:hRule="atLeast"/>
                <w:jc w:val="center"/>
              </w:trPr>
              <w:tc>
                <w:tcPr>
                  <w:tcW w:w="435" w:type="pct"/>
                  <w:vAlign w:val="center"/>
                </w:tcPr>
                <w:p w14:paraId="554EF891">
                  <w:pPr>
                    <w:autoSpaceDE w:val="0"/>
                    <w:spacing w:line="240" w:lineRule="auto"/>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3</w:t>
                  </w:r>
                </w:p>
              </w:tc>
              <w:tc>
                <w:tcPr>
                  <w:tcW w:w="1776" w:type="pct"/>
                  <w:vAlign w:val="center"/>
                </w:tcPr>
                <w:p w14:paraId="51A2B8BB">
                  <w:pPr>
                    <w:pStyle w:val="79"/>
                    <w:spacing w:line="240" w:lineRule="auto"/>
                    <w:jc w:val="center"/>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氨氮</w:t>
                  </w:r>
                </w:p>
              </w:tc>
              <w:tc>
                <w:tcPr>
                  <w:tcW w:w="935" w:type="pct"/>
                  <w:vAlign w:val="center"/>
                </w:tcPr>
                <w:p w14:paraId="6A95B78C">
                  <w:pPr>
                    <w:autoSpaceDE w:val="0"/>
                    <w:spacing w:line="240" w:lineRule="auto"/>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≤0.50</w:t>
                  </w:r>
                </w:p>
              </w:tc>
              <w:tc>
                <w:tcPr>
                  <w:tcW w:w="1852" w:type="pct"/>
                  <w:vMerge w:val="continue"/>
                  <w:vAlign w:val="center"/>
                </w:tcPr>
                <w:p w14:paraId="0CAF58FE">
                  <w:pPr>
                    <w:widowControl/>
                    <w:spacing w:line="240" w:lineRule="auto"/>
                    <w:jc w:val="center"/>
                    <w:rPr>
                      <w:color w:val="000000" w:themeColor="text1"/>
                      <w:szCs w:val="21"/>
                      <w14:textFill>
                        <w14:solidFill>
                          <w14:schemeClr w14:val="tx1"/>
                        </w14:solidFill>
                      </w14:textFill>
                    </w:rPr>
                  </w:pPr>
                </w:p>
              </w:tc>
            </w:tr>
            <w:tr w14:paraId="03BF53E2">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30" w:hRule="atLeast"/>
                <w:jc w:val="center"/>
              </w:trPr>
              <w:tc>
                <w:tcPr>
                  <w:tcW w:w="435" w:type="pct"/>
                  <w:vAlign w:val="center"/>
                </w:tcPr>
                <w:p w14:paraId="18F991DD">
                  <w:pPr>
                    <w:autoSpaceDE w:val="0"/>
                    <w:spacing w:line="240" w:lineRule="auto"/>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4</w:t>
                  </w:r>
                </w:p>
              </w:tc>
              <w:tc>
                <w:tcPr>
                  <w:tcW w:w="1776" w:type="pct"/>
                  <w:vAlign w:val="center"/>
                </w:tcPr>
                <w:p w14:paraId="395D7B3D">
                  <w:pPr>
                    <w:pStyle w:val="79"/>
                    <w:spacing w:line="240" w:lineRule="auto"/>
                    <w:jc w:val="center"/>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硝酸盐</w:t>
                  </w:r>
                </w:p>
              </w:tc>
              <w:tc>
                <w:tcPr>
                  <w:tcW w:w="935" w:type="pct"/>
                  <w:vAlign w:val="center"/>
                </w:tcPr>
                <w:p w14:paraId="524DB697">
                  <w:pPr>
                    <w:autoSpaceDE w:val="0"/>
                    <w:spacing w:line="240" w:lineRule="auto"/>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≤20.0</w:t>
                  </w:r>
                </w:p>
              </w:tc>
              <w:tc>
                <w:tcPr>
                  <w:tcW w:w="1852" w:type="pct"/>
                  <w:vMerge w:val="continue"/>
                  <w:vAlign w:val="center"/>
                </w:tcPr>
                <w:p w14:paraId="0A629A1F">
                  <w:pPr>
                    <w:widowControl/>
                    <w:spacing w:line="240" w:lineRule="auto"/>
                    <w:jc w:val="center"/>
                    <w:rPr>
                      <w:color w:val="000000" w:themeColor="text1"/>
                      <w:szCs w:val="21"/>
                      <w14:textFill>
                        <w14:solidFill>
                          <w14:schemeClr w14:val="tx1"/>
                        </w14:solidFill>
                      </w14:textFill>
                    </w:rPr>
                  </w:pPr>
                </w:p>
              </w:tc>
            </w:tr>
            <w:tr w14:paraId="1A88EB92">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PrEx>
              <w:trPr>
                <w:cantSplit/>
                <w:trHeight w:val="330" w:hRule="atLeast"/>
                <w:jc w:val="center"/>
              </w:trPr>
              <w:tc>
                <w:tcPr>
                  <w:tcW w:w="435" w:type="pct"/>
                  <w:vAlign w:val="center"/>
                </w:tcPr>
                <w:p w14:paraId="5E01B68D">
                  <w:pPr>
                    <w:autoSpaceDE w:val="0"/>
                    <w:spacing w:line="240" w:lineRule="auto"/>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5</w:t>
                  </w:r>
                </w:p>
              </w:tc>
              <w:tc>
                <w:tcPr>
                  <w:tcW w:w="1776" w:type="pct"/>
                  <w:vAlign w:val="center"/>
                </w:tcPr>
                <w:p w14:paraId="02C53AEF">
                  <w:pPr>
                    <w:pStyle w:val="79"/>
                    <w:spacing w:line="240" w:lineRule="auto"/>
                    <w:jc w:val="center"/>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亚硝酸盐</w:t>
                  </w:r>
                </w:p>
              </w:tc>
              <w:tc>
                <w:tcPr>
                  <w:tcW w:w="935" w:type="pct"/>
                  <w:vAlign w:val="center"/>
                </w:tcPr>
                <w:p w14:paraId="63729207">
                  <w:pPr>
                    <w:autoSpaceDE w:val="0"/>
                    <w:spacing w:line="240" w:lineRule="auto"/>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≤1.00</w:t>
                  </w:r>
                </w:p>
              </w:tc>
              <w:tc>
                <w:tcPr>
                  <w:tcW w:w="1852" w:type="pct"/>
                  <w:vMerge w:val="continue"/>
                  <w:vAlign w:val="center"/>
                </w:tcPr>
                <w:p w14:paraId="3D590105">
                  <w:pPr>
                    <w:widowControl/>
                    <w:spacing w:line="240" w:lineRule="auto"/>
                    <w:jc w:val="center"/>
                    <w:rPr>
                      <w:color w:val="000000" w:themeColor="text1"/>
                      <w:szCs w:val="21"/>
                      <w14:textFill>
                        <w14:solidFill>
                          <w14:schemeClr w14:val="tx1"/>
                        </w14:solidFill>
                      </w14:textFill>
                    </w:rPr>
                  </w:pPr>
                </w:p>
              </w:tc>
            </w:tr>
            <w:tr w14:paraId="765D0061">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30" w:hRule="atLeast"/>
                <w:jc w:val="center"/>
              </w:trPr>
              <w:tc>
                <w:tcPr>
                  <w:tcW w:w="435" w:type="pct"/>
                  <w:vAlign w:val="center"/>
                </w:tcPr>
                <w:p w14:paraId="11C1EFD9">
                  <w:pPr>
                    <w:autoSpaceDE w:val="0"/>
                    <w:spacing w:line="240" w:lineRule="auto"/>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6</w:t>
                  </w:r>
                </w:p>
              </w:tc>
              <w:tc>
                <w:tcPr>
                  <w:tcW w:w="1776" w:type="pct"/>
                  <w:vAlign w:val="center"/>
                </w:tcPr>
                <w:p w14:paraId="581B06F6">
                  <w:pPr>
                    <w:pStyle w:val="79"/>
                    <w:spacing w:line="240" w:lineRule="auto"/>
                    <w:jc w:val="center"/>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挥发性酚类</w:t>
                  </w:r>
                </w:p>
              </w:tc>
              <w:tc>
                <w:tcPr>
                  <w:tcW w:w="935" w:type="pct"/>
                  <w:vAlign w:val="center"/>
                </w:tcPr>
                <w:p w14:paraId="1FE6EEE0">
                  <w:pPr>
                    <w:autoSpaceDE w:val="0"/>
                    <w:spacing w:line="240" w:lineRule="auto"/>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≤0.002</w:t>
                  </w:r>
                </w:p>
              </w:tc>
              <w:tc>
                <w:tcPr>
                  <w:tcW w:w="1852" w:type="pct"/>
                  <w:vMerge w:val="continue"/>
                  <w:vAlign w:val="center"/>
                </w:tcPr>
                <w:p w14:paraId="7966C33D">
                  <w:pPr>
                    <w:widowControl/>
                    <w:spacing w:line="240" w:lineRule="auto"/>
                    <w:jc w:val="center"/>
                    <w:rPr>
                      <w:color w:val="000000" w:themeColor="text1"/>
                      <w:szCs w:val="21"/>
                      <w14:textFill>
                        <w14:solidFill>
                          <w14:schemeClr w14:val="tx1"/>
                        </w14:solidFill>
                      </w14:textFill>
                    </w:rPr>
                  </w:pPr>
                </w:p>
              </w:tc>
            </w:tr>
            <w:tr w14:paraId="339077C7">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30" w:hRule="atLeast"/>
                <w:jc w:val="center"/>
              </w:trPr>
              <w:tc>
                <w:tcPr>
                  <w:tcW w:w="435" w:type="pct"/>
                  <w:vAlign w:val="center"/>
                </w:tcPr>
                <w:p w14:paraId="68E487F1">
                  <w:pPr>
                    <w:autoSpaceDE w:val="0"/>
                    <w:spacing w:line="240" w:lineRule="auto"/>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7</w:t>
                  </w:r>
                </w:p>
              </w:tc>
              <w:tc>
                <w:tcPr>
                  <w:tcW w:w="1776" w:type="pct"/>
                  <w:vAlign w:val="center"/>
                </w:tcPr>
                <w:p w14:paraId="22400863">
                  <w:pPr>
                    <w:pStyle w:val="79"/>
                    <w:spacing w:line="240" w:lineRule="auto"/>
                    <w:jc w:val="center"/>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氰化物</w:t>
                  </w:r>
                </w:p>
              </w:tc>
              <w:tc>
                <w:tcPr>
                  <w:tcW w:w="935" w:type="pct"/>
                  <w:vAlign w:val="center"/>
                </w:tcPr>
                <w:p w14:paraId="0D8E7DA8">
                  <w:pPr>
                    <w:autoSpaceDE w:val="0"/>
                    <w:spacing w:line="240" w:lineRule="auto"/>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≤0.05</w:t>
                  </w:r>
                </w:p>
              </w:tc>
              <w:tc>
                <w:tcPr>
                  <w:tcW w:w="1852" w:type="pct"/>
                  <w:vMerge w:val="continue"/>
                  <w:vAlign w:val="center"/>
                </w:tcPr>
                <w:p w14:paraId="2E7758A5">
                  <w:pPr>
                    <w:widowControl/>
                    <w:spacing w:line="240" w:lineRule="auto"/>
                    <w:jc w:val="center"/>
                    <w:rPr>
                      <w:color w:val="000000" w:themeColor="text1"/>
                      <w:szCs w:val="21"/>
                      <w14:textFill>
                        <w14:solidFill>
                          <w14:schemeClr w14:val="tx1"/>
                        </w14:solidFill>
                      </w14:textFill>
                    </w:rPr>
                  </w:pPr>
                </w:p>
              </w:tc>
            </w:tr>
            <w:tr w14:paraId="081C7525">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30" w:hRule="atLeast"/>
                <w:jc w:val="center"/>
              </w:trPr>
              <w:tc>
                <w:tcPr>
                  <w:tcW w:w="435" w:type="pct"/>
                  <w:vAlign w:val="center"/>
                </w:tcPr>
                <w:p w14:paraId="484FCBDC">
                  <w:pPr>
                    <w:autoSpaceDE w:val="0"/>
                    <w:spacing w:line="240" w:lineRule="auto"/>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8</w:t>
                  </w:r>
                </w:p>
              </w:tc>
              <w:tc>
                <w:tcPr>
                  <w:tcW w:w="1776" w:type="pct"/>
                  <w:vAlign w:val="center"/>
                </w:tcPr>
                <w:p w14:paraId="384C8419">
                  <w:pPr>
                    <w:pStyle w:val="79"/>
                    <w:spacing w:line="240" w:lineRule="auto"/>
                    <w:jc w:val="center"/>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砷</w:t>
                  </w:r>
                </w:p>
              </w:tc>
              <w:tc>
                <w:tcPr>
                  <w:tcW w:w="935" w:type="pct"/>
                  <w:vAlign w:val="center"/>
                </w:tcPr>
                <w:p w14:paraId="6A74905E">
                  <w:pPr>
                    <w:autoSpaceDE w:val="0"/>
                    <w:spacing w:line="240" w:lineRule="auto"/>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≤0.01</w:t>
                  </w:r>
                </w:p>
              </w:tc>
              <w:tc>
                <w:tcPr>
                  <w:tcW w:w="1852" w:type="pct"/>
                  <w:vMerge w:val="continue"/>
                  <w:vAlign w:val="center"/>
                </w:tcPr>
                <w:p w14:paraId="14D34576">
                  <w:pPr>
                    <w:widowControl/>
                    <w:spacing w:line="240" w:lineRule="auto"/>
                    <w:jc w:val="center"/>
                    <w:rPr>
                      <w:color w:val="000000" w:themeColor="text1"/>
                      <w:szCs w:val="21"/>
                      <w14:textFill>
                        <w14:solidFill>
                          <w14:schemeClr w14:val="tx1"/>
                        </w14:solidFill>
                      </w14:textFill>
                    </w:rPr>
                  </w:pPr>
                </w:p>
              </w:tc>
            </w:tr>
            <w:tr w14:paraId="4BCDA33A">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30" w:hRule="atLeast"/>
                <w:jc w:val="center"/>
              </w:trPr>
              <w:tc>
                <w:tcPr>
                  <w:tcW w:w="435" w:type="pct"/>
                  <w:vAlign w:val="center"/>
                </w:tcPr>
                <w:p w14:paraId="46C6C589">
                  <w:pPr>
                    <w:autoSpaceDE w:val="0"/>
                    <w:spacing w:line="240" w:lineRule="auto"/>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9</w:t>
                  </w:r>
                </w:p>
              </w:tc>
              <w:tc>
                <w:tcPr>
                  <w:tcW w:w="1776" w:type="pct"/>
                  <w:vAlign w:val="center"/>
                </w:tcPr>
                <w:p w14:paraId="52950258">
                  <w:pPr>
                    <w:pStyle w:val="79"/>
                    <w:spacing w:line="240" w:lineRule="auto"/>
                    <w:jc w:val="center"/>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汞</w:t>
                  </w:r>
                </w:p>
              </w:tc>
              <w:tc>
                <w:tcPr>
                  <w:tcW w:w="935" w:type="pct"/>
                  <w:vAlign w:val="center"/>
                </w:tcPr>
                <w:p w14:paraId="3987C130">
                  <w:pPr>
                    <w:autoSpaceDE w:val="0"/>
                    <w:spacing w:line="240" w:lineRule="auto"/>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≤0.001</w:t>
                  </w:r>
                </w:p>
              </w:tc>
              <w:tc>
                <w:tcPr>
                  <w:tcW w:w="1852" w:type="pct"/>
                  <w:vMerge w:val="continue"/>
                  <w:vAlign w:val="center"/>
                </w:tcPr>
                <w:p w14:paraId="280B1266">
                  <w:pPr>
                    <w:widowControl/>
                    <w:spacing w:line="240" w:lineRule="auto"/>
                    <w:jc w:val="center"/>
                    <w:rPr>
                      <w:color w:val="000000" w:themeColor="text1"/>
                      <w:szCs w:val="21"/>
                      <w14:textFill>
                        <w14:solidFill>
                          <w14:schemeClr w14:val="tx1"/>
                        </w14:solidFill>
                      </w14:textFill>
                    </w:rPr>
                  </w:pPr>
                </w:p>
              </w:tc>
            </w:tr>
            <w:tr w14:paraId="42DB7A14">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PrEx>
              <w:trPr>
                <w:cantSplit/>
                <w:trHeight w:val="330" w:hRule="atLeast"/>
                <w:jc w:val="center"/>
              </w:trPr>
              <w:tc>
                <w:tcPr>
                  <w:tcW w:w="435" w:type="pct"/>
                  <w:vAlign w:val="center"/>
                </w:tcPr>
                <w:p w14:paraId="2AFBCF8C">
                  <w:pPr>
                    <w:autoSpaceDE w:val="0"/>
                    <w:spacing w:line="240" w:lineRule="auto"/>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10</w:t>
                  </w:r>
                </w:p>
              </w:tc>
              <w:tc>
                <w:tcPr>
                  <w:tcW w:w="1776" w:type="pct"/>
                  <w:vAlign w:val="center"/>
                </w:tcPr>
                <w:p w14:paraId="195601C8">
                  <w:pPr>
                    <w:pStyle w:val="79"/>
                    <w:spacing w:line="240" w:lineRule="auto"/>
                    <w:jc w:val="center"/>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铬（六价）</w:t>
                  </w:r>
                </w:p>
              </w:tc>
              <w:tc>
                <w:tcPr>
                  <w:tcW w:w="935" w:type="pct"/>
                  <w:vAlign w:val="center"/>
                </w:tcPr>
                <w:p w14:paraId="138F19EB">
                  <w:pPr>
                    <w:autoSpaceDE w:val="0"/>
                    <w:spacing w:line="240" w:lineRule="auto"/>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≤0.05</w:t>
                  </w:r>
                </w:p>
              </w:tc>
              <w:tc>
                <w:tcPr>
                  <w:tcW w:w="1852" w:type="pct"/>
                  <w:vMerge w:val="continue"/>
                  <w:vAlign w:val="center"/>
                </w:tcPr>
                <w:p w14:paraId="73E2120D">
                  <w:pPr>
                    <w:widowControl/>
                    <w:spacing w:line="240" w:lineRule="auto"/>
                    <w:jc w:val="center"/>
                    <w:rPr>
                      <w:color w:val="000000" w:themeColor="text1"/>
                      <w:szCs w:val="21"/>
                      <w14:textFill>
                        <w14:solidFill>
                          <w14:schemeClr w14:val="tx1"/>
                        </w14:solidFill>
                      </w14:textFill>
                    </w:rPr>
                  </w:pPr>
                </w:p>
              </w:tc>
            </w:tr>
            <w:tr w14:paraId="4FD59157">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30" w:hRule="atLeast"/>
                <w:jc w:val="center"/>
              </w:trPr>
              <w:tc>
                <w:tcPr>
                  <w:tcW w:w="435" w:type="pct"/>
                  <w:vAlign w:val="center"/>
                </w:tcPr>
                <w:p w14:paraId="78E726C1">
                  <w:pPr>
                    <w:autoSpaceDE w:val="0"/>
                    <w:spacing w:line="240" w:lineRule="auto"/>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11</w:t>
                  </w:r>
                </w:p>
              </w:tc>
              <w:tc>
                <w:tcPr>
                  <w:tcW w:w="1776" w:type="pct"/>
                  <w:vAlign w:val="center"/>
                </w:tcPr>
                <w:p w14:paraId="56C6C3FB">
                  <w:pPr>
                    <w:pStyle w:val="79"/>
                    <w:spacing w:line="240" w:lineRule="auto"/>
                    <w:jc w:val="center"/>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总硬度</w:t>
                  </w:r>
                </w:p>
              </w:tc>
              <w:tc>
                <w:tcPr>
                  <w:tcW w:w="935" w:type="pct"/>
                  <w:vAlign w:val="center"/>
                </w:tcPr>
                <w:p w14:paraId="2259566B">
                  <w:pPr>
                    <w:autoSpaceDE w:val="0"/>
                    <w:spacing w:line="240" w:lineRule="auto"/>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≤450</w:t>
                  </w:r>
                </w:p>
              </w:tc>
              <w:tc>
                <w:tcPr>
                  <w:tcW w:w="1852" w:type="pct"/>
                  <w:vMerge w:val="continue"/>
                  <w:vAlign w:val="center"/>
                </w:tcPr>
                <w:p w14:paraId="5854FF5E">
                  <w:pPr>
                    <w:widowControl/>
                    <w:spacing w:line="240" w:lineRule="auto"/>
                    <w:jc w:val="center"/>
                    <w:rPr>
                      <w:color w:val="000000" w:themeColor="text1"/>
                      <w:szCs w:val="21"/>
                      <w14:textFill>
                        <w14:solidFill>
                          <w14:schemeClr w14:val="tx1"/>
                        </w14:solidFill>
                      </w14:textFill>
                    </w:rPr>
                  </w:pPr>
                </w:p>
              </w:tc>
            </w:tr>
            <w:tr w14:paraId="0A33155D">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30" w:hRule="atLeast"/>
                <w:jc w:val="center"/>
              </w:trPr>
              <w:tc>
                <w:tcPr>
                  <w:tcW w:w="435" w:type="pct"/>
                  <w:vAlign w:val="center"/>
                </w:tcPr>
                <w:p w14:paraId="4F35886D">
                  <w:pPr>
                    <w:autoSpaceDE w:val="0"/>
                    <w:spacing w:line="240" w:lineRule="auto"/>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12</w:t>
                  </w:r>
                </w:p>
              </w:tc>
              <w:tc>
                <w:tcPr>
                  <w:tcW w:w="1776" w:type="pct"/>
                  <w:vAlign w:val="center"/>
                </w:tcPr>
                <w:p w14:paraId="53BFA4EC">
                  <w:pPr>
                    <w:pStyle w:val="79"/>
                    <w:spacing w:line="240" w:lineRule="auto"/>
                    <w:jc w:val="center"/>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铅</w:t>
                  </w:r>
                </w:p>
              </w:tc>
              <w:tc>
                <w:tcPr>
                  <w:tcW w:w="935" w:type="pct"/>
                  <w:vAlign w:val="center"/>
                </w:tcPr>
                <w:p w14:paraId="7A26DE14">
                  <w:pPr>
                    <w:autoSpaceDE w:val="0"/>
                    <w:spacing w:line="240" w:lineRule="auto"/>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≤0.01</w:t>
                  </w:r>
                </w:p>
              </w:tc>
              <w:tc>
                <w:tcPr>
                  <w:tcW w:w="1852" w:type="pct"/>
                  <w:vMerge w:val="continue"/>
                  <w:vAlign w:val="center"/>
                </w:tcPr>
                <w:p w14:paraId="40229822">
                  <w:pPr>
                    <w:widowControl/>
                    <w:spacing w:line="240" w:lineRule="auto"/>
                    <w:jc w:val="center"/>
                    <w:rPr>
                      <w:color w:val="000000" w:themeColor="text1"/>
                      <w:szCs w:val="21"/>
                      <w14:textFill>
                        <w14:solidFill>
                          <w14:schemeClr w14:val="tx1"/>
                        </w14:solidFill>
                      </w14:textFill>
                    </w:rPr>
                  </w:pPr>
                </w:p>
              </w:tc>
            </w:tr>
            <w:tr w14:paraId="60F75873">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18" w:hRule="atLeast"/>
                <w:jc w:val="center"/>
              </w:trPr>
              <w:tc>
                <w:tcPr>
                  <w:tcW w:w="435" w:type="pct"/>
                  <w:vAlign w:val="center"/>
                </w:tcPr>
                <w:p w14:paraId="64C74F6C">
                  <w:pPr>
                    <w:autoSpaceDE w:val="0"/>
                    <w:spacing w:line="240" w:lineRule="auto"/>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13</w:t>
                  </w:r>
                </w:p>
              </w:tc>
              <w:tc>
                <w:tcPr>
                  <w:tcW w:w="1776" w:type="pct"/>
                  <w:vAlign w:val="center"/>
                </w:tcPr>
                <w:p w14:paraId="4D3EDCBE">
                  <w:pPr>
                    <w:pStyle w:val="79"/>
                    <w:spacing w:line="240" w:lineRule="auto"/>
                    <w:jc w:val="center"/>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镉</w:t>
                  </w:r>
                </w:p>
              </w:tc>
              <w:tc>
                <w:tcPr>
                  <w:tcW w:w="935" w:type="pct"/>
                  <w:vAlign w:val="center"/>
                </w:tcPr>
                <w:p w14:paraId="7FA73E2F">
                  <w:pPr>
                    <w:autoSpaceDE w:val="0"/>
                    <w:spacing w:line="240" w:lineRule="auto"/>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≤0.005</w:t>
                  </w:r>
                </w:p>
              </w:tc>
              <w:tc>
                <w:tcPr>
                  <w:tcW w:w="1852" w:type="pct"/>
                  <w:vMerge w:val="continue"/>
                  <w:vAlign w:val="center"/>
                </w:tcPr>
                <w:p w14:paraId="4E09971F">
                  <w:pPr>
                    <w:widowControl/>
                    <w:spacing w:line="240" w:lineRule="auto"/>
                    <w:jc w:val="center"/>
                    <w:rPr>
                      <w:color w:val="000000" w:themeColor="text1"/>
                      <w:szCs w:val="21"/>
                      <w14:textFill>
                        <w14:solidFill>
                          <w14:schemeClr w14:val="tx1"/>
                        </w14:solidFill>
                      </w14:textFill>
                    </w:rPr>
                  </w:pPr>
                </w:p>
              </w:tc>
            </w:tr>
            <w:tr w14:paraId="6767B722">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18" w:hRule="atLeast"/>
                <w:jc w:val="center"/>
              </w:trPr>
              <w:tc>
                <w:tcPr>
                  <w:tcW w:w="435" w:type="pct"/>
                  <w:vAlign w:val="center"/>
                </w:tcPr>
                <w:p w14:paraId="0C092BF7">
                  <w:pPr>
                    <w:autoSpaceDE w:val="0"/>
                    <w:spacing w:line="240" w:lineRule="auto"/>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14</w:t>
                  </w:r>
                </w:p>
              </w:tc>
              <w:tc>
                <w:tcPr>
                  <w:tcW w:w="1776" w:type="pct"/>
                  <w:vAlign w:val="center"/>
                </w:tcPr>
                <w:p w14:paraId="56E863B1">
                  <w:pPr>
                    <w:pStyle w:val="79"/>
                    <w:spacing w:line="240" w:lineRule="auto"/>
                    <w:jc w:val="center"/>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铁</w:t>
                  </w:r>
                </w:p>
              </w:tc>
              <w:tc>
                <w:tcPr>
                  <w:tcW w:w="935" w:type="pct"/>
                  <w:vAlign w:val="center"/>
                </w:tcPr>
                <w:p w14:paraId="2C4569A6">
                  <w:pPr>
                    <w:autoSpaceDE w:val="0"/>
                    <w:spacing w:line="240" w:lineRule="auto"/>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≤0.30</w:t>
                  </w:r>
                </w:p>
              </w:tc>
              <w:tc>
                <w:tcPr>
                  <w:tcW w:w="1852" w:type="pct"/>
                  <w:vMerge w:val="continue"/>
                  <w:vAlign w:val="center"/>
                </w:tcPr>
                <w:p w14:paraId="7DF2D1CE">
                  <w:pPr>
                    <w:widowControl/>
                    <w:spacing w:line="240" w:lineRule="auto"/>
                    <w:jc w:val="center"/>
                    <w:rPr>
                      <w:color w:val="000000" w:themeColor="text1"/>
                      <w:szCs w:val="21"/>
                      <w14:textFill>
                        <w14:solidFill>
                          <w14:schemeClr w14:val="tx1"/>
                        </w14:solidFill>
                      </w14:textFill>
                    </w:rPr>
                  </w:pPr>
                </w:p>
              </w:tc>
            </w:tr>
            <w:tr w14:paraId="23A4475E">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PrEx>
              <w:trPr>
                <w:cantSplit/>
                <w:trHeight w:val="318" w:hRule="atLeast"/>
                <w:jc w:val="center"/>
              </w:trPr>
              <w:tc>
                <w:tcPr>
                  <w:tcW w:w="435" w:type="pct"/>
                  <w:vAlign w:val="center"/>
                </w:tcPr>
                <w:p w14:paraId="10E97164">
                  <w:pPr>
                    <w:autoSpaceDE w:val="0"/>
                    <w:spacing w:line="240" w:lineRule="auto"/>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15</w:t>
                  </w:r>
                </w:p>
              </w:tc>
              <w:tc>
                <w:tcPr>
                  <w:tcW w:w="1776" w:type="pct"/>
                  <w:vAlign w:val="center"/>
                </w:tcPr>
                <w:p w14:paraId="66AFBB3A">
                  <w:pPr>
                    <w:pStyle w:val="79"/>
                    <w:spacing w:line="240" w:lineRule="auto"/>
                    <w:jc w:val="center"/>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锰</w:t>
                  </w:r>
                </w:p>
              </w:tc>
              <w:tc>
                <w:tcPr>
                  <w:tcW w:w="935" w:type="pct"/>
                  <w:vAlign w:val="center"/>
                </w:tcPr>
                <w:p w14:paraId="7EAE9F38">
                  <w:pPr>
                    <w:autoSpaceDE w:val="0"/>
                    <w:spacing w:line="240" w:lineRule="auto"/>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≤0.10</w:t>
                  </w:r>
                </w:p>
              </w:tc>
              <w:tc>
                <w:tcPr>
                  <w:tcW w:w="1852" w:type="pct"/>
                  <w:vMerge w:val="continue"/>
                  <w:vAlign w:val="center"/>
                </w:tcPr>
                <w:p w14:paraId="0C1F30EA">
                  <w:pPr>
                    <w:widowControl/>
                    <w:spacing w:line="240" w:lineRule="auto"/>
                    <w:jc w:val="center"/>
                    <w:rPr>
                      <w:color w:val="000000" w:themeColor="text1"/>
                      <w:szCs w:val="21"/>
                      <w14:textFill>
                        <w14:solidFill>
                          <w14:schemeClr w14:val="tx1"/>
                        </w14:solidFill>
                      </w14:textFill>
                    </w:rPr>
                  </w:pPr>
                </w:p>
              </w:tc>
            </w:tr>
            <w:tr w14:paraId="4E23E21D">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18" w:hRule="atLeast"/>
                <w:jc w:val="center"/>
              </w:trPr>
              <w:tc>
                <w:tcPr>
                  <w:tcW w:w="435" w:type="pct"/>
                  <w:vAlign w:val="center"/>
                </w:tcPr>
                <w:p w14:paraId="7052AA20">
                  <w:pPr>
                    <w:autoSpaceDE w:val="0"/>
                    <w:spacing w:line="240" w:lineRule="auto"/>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16</w:t>
                  </w:r>
                </w:p>
              </w:tc>
              <w:tc>
                <w:tcPr>
                  <w:tcW w:w="1776" w:type="pct"/>
                  <w:vAlign w:val="center"/>
                </w:tcPr>
                <w:p w14:paraId="2E558AAF">
                  <w:pPr>
                    <w:pStyle w:val="79"/>
                    <w:spacing w:line="240" w:lineRule="auto"/>
                    <w:jc w:val="center"/>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溶解性总固体</w:t>
                  </w:r>
                </w:p>
              </w:tc>
              <w:tc>
                <w:tcPr>
                  <w:tcW w:w="935" w:type="pct"/>
                  <w:vAlign w:val="center"/>
                </w:tcPr>
                <w:p w14:paraId="22B61532">
                  <w:pPr>
                    <w:autoSpaceDE w:val="0"/>
                    <w:spacing w:line="240" w:lineRule="auto"/>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≤1000</w:t>
                  </w:r>
                </w:p>
              </w:tc>
              <w:tc>
                <w:tcPr>
                  <w:tcW w:w="1852" w:type="pct"/>
                  <w:vMerge w:val="continue"/>
                  <w:vAlign w:val="center"/>
                </w:tcPr>
                <w:p w14:paraId="3E57ECCA">
                  <w:pPr>
                    <w:widowControl/>
                    <w:spacing w:line="240" w:lineRule="auto"/>
                    <w:jc w:val="center"/>
                    <w:rPr>
                      <w:color w:val="000000" w:themeColor="text1"/>
                      <w:szCs w:val="21"/>
                      <w14:textFill>
                        <w14:solidFill>
                          <w14:schemeClr w14:val="tx1"/>
                        </w14:solidFill>
                      </w14:textFill>
                    </w:rPr>
                  </w:pPr>
                </w:p>
              </w:tc>
            </w:tr>
            <w:tr w14:paraId="0809D03F">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18" w:hRule="atLeast"/>
                <w:jc w:val="center"/>
              </w:trPr>
              <w:tc>
                <w:tcPr>
                  <w:tcW w:w="435" w:type="pct"/>
                  <w:vAlign w:val="center"/>
                </w:tcPr>
                <w:p w14:paraId="51A65F7B">
                  <w:pPr>
                    <w:autoSpaceDE w:val="0"/>
                    <w:spacing w:line="240" w:lineRule="auto"/>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17</w:t>
                  </w:r>
                </w:p>
              </w:tc>
              <w:tc>
                <w:tcPr>
                  <w:tcW w:w="1776" w:type="pct"/>
                  <w:vAlign w:val="center"/>
                </w:tcPr>
                <w:p w14:paraId="76A9CF91">
                  <w:pPr>
                    <w:pStyle w:val="79"/>
                    <w:spacing w:line="240" w:lineRule="auto"/>
                    <w:jc w:val="center"/>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硫酸盐</w:t>
                  </w:r>
                </w:p>
              </w:tc>
              <w:tc>
                <w:tcPr>
                  <w:tcW w:w="935" w:type="pct"/>
                  <w:vAlign w:val="center"/>
                </w:tcPr>
                <w:p w14:paraId="6B8CDE5E">
                  <w:pPr>
                    <w:autoSpaceDE w:val="0"/>
                    <w:spacing w:line="240" w:lineRule="auto"/>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≤250</w:t>
                  </w:r>
                </w:p>
              </w:tc>
              <w:tc>
                <w:tcPr>
                  <w:tcW w:w="1852" w:type="pct"/>
                  <w:vMerge w:val="continue"/>
                  <w:vAlign w:val="center"/>
                </w:tcPr>
                <w:p w14:paraId="163B9D2F">
                  <w:pPr>
                    <w:widowControl/>
                    <w:spacing w:line="240" w:lineRule="auto"/>
                    <w:jc w:val="center"/>
                    <w:rPr>
                      <w:color w:val="000000" w:themeColor="text1"/>
                      <w:szCs w:val="21"/>
                      <w14:textFill>
                        <w14:solidFill>
                          <w14:schemeClr w14:val="tx1"/>
                        </w14:solidFill>
                      </w14:textFill>
                    </w:rPr>
                  </w:pPr>
                </w:p>
              </w:tc>
            </w:tr>
            <w:tr w14:paraId="286AD973">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18" w:hRule="atLeast"/>
                <w:jc w:val="center"/>
              </w:trPr>
              <w:tc>
                <w:tcPr>
                  <w:tcW w:w="435" w:type="pct"/>
                  <w:vAlign w:val="center"/>
                </w:tcPr>
                <w:p w14:paraId="7B86AEE4">
                  <w:pPr>
                    <w:autoSpaceDE w:val="0"/>
                    <w:spacing w:line="240" w:lineRule="auto"/>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18</w:t>
                  </w:r>
                </w:p>
              </w:tc>
              <w:tc>
                <w:tcPr>
                  <w:tcW w:w="1776" w:type="pct"/>
                  <w:vAlign w:val="center"/>
                </w:tcPr>
                <w:p w14:paraId="78F04EE5">
                  <w:pPr>
                    <w:pStyle w:val="79"/>
                    <w:spacing w:line="240" w:lineRule="auto"/>
                    <w:jc w:val="center"/>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氯化物</w:t>
                  </w:r>
                </w:p>
              </w:tc>
              <w:tc>
                <w:tcPr>
                  <w:tcW w:w="935" w:type="pct"/>
                  <w:vAlign w:val="center"/>
                </w:tcPr>
                <w:p w14:paraId="360FA0F3">
                  <w:pPr>
                    <w:autoSpaceDE w:val="0"/>
                    <w:spacing w:line="240" w:lineRule="auto"/>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≤250</w:t>
                  </w:r>
                </w:p>
              </w:tc>
              <w:tc>
                <w:tcPr>
                  <w:tcW w:w="1852" w:type="pct"/>
                  <w:vMerge w:val="continue"/>
                  <w:vAlign w:val="center"/>
                </w:tcPr>
                <w:p w14:paraId="109E6A90">
                  <w:pPr>
                    <w:widowControl/>
                    <w:spacing w:line="240" w:lineRule="auto"/>
                    <w:jc w:val="center"/>
                    <w:rPr>
                      <w:color w:val="000000" w:themeColor="text1"/>
                      <w:szCs w:val="21"/>
                      <w14:textFill>
                        <w14:solidFill>
                          <w14:schemeClr w14:val="tx1"/>
                        </w14:solidFill>
                      </w14:textFill>
                    </w:rPr>
                  </w:pPr>
                </w:p>
              </w:tc>
            </w:tr>
            <w:tr w14:paraId="1A5E2726">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18" w:hRule="atLeast"/>
                <w:jc w:val="center"/>
              </w:trPr>
              <w:tc>
                <w:tcPr>
                  <w:tcW w:w="435" w:type="pct"/>
                  <w:vAlign w:val="center"/>
                </w:tcPr>
                <w:p w14:paraId="2624E107">
                  <w:pPr>
                    <w:autoSpaceDE w:val="0"/>
                    <w:spacing w:line="240" w:lineRule="auto"/>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19</w:t>
                  </w:r>
                </w:p>
              </w:tc>
              <w:tc>
                <w:tcPr>
                  <w:tcW w:w="1776" w:type="pct"/>
                  <w:vAlign w:val="center"/>
                </w:tcPr>
                <w:p w14:paraId="6FD9919F">
                  <w:pPr>
                    <w:pStyle w:val="79"/>
                    <w:spacing w:line="240" w:lineRule="auto"/>
                    <w:jc w:val="center"/>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总大肠菌群</w:t>
                  </w:r>
                </w:p>
              </w:tc>
              <w:tc>
                <w:tcPr>
                  <w:tcW w:w="935" w:type="pct"/>
                  <w:vAlign w:val="center"/>
                </w:tcPr>
                <w:p w14:paraId="08B476ED">
                  <w:pPr>
                    <w:autoSpaceDE w:val="0"/>
                    <w:spacing w:line="240" w:lineRule="auto"/>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≤3.0</w:t>
                  </w:r>
                </w:p>
                <w:p w14:paraId="0E4326CF">
                  <w:pPr>
                    <w:autoSpaceDE w:val="0"/>
                    <w:spacing w:line="240" w:lineRule="auto"/>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MPN/100mL</w:t>
                  </w:r>
                </w:p>
              </w:tc>
              <w:tc>
                <w:tcPr>
                  <w:tcW w:w="1852" w:type="pct"/>
                  <w:vMerge w:val="continue"/>
                  <w:vAlign w:val="center"/>
                </w:tcPr>
                <w:p w14:paraId="41349C54">
                  <w:pPr>
                    <w:widowControl/>
                    <w:spacing w:line="240" w:lineRule="auto"/>
                    <w:jc w:val="center"/>
                    <w:rPr>
                      <w:color w:val="000000" w:themeColor="text1"/>
                      <w:szCs w:val="21"/>
                      <w14:textFill>
                        <w14:solidFill>
                          <w14:schemeClr w14:val="tx1"/>
                        </w14:solidFill>
                      </w14:textFill>
                    </w:rPr>
                  </w:pPr>
                </w:p>
              </w:tc>
            </w:tr>
            <w:tr w14:paraId="3100D386">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18" w:hRule="atLeast"/>
                <w:jc w:val="center"/>
              </w:trPr>
              <w:tc>
                <w:tcPr>
                  <w:tcW w:w="435" w:type="pct"/>
                  <w:vAlign w:val="center"/>
                </w:tcPr>
                <w:p w14:paraId="29108E1C">
                  <w:pPr>
                    <w:autoSpaceDE w:val="0"/>
                    <w:spacing w:line="240" w:lineRule="auto"/>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20</w:t>
                  </w:r>
                </w:p>
              </w:tc>
              <w:tc>
                <w:tcPr>
                  <w:tcW w:w="1776" w:type="pct"/>
                  <w:vAlign w:val="center"/>
                </w:tcPr>
                <w:p w14:paraId="7B288F93">
                  <w:pPr>
                    <w:pStyle w:val="79"/>
                    <w:spacing w:line="240" w:lineRule="auto"/>
                    <w:jc w:val="center"/>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菌落总数</w:t>
                  </w:r>
                </w:p>
              </w:tc>
              <w:tc>
                <w:tcPr>
                  <w:tcW w:w="935" w:type="pct"/>
                  <w:vAlign w:val="center"/>
                </w:tcPr>
                <w:p w14:paraId="5E18FE93">
                  <w:pPr>
                    <w:autoSpaceDE w:val="0"/>
                    <w:spacing w:line="240" w:lineRule="auto"/>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≤100</w:t>
                  </w:r>
                </w:p>
                <w:p w14:paraId="7FEB371F">
                  <w:pPr>
                    <w:autoSpaceDE w:val="0"/>
                    <w:spacing w:line="240" w:lineRule="auto"/>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CFU/mL</w:t>
                  </w:r>
                </w:p>
              </w:tc>
              <w:tc>
                <w:tcPr>
                  <w:tcW w:w="1852" w:type="pct"/>
                  <w:vMerge w:val="continue"/>
                  <w:vAlign w:val="center"/>
                </w:tcPr>
                <w:p w14:paraId="7DAEABC6">
                  <w:pPr>
                    <w:widowControl/>
                    <w:spacing w:line="240" w:lineRule="auto"/>
                    <w:jc w:val="center"/>
                    <w:rPr>
                      <w:color w:val="000000" w:themeColor="text1"/>
                      <w:szCs w:val="21"/>
                      <w14:textFill>
                        <w14:solidFill>
                          <w14:schemeClr w14:val="tx1"/>
                        </w14:solidFill>
                      </w14:textFill>
                    </w:rPr>
                  </w:pPr>
                </w:p>
              </w:tc>
            </w:tr>
            <w:tr w14:paraId="36BF185F">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18" w:hRule="atLeast"/>
                <w:jc w:val="center"/>
              </w:trPr>
              <w:tc>
                <w:tcPr>
                  <w:tcW w:w="435" w:type="pct"/>
                  <w:vAlign w:val="center"/>
                </w:tcPr>
                <w:p w14:paraId="07BF9A9E">
                  <w:pPr>
                    <w:autoSpaceDE w:val="0"/>
                    <w:spacing w:line="240" w:lineRule="auto"/>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21</w:t>
                  </w:r>
                </w:p>
              </w:tc>
              <w:tc>
                <w:tcPr>
                  <w:tcW w:w="1776" w:type="pct"/>
                  <w:vAlign w:val="center"/>
                </w:tcPr>
                <w:p w14:paraId="5C9B5831">
                  <w:pPr>
                    <w:pStyle w:val="79"/>
                    <w:spacing w:line="240" w:lineRule="auto"/>
                    <w:jc w:val="center"/>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氟化物</w:t>
                  </w:r>
                </w:p>
              </w:tc>
              <w:tc>
                <w:tcPr>
                  <w:tcW w:w="935" w:type="pct"/>
                  <w:vAlign w:val="center"/>
                </w:tcPr>
                <w:p w14:paraId="4E9343DD">
                  <w:pPr>
                    <w:autoSpaceDE w:val="0"/>
                    <w:spacing w:line="240" w:lineRule="auto"/>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≤1.0</w:t>
                  </w:r>
                </w:p>
              </w:tc>
              <w:tc>
                <w:tcPr>
                  <w:tcW w:w="1852" w:type="pct"/>
                  <w:vMerge w:val="continue"/>
                  <w:vAlign w:val="center"/>
                </w:tcPr>
                <w:p w14:paraId="029F5CFD">
                  <w:pPr>
                    <w:widowControl/>
                    <w:spacing w:line="240" w:lineRule="auto"/>
                    <w:jc w:val="center"/>
                    <w:rPr>
                      <w:color w:val="000000" w:themeColor="text1"/>
                      <w:szCs w:val="21"/>
                      <w14:textFill>
                        <w14:solidFill>
                          <w14:schemeClr w14:val="tx1"/>
                        </w14:solidFill>
                      </w14:textFill>
                    </w:rPr>
                  </w:pPr>
                </w:p>
              </w:tc>
            </w:tr>
            <w:tr w14:paraId="5FD1AD10">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18" w:hRule="atLeast"/>
                <w:jc w:val="center"/>
              </w:trPr>
              <w:tc>
                <w:tcPr>
                  <w:tcW w:w="435" w:type="pct"/>
                  <w:vAlign w:val="center"/>
                </w:tcPr>
                <w:p w14:paraId="5C16D2C6">
                  <w:pPr>
                    <w:autoSpaceDE w:val="0"/>
                    <w:spacing w:line="240" w:lineRule="auto"/>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22</w:t>
                  </w:r>
                </w:p>
              </w:tc>
              <w:tc>
                <w:tcPr>
                  <w:tcW w:w="1776" w:type="pct"/>
                  <w:vAlign w:val="center"/>
                </w:tcPr>
                <w:p w14:paraId="72A0D3BD">
                  <w:pPr>
                    <w:pStyle w:val="79"/>
                    <w:spacing w:line="240" w:lineRule="auto"/>
                    <w:jc w:val="center"/>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K+</w:t>
                  </w:r>
                </w:p>
              </w:tc>
              <w:tc>
                <w:tcPr>
                  <w:tcW w:w="935" w:type="pct"/>
                  <w:vAlign w:val="center"/>
                </w:tcPr>
                <w:p w14:paraId="1EE7E363">
                  <w:pPr>
                    <w:autoSpaceDE w:val="0"/>
                    <w:spacing w:line="240" w:lineRule="auto"/>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w:t>
                  </w:r>
                </w:p>
              </w:tc>
              <w:tc>
                <w:tcPr>
                  <w:tcW w:w="1852" w:type="pct"/>
                  <w:vMerge w:val="continue"/>
                  <w:vAlign w:val="center"/>
                </w:tcPr>
                <w:p w14:paraId="410B0BD4">
                  <w:pPr>
                    <w:widowControl/>
                    <w:spacing w:line="240" w:lineRule="auto"/>
                    <w:jc w:val="center"/>
                    <w:rPr>
                      <w:color w:val="000000" w:themeColor="text1"/>
                      <w:szCs w:val="21"/>
                      <w14:textFill>
                        <w14:solidFill>
                          <w14:schemeClr w14:val="tx1"/>
                        </w14:solidFill>
                      </w14:textFill>
                    </w:rPr>
                  </w:pPr>
                </w:p>
              </w:tc>
            </w:tr>
            <w:tr w14:paraId="5148FAE8">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18" w:hRule="atLeast"/>
                <w:jc w:val="center"/>
              </w:trPr>
              <w:tc>
                <w:tcPr>
                  <w:tcW w:w="435" w:type="pct"/>
                  <w:vAlign w:val="center"/>
                </w:tcPr>
                <w:p w14:paraId="09E931FB">
                  <w:pPr>
                    <w:autoSpaceDE w:val="0"/>
                    <w:spacing w:line="240" w:lineRule="auto"/>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23</w:t>
                  </w:r>
                </w:p>
              </w:tc>
              <w:tc>
                <w:tcPr>
                  <w:tcW w:w="1776" w:type="pct"/>
                  <w:vAlign w:val="center"/>
                </w:tcPr>
                <w:p w14:paraId="522F24A0">
                  <w:pPr>
                    <w:spacing w:line="240" w:lineRule="auto"/>
                    <w:jc w:val="center"/>
                    <w:rPr>
                      <w:color w:val="000000" w:themeColor="text1"/>
                      <w:szCs w:val="21"/>
                      <w:lang w:val="zh-CN"/>
                      <w14:textFill>
                        <w14:solidFill>
                          <w14:schemeClr w14:val="tx1"/>
                        </w14:solidFill>
                      </w14:textFill>
                    </w:rPr>
                  </w:pPr>
                  <w:r>
                    <w:rPr>
                      <w:color w:val="000000" w:themeColor="text1"/>
                      <w:szCs w:val="21"/>
                      <w14:textFill>
                        <w14:solidFill>
                          <w14:schemeClr w14:val="tx1"/>
                        </w14:solidFill>
                      </w14:textFill>
                    </w:rPr>
                    <w:t>Ca</w:t>
                  </w:r>
                  <w:r>
                    <w:rPr>
                      <w:color w:val="000000" w:themeColor="text1"/>
                      <w:szCs w:val="21"/>
                      <w:vertAlign w:val="superscript"/>
                      <w14:textFill>
                        <w14:solidFill>
                          <w14:schemeClr w14:val="tx1"/>
                        </w14:solidFill>
                      </w14:textFill>
                    </w:rPr>
                    <w:t>+</w:t>
                  </w:r>
                </w:p>
              </w:tc>
              <w:tc>
                <w:tcPr>
                  <w:tcW w:w="935" w:type="pct"/>
                  <w:vAlign w:val="center"/>
                </w:tcPr>
                <w:p w14:paraId="759D0209">
                  <w:pPr>
                    <w:autoSpaceDE w:val="0"/>
                    <w:spacing w:line="240" w:lineRule="auto"/>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w:t>
                  </w:r>
                </w:p>
              </w:tc>
              <w:tc>
                <w:tcPr>
                  <w:tcW w:w="1852" w:type="pct"/>
                  <w:vMerge w:val="continue"/>
                  <w:vAlign w:val="center"/>
                </w:tcPr>
                <w:p w14:paraId="23641366">
                  <w:pPr>
                    <w:widowControl/>
                    <w:spacing w:line="240" w:lineRule="auto"/>
                    <w:jc w:val="center"/>
                    <w:rPr>
                      <w:color w:val="000000" w:themeColor="text1"/>
                      <w:szCs w:val="21"/>
                      <w14:textFill>
                        <w14:solidFill>
                          <w14:schemeClr w14:val="tx1"/>
                        </w14:solidFill>
                      </w14:textFill>
                    </w:rPr>
                  </w:pPr>
                </w:p>
              </w:tc>
            </w:tr>
            <w:tr w14:paraId="7E466E9C">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18" w:hRule="atLeast"/>
                <w:jc w:val="center"/>
              </w:trPr>
              <w:tc>
                <w:tcPr>
                  <w:tcW w:w="435" w:type="pct"/>
                  <w:vAlign w:val="center"/>
                </w:tcPr>
                <w:p w14:paraId="77CE81BA">
                  <w:pPr>
                    <w:autoSpaceDE w:val="0"/>
                    <w:spacing w:line="240" w:lineRule="auto"/>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24</w:t>
                  </w:r>
                </w:p>
              </w:tc>
              <w:tc>
                <w:tcPr>
                  <w:tcW w:w="1776" w:type="pct"/>
                  <w:vAlign w:val="center"/>
                </w:tcPr>
                <w:p w14:paraId="4853A88B">
                  <w:pPr>
                    <w:spacing w:line="240" w:lineRule="auto"/>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Mg</w:t>
                  </w:r>
                  <w:r>
                    <w:rPr>
                      <w:color w:val="000000" w:themeColor="text1"/>
                      <w:szCs w:val="21"/>
                      <w:vertAlign w:val="superscript"/>
                      <w14:textFill>
                        <w14:solidFill>
                          <w14:schemeClr w14:val="tx1"/>
                        </w14:solidFill>
                      </w14:textFill>
                    </w:rPr>
                    <w:t>+</w:t>
                  </w:r>
                </w:p>
              </w:tc>
              <w:tc>
                <w:tcPr>
                  <w:tcW w:w="935" w:type="pct"/>
                  <w:vAlign w:val="center"/>
                </w:tcPr>
                <w:p w14:paraId="4C75AC98">
                  <w:pPr>
                    <w:autoSpaceDE w:val="0"/>
                    <w:spacing w:line="240" w:lineRule="auto"/>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w:t>
                  </w:r>
                </w:p>
              </w:tc>
              <w:tc>
                <w:tcPr>
                  <w:tcW w:w="1852" w:type="pct"/>
                  <w:vMerge w:val="continue"/>
                  <w:vAlign w:val="center"/>
                </w:tcPr>
                <w:p w14:paraId="596B23BA">
                  <w:pPr>
                    <w:widowControl/>
                    <w:spacing w:line="240" w:lineRule="auto"/>
                    <w:jc w:val="center"/>
                    <w:rPr>
                      <w:color w:val="000000" w:themeColor="text1"/>
                      <w:szCs w:val="21"/>
                      <w14:textFill>
                        <w14:solidFill>
                          <w14:schemeClr w14:val="tx1"/>
                        </w14:solidFill>
                      </w14:textFill>
                    </w:rPr>
                  </w:pPr>
                </w:p>
              </w:tc>
            </w:tr>
            <w:tr w14:paraId="3AC5E6C1">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18" w:hRule="atLeast"/>
                <w:jc w:val="center"/>
              </w:trPr>
              <w:tc>
                <w:tcPr>
                  <w:tcW w:w="435" w:type="pct"/>
                  <w:vAlign w:val="center"/>
                </w:tcPr>
                <w:p w14:paraId="6F0E40EB">
                  <w:pPr>
                    <w:autoSpaceDE w:val="0"/>
                    <w:spacing w:line="240" w:lineRule="auto"/>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25</w:t>
                  </w:r>
                </w:p>
              </w:tc>
              <w:tc>
                <w:tcPr>
                  <w:tcW w:w="1776" w:type="pct"/>
                  <w:vAlign w:val="center"/>
                </w:tcPr>
                <w:p w14:paraId="10DD6718">
                  <w:pPr>
                    <w:spacing w:line="240" w:lineRule="auto"/>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CO</w:t>
                  </w:r>
                  <w:r>
                    <w:rPr>
                      <w:color w:val="000000" w:themeColor="text1"/>
                      <w:szCs w:val="21"/>
                      <w:vertAlign w:val="subscript"/>
                      <w14:textFill>
                        <w14:solidFill>
                          <w14:schemeClr w14:val="tx1"/>
                        </w14:solidFill>
                      </w14:textFill>
                    </w:rPr>
                    <w:t>3</w:t>
                  </w:r>
                  <w:r>
                    <w:rPr>
                      <w:color w:val="000000" w:themeColor="text1"/>
                      <w:szCs w:val="21"/>
                      <w:vertAlign w:val="superscript"/>
                      <w14:textFill>
                        <w14:solidFill>
                          <w14:schemeClr w14:val="tx1"/>
                        </w14:solidFill>
                      </w14:textFill>
                    </w:rPr>
                    <w:t>2-</w:t>
                  </w:r>
                </w:p>
              </w:tc>
              <w:tc>
                <w:tcPr>
                  <w:tcW w:w="935" w:type="pct"/>
                  <w:vAlign w:val="center"/>
                </w:tcPr>
                <w:p w14:paraId="18C8B09B">
                  <w:pPr>
                    <w:autoSpaceDE w:val="0"/>
                    <w:spacing w:line="240" w:lineRule="auto"/>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w:t>
                  </w:r>
                </w:p>
              </w:tc>
              <w:tc>
                <w:tcPr>
                  <w:tcW w:w="1852" w:type="pct"/>
                  <w:vMerge w:val="continue"/>
                  <w:vAlign w:val="center"/>
                </w:tcPr>
                <w:p w14:paraId="662BD637">
                  <w:pPr>
                    <w:widowControl/>
                    <w:spacing w:line="240" w:lineRule="auto"/>
                    <w:jc w:val="center"/>
                    <w:rPr>
                      <w:color w:val="000000" w:themeColor="text1"/>
                      <w:szCs w:val="21"/>
                      <w14:textFill>
                        <w14:solidFill>
                          <w14:schemeClr w14:val="tx1"/>
                        </w14:solidFill>
                      </w14:textFill>
                    </w:rPr>
                  </w:pPr>
                </w:p>
              </w:tc>
            </w:tr>
            <w:tr w14:paraId="208C3147">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18" w:hRule="atLeast"/>
                <w:jc w:val="center"/>
              </w:trPr>
              <w:tc>
                <w:tcPr>
                  <w:tcW w:w="435" w:type="pct"/>
                  <w:vAlign w:val="center"/>
                </w:tcPr>
                <w:p w14:paraId="55324DBB">
                  <w:pPr>
                    <w:autoSpaceDE w:val="0"/>
                    <w:spacing w:line="240" w:lineRule="auto"/>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26</w:t>
                  </w:r>
                </w:p>
              </w:tc>
              <w:tc>
                <w:tcPr>
                  <w:tcW w:w="1776" w:type="pct"/>
                  <w:vAlign w:val="center"/>
                </w:tcPr>
                <w:p w14:paraId="05DCF40D">
                  <w:pPr>
                    <w:spacing w:line="240" w:lineRule="auto"/>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HCO</w:t>
                  </w:r>
                  <w:r>
                    <w:rPr>
                      <w:color w:val="000000" w:themeColor="text1"/>
                      <w:szCs w:val="21"/>
                      <w:vertAlign w:val="subscript"/>
                      <w14:textFill>
                        <w14:solidFill>
                          <w14:schemeClr w14:val="tx1"/>
                        </w14:solidFill>
                      </w14:textFill>
                    </w:rPr>
                    <w:t>3</w:t>
                  </w:r>
                  <w:r>
                    <w:rPr>
                      <w:color w:val="000000" w:themeColor="text1"/>
                      <w:szCs w:val="21"/>
                      <w:vertAlign w:val="superscript"/>
                      <w14:textFill>
                        <w14:solidFill>
                          <w14:schemeClr w14:val="tx1"/>
                        </w14:solidFill>
                      </w14:textFill>
                    </w:rPr>
                    <w:t>-</w:t>
                  </w:r>
                </w:p>
              </w:tc>
              <w:tc>
                <w:tcPr>
                  <w:tcW w:w="935" w:type="pct"/>
                  <w:vAlign w:val="center"/>
                </w:tcPr>
                <w:p w14:paraId="088B4688">
                  <w:pPr>
                    <w:autoSpaceDE w:val="0"/>
                    <w:spacing w:line="240" w:lineRule="auto"/>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w:t>
                  </w:r>
                </w:p>
              </w:tc>
              <w:tc>
                <w:tcPr>
                  <w:tcW w:w="1852" w:type="pct"/>
                  <w:vMerge w:val="continue"/>
                  <w:vAlign w:val="center"/>
                </w:tcPr>
                <w:p w14:paraId="621D7E89">
                  <w:pPr>
                    <w:widowControl/>
                    <w:spacing w:line="240" w:lineRule="auto"/>
                    <w:jc w:val="center"/>
                    <w:rPr>
                      <w:color w:val="000000" w:themeColor="text1"/>
                      <w:szCs w:val="21"/>
                      <w14:textFill>
                        <w14:solidFill>
                          <w14:schemeClr w14:val="tx1"/>
                        </w14:solidFill>
                      </w14:textFill>
                    </w:rPr>
                  </w:pPr>
                </w:p>
              </w:tc>
            </w:tr>
            <w:tr w14:paraId="6FC2E75B">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18" w:hRule="atLeast"/>
                <w:jc w:val="center"/>
              </w:trPr>
              <w:tc>
                <w:tcPr>
                  <w:tcW w:w="435" w:type="pct"/>
                  <w:vAlign w:val="center"/>
                </w:tcPr>
                <w:p w14:paraId="3D4B2CA9">
                  <w:pPr>
                    <w:autoSpaceDE w:val="0"/>
                    <w:spacing w:line="240" w:lineRule="auto"/>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27</w:t>
                  </w:r>
                </w:p>
              </w:tc>
              <w:tc>
                <w:tcPr>
                  <w:tcW w:w="1776" w:type="pct"/>
                  <w:vAlign w:val="center"/>
                </w:tcPr>
                <w:p w14:paraId="07FD2E42">
                  <w:pPr>
                    <w:spacing w:line="240" w:lineRule="auto"/>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高锰酸盐指数</w:t>
                  </w:r>
                </w:p>
              </w:tc>
              <w:tc>
                <w:tcPr>
                  <w:tcW w:w="935" w:type="pct"/>
                  <w:vAlign w:val="center"/>
                </w:tcPr>
                <w:p w14:paraId="16E44BCF">
                  <w:pPr>
                    <w:autoSpaceDE w:val="0"/>
                    <w:spacing w:line="240" w:lineRule="auto"/>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w:t>
                  </w:r>
                </w:p>
              </w:tc>
              <w:tc>
                <w:tcPr>
                  <w:tcW w:w="1852" w:type="pct"/>
                  <w:vMerge w:val="continue"/>
                  <w:vAlign w:val="center"/>
                </w:tcPr>
                <w:p w14:paraId="4F3CEFA8">
                  <w:pPr>
                    <w:widowControl/>
                    <w:spacing w:line="240" w:lineRule="auto"/>
                    <w:jc w:val="center"/>
                    <w:rPr>
                      <w:color w:val="000000" w:themeColor="text1"/>
                      <w:szCs w:val="21"/>
                      <w14:textFill>
                        <w14:solidFill>
                          <w14:schemeClr w14:val="tx1"/>
                        </w14:solidFill>
                      </w14:textFill>
                    </w:rPr>
                  </w:pPr>
                </w:p>
              </w:tc>
            </w:tr>
            <w:tr w14:paraId="0FD11806">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18" w:hRule="atLeast"/>
                <w:jc w:val="center"/>
              </w:trPr>
              <w:tc>
                <w:tcPr>
                  <w:tcW w:w="435" w:type="pct"/>
                  <w:vAlign w:val="center"/>
                </w:tcPr>
                <w:p w14:paraId="23327A68">
                  <w:pPr>
                    <w:autoSpaceDE w:val="0"/>
                    <w:spacing w:line="240" w:lineRule="auto"/>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28</w:t>
                  </w:r>
                </w:p>
              </w:tc>
              <w:tc>
                <w:tcPr>
                  <w:tcW w:w="1776" w:type="pct"/>
                  <w:vAlign w:val="center"/>
                </w:tcPr>
                <w:p w14:paraId="628EB46E">
                  <w:pPr>
                    <w:spacing w:line="240" w:lineRule="auto"/>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Cl</w:t>
                  </w:r>
                  <w:r>
                    <w:rPr>
                      <w:color w:val="000000" w:themeColor="text1"/>
                      <w:szCs w:val="21"/>
                      <w:vertAlign w:val="superscript"/>
                      <w14:textFill>
                        <w14:solidFill>
                          <w14:schemeClr w14:val="tx1"/>
                        </w14:solidFill>
                      </w14:textFill>
                    </w:rPr>
                    <w:t>-</w:t>
                  </w:r>
                </w:p>
              </w:tc>
              <w:tc>
                <w:tcPr>
                  <w:tcW w:w="935" w:type="pct"/>
                  <w:vAlign w:val="center"/>
                </w:tcPr>
                <w:p w14:paraId="17ACD933">
                  <w:pPr>
                    <w:autoSpaceDE w:val="0"/>
                    <w:spacing w:line="240" w:lineRule="auto"/>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w:t>
                  </w:r>
                </w:p>
              </w:tc>
              <w:tc>
                <w:tcPr>
                  <w:tcW w:w="1852" w:type="pct"/>
                  <w:vMerge w:val="continue"/>
                  <w:vAlign w:val="center"/>
                </w:tcPr>
                <w:p w14:paraId="5D1528F5">
                  <w:pPr>
                    <w:widowControl/>
                    <w:spacing w:line="240" w:lineRule="auto"/>
                    <w:jc w:val="center"/>
                    <w:rPr>
                      <w:color w:val="000000" w:themeColor="text1"/>
                      <w:szCs w:val="21"/>
                      <w14:textFill>
                        <w14:solidFill>
                          <w14:schemeClr w14:val="tx1"/>
                        </w14:solidFill>
                      </w14:textFill>
                    </w:rPr>
                  </w:pPr>
                </w:p>
              </w:tc>
            </w:tr>
            <w:tr w14:paraId="2E99B501">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18" w:hRule="atLeast"/>
                <w:jc w:val="center"/>
              </w:trPr>
              <w:tc>
                <w:tcPr>
                  <w:tcW w:w="435" w:type="pct"/>
                  <w:vAlign w:val="center"/>
                </w:tcPr>
                <w:p w14:paraId="63934990">
                  <w:pPr>
                    <w:autoSpaceDE w:val="0"/>
                    <w:spacing w:line="240" w:lineRule="auto"/>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29</w:t>
                  </w:r>
                </w:p>
              </w:tc>
              <w:tc>
                <w:tcPr>
                  <w:tcW w:w="1776" w:type="pct"/>
                  <w:vAlign w:val="center"/>
                </w:tcPr>
                <w:p w14:paraId="2479F9AC">
                  <w:pPr>
                    <w:spacing w:line="240" w:lineRule="auto"/>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SO</w:t>
                  </w:r>
                  <w:r>
                    <w:rPr>
                      <w:color w:val="000000" w:themeColor="text1"/>
                      <w:szCs w:val="21"/>
                      <w:vertAlign w:val="subscript"/>
                      <w14:textFill>
                        <w14:solidFill>
                          <w14:schemeClr w14:val="tx1"/>
                        </w14:solidFill>
                      </w14:textFill>
                    </w:rPr>
                    <w:t>4</w:t>
                  </w:r>
                  <w:r>
                    <w:rPr>
                      <w:color w:val="000000" w:themeColor="text1"/>
                      <w:szCs w:val="21"/>
                      <w:vertAlign w:val="superscript"/>
                      <w14:textFill>
                        <w14:solidFill>
                          <w14:schemeClr w14:val="tx1"/>
                        </w14:solidFill>
                      </w14:textFill>
                    </w:rPr>
                    <w:t>2-</w:t>
                  </w:r>
                </w:p>
              </w:tc>
              <w:tc>
                <w:tcPr>
                  <w:tcW w:w="935" w:type="pct"/>
                  <w:vAlign w:val="center"/>
                </w:tcPr>
                <w:p w14:paraId="766C0596">
                  <w:pPr>
                    <w:autoSpaceDE w:val="0"/>
                    <w:spacing w:line="240" w:lineRule="auto"/>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w:t>
                  </w:r>
                </w:p>
              </w:tc>
              <w:tc>
                <w:tcPr>
                  <w:tcW w:w="1852" w:type="pct"/>
                  <w:vMerge w:val="continue"/>
                  <w:vAlign w:val="center"/>
                </w:tcPr>
                <w:p w14:paraId="291F3DFC">
                  <w:pPr>
                    <w:widowControl/>
                    <w:spacing w:line="240" w:lineRule="auto"/>
                    <w:jc w:val="center"/>
                    <w:rPr>
                      <w:color w:val="000000" w:themeColor="text1"/>
                      <w:szCs w:val="21"/>
                      <w14:textFill>
                        <w14:solidFill>
                          <w14:schemeClr w14:val="tx1"/>
                        </w14:solidFill>
                      </w14:textFill>
                    </w:rPr>
                  </w:pPr>
                </w:p>
              </w:tc>
            </w:tr>
            <w:tr w14:paraId="4D06B05D">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18" w:hRule="atLeast"/>
                <w:jc w:val="center"/>
              </w:trPr>
              <w:tc>
                <w:tcPr>
                  <w:tcW w:w="435" w:type="pct"/>
                  <w:vAlign w:val="center"/>
                </w:tcPr>
                <w:p w14:paraId="59C1B3A4">
                  <w:pPr>
                    <w:autoSpaceDE w:val="0"/>
                    <w:spacing w:line="240" w:lineRule="auto"/>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30</w:t>
                  </w:r>
                </w:p>
              </w:tc>
              <w:tc>
                <w:tcPr>
                  <w:tcW w:w="1776" w:type="pct"/>
                  <w:vAlign w:val="center"/>
                </w:tcPr>
                <w:p w14:paraId="771570F8">
                  <w:pPr>
                    <w:spacing w:line="240" w:lineRule="auto"/>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锌</w:t>
                  </w:r>
                </w:p>
              </w:tc>
              <w:tc>
                <w:tcPr>
                  <w:tcW w:w="935" w:type="pct"/>
                  <w:vAlign w:val="center"/>
                </w:tcPr>
                <w:p w14:paraId="0C9BC47F">
                  <w:pPr>
                    <w:autoSpaceDE w:val="0"/>
                    <w:spacing w:line="240" w:lineRule="auto"/>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≤1.00</w:t>
                  </w:r>
                </w:p>
              </w:tc>
              <w:tc>
                <w:tcPr>
                  <w:tcW w:w="1852" w:type="pct"/>
                  <w:vMerge w:val="continue"/>
                  <w:vAlign w:val="center"/>
                </w:tcPr>
                <w:p w14:paraId="4ECDECEA">
                  <w:pPr>
                    <w:widowControl/>
                    <w:spacing w:line="240" w:lineRule="auto"/>
                    <w:jc w:val="center"/>
                    <w:rPr>
                      <w:color w:val="000000" w:themeColor="text1"/>
                      <w:szCs w:val="21"/>
                      <w14:textFill>
                        <w14:solidFill>
                          <w14:schemeClr w14:val="tx1"/>
                        </w14:solidFill>
                      </w14:textFill>
                    </w:rPr>
                  </w:pPr>
                </w:p>
              </w:tc>
            </w:tr>
            <w:tr w14:paraId="340A8C6B">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PrEx>
              <w:trPr>
                <w:cantSplit/>
                <w:trHeight w:val="318" w:hRule="atLeast"/>
                <w:jc w:val="center"/>
              </w:trPr>
              <w:tc>
                <w:tcPr>
                  <w:tcW w:w="435" w:type="pct"/>
                  <w:vAlign w:val="center"/>
                </w:tcPr>
                <w:p w14:paraId="70EAAAA1">
                  <w:pPr>
                    <w:autoSpaceDE w:val="0"/>
                    <w:spacing w:line="240" w:lineRule="auto"/>
                    <w:jc w:val="center"/>
                    <w:rPr>
                      <w:rFonts w:hint="eastAsia" w:eastAsia="宋体"/>
                      <w:color w:val="FF0000"/>
                      <w:szCs w:val="21"/>
                      <w:lang w:eastAsia="zh-CN"/>
                    </w:rPr>
                  </w:pPr>
                  <w:r>
                    <w:rPr>
                      <w:color w:val="FF0000"/>
                      <w:szCs w:val="21"/>
                    </w:rPr>
                    <w:t>3</w:t>
                  </w:r>
                  <w:r>
                    <w:rPr>
                      <w:rFonts w:hint="eastAsia"/>
                      <w:color w:val="FF0000"/>
                      <w:szCs w:val="21"/>
                      <w:lang w:val="en-US" w:eastAsia="zh-CN"/>
                    </w:rPr>
                    <w:t>1</w:t>
                  </w:r>
                </w:p>
              </w:tc>
              <w:tc>
                <w:tcPr>
                  <w:tcW w:w="1776" w:type="pct"/>
                  <w:vAlign w:val="center"/>
                </w:tcPr>
                <w:p w14:paraId="6AD7B0C9">
                  <w:pPr>
                    <w:spacing w:line="240" w:lineRule="auto"/>
                    <w:jc w:val="center"/>
                    <w:rPr>
                      <w:color w:val="FF0000"/>
                      <w:szCs w:val="21"/>
                    </w:rPr>
                  </w:pPr>
                  <w:r>
                    <w:rPr>
                      <w:rFonts w:ascii="Times New Roman" w:hAnsi="Times New Roman" w:eastAsia="宋体" w:cs="Times New Roman"/>
                      <w:color w:val="FF0000"/>
                      <w:sz w:val="21"/>
                      <w:szCs w:val="21"/>
                      <w:lang w:eastAsia="zh-CN"/>
                    </w:rPr>
                    <w:t>石油类</w:t>
                  </w:r>
                </w:p>
              </w:tc>
              <w:tc>
                <w:tcPr>
                  <w:tcW w:w="935" w:type="pct"/>
                  <w:vAlign w:val="center"/>
                </w:tcPr>
                <w:p w14:paraId="4EA720FC">
                  <w:pPr>
                    <w:spacing w:line="240" w:lineRule="auto"/>
                    <w:jc w:val="center"/>
                    <w:rPr>
                      <w:color w:val="FF0000"/>
                      <w:szCs w:val="21"/>
                    </w:rPr>
                  </w:pPr>
                  <w:r>
                    <w:rPr>
                      <w:rFonts w:ascii="Times New Roman" w:hAnsi="Times New Roman" w:eastAsia="宋体" w:cs="Times New Roman"/>
                      <w:color w:val="FF0000"/>
                      <w:sz w:val="21"/>
                      <w:szCs w:val="21"/>
                      <w:lang w:eastAsia="zh-CN"/>
                    </w:rPr>
                    <w:t>≤</w:t>
                  </w:r>
                  <w:r>
                    <w:rPr>
                      <w:rFonts w:hint="eastAsia" w:ascii="Times New Roman" w:hAnsi="Times New Roman" w:eastAsia="宋体" w:cs="Times New Roman"/>
                      <w:color w:val="FF0000"/>
                      <w:sz w:val="21"/>
                      <w:szCs w:val="21"/>
                      <w:lang w:eastAsia="zh-CN"/>
                    </w:rPr>
                    <w:t>0.</w:t>
                  </w:r>
                  <w:r>
                    <w:rPr>
                      <w:rFonts w:hint="eastAsia" w:ascii="Times New Roman" w:hAnsi="Times New Roman" w:eastAsia="宋体" w:cs="Times New Roman"/>
                      <w:color w:val="FF0000"/>
                      <w:sz w:val="21"/>
                      <w:szCs w:val="21"/>
                      <w:lang w:val="en-US" w:eastAsia="zh-CN"/>
                    </w:rPr>
                    <w:t>05</w:t>
                  </w:r>
                  <w:r>
                    <w:rPr>
                      <w:rFonts w:ascii="Times New Roman" w:hAnsi="Times New Roman" w:eastAsia="宋体" w:cs="Times New Roman"/>
                      <w:color w:val="FF0000"/>
                      <w:sz w:val="21"/>
                      <w:szCs w:val="21"/>
                      <w:lang w:eastAsia="zh-CN"/>
                    </w:rPr>
                    <w:t>mg/L</w:t>
                  </w:r>
                </w:p>
              </w:tc>
              <w:tc>
                <w:tcPr>
                  <w:tcW w:w="1852" w:type="pct"/>
                  <w:vAlign w:val="center"/>
                </w:tcPr>
                <w:p w14:paraId="215AF413">
                  <w:pPr>
                    <w:widowControl/>
                    <w:spacing w:line="240" w:lineRule="auto"/>
                    <w:jc w:val="center"/>
                    <w:rPr>
                      <w:color w:val="000000" w:themeColor="text1"/>
                      <w:szCs w:val="21"/>
                      <w14:textFill>
                        <w14:solidFill>
                          <w14:schemeClr w14:val="tx1"/>
                        </w14:solidFill>
                      </w14:textFill>
                    </w:rPr>
                  </w:pPr>
                  <w:r>
                    <w:rPr>
                      <w:rFonts w:hint="eastAsia"/>
                      <w:color w:val="FF0000"/>
                      <w:szCs w:val="21"/>
                      <w:lang w:val="en-US" w:eastAsia="zh-CN"/>
                    </w:rPr>
                    <w:t>参照</w:t>
                  </w:r>
                  <w:r>
                    <w:rPr>
                      <w:color w:val="FF0000"/>
                      <w:szCs w:val="21"/>
                    </w:rPr>
                    <w:t>《</w:t>
                  </w:r>
                  <w:r>
                    <w:rPr>
                      <w:rFonts w:hint="eastAsia"/>
                      <w:color w:val="FF0000"/>
                      <w:szCs w:val="21"/>
                      <w:lang w:val="en-US" w:eastAsia="zh-CN"/>
                    </w:rPr>
                    <w:t>地表水环境</w:t>
                  </w:r>
                  <w:r>
                    <w:rPr>
                      <w:color w:val="FF0000"/>
                      <w:szCs w:val="21"/>
                    </w:rPr>
                    <w:t>质量标准》（GB</w:t>
                  </w:r>
                  <w:r>
                    <w:rPr>
                      <w:rFonts w:hint="eastAsia"/>
                      <w:color w:val="FF0000"/>
                      <w:szCs w:val="21"/>
                      <w:lang w:val="en-US" w:eastAsia="zh-CN"/>
                    </w:rPr>
                    <w:t>3838</w:t>
                  </w:r>
                  <w:r>
                    <w:rPr>
                      <w:color w:val="FF0000"/>
                      <w:szCs w:val="21"/>
                    </w:rPr>
                    <w:t>-20</w:t>
                  </w:r>
                  <w:r>
                    <w:rPr>
                      <w:rFonts w:hint="eastAsia"/>
                      <w:color w:val="FF0000"/>
                      <w:szCs w:val="21"/>
                      <w:lang w:val="en-US" w:eastAsia="zh-CN"/>
                    </w:rPr>
                    <w:t>02</w:t>
                  </w:r>
                  <w:r>
                    <w:rPr>
                      <w:color w:val="FF0000"/>
                      <w:szCs w:val="21"/>
                    </w:rPr>
                    <w:t>）中Ⅲ类标准</w:t>
                  </w:r>
                </w:p>
              </w:tc>
            </w:tr>
          </w:tbl>
          <w:p w14:paraId="14A8B415">
            <w:pPr>
              <w:widowControl/>
              <w:adjustRightInd w:val="0"/>
              <w:snapToGrid w:val="0"/>
              <w:spacing w:line="500" w:lineRule="exact"/>
              <w:ind w:firstLine="480" w:firstLineChars="200"/>
              <w:rPr>
                <w:color w:val="FF0000"/>
                <w:kern w:val="0"/>
                <w:sz w:val="24"/>
                <w:highlight w:val="none"/>
                <w:lang w:bidi="ar"/>
              </w:rPr>
            </w:pPr>
            <w:r>
              <w:rPr>
                <w:rFonts w:hint="eastAsia"/>
                <w:color w:val="FF0000"/>
                <w:kern w:val="0"/>
                <w:sz w:val="24"/>
                <w:highlight w:val="none"/>
              </w:rPr>
              <w:t>建设单位委托</w:t>
            </w:r>
            <w:r>
              <w:rPr>
                <w:color w:val="FF0000"/>
                <w:kern w:val="0"/>
                <w:sz w:val="24"/>
                <w:highlight w:val="none"/>
              </w:rPr>
              <w:t>辽朝阳彤天环保发展有限公司</w:t>
            </w:r>
            <w:r>
              <w:rPr>
                <w:rFonts w:hint="eastAsia"/>
                <w:color w:val="FF0000"/>
                <w:kern w:val="0"/>
                <w:sz w:val="24"/>
                <w:highlight w:val="none"/>
                <w:lang w:val="en-US" w:eastAsia="zh-CN"/>
              </w:rPr>
              <w:t>分别</w:t>
            </w:r>
            <w:r>
              <w:rPr>
                <w:color w:val="FF0000"/>
                <w:kern w:val="0"/>
                <w:sz w:val="24"/>
                <w:highlight w:val="none"/>
              </w:rPr>
              <w:t>于202</w:t>
            </w:r>
            <w:r>
              <w:rPr>
                <w:rFonts w:hint="eastAsia"/>
                <w:color w:val="FF0000"/>
                <w:kern w:val="0"/>
                <w:sz w:val="24"/>
                <w:highlight w:val="none"/>
              </w:rPr>
              <w:t>5</w:t>
            </w:r>
            <w:r>
              <w:rPr>
                <w:color w:val="FF0000"/>
                <w:kern w:val="0"/>
                <w:sz w:val="24"/>
                <w:highlight w:val="none"/>
              </w:rPr>
              <w:t>年</w:t>
            </w:r>
            <w:r>
              <w:rPr>
                <w:rFonts w:hint="eastAsia"/>
                <w:color w:val="FF0000"/>
                <w:kern w:val="0"/>
                <w:sz w:val="24"/>
                <w:highlight w:val="none"/>
              </w:rPr>
              <w:t>3</w:t>
            </w:r>
            <w:r>
              <w:rPr>
                <w:color w:val="FF0000"/>
                <w:kern w:val="0"/>
                <w:sz w:val="24"/>
                <w:highlight w:val="none"/>
              </w:rPr>
              <w:t>月</w:t>
            </w:r>
            <w:r>
              <w:rPr>
                <w:rFonts w:hint="eastAsia"/>
                <w:color w:val="FF0000"/>
                <w:kern w:val="0"/>
                <w:sz w:val="24"/>
                <w:highlight w:val="none"/>
              </w:rPr>
              <w:t>27</w:t>
            </w:r>
            <w:r>
              <w:rPr>
                <w:color w:val="FF0000"/>
                <w:kern w:val="0"/>
                <w:sz w:val="24"/>
                <w:highlight w:val="none"/>
              </w:rPr>
              <w:t>日</w:t>
            </w:r>
            <w:r>
              <w:rPr>
                <w:rFonts w:hint="eastAsia"/>
                <w:color w:val="FF0000"/>
                <w:kern w:val="0"/>
                <w:sz w:val="24"/>
                <w:highlight w:val="none"/>
                <w:lang w:val="en-US" w:eastAsia="zh-CN"/>
              </w:rPr>
              <w:t>及</w:t>
            </w:r>
            <w:r>
              <w:rPr>
                <w:color w:val="FF0000"/>
                <w:kern w:val="0"/>
                <w:sz w:val="24"/>
                <w:highlight w:val="none"/>
              </w:rPr>
              <w:t>202</w:t>
            </w:r>
            <w:r>
              <w:rPr>
                <w:rFonts w:hint="eastAsia"/>
                <w:color w:val="FF0000"/>
                <w:kern w:val="0"/>
                <w:sz w:val="24"/>
                <w:highlight w:val="none"/>
              </w:rPr>
              <w:t>5</w:t>
            </w:r>
            <w:r>
              <w:rPr>
                <w:color w:val="FF0000"/>
                <w:kern w:val="0"/>
                <w:sz w:val="24"/>
                <w:highlight w:val="none"/>
              </w:rPr>
              <w:t>年</w:t>
            </w:r>
            <w:r>
              <w:rPr>
                <w:rFonts w:hint="eastAsia"/>
                <w:color w:val="FF0000"/>
                <w:kern w:val="0"/>
                <w:sz w:val="24"/>
                <w:highlight w:val="none"/>
                <w:lang w:val="en-US" w:eastAsia="zh-CN"/>
              </w:rPr>
              <w:t>7</w:t>
            </w:r>
            <w:r>
              <w:rPr>
                <w:color w:val="FF0000"/>
                <w:kern w:val="0"/>
                <w:sz w:val="24"/>
                <w:highlight w:val="none"/>
              </w:rPr>
              <w:t>月</w:t>
            </w:r>
            <w:r>
              <w:rPr>
                <w:rFonts w:hint="eastAsia"/>
                <w:color w:val="FF0000"/>
                <w:kern w:val="0"/>
                <w:sz w:val="24"/>
                <w:highlight w:val="none"/>
                <w:lang w:val="en-US" w:eastAsia="zh-CN"/>
              </w:rPr>
              <w:t>1</w:t>
            </w:r>
            <w:r>
              <w:rPr>
                <w:color w:val="FF0000"/>
                <w:kern w:val="0"/>
                <w:sz w:val="24"/>
                <w:highlight w:val="none"/>
              </w:rPr>
              <w:t>日对项目所在</w:t>
            </w:r>
            <w:r>
              <w:rPr>
                <w:rFonts w:hint="eastAsia"/>
                <w:color w:val="FF0000"/>
                <w:kern w:val="0"/>
                <w:sz w:val="24"/>
                <w:highlight w:val="none"/>
                <w:lang w:val="en-US" w:eastAsia="zh-CN"/>
              </w:rPr>
              <w:t>地的</w:t>
            </w:r>
            <w:r>
              <w:rPr>
                <w:color w:val="FF0000"/>
                <w:kern w:val="0"/>
                <w:sz w:val="24"/>
                <w:highlight w:val="none"/>
              </w:rPr>
              <w:t>地</w:t>
            </w:r>
            <w:r>
              <w:rPr>
                <w:rFonts w:hint="eastAsia"/>
                <w:color w:val="FF0000"/>
                <w:kern w:val="0"/>
                <w:sz w:val="24"/>
                <w:highlight w:val="none"/>
              </w:rPr>
              <w:t>下水</w:t>
            </w:r>
            <w:r>
              <w:rPr>
                <w:rFonts w:hint="eastAsia"/>
                <w:color w:val="FF0000"/>
                <w:kern w:val="0"/>
                <w:sz w:val="24"/>
                <w:highlight w:val="none"/>
                <w:lang w:val="en-US" w:eastAsia="zh-CN"/>
              </w:rPr>
              <w:t>及厂区下游黄花营子居民水井</w:t>
            </w:r>
            <w:r>
              <w:rPr>
                <w:color w:val="FF0000"/>
                <w:kern w:val="0"/>
                <w:sz w:val="24"/>
                <w:highlight w:val="none"/>
                <w:lang w:bidi="ar"/>
              </w:rPr>
              <w:t>进行了检测。</w:t>
            </w:r>
          </w:p>
          <w:p w14:paraId="79849E82">
            <w:pPr>
              <w:widowControl/>
              <w:spacing w:line="500" w:lineRule="exact"/>
              <w:ind w:firstLine="480" w:firstLineChars="200"/>
              <w:rPr>
                <w:rFonts w:hint="eastAsia"/>
                <w:color w:val="FF0000"/>
                <w:kern w:val="0"/>
                <w:sz w:val="24"/>
                <w:highlight w:val="none"/>
                <w:lang w:eastAsia="zh-CN" w:bidi="ar"/>
              </w:rPr>
            </w:pPr>
            <w:r>
              <w:rPr>
                <w:color w:val="FF0000"/>
                <w:kern w:val="0"/>
                <w:sz w:val="24"/>
                <w:highlight w:val="none"/>
                <w:lang w:bidi="ar"/>
              </w:rPr>
              <w:t>①监测点位：共</w:t>
            </w:r>
            <w:r>
              <w:rPr>
                <w:rFonts w:hint="eastAsia"/>
                <w:color w:val="FF0000"/>
                <w:kern w:val="0"/>
                <w:sz w:val="24"/>
                <w:highlight w:val="none"/>
                <w:lang w:val="en-US" w:eastAsia="zh-CN" w:bidi="ar"/>
              </w:rPr>
              <w:t>2</w:t>
            </w:r>
            <w:r>
              <w:rPr>
                <w:color w:val="FF0000"/>
                <w:kern w:val="0"/>
                <w:sz w:val="24"/>
                <w:highlight w:val="none"/>
                <w:lang w:bidi="ar"/>
              </w:rPr>
              <w:t>个点位，厂区用水井，检测点位坐标（N：41°46′34.29″,E：120°45′21.50″）</w:t>
            </w:r>
            <w:r>
              <w:rPr>
                <w:rFonts w:hint="eastAsia"/>
                <w:color w:val="FF0000"/>
                <w:kern w:val="0"/>
                <w:sz w:val="24"/>
                <w:highlight w:val="none"/>
                <w:lang w:eastAsia="zh-CN" w:bidi="ar"/>
              </w:rPr>
              <w:t>；厂区</w:t>
            </w:r>
            <w:r>
              <w:rPr>
                <w:rFonts w:hint="eastAsia"/>
                <w:color w:val="FF0000"/>
                <w:kern w:val="0"/>
                <w:sz w:val="24"/>
                <w:highlight w:val="none"/>
                <w:lang w:val="en-US" w:eastAsia="zh-CN" w:bidi="ar"/>
              </w:rPr>
              <w:t>下游黄花营子居民</w:t>
            </w:r>
            <w:r>
              <w:rPr>
                <w:rFonts w:hint="eastAsia"/>
                <w:color w:val="FF0000"/>
                <w:kern w:val="0"/>
                <w:sz w:val="24"/>
                <w:highlight w:val="none"/>
                <w:lang w:eastAsia="zh-CN" w:bidi="ar"/>
              </w:rPr>
              <w:t>水井（</w:t>
            </w:r>
            <w:r>
              <w:rPr>
                <w:rFonts w:hint="eastAsia" w:ascii="Times New Roman" w:hAnsi="Times New Roman" w:eastAsia="宋体" w:cs="Times New Roman"/>
                <w:color w:val="FF0000"/>
                <w:kern w:val="0"/>
                <w:sz w:val="24"/>
                <w:highlight w:val="none"/>
                <w:lang w:eastAsia="zh-CN" w:bidi="ar"/>
              </w:rPr>
              <w:t>N：41°</w:t>
            </w:r>
            <w:r>
              <w:rPr>
                <w:rFonts w:hint="eastAsia" w:ascii="Times New Roman" w:hAnsi="Times New Roman" w:eastAsia="宋体" w:cs="Times New Roman"/>
                <w:color w:val="FF0000"/>
                <w:kern w:val="0"/>
                <w:sz w:val="24"/>
                <w:highlight w:val="none"/>
                <w:lang w:val="en-US" w:eastAsia="zh-CN" w:bidi="ar"/>
              </w:rPr>
              <w:t>4</w:t>
            </w:r>
            <w:r>
              <w:rPr>
                <w:rFonts w:hint="eastAsia" w:ascii="Times New Roman" w:hAnsi="Times New Roman" w:eastAsia="宋体" w:cs="Times New Roman"/>
                <w:color w:val="FF0000"/>
                <w:kern w:val="0"/>
                <w:sz w:val="24"/>
                <w:highlight w:val="none"/>
                <w:lang w:eastAsia="zh-CN" w:bidi="ar"/>
              </w:rPr>
              <w:t>6′</w:t>
            </w:r>
            <w:r>
              <w:rPr>
                <w:rFonts w:hint="eastAsia" w:ascii="Times New Roman" w:hAnsi="Times New Roman" w:eastAsia="宋体" w:cs="Times New Roman"/>
                <w:color w:val="FF0000"/>
                <w:kern w:val="0"/>
                <w:sz w:val="24"/>
                <w:highlight w:val="none"/>
                <w:lang w:val="en-US" w:eastAsia="zh-CN" w:bidi="ar"/>
              </w:rPr>
              <w:t>05</w:t>
            </w:r>
            <w:r>
              <w:rPr>
                <w:rFonts w:hint="eastAsia" w:ascii="Times New Roman" w:hAnsi="Times New Roman" w:eastAsia="宋体" w:cs="Times New Roman"/>
                <w:color w:val="FF0000"/>
                <w:kern w:val="0"/>
                <w:sz w:val="24"/>
                <w:highlight w:val="none"/>
                <w:lang w:eastAsia="zh-CN" w:bidi="ar"/>
              </w:rPr>
              <w:t>.</w:t>
            </w:r>
            <w:r>
              <w:rPr>
                <w:rFonts w:hint="eastAsia" w:ascii="Times New Roman" w:hAnsi="Times New Roman" w:eastAsia="宋体" w:cs="Times New Roman"/>
                <w:color w:val="FF0000"/>
                <w:kern w:val="0"/>
                <w:sz w:val="24"/>
                <w:highlight w:val="none"/>
                <w:lang w:val="en-US" w:eastAsia="zh-CN" w:bidi="ar"/>
              </w:rPr>
              <w:t>49</w:t>
            </w:r>
            <w:r>
              <w:rPr>
                <w:rFonts w:hint="eastAsia" w:ascii="Times New Roman" w:hAnsi="Times New Roman" w:eastAsia="宋体" w:cs="Times New Roman"/>
                <w:color w:val="FF0000"/>
                <w:kern w:val="0"/>
                <w:sz w:val="24"/>
                <w:highlight w:val="none"/>
                <w:lang w:eastAsia="zh-CN" w:bidi="ar"/>
              </w:rPr>
              <w:t>″,E：120°</w:t>
            </w:r>
            <w:r>
              <w:rPr>
                <w:rFonts w:hint="eastAsia" w:ascii="Times New Roman" w:hAnsi="Times New Roman" w:eastAsia="宋体" w:cs="Times New Roman"/>
                <w:color w:val="FF0000"/>
                <w:kern w:val="0"/>
                <w:sz w:val="24"/>
                <w:highlight w:val="none"/>
                <w:lang w:val="en-US" w:eastAsia="zh-CN" w:bidi="ar"/>
              </w:rPr>
              <w:t>45</w:t>
            </w:r>
            <w:r>
              <w:rPr>
                <w:rFonts w:hint="eastAsia" w:ascii="Times New Roman" w:hAnsi="Times New Roman" w:eastAsia="宋体" w:cs="Times New Roman"/>
                <w:color w:val="FF0000"/>
                <w:kern w:val="0"/>
                <w:sz w:val="24"/>
                <w:highlight w:val="none"/>
                <w:lang w:eastAsia="zh-CN" w:bidi="ar"/>
              </w:rPr>
              <w:t>′5</w:t>
            </w:r>
            <w:r>
              <w:rPr>
                <w:rFonts w:hint="eastAsia" w:ascii="Times New Roman" w:hAnsi="Times New Roman" w:eastAsia="宋体" w:cs="Times New Roman"/>
                <w:color w:val="FF0000"/>
                <w:kern w:val="0"/>
                <w:sz w:val="24"/>
                <w:highlight w:val="none"/>
                <w:lang w:val="en-US" w:eastAsia="zh-CN" w:bidi="ar"/>
              </w:rPr>
              <w:t>5</w:t>
            </w:r>
            <w:r>
              <w:rPr>
                <w:rFonts w:hint="eastAsia" w:ascii="Times New Roman" w:hAnsi="Times New Roman" w:eastAsia="宋体" w:cs="Times New Roman"/>
                <w:color w:val="FF0000"/>
                <w:kern w:val="0"/>
                <w:sz w:val="24"/>
                <w:highlight w:val="none"/>
                <w:lang w:eastAsia="zh-CN" w:bidi="ar"/>
              </w:rPr>
              <w:t>.</w:t>
            </w:r>
            <w:r>
              <w:rPr>
                <w:rFonts w:hint="eastAsia" w:ascii="Times New Roman" w:hAnsi="Times New Roman" w:eastAsia="宋体" w:cs="Times New Roman"/>
                <w:color w:val="FF0000"/>
                <w:kern w:val="0"/>
                <w:sz w:val="24"/>
                <w:highlight w:val="none"/>
                <w:lang w:val="en-US" w:eastAsia="zh-CN" w:bidi="ar"/>
              </w:rPr>
              <w:t>38</w:t>
            </w:r>
            <w:r>
              <w:rPr>
                <w:rFonts w:hint="eastAsia" w:ascii="Times New Roman" w:hAnsi="Times New Roman" w:eastAsia="宋体" w:cs="Times New Roman"/>
                <w:color w:val="FF0000"/>
                <w:kern w:val="0"/>
                <w:sz w:val="24"/>
                <w:highlight w:val="none"/>
                <w:lang w:eastAsia="zh-CN" w:bidi="ar"/>
              </w:rPr>
              <w:t>″</w:t>
            </w:r>
            <w:r>
              <w:rPr>
                <w:rFonts w:hint="eastAsia"/>
                <w:color w:val="FF0000"/>
                <w:kern w:val="0"/>
                <w:sz w:val="24"/>
                <w:highlight w:val="none"/>
                <w:lang w:eastAsia="zh-CN" w:bidi="ar"/>
              </w:rPr>
              <w:t>）</w:t>
            </w:r>
          </w:p>
          <w:p w14:paraId="5D5ECF97">
            <w:pPr>
              <w:spacing w:line="500" w:lineRule="exact"/>
              <w:ind w:firstLine="480" w:firstLineChars="200"/>
              <w:rPr>
                <w:color w:val="FF0000"/>
                <w:kern w:val="0"/>
                <w:sz w:val="24"/>
                <w:highlight w:val="none"/>
              </w:rPr>
            </w:pPr>
            <w:r>
              <w:rPr>
                <w:color w:val="FF0000"/>
                <w:kern w:val="0"/>
                <w:sz w:val="24"/>
                <w:highlight w:val="none"/>
              </w:rPr>
              <w:t>②监测时间及频率：监测1天，1次/天。</w:t>
            </w:r>
          </w:p>
          <w:p w14:paraId="194EACB9">
            <w:pPr>
              <w:spacing w:line="500" w:lineRule="exact"/>
              <w:ind w:firstLine="480" w:firstLineChars="200"/>
              <w:rPr>
                <w:color w:val="FF0000"/>
                <w:kern w:val="0"/>
                <w:sz w:val="24"/>
                <w:highlight w:val="none"/>
              </w:rPr>
            </w:pPr>
            <w:r>
              <w:rPr>
                <w:color w:val="FF0000"/>
                <w:kern w:val="0"/>
                <w:sz w:val="24"/>
                <w:highlight w:val="none"/>
              </w:rPr>
              <w:t>具体检测结果见表3-</w:t>
            </w:r>
            <w:r>
              <w:rPr>
                <w:rFonts w:hint="eastAsia"/>
                <w:color w:val="FF0000"/>
                <w:kern w:val="0"/>
                <w:sz w:val="24"/>
                <w:highlight w:val="none"/>
              </w:rPr>
              <w:t>7</w:t>
            </w:r>
            <w:r>
              <w:rPr>
                <w:color w:val="FF0000"/>
                <w:kern w:val="0"/>
                <w:sz w:val="24"/>
                <w:highlight w:val="none"/>
              </w:rPr>
              <w:t>。</w:t>
            </w:r>
          </w:p>
          <w:p w14:paraId="7A44F904">
            <w:pPr>
              <w:adjustRightInd w:val="0"/>
              <w:snapToGrid w:val="0"/>
              <w:spacing w:line="500" w:lineRule="exact"/>
              <w:jc w:val="center"/>
              <w:rPr>
                <w:b/>
                <w:bCs/>
                <w:color w:val="000000" w:themeColor="text1"/>
                <w:kern w:val="0"/>
                <w:szCs w:val="21"/>
                <w14:textFill>
                  <w14:solidFill>
                    <w14:schemeClr w14:val="tx1"/>
                  </w14:solidFill>
                </w14:textFill>
              </w:rPr>
            </w:pPr>
            <w:r>
              <w:rPr>
                <w:b/>
                <w:bCs/>
                <w:color w:val="000000" w:themeColor="text1"/>
                <w:kern w:val="0"/>
                <w:szCs w:val="21"/>
                <w14:textFill>
                  <w14:solidFill>
                    <w14:schemeClr w14:val="tx1"/>
                  </w14:solidFill>
                </w14:textFill>
              </w:rPr>
              <w:t>表3-</w:t>
            </w:r>
            <w:r>
              <w:rPr>
                <w:rFonts w:hint="eastAsia"/>
                <w:b/>
                <w:bCs/>
                <w:color w:val="000000" w:themeColor="text1"/>
                <w:kern w:val="0"/>
                <w:szCs w:val="21"/>
                <w14:textFill>
                  <w14:solidFill>
                    <w14:schemeClr w14:val="tx1"/>
                  </w14:solidFill>
                </w14:textFill>
              </w:rPr>
              <w:t>7</w:t>
            </w:r>
            <w:r>
              <w:rPr>
                <w:b/>
                <w:bCs/>
                <w:color w:val="000000" w:themeColor="text1"/>
                <w:kern w:val="0"/>
                <w:szCs w:val="21"/>
                <w14:textFill>
                  <w14:solidFill>
                    <w14:schemeClr w14:val="tx1"/>
                  </w14:solidFill>
                </w14:textFill>
              </w:rPr>
              <w:t xml:space="preserve"> </w:t>
            </w:r>
            <w:r>
              <w:rPr>
                <w:rFonts w:hint="eastAsia"/>
                <w:b/>
                <w:bCs/>
                <w:color w:val="000000" w:themeColor="text1"/>
                <w:kern w:val="0"/>
                <w:szCs w:val="21"/>
                <w14:textFill>
                  <w14:solidFill>
                    <w14:schemeClr w14:val="tx1"/>
                  </w14:solidFill>
                </w14:textFill>
              </w:rPr>
              <w:t xml:space="preserve">  </w:t>
            </w:r>
            <w:r>
              <w:rPr>
                <w:b/>
                <w:bCs/>
                <w:color w:val="000000" w:themeColor="text1"/>
                <w:kern w:val="0"/>
                <w:szCs w:val="21"/>
                <w14:textFill>
                  <w14:solidFill>
                    <w14:schemeClr w14:val="tx1"/>
                  </w14:solidFill>
                </w14:textFill>
              </w:rPr>
              <w:t xml:space="preserve"> 地下水现状监测结果</w:t>
            </w:r>
          </w:p>
          <w:tbl>
            <w:tblPr>
              <w:tblStyle w:val="34"/>
              <w:tblW w:w="4996" w:type="pct"/>
              <w:tblInd w:w="0" w:type="dxa"/>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515"/>
              <w:gridCol w:w="1380"/>
              <w:gridCol w:w="1134"/>
              <w:gridCol w:w="1293"/>
              <w:gridCol w:w="1766"/>
              <w:gridCol w:w="891"/>
            </w:tblGrid>
            <w:tr w14:paraId="4CA77269">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5" w:hRule="atLeast"/>
              </w:trPr>
              <w:tc>
                <w:tcPr>
                  <w:tcW w:w="949" w:type="pct"/>
                  <w:vAlign w:val="center"/>
                </w:tcPr>
                <w:p w14:paraId="4311F70E">
                  <w:pPr>
                    <w:adjustRightInd w:val="0"/>
                    <w:snapToGrid w:val="0"/>
                    <w:spacing w:line="240" w:lineRule="auto"/>
                    <w:jc w:val="center"/>
                    <w:rPr>
                      <w:b/>
                      <w:bCs/>
                      <w:color w:val="000000" w:themeColor="text1"/>
                      <w:kern w:val="0"/>
                      <w:sz w:val="21"/>
                      <w:szCs w:val="21"/>
                      <w14:textFill>
                        <w14:solidFill>
                          <w14:schemeClr w14:val="tx1"/>
                        </w14:solidFill>
                      </w14:textFill>
                    </w:rPr>
                  </w:pPr>
                  <w:r>
                    <w:rPr>
                      <w:b/>
                      <w:bCs/>
                      <w:color w:val="000000" w:themeColor="text1"/>
                      <w:kern w:val="0"/>
                      <w:sz w:val="21"/>
                      <w:szCs w:val="21"/>
                      <w14:textFill>
                        <w14:solidFill>
                          <w14:schemeClr w14:val="tx1"/>
                        </w14:solidFill>
                      </w14:textFill>
                    </w:rPr>
                    <w:t>监测项目</w:t>
                  </w:r>
                </w:p>
              </w:tc>
              <w:tc>
                <w:tcPr>
                  <w:tcW w:w="864" w:type="pct"/>
                  <w:vAlign w:val="center"/>
                </w:tcPr>
                <w:p w14:paraId="6F49DD78">
                  <w:pPr>
                    <w:adjustRightInd w:val="0"/>
                    <w:snapToGrid w:val="0"/>
                    <w:spacing w:line="240" w:lineRule="auto"/>
                    <w:jc w:val="center"/>
                    <w:rPr>
                      <w:b/>
                      <w:bCs/>
                      <w:color w:val="000000" w:themeColor="text1"/>
                      <w:kern w:val="0"/>
                      <w:sz w:val="21"/>
                      <w:szCs w:val="21"/>
                      <w14:textFill>
                        <w14:solidFill>
                          <w14:schemeClr w14:val="tx1"/>
                        </w14:solidFill>
                      </w14:textFill>
                    </w:rPr>
                  </w:pPr>
                  <w:r>
                    <w:rPr>
                      <w:b/>
                      <w:bCs/>
                      <w:color w:val="000000" w:themeColor="text1"/>
                      <w:kern w:val="0"/>
                      <w:sz w:val="21"/>
                      <w:szCs w:val="21"/>
                      <w14:textFill>
                        <w14:solidFill>
                          <w14:schemeClr w14:val="tx1"/>
                        </w14:solidFill>
                      </w14:textFill>
                    </w:rPr>
                    <w:t>监测结果</w:t>
                  </w:r>
                </w:p>
                <w:p w14:paraId="233F9D71">
                  <w:pPr>
                    <w:adjustRightInd w:val="0"/>
                    <w:snapToGrid w:val="0"/>
                    <w:spacing w:line="240" w:lineRule="auto"/>
                    <w:jc w:val="center"/>
                    <w:rPr>
                      <w:b/>
                      <w:bCs/>
                      <w:color w:val="000000" w:themeColor="text1"/>
                      <w:kern w:val="0"/>
                      <w:sz w:val="21"/>
                      <w:szCs w:val="21"/>
                      <w14:textFill>
                        <w14:solidFill>
                          <w14:schemeClr w14:val="tx1"/>
                        </w14:solidFill>
                      </w14:textFill>
                    </w:rPr>
                  </w:pPr>
                  <w:r>
                    <w:rPr>
                      <w:rFonts w:hint="eastAsia"/>
                      <w:b/>
                      <w:bCs/>
                      <w:color w:val="000000" w:themeColor="text1"/>
                      <w:kern w:val="0"/>
                      <w:sz w:val="21"/>
                      <w:szCs w:val="21"/>
                      <w:lang w:val="en-US" w:eastAsia="zh-CN"/>
                      <w14:textFill>
                        <w14:solidFill>
                          <w14:schemeClr w14:val="tx1"/>
                        </w14:solidFill>
                      </w14:textFill>
                    </w:rPr>
                    <w:t>厂区水井</w:t>
                  </w:r>
                  <w:r>
                    <w:rPr>
                      <w:b/>
                      <w:bCs/>
                      <w:color w:val="000000" w:themeColor="text1"/>
                      <w:kern w:val="0"/>
                      <w:sz w:val="21"/>
                      <w:szCs w:val="21"/>
                      <w14:textFill>
                        <w14:solidFill>
                          <w14:schemeClr w14:val="tx1"/>
                        </w14:solidFill>
                      </w14:textFill>
                    </w:rPr>
                    <w:t>（mg/L）</w:t>
                  </w:r>
                </w:p>
              </w:tc>
              <w:tc>
                <w:tcPr>
                  <w:tcW w:w="710" w:type="pct"/>
                  <w:vAlign w:val="center"/>
                </w:tcPr>
                <w:p w14:paraId="094DB5F7">
                  <w:pPr>
                    <w:adjustRightInd w:val="0"/>
                    <w:snapToGrid w:val="0"/>
                    <w:spacing w:line="240" w:lineRule="auto"/>
                    <w:jc w:val="center"/>
                    <w:rPr>
                      <w:b/>
                      <w:bCs/>
                      <w:color w:val="FF0000"/>
                      <w:kern w:val="0"/>
                      <w:sz w:val="21"/>
                      <w:szCs w:val="21"/>
                    </w:rPr>
                  </w:pPr>
                  <w:r>
                    <w:rPr>
                      <w:b/>
                      <w:bCs/>
                      <w:color w:val="FF0000"/>
                      <w:kern w:val="0"/>
                      <w:sz w:val="21"/>
                      <w:szCs w:val="21"/>
                    </w:rPr>
                    <w:t>监测结果</w:t>
                  </w:r>
                  <w:r>
                    <w:rPr>
                      <w:rFonts w:hint="eastAsia"/>
                      <w:b/>
                      <w:bCs/>
                      <w:color w:val="FF0000"/>
                      <w:kern w:val="0"/>
                      <w:sz w:val="21"/>
                      <w:szCs w:val="21"/>
                      <w:lang w:eastAsia="zh-CN"/>
                    </w:rPr>
                    <w:t>厂区</w:t>
                  </w:r>
                  <w:r>
                    <w:rPr>
                      <w:rFonts w:hint="eastAsia"/>
                      <w:b/>
                      <w:bCs/>
                      <w:color w:val="FF0000"/>
                      <w:kern w:val="0"/>
                      <w:sz w:val="21"/>
                      <w:szCs w:val="21"/>
                      <w:lang w:val="en-US" w:eastAsia="zh-CN"/>
                    </w:rPr>
                    <w:t>下游黄花营子居民</w:t>
                  </w:r>
                  <w:r>
                    <w:rPr>
                      <w:rFonts w:hint="eastAsia"/>
                      <w:b/>
                      <w:bCs/>
                      <w:color w:val="FF0000"/>
                      <w:kern w:val="0"/>
                      <w:sz w:val="21"/>
                      <w:szCs w:val="21"/>
                      <w:lang w:eastAsia="zh-CN"/>
                    </w:rPr>
                    <w:t>水井</w:t>
                  </w:r>
                </w:p>
                <w:p w14:paraId="7571D4D9">
                  <w:pPr>
                    <w:adjustRightInd w:val="0"/>
                    <w:snapToGrid w:val="0"/>
                    <w:spacing w:line="240" w:lineRule="auto"/>
                    <w:jc w:val="center"/>
                    <w:rPr>
                      <w:b/>
                      <w:bCs/>
                      <w:color w:val="FF0000"/>
                      <w:kern w:val="0"/>
                      <w:sz w:val="21"/>
                      <w:szCs w:val="21"/>
                    </w:rPr>
                  </w:pPr>
                  <w:r>
                    <w:rPr>
                      <w:b/>
                      <w:bCs/>
                      <w:color w:val="FF0000"/>
                      <w:kern w:val="0"/>
                      <w:sz w:val="21"/>
                      <w:szCs w:val="21"/>
                    </w:rPr>
                    <w:t>（mg/L）</w:t>
                  </w:r>
                </w:p>
              </w:tc>
              <w:tc>
                <w:tcPr>
                  <w:tcW w:w="810" w:type="pct"/>
                  <w:vAlign w:val="center"/>
                </w:tcPr>
                <w:p w14:paraId="5A87CB38">
                  <w:pPr>
                    <w:adjustRightInd w:val="0"/>
                    <w:snapToGrid w:val="0"/>
                    <w:spacing w:line="240" w:lineRule="auto"/>
                    <w:jc w:val="center"/>
                    <w:rPr>
                      <w:b/>
                      <w:color w:val="000000" w:themeColor="text1"/>
                      <w:sz w:val="21"/>
                      <w:szCs w:val="21"/>
                      <w14:textFill>
                        <w14:solidFill>
                          <w14:schemeClr w14:val="tx1"/>
                        </w14:solidFill>
                      </w14:textFill>
                    </w:rPr>
                  </w:pPr>
                  <w:r>
                    <w:rPr>
                      <w:b/>
                      <w:color w:val="000000" w:themeColor="text1"/>
                      <w:sz w:val="21"/>
                      <w:szCs w:val="21"/>
                      <w14:textFill>
                        <w14:solidFill>
                          <w14:schemeClr w14:val="tx1"/>
                        </w14:solidFill>
                      </w14:textFill>
                    </w:rPr>
                    <w:t>计量</w:t>
                  </w:r>
                </w:p>
                <w:p w14:paraId="268C1503">
                  <w:pPr>
                    <w:adjustRightInd w:val="0"/>
                    <w:snapToGrid w:val="0"/>
                    <w:spacing w:line="240" w:lineRule="auto"/>
                    <w:jc w:val="center"/>
                    <w:rPr>
                      <w:b/>
                      <w:bCs/>
                      <w:color w:val="000000" w:themeColor="text1"/>
                      <w:kern w:val="0"/>
                      <w:sz w:val="21"/>
                      <w:szCs w:val="21"/>
                      <w14:textFill>
                        <w14:solidFill>
                          <w14:schemeClr w14:val="tx1"/>
                        </w14:solidFill>
                      </w14:textFill>
                    </w:rPr>
                  </w:pPr>
                  <w:r>
                    <w:rPr>
                      <w:b/>
                      <w:color w:val="000000" w:themeColor="text1"/>
                      <w:sz w:val="21"/>
                      <w:szCs w:val="21"/>
                      <w14:textFill>
                        <w14:solidFill>
                          <w14:schemeClr w14:val="tx1"/>
                        </w14:solidFill>
                      </w14:textFill>
                    </w:rPr>
                    <w:t>单位</w:t>
                  </w:r>
                </w:p>
              </w:tc>
              <w:tc>
                <w:tcPr>
                  <w:tcW w:w="1106" w:type="pct"/>
                  <w:vAlign w:val="center"/>
                </w:tcPr>
                <w:p w14:paraId="670EDC9E">
                  <w:pPr>
                    <w:adjustRightInd w:val="0"/>
                    <w:snapToGrid w:val="0"/>
                    <w:spacing w:line="240" w:lineRule="auto"/>
                    <w:jc w:val="center"/>
                    <w:rPr>
                      <w:b/>
                      <w:bCs/>
                      <w:color w:val="000000" w:themeColor="text1"/>
                      <w:kern w:val="0"/>
                      <w:sz w:val="21"/>
                      <w:szCs w:val="21"/>
                      <w14:textFill>
                        <w14:solidFill>
                          <w14:schemeClr w14:val="tx1"/>
                        </w14:solidFill>
                      </w14:textFill>
                    </w:rPr>
                  </w:pPr>
                  <w:r>
                    <w:rPr>
                      <w:b/>
                      <w:bCs/>
                      <w:color w:val="000000" w:themeColor="text1"/>
                      <w:kern w:val="0"/>
                      <w:sz w:val="21"/>
                      <w:szCs w:val="21"/>
                      <w14:textFill>
                        <w14:solidFill>
                          <w14:schemeClr w14:val="tx1"/>
                        </w14:solidFill>
                      </w14:textFill>
                    </w:rPr>
                    <w:t>标准值</w:t>
                  </w:r>
                </w:p>
              </w:tc>
              <w:tc>
                <w:tcPr>
                  <w:tcW w:w="558" w:type="pct"/>
                  <w:vAlign w:val="center"/>
                </w:tcPr>
                <w:p w14:paraId="40329302">
                  <w:pPr>
                    <w:adjustRightInd w:val="0"/>
                    <w:snapToGrid w:val="0"/>
                    <w:spacing w:line="240" w:lineRule="auto"/>
                    <w:jc w:val="center"/>
                    <w:rPr>
                      <w:b/>
                      <w:bCs/>
                      <w:color w:val="000000" w:themeColor="text1"/>
                      <w:kern w:val="0"/>
                      <w:sz w:val="21"/>
                      <w:szCs w:val="21"/>
                      <w14:textFill>
                        <w14:solidFill>
                          <w14:schemeClr w14:val="tx1"/>
                        </w14:solidFill>
                      </w14:textFill>
                    </w:rPr>
                  </w:pPr>
                  <w:r>
                    <w:rPr>
                      <w:b/>
                      <w:bCs/>
                      <w:color w:val="000000" w:themeColor="text1"/>
                      <w:kern w:val="0"/>
                      <w:sz w:val="21"/>
                      <w:szCs w:val="21"/>
                      <w14:textFill>
                        <w14:solidFill>
                          <w14:schemeClr w14:val="tx1"/>
                        </w14:solidFill>
                      </w14:textFill>
                    </w:rPr>
                    <w:t>达标</w:t>
                  </w:r>
                </w:p>
                <w:p w14:paraId="6F3E85FF">
                  <w:pPr>
                    <w:adjustRightInd w:val="0"/>
                    <w:snapToGrid w:val="0"/>
                    <w:spacing w:line="240" w:lineRule="auto"/>
                    <w:jc w:val="center"/>
                    <w:rPr>
                      <w:b/>
                      <w:bCs/>
                      <w:color w:val="000000" w:themeColor="text1"/>
                      <w:kern w:val="0"/>
                      <w:sz w:val="21"/>
                      <w:szCs w:val="21"/>
                      <w14:textFill>
                        <w14:solidFill>
                          <w14:schemeClr w14:val="tx1"/>
                        </w14:solidFill>
                      </w14:textFill>
                    </w:rPr>
                  </w:pPr>
                  <w:r>
                    <w:rPr>
                      <w:b/>
                      <w:bCs/>
                      <w:color w:val="000000" w:themeColor="text1"/>
                      <w:kern w:val="0"/>
                      <w:sz w:val="21"/>
                      <w:szCs w:val="21"/>
                      <w14:textFill>
                        <w14:solidFill>
                          <w14:schemeClr w14:val="tx1"/>
                        </w14:solidFill>
                      </w14:textFill>
                    </w:rPr>
                    <w:t>情况</w:t>
                  </w:r>
                </w:p>
              </w:tc>
            </w:tr>
            <w:tr w14:paraId="74789E6F">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49" w:type="pct"/>
                  <w:vAlign w:val="center"/>
                </w:tcPr>
                <w:p w14:paraId="4EDCF9D7">
                  <w:pPr>
                    <w:pStyle w:val="79"/>
                    <w:spacing w:line="240" w:lineRule="auto"/>
                    <w:jc w:val="center"/>
                    <w:rPr>
                      <w:rFonts w:ascii="Times New Roman" w:hAnsi="Times New Roman"/>
                      <w:color w:val="000000" w:themeColor="text1"/>
                      <w:sz w:val="21"/>
                      <w:szCs w:val="21"/>
                      <w:lang w:eastAsia="zh-CN"/>
                      <w14:textFill>
                        <w14:solidFill>
                          <w14:schemeClr w14:val="tx1"/>
                        </w14:solidFill>
                      </w14:textFill>
                    </w:rPr>
                  </w:pPr>
                  <w:r>
                    <w:rPr>
                      <w:rFonts w:ascii="Times New Roman" w:hAnsi="Times New Roman"/>
                      <w:color w:val="000000" w:themeColor="text1"/>
                      <w:sz w:val="21"/>
                      <w:szCs w:val="21"/>
                      <w:lang w:eastAsia="zh-CN"/>
                      <w14:textFill>
                        <w14:solidFill>
                          <w14:schemeClr w14:val="tx1"/>
                        </w14:solidFill>
                      </w14:textFill>
                    </w:rPr>
                    <w:t>pH值</w:t>
                  </w:r>
                </w:p>
              </w:tc>
              <w:tc>
                <w:tcPr>
                  <w:tcW w:w="864" w:type="pct"/>
                  <w:vAlign w:val="center"/>
                </w:tcPr>
                <w:p w14:paraId="0E6982D4">
                  <w:pPr>
                    <w:pStyle w:val="79"/>
                    <w:spacing w:line="240" w:lineRule="auto"/>
                    <w:jc w:val="center"/>
                    <w:rPr>
                      <w:rFonts w:ascii="Times New Roman" w:hAnsi="Times New Roman"/>
                      <w:color w:val="000000" w:themeColor="text1"/>
                      <w:sz w:val="21"/>
                      <w:szCs w:val="21"/>
                      <w:lang w:eastAsia="zh-CN"/>
                      <w14:textFill>
                        <w14:solidFill>
                          <w14:schemeClr w14:val="tx1"/>
                        </w14:solidFill>
                      </w14:textFill>
                    </w:rPr>
                  </w:pPr>
                  <w:r>
                    <w:rPr>
                      <w:rFonts w:ascii="Times New Roman" w:hAnsi="Times New Roman"/>
                      <w:color w:val="000000" w:themeColor="text1"/>
                      <w:sz w:val="21"/>
                      <w:szCs w:val="21"/>
                      <w:lang w:eastAsia="zh-CN"/>
                      <w14:textFill>
                        <w14:solidFill>
                          <w14:schemeClr w14:val="tx1"/>
                        </w14:solidFill>
                      </w14:textFill>
                    </w:rPr>
                    <w:t>7.</w:t>
                  </w:r>
                  <w:r>
                    <w:rPr>
                      <w:rFonts w:hint="eastAsia" w:ascii="Times New Roman" w:hAnsi="Times New Roman"/>
                      <w:color w:val="000000" w:themeColor="text1"/>
                      <w:sz w:val="21"/>
                      <w:szCs w:val="21"/>
                      <w:lang w:eastAsia="zh-CN"/>
                      <w14:textFill>
                        <w14:solidFill>
                          <w14:schemeClr w14:val="tx1"/>
                        </w14:solidFill>
                      </w14:textFill>
                    </w:rPr>
                    <w:t>4</w:t>
                  </w:r>
                </w:p>
              </w:tc>
              <w:tc>
                <w:tcPr>
                  <w:tcW w:w="710" w:type="pct"/>
                  <w:vAlign w:val="center"/>
                </w:tcPr>
                <w:p w14:paraId="12E8896F">
                  <w:pPr>
                    <w:pStyle w:val="79"/>
                    <w:spacing w:line="240" w:lineRule="auto"/>
                    <w:jc w:val="center"/>
                    <w:rPr>
                      <w:rFonts w:hint="default" w:ascii="Times New Roman" w:hAnsi="Times New Roman"/>
                      <w:color w:val="FF0000"/>
                      <w:sz w:val="21"/>
                      <w:szCs w:val="21"/>
                      <w:lang w:val="en-US" w:eastAsia="zh-CN"/>
                    </w:rPr>
                  </w:pPr>
                  <w:r>
                    <w:rPr>
                      <w:rFonts w:hint="eastAsia" w:ascii="Times New Roman" w:hAnsi="Times New Roman"/>
                      <w:color w:val="FF0000"/>
                      <w:sz w:val="21"/>
                      <w:szCs w:val="21"/>
                      <w:lang w:val="en-US" w:eastAsia="zh-CN"/>
                    </w:rPr>
                    <w:t>7.1</w:t>
                  </w:r>
                </w:p>
              </w:tc>
              <w:tc>
                <w:tcPr>
                  <w:tcW w:w="810" w:type="pct"/>
                  <w:vAlign w:val="center"/>
                </w:tcPr>
                <w:p w14:paraId="00CCAAB4">
                  <w:pPr>
                    <w:pStyle w:val="79"/>
                    <w:spacing w:line="240" w:lineRule="auto"/>
                    <w:jc w:val="center"/>
                    <w:rPr>
                      <w:rFonts w:ascii="Times New Roman" w:hAnsi="Times New Roman"/>
                      <w:color w:val="000000" w:themeColor="text1"/>
                      <w:sz w:val="21"/>
                      <w:szCs w:val="21"/>
                      <w:lang w:eastAsia="zh-CN"/>
                      <w14:textFill>
                        <w14:solidFill>
                          <w14:schemeClr w14:val="tx1"/>
                        </w14:solidFill>
                      </w14:textFill>
                    </w:rPr>
                  </w:pPr>
                  <w:r>
                    <w:rPr>
                      <w:rFonts w:ascii="Times New Roman" w:hAnsi="Times New Roman"/>
                      <w:color w:val="000000" w:themeColor="text1"/>
                      <w:sz w:val="21"/>
                      <w:szCs w:val="21"/>
                      <w:lang w:eastAsia="zh-CN"/>
                      <w14:textFill>
                        <w14:solidFill>
                          <w14:schemeClr w14:val="tx1"/>
                        </w14:solidFill>
                      </w14:textFill>
                    </w:rPr>
                    <w:t>无量纲</w:t>
                  </w:r>
                </w:p>
              </w:tc>
              <w:tc>
                <w:tcPr>
                  <w:tcW w:w="1106" w:type="pct"/>
                  <w:vAlign w:val="center"/>
                </w:tcPr>
                <w:p w14:paraId="46BD6AE5">
                  <w:pPr>
                    <w:pStyle w:val="79"/>
                    <w:spacing w:line="240" w:lineRule="auto"/>
                    <w:jc w:val="center"/>
                    <w:rPr>
                      <w:rFonts w:ascii="Times New Roman" w:hAnsi="Times New Roman"/>
                      <w:color w:val="000000" w:themeColor="text1"/>
                      <w:sz w:val="21"/>
                      <w:szCs w:val="21"/>
                      <w:lang w:eastAsia="zh-CN"/>
                      <w14:textFill>
                        <w14:solidFill>
                          <w14:schemeClr w14:val="tx1"/>
                        </w14:solidFill>
                      </w14:textFill>
                    </w:rPr>
                  </w:pPr>
                  <w:r>
                    <w:rPr>
                      <w:rFonts w:ascii="Times New Roman" w:hAnsi="Times New Roman"/>
                      <w:color w:val="000000" w:themeColor="text1"/>
                      <w:sz w:val="21"/>
                      <w:szCs w:val="21"/>
                      <w:lang w:eastAsia="zh-CN"/>
                      <w14:textFill>
                        <w14:solidFill>
                          <w14:schemeClr w14:val="tx1"/>
                        </w14:solidFill>
                      </w14:textFill>
                    </w:rPr>
                    <w:t>6.5-8.5</w:t>
                  </w:r>
                </w:p>
              </w:tc>
              <w:tc>
                <w:tcPr>
                  <w:tcW w:w="558" w:type="pct"/>
                  <w:vAlign w:val="center"/>
                </w:tcPr>
                <w:p w14:paraId="6BBAB32C">
                  <w:pPr>
                    <w:pStyle w:val="79"/>
                    <w:spacing w:line="240" w:lineRule="auto"/>
                    <w:jc w:val="center"/>
                    <w:rPr>
                      <w:rFonts w:ascii="Times New Roman" w:hAnsi="Times New Roman"/>
                      <w:color w:val="000000" w:themeColor="text1"/>
                      <w:sz w:val="21"/>
                      <w:szCs w:val="21"/>
                      <w:lang w:eastAsia="zh-CN"/>
                      <w14:textFill>
                        <w14:solidFill>
                          <w14:schemeClr w14:val="tx1"/>
                        </w14:solidFill>
                      </w14:textFill>
                    </w:rPr>
                  </w:pPr>
                  <w:r>
                    <w:rPr>
                      <w:rFonts w:ascii="Times New Roman" w:hAnsi="Times New Roman"/>
                      <w:color w:val="000000" w:themeColor="text1"/>
                      <w:sz w:val="21"/>
                      <w:szCs w:val="21"/>
                      <w:lang w:eastAsia="zh-CN"/>
                      <w14:textFill>
                        <w14:solidFill>
                          <w14:schemeClr w14:val="tx1"/>
                        </w14:solidFill>
                      </w14:textFill>
                    </w:rPr>
                    <w:t>达标</w:t>
                  </w:r>
                </w:p>
              </w:tc>
            </w:tr>
            <w:tr w14:paraId="01192CD1">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49" w:type="pct"/>
                  <w:vAlign w:val="center"/>
                </w:tcPr>
                <w:p w14:paraId="5263077A">
                  <w:pPr>
                    <w:pStyle w:val="79"/>
                    <w:spacing w:line="240" w:lineRule="auto"/>
                    <w:jc w:val="center"/>
                    <w:rPr>
                      <w:rFonts w:ascii="Times New Roman" w:hAnsi="Times New Roman"/>
                      <w:color w:val="000000" w:themeColor="text1"/>
                      <w:sz w:val="21"/>
                      <w:szCs w:val="21"/>
                      <w:lang w:eastAsia="zh-CN"/>
                      <w14:textFill>
                        <w14:solidFill>
                          <w14:schemeClr w14:val="tx1"/>
                        </w14:solidFill>
                      </w14:textFill>
                    </w:rPr>
                  </w:pPr>
                  <w:r>
                    <w:rPr>
                      <w:rFonts w:ascii="Times New Roman" w:hAnsi="Times New Roman"/>
                      <w:color w:val="000000" w:themeColor="text1"/>
                      <w:sz w:val="21"/>
                      <w:szCs w:val="21"/>
                      <w:lang w:eastAsia="zh-CN"/>
                      <w14:textFill>
                        <w14:solidFill>
                          <w14:schemeClr w14:val="tx1"/>
                        </w14:solidFill>
                      </w14:textFill>
                    </w:rPr>
                    <w:t>氨氮</w:t>
                  </w:r>
                </w:p>
              </w:tc>
              <w:tc>
                <w:tcPr>
                  <w:tcW w:w="864" w:type="pct"/>
                  <w:vAlign w:val="center"/>
                </w:tcPr>
                <w:p w14:paraId="3C22B69A">
                  <w:pPr>
                    <w:pStyle w:val="79"/>
                    <w:spacing w:line="240" w:lineRule="auto"/>
                    <w:jc w:val="center"/>
                    <w:rPr>
                      <w:rFonts w:ascii="Times New Roman" w:hAnsi="Times New Roman"/>
                      <w:color w:val="000000" w:themeColor="text1"/>
                      <w:sz w:val="21"/>
                      <w:szCs w:val="21"/>
                      <w:lang w:eastAsia="zh-CN"/>
                      <w14:textFill>
                        <w14:solidFill>
                          <w14:schemeClr w14:val="tx1"/>
                        </w14:solidFill>
                      </w14:textFill>
                    </w:rPr>
                  </w:pPr>
                  <w:r>
                    <w:rPr>
                      <w:rFonts w:hint="eastAsia" w:ascii="Times New Roman" w:hAnsi="Times New Roman"/>
                      <w:color w:val="000000" w:themeColor="text1"/>
                      <w:sz w:val="21"/>
                      <w:szCs w:val="21"/>
                      <w:lang w:eastAsia="zh-CN"/>
                      <w14:textFill>
                        <w14:solidFill>
                          <w14:schemeClr w14:val="tx1"/>
                        </w14:solidFill>
                      </w14:textFill>
                    </w:rPr>
                    <w:t>0.161</w:t>
                  </w:r>
                </w:p>
              </w:tc>
              <w:tc>
                <w:tcPr>
                  <w:tcW w:w="710" w:type="pct"/>
                  <w:vAlign w:val="center"/>
                </w:tcPr>
                <w:p w14:paraId="09A2C949">
                  <w:pPr>
                    <w:pStyle w:val="79"/>
                    <w:spacing w:line="240" w:lineRule="auto"/>
                    <w:jc w:val="center"/>
                    <w:rPr>
                      <w:rFonts w:hint="default" w:ascii="Times New Roman" w:hAnsi="Times New Roman"/>
                      <w:color w:val="FF0000"/>
                      <w:sz w:val="21"/>
                      <w:szCs w:val="21"/>
                      <w:lang w:val="en-US" w:eastAsia="zh-CN"/>
                    </w:rPr>
                  </w:pPr>
                  <w:r>
                    <w:rPr>
                      <w:rFonts w:hint="eastAsia" w:ascii="Times New Roman" w:hAnsi="Times New Roman"/>
                      <w:color w:val="FF0000"/>
                      <w:sz w:val="21"/>
                      <w:szCs w:val="21"/>
                      <w:lang w:val="en-US" w:eastAsia="zh-CN"/>
                    </w:rPr>
                    <w:t>0.075</w:t>
                  </w:r>
                </w:p>
              </w:tc>
              <w:tc>
                <w:tcPr>
                  <w:tcW w:w="810" w:type="pct"/>
                  <w:vAlign w:val="center"/>
                </w:tcPr>
                <w:p w14:paraId="1AC3FF46">
                  <w:pPr>
                    <w:pStyle w:val="79"/>
                    <w:spacing w:line="240" w:lineRule="auto"/>
                    <w:jc w:val="center"/>
                    <w:rPr>
                      <w:rFonts w:ascii="Times New Roman" w:hAnsi="Times New Roman"/>
                      <w:color w:val="000000" w:themeColor="text1"/>
                      <w:sz w:val="21"/>
                      <w:szCs w:val="21"/>
                      <w:lang w:eastAsia="zh-CN"/>
                      <w14:textFill>
                        <w14:solidFill>
                          <w14:schemeClr w14:val="tx1"/>
                        </w14:solidFill>
                      </w14:textFill>
                    </w:rPr>
                  </w:pPr>
                  <w:r>
                    <w:rPr>
                      <w:rFonts w:ascii="Times New Roman" w:hAnsi="Times New Roman"/>
                      <w:color w:val="000000" w:themeColor="text1"/>
                      <w:sz w:val="21"/>
                      <w:szCs w:val="21"/>
                      <w:lang w:eastAsia="zh-CN"/>
                      <w14:textFill>
                        <w14:solidFill>
                          <w14:schemeClr w14:val="tx1"/>
                        </w14:solidFill>
                      </w14:textFill>
                    </w:rPr>
                    <w:t>mg/L</w:t>
                  </w:r>
                </w:p>
              </w:tc>
              <w:tc>
                <w:tcPr>
                  <w:tcW w:w="1106" w:type="pct"/>
                  <w:vAlign w:val="center"/>
                </w:tcPr>
                <w:p w14:paraId="6C24E549">
                  <w:pPr>
                    <w:pStyle w:val="79"/>
                    <w:spacing w:line="240" w:lineRule="auto"/>
                    <w:jc w:val="center"/>
                    <w:rPr>
                      <w:rFonts w:ascii="Times New Roman" w:hAnsi="Times New Roman"/>
                      <w:color w:val="000000" w:themeColor="text1"/>
                      <w:sz w:val="21"/>
                      <w:szCs w:val="21"/>
                      <w:lang w:eastAsia="zh-CN"/>
                      <w14:textFill>
                        <w14:solidFill>
                          <w14:schemeClr w14:val="tx1"/>
                        </w14:solidFill>
                      </w14:textFill>
                    </w:rPr>
                  </w:pPr>
                  <w:r>
                    <w:rPr>
                      <w:rFonts w:ascii="Times New Roman" w:hAnsi="Times New Roman"/>
                      <w:color w:val="000000" w:themeColor="text1"/>
                      <w:sz w:val="21"/>
                      <w:szCs w:val="21"/>
                      <w:lang w:eastAsia="zh-CN"/>
                      <w14:textFill>
                        <w14:solidFill>
                          <w14:schemeClr w14:val="tx1"/>
                        </w14:solidFill>
                      </w14:textFill>
                    </w:rPr>
                    <w:t>≤0.50</w:t>
                  </w:r>
                </w:p>
              </w:tc>
              <w:tc>
                <w:tcPr>
                  <w:tcW w:w="558" w:type="pct"/>
                  <w:vAlign w:val="center"/>
                </w:tcPr>
                <w:p w14:paraId="5E7D1EF3">
                  <w:pPr>
                    <w:pStyle w:val="79"/>
                    <w:spacing w:line="240" w:lineRule="auto"/>
                    <w:jc w:val="center"/>
                    <w:rPr>
                      <w:rFonts w:ascii="Times New Roman" w:hAnsi="Times New Roman"/>
                      <w:color w:val="000000" w:themeColor="text1"/>
                      <w:sz w:val="21"/>
                      <w:szCs w:val="21"/>
                      <w:lang w:eastAsia="zh-CN"/>
                      <w14:textFill>
                        <w14:solidFill>
                          <w14:schemeClr w14:val="tx1"/>
                        </w14:solidFill>
                      </w14:textFill>
                    </w:rPr>
                  </w:pPr>
                  <w:r>
                    <w:rPr>
                      <w:rFonts w:ascii="Times New Roman" w:hAnsi="Times New Roman"/>
                      <w:color w:val="000000" w:themeColor="text1"/>
                      <w:sz w:val="21"/>
                      <w:szCs w:val="21"/>
                      <w:lang w:eastAsia="zh-CN"/>
                      <w14:textFill>
                        <w14:solidFill>
                          <w14:schemeClr w14:val="tx1"/>
                        </w14:solidFill>
                      </w14:textFill>
                    </w:rPr>
                    <w:t>达标</w:t>
                  </w:r>
                </w:p>
              </w:tc>
            </w:tr>
            <w:tr w14:paraId="4A9D79C2">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49" w:type="pct"/>
                  <w:vAlign w:val="center"/>
                </w:tcPr>
                <w:p w14:paraId="3DD90DEA">
                  <w:pPr>
                    <w:pStyle w:val="79"/>
                    <w:spacing w:line="240" w:lineRule="auto"/>
                    <w:jc w:val="center"/>
                    <w:rPr>
                      <w:rFonts w:ascii="Times New Roman" w:hAnsi="Times New Roman"/>
                      <w:color w:val="000000" w:themeColor="text1"/>
                      <w:sz w:val="21"/>
                      <w:szCs w:val="21"/>
                      <w:lang w:eastAsia="zh-CN"/>
                      <w14:textFill>
                        <w14:solidFill>
                          <w14:schemeClr w14:val="tx1"/>
                        </w14:solidFill>
                      </w14:textFill>
                    </w:rPr>
                  </w:pPr>
                  <w:r>
                    <w:rPr>
                      <w:rFonts w:ascii="Times New Roman" w:hAnsi="Times New Roman"/>
                      <w:color w:val="000000" w:themeColor="text1"/>
                      <w:sz w:val="21"/>
                      <w:szCs w:val="21"/>
                      <w:lang w:eastAsia="zh-CN"/>
                      <w14:textFill>
                        <w14:solidFill>
                          <w14:schemeClr w14:val="tx1"/>
                        </w14:solidFill>
                      </w14:textFill>
                    </w:rPr>
                    <w:t>NO</w:t>
                  </w:r>
                  <w:r>
                    <w:rPr>
                      <w:rFonts w:ascii="Times New Roman" w:hAnsi="Times New Roman"/>
                      <w:color w:val="000000" w:themeColor="text1"/>
                      <w:sz w:val="21"/>
                      <w:szCs w:val="21"/>
                      <w:vertAlign w:val="superscript"/>
                      <w:lang w:eastAsia="zh-CN"/>
                      <w14:textFill>
                        <w14:solidFill>
                          <w14:schemeClr w14:val="tx1"/>
                        </w14:solidFill>
                      </w14:textFill>
                    </w:rPr>
                    <w:t>3-</w:t>
                  </w:r>
                </w:p>
              </w:tc>
              <w:tc>
                <w:tcPr>
                  <w:tcW w:w="864" w:type="pct"/>
                  <w:vAlign w:val="center"/>
                </w:tcPr>
                <w:p w14:paraId="4AF7A87E">
                  <w:pPr>
                    <w:pStyle w:val="79"/>
                    <w:spacing w:line="240" w:lineRule="auto"/>
                    <w:jc w:val="center"/>
                    <w:rPr>
                      <w:rFonts w:ascii="Times New Roman" w:hAnsi="Times New Roman"/>
                      <w:color w:val="000000" w:themeColor="text1"/>
                      <w:sz w:val="21"/>
                      <w:szCs w:val="21"/>
                      <w:lang w:eastAsia="zh-CN"/>
                      <w14:textFill>
                        <w14:solidFill>
                          <w14:schemeClr w14:val="tx1"/>
                        </w14:solidFill>
                      </w14:textFill>
                    </w:rPr>
                  </w:pPr>
                  <w:r>
                    <w:rPr>
                      <w:rFonts w:hint="eastAsia" w:ascii="Times New Roman" w:hAnsi="Times New Roman"/>
                      <w:color w:val="000000" w:themeColor="text1"/>
                      <w:sz w:val="21"/>
                      <w:szCs w:val="21"/>
                      <w:lang w:eastAsia="zh-CN"/>
                      <w14:textFill>
                        <w14:solidFill>
                          <w14:schemeClr w14:val="tx1"/>
                        </w14:solidFill>
                      </w14:textFill>
                    </w:rPr>
                    <w:t>5.62</w:t>
                  </w:r>
                </w:p>
              </w:tc>
              <w:tc>
                <w:tcPr>
                  <w:tcW w:w="710" w:type="pct"/>
                  <w:vAlign w:val="center"/>
                </w:tcPr>
                <w:p w14:paraId="1FCCB96B">
                  <w:pPr>
                    <w:pStyle w:val="79"/>
                    <w:spacing w:line="240" w:lineRule="auto"/>
                    <w:jc w:val="center"/>
                    <w:rPr>
                      <w:rFonts w:hint="default" w:ascii="Times New Roman" w:hAnsi="Times New Roman"/>
                      <w:color w:val="FF0000"/>
                      <w:sz w:val="21"/>
                      <w:szCs w:val="21"/>
                      <w:lang w:val="en-US" w:eastAsia="zh-CN"/>
                    </w:rPr>
                  </w:pPr>
                  <w:r>
                    <w:rPr>
                      <w:rFonts w:hint="eastAsia" w:ascii="Times New Roman" w:hAnsi="Times New Roman"/>
                      <w:color w:val="FF0000"/>
                      <w:sz w:val="21"/>
                      <w:szCs w:val="21"/>
                      <w:lang w:val="en-US" w:eastAsia="zh-CN"/>
                    </w:rPr>
                    <w:t>7.41</w:t>
                  </w:r>
                </w:p>
              </w:tc>
              <w:tc>
                <w:tcPr>
                  <w:tcW w:w="810" w:type="pct"/>
                  <w:vAlign w:val="center"/>
                </w:tcPr>
                <w:p w14:paraId="1A07D0F4">
                  <w:pPr>
                    <w:pStyle w:val="79"/>
                    <w:spacing w:line="240" w:lineRule="auto"/>
                    <w:jc w:val="center"/>
                    <w:rPr>
                      <w:rFonts w:ascii="Times New Roman" w:hAnsi="Times New Roman"/>
                      <w:color w:val="000000" w:themeColor="text1"/>
                      <w:sz w:val="21"/>
                      <w:szCs w:val="21"/>
                      <w:lang w:eastAsia="zh-CN"/>
                      <w14:textFill>
                        <w14:solidFill>
                          <w14:schemeClr w14:val="tx1"/>
                        </w14:solidFill>
                      </w14:textFill>
                    </w:rPr>
                  </w:pPr>
                  <w:r>
                    <w:rPr>
                      <w:rFonts w:ascii="Times New Roman" w:hAnsi="Times New Roman"/>
                      <w:color w:val="000000" w:themeColor="text1"/>
                      <w:sz w:val="21"/>
                      <w:szCs w:val="21"/>
                      <w:lang w:eastAsia="zh-CN"/>
                      <w14:textFill>
                        <w14:solidFill>
                          <w14:schemeClr w14:val="tx1"/>
                        </w14:solidFill>
                      </w14:textFill>
                    </w:rPr>
                    <w:t>mg/L</w:t>
                  </w:r>
                </w:p>
              </w:tc>
              <w:tc>
                <w:tcPr>
                  <w:tcW w:w="1106" w:type="pct"/>
                  <w:vAlign w:val="center"/>
                </w:tcPr>
                <w:p w14:paraId="38E7D8B0">
                  <w:pPr>
                    <w:pStyle w:val="79"/>
                    <w:spacing w:line="240" w:lineRule="auto"/>
                    <w:jc w:val="center"/>
                    <w:rPr>
                      <w:rFonts w:ascii="Times New Roman" w:hAnsi="Times New Roman"/>
                      <w:color w:val="000000" w:themeColor="text1"/>
                      <w:sz w:val="21"/>
                      <w:szCs w:val="21"/>
                      <w:lang w:eastAsia="zh-CN"/>
                      <w14:textFill>
                        <w14:solidFill>
                          <w14:schemeClr w14:val="tx1"/>
                        </w14:solidFill>
                      </w14:textFill>
                    </w:rPr>
                  </w:pPr>
                  <w:r>
                    <w:rPr>
                      <w:rFonts w:ascii="Times New Roman" w:hAnsi="Times New Roman"/>
                      <w:color w:val="000000" w:themeColor="text1"/>
                      <w:sz w:val="21"/>
                      <w:szCs w:val="21"/>
                      <w:lang w:eastAsia="zh-CN"/>
                      <w14:textFill>
                        <w14:solidFill>
                          <w14:schemeClr w14:val="tx1"/>
                        </w14:solidFill>
                      </w14:textFill>
                    </w:rPr>
                    <w:t>≤20.0</w:t>
                  </w:r>
                </w:p>
              </w:tc>
              <w:tc>
                <w:tcPr>
                  <w:tcW w:w="558" w:type="pct"/>
                  <w:vAlign w:val="center"/>
                </w:tcPr>
                <w:p w14:paraId="3170ACAF">
                  <w:pPr>
                    <w:pStyle w:val="79"/>
                    <w:spacing w:line="240" w:lineRule="auto"/>
                    <w:jc w:val="center"/>
                    <w:rPr>
                      <w:rFonts w:ascii="Times New Roman" w:hAnsi="Times New Roman"/>
                      <w:color w:val="000000" w:themeColor="text1"/>
                      <w:sz w:val="21"/>
                      <w:szCs w:val="21"/>
                      <w:lang w:eastAsia="zh-CN"/>
                      <w14:textFill>
                        <w14:solidFill>
                          <w14:schemeClr w14:val="tx1"/>
                        </w14:solidFill>
                      </w14:textFill>
                    </w:rPr>
                  </w:pPr>
                  <w:r>
                    <w:rPr>
                      <w:rFonts w:ascii="Times New Roman" w:hAnsi="Times New Roman"/>
                      <w:color w:val="000000" w:themeColor="text1"/>
                      <w:sz w:val="21"/>
                      <w:szCs w:val="21"/>
                      <w:lang w:eastAsia="zh-CN"/>
                      <w14:textFill>
                        <w14:solidFill>
                          <w14:schemeClr w14:val="tx1"/>
                        </w14:solidFill>
                      </w14:textFill>
                    </w:rPr>
                    <w:t>达标</w:t>
                  </w:r>
                </w:p>
              </w:tc>
            </w:tr>
            <w:tr w14:paraId="01613CF7">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81" w:hRule="atLeast"/>
              </w:trPr>
              <w:tc>
                <w:tcPr>
                  <w:tcW w:w="949" w:type="pct"/>
                  <w:vAlign w:val="center"/>
                </w:tcPr>
                <w:p w14:paraId="1654EC8F">
                  <w:pPr>
                    <w:pStyle w:val="79"/>
                    <w:spacing w:line="240" w:lineRule="auto"/>
                    <w:jc w:val="center"/>
                    <w:rPr>
                      <w:rFonts w:ascii="Times New Roman" w:hAnsi="Times New Roman"/>
                      <w:color w:val="000000" w:themeColor="text1"/>
                      <w:sz w:val="21"/>
                      <w:szCs w:val="21"/>
                      <w:lang w:eastAsia="zh-CN"/>
                      <w14:textFill>
                        <w14:solidFill>
                          <w14:schemeClr w14:val="tx1"/>
                        </w14:solidFill>
                      </w14:textFill>
                    </w:rPr>
                  </w:pPr>
                  <w:r>
                    <w:rPr>
                      <w:rFonts w:ascii="Times New Roman" w:hAnsi="Times New Roman"/>
                      <w:color w:val="000000" w:themeColor="text1"/>
                      <w:sz w:val="21"/>
                      <w:szCs w:val="21"/>
                      <w:lang w:eastAsia="zh-CN"/>
                      <w14:textFill>
                        <w14:solidFill>
                          <w14:schemeClr w14:val="tx1"/>
                        </w14:solidFill>
                      </w14:textFill>
                    </w:rPr>
                    <w:t>NO</w:t>
                  </w:r>
                  <w:r>
                    <w:rPr>
                      <w:rFonts w:ascii="Times New Roman" w:hAnsi="Times New Roman"/>
                      <w:color w:val="000000" w:themeColor="text1"/>
                      <w:sz w:val="21"/>
                      <w:szCs w:val="21"/>
                      <w:vertAlign w:val="superscript"/>
                      <w:lang w:eastAsia="zh-CN"/>
                      <w14:textFill>
                        <w14:solidFill>
                          <w14:schemeClr w14:val="tx1"/>
                        </w14:solidFill>
                      </w14:textFill>
                    </w:rPr>
                    <w:t>2-</w:t>
                  </w:r>
                </w:p>
              </w:tc>
              <w:tc>
                <w:tcPr>
                  <w:tcW w:w="864" w:type="pct"/>
                  <w:vAlign w:val="center"/>
                </w:tcPr>
                <w:p w14:paraId="5303DEB3">
                  <w:pPr>
                    <w:pStyle w:val="79"/>
                    <w:spacing w:line="240" w:lineRule="auto"/>
                    <w:jc w:val="center"/>
                    <w:rPr>
                      <w:rFonts w:ascii="Times New Roman" w:hAnsi="Times New Roman"/>
                      <w:color w:val="000000" w:themeColor="text1"/>
                      <w:sz w:val="21"/>
                      <w:szCs w:val="21"/>
                      <w:lang w:eastAsia="zh-CN"/>
                      <w14:textFill>
                        <w14:solidFill>
                          <w14:schemeClr w14:val="tx1"/>
                        </w14:solidFill>
                      </w14:textFill>
                    </w:rPr>
                  </w:pPr>
                  <w:r>
                    <w:rPr>
                      <w:rFonts w:ascii="Times New Roman" w:hAnsi="Times New Roman"/>
                      <w:color w:val="000000" w:themeColor="text1"/>
                      <w:sz w:val="21"/>
                      <w:szCs w:val="21"/>
                      <w:lang w:eastAsia="zh-CN"/>
                      <w14:textFill>
                        <w14:solidFill>
                          <w14:schemeClr w14:val="tx1"/>
                        </w14:solidFill>
                      </w14:textFill>
                    </w:rPr>
                    <w:t>0.003L</w:t>
                  </w:r>
                </w:p>
              </w:tc>
              <w:tc>
                <w:tcPr>
                  <w:tcW w:w="710" w:type="pct"/>
                  <w:vAlign w:val="center"/>
                </w:tcPr>
                <w:p w14:paraId="06E9473F">
                  <w:pPr>
                    <w:pStyle w:val="79"/>
                    <w:spacing w:line="240" w:lineRule="auto"/>
                    <w:jc w:val="center"/>
                    <w:rPr>
                      <w:rFonts w:ascii="Times New Roman" w:hAnsi="Times New Roman"/>
                      <w:color w:val="FF0000"/>
                      <w:sz w:val="21"/>
                      <w:szCs w:val="21"/>
                      <w:lang w:eastAsia="zh-CN"/>
                    </w:rPr>
                  </w:pPr>
                  <w:r>
                    <w:rPr>
                      <w:rFonts w:ascii="Times New Roman" w:hAnsi="Times New Roman"/>
                      <w:color w:val="FF0000"/>
                      <w:sz w:val="21"/>
                      <w:szCs w:val="21"/>
                      <w:lang w:eastAsia="zh-CN"/>
                    </w:rPr>
                    <w:t>0.003L</w:t>
                  </w:r>
                </w:p>
              </w:tc>
              <w:tc>
                <w:tcPr>
                  <w:tcW w:w="810" w:type="pct"/>
                  <w:vAlign w:val="center"/>
                </w:tcPr>
                <w:p w14:paraId="56834E12">
                  <w:pPr>
                    <w:pStyle w:val="79"/>
                    <w:spacing w:line="240" w:lineRule="auto"/>
                    <w:jc w:val="center"/>
                    <w:rPr>
                      <w:rFonts w:ascii="Times New Roman" w:hAnsi="Times New Roman"/>
                      <w:color w:val="000000" w:themeColor="text1"/>
                      <w:sz w:val="21"/>
                      <w:szCs w:val="21"/>
                      <w:lang w:eastAsia="zh-CN"/>
                      <w14:textFill>
                        <w14:solidFill>
                          <w14:schemeClr w14:val="tx1"/>
                        </w14:solidFill>
                      </w14:textFill>
                    </w:rPr>
                  </w:pPr>
                  <w:r>
                    <w:rPr>
                      <w:rFonts w:ascii="Times New Roman" w:hAnsi="Times New Roman"/>
                      <w:color w:val="000000" w:themeColor="text1"/>
                      <w:sz w:val="21"/>
                      <w:szCs w:val="21"/>
                      <w:lang w:eastAsia="zh-CN"/>
                      <w14:textFill>
                        <w14:solidFill>
                          <w14:schemeClr w14:val="tx1"/>
                        </w14:solidFill>
                      </w14:textFill>
                    </w:rPr>
                    <w:t>mg/L</w:t>
                  </w:r>
                </w:p>
              </w:tc>
              <w:tc>
                <w:tcPr>
                  <w:tcW w:w="1106" w:type="pct"/>
                  <w:vAlign w:val="center"/>
                </w:tcPr>
                <w:p w14:paraId="0656E89A">
                  <w:pPr>
                    <w:pStyle w:val="79"/>
                    <w:spacing w:line="240" w:lineRule="auto"/>
                    <w:jc w:val="center"/>
                    <w:rPr>
                      <w:rFonts w:ascii="Times New Roman" w:hAnsi="Times New Roman"/>
                      <w:color w:val="000000" w:themeColor="text1"/>
                      <w:sz w:val="21"/>
                      <w:szCs w:val="21"/>
                      <w:lang w:eastAsia="zh-CN"/>
                      <w14:textFill>
                        <w14:solidFill>
                          <w14:schemeClr w14:val="tx1"/>
                        </w14:solidFill>
                      </w14:textFill>
                    </w:rPr>
                  </w:pPr>
                  <w:r>
                    <w:rPr>
                      <w:rFonts w:ascii="Times New Roman" w:hAnsi="Times New Roman"/>
                      <w:color w:val="000000" w:themeColor="text1"/>
                      <w:sz w:val="21"/>
                      <w:szCs w:val="21"/>
                      <w:lang w:eastAsia="zh-CN"/>
                      <w14:textFill>
                        <w14:solidFill>
                          <w14:schemeClr w14:val="tx1"/>
                        </w14:solidFill>
                      </w14:textFill>
                    </w:rPr>
                    <w:t>≤1.00</w:t>
                  </w:r>
                </w:p>
              </w:tc>
              <w:tc>
                <w:tcPr>
                  <w:tcW w:w="558" w:type="pct"/>
                  <w:vAlign w:val="center"/>
                </w:tcPr>
                <w:p w14:paraId="4F260A2D">
                  <w:pPr>
                    <w:pStyle w:val="79"/>
                    <w:spacing w:line="240" w:lineRule="auto"/>
                    <w:jc w:val="center"/>
                    <w:rPr>
                      <w:rFonts w:ascii="Times New Roman" w:hAnsi="Times New Roman"/>
                      <w:color w:val="000000" w:themeColor="text1"/>
                      <w:sz w:val="21"/>
                      <w:szCs w:val="21"/>
                      <w:lang w:eastAsia="zh-CN"/>
                      <w14:textFill>
                        <w14:solidFill>
                          <w14:schemeClr w14:val="tx1"/>
                        </w14:solidFill>
                      </w14:textFill>
                    </w:rPr>
                  </w:pPr>
                  <w:r>
                    <w:rPr>
                      <w:rFonts w:ascii="Times New Roman" w:hAnsi="Times New Roman"/>
                      <w:color w:val="000000" w:themeColor="text1"/>
                      <w:sz w:val="21"/>
                      <w:szCs w:val="21"/>
                      <w:lang w:eastAsia="zh-CN"/>
                      <w14:textFill>
                        <w14:solidFill>
                          <w14:schemeClr w14:val="tx1"/>
                        </w14:solidFill>
                      </w14:textFill>
                    </w:rPr>
                    <w:t>达标</w:t>
                  </w:r>
                </w:p>
              </w:tc>
            </w:tr>
            <w:tr w14:paraId="7234499C">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49" w:type="pct"/>
                  <w:vAlign w:val="center"/>
                </w:tcPr>
                <w:p w14:paraId="0A6C7054">
                  <w:pPr>
                    <w:pStyle w:val="79"/>
                    <w:spacing w:line="240" w:lineRule="auto"/>
                    <w:jc w:val="center"/>
                    <w:rPr>
                      <w:rFonts w:ascii="Times New Roman" w:hAnsi="Times New Roman"/>
                      <w:color w:val="000000" w:themeColor="text1"/>
                      <w:sz w:val="21"/>
                      <w:szCs w:val="21"/>
                      <w:lang w:eastAsia="zh-CN"/>
                      <w14:textFill>
                        <w14:solidFill>
                          <w14:schemeClr w14:val="tx1"/>
                        </w14:solidFill>
                      </w14:textFill>
                    </w:rPr>
                  </w:pPr>
                  <w:r>
                    <w:rPr>
                      <w:rFonts w:ascii="Times New Roman" w:hAnsi="Times New Roman"/>
                      <w:color w:val="000000" w:themeColor="text1"/>
                      <w:sz w:val="21"/>
                      <w:szCs w:val="21"/>
                      <w:lang w:eastAsia="zh-CN"/>
                      <w14:textFill>
                        <w14:solidFill>
                          <w14:schemeClr w14:val="tx1"/>
                        </w14:solidFill>
                      </w14:textFill>
                    </w:rPr>
                    <w:t>挥发酚</w:t>
                  </w:r>
                </w:p>
              </w:tc>
              <w:tc>
                <w:tcPr>
                  <w:tcW w:w="864" w:type="pct"/>
                  <w:vAlign w:val="center"/>
                </w:tcPr>
                <w:p w14:paraId="7D1DFA83">
                  <w:pPr>
                    <w:pStyle w:val="79"/>
                    <w:spacing w:line="240" w:lineRule="auto"/>
                    <w:jc w:val="center"/>
                    <w:rPr>
                      <w:rFonts w:ascii="Times New Roman" w:hAnsi="Times New Roman"/>
                      <w:color w:val="000000" w:themeColor="text1"/>
                      <w:sz w:val="21"/>
                      <w:szCs w:val="21"/>
                      <w:lang w:eastAsia="zh-CN"/>
                      <w14:textFill>
                        <w14:solidFill>
                          <w14:schemeClr w14:val="tx1"/>
                        </w14:solidFill>
                      </w14:textFill>
                    </w:rPr>
                  </w:pPr>
                  <w:r>
                    <w:rPr>
                      <w:rFonts w:ascii="Times New Roman" w:hAnsi="Times New Roman"/>
                      <w:color w:val="000000" w:themeColor="text1"/>
                      <w:sz w:val="21"/>
                      <w:szCs w:val="21"/>
                      <w:lang w:eastAsia="zh-CN"/>
                      <w14:textFill>
                        <w14:solidFill>
                          <w14:schemeClr w14:val="tx1"/>
                        </w14:solidFill>
                      </w14:textFill>
                    </w:rPr>
                    <w:t>0.0006</w:t>
                  </w:r>
                </w:p>
              </w:tc>
              <w:tc>
                <w:tcPr>
                  <w:tcW w:w="710" w:type="pct"/>
                  <w:vAlign w:val="center"/>
                </w:tcPr>
                <w:p w14:paraId="3D5BC0D0">
                  <w:pPr>
                    <w:pStyle w:val="79"/>
                    <w:spacing w:line="240" w:lineRule="auto"/>
                    <w:jc w:val="center"/>
                    <w:rPr>
                      <w:rFonts w:hint="default" w:ascii="Times New Roman" w:hAnsi="Times New Roman"/>
                      <w:color w:val="FF0000"/>
                      <w:sz w:val="21"/>
                      <w:szCs w:val="21"/>
                      <w:lang w:val="en-US" w:eastAsia="zh-CN"/>
                    </w:rPr>
                  </w:pPr>
                  <w:r>
                    <w:rPr>
                      <w:rFonts w:hint="eastAsia" w:ascii="Times New Roman" w:hAnsi="Times New Roman"/>
                      <w:color w:val="FF0000"/>
                      <w:sz w:val="21"/>
                      <w:szCs w:val="21"/>
                      <w:lang w:val="en-US" w:eastAsia="zh-CN"/>
                    </w:rPr>
                    <w:t>0.0009</w:t>
                  </w:r>
                </w:p>
              </w:tc>
              <w:tc>
                <w:tcPr>
                  <w:tcW w:w="810" w:type="pct"/>
                  <w:vAlign w:val="center"/>
                </w:tcPr>
                <w:p w14:paraId="0220818C">
                  <w:pPr>
                    <w:pStyle w:val="79"/>
                    <w:spacing w:line="240" w:lineRule="auto"/>
                    <w:jc w:val="center"/>
                    <w:rPr>
                      <w:rFonts w:ascii="Times New Roman" w:hAnsi="Times New Roman"/>
                      <w:color w:val="000000" w:themeColor="text1"/>
                      <w:sz w:val="21"/>
                      <w:szCs w:val="21"/>
                      <w:lang w:eastAsia="zh-CN"/>
                      <w14:textFill>
                        <w14:solidFill>
                          <w14:schemeClr w14:val="tx1"/>
                        </w14:solidFill>
                      </w14:textFill>
                    </w:rPr>
                  </w:pPr>
                  <w:r>
                    <w:rPr>
                      <w:rFonts w:ascii="Times New Roman" w:hAnsi="Times New Roman"/>
                      <w:color w:val="000000" w:themeColor="text1"/>
                      <w:sz w:val="21"/>
                      <w:szCs w:val="21"/>
                      <w:lang w:eastAsia="zh-CN"/>
                      <w14:textFill>
                        <w14:solidFill>
                          <w14:schemeClr w14:val="tx1"/>
                        </w14:solidFill>
                      </w14:textFill>
                    </w:rPr>
                    <w:t>mg/L</w:t>
                  </w:r>
                </w:p>
              </w:tc>
              <w:tc>
                <w:tcPr>
                  <w:tcW w:w="1106" w:type="pct"/>
                  <w:vAlign w:val="center"/>
                </w:tcPr>
                <w:p w14:paraId="34167CCD">
                  <w:pPr>
                    <w:pStyle w:val="79"/>
                    <w:spacing w:line="240" w:lineRule="auto"/>
                    <w:jc w:val="center"/>
                    <w:rPr>
                      <w:rFonts w:ascii="Times New Roman" w:hAnsi="Times New Roman"/>
                      <w:color w:val="000000" w:themeColor="text1"/>
                      <w:sz w:val="21"/>
                      <w:szCs w:val="21"/>
                      <w:lang w:eastAsia="zh-CN"/>
                      <w14:textFill>
                        <w14:solidFill>
                          <w14:schemeClr w14:val="tx1"/>
                        </w14:solidFill>
                      </w14:textFill>
                    </w:rPr>
                  </w:pPr>
                  <w:r>
                    <w:rPr>
                      <w:rFonts w:ascii="Times New Roman" w:hAnsi="Times New Roman"/>
                      <w:color w:val="000000" w:themeColor="text1"/>
                      <w:sz w:val="21"/>
                      <w:szCs w:val="21"/>
                      <w:lang w:eastAsia="zh-CN"/>
                      <w14:textFill>
                        <w14:solidFill>
                          <w14:schemeClr w14:val="tx1"/>
                        </w14:solidFill>
                      </w14:textFill>
                    </w:rPr>
                    <w:t>≤0.002</w:t>
                  </w:r>
                </w:p>
              </w:tc>
              <w:tc>
                <w:tcPr>
                  <w:tcW w:w="558" w:type="pct"/>
                  <w:vAlign w:val="center"/>
                </w:tcPr>
                <w:p w14:paraId="5DBE8D01">
                  <w:pPr>
                    <w:pStyle w:val="79"/>
                    <w:spacing w:line="240" w:lineRule="auto"/>
                    <w:jc w:val="center"/>
                    <w:rPr>
                      <w:rFonts w:ascii="Times New Roman" w:hAnsi="Times New Roman"/>
                      <w:color w:val="000000" w:themeColor="text1"/>
                      <w:sz w:val="21"/>
                      <w:szCs w:val="21"/>
                      <w:lang w:eastAsia="zh-CN"/>
                      <w14:textFill>
                        <w14:solidFill>
                          <w14:schemeClr w14:val="tx1"/>
                        </w14:solidFill>
                      </w14:textFill>
                    </w:rPr>
                  </w:pPr>
                  <w:r>
                    <w:rPr>
                      <w:rFonts w:ascii="Times New Roman" w:hAnsi="Times New Roman"/>
                      <w:color w:val="000000" w:themeColor="text1"/>
                      <w:sz w:val="21"/>
                      <w:szCs w:val="21"/>
                      <w:lang w:eastAsia="zh-CN"/>
                      <w14:textFill>
                        <w14:solidFill>
                          <w14:schemeClr w14:val="tx1"/>
                        </w14:solidFill>
                      </w14:textFill>
                    </w:rPr>
                    <w:t>达标</w:t>
                  </w:r>
                </w:p>
              </w:tc>
            </w:tr>
            <w:tr w14:paraId="3ACC1785">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49" w:type="pct"/>
                  <w:vAlign w:val="center"/>
                </w:tcPr>
                <w:p w14:paraId="5AF8D53D">
                  <w:pPr>
                    <w:pStyle w:val="79"/>
                    <w:spacing w:line="240" w:lineRule="auto"/>
                    <w:jc w:val="center"/>
                    <w:rPr>
                      <w:rFonts w:ascii="Times New Roman" w:hAnsi="Times New Roman"/>
                      <w:color w:val="000000" w:themeColor="text1"/>
                      <w:sz w:val="21"/>
                      <w:szCs w:val="21"/>
                      <w:lang w:eastAsia="zh-CN"/>
                      <w14:textFill>
                        <w14:solidFill>
                          <w14:schemeClr w14:val="tx1"/>
                        </w14:solidFill>
                      </w14:textFill>
                    </w:rPr>
                  </w:pPr>
                  <w:r>
                    <w:rPr>
                      <w:rFonts w:ascii="Times New Roman" w:hAnsi="Times New Roman"/>
                      <w:color w:val="000000" w:themeColor="text1"/>
                      <w:sz w:val="21"/>
                      <w:szCs w:val="21"/>
                      <w:lang w:eastAsia="zh-CN"/>
                      <w14:textFill>
                        <w14:solidFill>
                          <w14:schemeClr w14:val="tx1"/>
                        </w14:solidFill>
                      </w14:textFill>
                    </w:rPr>
                    <w:t>氰化物</w:t>
                  </w:r>
                </w:p>
              </w:tc>
              <w:tc>
                <w:tcPr>
                  <w:tcW w:w="864" w:type="pct"/>
                  <w:vAlign w:val="center"/>
                </w:tcPr>
                <w:p w14:paraId="171970D6">
                  <w:pPr>
                    <w:pStyle w:val="79"/>
                    <w:spacing w:line="240" w:lineRule="auto"/>
                    <w:jc w:val="center"/>
                    <w:rPr>
                      <w:rFonts w:ascii="Times New Roman" w:hAnsi="Times New Roman"/>
                      <w:color w:val="000000" w:themeColor="text1"/>
                      <w:sz w:val="21"/>
                      <w:szCs w:val="21"/>
                      <w:lang w:eastAsia="zh-CN"/>
                      <w14:textFill>
                        <w14:solidFill>
                          <w14:schemeClr w14:val="tx1"/>
                        </w14:solidFill>
                      </w14:textFill>
                    </w:rPr>
                  </w:pPr>
                  <w:r>
                    <w:rPr>
                      <w:rFonts w:ascii="Times New Roman" w:hAnsi="Times New Roman"/>
                      <w:color w:val="000000" w:themeColor="text1"/>
                      <w:sz w:val="21"/>
                      <w:szCs w:val="21"/>
                      <w:lang w:eastAsia="zh-CN"/>
                      <w14:textFill>
                        <w14:solidFill>
                          <w14:schemeClr w14:val="tx1"/>
                        </w14:solidFill>
                      </w14:textFill>
                    </w:rPr>
                    <w:t>0.002L</w:t>
                  </w:r>
                </w:p>
              </w:tc>
              <w:tc>
                <w:tcPr>
                  <w:tcW w:w="710" w:type="pct"/>
                  <w:vAlign w:val="center"/>
                </w:tcPr>
                <w:p w14:paraId="6B7C3AF0">
                  <w:pPr>
                    <w:pStyle w:val="79"/>
                    <w:spacing w:line="240" w:lineRule="auto"/>
                    <w:jc w:val="center"/>
                    <w:rPr>
                      <w:rFonts w:ascii="Times New Roman" w:hAnsi="Times New Roman"/>
                      <w:color w:val="FF0000"/>
                      <w:sz w:val="21"/>
                      <w:szCs w:val="21"/>
                      <w:lang w:eastAsia="zh-CN"/>
                    </w:rPr>
                  </w:pPr>
                  <w:r>
                    <w:rPr>
                      <w:rFonts w:ascii="Times New Roman" w:hAnsi="Times New Roman"/>
                      <w:color w:val="FF0000"/>
                      <w:sz w:val="21"/>
                      <w:szCs w:val="21"/>
                      <w:lang w:eastAsia="zh-CN"/>
                    </w:rPr>
                    <w:t>0.002L</w:t>
                  </w:r>
                </w:p>
              </w:tc>
              <w:tc>
                <w:tcPr>
                  <w:tcW w:w="810" w:type="pct"/>
                  <w:vAlign w:val="center"/>
                </w:tcPr>
                <w:p w14:paraId="460A75E4">
                  <w:pPr>
                    <w:pStyle w:val="79"/>
                    <w:spacing w:line="240" w:lineRule="auto"/>
                    <w:jc w:val="center"/>
                    <w:rPr>
                      <w:rFonts w:ascii="Times New Roman" w:hAnsi="Times New Roman"/>
                      <w:color w:val="000000" w:themeColor="text1"/>
                      <w:sz w:val="21"/>
                      <w:szCs w:val="21"/>
                      <w:lang w:eastAsia="zh-CN"/>
                      <w14:textFill>
                        <w14:solidFill>
                          <w14:schemeClr w14:val="tx1"/>
                        </w14:solidFill>
                      </w14:textFill>
                    </w:rPr>
                  </w:pPr>
                  <w:r>
                    <w:rPr>
                      <w:rFonts w:ascii="Times New Roman" w:hAnsi="Times New Roman"/>
                      <w:color w:val="000000" w:themeColor="text1"/>
                      <w:sz w:val="21"/>
                      <w:szCs w:val="21"/>
                      <w:lang w:eastAsia="zh-CN"/>
                      <w14:textFill>
                        <w14:solidFill>
                          <w14:schemeClr w14:val="tx1"/>
                        </w14:solidFill>
                      </w14:textFill>
                    </w:rPr>
                    <w:t>mg/L</w:t>
                  </w:r>
                </w:p>
              </w:tc>
              <w:tc>
                <w:tcPr>
                  <w:tcW w:w="1106" w:type="pct"/>
                  <w:vAlign w:val="center"/>
                </w:tcPr>
                <w:p w14:paraId="1A5995DB">
                  <w:pPr>
                    <w:pStyle w:val="79"/>
                    <w:spacing w:line="240" w:lineRule="auto"/>
                    <w:jc w:val="center"/>
                    <w:rPr>
                      <w:rFonts w:ascii="Times New Roman" w:hAnsi="Times New Roman"/>
                      <w:color w:val="000000" w:themeColor="text1"/>
                      <w:sz w:val="21"/>
                      <w:szCs w:val="21"/>
                      <w:lang w:eastAsia="zh-CN"/>
                      <w14:textFill>
                        <w14:solidFill>
                          <w14:schemeClr w14:val="tx1"/>
                        </w14:solidFill>
                      </w14:textFill>
                    </w:rPr>
                  </w:pPr>
                  <w:r>
                    <w:rPr>
                      <w:rFonts w:ascii="Times New Roman" w:hAnsi="Times New Roman"/>
                      <w:color w:val="000000" w:themeColor="text1"/>
                      <w:sz w:val="21"/>
                      <w:szCs w:val="21"/>
                      <w:lang w:eastAsia="zh-CN"/>
                      <w14:textFill>
                        <w14:solidFill>
                          <w14:schemeClr w14:val="tx1"/>
                        </w14:solidFill>
                      </w14:textFill>
                    </w:rPr>
                    <w:t>≤0.05</w:t>
                  </w:r>
                </w:p>
              </w:tc>
              <w:tc>
                <w:tcPr>
                  <w:tcW w:w="558" w:type="pct"/>
                  <w:vAlign w:val="center"/>
                </w:tcPr>
                <w:p w14:paraId="79D6A6DB">
                  <w:pPr>
                    <w:pStyle w:val="79"/>
                    <w:spacing w:line="240" w:lineRule="auto"/>
                    <w:jc w:val="center"/>
                    <w:rPr>
                      <w:rFonts w:ascii="Times New Roman" w:hAnsi="Times New Roman"/>
                      <w:color w:val="000000" w:themeColor="text1"/>
                      <w:sz w:val="21"/>
                      <w:szCs w:val="21"/>
                      <w:lang w:eastAsia="zh-CN"/>
                      <w14:textFill>
                        <w14:solidFill>
                          <w14:schemeClr w14:val="tx1"/>
                        </w14:solidFill>
                      </w14:textFill>
                    </w:rPr>
                  </w:pPr>
                  <w:r>
                    <w:rPr>
                      <w:rFonts w:ascii="Times New Roman" w:hAnsi="Times New Roman"/>
                      <w:color w:val="000000" w:themeColor="text1"/>
                      <w:sz w:val="21"/>
                      <w:szCs w:val="21"/>
                      <w:lang w:eastAsia="zh-CN"/>
                      <w14:textFill>
                        <w14:solidFill>
                          <w14:schemeClr w14:val="tx1"/>
                        </w14:solidFill>
                      </w14:textFill>
                    </w:rPr>
                    <w:t>达标</w:t>
                  </w:r>
                </w:p>
              </w:tc>
            </w:tr>
            <w:tr w14:paraId="0D5B4435">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49" w:type="pct"/>
                  <w:vAlign w:val="center"/>
                </w:tcPr>
                <w:p w14:paraId="42AF1BD0">
                  <w:pPr>
                    <w:pStyle w:val="79"/>
                    <w:spacing w:line="240" w:lineRule="auto"/>
                    <w:jc w:val="center"/>
                    <w:rPr>
                      <w:rFonts w:ascii="Times New Roman" w:hAnsi="Times New Roman"/>
                      <w:color w:val="000000" w:themeColor="text1"/>
                      <w:sz w:val="21"/>
                      <w:szCs w:val="21"/>
                      <w:lang w:eastAsia="zh-CN"/>
                      <w14:textFill>
                        <w14:solidFill>
                          <w14:schemeClr w14:val="tx1"/>
                        </w14:solidFill>
                      </w14:textFill>
                    </w:rPr>
                  </w:pPr>
                  <w:r>
                    <w:rPr>
                      <w:rFonts w:ascii="Times New Roman" w:hAnsi="Times New Roman"/>
                      <w:color w:val="000000" w:themeColor="text1"/>
                      <w:sz w:val="21"/>
                      <w:szCs w:val="21"/>
                      <w:lang w:eastAsia="zh-CN"/>
                      <w14:textFill>
                        <w14:solidFill>
                          <w14:schemeClr w14:val="tx1"/>
                        </w14:solidFill>
                      </w14:textFill>
                    </w:rPr>
                    <w:t>汞</w:t>
                  </w:r>
                </w:p>
              </w:tc>
              <w:tc>
                <w:tcPr>
                  <w:tcW w:w="864" w:type="pct"/>
                  <w:vAlign w:val="center"/>
                </w:tcPr>
                <w:p w14:paraId="52CAD3E0">
                  <w:pPr>
                    <w:pStyle w:val="79"/>
                    <w:spacing w:line="240" w:lineRule="auto"/>
                    <w:jc w:val="center"/>
                    <w:rPr>
                      <w:rFonts w:ascii="Times New Roman" w:hAnsi="Times New Roman"/>
                      <w:color w:val="000000" w:themeColor="text1"/>
                      <w:sz w:val="21"/>
                      <w:szCs w:val="21"/>
                      <w:lang w:eastAsia="zh-CN"/>
                      <w14:textFill>
                        <w14:solidFill>
                          <w14:schemeClr w14:val="tx1"/>
                        </w14:solidFill>
                      </w14:textFill>
                    </w:rPr>
                  </w:pPr>
                  <w:r>
                    <w:rPr>
                      <w:rFonts w:hint="eastAsia" w:ascii="Times New Roman" w:hAnsi="Times New Roman"/>
                      <w:color w:val="000000" w:themeColor="text1"/>
                      <w:sz w:val="21"/>
                      <w:szCs w:val="21"/>
                      <w:lang w:eastAsia="zh-CN"/>
                      <w14:textFill>
                        <w14:solidFill>
                          <w14:schemeClr w14:val="tx1"/>
                        </w14:solidFill>
                      </w14:textFill>
                    </w:rPr>
                    <w:t>0.15</w:t>
                  </w:r>
                </w:p>
              </w:tc>
              <w:tc>
                <w:tcPr>
                  <w:tcW w:w="710" w:type="pct"/>
                  <w:vAlign w:val="center"/>
                </w:tcPr>
                <w:p w14:paraId="68FB1FF5">
                  <w:pPr>
                    <w:pStyle w:val="79"/>
                    <w:spacing w:line="240" w:lineRule="auto"/>
                    <w:jc w:val="center"/>
                    <w:rPr>
                      <w:rFonts w:hint="default" w:ascii="Times New Roman" w:hAnsi="Times New Roman" w:eastAsia="宋体"/>
                      <w:color w:val="FF0000"/>
                      <w:sz w:val="21"/>
                      <w:szCs w:val="21"/>
                      <w:lang w:val="en-US" w:eastAsia="zh-CN"/>
                    </w:rPr>
                  </w:pPr>
                  <w:r>
                    <w:rPr>
                      <w:rFonts w:hint="eastAsia" w:ascii="Times New Roman" w:hAnsi="Times New Roman"/>
                      <w:color w:val="FF0000"/>
                      <w:sz w:val="21"/>
                      <w:szCs w:val="21"/>
                      <w:lang w:val="en-US" w:eastAsia="zh-CN"/>
                    </w:rPr>
                    <w:t>0.04L</w:t>
                  </w:r>
                </w:p>
              </w:tc>
              <w:tc>
                <w:tcPr>
                  <w:tcW w:w="810" w:type="pct"/>
                  <w:vAlign w:val="center"/>
                </w:tcPr>
                <w:p w14:paraId="4A2F25FF">
                  <w:pPr>
                    <w:pStyle w:val="79"/>
                    <w:spacing w:line="240" w:lineRule="auto"/>
                    <w:jc w:val="center"/>
                    <w:rPr>
                      <w:rFonts w:ascii="Times New Roman" w:hAnsi="Times New Roman"/>
                      <w:color w:val="000000" w:themeColor="text1"/>
                      <w:sz w:val="21"/>
                      <w:szCs w:val="21"/>
                      <w:lang w:eastAsia="zh-CN"/>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μ</w:t>
                  </w:r>
                  <w:r>
                    <w:rPr>
                      <w:rFonts w:ascii="Times New Roman" w:hAnsi="Times New Roman"/>
                      <w:color w:val="000000" w:themeColor="text1"/>
                      <w:sz w:val="21"/>
                      <w:szCs w:val="21"/>
                      <w:lang w:eastAsia="zh-CN"/>
                      <w14:textFill>
                        <w14:solidFill>
                          <w14:schemeClr w14:val="tx1"/>
                        </w14:solidFill>
                      </w14:textFill>
                    </w:rPr>
                    <w:t>g/L</w:t>
                  </w:r>
                </w:p>
              </w:tc>
              <w:tc>
                <w:tcPr>
                  <w:tcW w:w="1106" w:type="pct"/>
                  <w:vAlign w:val="center"/>
                </w:tcPr>
                <w:p w14:paraId="0DD17783">
                  <w:pPr>
                    <w:pStyle w:val="79"/>
                    <w:spacing w:line="240" w:lineRule="auto"/>
                    <w:jc w:val="center"/>
                    <w:rPr>
                      <w:rFonts w:ascii="Times New Roman" w:hAnsi="Times New Roman"/>
                      <w:color w:val="000000" w:themeColor="text1"/>
                      <w:sz w:val="21"/>
                      <w:szCs w:val="21"/>
                      <w:lang w:eastAsia="zh-CN"/>
                      <w14:textFill>
                        <w14:solidFill>
                          <w14:schemeClr w14:val="tx1"/>
                        </w14:solidFill>
                      </w14:textFill>
                    </w:rPr>
                  </w:pPr>
                  <w:r>
                    <w:rPr>
                      <w:rFonts w:ascii="Times New Roman" w:hAnsi="Times New Roman"/>
                      <w:color w:val="000000" w:themeColor="text1"/>
                      <w:sz w:val="21"/>
                      <w:szCs w:val="21"/>
                      <w:lang w:eastAsia="zh-CN"/>
                      <w14:textFill>
                        <w14:solidFill>
                          <w14:schemeClr w14:val="tx1"/>
                        </w14:solidFill>
                      </w14:textFill>
                    </w:rPr>
                    <w:t>≤</w:t>
                  </w:r>
                  <w:r>
                    <w:rPr>
                      <w:rFonts w:hint="eastAsia" w:ascii="Times New Roman" w:hAnsi="Times New Roman"/>
                      <w:color w:val="000000" w:themeColor="text1"/>
                      <w:sz w:val="21"/>
                      <w:szCs w:val="21"/>
                      <w:lang w:val="en-US" w:eastAsia="zh-CN"/>
                      <w14:textFill>
                        <w14:solidFill>
                          <w14:schemeClr w14:val="tx1"/>
                        </w14:solidFill>
                      </w14:textFill>
                    </w:rPr>
                    <w:t>1</w:t>
                  </w:r>
                </w:p>
              </w:tc>
              <w:tc>
                <w:tcPr>
                  <w:tcW w:w="558" w:type="pct"/>
                  <w:vAlign w:val="center"/>
                </w:tcPr>
                <w:p w14:paraId="37E2A831">
                  <w:pPr>
                    <w:pStyle w:val="79"/>
                    <w:spacing w:line="240" w:lineRule="auto"/>
                    <w:jc w:val="center"/>
                    <w:rPr>
                      <w:rFonts w:ascii="Times New Roman" w:hAnsi="Times New Roman"/>
                      <w:color w:val="000000" w:themeColor="text1"/>
                      <w:sz w:val="21"/>
                      <w:szCs w:val="21"/>
                      <w:lang w:eastAsia="zh-CN"/>
                      <w14:textFill>
                        <w14:solidFill>
                          <w14:schemeClr w14:val="tx1"/>
                        </w14:solidFill>
                      </w14:textFill>
                    </w:rPr>
                  </w:pPr>
                  <w:r>
                    <w:rPr>
                      <w:rFonts w:ascii="Times New Roman" w:hAnsi="Times New Roman"/>
                      <w:color w:val="000000" w:themeColor="text1"/>
                      <w:sz w:val="21"/>
                      <w:szCs w:val="21"/>
                      <w:lang w:eastAsia="zh-CN"/>
                      <w14:textFill>
                        <w14:solidFill>
                          <w14:schemeClr w14:val="tx1"/>
                        </w14:solidFill>
                      </w14:textFill>
                    </w:rPr>
                    <w:t>达标</w:t>
                  </w:r>
                </w:p>
              </w:tc>
            </w:tr>
            <w:tr w14:paraId="2469CD53">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49" w:type="pct"/>
                  <w:vAlign w:val="center"/>
                </w:tcPr>
                <w:p w14:paraId="01546805">
                  <w:pPr>
                    <w:pStyle w:val="79"/>
                    <w:spacing w:line="240" w:lineRule="auto"/>
                    <w:jc w:val="center"/>
                    <w:rPr>
                      <w:rFonts w:ascii="Times New Roman" w:hAnsi="Times New Roman"/>
                      <w:color w:val="000000" w:themeColor="text1"/>
                      <w:sz w:val="21"/>
                      <w:szCs w:val="21"/>
                      <w:lang w:eastAsia="zh-CN"/>
                      <w14:textFill>
                        <w14:solidFill>
                          <w14:schemeClr w14:val="tx1"/>
                        </w14:solidFill>
                      </w14:textFill>
                    </w:rPr>
                  </w:pPr>
                  <w:r>
                    <w:rPr>
                      <w:rFonts w:ascii="Times New Roman" w:hAnsi="Times New Roman"/>
                      <w:color w:val="000000" w:themeColor="text1"/>
                      <w:sz w:val="21"/>
                      <w:szCs w:val="21"/>
                      <w:lang w:eastAsia="zh-CN"/>
                      <w14:textFill>
                        <w14:solidFill>
                          <w14:schemeClr w14:val="tx1"/>
                        </w14:solidFill>
                      </w14:textFill>
                    </w:rPr>
                    <w:t>砷</w:t>
                  </w:r>
                </w:p>
              </w:tc>
              <w:tc>
                <w:tcPr>
                  <w:tcW w:w="864" w:type="pct"/>
                  <w:vAlign w:val="center"/>
                </w:tcPr>
                <w:p w14:paraId="1E27353A">
                  <w:pPr>
                    <w:pStyle w:val="79"/>
                    <w:spacing w:line="240" w:lineRule="auto"/>
                    <w:jc w:val="center"/>
                    <w:rPr>
                      <w:rFonts w:ascii="Times New Roman" w:hAnsi="Times New Roman"/>
                      <w:color w:val="000000" w:themeColor="text1"/>
                      <w:sz w:val="21"/>
                      <w:szCs w:val="21"/>
                      <w:lang w:eastAsia="zh-CN"/>
                      <w14:textFill>
                        <w14:solidFill>
                          <w14:schemeClr w14:val="tx1"/>
                        </w14:solidFill>
                      </w14:textFill>
                    </w:rPr>
                  </w:pPr>
                  <w:r>
                    <w:rPr>
                      <w:rFonts w:hint="eastAsia" w:ascii="Times New Roman" w:hAnsi="Times New Roman"/>
                      <w:color w:val="000000" w:themeColor="text1"/>
                      <w:sz w:val="21"/>
                      <w:szCs w:val="21"/>
                      <w:lang w:eastAsia="zh-CN"/>
                      <w14:textFill>
                        <w14:solidFill>
                          <w14:schemeClr w14:val="tx1"/>
                        </w14:solidFill>
                      </w14:textFill>
                    </w:rPr>
                    <w:t>0.6</w:t>
                  </w:r>
                </w:p>
              </w:tc>
              <w:tc>
                <w:tcPr>
                  <w:tcW w:w="710" w:type="pct"/>
                  <w:vAlign w:val="center"/>
                </w:tcPr>
                <w:p w14:paraId="71DE617C">
                  <w:pPr>
                    <w:pStyle w:val="79"/>
                    <w:spacing w:line="240" w:lineRule="auto"/>
                    <w:jc w:val="center"/>
                    <w:rPr>
                      <w:rFonts w:hint="default" w:ascii="Times New Roman" w:hAnsi="Times New Roman" w:eastAsia="宋体"/>
                      <w:color w:val="FF0000"/>
                      <w:sz w:val="21"/>
                      <w:szCs w:val="21"/>
                      <w:lang w:val="en-US" w:eastAsia="zh-CN"/>
                    </w:rPr>
                  </w:pPr>
                  <w:r>
                    <w:rPr>
                      <w:rFonts w:hint="eastAsia" w:ascii="Times New Roman" w:hAnsi="Times New Roman"/>
                      <w:color w:val="FF0000"/>
                      <w:sz w:val="21"/>
                      <w:szCs w:val="21"/>
                      <w:lang w:val="en-US" w:eastAsia="zh-CN"/>
                    </w:rPr>
                    <w:t>0.3L</w:t>
                  </w:r>
                </w:p>
              </w:tc>
              <w:tc>
                <w:tcPr>
                  <w:tcW w:w="810" w:type="pct"/>
                  <w:vAlign w:val="center"/>
                </w:tcPr>
                <w:p w14:paraId="6131A865">
                  <w:pPr>
                    <w:pStyle w:val="79"/>
                    <w:spacing w:line="240" w:lineRule="auto"/>
                    <w:jc w:val="center"/>
                    <w:rPr>
                      <w:rFonts w:ascii="Times New Roman" w:hAnsi="Times New Roman"/>
                      <w:color w:val="000000" w:themeColor="text1"/>
                      <w:sz w:val="21"/>
                      <w:szCs w:val="21"/>
                      <w:lang w:eastAsia="zh-CN"/>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μ</w:t>
                  </w:r>
                  <w:r>
                    <w:rPr>
                      <w:rFonts w:ascii="Times New Roman" w:hAnsi="Times New Roman"/>
                      <w:color w:val="000000" w:themeColor="text1"/>
                      <w:sz w:val="21"/>
                      <w:szCs w:val="21"/>
                      <w:lang w:eastAsia="zh-CN"/>
                      <w14:textFill>
                        <w14:solidFill>
                          <w14:schemeClr w14:val="tx1"/>
                        </w14:solidFill>
                      </w14:textFill>
                    </w:rPr>
                    <w:t>g/L</w:t>
                  </w:r>
                </w:p>
              </w:tc>
              <w:tc>
                <w:tcPr>
                  <w:tcW w:w="1106" w:type="pct"/>
                  <w:vAlign w:val="center"/>
                </w:tcPr>
                <w:p w14:paraId="4916041E">
                  <w:pPr>
                    <w:pStyle w:val="79"/>
                    <w:spacing w:line="240" w:lineRule="auto"/>
                    <w:jc w:val="center"/>
                    <w:rPr>
                      <w:rFonts w:hint="default" w:ascii="Times New Roman" w:hAnsi="Times New Roman"/>
                      <w:color w:val="000000" w:themeColor="text1"/>
                      <w:sz w:val="21"/>
                      <w:szCs w:val="21"/>
                      <w:lang w:val="en-US" w:eastAsia="zh-CN"/>
                      <w14:textFill>
                        <w14:solidFill>
                          <w14:schemeClr w14:val="tx1"/>
                        </w14:solidFill>
                      </w14:textFill>
                    </w:rPr>
                  </w:pPr>
                  <w:r>
                    <w:rPr>
                      <w:rFonts w:ascii="Times New Roman" w:hAnsi="Times New Roman"/>
                      <w:color w:val="000000" w:themeColor="text1"/>
                      <w:sz w:val="21"/>
                      <w:szCs w:val="21"/>
                      <w:lang w:eastAsia="zh-CN"/>
                      <w14:textFill>
                        <w14:solidFill>
                          <w14:schemeClr w14:val="tx1"/>
                        </w14:solidFill>
                      </w14:textFill>
                    </w:rPr>
                    <w:t>≤</w:t>
                  </w:r>
                  <w:r>
                    <w:rPr>
                      <w:rFonts w:hint="eastAsia" w:ascii="Times New Roman" w:hAnsi="Times New Roman"/>
                      <w:color w:val="000000" w:themeColor="text1"/>
                      <w:sz w:val="21"/>
                      <w:szCs w:val="21"/>
                      <w:lang w:val="en-US" w:eastAsia="zh-CN"/>
                      <w14:textFill>
                        <w14:solidFill>
                          <w14:schemeClr w14:val="tx1"/>
                        </w14:solidFill>
                      </w14:textFill>
                    </w:rPr>
                    <w:t>10</w:t>
                  </w:r>
                </w:p>
              </w:tc>
              <w:tc>
                <w:tcPr>
                  <w:tcW w:w="558" w:type="pct"/>
                  <w:vAlign w:val="center"/>
                </w:tcPr>
                <w:p w14:paraId="6CA8D7C0">
                  <w:pPr>
                    <w:pStyle w:val="79"/>
                    <w:spacing w:line="240" w:lineRule="auto"/>
                    <w:jc w:val="center"/>
                    <w:rPr>
                      <w:rFonts w:ascii="Times New Roman" w:hAnsi="Times New Roman"/>
                      <w:color w:val="000000" w:themeColor="text1"/>
                      <w:sz w:val="21"/>
                      <w:szCs w:val="21"/>
                      <w:lang w:eastAsia="zh-CN"/>
                      <w14:textFill>
                        <w14:solidFill>
                          <w14:schemeClr w14:val="tx1"/>
                        </w14:solidFill>
                      </w14:textFill>
                    </w:rPr>
                  </w:pPr>
                  <w:r>
                    <w:rPr>
                      <w:rFonts w:ascii="Times New Roman" w:hAnsi="Times New Roman"/>
                      <w:color w:val="000000" w:themeColor="text1"/>
                      <w:sz w:val="21"/>
                      <w:szCs w:val="21"/>
                      <w:lang w:eastAsia="zh-CN"/>
                      <w14:textFill>
                        <w14:solidFill>
                          <w14:schemeClr w14:val="tx1"/>
                        </w14:solidFill>
                      </w14:textFill>
                    </w:rPr>
                    <w:t>达标</w:t>
                  </w:r>
                </w:p>
              </w:tc>
            </w:tr>
            <w:tr w14:paraId="60DDDA83">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49" w:type="pct"/>
                  <w:vAlign w:val="center"/>
                </w:tcPr>
                <w:p w14:paraId="09F6A446">
                  <w:pPr>
                    <w:pStyle w:val="79"/>
                    <w:spacing w:line="240" w:lineRule="auto"/>
                    <w:jc w:val="center"/>
                    <w:rPr>
                      <w:rFonts w:ascii="Times New Roman" w:hAnsi="Times New Roman"/>
                      <w:color w:val="000000" w:themeColor="text1"/>
                      <w:sz w:val="21"/>
                      <w:szCs w:val="21"/>
                      <w:lang w:eastAsia="zh-CN"/>
                      <w14:textFill>
                        <w14:solidFill>
                          <w14:schemeClr w14:val="tx1"/>
                        </w14:solidFill>
                      </w14:textFill>
                    </w:rPr>
                  </w:pPr>
                  <w:r>
                    <w:rPr>
                      <w:rFonts w:ascii="Times New Roman" w:hAnsi="Times New Roman"/>
                      <w:color w:val="000000" w:themeColor="text1"/>
                      <w:sz w:val="21"/>
                      <w:szCs w:val="21"/>
                      <w:lang w:eastAsia="zh-CN"/>
                      <w14:textFill>
                        <w14:solidFill>
                          <w14:schemeClr w14:val="tx1"/>
                        </w14:solidFill>
                      </w14:textFill>
                    </w:rPr>
                    <w:t>六价铬</w:t>
                  </w:r>
                </w:p>
              </w:tc>
              <w:tc>
                <w:tcPr>
                  <w:tcW w:w="864" w:type="pct"/>
                  <w:vAlign w:val="center"/>
                </w:tcPr>
                <w:p w14:paraId="5608D0F8">
                  <w:pPr>
                    <w:pStyle w:val="79"/>
                    <w:spacing w:line="240" w:lineRule="auto"/>
                    <w:jc w:val="center"/>
                    <w:rPr>
                      <w:rFonts w:ascii="Times New Roman" w:hAnsi="Times New Roman"/>
                      <w:color w:val="000000" w:themeColor="text1"/>
                      <w:sz w:val="21"/>
                      <w:szCs w:val="21"/>
                      <w:lang w:eastAsia="zh-CN"/>
                      <w14:textFill>
                        <w14:solidFill>
                          <w14:schemeClr w14:val="tx1"/>
                        </w14:solidFill>
                      </w14:textFill>
                    </w:rPr>
                  </w:pPr>
                  <w:r>
                    <w:rPr>
                      <w:rFonts w:ascii="Times New Roman" w:hAnsi="Times New Roman"/>
                      <w:color w:val="000000" w:themeColor="text1"/>
                      <w:sz w:val="21"/>
                      <w:szCs w:val="21"/>
                      <w:lang w:eastAsia="zh-CN"/>
                      <w14:textFill>
                        <w14:solidFill>
                          <w14:schemeClr w14:val="tx1"/>
                        </w14:solidFill>
                      </w14:textFill>
                    </w:rPr>
                    <w:t>0.004L</w:t>
                  </w:r>
                </w:p>
              </w:tc>
              <w:tc>
                <w:tcPr>
                  <w:tcW w:w="710" w:type="pct"/>
                  <w:vAlign w:val="center"/>
                </w:tcPr>
                <w:p w14:paraId="033CA54D">
                  <w:pPr>
                    <w:pStyle w:val="79"/>
                    <w:spacing w:line="240" w:lineRule="auto"/>
                    <w:jc w:val="center"/>
                    <w:rPr>
                      <w:rFonts w:ascii="Times New Roman" w:hAnsi="Times New Roman"/>
                      <w:color w:val="FF0000"/>
                      <w:sz w:val="21"/>
                      <w:szCs w:val="21"/>
                      <w:lang w:eastAsia="zh-CN"/>
                    </w:rPr>
                  </w:pPr>
                  <w:r>
                    <w:rPr>
                      <w:rFonts w:ascii="Times New Roman" w:hAnsi="Times New Roman"/>
                      <w:color w:val="FF0000"/>
                      <w:sz w:val="21"/>
                      <w:szCs w:val="21"/>
                      <w:lang w:eastAsia="zh-CN"/>
                    </w:rPr>
                    <w:t>0.004L</w:t>
                  </w:r>
                </w:p>
              </w:tc>
              <w:tc>
                <w:tcPr>
                  <w:tcW w:w="810" w:type="pct"/>
                  <w:vAlign w:val="center"/>
                </w:tcPr>
                <w:p w14:paraId="2B459522">
                  <w:pPr>
                    <w:pStyle w:val="79"/>
                    <w:spacing w:line="240" w:lineRule="auto"/>
                    <w:jc w:val="center"/>
                    <w:rPr>
                      <w:rFonts w:ascii="Times New Roman" w:hAnsi="Times New Roman"/>
                      <w:color w:val="000000" w:themeColor="text1"/>
                      <w:sz w:val="21"/>
                      <w:szCs w:val="21"/>
                      <w:lang w:eastAsia="zh-CN"/>
                      <w14:textFill>
                        <w14:solidFill>
                          <w14:schemeClr w14:val="tx1"/>
                        </w14:solidFill>
                      </w14:textFill>
                    </w:rPr>
                  </w:pPr>
                  <w:r>
                    <w:rPr>
                      <w:rFonts w:ascii="Times New Roman" w:hAnsi="Times New Roman"/>
                      <w:color w:val="000000" w:themeColor="text1"/>
                      <w:sz w:val="21"/>
                      <w:szCs w:val="21"/>
                      <w:lang w:eastAsia="zh-CN"/>
                      <w14:textFill>
                        <w14:solidFill>
                          <w14:schemeClr w14:val="tx1"/>
                        </w14:solidFill>
                      </w14:textFill>
                    </w:rPr>
                    <w:t>mg/L</w:t>
                  </w:r>
                </w:p>
              </w:tc>
              <w:tc>
                <w:tcPr>
                  <w:tcW w:w="1106" w:type="pct"/>
                  <w:vAlign w:val="center"/>
                </w:tcPr>
                <w:p w14:paraId="2777076E">
                  <w:pPr>
                    <w:pStyle w:val="79"/>
                    <w:spacing w:line="240" w:lineRule="auto"/>
                    <w:jc w:val="center"/>
                    <w:rPr>
                      <w:rFonts w:ascii="Times New Roman" w:hAnsi="Times New Roman"/>
                      <w:color w:val="000000" w:themeColor="text1"/>
                      <w:sz w:val="21"/>
                      <w:szCs w:val="21"/>
                      <w:lang w:eastAsia="zh-CN"/>
                      <w14:textFill>
                        <w14:solidFill>
                          <w14:schemeClr w14:val="tx1"/>
                        </w14:solidFill>
                      </w14:textFill>
                    </w:rPr>
                  </w:pPr>
                  <w:r>
                    <w:rPr>
                      <w:rFonts w:ascii="Times New Roman" w:hAnsi="Times New Roman"/>
                      <w:color w:val="000000" w:themeColor="text1"/>
                      <w:sz w:val="21"/>
                      <w:szCs w:val="21"/>
                      <w:lang w:eastAsia="zh-CN"/>
                      <w14:textFill>
                        <w14:solidFill>
                          <w14:schemeClr w14:val="tx1"/>
                        </w14:solidFill>
                      </w14:textFill>
                    </w:rPr>
                    <w:t>≤0.05</w:t>
                  </w:r>
                </w:p>
              </w:tc>
              <w:tc>
                <w:tcPr>
                  <w:tcW w:w="558" w:type="pct"/>
                  <w:vAlign w:val="center"/>
                </w:tcPr>
                <w:p w14:paraId="1C64C4C7">
                  <w:pPr>
                    <w:pStyle w:val="79"/>
                    <w:spacing w:line="240" w:lineRule="auto"/>
                    <w:jc w:val="center"/>
                    <w:rPr>
                      <w:rFonts w:ascii="Times New Roman" w:hAnsi="Times New Roman"/>
                      <w:color w:val="000000" w:themeColor="text1"/>
                      <w:sz w:val="21"/>
                      <w:szCs w:val="21"/>
                      <w:lang w:eastAsia="zh-CN"/>
                      <w14:textFill>
                        <w14:solidFill>
                          <w14:schemeClr w14:val="tx1"/>
                        </w14:solidFill>
                      </w14:textFill>
                    </w:rPr>
                  </w:pPr>
                  <w:r>
                    <w:rPr>
                      <w:rFonts w:ascii="Times New Roman" w:hAnsi="Times New Roman"/>
                      <w:color w:val="000000" w:themeColor="text1"/>
                      <w:sz w:val="21"/>
                      <w:szCs w:val="21"/>
                      <w:lang w:eastAsia="zh-CN"/>
                      <w14:textFill>
                        <w14:solidFill>
                          <w14:schemeClr w14:val="tx1"/>
                        </w14:solidFill>
                      </w14:textFill>
                    </w:rPr>
                    <w:t>达标</w:t>
                  </w:r>
                </w:p>
              </w:tc>
            </w:tr>
            <w:tr w14:paraId="622F3FFB">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49" w:type="pct"/>
                  <w:vAlign w:val="center"/>
                </w:tcPr>
                <w:p w14:paraId="3A14B3B9">
                  <w:pPr>
                    <w:pStyle w:val="79"/>
                    <w:spacing w:line="240" w:lineRule="auto"/>
                    <w:jc w:val="center"/>
                    <w:rPr>
                      <w:rFonts w:ascii="Times New Roman" w:hAnsi="Times New Roman"/>
                      <w:color w:val="000000" w:themeColor="text1"/>
                      <w:sz w:val="21"/>
                      <w:szCs w:val="21"/>
                      <w:lang w:eastAsia="zh-CN"/>
                      <w14:textFill>
                        <w14:solidFill>
                          <w14:schemeClr w14:val="tx1"/>
                        </w14:solidFill>
                      </w14:textFill>
                    </w:rPr>
                  </w:pPr>
                  <w:r>
                    <w:rPr>
                      <w:rFonts w:ascii="Times New Roman" w:hAnsi="Times New Roman"/>
                      <w:color w:val="000000" w:themeColor="text1"/>
                      <w:sz w:val="21"/>
                      <w:szCs w:val="21"/>
                      <w:lang w:eastAsia="zh-CN"/>
                      <w14:textFill>
                        <w14:solidFill>
                          <w14:schemeClr w14:val="tx1"/>
                        </w14:solidFill>
                      </w14:textFill>
                    </w:rPr>
                    <w:t>总硬度</w:t>
                  </w:r>
                </w:p>
              </w:tc>
              <w:tc>
                <w:tcPr>
                  <w:tcW w:w="864" w:type="pct"/>
                  <w:vAlign w:val="center"/>
                </w:tcPr>
                <w:p w14:paraId="473F9BC5">
                  <w:pPr>
                    <w:pStyle w:val="79"/>
                    <w:spacing w:line="240" w:lineRule="auto"/>
                    <w:jc w:val="center"/>
                    <w:rPr>
                      <w:rFonts w:ascii="Times New Roman" w:hAnsi="Times New Roman"/>
                      <w:color w:val="000000" w:themeColor="text1"/>
                      <w:sz w:val="21"/>
                      <w:szCs w:val="21"/>
                      <w:lang w:eastAsia="zh-CN"/>
                      <w14:textFill>
                        <w14:solidFill>
                          <w14:schemeClr w14:val="tx1"/>
                        </w14:solidFill>
                      </w14:textFill>
                    </w:rPr>
                  </w:pPr>
                  <w:r>
                    <w:rPr>
                      <w:rFonts w:hint="eastAsia" w:ascii="Times New Roman" w:hAnsi="Times New Roman"/>
                      <w:color w:val="000000" w:themeColor="text1"/>
                      <w:sz w:val="21"/>
                      <w:szCs w:val="21"/>
                      <w:lang w:eastAsia="zh-CN"/>
                      <w14:textFill>
                        <w14:solidFill>
                          <w14:schemeClr w14:val="tx1"/>
                        </w14:solidFill>
                      </w14:textFill>
                    </w:rPr>
                    <w:t>287</w:t>
                  </w:r>
                </w:p>
              </w:tc>
              <w:tc>
                <w:tcPr>
                  <w:tcW w:w="710" w:type="pct"/>
                  <w:vAlign w:val="center"/>
                </w:tcPr>
                <w:p w14:paraId="3057542E">
                  <w:pPr>
                    <w:pStyle w:val="79"/>
                    <w:spacing w:line="240" w:lineRule="auto"/>
                    <w:jc w:val="center"/>
                    <w:rPr>
                      <w:rFonts w:hint="default" w:ascii="Times New Roman" w:hAnsi="Times New Roman"/>
                      <w:color w:val="FF0000"/>
                      <w:sz w:val="21"/>
                      <w:szCs w:val="21"/>
                      <w:lang w:val="en-US" w:eastAsia="zh-CN"/>
                    </w:rPr>
                  </w:pPr>
                  <w:r>
                    <w:rPr>
                      <w:rFonts w:hint="eastAsia" w:ascii="Times New Roman" w:hAnsi="Times New Roman"/>
                      <w:color w:val="FF0000"/>
                      <w:sz w:val="21"/>
                      <w:szCs w:val="21"/>
                      <w:lang w:val="en-US" w:eastAsia="zh-CN"/>
                    </w:rPr>
                    <w:t>378</w:t>
                  </w:r>
                </w:p>
              </w:tc>
              <w:tc>
                <w:tcPr>
                  <w:tcW w:w="810" w:type="pct"/>
                  <w:vAlign w:val="center"/>
                </w:tcPr>
                <w:p w14:paraId="6E47AD0E">
                  <w:pPr>
                    <w:pStyle w:val="79"/>
                    <w:spacing w:line="240" w:lineRule="auto"/>
                    <w:jc w:val="center"/>
                    <w:rPr>
                      <w:rFonts w:ascii="Times New Roman" w:hAnsi="Times New Roman"/>
                      <w:color w:val="000000" w:themeColor="text1"/>
                      <w:sz w:val="21"/>
                      <w:szCs w:val="21"/>
                      <w:lang w:eastAsia="zh-CN"/>
                      <w14:textFill>
                        <w14:solidFill>
                          <w14:schemeClr w14:val="tx1"/>
                        </w14:solidFill>
                      </w14:textFill>
                    </w:rPr>
                  </w:pPr>
                  <w:r>
                    <w:rPr>
                      <w:rFonts w:ascii="Times New Roman" w:hAnsi="Times New Roman"/>
                      <w:color w:val="000000" w:themeColor="text1"/>
                      <w:sz w:val="21"/>
                      <w:szCs w:val="21"/>
                      <w:lang w:eastAsia="zh-CN"/>
                      <w14:textFill>
                        <w14:solidFill>
                          <w14:schemeClr w14:val="tx1"/>
                        </w14:solidFill>
                      </w14:textFill>
                    </w:rPr>
                    <w:t>mg/L</w:t>
                  </w:r>
                </w:p>
              </w:tc>
              <w:tc>
                <w:tcPr>
                  <w:tcW w:w="1106" w:type="pct"/>
                  <w:vAlign w:val="center"/>
                </w:tcPr>
                <w:p w14:paraId="4EC6DFC8">
                  <w:pPr>
                    <w:pStyle w:val="79"/>
                    <w:spacing w:line="240" w:lineRule="auto"/>
                    <w:jc w:val="center"/>
                    <w:rPr>
                      <w:rFonts w:ascii="Times New Roman" w:hAnsi="Times New Roman"/>
                      <w:color w:val="000000" w:themeColor="text1"/>
                      <w:sz w:val="21"/>
                      <w:szCs w:val="21"/>
                      <w:lang w:eastAsia="zh-CN"/>
                      <w14:textFill>
                        <w14:solidFill>
                          <w14:schemeClr w14:val="tx1"/>
                        </w14:solidFill>
                      </w14:textFill>
                    </w:rPr>
                  </w:pPr>
                  <w:r>
                    <w:rPr>
                      <w:rFonts w:ascii="Times New Roman" w:hAnsi="Times New Roman"/>
                      <w:color w:val="000000" w:themeColor="text1"/>
                      <w:sz w:val="21"/>
                      <w:szCs w:val="21"/>
                      <w:lang w:eastAsia="zh-CN"/>
                      <w14:textFill>
                        <w14:solidFill>
                          <w14:schemeClr w14:val="tx1"/>
                        </w14:solidFill>
                      </w14:textFill>
                    </w:rPr>
                    <w:t>≤450</w:t>
                  </w:r>
                </w:p>
              </w:tc>
              <w:tc>
                <w:tcPr>
                  <w:tcW w:w="558" w:type="pct"/>
                  <w:vAlign w:val="center"/>
                </w:tcPr>
                <w:p w14:paraId="3E83D280">
                  <w:pPr>
                    <w:pStyle w:val="79"/>
                    <w:spacing w:line="240" w:lineRule="auto"/>
                    <w:jc w:val="center"/>
                    <w:rPr>
                      <w:rFonts w:ascii="Times New Roman" w:hAnsi="Times New Roman"/>
                      <w:color w:val="000000" w:themeColor="text1"/>
                      <w:sz w:val="21"/>
                      <w:szCs w:val="21"/>
                      <w:lang w:eastAsia="zh-CN"/>
                      <w14:textFill>
                        <w14:solidFill>
                          <w14:schemeClr w14:val="tx1"/>
                        </w14:solidFill>
                      </w14:textFill>
                    </w:rPr>
                  </w:pPr>
                  <w:r>
                    <w:rPr>
                      <w:rFonts w:ascii="Times New Roman" w:hAnsi="Times New Roman"/>
                      <w:color w:val="000000" w:themeColor="text1"/>
                      <w:sz w:val="21"/>
                      <w:szCs w:val="21"/>
                      <w:lang w:eastAsia="zh-CN"/>
                      <w14:textFill>
                        <w14:solidFill>
                          <w14:schemeClr w14:val="tx1"/>
                        </w14:solidFill>
                      </w14:textFill>
                    </w:rPr>
                    <w:t>达标</w:t>
                  </w:r>
                </w:p>
              </w:tc>
            </w:tr>
            <w:tr w14:paraId="73F65DCA">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49" w:type="pct"/>
                  <w:vAlign w:val="center"/>
                </w:tcPr>
                <w:p w14:paraId="49B664F6">
                  <w:pPr>
                    <w:pStyle w:val="79"/>
                    <w:spacing w:line="240" w:lineRule="auto"/>
                    <w:jc w:val="center"/>
                    <w:rPr>
                      <w:rFonts w:ascii="Times New Roman" w:hAnsi="Times New Roman"/>
                      <w:color w:val="000000" w:themeColor="text1"/>
                      <w:sz w:val="21"/>
                      <w:szCs w:val="21"/>
                      <w:lang w:eastAsia="zh-CN"/>
                      <w14:textFill>
                        <w14:solidFill>
                          <w14:schemeClr w14:val="tx1"/>
                        </w14:solidFill>
                      </w14:textFill>
                    </w:rPr>
                  </w:pPr>
                  <w:r>
                    <w:rPr>
                      <w:rFonts w:ascii="Times New Roman" w:hAnsi="Times New Roman"/>
                      <w:color w:val="000000" w:themeColor="text1"/>
                      <w:sz w:val="21"/>
                      <w:szCs w:val="21"/>
                      <w:lang w:eastAsia="zh-CN"/>
                      <w14:textFill>
                        <w14:solidFill>
                          <w14:schemeClr w14:val="tx1"/>
                        </w14:solidFill>
                      </w14:textFill>
                    </w:rPr>
                    <w:t>铅</w:t>
                  </w:r>
                </w:p>
              </w:tc>
              <w:tc>
                <w:tcPr>
                  <w:tcW w:w="864" w:type="pct"/>
                  <w:vAlign w:val="center"/>
                </w:tcPr>
                <w:p w14:paraId="754C16F8">
                  <w:pPr>
                    <w:pStyle w:val="79"/>
                    <w:spacing w:line="240" w:lineRule="auto"/>
                    <w:jc w:val="center"/>
                    <w:rPr>
                      <w:rFonts w:ascii="Times New Roman" w:hAnsi="Times New Roman"/>
                      <w:color w:val="000000" w:themeColor="text1"/>
                      <w:sz w:val="21"/>
                      <w:szCs w:val="21"/>
                      <w:lang w:eastAsia="zh-CN"/>
                      <w14:textFill>
                        <w14:solidFill>
                          <w14:schemeClr w14:val="tx1"/>
                        </w14:solidFill>
                      </w14:textFill>
                    </w:rPr>
                  </w:pPr>
                  <w:r>
                    <w:rPr>
                      <w:rFonts w:ascii="Times New Roman" w:hAnsi="Times New Roman"/>
                      <w:color w:val="000000" w:themeColor="text1"/>
                      <w:sz w:val="21"/>
                      <w:szCs w:val="21"/>
                      <w:lang w:eastAsia="zh-CN"/>
                      <w14:textFill>
                        <w14:solidFill>
                          <w14:schemeClr w14:val="tx1"/>
                        </w14:solidFill>
                      </w14:textFill>
                    </w:rPr>
                    <w:t>1L</w:t>
                  </w:r>
                </w:p>
              </w:tc>
              <w:tc>
                <w:tcPr>
                  <w:tcW w:w="710" w:type="pct"/>
                  <w:vAlign w:val="center"/>
                </w:tcPr>
                <w:p w14:paraId="71B39474">
                  <w:pPr>
                    <w:pStyle w:val="79"/>
                    <w:spacing w:line="240" w:lineRule="auto"/>
                    <w:jc w:val="center"/>
                    <w:rPr>
                      <w:rFonts w:hint="default" w:ascii="Times New Roman" w:hAnsi="Times New Roman" w:eastAsia="宋体"/>
                      <w:color w:val="FF0000"/>
                      <w:sz w:val="21"/>
                      <w:szCs w:val="21"/>
                      <w:lang w:val="en-US" w:eastAsia="zh-CN"/>
                    </w:rPr>
                  </w:pPr>
                  <w:r>
                    <w:rPr>
                      <w:rFonts w:hint="eastAsia" w:ascii="Times New Roman" w:hAnsi="Times New Roman"/>
                      <w:color w:val="FF0000"/>
                      <w:sz w:val="21"/>
                      <w:szCs w:val="21"/>
                      <w:lang w:val="en-US" w:eastAsia="zh-CN"/>
                    </w:rPr>
                    <w:t>2.5L</w:t>
                  </w:r>
                </w:p>
              </w:tc>
              <w:tc>
                <w:tcPr>
                  <w:tcW w:w="810" w:type="pct"/>
                  <w:vAlign w:val="center"/>
                </w:tcPr>
                <w:p w14:paraId="031A0DA0">
                  <w:pPr>
                    <w:pStyle w:val="79"/>
                    <w:spacing w:line="240" w:lineRule="auto"/>
                    <w:jc w:val="center"/>
                    <w:rPr>
                      <w:rFonts w:ascii="Times New Roman" w:hAnsi="Times New Roman"/>
                      <w:color w:val="000000" w:themeColor="text1"/>
                      <w:sz w:val="21"/>
                      <w:szCs w:val="21"/>
                      <w:lang w:eastAsia="zh-CN"/>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μ</w:t>
                  </w:r>
                  <w:r>
                    <w:rPr>
                      <w:rFonts w:ascii="Times New Roman" w:hAnsi="Times New Roman"/>
                      <w:color w:val="000000" w:themeColor="text1"/>
                      <w:sz w:val="21"/>
                      <w:szCs w:val="21"/>
                      <w:lang w:eastAsia="zh-CN"/>
                      <w14:textFill>
                        <w14:solidFill>
                          <w14:schemeClr w14:val="tx1"/>
                        </w14:solidFill>
                      </w14:textFill>
                    </w:rPr>
                    <w:t>g/L</w:t>
                  </w:r>
                </w:p>
              </w:tc>
              <w:tc>
                <w:tcPr>
                  <w:tcW w:w="1106" w:type="pct"/>
                  <w:vAlign w:val="center"/>
                </w:tcPr>
                <w:p w14:paraId="19896B66">
                  <w:pPr>
                    <w:pStyle w:val="79"/>
                    <w:spacing w:line="240" w:lineRule="auto"/>
                    <w:jc w:val="center"/>
                    <w:rPr>
                      <w:rFonts w:hint="default" w:ascii="Times New Roman" w:hAnsi="Times New Roman"/>
                      <w:color w:val="000000" w:themeColor="text1"/>
                      <w:sz w:val="21"/>
                      <w:szCs w:val="21"/>
                      <w:lang w:val="en-US" w:eastAsia="zh-CN"/>
                      <w14:textFill>
                        <w14:solidFill>
                          <w14:schemeClr w14:val="tx1"/>
                        </w14:solidFill>
                      </w14:textFill>
                    </w:rPr>
                  </w:pPr>
                  <w:r>
                    <w:rPr>
                      <w:rFonts w:ascii="Times New Roman" w:hAnsi="Times New Roman"/>
                      <w:color w:val="000000" w:themeColor="text1"/>
                      <w:sz w:val="21"/>
                      <w:szCs w:val="21"/>
                      <w:lang w:eastAsia="zh-CN"/>
                      <w14:textFill>
                        <w14:solidFill>
                          <w14:schemeClr w14:val="tx1"/>
                        </w14:solidFill>
                      </w14:textFill>
                    </w:rPr>
                    <w:t>≤</w:t>
                  </w:r>
                  <w:r>
                    <w:rPr>
                      <w:rFonts w:hint="eastAsia" w:ascii="Times New Roman" w:hAnsi="Times New Roman"/>
                      <w:color w:val="000000" w:themeColor="text1"/>
                      <w:sz w:val="21"/>
                      <w:szCs w:val="21"/>
                      <w:lang w:val="en-US" w:eastAsia="zh-CN"/>
                      <w14:textFill>
                        <w14:solidFill>
                          <w14:schemeClr w14:val="tx1"/>
                        </w14:solidFill>
                      </w14:textFill>
                    </w:rPr>
                    <w:t>10</w:t>
                  </w:r>
                </w:p>
              </w:tc>
              <w:tc>
                <w:tcPr>
                  <w:tcW w:w="558" w:type="pct"/>
                  <w:vAlign w:val="center"/>
                </w:tcPr>
                <w:p w14:paraId="47E9EB58">
                  <w:pPr>
                    <w:pStyle w:val="79"/>
                    <w:spacing w:line="240" w:lineRule="auto"/>
                    <w:jc w:val="center"/>
                    <w:rPr>
                      <w:rFonts w:ascii="Times New Roman" w:hAnsi="Times New Roman"/>
                      <w:color w:val="000000" w:themeColor="text1"/>
                      <w:sz w:val="21"/>
                      <w:szCs w:val="21"/>
                      <w:lang w:eastAsia="zh-CN"/>
                      <w14:textFill>
                        <w14:solidFill>
                          <w14:schemeClr w14:val="tx1"/>
                        </w14:solidFill>
                      </w14:textFill>
                    </w:rPr>
                  </w:pPr>
                  <w:r>
                    <w:rPr>
                      <w:rFonts w:ascii="Times New Roman" w:hAnsi="Times New Roman"/>
                      <w:color w:val="000000" w:themeColor="text1"/>
                      <w:sz w:val="21"/>
                      <w:szCs w:val="21"/>
                      <w:lang w:eastAsia="zh-CN"/>
                      <w14:textFill>
                        <w14:solidFill>
                          <w14:schemeClr w14:val="tx1"/>
                        </w14:solidFill>
                      </w14:textFill>
                    </w:rPr>
                    <w:t>达标</w:t>
                  </w:r>
                </w:p>
              </w:tc>
            </w:tr>
            <w:tr w14:paraId="754CF51F">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49" w:type="pct"/>
                  <w:vAlign w:val="center"/>
                </w:tcPr>
                <w:p w14:paraId="4D7911E2">
                  <w:pPr>
                    <w:pStyle w:val="79"/>
                    <w:spacing w:line="240" w:lineRule="auto"/>
                    <w:jc w:val="center"/>
                    <w:rPr>
                      <w:rFonts w:ascii="Times New Roman" w:hAnsi="Times New Roman"/>
                      <w:color w:val="000000" w:themeColor="text1"/>
                      <w:sz w:val="21"/>
                      <w:szCs w:val="21"/>
                      <w:lang w:eastAsia="zh-CN"/>
                      <w14:textFill>
                        <w14:solidFill>
                          <w14:schemeClr w14:val="tx1"/>
                        </w14:solidFill>
                      </w14:textFill>
                    </w:rPr>
                  </w:pPr>
                  <w:r>
                    <w:rPr>
                      <w:rFonts w:ascii="Times New Roman" w:hAnsi="Times New Roman"/>
                      <w:color w:val="000000" w:themeColor="text1"/>
                      <w:sz w:val="21"/>
                      <w:szCs w:val="21"/>
                      <w:lang w:eastAsia="zh-CN"/>
                      <w14:textFill>
                        <w14:solidFill>
                          <w14:schemeClr w14:val="tx1"/>
                        </w14:solidFill>
                      </w14:textFill>
                    </w:rPr>
                    <w:t>氟化物</w:t>
                  </w:r>
                </w:p>
              </w:tc>
              <w:tc>
                <w:tcPr>
                  <w:tcW w:w="864" w:type="pct"/>
                  <w:vAlign w:val="center"/>
                </w:tcPr>
                <w:p w14:paraId="38AFDC8D">
                  <w:pPr>
                    <w:pStyle w:val="79"/>
                    <w:spacing w:line="240" w:lineRule="auto"/>
                    <w:jc w:val="center"/>
                    <w:rPr>
                      <w:rFonts w:ascii="Times New Roman" w:hAnsi="Times New Roman"/>
                      <w:color w:val="000000" w:themeColor="text1"/>
                      <w:sz w:val="21"/>
                      <w:szCs w:val="21"/>
                      <w:lang w:eastAsia="zh-CN"/>
                      <w14:textFill>
                        <w14:solidFill>
                          <w14:schemeClr w14:val="tx1"/>
                        </w14:solidFill>
                      </w14:textFill>
                    </w:rPr>
                  </w:pPr>
                  <w:r>
                    <w:rPr>
                      <w:rFonts w:ascii="Times New Roman" w:hAnsi="Times New Roman"/>
                      <w:color w:val="000000" w:themeColor="text1"/>
                      <w:sz w:val="21"/>
                      <w:szCs w:val="21"/>
                      <w:lang w:eastAsia="zh-CN"/>
                      <w14:textFill>
                        <w14:solidFill>
                          <w14:schemeClr w14:val="tx1"/>
                        </w14:solidFill>
                      </w14:textFill>
                    </w:rPr>
                    <w:t>0.29</w:t>
                  </w:r>
                </w:p>
              </w:tc>
              <w:tc>
                <w:tcPr>
                  <w:tcW w:w="710" w:type="pct"/>
                  <w:vAlign w:val="center"/>
                </w:tcPr>
                <w:p w14:paraId="47585BE8">
                  <w:pPr>
                    <w:pStyle w:val="79"/>
                    <w:spacing w:line="240" w:lineRule="auto"/>
                    <w:jc w:val="center"/>
                    <w:rPr>
                      <w:rFonts w:hint="default" w:ascii="Times New Roman" w:hAnsi="Times New Roman"/>
                      <w:color w:val="FF0000"/>
                      <w:sz w:val="21"/>
                      <w:szCs w:val="21"/>
                      <w:lang w:val="en-US" w:eastAsia="zh-CN"/>
                    </w:rPr>
                  </w:pPr>
                  <w:r>
                    <w:rPr>
                      <w:rFonts w:hint="eastAsia" w:ascii="Times New Roman" w:hAnsi="Times New Roman"/>
                      <w:color w:val="FF0000"/>
                      <w:sz w:val="21"/>
                      <w:szCs w:val="21"/>
                      <w:lang w:val="en-US" w:eastAsia="zh-CN"/>
                    </w:rPr>
                    <w:t>0.72</w:t>
                  </w:r>
                </w:p>
              </w:tc>
              <w:tc>
                <w:tcPr>
                  <w:tcW w:w="810" w:type="pct"/>
                  <w:vAlign w:val="center"/>
                </w:tcPr>
                <w:p w14:paraId="4DACD1B5">
                  <w:pPr>
                    <w:pStyle w:val="79"/>
                    <w:spacing w:line="240" w:lineRule="auto"/>
                    <w:jc w:val="center"/>
                    <w:rPr>
                      <w:rFonts w:ascii="Times New Roman" w:hAnsi="Times New Roman"/>
                      <w:color w:val="000000" w:themeColor="text1"/>
                      <w:sz w:val="21"/>
                      <w:szCs w:val="21"/>
                      <w:lang w:eastAsia="zh-CN"/>
                      <w14:textFill>
                        <w14:solidFill>
                          <w14:schemeClr w14:val="tx1"/>
                        </w14:solidFill>
                      </w14:textFill>
                    </w:rPr>
                  </w:pPr>
                  <w:r>
                    <w:rPr>
                      <w:rFonts w:ascii="Times New Roman" w:hAnsi="Times New Roman"/>
                      <w:color w:val="000000" w:themeColor="text1"/>
                      <w:sz w:val="21"/>
                      <w:szCs w:val="21"/>
                      <w:lang w:eastAsia="zh-CN"/>
                      <w14:textFill>
                        <w14:solidFill>
                          <w14:schemeClr w14:val="tx1"/>
                        </w14:solidFill>
                      </w14:textFill>
                    </w:rPr>
                    <w:t>mg/L</w:t>
                  </w:r>
                </w:p>
              </w:tc>
              <w:tc>
                <w:tcPr>
                  <w:tcW w:w="1106" w:type="pct"/>
                  <w:vAlign w:val="center"/>
                </w:tcPr>
                <w:p w14:paraId="79F5E757">
                  <w:pPr>
                    <w:pStyle w:val="79"/>
                    <w:spacing w:line="240" w:lineRule="auto"/>
                    <w:jc w:val="center"/>
                    <w:rPr>
                      <w:rFonts w:ascii="Times New Roman" w:hAnsi="Times New Roman"/>
                      <w:color w:val="000000" w:themeColor="text1"/>
                      <w:sz w:val="21"/>
                      <w:szCs w:val="21"/>
                      <w:lang w:eastAsia="zh-CN"/>
                      <w14:textFill>
                        <w14:solidFill>
                          <w14:schemeClr w14:val="tx1"/>
                        </w14:solidFill>
                      </w14:textFill>
                    </w:rPr>
                  </w:pPr>
                  <w:r>
                    <w:rPr>
                      <w:rFonts w:ascii="Times New Roman" w:hAnsi="Times New Roman"/>
                      <w:color w:val="000000" w:themeColor="text1"/>
                      <w:sz w:val="21"/>
                      <w:szCs w:val="21"/>
                      <w:lang w:eastAsia="zh-CN"/>
                      <w14:textFill>
                        <w14:solidFill>
                          <w14:schemeClr w14:val="tx1"/>
                        </w14:solidFill>
                      </w14:textFill>
                    </w:rPr>
                    <w:t>≤1.0</w:t>
                  </w:r>
                </w:p>
              </w:tc>
              <w:tc>
                <w:tcPr>
                  <w:tcW w:w="558" w:type="pct"/>
                  <w:vAlign w:val="center"/>
                </w:tcPr>
                <w:p w14:paraId="69B8E598">
                  <w:pPr>
                    <w:pStyle w:val="79"/>
                    <w:spacing w:line="240" w:lineRule="auto"/>
                    <w:jc w:val="center"/>
                    <w:rPr>
                      <w:rFonts w:ascii="Times New Roman" w:hAnsi="Times New Roman"/>
                      <w:color w:val="000000" w:themeColor="text1"/>
                      <w:sz w:val="21"/>
                      <w:szCs w:val="21"/>
                      <w:lang w:eastAsia="zh-CN"/>
                      <w14:textFill>
                        <w14:solidFill>
                          <w14:schemeClr w14:val="tx1"/>
                        </w14:solidFill>
                      </w14:textFill>
                    </w:rPr>
                  </w:pPr>
                  <w:r>
                    <w:rPr>
                      <w:rFonts w:ascii="Times New Roman" w:hAnsi="Times New Roman"/>
                      <w:color w:val="000000" w:themeColor="text1"/>
                      <w:sz w:val="21"/>
                      <w:szCs w:val="21"/>
                      <w:lang w:eastAsia="zh-CN"/>
                      <w14:textFill>
                        <w14:solidFill>
                          <w14:schemeClr w14:val="tx1"/>
                        </w14:solidFill>
                      </w14:textFill>
                    </w:rPr>
                    <w:t>达标</w:t>
                  </w:r>
                </w:p>
              </w:tc>
            </w:tr>
            <w:tr w14:paraId="2FFBC9D0">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49" w:type="pct"/>
                  <w:vAlign w:val="center"/>
                </w:tcPr>
                <w:p w14:paraId="24649E99">
                  <w:pPr>
                    <w:pStyle w:val="79"/>
                    <w:spacing w:line="240" w:lineRule="auto"/>
                    <w:jc w:val="center"/>
                    <w:rPr>
                      <w:rFonts w:ascii="Times New Roman" w:hAnsi="Times New Roman"/>
                      <w:color w:val="000000" w:themeColor="text1"/>
                      <w:sz w:val="21"/>
                      <w:szCs w:val="21"/>
                      <w:lang w:eastAsia="zh-CN"/>
                      <w14:textFill>
                        <w14:solidFill>
                          <w14:schemeClr w14:val="tx1"/>
                        </w14:solidFill>
                      </w14:textFill>
                    </w:rPr>
                  </w:pPr>
                  <w:r>
                    <w:rPr>
                      <w:rFonts w:ascii="Times New Roman" w:hAnsi="Times New Roman"/>
                      <w:color w:val="000000" w:themeColor="text1"/>
                      <w:sz w:val="21"/>
                      <w:szCs w:val="21"/>
                      <w:lang w:eastAsia="zh-CN"/>
                      <w14:textFill>
                        <w14:solidFill>
                          <w14:schemeClr w14:val="tx1"/>
                        </w14:solidFill>
                      </w14:textFill>
                    </w:rPr>
                    <w:t>镉</w:t>
                  </w:r>
                </w:p>
              </w:tc>
              <w:tc>
                <w:tcPr>
                  <w:tcW w:w="864" w:type="pct"/>
                  <w:vAlign w:val="center"/>
                </w:tcPr>
                <w:p w14:paraId="432522A2">
                  <w:pPr>
                    <w:pStyle w:val="79"/>
                    <w:spacing w:line="240" w:lineRule="auto"/>
                    <w:jc w:val="center"/>
                    <w:rPr>
                      <w:rFonts w:ascii="Times New Roman" w:hAnsi="Times New Roman"/>
                      <w:color w:val="000000" w:themeColor="text1"/>
                      <w:sz w:val="21"/>
                      <w:szCs w:val="21"/>
                      <w:lang w:eastAsia="zh-CN"/>
                      <w14:textFill>
                        <w14:solidFill>
                          <w14:schemeClr w14:val="tx1"/>
                        </w14:solidFill>
                      </w14:textFill>
                    </w:rPr>
                  </w:pPr>
                  <w:r>
                    <w:rPr>
                      <w:rFonts w:ascii="Times New Roman" w:hAnsi="Times New Roman"/>
                      <w:color w:val="000000" w:themeColor="text1"/>
                      <w:sz w:val="21"/>
                      <w:szCs w:val="21"/>
                      <w:lang w:eastAsia="zh-CN"/>
                      <w14:textFill>
                        <w14:solidFill>
                          <w14:schemeClr w14:val="tx1"/>
                        </w14:solidFill>
                      </w14:textFill>
                    </w:rPr>
                    <w:t>0.1L</w:t>
                  </w:r>
                </w:p>
              </w:tc>
              <w:tc>
                <w:tcPr>
                  <w:tcW w:w="710" w:type="pct"/>
                  <w:vAlign w:val="center"/>
                </w:tcPr>
                <w:p w14:paraId="3163DC69">
                  <w:pPr>
                    <w:pStyle w:val="79"/>
                    <w:spacing w:line="240" w:lineRule="auto"/>
                    <w:jc w:val="center"/>
                    <w:rPr>
                      <w:rFonts w:hint="default" w:ascii="Times New Roman" w:hAnsi="Times New Roman" w:eastAsia="宋体"/>
                      <w:color w:val="FF0000"/>
                      <w:sz w:val="21"/>
                      <w:szCs w:val="21"/>
                      <w:lang w:val="en-US" w:eastAsia="zh-CN"/>
                    </w:rPr>
                  </w:pPr>
                  <w:r>
                    <w:rPr>
                      <w:rFonts w:hint="eastAsia" w:ascii="Times New Roman" w:hAnsi="Times New Roman"/>
                      <w:color w:val="FF0000"/>
                      <w:sz w:val="21"/>
                      <w:szCs w:val="21"/>
                      <w:lang w:val="en-US" w:eastAsia="zh-CN"/>
                    </w:rPr>
                    <w:t>0.5L</w:t>
                  </w:r>
                </w:p>
              </w:tc>
              <w:tc>
                <w:tcPr>
                  <w:tcW w:w="810" w:type="pct"/>
                  <w:vAlign w:val="center"/>
                </w:tcPr>
                <w:p w14:paraId="02AE6C89">
                  <w:pPr>
                    <w:pStyle w:val="79"/>
                    <w:spacing w:line="240" w:lineRule="auto"/>
                    <w:jc w:val="center"/>
                    <w:rPr>
                      <w:rFonts w:ascii="Times New Roman" w:hAnsi="Times New Roman"/>
                      <w:color w:val="000000" w:themeColor="text1"/>
                      <w:sz w:val="21"/>
                      <w:szCs w:val="21"/>
                      <w:lang w:eastAsia="zh-CN"/>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μ</w:t>
                  </w:r>
                  <w:r>
                    <w:rPr>
                      <w:rFonts w:ascii="Times New Roman" w:hAnsi="Times New Roman"/>
                      <w:color w:val="000000" w:themeColor="text1"/>
                      <w:sz w:val="21"/>
                      <w:szCs w:val="21"/>
                      <w:lang w:eastAsia="zh-CN"/>
                      <w14:textFill>
                        <w14:solidFill>
                          <w14:schemeClr w14:val="tx1"/>
                        </w14:solidFill>
                      </w14:textFill>
                    </w:rPr>
                    <w:t>g/L</w:t>
                  </w:r>
                </w:p>
              </w:tc>
              <w:tc>
                <w:tcPr>
                  <w:tcW w:w="1106" w:type="pct"/>
                  <w:vAlign w:val="center"/>
                </w:tcPr>
                <w:p w14:paraId="78866269">
                  <w:pPr>
                    <w:pStyle w:val="79"/>
                    <w:spacing w:line="240" w:lineRule="auto"/>
                    <w:jc w:val="center"/>
                    <w:rPr>
                      <w:rFonts w:ascii="Times New Roman" w:hAnsi="Times New Roman"/>
                      <w:color w:val="000000" w:themeColor="text1"/>
                      <w:sz w:val="21"/>
                      <w:szCs w:val="21"/>
                      <w:lang w:eastAsia="zh-CN"/>
                      <w14:textFill>
                        <w14:solidFill>
                          <w14:schemeClr w14:val="tx1"/>
                        </w14:solidFill>
                      </w14:textFill>
                    </w:rPr>
                  </w:pPr>
                  <w:r>
                    <w:rPr>
                      <w:rFonts w:ascii="Times New Roman" w:hAnsi="Times New Roman"/>
                      <w:color w:val="000000" w:themeColor="text1"/>
                      <w:sz w:val="21"/>
                      <w:szCs w:val="21"/>
                      <w:lang w:eastAsia="zh-CN"/>
                      <w14:textFill>
                        <w14:solidFill>
                          <w14:schemeClr w14:val="tx1"/>
                        </w14:solidFill>
                      </w14:textFill>
                    </w:rPr>
                    <w:t>≤</w:t>
                  </w:r>
                  <w:r>
                    <w:rPr>
                      <w:rFonts w:hint="eastAsia" w:ascii="Times New Roman" w:hAnsi="Times New Roman"/>
                      <w:color w:val="000000" w:themeColor="text1"/>
                      <w:sz w:val="21"/>
                      <w:szCs w:val="21"/>
                      <w:lang w:val="en-US" w:eastAsia="zh-CN"/>
                      <w14:textFill>
                        <w14:solidFill>
                          <w14:schemeClr w14:val="tx1"/>
                        </w14:solidFill>
                      </w14:textFill>
                    </w:rPr>
                    <w:t>5</w:t>
                  </w:r>
                </w:p>
              </w:tc>
              <w:tc>
                <w:tcPr>
                  <w:tcW w:w="558" w:type="pct"/>
                  <w:vAlign w:val="center"/>
                </w:tcPr>
                <w:p w14:paraId="567A6183">
                  <w:pPr>
                    <w:pStyle w:val="79"/>
                    <w:spacing w:line="240" w:lineRule="auto"/>
                    <w:jc w:val="center"/>
                    <w:rPr>
                      <w:rFonts w:ascii="Times New Roman" w:hAnsi="Times New Roman"/>
                      <w:color w:val="000000" w:themeColor="text1"/>
                      <w:sz w:val="21"/>
                      <w:szCs w:val="21"/>
                      <w:lang w:eastAsia="zh-CN"/>
                      <w14:textFill>
                        <w14:solidFill>
                          <w14:schemeClr w14:val="tx1"/>
                        </w14:solidFill>
                      </w14:textFill>
                    </w:rPr>
                  </w:pPr>
                  <w:r>
                    <w:rPr>
                      <w:rFonts w:ascii="Times New Roman" w:hAnsi="Times New Roman"/>
                      <w:color w:val="000000" w:themeColor="text1"/>
                      <w:sz w:val="21"/>
                      <w:szCs w:val="21"/>
                      <w:lang w:eastAsia="zh-CN"/>
                      <w14:textFill>
                        <w14:solidFill>
                          <w14:schemeClr w14:val="tx1"/>
                        </w14:solidFill>
                      </w14:textFill>
                    </w:rPr>
                    <w:t>达标</w:t>
                  </w:r>
                </w:p>
              </w:tc>
            </w:tr>
            <w:tr w14:paraId="65358ED2">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49" w:type="pct"/>
                  <w:vAlign w:val="center"/>
                </w:tcPr>
                <w:p w14:paraId="697A07A1">
                  <w:pPr>
                    <w:pStyle w:val="79"/>
                    <w:spacing w:line="240" w:lineRule="auto"/>
                    <w:jc w:val="center"/>
                    <w:rPr>
                      <w:rFonts w:ascii="Times New Roman" w:hAnsi="Times New Roman"/>
                      <w:color w:val="000000" w:themeColor="text1"/>
                      <w:sz w:val="21"/>
                      <w:szCs w:val="21"/>
                      <w:lang w:eastAsia="zh-CN"/>
                      <w14:textFill>
                        <w14:solidFill>
                          <w14:schemeClr w14:val="tx1"/>
                        </w14:solidFill>
                      </w14:textFill>
                    </w:rPr>
                  </w:pPr>
                  <w:r>
                    <w:rPr>
                      <w:rFonts w:ascii="Times New Roman" w:hAnsi="Times New Roman"/>
                      <w:color w:val="000000" w:themeColor="text1"/>
                      <w:sz w:val="21"/>
                      <w:szCs w:val="21"/>
                      <w:lang w:eastAsia="zh-CN"/>
                      <w14:textFill>
                        <w14:solidFill>
                          <w14:schemeClr w14:val="tx1"/>
                        </w14:solidFill>
                      </w14:textFill>
                    </w:rPr>
                    <w:t>铁</w:t>
                  </w:r>
                </w:p>
              </w:tc>
              <w:tc>
                <w:tcPr>
                  <w:tcW w:w="864" w:type="pct"/>
                  <w:vAlign w:val="center"/>
                </w:tcPr>
                <w:p w14:paraId="098387E1">
                  <w:pPr>
                    <w:pStyle w:val="79"/>
                    <w:spacing w:line="240" w:lineRule="auto"/>
                    <w:jc w:val="center"/>
                    <w:rPr>
                      <w:rFonts w:ascii="Times New Roman" w:hAnsi="Times New Roman"/>
                      <w:color w:val="000000" w:themeColor="text1"/>
                      <w:sz w:val="21"/>
                      <w:szCs w:val="21"/>
                      <w:lang w:eastAsia="zh-CN"/>
                      <w14:textFill>
                        <w14:solidFill>
                          <w14:schemeClr w14:val="tx1"/>
                        </w14:solidFill>
                      </w14:textFill>
                    </w:rPr>
                  </w:pPr>
                  <w:r>
                    <w:rPr>
                      <w:rFonts w:ascii="Times New Roman" w:hAnsi="Times New Roman"/>
                      <w:color w:val="000000" w:themeColor="text1"/>
                      <w:sz w:val="21"/>
                      <w:szCs w:val="21"/>
                      <w:lang w:eastAsia="zh-CN"/>
                      <w14:textFill>
                        <w14:solidFill>
                          <w14:schemeClr w14:val="tx1"/>
                        </w14:solidFill>
                      </w14:textFill>
                    </w:rPr>
                    <w:t>0.03L</w:t>
                  </w:r>
                </w:p>
              </w:tc>
              <w:tc>
                <w:tcPr>
                  <w:tcW w:w="710" w:type="pct"/>
                  <w:vAlign w:val="center"/>
                </w:tcPr>
                <w:p w14:paraId="71A940FC">
                  <w:pPr>
                    <w:pStyle w:val="79"/>
                    <w:spacing w:line="240" w:lineRule="auto"/>
                    <w:jc w:val="center"/>
                    <w:rPr>
                      <w:rFonts w:hint="default" w:ascii="Times New Roman" w:hAnsi="Times New Roman"/>
                      <w:color w:val="FF0000"/>
                      <w:sz w:val="21"/>
                      <w:szCs w:val="21"/>
                      <w:lang w:val="en-US" w:eastAsia="zh-CN"/>
                    </w:rPr>
                  </w:pPr>
                  <w:r>
                    <w:rPr>
                      <w:rFonts w:hint="eastAsia" w:ascii="Times New Roman" w:hAnsi="Times New Roman"/>
                      <w:color w:val="FF0000"/>
                      <w:sz w:val="21"/>
                      <w:szCs w:val="21"/>
                      <w:lang w:val="en-US" w:eastAsia="zh-CN"/>
                    </w:rPr>
                    <w:t>0.03L</w:t>
                  </w:r>
                </w:p>
              </w:tc>
              <w:tc>
                <w:tcPr>
                  <w:tcW w:w="810" w:type="pct"/>
                  <w:vAlign w:val="center"/>
                </w:tcPr>
                <w:p w14:paraId="160074CB">
                  <w:pPr>
                    <w:pStyle w:val="79"/>
                    <w:spacing w:line="240" w:lineRule="auto"/>
                    <w:jc w:val="center"/>
                    <w:rPr>
                      <w:rFonts w:ascii="Times New Roman" w:hAnsi="Times New Roman"/>
                      <w:color w:val="000000" w:themeColor="text1"/>
                      <w:sz w:val="21"/>
                      <w:szCs w:val="21"/>
                      <w:lang w:eastAsia="zh-CN"/>
                      <w14:textFill>
                        <w14:solidFill>
                          <w14:schemeClr w14:val="tx1"/>
                        </w14:solidFill>
                      </w14:textFill>
                    </w:rPr>
                  </w:pPr>
                  <w:r>
                    <w:rPr>
                      <w:rFonts w:ascii="Times New Roman" w:hAnsi="Times New Roman"/>
                      <w:color w:val="000000" w:themeColor="text1"/>
                      <w:sz w:val="21"/>
                      <w:szCs w:val="21"/>
                      <w:lang w:eastAsia="zh-CN"/>
                      <w14:textFill>
                        <w14:solidFill>
                          <w14:schemeClr w14:val="tx1"/>
                        </w14:solidFill>
                      </w14:textFill>
                    </w:rPr>
                    <w:t>mg/L</w:t>
                  </w:r>
                </w:p>
              </w:tc>
              <w:tc>
                <w:tcPr>
                  <w:tcW w:w="1106" w:type="pct"/>
                  <w:vAlign w:val="center"/>
                </w:tcPr>
                <w:p w14:paraId="2A8D501C">
                  <w:pPr>
                    <w:pStyle w:val="79"/>
                    <w:spacing w:line="240" w:lineRule="auto"/>
                    <w:jc w:val="center"/>
                    <w:rPr>
                      <w:rFonts w:ascii="Times New Roman" w:hAnsi="Times New Roman"/>
                      <w:color w:val="000000" w:themeColor="text1"/>
                      <w:sz w:val="21"/>
                      <w:szCs w:val="21"/>
                      <w:lang w:eastAsia="zh-CN"/>
                      <w14:textFill>
                        <w14:solidFill>
                          <w14:schemeClr w14:val="tx1"/>
                        </w14:solidFill>
                      </w14:textFill>
                    </w:rPr>
                  </w:pPr>
                  <w:r>
                    <w:rPr>
                      <w:rFonts w:ascii="Times New Roman" w:hAnsi="Times New Roman"/>
                      <w:color w:val="000000" w:themeColor="text1"/>
                      <w:sz w:val="21"/>
                      <w:szCs w:val="21"/>
                      <w:lang w:eastAsia="zh-CN"/>
                      <w14:textFill>
                        <w14:solidFill>
                          <w14:schemeClr w14:val="tx1"/>
                        </w14:solidFill>
                      </w14:textFill>
                    </w:rPr>
                    <w:t>≤0.30</w:t>
                  </w:r>
                </w:p>
              </w:tc>
              <w:tc>
                <w:tcPr>
                  <w:tcW w:w="558" w:type="pct"/>
                  <w:vAlign w:val="center"/>
                </w:tcPr>
                <w:p w14:paraId="0A471D23">
                  <w:pPr>
                    <w:pStyle w:val="79"/>
                    <w:spacing w:line="240" w:lineRule="auto"/>
                    <w:jc w:val="center"/>
                    <w:rPr>
                      <w:rFonts w:ascii="Times New Roman" w:hAnsi="Times New Roman"/>
                      <w:color w:val="000000" w:themeColor="text1"/>
                      <w:sz w:val="21"/>
                      <w:szCs w:val="21"/>
                      <w:lang w:eastAsia="zh-CN"/>
                      <w14:textFill>
                        <w14:solidFill>
                          <w14:schemeClr w14:val="tx1"/>
                        </w14:solidFill>
                      </w14:textFill>
                    </w:rPr>
                  </w:pPr>
                  <w:r>
                    <w:rPr>
                      <w:rFonts w:ascii="Times New Roman" w:hAnsi="Times New Roman"/>
                      <w:color w:val="000000" w:themeColor="text1"/>
                      <w:sz w:val="21"/>
                      <w:szCs w:val="21"/>
                      <w:lang w:eastAsia="zh-CN"/>
                      <w14:textFill>
                        <w14:solidFill>
                          <w14:schemeClr w14:val="tx1"/>
                        </w14:solidFill>
                      </w14:textFill>
                    </w:rPr>
                    <w:t>达标</w:t>
                  </w:r>
                </w:p>
              </w:tc>
            </w:tr>
            <w:tr w14:paraId="05D58881">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49" w:type="pct"/>
                  <w:vAlign w:val="center"/>
                </w:tcPr>
                <w:p w14:paraId="52B4F697">
                  <w:pPr>
                    <w:pStyle w:val="79"/>
                    <w:spacing w:line="240" w:lineRule="auto"/>
                    <w:jc w:val="center"/>
                    <w:rPr>
                      <w:rFonts w:ascii="Times New Roman" w:hAnsi="Times New Roman"/>
                      <w:color w:val="000000" w:themeColor="text1"/>
                      <w:sz w:val="21"/>
                      <w:szCs w:val="21"/>
                      <w:lang w:eastAsia="zh-CN"/>
                      <w14:textFill>
                        <w14:solidFill>
                          <w14:schemeClr w14:val="tx1"/>
                        </w14:solidFill>
                      </w14:textFill>
                    </w:rPr>
                  </w:pPr>
                  <w:r>
                    <w:rPr>
                      <w:rFonts w:ascii="Times New Roman" w:hAnsi="Times New Roman"/>
                      <w:color w:val="000000" w:themeColor="text1"/>
                      <w:sz w:val="21"/>
                      <w:szCs w:val="21"/>
                      <w:lang w:eastAsia="zh-CN"/>
                      <w14:textFill>
                        <w14:solidFill>
                          <w14:schemeClr w14:val="tx1"/>
                        </w14:solidFill>
                      </w14:textFill>
                    </w:rPr>
                    <w:t>锰</w:t>
                  </w:r>
                </w:p>
              </w:tc>
              <w:tc>
                <w:tcPr>
                  <w:tcW w:w="864" w:type="pct"/>
                  <w:vAlign w:val="center"/>
                </w:tcPr>
                <w:p w14:paraId="0364D2B4">
                  <w:pPr>
                    <w:pStyle w:val="79"/>
                    <w:spacing w:line="240" w:lineRule="auto"/>
                    <w:jc w:val="center"/>
                    <w:rPr>
                      <w:rFonts w:ascii="Times New Roman" w:hAnsi="Times New Roman"/>
                      <w:color w:val="000000" w:themeColor="text1"/>
                      <w:sz w:val="21"/>
                      <w:szCs w:val="21"/>
                      <w:lang w:eastAsia="zh-CN"/>
                      <w14:textFill>
                        <w14:solidFill>
                          <w14:schemeClr w14:val="tx1"/>
                        </w14:solidFill>
                      </w14:textFill>
                    </w:rPr>
                  </w:pPr>
                  <w:r>
                    <w:rPr>
                      <w:rFonts w:ascii="Times New Roman" w:hAnsi="Times New Roman"/>
                      <w:color w:val="000000" w:themeColor="text1"/>
                      <w:sz w:val="21"/>
                      <w:szCs w:val="21"/>
                      <w:lang w:eastAsia="zh-CN"/>
                      <w14:textFill>
                        <w14:solidFill>
                          <w14:schemeClr w14:val="tx1"/>
                        </w14:solidFill>
                      </w14:textFill>
                    </w:rPr>
                    <w:t>0.01L</w:t>
                  </w:r>
                </w:p>
              </w:tc>
              <w:tc>
                <w:tcPr>
                  <w:tcW w:w="710" w:type="pct"/>
                  <w:vAlign w:val="center"/>
                </w:tcPr>
                <w:p w14:paraId="0C4FB499">
                  <w:pPr>
                    <w:pStyle w:val="79"/>
                    <w:spacing w:line="240" w:lineRule="auto"/>
                    <w:jc w:val="center"/>
                    <w:rPr>
                      <w:rFonts w:ascii="Times New Roman" w:hAnsi="Times New Roman"/>
                      <w:color w:val="FF0000"/>
                      <w:sz w:val="21"/>
                      <w:szCs w:val="21"/>
                      <w:lang w:eastAsia="zh-CN"/>
                    </w:rPr>
                  </w:pPr>
                  <w:r>
                    <w:rPr>
                      <w:rFonts w:ascii="Times New Roman" w:hAnsi="Times New Roman"/>
                      <w:color w:val="FF0000"/>
                      <w:sz w:val="21"/>
                      <w:szCs w:val="21"/>
                      <w:lang w:eastAsia="zh-CN"/>
                    </w:rPr>
                    <w:t>0.01L</w:t>
                  </w:r>
                </w:p>
              </w:tc>
              <w:tc>
                <w:tcPr>
                  <w:tcW w:w="810" w:type="pct"/>
                  <w:vAlign w:val="center"/>
                </w:tcPr>
                <w:p w14:paraId="4DF400AE">
                  <w:pPr>
                    <w:pStyle w:val="79"/>
                    <w:spacing w:line="240" w:lineRule="auto"/>
                    <w:jc w:val="center"/>
                    <w:rPr>
                      <w:rFonts w:ascii="Times New Roman" w:hAnsi="Times New Roman"/>
                      <w:color w:val="000000" w:themeColor="text1"/>
                      <w:sz w:val="21"/>
                      <w:szCs w:val="21"/>
                      <w:lang w:eastAsia="zh-CN"/>
                      <w14:textFill>
                        <w14:solidFill>
                          <w14:schemeClr w14:val="tx1"/>
                        </w14:solidFill>
                      </w14:textFill>
                    </w:rPr>
                  </w:pPr>
                  <w:r>
                    <w:rPr>
                      <w:rFonts w:ascii="Times New Roman" w:hAnsi="Times New Roman"/>
                      <w:color w:val="000000" w:themeColor="text1"/>
                      <w:sz w:val="21"/>
                      <w:szCs w:val="21"/>
                      <w:lang w:eastAsia="zh-CN"/>
                      <w14:textFill>
                        <w14:solidFill>
                          <w14:schemeClr w14:val="tx1"/>
                        </w14:solidFill>
                      </w14:textFill>
                    </w:rPr>
                    <w:t>mg/L</w:t>
                  </w:r>
                </w:p>
              </w:tc>
              <w:tc>
                <w:tcPr>
                  <w:tcW w:w="1106" w:type="pct"/>
                  <w:vAlign w:val="center"/>
                </w:tcPr>
                <w:p w14:paraId="24CB0361">
                  <w:pPr>
                    <w:pStyle w:val="79"/>
                    <w:spacing w:line="240" w:lineRule="auto"/>
                    <w:jc w:val="center"/>
                    <w:rPr>
                      <w:rFonts w:ascii="Times New Roman" w:hAnsi="Times New Roman"/>
                      <w:color w:val="000000" w:themeColor="text1"/>
                      <w:sz w:val="21"/>
                      <w:szCs w:val="21"/>
                      <w:lang w:eastAsia="zh-CN"/>
                      <w14:textFill>
                        <w14:solidFill>
                          <w14:schemeClr w14:val="tx1"/>
                        </w14:solidFill>
                      </w14:textFill>
                    </w:rPr>
                  </w:pPr>
                  <w:r>
                    <w:rPr>
                      <w:rFonts w:ascii="Times New Roman" w:hAnsi="Times New Roman"/>
                      <w:color w:val="000000" w:themeColor="text1"/>
                      <w:sz w:val="21"/>
                      <w:szCs w:val="21"/>
                      <w:lang w:eastAsia="zh-CN"/>
                      <w14:textFill>
                        <w14:solidFill>
                          <w14:schemeClr w14:val="tx1"/>
                        </w14:solidFill>
                      </w14:textFill>
                    </w:rPr>
                    <w:t>≤0.10</w:t>
                  </w:r>
                </w:p>
              </w:tc>
              <w:tc>
                <w:tcPr>
                  <w:tcW w:w="558" w:type="pct"/>
                  <w:vAlign w:val="center"/>
                </w:tcPr>
                <w:p w14:paraId="1B4D76DC">
                  <w:pPr>
                    <w:pStyle w:val="79"/>
                    <w:spacing w:line="240" w:lineRule="auto"/>
                    <w:jc w:val="center"/>
                    <w:rPr>
                      <w:rFonts w:ascii="Times New Roman" w:hAnsi="Times New Roman"/>
                      <w:color w:val="000000" w:themeColor="text1"/>
                      <w:sz w:val="21"/>
                      <w:szCs w:val="21"/>
                      <w:lang w:eastAsia="zh-CN"/>
                      <w14:textFill>
                        <w14:solidFill>
                          <w14:schemeClr w14:val="tx1"/>
                        </w14:solidFill>
                      </w14:textFill>
                    </w:rPr>
                  </w:pPr>
                  <w:r>
                    <w:rPr>
                      <w:rFonts w:ascii="Times New Roman" w:hAnsi="Times New Roman"/>
                      <w:color w:val="000000" w:themeColor="text1"/>
                      <w:sz w:val="21"/>
                      <w:szCs w:val="21"/>
                      <w:lang w:eastAsia="zh-CN"/>
                      <w14:textFill>
                        <w14:solidFill>
                          <w14:schemeClr w14:val="tx1"/>
                        </w14:solidFill>
                      </w14:textFill>
                    </w:rPr>
                    <w:t>达标</w:t>
                  </w:r>
                </w:p>
              </w:tc>
            </w:tr>
            <w:tr w14:paraId="25A1A1A2">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49" w:type="pct"/>
                  <w:vAlign w:val="center"/>
                </w:tcPr>
                <w:p w14:paraId="6BE26147">
                  <w:pPr>
                    <w:pStyle w:val="79"/>
                    <w:spacing w:line="240" w:lineRule="auto"/>
                    <w:jc w:val="center"/>
                    <w:rPr>
                      <w:rFonts w:ascii="Times New Roman" w:hAnsi="Times New Roman"/>
                      <w:color w:val="000000" w:themeColor="text1"/>
                      <w:sz w:val="21"/>
                      <w:szCs w:val="21"/>
                      <w:lang w:eastAsia="zh-CN"/>
                      <w14:textFill>
                        <w14:solidFill>
                          <w14:schemeClr w14:val="tx1"/>
                        </w14:solidFill>
                      </w14:textFill>
                    </w:rPr>
                  </w:pPr>
                  <w:r>
                    <w:rPr>
                      <w:rFonts w:ascii="Times New Roman" w:hAnsi="Times New Roman"/>
                      <w:color w:val="000000" w:themeColor="text1"/>
                      <w:sz w:val="21"/>
                      <w:szCs w:val="21"/>
                      <w:lang w:eastAsia="zh-CN"/>
                      <w14:textFill>
                        <w14:solidFill>
                          <w14:schemeClr w14:val="tx1"/>
                        </w14:solidFill>
                      </w14:textFill>
                    </w:rPr>
                    <w:t>溶解性总固体</w:t>
                  </w:r>
                </w:p>
              </w:tc>
              <w:tc>
                <w:tcPr>
                  <w:tcW w:w="864" w:type="pct"/>
                  <w:vAlign w:val="center"/>
                </w:tcPr>
                <w:p w14:paraId="66BAC545">
                  <w:pPr>
                    <w:pStyle w:val="79"/>
                    <w:spacing w:line="240" w:lineRule="auto"/>
                    <w:jc w:val="center"/>
                    <w:rPr>
                      <w:rFonts w:ascii="Times New Roman" w:hAnsi="Times New Roman"/>
                      <w:color w:val="000000" w:themeColor="text1"/>
                      <w:sz w:val="21"/>
                      <w:szCs w:val="21"/>
                      <w:lang w:eastAsia="zh-CN"/>
                      <w14:textFill>
                        <w14:solidFill>
                          <w14:schemeClr w14:val="tx1"/>
                        </w14:solidFill>
                      </w14:textFill>
                    </w:rPr>
                  </w:pPr>
                  <w:r>
                    <w:rPr>
                      <w:rFonts w:ascii="Times New Roman" w:hAnsi="Times New Roman"/>
                      <w:color w:val="000000" w:themeColor="text1"/>
                      <w:sz w:val="21"/>
                      <w:szCs w:val="21"/>
                      <w:lang w:eastAsia="zh-CN"/>
                      <w14:textFill>
                        <w14:solidFill>
                          <w14:schemeClr w14:val="tx1"/>
                        </w14:solidFill>
                      </w14:textFill>
                    </w:rPr>
                    <w:t>488</w:t>
                  </w:r>
                </w:p>
              </w:tc>
              <w:tc>
                <w:tcPr>
                  <w:tcW w:w="710" w:type="pct"/>
                  <w:vAlign w:val="center"/>
                </w:tcPr>
                <w:p w14:paraId="76D1E292">
                  <w:pPr>
                    <w:pStyle w:val="79"/>
                    <w:spacing w:line="240" w:lineRule="auto"/>
                    <w:jc w:val="center"/>
                    <w:rPr>
                      <w:rFonts w:hint="default" w:ascii="Times New Roman" w:hAnsi="Times New Roman"/>
                      <w:color w:val="FF0000"/>
                      <w:sz w:val="21"/>
                      <w:szCs w:val="21"/>
                      <w:lang w:val="en-US" w:eastAsia="zh-CN"/>
                    </w:rPr>
                  </w:pPr>
                  <w:r>
                    <w:rPr>
                      <w:rFonts w:hint="eastAsia" w:ascii="Times New Roman" w:hAnsi="Times New Roman"/>
                      <w:color w:val="FF0000"/>
                      <w:sz w:val="21"/>
                      <w:szCs w:val="21"/>
                      <w:lang w:val="en-US" w:eastAsia="zh-CN"/>
                    </w:rPr>
                    <w:t>527</w:t>
                  </w:r>
                </w:p>
              </w:tc>
              <w:tc>
                <w:tcPr>
                  <w:tcW w:w="810" w:type="pct"/>
                  <w:vAlign w:val="center"/>
                </w:tcPr>
                <w:p w14:paraId="262ED83C">
                  <w:pPr>
                    <w:pStyle w:val="79"/>
                    <w:spacing w:line="240" w:lineRule="auto"/>
                    <w:jc w:val="center"/>
                    <w:rPr>
                      <w:rFonts w:ascii="Times New Roman" w:hAnsi="Times New Roman"/>
                      <w:color w:val="000000" w:themeColor="text1"/>
                      <w:sz w:val="21"/>
                      <w:szCs w:val="21"/>
                      <w:lang w:eastAsia="zh-CN"/>
                      <w14:textFill>
                        <w14:solidFill>
                          <w14:schemeClr w14:val="tx1"/>
                        </w14:solidFill>
                      </w14:textFill>
                    </w:rPr>
                  </w:pPr>
                  <w:r>
                    <w:rPr>
                      <w:rFonts w:ascii="Times New Roman" w:hAnsi="Times New Roman"/>
                      <w:color w:val="000000" w:themeColor="text1"/>
                      <w:sz w:val="21"/>
                      <w:szCs w:val="21"/>
                      <w:lang w:eastAsia="zh-CN"/>
                      <w14:textFill>
                        <w14:solidFill>
                          <w14:schemeClr w14:val="tx1"/>
                        </w14:solidFill>
                      </w14:textFill>
                    </w:rPr>
                    <w:t>mg/L</w:t>
                  </w:r>
                </w:p>
              </w:tc>
              <w:tc>
                <w:tcPr>
                  <w:tcW w:w="1106" w:type="pct"/>
                  <w:vAlign w:val="center"/>
                </w:tcPr>
                <w:p w14:paraId="6E2A4C69">
                  <w:pPr>
                    <w:pStyle w:val="79"/>
                    <w:spacing w:line="240" w:lineRule="auto"/>
                    <w:jc w:val="center"/>
                    <w:rPr>
                      <w:rFonts w:ascii="Times New Roman" w:hAnsi="Times New Roman"/>
                      <w:color w:val="000000" w:themeColor="text1"/>
                      <w:sz w:val="21"/>
                      <w:szCs w:val="21"/>
                      <w:lang w:eastAsia="zh-CN"/>
                      <w14:textFill>
                        <w14:solidFill>
                          <w14:schemeClr w14:val="tx1"/>
                        </w14:solidFill>
                      </w14:textFill>
                    </w:rPr>
                  </w:pPr>
                  <w:r>
                    <w:rPr>
                      <w:rFonts w:ascii="Times New Roman" w:hAnsi="Times New Roman"/>
                      <w:color w:val="000000" w:themeColor="text1"/>
                      <w:sz w:val="21"/>
                      <w:szCs w:val="21"/>
                      <w:lang w:eastAsia="zh-CN"/>
                      <w14:textFill>
                        <w14:solidFill>
                          <w14:schemeClr w14:val="tx1"/>
                        </w14:solidFill>
                      </w14:textFill>
                    </w:rPr>
                    <w:t>≤1000</w:t>
                  </w:r>
                </w:p>
              </w:tc>
              <w:tc>
                <w:tcPr>
                  <w:tcW w:w="558" w:type="pct"/>
                  <w:vAlign w:val="center"/>
                </w:tcPr>
                <w:p w14:paraId="67C25772">
                  <w:pPr>
                    <w:pStyle w:val="79"/>
                    <w:spacing w:line="240" w:lineRule="auto"/>
                    <w:jc w:val="center"/>
                    <w:rPr>
                      <w:rFonts w:ascii="Times New Roman" w:hAnsi="Times New Roman"/>
                      <w:color w:val="000000" w:themeColor="text1"/>
                      <w:sz w:val="21"/>
                      <w:szCs w:val="21"/>
                      <w:lang w:eastAsia="zh-CN"/>
                      <w14:textFill>
                        <w14:solidFill>
                          <w14:schemeClr w14:val="tx1"/>
                        </w14:solidFill>
                      </w14:textFill>
                    </w:rPr>
                  </w:pPr>
                  <w:r>
                    <w:rPr>
                      <w:rFonts w:ascii="Times New Roman" w:hAnsi="Times New Roman"/>
                      <w:color w:val="000000" w:themeColor="text1"/>
                      <w:sz w:val="21"/>
                      <w:szCs w:val="21"/>
                      <w:lang w:eastAsia="zh-CN"/>
                      <w14:textFill>
                        <w14:solidFill>
                          <w14:schemeClr w14:val="tx1"/>
                        </w14:solidFill>
                      </w14:textFill>
                    </w:rPr>
                    <w:t>达标</w:t>
                  </w:r>
                </w:p>
              </w:tc>
            </w:tr>
            <w:tr w14:paraId="39FD88EF">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49" w:type="pct"/>
                  <w:vAlign w:val="center"/>
                </w:tcPr>
                <w:p w14:paraId="44C288EF">
                  <w:pPr>
                    <w:pStyle w:val="79"/>
                    <w:spacing w:line="240" w:lineRule="auto"/>
                    <w:jc w:val="center"/>
                    <w:rPr>
                      <w:rFonts w:ascii="Times New Roman" w:hAnsi="Times New Roman"/>
                      <w:color w:val="000000" w:themeColor="text1"/>
                      <w:sz w:val="21"/>
                      <w:szCs w:val="21"/>
                      <w:lang w:eastAsia="zh-CN"/>
                      <w14:textFill>
                        <w14:solidFill>
                          <w14:schemeClr w14:val="tx1"/>
                        </w14:solidFill>
                      </w14:textFill>
                    </w:rPr>
                  </w:pPr>
                  <w:r>
                    <w:rPr>
                      <w:rFonts w:ascii="Times New Roman" w:hAnsi="Times New Roman"/>
                      <w:color w:val="000000" w:themeColor="text1"/>
                      <w:sz w:val="21"/>
                      <w:szCs w:val="21"/>
                      <w:lang w:eastAsia="zh-CN"/>
                      <w14:textFill>
                        <w14:solidFill>
                          <w14:schemeClr w14:val="tx1"/>
                        </w14:solidFill>
                      </w14:textFill>
                    </w:rPr>
                    <w:t>高锰酸盐指数</w:t>
                  </w:r>
                </w:p>
              </w:tc>
              <w:tc>
                <w:tcPr>
                  <w:tcW w:w="864" w:type="pct"/>
                  <w:vAlign w:val="center"/>
                </w:tcPr>
                <w:p w14:paraId="760C24CB">
                  <w:pPr>
                    <w:pStyle w:val="79"/>
                    <w:spacing w:line="240" w:lineRule="auto"/>
                    <w:jc w:val="center"/>
                    <w:rPr>
                      <w:rFonts w:ascii="Times New Roman" w:hAnsi="Times New Roman"/>
                      <w:color w:val="000000" w:themeColor="text1"/>
                      <w:sz w:val="21"/>
                      <w:szCs w:val="21"/>
                      <w:lang w:eastAsia="zh-CN"/>
                      <w14:textFill>
                        <w14:solidFill>
                          <w14:schemeClr w14:val="tx1"/>
                        </w14:solidFill>
                      </w14:textFill>
                    </w:rPr>
                  </w:pPr>
                  <w:r>
                    <w:rPr>
                      <w:rFonts w:hint="eastAsia" w:ascii="Times New Roman" w:hAnsi="Times New Roman"/>
                      <w:color w:val="000000" w:themeColor="text1"/>
                      <w:sz w:val="21"/>
                      <w:szCs w:val="21"/>
                      <w:lang w:eastAsia="zh-CN"/>
                      <w14:textFill>
                        <w14:solidFill>
                          <w14:schemeClr w14:val="tx1"/>
                        </w14:solidFill>
                      </w14:textFill>
                    </w:rPr>
                    <w:t>1.1</w:t>
                  </w:r>
                </w:p>
              </w:tc>
              <w:tc>
                <w:tcPr>
                  <w:tcW w:w="710" w:type="pct"/>
                  <w:vAlign w:val="center"/>
                </w:tcPr>
                <w:p w14:paraId="05B24F06">
                  <w:pPr>
                    <w:pStyle w:val="79"/>
                    <w:spacing w:line="240" w:lineRule="auto"/>
                    <w:jc w:val="center"/>
                    <w:rPr>
                      <w:rFonts w:hint="default" w:ascii="Times New Roman" w:hAnsi="Times New Roman"/>
                      <w:color w:val="FF0000"/>
                      <w:sz w:val="21"/>
                      <w:szCs w:val="21"/>
                      <w:lang w:val="en-US" w:eastAsia="zh-CN"/>
                    </w:rPr>
                  </w:pPr>
                  <w:r>
                    <w:rPr>
                      <w:rFonts w:hint="eastAsia" w:ascii="Times New Roman" w:hAnsi="Times New Roman"/>
                      <w:color w:val="FF0000"/>
                      <w:sz w:val="21"/>
                      <w:szCs w:val="21"/>
                      <w:lang w:val="en-US" w:eastAsia="zh-CN"/>
                    </w:rPr>
                    <w:t>0.8</w:t>
                  </w:r>
                </w:p>
              </w:tc>
              <w:tc>
                <w:tcPr>
                  <w:tcW w:w="810" w:type="pct"/>
                  <w:vAlign w:val="center"/>
                </w:tcPr>
                <w:p w14:paraId="4AEC7622">
                  <w:pPr>
                    <w:pStyle w:val="79"/>
                    <w:spacing w:line="240" w:lineRule="auto"/>
                    <w:jc w:val="center"/>
                    <w:rPr>
                      <w:rFonts w:ascii="Times New Roman" w:hAnsi="Times New Roman"/>
                      <w:color w:val="000000" w:themeColor="text1"/>
                      <w:sz w:val="21"/>
                      <w:szCs w:val="21"/>
                      <w:lang w:eastAsia="zh-CN"/>
                      <w14:textFill>
                        <w14:solidFill>
                          <w14:schemeClr w14:val="tx1"/>
                        </w14:solidFill>
                      </w14:textFill>
                    </w:rPr>
                  </w:pPr>
                  <w:r>
                    <w:rPr>
                      <w:rFonts w:ascii="Times New Roman" w:hAnsi="Times New Roman"/>
                      <w:color w:val="000000" w:themeColor="text1"/>
                      <w:sz w:val="21"/>
                      <w:szCs w:val="21"/>
                      <w:lang w:eastAsia="zh-CN"/>
                      <w14:textFill>
                        <w14:solidFill>
                          <w14:schemeClr w14:val="tx1"/>
                        </w14:solidFill>
                      </w14:textFill>
                    </w:rPr>
                    <w:t>mg/L</w:t>
                  </w:r>
                </w:p>
              </w:tc>
              <w:tc>
                <w:tcPr>
                  <w:tcW w:w="1106" w:type="pct"/>
                  <w:vAlign w:val="center"/>
                </w:tcPr>
                <w:p w14:paraId="6C7CCFE3">
                  <w:pPr>
                    <w:pStyle w:val="79"/>
                    <w:spacing w:line="240" w:lineRule="auto"/>
                    <w:jc w:val="center"/>
                    <w:rPr>
                      <w:rFonts w:ascii="Times New Roman" w:hAnsi="Times New Roman"/>
                      <w:color w:val="000000" w:themeColor="text1"/>
                      <w:sz w:val="21"/>
                      <w:szCs w:val="21"/>
                      <w:lang w:eastAsia="zh-CN"/>
                      <w14:textFill>
                        <w14:solidFill>
                          <w14:schemeClr w14:val="tx1"/>
                        </w14:solidFill>
                      </w14:textFill>
                    </w:rPr>
                  </w:pPr>
                  <w:r>
                    <w:rPr>
                      <w:rFonts w:ascii="Times New Roman" w:hAnsi="Times New Roman"/>
                      <w:color w:val="000000" w:themeColor="text1"/>
                      <w:sz w:val="21"/>
                      <w:szCs w:val="21"/>
                      <w:lang w:eastAsia="zh-CN"/>
                      <w14:textFill>
                        <w14:solidFill>
                          <w14:schemeClr w14:val="tx1"/>
                        </w14:solidFill>
                      </w14:textFill>
                    </w:rPr>
                    <w:t>—</w:t>
                  </w:r>
                </w:p>
              </w:tc>
              <w:tc>
                <w:tcPr>
                  <w:tcW w:w="558" w:type="pct"/>
                  <w:vAlign w:val="center"/>
                </w:tcPr>
                <w:p w14:paraId="0B4039FE">
                  <w:pPr>
                    <w:pStyle w:val="79"/>
                    <w:spacing w:line="240" w:lineRule="auto"/>
                    <w:jc w:val="center"/>
                    <w:rPr>
                      <w:rFonts w:ascii="Times New Roman" w:hAnsi="Times New Roman"/>
                      <w:color w:val="000000" w:themeColor="text1"/>
                      <w:sz w:val="21"/>
                      <w:szCs w:val="21"/>
                      <w:lang w:eastAsia="zh-CN"/>
                      <w14:textFill>
                        <w14:solidFill>
                          <w14:schemeClr w14:val="tx1"/>
                        </w14:solidFill>
                      </w14:textFill>
                    </w:rPr>
                  </w:pPr>
                  <w:r>
                    <w:rPr>
                      <w:rFonts w:ascii="Times New Roman" w:hAnsi="Times New Roman"/>
                      <w:color w:val="000000" w:themeColor="text1"/>
                      <w:sz w:val="21"/>
                      <w:szCs w:val="21"/>
                      <w:lang w:eastAsia="zh-CN"/>
                      <w14:textFill>
                        <w14:solidFill>
                          <w14:schemeClr w14:val="tx1"/>
                        </w14:solidFill>
                      </w14:textFill>
                    </w:rPr>
                    <w:t>达标</w:t>
                  </w:r>
                </w:p>
              </w:tc>
            </w:tr>
            <w:tr w14:paraId="5CF1F45B">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49" w:type="pct"/>
                  <w:vAlign w:val="center"/>
                </w:tcPr>
                <w:p w14:paraId="4E7B137D">
                  <w:pPr>
                    <w:pStyle w:val="79"/>
                    <w:spacing w:line="240" w:lineRule="auto"/>
                    <w:jc w:val="center"/>
                    <w:rPr>
                      <w:rFonts w:ascii="Times New Roman" w:hAnsi="Times New Roman"/>
                      <w:color w:val="000000" w:themeColor="text1"/>
                      <w:sz w:val="21"/>
                      <w:szCs w:val="21"/>
                      <w:lang w:eastAsia="zh-CN"/>
                      <w14:textFill>
                        <w14:solidFill>
                          <w14:schemeClr w14:val="tx1"/>
                        </w14:solidFill>
                      </w14:textFill>
                    </w:rPr>
                  </w:pPr>
                  <w:r>
                    <w:rPr>
                      <w:rFonts w:ascii="Times New Roman" w:hAnsi="Times New Roman"/>
                      <w:color w:val="000000" w:themeColor="text1"/>
                      <w:sz w:val="21"/>
                      <w:szCs w:val="21"/>
                      <w:lang w:eastAsia="zh-CN"/>
                      <w14:textFill>
                        <w14:solidFill>
                          <w14:schemeClr w14:val="tx1"/>
                        </w14:solidFill>
                      </w14:textFill>
                    </w:rPr>
                    <w:t>总大肠菌群</w:t>
                  </w:r>
                </w:p>
              </w:tc>
              <w:tc>
                <w:tcPr>
                  <w:tcW w:w="864" w:type="pct"/>
                  <w:vAlign w:val="center"/>
                </w:tcPr>
                <w:p w14:paraId="62A77401">
                  <w:pPr>
                    <w:pStyle w:val="79"/>
                    <w:spacing w:line="240" w:lineRule="auto"/>
                    <w:jc w:val="center"/>
                    <w:rPr>
                      <w:rFonts w:ascii="Times New Roman" w:hAnsi="Times New Roman"/>
                      <w:color w:val="000000" w:themeColor="text1"/>
                      <w:sz w:val="21"/>
                      <w:szCs w:val="21"/>
                      <w:lang w:eastAsia="zh-CN"/>
                      <w14:textFill>
                        <w14:solidFill>
                          <w14:schemeClr w14:val="tx1"/>
                        </w14:solidFill>
                      </w14:textFill>
                    </w:rPr>
                  </w:pPr>
                  <w:r>
                    <w:rPr>
                      <w:rFonts w:hint="eastAsia" w:ascii="Times New Roman" w:hAnsi="Times New Roman"/>
                      <w:color w:val="000000" w:themeColor="text1"/>
                      <w:sz w:val="21"/>
                      <w:szCs w:val="21"/>
                      <w:lang w:eastAsia="zh-CN"/>
                      <w14:textFill>
                        <w14:solidFill>
                          <w14:schemeClr w14:val="tx1"/>
                        </w14:solidFill>
                      </w14:textFill>
                    </w:rPr>
                    <w:t>未检出</w:t>
                  </w:r>
                </w:p>
              </w:tc>
              <w:tc>
                <w:tcPr>
                  <w:tcW w:w="710" w:type="pct"/>
                  <w:vAlign w:val="center"/>
                </w:tcPr>
                <w:p w14:paraId="600CCE35">
                  <w:pPr>
                    <w:pStyle w:val="79"/>
                    <w:spacing w:line="240" w:lineRule="auto"/>
                    <w:jc w:val="center"/>
                    <w:rPr>
                      <w:rFonts w:ascii="Times New Roman" w:hAnsi="Times New Roman"/>
                      <w:color w:val="FF0000"/>
                      <w:sz w:val="21"/>
                      <w:szCs w:val="21"/>
                      <w:lang w:eastAsia="zh-CN"/>
                    </w:rPr>
                  </w:pPr>
                  <w:r>
                    <w:rPr>
                      <w:rFonts w:hint="eastAsia"/>
                      <w:b w:val="0"/>
                      <w:bCs w:val="0"/>
                      <w:color w:val="FF0000"/>
                      <w:szCs w:val="21"/>
                      <w:lang w:eastAsia="zh-CN"/>
                    </w:rPr>
                    <w:t>未检出</w:t>
                  </w:r>
                </w:p>
              </w:tc>
              <w:tc>
                <w:tcPr>
                  <w:tcW w:w="810" w:type="pct"/>
                  <w:vAlign w:val="center"/>
                </w:tcPr>
                <w:p w14:paraId="4D1A4326">
                  <w:pPr>
                    <w:pStyle w:val="79"/>
                    <w:spacing w:line="240" w:lineRule="auto"/>
                    <w:jc w:val="center"/>
                    <w:rPr>
                      <w:rFonts w:ascii="Times New Roman" w:hAnsi="Times New Roman"/>
                      <w:color w:val="000000" w:themeColor="text1"/>
                      <w:sz w:val="21"/>
                      <w:szCs w:val="21"/>
                      <w:lang w:eastAsia="zh-CN"/>
                      <w14:textFill>
                        <w14:solidFill>
                          <w14:schemeClr w14:val="tx1"/>
                        </w14:solidFill>
                      </w14:textFill>
                    </w:rPr>
                  </w:pPr>
                  <w:r>
                    <w:rPr>
                      <w:rFonts w:ascii="Times New Roman" w:hAnsi="Times New Roman"/>
                      <w:color w:val="000000" w:themeColor="text1"/>
                      <w:sz w:val="21"/>
                      <w:szCs w:val="21"/>
                      <w:lang w:eastAsia="zh-CN"/>
                      <w14:textFill>
                        <w14:solidFill>
                          <w14:schemeClr w14:val="tx1"/>
                        </w14:solidFill>
                      </w14:textFill>
                    </w:rPr>
                    <w:t>MPN/L</w:t>
                  </w:r>
                </w:p>
              </w:tc>
              <w:tc>
                <w:tcPr>
                  <w:tcW w:w="1106" w:type="pct"/>
                  <w:vAlign w:val="center"/>
                </w:tcPr>
                <w:p w14:paraId="038EDB28">
                  <w:pPr>
                    <w:pStyle w:val="79"/>
                    <w:spacing w:line="240" w:lineRule="auto"/>
                    <w:jc w:val="center"/>
                    <w:rPr>
                      <w:rFonts w:ascii="Times New Roman" w:hAnsi="Times New Roman"/>
                      <w:color w:val="000000" w:themeColor="text1"/>
                      <w:sz w:val="21"/>
                      <w:szCs w:val="21"/>
                      <w:lang w:eastAsia="zh-CN"/>
                      <w14:textFill>
                        <w14:solidFill>
                          <w14:schemeClr w14:val="tx1"/>
                        </w14:solidFill>
                      </w14:textFill>
                    </w:rPr>
                  </w:pPr>
                  <w:r>
                    <w:rPr>
                      <w:rFonts w:ascii="Times New Roman" w:hAnsi="Times New Roman"/>
                      <w:color w:val="000000" w:themeColor="text1"/>
                      <w:sz w:val="21"/>
                      <w:szCs w:val="21"/>
                      <w:lang w:eastAsia="zh-CN"/>
                      <w14:textFill>
                        <w14:solidFill>
                          <w14:schemeClr w14:val="tx1"/>
                        </w14:solidFill>
                      </w14:textFill>
                    </w:rPr>
                    <w:t>≤3.0MPN/100mL</w:t>
                  </w:r>
                </w:p>
              </w:tc>
              <w:tc>
                <w:tcPr>
                  <w:tcW w:w="558" w:type="pct"/>
                  <w:vAlign w:val="center"/>
                </w:tcPr>
                <w:p w14:paraId="1A7A328C">
                  <w:pPr>
                    <w:pStyle w:val="79"/>
                    <w:spacing w:line="240" w:lineRule="auto"/>
                    <w:jc w:val="center"/>
                    <w:rPr>
                      <w:rFonts w:ascii="Times New Roman" w:hAnsi="Times New Roman"/>
                      <w:color w:val="000000" w:themeColor="text1"/>
                      <w:sz w:val="21"/>
                      <w:szCs w:val="21"/>
                      <w:lang w:eastAsia="zh-CN"/>
                      <w14:textFill>
                        <w14:solidFill>
                          <w14:schemeClr w14:val="tx1"/>
                        </w14:solidFill>
                      </w14:textFill>
                    </w:rPr>
                  </w:pPr>
                  <w:r>
                    <w:rPr>
                      <w:rFonts w:ascii="Times New Roman" w:hAnsi="Times New Roman"/>
                      <w:color w:val="000000" w:themeColor="text1"/>
                      <w:sz w:val="21"/>
                      <w:szCs w:val="21"/>
                      <w:lang w:eastAsia="zh-CN"/>
                      <w14:textFill>
                        <w14:solidFill>
                          <w14:schemeClr w14:val="tx1"/>
                        </w14:solidFill>
                      </w14:textFill>
                    </w:rPr>
                    <w:t>达标</w:t>
                  </w:r>
                </w:p>
              </w:tc>
            </w:tr>
            <w:tr w14:paraId="7C35C268">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49" w:type="pct"/>
                  <w:vAlign w:val="center"/>
                </w:tcPr>
                <w:p w14:paraId="49383C8C">
                  <w:pPr>
                    <w:pStyle w:val="79"/>
                    <w:spacing w:line="240" w:lineRule="auto"/>
                    <w:jc w:val="center"/>
                    <w:rPr>
                      <w:rFonts w:ascii="Times New Roman" w:hAnsi="Times New Roman"/>
                      <w:color w:val="000000" w:themeColor="text1"/>
                      <w:sz w:val="21"/>
                      <w:szCs w:val="21"/>
                      <w:lang w:eastAsia="zh-CN"/>
                      <w14:textFill>
                        <w14:solidFill>
                          <w14:schemeClr w14:val="tx1"/>
                        </w14:solidFill>
                      </w14:textFill>
                    </w:rPr>
                  </w:pPr>
                  <w:r>
                    <w:rPr>
                      <w:rFonts w:ascii="Times New Roman" w:hAnsi="Times New Roman"/>
                      <w:color w:val="000000" w:themeColor="text1"/>
                      <w:sz w:val="21"/>
                      <w:szCs w:val="21"/>
                      <w:lang w:eastAsia="zh-CN"/>
                      <w14:textFill>
                        <w14:solidFill>
                          <w14:schemeClr w14:val="tx1"/>
                        </w14:solidFill>
                      </w14:textFill>
                    </w:rPr>
                    <w:t>细菌总数</w:t>
                  </w:r>
                </w:p>
              </w:tc>
              <w:tc>
                <w:tcPr>
                  <w:tcW w:w="864" w:type="pct"/>
                  <w:vAlign w:val="center"/>
                </w:tcPr>
                <w:p w14:paraId="0D779982">
                  <w:pPr>
                    <w:pStyle w:val="79"/>
                    <w:spacing w:line="240" w:lineRule="auto"/>
                    <w:jc w:val="center"/>
                    <w:rPr>
                      <w:rFonts w:ascii="Times New Roman" w:hAnsi="Times New Roman"/>
                      <w:color w:val="000000" w:themeColor="text1"/>
                      <w:sz w:val="21"/>
                      <w:szCs w:val="21"/>
                      <w:lang w:eastAsia="zh-CN"/>
                      <w14:textFill>
                        <w14:solidFill>
                          <w14:schemeClr w14:val="tx1"/>
                        </w14:solidFill>
                      </w14:textFill>
                    </w:rPr>
                  </w:pPr>
                  <w:r>
                    <w:rPr>
                      <w:rFonts w:ascii="Times New Roman" w:hAnsi="Times New Roman"/>
                      <w:color w:val="000000" w:themeColor="text1"/>
                      <w:sz w:val="21"/>
                      <w:szCs w:val="21"/>
                      <w:lang w:eastAsia="zh-CN"/>
                      <w14:textFill>
                        <w14:solidFill>
                          <w14:schemeClr w14:val="tx1"/>
                        </w14:solidFill>
                      </w14:textFill>
                    </w:rPr>
                    <w:t>63</w:t>
                  </w:r>
                </w:p>
              </w:tc>
              <w:tc>
                <w:tcPr>
                  <w:tcW w:w="710" w:type="pct"/>
                  <w:vAlign w:val="center"/>
                </w:tcPr>
                <w:p w14:paraId="30B2F424">
                  <w:pPr>
                    <w:pStyle w:val="79"/>
                    <w:spacing w:line="240" w:lineRule="auto"/>
                    <w:jc w:val="center"/>
                    <w:rPr>
                      <w:rFonts w:hint="default" w:ascii="Times New Roman" w:hAnsi="Times New Roman"/>
                      <w:color w:val="FF0000"/>
                      <w:sz w:val="21"/>
                      <w:szCs w:val="21"/>
                      <w:lang w:val="en-US" w:eastAsia="zh-CN"/>
                    </w:rPr>
                  </w:pPr>
                  <w:r>
                    <w:rPr>
                      <w:rFonts w:hint="eastAsia" w:ascii="Times New Roman" w:hAnsi="Times New Roman"/>
                      <w:color w:val="FF0000"/>
                      <w:sz w:val="21"/>
                      <w:szCs w:val="21"/>
                      <w:lang w:val="en-US" w:eastAsia="zh-CN"/>
                    </w:rPr>
                    <w:t>57</w:t>
                  </w:r>
                </w:p>
              </w:tc>
              <w:tc>
                <w:tcPr>
                  <w:tcW w:w="810" w:type="pct"/>
                  <w:vAlign w:val="center"/>
                </w:tcPr>
                <w:p w14:paraId="4048D11D">
                  <w:pPr>
                    <w:pStyle w:val="79"/>
                    <w:spacing w:line="240" w:lineRule="auto"/>
                    <w:jc w:val="center"/>
                    <w:rPr>
                      <w:rFonts w:ascii="Times New Roman" w:hAnsi="Times New Roman"/>
                      <w:color w:val="000000" w:themeColor="text1"/>
                      <w:sz w:val="21"/>
                      <w:szCs w:val="21"/>
                      <w:lang w:eastAsia="zh-CN"/>
                      <w14:textFill>
                        <w14:solidFill>
                          <w14:schemeClr w14:val="tx1"/>
                        </w14:solidFill>
                      </w14:textFill>
                    </w:rPr>
                  </w:pPr>
                  <w:r>
                    <w:rPr>
                      <w:rFonts w:ascii="Times New Roman" w:hAnsi="Times New Roman"/>
                      <w:color w:val="000000" w:themeColor="text1"/>
                      <w:sz w:val="21"/>
                      <w:szCs w:val="21"/>
                      <w:lang w:eastAsia="zh-CN"/>
                      <w14:textFill>
                        <w14:solidFill>
                          <w14:schemeClr w14:val="tx1"/>
                        </w14:solidFill>
                      </w14:textFill>
                    </w:rPr>
                    <w:t>CFU/mL</w:t>
                  </w:r>
                </w:p>
              </w:tc>
              <w:tc>
                <w:tcPr>
                  <w:tcW w:w="1106" w:type="pct"/>
                  <w:vAlign w:val="center"/>
                </w:tcPr>
                <w:p w14:paraId="448B2AEA">
                  <w:pPr>
                    <w:pStyle w:val="79"/>
                    <w:spacing w:line="240" w:lineRule="auto"/>
                    <w:jc w:val="center"/>
                    <w:rPr>
                      <w:rFonts w:ascii="Times New Roman" w:hAnsi="Times New Roman"/>
                      <w:color w:val="000000" w:themeColor="text1"/>
                      <w:sz w:val="21"/>
                      <w:szCs w:val="21"/>
                      <w:lang w:eastAsia="zh-CN"/>
                      <w14:textFill>
                        <w14:solidFill>
                          <w14:schemeClr w14:val="tx1"/>
                        </w14:solidFill>
                      </w14:textFill>
                    </w:rPr>
                  </w:pPr>
                  <w:r>
                    <w:rPr>
                      <w:rFonts w:ascii="Times New Roman" w:hAnsi="Times New Roman"/>
                      <w:color w:val="000000" w:themeColor="text1"/>
                      <w:sz w:val="21"/>
                      <w:szCs w:val="21"/>
                      <w:lang w:eastAsia="zh-CN"/>
                      <w14:textFill>
                        <w14:solidFill>
                          <w14:schemeClr w14:val="tx1"/>
                        </w14:solidFill>
                      </w14:textFill>
                    </w:rPr>
                    <w:t>≤100</w:t>
                  </w:r>
                </w:p>
              </w:tc>
              <w:tc>
                <w:tcPr>
                  <w:tcW w:w="558" w:type="pct"/>
                  <w:vAlign w:val="center"/>
                </w:tcPr>
                <w:p w14:paraId="29FA23A2">
                  <w:pPr>
                    <w:pStyle w:val="79"/>
                    <w:spacing w:line="240" w:lineRule="auto"/>
                    <w:jc w:val="center"/>
                    <w:rPr>
                      <w:rFonts w:ascii="Times New Roman" w:hAnsi="Times New Roman"/>
                      <w:color w:val="000000" w:themeColor="text1"/>
                      <w:sz w:val="21"/>
                      <w:szCs w:val="21"/>
                      <w:lang w:eastAsia="zh-CN"/>
                      <w14:textFill>
                        <w14:solidFill>
                          <w14:schemeClr w14:val="tx1"/>
                        </w14:solidFill>
                      </w14:textFill>
                    </w:rPr>
                  </w:pPr>
                  <w:r>
                    <w:rPr>
                      <w:rFonts w:ascii="Times New Roman" w:hAnsi="Times New Roman"/>
                      <w:color w:val="000000" w:themeColor="text1"/>
                      <w:sz w:val="21"/>
                      <w:szCs w:val="21"/>
                      <w:lang w:eastAsia="zh-CN"/>
                      <w14:textFill>
                        <w14:solidFill>
                          <w14:schemeClr w14:val="tx1"/>
                        </w14:solidFill>
                      </w14:textFill>
                    </w:rPr>
                    <w:t>达标</w:t>
                  </w:r>
                </w:p>
              </w:tc>
            </w:tr>
            <w:tr w14:paraId="29866B68">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49" w:type="pct"/>
                  <w:vAlign w:val="center"/>
                </w:tcPr>
                <w:p w14:paraId="357017B4">
                  <w:pPr>
                    <w:pStyle w:val="79"/>
                    <w:spacing w:line="240" w:lineRule="auto"/>
                    <w:jc w:val="center"/>
                    <w:rPr>
                      <w:rFonts w:ascii="Times New Roman" w:hAnsi="Times New Roman"/>
                      <w:color w:val="000000" w:themeColor="text1"/>
                      <w:sz w:val="21"/>
                      <w:szCs w:val="21"/>
                      <w:lang w:eastAsia="zh-CN"/>
                      <w14:textFill>
                        <w14:solidFill>
                          <w14:schemeClr w14:val="tx1"/>
                        </w14:solidFill>
                      </w14:textFill>
                    </w:rPr>
                  </w:pPr>
                  <w:r>
                    <w:rPr>
                      <w:rFonts w:ascii="Times New Roman" w:hAnsi="Times New Roman"/>
                      <w:color w:val="000000" w:themeColor="text1"/>
                      <w:sz w:val="21"/>
                      <w:szCs w:val="21"/>
                      <w:lang w:eastAsia="zh-CN"/>
                      <w14:textFill>
                        <w14:solidFill>
                          <w14:schemeClr w14:val="tx1"/>
                        </w14:solidFill>
                      </w14:textFill>
                    </w:rPr>
                    <w:t>钾</w:t>
                  </w:r>
                </w:p>
              </w:tc>
              <w:tc>
                <w:tcPr>
                  <w:tcW w:w="864" w:type="pct"/>
                  <w:vAlign w:val="center"/>
                </w:tcPr>
                <w:p w14:paraId="284A1B0D">
                  <w:pPr>
                    <w:pStyle w:val="79"/>
                    <w:spacing w:line="240" w:lineRule="auto"/>
                    <w:jc w:val="center"/>
                    <w:rPr>
                      <w:rFonts w:ascii="Times New Roman" w:hAnsi="Times New Roman"/>
                      <w:color w:val="000000" w:themeColor="text1"/>
                      <w:sz w:val="21"/>
                      <w:szCs w:val="21"/>
                      <w:lang w:eastAsia="zh-CN"/>
                      <w14:textFill>
                        <w14:solidFill>
                          <w14:schemeClr w14:val="tx1"/>
                        </w14:solidFill>
                      </w14:textFill>
                    </w:rPr>
                  </w:pPr>
                  <w:r>
                    <w:rPr>
                      <w:rFonts w:hint="eastAsia" w:ascii="Times New Roman" w:hAnsi="Times New Roman"/>
                      <w:color w:val="000000" w:themeColor="text1"/>
                      <w:sz w:val="21"/>
                      <w:szCs w:val="21"/>
                      <w:lang w:eastAsia="zh-CN"/>
                      <w14:textFill>
                        <w14:solidFill>
                          <w14:schemeClr w14:val="tx1"/>
                        </w14:solidFill>
                      </w14:textFill>
                    </w:rPr>
                    <w:t>2.85</w:t>
                  </w:r>
                </w:p>
              </w:tc>
              <w:tc>
                <w:tcPr>
                  <w:tcW w:w="710" w:type="pct"/>
                  <w:vAlign w:val="center"/>
                </w:tcPr>
                <w:p w14:paraId="77FD845F">
                  <w:pPr>
                    <w:pStyle w:val="79"/>
                    <w:spacing w:line="240" w:lineRule="auto"/>
                    <w:jc w:val="center"/>
                    <w:rPr>
                      <w:rFonts w:hint="default" w:ascii="Times New Roman" w:hAnsi="Times New Roman"/>
                      <w:color w:val="FF0000"/>
                      <w:sz w:val="21"/>
                      <w:szCs w:val="21"/>
                      <w:lang w:val="en-US" w:eastAsia="zh-CN"/>
                    </w:rPr>
                  </w:pPr>
                  <w:r>
                    <w:rPr>
                      <w:rFonts w:hint="eastAsia" w:ascii="Times New Roman" w:hAnsi="Times New Roman"/>
                      <w:color w:val="FF0000"/>
                      <w:sz w:val="21"/>
                      <w:szCs w:val="21"/>
                      <w:lang w:val="en-US" w:eastAsia="zh-CN"/>
                    </w:rPr>
                    <w:t>2.38</w:t>
                  </w:r>
                </w:p>
              </w:tc>
              <w:tc>
                <w:tcPr>
                  <w:tcW w:w="810" w:type="pct"/>
                  <w:vAlign w:val="center"/>
                </w:tcPr>
                <w:p w14:paraId="3DFC8037">
                  <w:pPr>
                    <w:pStyle w:val="79"/>
                    <w:spacing w:line="240" w:lineRule="auto"/>
                    <w:jc w:val="center"/>
                    <w:rPr>
                      <w:rFonts w:ascii="Times New Roman" w:hAnsi="Times New Roman"/>
                      <w:color w:val="000000" w:themeColor="text1"/>
                      <w:sz w:val="21"/>
                      <w:szCs w:val="21"/>
                      <w:lang w:eastAsia="zh-CN"/>
                      <w14:textFill>
                        <w14:solidFill>
                          <w14:schemeClr w14:val="tx1"/>
                        </w14:solidFill>
                      </w14:textFill>
                    </w:rPr>
                  </w:pPr>
                  <w:r>
                    <w:rPr>
                      <w:rFonts w:ascii="Times New Roman" w:hAnsi="Times New Roman"/>
                      <w:color w:val="000000" w:themeColor="text1"/>
                      <w:sz w:val="21"/>
                      <w:szCs w:val="21"/>
                      <w:lang w:eastAsia="zh-CN"/>
                      <w14:textFill>
                        <w14:solidFill>
                          <w14:schemeClr w14:val="tx1"/>
                        </w14:solidFill>
                      </w14:textFill>
                    </w:rPr>
                    <w:t>mg/L</w:t>
                  </w:r>
                </w:p>
              </w:tc>
              <w:tc>
                <w:tcPr>
                  <w:tcW w:w="1106" w:type="pct"/>
                  <w:vAlign w:val="center"/>
                </w:tcPr>
                <w:p w14:paraId="1ACF8431">
                  <w:pPr>
                    <w:pStyle w:val="79"/>
                    <w:spacing w:line="240" w:lineRule="auto"/>
                    <w:jc w:val="center"/>
                    <w:rPr>
                      <w:rFonts w:ascii="Times New Roman" w:hAnsi="Times New Roman"/>
                      <w:color w:val="000000" w:themeColor="text1"/>
                      <w:sz w:val="21"/>
                      <w:szCs w:val="21"/>
                      <w:lang w:eastAsia="zh-CN"/>
                      <w14:textFill>
                        <w14:solidFill>
                          <w14:schemeClr w14:val="tx1"/>
                        </w14:solidFill>
                      </w14:textFill>
                    </w:rPr>
                  </w:pPr>
                  <w:r>
                    <w:rPr>
                      <w:rFonts w:ascii="Times New Roman" w:hAnsi="Times New Roman"/>
                      <w:color w:val="000000" w:themeColor="text1"/>
                      <w:sz w:val="21"/>
                      <w:szCs w:val="21"/>
                      <w:lang w:eastAsia="zh-CN"/>
                      <w14:textFill>
                        <w14:solidFill>
                          <w14:schemeClr w14:val="tx1"/>
                        </w14:solidFill>
                      </w14:textFill>
                    </w:rPr>
                    <w:t>—</w:t>
                  </w:r>
                </w:p>
              </w:tc>
              <w:tc>
                <w:tcPr>
                  <w:tcW w:w="558" w:type="pct"/>
                  <w:vAlign w:val="center"/>
                </w:tcPr>
                <w:p w14:paraId="260F06D9">
                  <w:pPr>
                    <w:pStyle w:val="79"/>
                    <w:spacing w:line="240" w:lineRule="auto"/>
                    <w:jc w:val="center"/>
                    <w:rPr>
                      <w:rFonts w:ascii="Times New Roman" w:hAnsi="Times New Roman"/>
                      <w:color w:val="000000" w:themeColor="text1"/>
                      <w:sz w:val="21"/>
                      <w:szCs w:val="21"/>
                      <w:lang w:eastAsia="zh-CN"/>
                      <w14:textFill>
                        <w14:solidFill>
                          <w14:schemeClr w14:val="tx1"/>
                        </w14:solidFill>
                      </w14:textFill>
                    </w:rPr>
                  </w:pPr>
                  <w:r>
                    <w:rPr>
                      <w:rFonts w:ascii="Times New Roman" w:hAnsi="Times New Roman"/>
                      <w:color w:val="000000" w:themeColor="text1"/>
                      <w:sz w:val="21"/>
                      <w:szCs w:val="21"/>
                      <w:lang w:eastAsia="zh-CN"/>
                      <w14:textFill>
                        <w14:solidFill>
                          <w14:schemeClr w14:val="tx1"/>
                        </w14:solidFill>
                      </w14:textFill>
                    </w:rPr>
                    <w:t>达标</w:t>
                  </w:r>
                </w:p>
              </w:tc>
            </w:tr>
            <w:tr w14:paraId="39A14077">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49" w:type="pct"/>
                  <w:vAlign w:val="center"/>
                </w:tcPr>
                <w:p w14:paraId="24D32D94">
                  <w:pPr>
                    <w:pStyle w:val="79"/>
                    <w:spacing w:line="240" w:lineRule="auto"/>
                    <w:jc w:val="center"/>
                    <w:rPr>
                      <w:rFonts w:ascii="Times New Roman" w:hAnsi="Times New Roman"/>
                      <w:color w:val="000000" w:themeColor="text1"/>
                      <w:sz w:val="21"/>
                      <w:szCs w:val="21"/>
                      <w:lang w:eastAsia="zh-CN"/>
                      <w14:textFill>
                        <w14:solidFill>
                          <w14:schemeClr w14:val="tx1"/>
                        </w14:solidFill>
                      </w14:textFill>
                    </w:rPr>
                  </w:pPr>
                  <w:r>
                    <w:rPr>
                      <w:rFonts w:ascii="Times New Roman" w:hAnsi="Times New Roman"/>
                      <w:color w:val="000000" w:themeColor="text1"/>
                      <w:sz w:val="21"/>
                      <w:szCs w:val="21"/>
                      <w:lang w:eastAsia="zh-CN"/>
                      <w14:textFill>
                        <w14:solidFill>
                          <w14:schemeClr w14:val="tx1"/>
                        </w14:solidFill>
                      </w14:textFill>
                    </w:rPr>
                    <w:t>钙</w:t>
                  </w:r>
                </w:p>
              </w:tc>
              <w:tc>
                <w:tcPr>
                  <w:tcW w:w="864" w:type="pct"/>
                  <w:vAlign w:val="center"/>
                </w:tcPr>
                <w:p w14:paraId="54885477">
                  <w:pPr>
                    <w:pStyle w:val="79"/>
                    <w:spacing w:line="240" w:lineRule="auto"/>
                    <w:jc w:val="center"/>
                    <w:rPr>
                      <w:rFonts w:ascii="Times New Roman" w:hAnsi="Times New Roman"/>
                      <w:color w:val="000000" w:themeColor="text1"/>
                      <w:sz w:val="21"/>
                      <w:szCs w:val="21"/>
                      <w:lang w:eastAsia="zh-CN"/>
                      <w14:textFill>
                        <w14:solidFill>
                          <w14:schemeClr w14:val="tx1"/>
                        </w14:solidFill>
                      </w14:textFill>
                    </w:rPr>
                  </w:pPr>
                  <w:r>
                    <w:rPr>
                      <w:rFonts w:hint="eastAsia" w:ascii="Times New Roman" w:hAnsi="Times New Roman"/>
                      <w:color w:val="000000" w:themeColor="text1"/>
                      <w:sz w:val="21"/>
                      <w:szCs w:val="21"/>
                      <w:lang w:eastAsia="zh-CN"/>
                      <w14:textFill>
                        <w14:solidFill>
                          <w14:schemeClr w14:val="tx1"/>
                        </w14:solidFill>
                      </w14:textFill>
                    </w:rPr>
                    <w:t>85</w:t>
                  </w:r>
                </w:p>
              </w:tc>
              <w:tc>
                <w:tcPr>
                  <w:tcW w:w="710" w:type="pct"/>
                  <w:vAlign w:val="center"/>
                </w:tcPr>
                <w:p w14:paraId="586C326D">
                  <w:pPr>
                    <w:pStyle w:val="79"/>
                    <w:spacing w:line="240" w:lineRule="auto"/>
                    <w:jc w:val="center"/>
                    <w:rPr>
                      <w:rFonts w:hint="default" w:ascii="Times New Roman" w:hAnsi="Times New Roman"/>
                      <w:color w:val="FF0000"/>
                      <w:sz w:val="21"/>
                      <w:szCs w:val="21"/>
                      <w:lang w:val="en-US" w:eastAsia="zh-CN"/>
                    </w:rPr>
                  </w:pPr>
                  <w:r>
                    <w:rPr>
                      <w:rFonts w:hint="eastAsia" w:ascii="Times New Roman" w:hAnsi="Times New Roman"/>
                      <w:color w:val="FF0000"/>
                      <w:sz w:val="21"/>
                      <w:szCs w:val="21"/>
                      <w:lang w:val="en-US" w:eastAsia="zh-CN"/>
                    </w:rPr>
                    <w:t>108</w:t>
                  </w:r>
                </w:p>
              </w:tc>
              <w:tc>
                <w:tcPr>
                  <w:tcW w:w="810" w:type="pct"/>
                  <w:vAlign w:val="center"/>
                </w:tcPr>
                <w:p w14:paraId="0D1D40EF">
                  <w:pPr>
                    <w:pStyle w:val="79"/>
                    <w:spacing w:line="240" w:lineRule="auto"/>
                    <w:jc w:val="center"/>
                    <w:rPr>
                      <w:rFonts w:ascii="Times New Roman" w:hAnsi="Times New Roman"/>
                      <w:color w:val="000000" w:themeColor="text1"/>
                      <w:sz w:val="21"/>
                      <w:szCs w:val="21"/>
                      <w:lang w:eastAsia="zh-CN"/>
                      <w14:textFill>
                        <w14:solidFill>
                          <w14:schemeClr w14:val="tx1"/>
                        </w14:solidFill>
                      </w14:textFill>
                    </w:rPr>
                  </w:pPr>
                  <w:r>
                    <w:rPr>
                      <w:rFonts w:ascii="Times New Roman" w:hAnsi="Times New Roman"/>
                      <w:color w:val="000000" w:themeColor="text1"/>
                      <w:sz w:val="21"/>
                      <w:szCs w:val="21"/>
                      <w:lang w:eastAsia="zh-CN"/>
                      <w14:textFill>
                        <w14:solidFill>
                          <w14:schemeClr w14:val="tx1"/>
                        </w14:solidFill>
                      </w14:textFill>
                    </w:rPr>
                    <w:t>mg/L</w:t>
                  </w:r>
                </w:p>
              </w:tc>
              <w:tc>
                <w:tcPr>
                  <w:tcW w:w="1106" w:type="pct"/>
                  <w:vAlign w:val="center"/>
                </w:tcPr>
                <w:p w14:paraId="3650D349">
                  <w:pPr>
                    <w:pStyle w:val="79"/>
                    <w:spacing w:line="240" w:lineRule="auto"/>
                    <w:jc w:val="center"/>
                    <w:rPr>
                      <w:rFonts w:ascii="Times New Roman" w:hAnsi="Times New Roman"/>
                      <w:color w:val="000000" w:themeColor="text1"/>
                      <w:sz w:val="21"/>
                      <w:szCs w:val="21"/>
                      <w:lang w:eastAsia="zh-CN"/>
                      <w14:textFill>
                        <w14:solidFill>
                          <w14:schemeClr w14:val="tx1"/>
                        </w14:solidFill>
                      </w14:textFill>
                    </w:rPr>
                  </w:pPr>
                  <w:r>
                    <w:rPr>
                      <w:rFonts w:ascii="Times New Roman" w:hAnsi="Times New Roman"/>
                      <w:color w:val="000000" w:themeColor="text1"/>
                      <w:sz w:val="21"/>
                      <w:szCs w:val="21"/>
                      <w:lang w:eastAsia="zh-CN"/>
                      <w14:textFill>
                        <w14:solidFill>
                          <w14:schemeClr w14:val="tx1"/>
                        </w14:solidFill>
                      </w14:textFill>
                    </w:rPr>
                    <w:t>—</w:t>
                  </w:r>
                </w:p>
              </w:tc>
              <w:tc>
                <w:tcPr>
                  <w:tcW w:w="558" w:type="pct"/>
                  <w:vAlign w:val="center"/>
                </w:tcPr>
                <w:p w14:paraId="55C675C7">
                  <w:pPr>
                    <w:pStyle w:val="79"/>
                    <w:spacing w:line="240" w:lineRule="auto"/>
                    <w:jc w:val="center"/>
                    <w:rPr>
                      <w:rFonts w:ascii="Times New Roman" w:hAnsi="Times New Roman"/>
                      <w:color w:val="000000" w:themeColor="text1"/>
                      <w:sz w:val="21"/>
                      <w:szCs w:val="21"/>
                      <w:lang w:eastAsia="zh-CN"/>
                      <w14:textFill>
                        <w14:solidFill>
                          <w14:schemeClr w14:val="tx1"/>
                        </w14:solidFill>
                      </w14:textFill>
                    </w:rPr>
                  </w:pPr>
                  <w:r>
                    <w:rPr>
                      <w:rFonts w:ascii="Times New Roman" w:hAnsi="Times New Roman"/>
                      <w:color w:val="000000" w:themeColor="text1"/>
                      <w:sz w:val="21"/>
                      <w:szCs w:val="21"/>
                      <w:lang w:eastAsia="zh-CN"/>
                      <w14:textFill>
                        <w14:solidFill>
                          <w14:schemeClr w14:val="tx1"/>
                        </w14:solidFill>
                      </w14:textFill>
                    </w:rPr>
                    <w:t>达标</w:t>
                  </w:r>
                </w:p>
              </w:tc>
            </w:tr>
            <w:tr w14:paraId="5A21C85C">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949" w:type="pct"/>
                  <w:vAlign w:val="center"/>
                </w:tcPr>
                <w:p w14:paraId="7A32E1A7">
                  <w:pPr>
                    <w:pStyle w:val="79"/>
                    <w:spacing w:line="240" w:lineRule="auto"/>
                    <w:jc w:val="center"/>
                    <w:rPr>
                      <w:rFonts w:ascii="Times New Roman" w:hAnsi="Times New Roman"/>
                      <w:color w:val="000000" w:themeColor="text1"/>
                      <w:sz w:val="21"/>
                      <w:szCs w:val="21"/>
                      <w:lang w:eastAsia="zh-CN"/>
                      <w14:textFill>
                        <w14:solidFill>
                          <w14:schemeClr w14:val="tx1"/>
                        </w14:solidFill>
                      </w14:textFill>
                    </w:rPr>
                  </w:pPr>
                  <w:r>
                    <w:rPr>
                      <w:rFonts w:ascii="Times New Roman" w:hAnsi="Times New Roman"/>
                      <w:color w:val="000000" w:themeColor="text1"/>
                      <w:sz w:val="21"/>
                      <w:szCs w:val="21"/>
                      <w:lang w:eastAsia="zh-CN"/>
                      <w14:textFill>
                        <w14:solidFill>
                          <w14:schemeClr w14:val="tx1"/>
                        </w14:solidFill>
                      </w14:textFill>
                    </w:rPr>
                    <w:t>钠</w:t>
                  </w:r>
                </w:p>
              </w:tc>
              <w:tc>
                <w:tcPr>
                  <w:tcW w:w="864" w:type="pct"/>
                  <w:vAlign w:val="center"/>
                </w:tcPr>
                <w:p w14:paraId="0D07CE5D">
                  <w:pPr>
                    <w:pStyle w:val="79"/>
                    <w:spacing w:line="240" w:lineRule="auto"/>
                    <w:jc w:val="center"/>
                    <w:rPr>
                      <w:rFonts w:ascii="Times New Roman" w:hAnsi="Times New Roman"/>
                      <w:color w:val="000000" w:themeColor="text1"/>
                      <w:sz w:val="21"/>
                      <w:szCs w:val="21"/>
                      <w:lang w:eastAsia="zh-CN"/>
                      <w14:textFill>
                        <w14:solidFill>
                          <w14:schemeClr w14:val="tx1"/>
                        </w14:solidFill>
                      </w14:textFill>
                    </w:rPr>
                  </w:pPr>
                  <w:r>
                    <w:rPr>
                      <w:rFonts w:hint="eastAsia" w:ascii="Times New Roman" w:hAnsi="Times New Roman"/>
                      <w:color w:val="000000" w:themeColor="text1"/>
                      <w:sz w:val="21"/>
                      <w:szCs w:val="21"/>
                      <w:lang w:eastAsia="zh-CN"/>
                      <w14:textFill>
                        <w14:solidFill>
                          <w14:schemeClr w14:val="tx1"/>
                        </w14:solidFill>
                      </w14:textFill>
                    </w:rPr>
                    <w:t>93.5</w:t>
                  </w:r>
                </w:p>
              </w:tc>
              <w:tc>
                <w:tcPr>
                  <w:tcW w:w="710" w:type="pct"/>
                  <w:vAlign w:val="center"/>
                </w:tcPr>
                <w:p w14:paraId="5212DB16">
                  <w:pPr>
                    <w:pStyle w:val="79"/>
                    <w:spacing w:line="240" w:lineRule="auto"/>
                    <w:jc w:val="center"/>
                    <w:rPr>
                      <w:rFonts w:hint="default" w:ascii="Times New Roman" w:hAnsi="Times New Roman"/>
                      <w:color w:val="FF0000"/>
                      <w:sz w:val="21"/>
                      <w:szCs w:val="21"/>
                      <w:lang w:val="en-US" w:eastAsia="zh-CN"/>
                    </w:rPr>
                  </w:pPr>
                  <w:r>
                    <w:rPr>
                      <w:rFonts w:hint="eastAsia" w:ascii="Times New Roman" w:hAnsi="Times New Roman"/>
                      <w:color w:val="FF0000"/>
                      <w:sz w:val="21"/>
                      <w:szCs w:val="21"/>
                      <w:lang w:val="en-US" w:eastAsia="zh-CN"/>
                    </w:rPr>
                    <w:t>48.5</w:t>
                  </w:r>
                </w:p>
              </w:tc>
              <w:tc>
                <w:tcPr>
                  <w:tcW w:w="810" w:type="pct"/>
                  <w:vAlign w:val="center"/>
                </w:tcPr>
                <w:p w14:paraId="7F8481A6">
                  <w:pPr>
                    <w:pStyle w:val="79"/>
                    <w:spacing w:line="240" w:lineRule="auto"/>
                    <w:jc w:val="center"/>
                    <w:rPr>
                      <w:rFonts w:ascii="Times New Roman" w:hAnsi="Times New Roman"/>
                      <w:color w:val="000000" w:themeColor="text1"/>
                      <w:sz w:val="21"/>
                      <w:szCs w:val="21"/>
                      <w:lang w:eastAsia="zh-CN"/>
                      <w14:textFill>
                        <w14:solidFill>
                          <w14:schemeClr w14:val="tx1"/>
                        </w14:solidFill>
                      </w14:textFill>
                    </w:rPr>
                  </w:pPr>
                  <w:r>
                    <w:rPr>
                      <w:rFonts w:ascii="Times New Roman" w:hAnsi="Times New Roman"/>
                      <w:color w:val="000000" w:themeColor="text1"/>
                      <w:sz w:val="21"/>
                      <w:szCs w:val="21"/>
                      <w:lang w:eastAsia="zh-CN"/>
                      <w14:textFill>
                        <w14:solidFill>
                          <w14:schemeClr w14:val="tx1"/>
                        </w14:solidFill>
                      </w14:textFill>
                    </w:rPr>
                    <w:t>mg/L</w:t>
                  </w:r>
                </w:p>
              </w:tc>
              <w:tc>
                <w:tcPr>
                  <w:tcW w:w="1106" w:type="pct"/>
                  <w:vAlign w:val="center"/>
                </w:tcPr>
                <w:p w14:paraId="196EC288">
                  <w:pPr>
                    <w:pStyle w:val="79"/>
                    <w:spacing w:line="240" w:lineRule="auto"/>
                    <w:jc w:val="center"/>
                    <w:rPr>
                      <w:rFonts w:ascii="Times New Roman" w:hAnsi="Times New Roman"/>
                      <w:color w:val="000000" w:themeColor="text1"/>
                      <w:sz w:val="21"/>
                      <w:szCs w:val="21"/>
                      <w:lang w:eastAsia="zh-CN"/>
                      <w14:textFill>
                        <w14:solidFill>
                          <w14:schemeClr w14:val="tx1"/>
                        </w14:solidFill>
                      </w14:textFill>
                    </w:rPr>
                  </w:pPr>
                  <w:r>
                    <w:rPr>
                      <w:rFonts w:ascii="Times New Roman" w:hAnsi="Times New Roman"/>
                      <w:color w:val="000000" w:themeColor="text1"/>
                      <w:sz w:val="21"/>
                      <w:szCs w:val="21"/>
                      <w:lang w:eastAsia="zh-CN"/>
                      <w14:textFill>
                        <w14:solidFill>
                          <w14:schemeClr w14:val="tx1"/>
                        </w14:solidFill>
                      </w14:textFill>
                    </w:rPr>
                    <w:t>≤200</w:t>
                  </w:r>
                </w:p>
              </w:tc>
              <w:tc>
                <w:tcPr>
                  <w:tcW w:w="558" w:type="pct"/>
                  <w:vAlign w:val="center"/>
                </w:tcPr>
                <w:p w14:paraId="49298D62">
                  <w:pPr>
                    <w:pStyle w:val="79"/>
                    <w:spacing w:line="240" w:lineRule="auto"/>
                    <w:jc w:val="center"/>
                    <w:rPr>
                      <w:rFonts w:ascii="Times New Roman" w:hAnsi="Times New Roman"/>
                      <w:color w:val="000000" w:themeColor="text1"/>
                      <w:sz w:val="21"/>
                      <w:szCs w:val="21"/>
                      <w:lang w:eastAsia="zh-CN"/>
                      <w14:textFill>
                        <w14:solidFill>
                          <w14:schemeClr w14:val="tx1"/>
                        </w14:solidFill>
                      </w14:textFill>
                    </w:rPr>
                  </w:pPr>
                  <w:r>
                    <w:rPr>
                      <w:rFonts w:ascii="Times New Roman" w:hAnsi="Times New Roman"/>
                      <w:color w:val="000000" w:themeColor="text1"/>
                      <w:sz w:val="21"/>
                      <w:szCs w:val="21"/>
                      <w:lang w:eastAsia="zh-CN"/>
                      <w14:textFill>
                        <w14:solidFill>
                          <w14:schemeClr w14:val="tx1"/>
                        </w14:solidFill>
                      </w14:textFill>
                    </w:rPr>
                    <w:t>达标</w:t>
                  </w:r>
                </w:p>
              </w:tc>
            </w:tr>
            <w:tr w14:paraId="7337218E">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49" w:type="pct"/>
                  <w:vAlign w:val="center"/>
                </w:tcPr>
                <w:p w14:paraId="5D105081">
                  <w:pPr>
                    <w:pStyle w:val="79"/>
                    <w:spacing w:line="240" w:lineRule="auto"/>
                    <w:jc w:val="center"/>
                    <w:rPr>
                      <w:rFonts w:ascii="Times New Roman" w:hAnsi="Times New Roman"/>
                      <w:color w:val="000000" w:themeColor="text1"/>
                      <w:sz w:val="21"/>
                      <w:szCs w:val="21"/>
                      <w:lang w:eastAsia="zh-CN"/>
                      <w14:textFill>
                        <w14:solidFill>
                          <w14:schemeClr w14:val="tx1"/>
                        </w14:solidFill>
                      </w14:textFill>
                    </w:rPr>
                  </w:pPr>
                  <w:r>
                    <w:rPr>
                      <w:rFonts w:ascii="Times New Roman" w:hAnsi="Times New Roman"/>
                      <w:color w:val="000000" w:themeColor="text1"/>
                      <w:sz w:val="21"/>
                      <w:szCs w:val="21"/>
                      <w:lang w:eastAsia="zh-CN"/>
                      <w14:textFill>
                        <w14:solidFill>
                          <w14:schemeClr w14:val="tx1"/>
                        </w14:solidFill>
                      </w14:textFill>
                    </w:rPr>
                    <w:t>镁</w:t>
                  </w:r>
                </w:p>
              </w:tc>
              <w:tc>
                <w:tcPr>
                  <w:tcW w:w="864" w:type="pct"/>
                  <w:vAlign w:val="center"/>
                </w:tcPr>
                <w:p w14:paraId="55ED51F5">
                  <w:pPr>
                    <w:pStyle w:val="79"/>
                    <w:spacing w:line="240" w:lineRule="auto"/>
                    <w:jc w:val="center"/>
                    <w:rPr>
                      <w:rFonts w:ascii="Times New Roman" w:hAnsi="Times New Roman"/>
                      <w:color w:val="000000" w:themeColor="text1"/>
                      <w:sz w:val="21"/>
                      <w:szCs w:val="21"/>
                      <w:lang w:eastAsia="zh-CN"/>
                      <w14:textFill>
                        <w14:solidFill>
                          <w14:schemeClr w14:val="tx1"/>
                        </w14:solidFill>
                      </w14:textFill>
                    </w:rPr>
                  </w:pPr>
                  <w:r>
                    <w:rPr>
                      <w:rFonts w:hint="eastAsia" w:ascii="Times New Roman" w:hAnsi="Times New Roman"/>
                      <w:color w:val="000000" w:themeColor="text1"/>
                      <w:sz w:val="21"/>
                      <w:szCs w:val="21"/>
                      <w:lang w:eastAsia="zh-CN"/>
                      <w14:textFill>
                        <w14:solidFill>
                          <w14:schemeClr w14:val="tx1"/>
                        </w14:solidFill>
                      </w14:textFill>
                    </w:rPr>
                    <w:t>17.5</w:t>
                  </w:r>
                </w:p>
              </w:tc>
              <w:tc>
                <w:tcPr>
                  <w:tcW w:w="710" w:type="pct"/>
                  <w:vAlign w:val="center"/>
                </w:tcPr>
                <w:p w14:paraId="09644B16">
                  <w:pPr>
                    <w:pStyle w:val="79"/>
                    <w:spacing w:line="240" w:lineRule="auto"/>
                    <w:jc w:val="center"/>
                    <w:rPr>
                      <w:rFonts w:hint="default" w:ascii="Times New Roman" w:hAnsi="Times New Roman"/>
                      <w:color w:val="FF0000"/>
                      <w:sz w:val="21"/>
                      <w:szCs w:val="21"/>
                      <w:lang w:val="en-US" w:eastAsia="zh-CN"/>
                    </w:rPr>
                  </w:pPr>
                  <w:r>
                    <w:rPr>
                      <w:rFonts w:hint="eastAsia" w:ascii="Times New Roman" w:hAnsi="Times New Roman"/>
                      <w:color w:val="FF0000"/>
                      <w:sz w:val="21"/>
                      <w:szCs w:val="21"/>
                      <w:lang w:val="en-US" w:eastAsia="zh-CN"/>
                    </w:rPr>
                    <w:t>25.2</w:t>
                  </w:r>
                </w:p>
              </w:tc>
              <w:tc>
                <w:tcPr>
                  <w:tcW w:w="810" w:type="pct"/>
                  <w:vAlign w:val="center"/>
                </w:tcPr>
                <w:p w14:paraId="0C6E0FD4">
                  <w:pPr>
                    <w:pStyle w:val="79"/>
                    <w:spacing w:line="240" w:lineRule="auto"/>
                    <w:jc w:val="center"/>
                    <w:rPr>
                      <w:rFonts w:ascii="Times New Roman" w:hAnsi="Times New Roman"/>
                      <w:color w:val="000000" w:themeColor="text1"/>
                      <w:sz w:val="21"/>
                      <w:szCs w:val="21"/>
                      <w:lang w:eastAsia="zh-CN"/>
                      <w14:textFill>
                        <w14:solidFill>
                          <w14:schemeClr w14:val="tx1"/>
                        </w14:solidFill>
                      </w14:textFill>
                    </w:rPr>
                  </w:pPr>
                  <w:r>
                    <w:rPr>
                      <w:rFonts w:ascii="Times New Roman" w:hAnsi="Times New Roman"/>
                      <w:color w:val="000000" w:themeColor="text1"/>
                      <w:sz w:val="21"/>
                      <w:szCs w:val="21"/>
                      <w:lang w:eastAsia="zh-CN"/>
                      <w14:textFill>
                        <w14:solidFill>
                          <w14:schemeClr w14:val="tx1"/>
                        </w14:solidFill>
                      </w14:textFill>
                    </w:rPr>
                    <w:t>mg/L</w:t>
                  </w:r>
                </w:p>
              </w:tc>
              <w:tc>
                <w:tcPr>
                  <w:tcW w:w="1106" w:type="pct"/>
                  <w:vAlign w:val="center"/>
                </w:tcPr>
                <w:p w14:paraId="7561FA19">
                  <w:pPr>
                    <w:pStyle w:val="79"/>
                    <w:spacing w:line="240" w:lineRule="auto"/>
                    <w:jc w:val="center"/>
                    <w:rPr>
                      <w:rFonts w:ascii="Times New Roman" w:hAnsi="Times New Roman"/>
                      <w:color w:val="000000" w:themeColor="text1"/>
                      <w:sz w:val="21"/>
                      <w:szCs w:val="21"/>
                      <w:lang w:eastAsia="zh-CN"/>
                      <w14:textFill>
                        <w14:solidFill>
                          <w14:schemeClr w14:val="tx1"/>
                        </w14:solidFill>
                      </w14:textFill>
                    </w:rPr>
                  </w:pPr>
                  <w:r>
                    <w:rPr>
                      <w:rFonts w:ascii="Times New Roman" w:hAnsi="Times New Roman"/>
                      <w:color w:val="000000" w:themeColor="text1"/>
                      <w:sz w:val="21"/>
                      <w:szCs w:val="21"/>
                      <w:lang w:eastAsia="zh-CN"/>
                      <w14:textFill>
                        <w14:solidFill>
                          <w14:schemeClr w14:val="tx1"/>
                        </w14:solidFill>
                      </w14:textFill>
                    </w:rPr>
                    <w:t>—</w:t>
                  </w:r>
                </w:p>
              </w:tc>
              <w:tc>
                <w:tcPr>
                  <w:tcW w:w="558" w:type="pct"/>
                  <w:vAlign w:val="center"/>
                </w:tcPr>
                <w:p w14:paraId="4AC4993A">
                  <w:pPr>
                    <w:pStyle w:val="79"/>
                    <w:spacing w:line="240" w:lineRule="auto"/>
                    <w:jc w:val="center"/>
                    <w:rPr>
                      <w:rFonts w:ascii="Times New Roman" w:hAnsi="Times New Roman"/>
                      <w:color w:val="000000" w:themeColor="text1"/>
                      <w:sz w:val="21"/>
                      <w:szCs w:val="21"/>
                      <w:lang w:eastAsia="zh-CN"/>
                      <w14:textFill>
                        <w14:solidFill>
                          <w14:schemeClr w14:val="tx1"/>
                        </w14:solidFill>
                      </w14:textFill>
                    </w:rPr>
                  </w:pPr>
                  <w:r>
                    <w:rPr>
                      <w:rFonts w:ascii="Times New Roman" w:hAnsi="Times New Roman"/>
                      <w:color w:val="000000" w:themeColor="text1"/>
                      <w:sz w:val="21"/>
                      <w:szCs w:val="21"/>
                      <w:lang w:eastAsia="zh-CN"/>
                      <w14:textFill>
                        <w14:solidFill>
                          <w14:schemeClr w14:val="tx1"/>
                        </w14:solidFill>
                      </w14:textFill>
                    </w:rPr>
                    <w:t>达标</w:t>
                  </w:r>
                </w:p>
              </w:tc>
            </w:tr>
            <w:tr w14:paraId="09F7F967">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49" w:type="pct"/>
                  <w:vAlign w:val="center"/>
                </w:tcPr>
                <w:p w14:paraId="250F3C79">
                  <w:pPr>
                    <w:pStyle w:val="79"/>
                    <w:spacing w:line="240" w:lineRule="auto"/>
                    <w:jc w:val="center"/>
                    <w:rPr>
                      <w:rFonts w:ascii="Times New Roman" w:hAnsi="Times New Roman"/>
                      <w:color w:val="000000" w:themeColor="text1"/>
                      <w:sz w:val="21"/>
                      <w:szCs w:val="21"/>
                      <w:lang w:eastAsia="zh-CN"/>
                      <w14:textFill>
                        <w14:solidFill>
                          <w14:schemeClr w14:val="tx1"/>
                        </w14:solidFill>
                      </w14:textFill>
                    </w:rPr>
                  </w:pPr>
                  <w:r>
                    <w:rPr>
                      <w:rFonts w:hint="eastAsia" w:ascii="Times New Roman" w:hAnsi="Times New Roman"/>
                      <w:color w:val="000000" w:themeColor="text1"/>
                      <w:sz w:val="21"/>
                      <w:szCs w:val="21"/>
                      <w:lang w:eastAsia="zh-CN"/>
                      <w14:textFill>
                        <w14:solidFill>
                          <w14:schemeClr w14:val="tx1"/>
                        </w14:solidFill>
                      </w14:textFill>
                    </w:rPr>
                    <w:t>氯</w:t>
                  </w:r>
                </w:p>
              </w:tc>
              <w:tc>
                <w:tcPr>
                  <w:tcW w:w="864" w:type="pct"/>
                  <w:vAlign w:val="center"/>
                </w:tcPr>
                <w:p w14:paraId="548FB969">
                  <w:pPr>
                    <w:pStyle w:val="79"/>
                    <w:spacing w:line="240" w:lineRule="auto"/>
                    <w:jc w:val="center"/>
                    <w:rPr>
                      <w:rFonts w:ascii="Times New Roman" w:hAnsi="Times New Roman"/>
                      <w:color w:val="000000" w:themeColor="text1"/>
                      <w:sz w:val="21"/>
                      <w:szCs w:val="21"/>
                      <w:lang w:eastAsia="zh-CN"/>
                      <w14:textFill>
                        <w14:solidFill>
                          <w14:schemeClr w14:val="tx1"/>
                        </w14:solidFill>
                      </w14:textFill>
                    </w:rPr>
                  </w:pPr>
                  <w:r>
                    <w:rPr>
                      <w:rFonts w:hint="eastAsia" w:ascii="Times New Roman" w:hAnsi="Times New Roman"/>
                      <w:color w:val="000000" w:themeColor="text1"/>
                      <w:sz w:val="21"/>
                      <w:szCs w:val="21"/>
                      <w:lang w:eastAsia="zh-CN"/>
                      <w14:textFill>
                        <w14:solidFill>
                          <w14:schemeClr w14:val="tx1"/>
                        </w14:solidFill>
                      </w14:textFill>
                    </w:rPr>
                    <w:t>76.9</w:t>
                  </w:r>
                </w:p>
              </w:tc>
              <w:tc>
                <w:tcPr>
                  <w:tcW w:w="710" w:type="pct"/>
                  <w:vAlign w:val="center"/>
                </w:tcPr>
                <w:p w14:paraId="08DA51AB">
                  <w:pPr>
                    <w:pStyle w:val="79"/>
                    <w:spacing w:line="240" w:lineRule="auto"/>
                    <w:jc w:val="center"/>
                    <w:rPr>
                      <w:rFonts w:hint="default" w:ascii="Times New Roman" w:hAnsi="Times New Roman"/>
                      <w:color w:val="FF0000"/>
                      <w:sz w:val="21"/>
                      <w:szCs w:val="21"/>
                      <w:lang w:val="en-US" w:eastAsia="zh-CN"/>
                    </w:rPr>
                  </w:pPr>
                  <w:r>
                    <w:rPr>
                      <w:rFonts w:hint="eastAsia" w:ascii="Times New Roman" w:hAnsi="Times New Roman"/>
                      <w:color w:val="FF0000"/>
                      <w:sz w:val="21"/>
                      <w:szCs w:val="21"/>
                      <w:lang w:val="en-US" w:eastAsia="zh-CN"/>
                    </w:rPr>
                    <w:t>64.9</w:t>
                  </w:r>
                </w:p>
              </w:tc>
              <w:tc>
                <w:tcPr>
                  <w:tcW w:w="810" w:type="pct"/>
                  <w:vAlign w:val="center"/>
                </w:tcPr>
                <w:p w14:paraId="28C8C79D">
                  <w:pPr>
                    <w:pStyle w:val="79"/>
                    <w:spacing w:line="240" w:lineRule="auto"/>
                    <w:jc w:val="center"/>
                    <w:rPr>
                      <w:rFonts w:ascii="Times New Roman" w:hAnsi="Times New Roman"/>
                      <w:color w:val="000000" w:themeColor="text1"/>
                      <w:sz w:val="21"/>
                      <w:szCs w:val="21"/>
                      <w:lang w:eastAsia="zh-CN"/>
                      <w14:textFill>
                        <w14:solidFill>
                          <w14:schemeClr w14:val="tx1"/>
                        </w14:solidFill>
                      </w14:textFill>
                    </w:rPr>
                  </w:pPr>
                  <w:r>
                    <w:rPr>
                      <w:rFonts w:ascii="Times New Roman" w:hAnsi="Times New Roman"/>
                      <w:color w:val="000000" w:themeColor="text1"/>
                      <w:sz w:val="21"/>
                      <w:szCs w:val="21"/>
                      <w:lang w:eastAsia="zh-CN"/>
                      <w14:textFill>
                        <w14:solidFill>
                          <w14:schemeClr w14:val="tx1"/>
                        </w14:solidFill>
                      </w14:textFill>
                    </w:rPr>
                    <w:t>mg/L</w:t>
                  </w:r>
                </w:p>
              </w:tc>
              <w:tc>
                <w:tcPr>
                  <w:tcW w:w="1106" w:type="pct"/>
                  <w:vAlign w:val="center"/>
                </w:tcPr>
                <w:p w14:paraId="399E9D0A">
                  <w:pPr>
                    <w:pStyle w:val="79"/>
                    <w:spacing w:line="240" w:lineRule="auto"/>
                    <w:jc w:val="center"/>
                    <w:rPr>
                      <w:rFonts w:ascii="Times New Roman" w:hAnsi="Times New Roman"/>
                      <w:color w:val="000000" w:themeColor="text1"/>
                      <w:sz w:val="21"/>
                      <w:szCs w:val="21"/>
                      <w:lang w:eastAsia="zh-CN"/>
                      <w14:textFill>
                        <w14:solidFill>
                          <w14:schemeClr w14:val="tx1"/>
                        </w14:solidFill>
                      </w14:textFill>
                    </w:rPr>
                  </w:pPr>
                  <w:r>
                    <w:rPr>
                      <w:rFonts w:ascii="Times New Roman" w:hAnsi="Times New Roman"/>
                      <w:color w:val="000000" w:themeColor="text1"/>
                      <w:sz w:val="21"/>
                      <w:szCs w:val="21"/>
                      <w:lang w:eastAsia="zh-CN"/>
                      <w14:textFill>
                        <w14:solidFill>
                          <w14:schemeClr w14:val="tx1"/>
                        </w14:solidFill>
                      </w14:textFill>
                    </w:rPr>
                    <w:t>—</w:t>
                  </w:r>
                </w:p>
              </w:tc>
              <w:tc>
                <w:tcPr>
                  <w:tcW w:w="558" w:type="pct"/>
                  <w:vAlign w:val="center"/>
                </w:tcPr>
                <w:p w14:paraId="14FB5BA8">
                  <w:pPr>
                    <w:pStyle w:val="79"/>
                    <w:spacing w:line="240" w:lineRule="auto"/>
                    <w:jc w:val="center"/>
                    <w:rPr>
                      <w:rFonts w:ascii="Times New Roman" w:hAnsi="Times New Roman"/>
                      <w:color w:val="000000" w:themeColor="text1"/>
                      <w:sz w:val="21"/>
                      <w:szCs w:val="21"/>
                      <w:lang w:eastAsia="zh-CN"/>
                      <w14:textFill>
                        <w14:solidFill>
                          <w14:schemeClr w14:val="tx1"/>
                        </w14:solidFill>
                      </w14:textFill>
                    </w:rPr>
                  </w:pPr>
                  <w:r>
                    <w:rPr>
                      <w:rFonts w:ascii="Times New Roman" w:hAnsi="Times New Roman"/>
                      <w:color w:val="000000" w:themeColor="text1"/>
                      <w:sz w:val="21"/>
                      <w:szCs w:val="21"/>
                      <w:lang w:eastAsia="zh-CN"/>
                      <w14:textFill>
                        <w14:solidFill>
                          <w14:schemeClr w14:val="tx1"/>
                        </w14:solidFill>
                      </w14:textFill>
                    </w:rPr>
                    <w:t>达标</w:t>
                  </w:r>
                </w:p>
              </w:tc>
            </w:tr>
            <w:tr w14:paraId="14E30034">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49" w:type="pct"/>
                  <w:vAlign w:val="center"/>
                </w:tcPr>
                <w:p w14:paraId="09278ED5">
                  <w:pPr>
                    <w:pStyle w:val="79"/>
                    <w:spacing w:line="240" w:lineRule="auto"/>
                    <w:jc w:val="center"/>
                    <w:rPr>
                      <w:rFonts w:ascii="Times New Roman" w:hAnsi="Times New Roman"/>
                      <w:color w:val="000000" w:themeColor="text1"/>
                      <w:sz w:val="21"/>
                      <w:szCs w:val="21"/>
                      <w:lang w:eastAsia="zh-CN"/>
                      <w14:textFill>
                        <w14:solidFill>
                          <w14:schemeClr w14:val="tx1"/>
                        </w14:solidFill>
                      </w14:textFill>
                    </w:rPr>
                  </w:pPr>
                  <w:r>
                    <w:rPr>
                      <w:rFonts w:ascii="Times New Roman" w:hAnsi="Times New Roman"/>
                      <w:color w:val="000000" w:themeColor="text1"/>
                      <w:sz w:val="21"/>
                      <w:szCs w:val="21"/>
                      <w:lang w:eastAsia="zh-CN"/>
                      <w14:textFill>
                        <w14:solidFill>
                          <w14:schemeClr w14:val="tx1"/>
                        </w14:solidFill>
                      </w14:textFill>
                    </w:rPr>
                    <w:t>碳酸根</w:t>
                  </w:r>
                </w:p>
              </w:tc>
              <w:tc>
                <w:tcPr>
                  <w:tcW w:w="864" w:type="pct"/>
                  <w:vAlign w:val="center"/>
                </w:tcPr>
                <w:p w14:paraId="4D9F2D83">
                  <w:pPr>
                    <w:pStyle w:val="79"/>
                    <w:spacing w:line="240" w:lineRule="auto"/>
                    <w:jc w:val="center"/>
                    <w:rPr>
                      <w:rFonts w:ascii="Times New Roman" w:hAnsi="Times New Roman"/>
                      <w:color w:val="000000" w:themeColor="text1"/>
                      <w:sz w:val="21"/>
                      <w:szCs w:val="21"/>
                      <w:lang w:eastAsia="zh-CN"/>
                      <w14:textFill>
                        <w14:solidFill>
                          <w14:schemeClr w14:val="tx1"/>
                        </w14:solidFill>
                      </w14:textFill>
                    </w:rPr>
                  </w:pPr>
                  <w:r>
                    <w:rPr>
                      <w:rFonts w:hint="eastAsia" w:ascii="Times New Roman" w:hAnsi="Times New Roman"/>
                      <w:color w:val="000000" w:themeColor="text1"/>
                      <w:sz w:val="21"/>
                      <w:szCs w:val="21"/>
                      <w:lang w:eastAsia="zh-CN"/>
                      <w14:textFill>
                        <w14:solidFill>
                          <w14:schemeClr w14:val="tx1"/>
                        </w14:solidFill>
                      </w14:textFill>
                    </w:rPr>
                    <w:t>0</w:t>
                  </w:r>
                </w:p>
              </w:tc>
              <w:tc>
                <w:tcPr>
                  <w:tcW w:w="710" w:type="pct"/>
                  <w:vAlign w:val="center"/>
                </w:tcPr>
                <w:p w14:paraId="542D3C44">
                  <w:pPr>
                    <w:pStyle w:val="79"/>
                    <w:spacing w:line="240" w:lineRule="auto"/>
                    <w:jc w:val="center"/>
                    <w:rPr>
                      <w:rFonts w:hint="default" w:ascii="Times New Roman" w:hAnsi="Times New Roman"/>
                      <w:color w:val="FF0000"/>
                      <w:sz w:val="21"/>
                      <w:szCs w:val="21"/>
                      <w:lang w:val="en-US" w:eastAsia="zh-CN"/>
                    </w:rPr>
                  </w:pPr>
                  <w:r>
                    <w:rPr>
                      <w:rFonts w:hint="eastAsia" w:ascii="Times New Roman" w:hAnsi="Times New Roman"/>
                      <w:color w:val="FF0000"/>
                      <w:sz w:val="21"/>
                      <w:szCs w:val="21"/>
                      <w:lang w:val="en-US" w:eastAsia="zh-CN"/>
                    </w:rPr>
                    <w:t>0</w:t>
                  </w:r>
                </w:p>
              </w:tc>
              <w:tc>
                <w:tcPr>
                  <w:tcW w:w="810" w:type="pct"/>
                  <w:vAlign w:val="center"/>
                </w:tcPr>
                <w:p w14:paraId="6EA1D3E7">
                  <w:pPr>
                    <w:pStyle w:val="79"/>
                    <w:spacing w:line="240" w:lineRule="auto"/>
                    <w:jc w:val="center"/>
                    <w:rPr>
                      <w:rFonts w:ascii="Times New Roman" w:hAnsi="Times New Roman"/>
                      <w:color w:val="000000" w:themeColor="text1"/>
                      <w:sz w:val="21"/>
                      <w:szCs w:val="21"/>
                      <w:lang w:eastAsia="zh-CN"/>
                      <w14:textFill>
                        <w14:solidFill>
                          <w14:schemeClr w14:val="tx1"/>
                        </w14:solidFill>
                      </w14:textFill>
                    </w:rPr>
                  </w:pPr>
                  <w:r>
                    <w:rPr>
                      <w:rFonts w:ascii="Times New Roman" w:hAnsi="Times New Roman"/>
                      <w:color w:val="000000" w:themeColor="text1"/>
                      <w:sz w:val="21"/>
                      <w:szCs w:val="21"/>
                      <w:lang w:eastAsia="zh-CN"/>
                      <w14:textFill>
                        <w14:solidFill>
                          <w14:schemeClr w14:val="tx1"/>
                        </w14:solidFill>
                      </w14:textFill>
                    </w:rPr>
                    <w:t>mg/L</w:t>
                  </w:r>
                </w:p>
              </w:tc>
              <w:tc>
                <w:tcPr>
                  <w:tcW w:w="1106" w:type="pct"/>
                  <w:vAlign w:val="center"/>
                </w:tcPr>
                <w:p w14:paraId="514B328A">
                  <w:pPr>
                    <w:pStyle w:val="79"/>
                    <w:spacing w:line="240" w:lineRule="auto"/>
                    <w:jc w:val="center"/>
                    <w:rPr>
                      <w:rFonts w:ascii="Times New Roman" w:hAnsi="Times New Roman"/>
                      <w:color w:val="000000" w:themeColor="text1"/>
                      <w:sz w:val="21"/>
                      <w:szCs w:val="21"/>
                      <w:lang w:eastAsia="zh-CN"/>
                      <w14:textFill>
                        <w14:solidFill>
                          <w14:schemeClr w14:val="tx1"/>
                        </w14:solidFill>
                      </w14:textFill>
                    </w:rPr>
                  </w:pPr>
                  <w:r>
                    <w:rPr>
                      <w:rFonts w:ascii="Times New Roman" w:hAnsi="Times New Roman"/>
                      <w:color w:val="000000" w:themeColor="text1"/>
                      <w:sz w:val="21"/>
                      <w:szCs w:val="21"/>
                      <w:lang w:eastAsia="zh-CN"/>
                      <w14:textFill>
                        <w14:solidFill>
                          <w14:schemeClr w14:val="tx1"/>
                        </w14:solidFill>
                      </w14:textFill>
                    </w:rPr>
                    <w:t>—</w:t>
                  </w:r>
                </w:p>
              </w:tc>
              <w:tc>
                <w:tcPr>
                  <w:tcW w:w="558" w:type="pct"/>
                  <w:vAlign w:val="center"/>
                </w:tcPr>
                <w:p w14:paraId="4CDEA815">
                  <w:pPr>
                    <w:pStyle w:val="79"/>
                    <w:spacing w:line="240" w:lineRule="auto"/>
                    <w:jc w:val="center"/>
                    <w:rPr>
                      <w:rFonts w:ascii="Times New Roman" w:hAnsi="Times New Roman"/>
                      <w:color w:val="000000" w:themeColor="text1"/>
                      <w:sz w:val="21"/>
                      <w:szCs w:val="21"/>
                      <w:lang w:eastAsia="zh-CN"/>
                      <w14:textFill>
                        <w14:solidFill>
                          <w14:schemeClr w14:val="tx1"/>
                        </w14:solidFill>
                      </w14:textFill>
                    </w:rPr>
                  </w:pPr>
                  <w:r>
                    <w:rPr>
                      <w:rFonts w:ascii="Times New Roman" w:hAnsi="Times New Roman"/>
                      <w:color w:val="000000" w:themeColor="text1"/>
                      <w:sz w:val="21"/>
                      <w:szCs w:val="21"/>
                      <w:lang w:eastAsia="zh-CN"/>
                      <w14:textFill>
                        <w14:solidFill>
                          <w14:schemeClr w14:val="tx1"/>
                        </w14:solidFill>
                      </w14:textFill>
                    </w:rPr>
                    <w:t>达标</w:t>
                  </w:r>
                </w:p>
              </w:tc>
            </w:tr>
            <w:tr w14:paraId="78D1DE05">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49" w:type="pct"/>
                  <w:vAlign w:val="center"/>
                </w:tcPr>
                <w:p w14:paraId="638B84CF">
                  <w:pPr>
                    <w:pStyle w:val="79"/>
                    <w:spacing w:line="240" w:lineRule="auto"/>
                    <w:jc w:val="center"/>
                    <w:rPr>
                      <w:rFonts w:ascii="Times New Roman" w:hAnsi="Times New Roman"/>
                      <w:color w:val="000000" w:themeColor="text1"/>
                      <w:sz w:val="21"/>
                      <w:szCs w:val="21"/>
                      <w:lang w:eastAsia="zh-CN"/>
                      <w14:textFill>
                        <w14:solidFill>
                          <w14:schemeClr w14:val="tx1"/>
                        </w14:solidFill>
                      </w14:textFill>
                    </w:rPr>
                  </w:pPr>
                  <w:r>
                    <w:rPr>
                      <w:rFonts w:ascii="Times New Roman" w:hAnsi="Times New Roman"/>
                      <w:color w:val="000000" w:themeColor="text1"/>
                      <w:sz w:val="21"/>
                      <w:szCs w:val="21"/>
                      <w:lang w:eastAsia="zh-CN"/>
                      <w14:textFill>
                        <w14:solidFill>
                          <w14:schemeClr w14:val="tx1"/>
                        </w14:solidFill>
                      </w14:textFill>
                    </w:rPr>
                    <w:t>重碳酸根</w:t>
                  </w:r>
                </w:p>
              </w:tc>
              <w:tc>
                <w:tcPr>
                  <w:tcW w:w="864" w:type="pct"/>
                  <w:vAlign w:val="center"/>
                </w:tcPr>
                <w:p w14:paraId="7A72E2B2">
                  <w:pPr>
                    <w:pStyle w:val="79"/>
                    <w:spacing w:line="240" w:lineRule="auto"/>
                    <w:jc w:val="center"/>
                    <w:rPr>
                      <w:rFonts w:ascii="Times New Roman" w:hAnsi="Times New Roman"/>
                      <w:color w:val="000000" w:themeColor="text1"/>
                      <w:sz w:val="21"/>
                      <w:szCs w:val="21"/>
                      <w:lang w:eastAsia="zh-CN"/>
                      <w14:textFill>
                        <w14:solidFill>
                          <w14:schemeClr w14:val="tx1"/>
                        </w14:solidFill>
                      </w14:textFill>
                    </w:rPr>
                  </w:pPr>
                  <w:r>
                    <w:rPr>
                      <w:rFonts w:hint="eastAsia" w:ascii="Times New Roman" w:hAnsi="Times New Roman"/>
                      <w:color w:val="000000" w:themeColor="text1"/>
                      <w:sz w:val="21"/>
                      <w:szCs w:val="21"/>
                      <w:lang w:eastAsia="zh-CN"/>
                      <w14:textFill>
                        <w14:solidFill>
                          <w14:schemeClr w14:val="tx1"/>
                        </w14:solidFill>
                      </w14:textFill>
                    </w:rPr>
                    <w:t>308</w:t>
                  </w:r>
                </w:p>
              </w:tc>
              <w:tc>
                <w:tcPr>
                  <w:tcW w:w="710" w:type="pct"/>
                  <w:vAlign w:val="center"/>
                </w:tcPr>
                <w:p w14:paraId="4BF7B808">
                  <w:pPr>
                    <w:pStyle w:val="79"/>
                    <w:spacing w:line="240" w:lineRule="auto"/>
                    <w:jc w:val="center"/>
                    <w:rPr>
                      <w:rFonts w:hint="default" w:ascii="Times New Roman" w:hAnsi="Times New Roman"/>
                      <w:color w:val="FF0000"/>
                      <w:sz w:val="21"/>
                      <w:szCs w:val="21"/>
                      <w:lang w:val="en-US" w:eastAsia="zh-CN"/>
                    </w:rPr>
                  </w:pPr>
                  <w:r>
                    <w:rPr>
                      <w:rFonts w:hint="eastAsia" w:ascii="Times New Roman" w:hAnsi="Times New Roman"/>
                      <w:color w:val="FF0000"/>
                      <w:sz w:val="21"/>
                      <w:szCs w:val="21"/>
                      <w:lang w:val="en-US" w:eastAsia="zh-CN"/>
                    </w:rPr>
                    <w:t>375</w:t>
                  </w:r>
                </w:p>
              </w:tc>
              <w:tc>
                <w:tcPr>
                  <w:tcW w:w="810" w:type="pct"/>
                  <w:vAlign w:val="center"/>
                </w:tcPr>
                <w:p w14:paraId="246FBD47">
                  <w:pPr>
                    <w:pStyle w:val="79"/>
                    <w:spacing w:line="240" w:lineRule="auto"/>
                    <w:jc w:val="center"/>
                    <w:rPr>
                      <w:rFonts w:ascii="Times New Roman" w:hAnsi="Times New Roman"/>
                      <w:color w:val="000000" w:themeColor="text1"/>
                      <w:sz w:val="21"/>
                      <w:szCs w:val="21"/>
                      <w:lang w:eastAsia="zh-CN"/>
                      <w14:textFill>
                        <w14:solidFill>
                          <w14:schemeClr w14:val="tx1"/>
                        </w14:solidFill>
                      </w14:textFill>
                    </w:rPr>
                  </w:pPr>
                  <w:r>
                    <w:rPr>
                      <w:rFonts w:ascii="Times New Roman" w:hAnsi="Times New Roman"/>
                      <w:color w:val="000000" w:themeColor="text1"/>
                      <w:sz w:val="21"/>
                      <w:szCs w:val="21"/>
                      <w:lang w:eastAsia="zh-CN"/>
                      <w14:textFill>
                        <w14:solidFill>
                          <w14:schemeClr w14:val="tx1"/>
                        </w14:solidFill>
                      </w14:textFill>
                    </w:rPr>
                    <w:t>mg/L</w:t>
                  </w:r>
                </w:p>
              </w:tc>
              <w:tc>
                <w:tcPr>
                  <w:tcW w:w="1106" w:type="pct"/>
                  <w:vAlign w:val="center"/>
                </w:tcPr>
                <w:p w14:paraId="6DBD14F2">
                  <w:pPr>
                    <w:pStyle w:val="79"/>
                    <w:spacing w:line="240" w:lineRule="auto"/>
                    <w:jc w:val="center"/>
                    <w:rPr>
                      <w:rFonts w:ascii="Times New Roman" w:hAnsi="Times New Roman"/>
                      <w:color w:val="000000" w:themeColor="text1"/>
                      <w:sz w:val="21"/>
                      <w:szCs w:val="21"/>
                      <w:lang w:eastAsia="zh-CN"/>
                      <w14:textFill>
                        <w14:solidFill>
                          <w14:schemeClr w14:val="tx1"/>
                        </w14:solidFill>
                      </w14:textFill>
                    </w:rPr>
                  </w:pPr>
                  <w:r>
                    <w:rPr>
                      <w:rFonts w:ascii="Times New Roman" w:hAnsi="Times New Roman"/>
                      <w:color w:val="000000" w:themeColor="text1"/>
                      <w:sz w:val="21"/>
                      <w:szCs w:val="21"/>
                      <w:lang w:eastAsia="zh-CN"/>
                      <w14:textFill>
                        <w14:solidFill>
                          <w14:schemeClr w14:val="tx1"/>
                        </w14:solidFill>
                      </w14:textFill>
                    </w:rPr>
                    <w:t>—</w:t>
                  </w:r>
                </w:p>
              </w:tc>
              <w:tc>
                <w:tcPr>
                  <w:tcW w:w="558" w:type="pct"/>
                  <w:vAlign w:val="center"/>
                </w:tcPr>
                <w:p w14:paraId="09D9850C">
                  <w:pPr>
                    <w:pStyle w:val="79"/>
                    <w:spacing w:line="240" w:lineRule="auto"/>
                    <w:jc w:val="center"/>
                    <w:rPr>
                      <w:rFonts w:ascii="Times New Roman" w:hAnsi="Times New Roman"/>
                      <w:color w:val="000000" w:themeColor="text1"/>
                      <w:sz w:val="21"/>
                      <w:szCs w:val="21"/>
                      <w:lang w:eastAsia="zh-CN"/>
                      <w14:textFill>
                        <w14:solidFill>
                          <w14:schemeClr w14:val="tx1"/>
                        </w14:solidFill>
                      </w14:textFill>
                    </w:rPr>
                  </w:pPr>
                  <w:r>
                    <w:rPr>
                      <w:rFonts w:ascii="Times New Roman" w:hAnsi="Times New Roman"/>
                      <w:color w:val="000000" w:themeColor="text1"/>
                      <w:sz w:val="21"/>
                      <w:szCs w:val="21"/>
                      <w:lang w:eastAsia="zh-CN"/>
                      <w14:textFill>
                        <w14:solidFill>
                          <w14:schemeClr w14:val="tx1"/>
                        </w14:solidFill>
                      </w14:textFill>
                    </w:rPr>
                    <w:t>达标</w:t>
                  </w:r>
                </w:p>
              </w:tc>
            </w:tr>
            <w:tr w14:paraId="24B21712">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49" w:type="pct"/>
                  <w:vAlign w:val="center"/>
                </w:tcPr>
                <w:p w14:paraId="263F5CA8">
                  <w:pPr>
                    <w:pStyle w:val="79"/>
                    <w:spacing w:line="240" w:lineRule="auto"/>
                    <w:jc w:val="center"/>
                    <w:rPr>
                      <w:rFonts w:ascii="Times New Roman" w:hAnsi="Times New Roman"/>
                      <w:color w:val="000000" w:themeColor="text1"/>
                      <w:sz w:val="21"/>
                      <w:szCs w:val="21"/>
                      <w:lang w:eastAsia="zh-CN"/>
                      <w14:textFill>
                        <w14:solidFill>
                          <w14:schemeClr w14:val="tx1"/>
                        </w14:solidFill>
                      </w14:textFill>
                    </w:rPr>
                  </w:pPr>
                  <w:r>
                    <w:rPr>
                      <w:rFonts w:ascii="Times New Roman" w:hAnsi="Times New Roman"/>
                      <w:color w:val="000000" w:themeColor="text1"/>
                      <w:sz w:val="21"/>
                      <w:szCs w:val="21"/>
                      <w:lang w:eastAsia="zh-CN"/>
                      <w14:textFill>
                        <w14:solidFill>
                          <w14:schemeClr w14:val="tx1"/>
                        </w14:solidFill>
                      </w14:textFill>
                    </w:rPr>
                    <w:t>SO</w:t>
                  </w:r>
                  <w:r>
                    <w:rPr>
                      <w:rFonts w:ascii="Times New Roman" w:hAnsi="Times New Roman"/>
                      <w:color w:val="000000" w:themeColor="text1"/>
                      <w:sz w:val="21"/>
                      <w:szCs w:val="21"/>
                      <w:vertAlign w:val="subscript"/>
                      <w:lang w:eastAsia="zh-CN"/>
                      <w14:textFill>
                        <w14:solidFill>
                          <w14:schemeClr w14:val="tx1"/>
                        </w14:solidFill>
                      </w14:textFill>
                    </w:rPr>
                    <w:t>4</w:t>
                  </w:r>
                  <w:r>
                    <w:rPr>
                      <w:rFonts w:ascii="Times New Roman" w:hAnsi="Times New Roman"/>
                      <w:color w:val="000000" w:themeColor="text1"/>
                      <w:sz w:val="21"/>
                      <w:szCs w:val="21"/>
                      <w:vertAlign w:val="superscript"/>
                      <w:lang w:eastAsia="zh-CN"/>
                      <w14:textFill>
                        <w14:solidFill>
                          <w14:schemeClr w14:val="tx1"/>
                        </w14:solidFill>
                      </w14:textFill>
                    </w:rPr>
                    <w:t>2-</w:t>
                  </w:r>
                </w:p>
              </w:tc>
              <w:tc>
                <w:tcPr>
                  <w:tcW w:w="864" w:type="pct"/>
                  <w:vAlign w:val="center"/>
                </w:tcPr>
                <w:p w14:paraId="67D24FCD">
                  <w:pPr>
                    <w:pStyle w:val="79"/>
                    <w:spacing w:line="240" w:lineRule="auto"/>
                    <w:jc w:val="center"/>
                    <w:rPr>
                      <w:rFonts w:ascii="Times New Roman" w:hAnsi="Times New Roman"/>
                      <w:color w:val="000000" w:themeColor="text1"/>
                      <w:sz w:val="21"/>
                      <w:szCs w:val="21"/>
                      <w:lang w:eastAsia="zh-CN"/>
                      <w14:textFill>
                        <w14:solidFill>
                          <w14:schemeClr w14:val="tx1"/>
                        </w14:solidFill>
                      </w14:textFill>
                    </w:rPr>
                  </w:pPr>
                  <w:r>
                    <w:rPr>
                      <w:rFonts w:hint="eastAsia" w:ascii="Times New Roman" w:hAnsi="Times New Roman"/>
                      <w:color w:val="000000" w:themeColor="text1"/>
                      <w:sz w:val="21"/>
                      <w:szCs w:val="21"/>
                      <w:lang w:eastAsia="zh-CN"/>
                      <w14:textFill>
                        <w14:solidFill>
                          <w14:schemeClr w14:val="tx1"/>
                        </w14:solidFill>
                      </w14:textFill>
                    </w:rPr>
                    <w:t>114</w:t>
                  </w:r>
                </w:p>
              </w:tc>
              <w:tc>
                <w:tcPr>
                  <w:tcW w:w="710" w:type="pct"/>
                  <w:vAlign w:val="center"/>
                </w:tcPr>
                <w:p w14:paraId="58D197ED">
                  <w:pPr>
                    <w:pStyle w:val="79"/>
                    <w:spacing w:line="240" w:lineRule="auto"/>
                    <w:jc w:val="center"/>
                    <w:rPr>
                      <w:rFonts w:hint="default" w:ascii="Times New Roman" w:hAnsi="Times New Roman"/>
                      <w:color w:val="FF0000"/>
                      <w:sz w:val="21"/>
                      <w:szCs w:val="21"/>
                      <w:lang w:val="en-US" w:eastAsia="zh-CN"/>
                    </w:rPr>
                  </w:pPr>
                  <w:r>
                    <w:rPr>
                      <w:rFonts w:hint="eastAsia" w:ascii="Times New Roman" w:hAnsi="Times New Roman"/>
                      <w:color w:val="FF0000"/>
                      <w:sz w:val="21"/>
                      <w:szCs w:val="21"/>
                      <w:lang w:val="en-US" w:eastAsia="zh-CN"/>
                    </w:rPr>
                    <w:t>75</w:t>
                  </w:r>
                </w:p>
              </w:tc>
              <w:tc>
                <w:tcPr>
                  <w:tcW w:w="810" w:type="pct"/>
                  <w:vAlign w:val="center"/>
                </w:tcPr>
                <w:p w14:paraId="0A4C6336">
                  <w:pPr>
                    <w:pStyle w:val="79"/>
                    <w:spacing w:line="240" w:lineRule="auto"/>
                    <w:jc w:val="center"/>
                    <w:rPr>
                      <w:rFonts w:ascii="Times New Roman" w:hAnsi="Times New Roman"/>
                      <w:color w:val="000000" w:themeColor="text1"/>
                      <w:sz w:val="21"/>
                      <w:szCs w:val="21"/>
                      <w:lang w:eastAsia="zh-CN"/>
                      <w14:textFill>
                        <w14:solidFill>
                          <w14:schemeClr w14:val="tx1"/>
                        </w14:solidFill>
                      </w14:textFill>
                    </w:rPr>
                  </w:pPr>
                  <w:r>
                    <w:rPr>
                      <w:rFonts w:ascii="Times New Roman" w:hAnsi="Times New Roman"/>
                      <w:color w:val="000000" w:themeColor="text1"/>
                      <w:sz w:val="21"/>
                      <w:szCs w:val="21"/>
                      <w:lang w:eastAsia="zh-CN"/>
                      <w14:textFill>
                        <w14:solidFill>
                          <w14:schemeClr w14:val="tx1"/>
                        </w14:solidFill>
                      </w14:textFill>
                    </w:rPr>
                    <w:t>mg/L</w:t>
                  </w:r>
                </w:p>
              </w:tc>
              <w:tc>
                <w:tcPr>
                  <w:tcW w:w="1106" w:type="pct"/>
                  <w:vAlign w:val="center"/>
                </w:tcPr>
                <w:p w14:paraId="2F86CC22">
                  <w:pPr>
                    <w:pStyle w:val="79"/>
                    <w:spacing w:line="240" w:lineRule="auto"/>
                    <w:jc w:val="center"/>
                    <w:rPr>
                      <w:rFonts w:ascii="Times New Roman" w:hAnsi="Times New Roman"/>
                      <w:color w:val="000000" w:themeColor="text1"/>
                      <w:sz w:val="21"/>
                      <w:szCs w:val="21"/>
                      <w:lang w:eastAsia="zh-CN"/>
                      <w14:textFill>
                        <w14:solidFill>
                          <w14:schemeClr w14:val="tx1"/>
                        </w14:solidFill>
                      </w14:textFill>
                    </w:rPr>
                  </w:pPr>
                  <w:r>
                    <w:rPr>
                      <w:rFonts w:ascii="Times New Roman" w:hAnsi="Times New Roman"/>
                      <w:color w:val="000000" w:themeColor="text1"/>
                      <w:sz w:val="21"/>
                      <w:szCs w:val="21"/>
                      <w:lang w:eastAsia="zh-CN"/>
                      <w14:textFill>
                        <w14:solidFill>
                          <w14:schemeClr w14:val="tx1"/>
                        </w14:solidFill>
                      </w14:textFill>
                    </w:rPr>
                    <w:t>—</w:t>
                  </w:r>
                </w:p>
              </w:tc>
              <w:tc>
                <w:tcPr>
                  <w:tcW w:w="558" w:type="pct"/>
                  <w:vAlign w:val="center"/>
                </w:tcPr>
                <w:p w14:paraId="6152130F">
                  <w:pPr>
                    <w:pStyle w:val="79"/>
                    <w:spacing w:line="240" w:lineRule="auto"/>
                    <w:jc w:val="center"/>
                    <w:rPr>
                      <w:rFonts w:ascii="Times New Roman" w:hAnsi="Times New Roman"/>
                      <w:color w:val="000000" w:themeColor="text1"/>
                      <w:sz w:val="21"/>
                      <w:szCs w:val="21"/>
                      <w:lang w:eastAsia="zh-CN"/>
                      <w14:textFill>
                        <w14:solidFill>
                          <w14:schemeClr w14:val="tx1"/>
                        </w14:solidFill>
                      </w14:textFill>
                    </w:rPr>
                  </w:pPr>
                  <w:r>
                    <w:rPr>
                      <w:rFonts w:ascii="Times New Roman" w:hAnsi="Times New Roman"/>
                      <w:color w:val="000000" w:themeColor="text1"/>
                      <w:sz w:val="21"/>
                      <w:szCs w:val="21"/>
                      <w:lang w:eastAsia="zh-CN"/>
                      <w14:textFill>
                        <w14:solidFill>
                          <w14:schemeClr w14:val="tx1"/>
                        </w14:solidFill>
                      </w14:textFill>
                    </w:rPr>
                    <w:t>达标</w:t>
                  </w:r>
                </w:p>
              </w:tc>
            </w:tr>
            <w:tr w14:paraId="28875E6E">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49" w:type="pct"/>
                  <w:vAlign w:val="center"/>
                </w:tcPr>
                <w:p w14:paraId="5F2BC13D">
                  <w:pPr>
                    <w:pStyle w:val="79"/>
                    <w:spacing w:line="240" w:lineRule="auto"/>
                    <w:jc w:val="center"/>
                    <w:rPr>
                      <w:rFonts w:ascii="Times New Roman" w:hAnsi="Times New Roman"/>
                      <w:color w:val="000000" w:themeColor="text1"/>
                      <w:sz w:val="21"/>
                      <w:szCs w:val="21"/>
                      <w:lang w:eastAsia="zh-CN"/>
                      <w14:textFill>
                        <w14:solidFill>
                          <w14:schemeClr w14:val="tx1"/>
                        </w14:solidFill>
                      </w14:textFill>
                    </w:rPr>
                  </w:pPr>
                  <w:r>
                    <w:rPr>
                      <w:rFonts w:ascii="Times New Roman" w:hAnsi="Times New Roman"/>
                      <w:color w:val="000000" w:themeColor="text1"/>
                      <w:sz w:val="21"/>
                      <w:szCs w:val="21"/>
                      <w:lang w:eastAsia="zh-CN"/>
                      <w14:textFill>
                        <w14:solidFill>
                          <w14:schemeClr w14:val="tx1"/>
                        </w14:solidFill>
                      </w14:textFill>
                    </w:rPr>
                    <w:t>氯化物</w:t>
                  </w:r>
                </w:p>
              </w:tc>
              <w:tc>
                <w:tcPr>
                  <w:tcW w:w="864" w:type="pct"/>
                  <w:vAlign w:val="center"/>
                </w:tcPr>
                <w:p w14:paraId="2CA127BD">
                  <w:pPr>
                    <w:pStyle w:val="79"/>
                    <w:spacing w:line="240" w:lineRule="auto"/>
                    <w:jc w:val="center"/>
                    <w:rPr>
                      <w:rFonts w:ascii="Times New Roman" w:hAnsi="Times New Roman"/>
                      <w:color w:val="000000" w:themeColor="text1"/>
                      <w:sz w:val="21"/>
                      <w:szCs w:val="21"/>
                      <w:lang w:eastAsia="zh-CN"/>
                      <w14:textFill>
                        <w14:solidFill>
                          <w14:schemeClr w14:val="tx1"/>
                        </w14:solidFill>
                      </w14:textFill>
                    </w:rPr>
                  </w:pPr>
                  <w:r>
                    <w:rPr>
                      <w:rFonts w:ascii="Times New Roman" w:hAnsi="Times New Roman"/>
                      <w:color w:val="000000" w:themeColor="text1"/>
                      <w:sz w:val="21"/>
                      <w:szCs w:val="21"/>
                      <w:lang w:eastAsia="zh-CN"/>
                      <w14:textFill>
                        <w14:solidFill>
                          <w14:schemeClr w14:val="tx1"/>
                        </w14:solidFill>
                      </w14:textFill>
                    </w:rPr>
                    <w:t>77.4</w:t>
                  </w:r>
                </w:p>
              </w:tc>
              <w:tc>
                <w:tcPr>
                  <w:tcW w:w="710" w:type="pct"/>
                  <w:vAlign w:val="center"/>
                </w:tcPr>
                <w:p w14:paraId="0D2A1B3C">
                  <w:pPr>
                    <w:pStyle w:val="79"/>
                    <w:spacing w:line="240" w:lineRule="auto"/>
                    <w:jc w:val="center"/>
                    <w:rPr>
                      <w:rFonts w:hint="default" w:ascii="Times New Roman" w:hAnsi="Times New Roman"/>
                      <w:color w:val="FF0000"/>
                      <w:sz w:val="21"/>
                      <w:szCs w:val="21"/>
                      <w:lang w:val="en-US" w:eastAsia="zh-CN"/>
                    </w:rPr>
                  </w:pPr>
                  <w:r>
                    <w:rPr>
                      <w:rFonts w:hint="eastAsia" w:ascii="Times New Roman" w:hAnsi="Times New Roman"/>
                      <w:color w:val="FF0000"/>
                      <w:sz w:val="21"/>
                      <w:szCs w:val="21"/>
                      <w:lang w:val="en-US" w:eastAsia="zh-CN"/>
                    </w:rPr>
                    <w:t>64.7</w:t>
                  </w:r>
                </w:p>
              </w:tc>
              <w:tc>
                <w:tcPr>
                  <w:tcW w:w="810" w:type="pct"/>
                  <w:vAlign w:val="center"/>
                </w:tcPr>
                <w:p w14:paraId="3D7E4AB0">
                  <w:pPr>
                    <w:pStyle w:val="79"/>
                    <w:spacing w:line="240" w:lineRule="auto"/>
                    <w:jc w:val="center"/>
                    <w:rPr>
                      <w:rFonts w:ascii="Times New Roman" w:hAnsi="Times New Roman"/>
                      <w:color w:val="000000" w:themeColor="text1"/>
                      <w:sz w:val="21"/>
                      <w:szCs w:val="21"/>
                      <w:lang w:eastAsia="zh-CN"/>
                      <w14:textFill>
                        <w14:solidFill>
                          <w14:schemeClr w14:val="tx1"/>
                        </w14:solidFill>
                      </w14:textFill>
                    </w:rPr>
                  </w:pPr>
                  <w:r>
                    <w:rPr>
                      <w:rFonts w:ascii="Times New Roman" w:hAnsi="Times New Roman"/>
                      <w:color w:val="000000" w:themeColor="text1"/>
                      <w:sz w:val="21"/>
                      <w:szCs w:val="21"/>
                      <w:lang w:eastAsia="zh-CN"/>
                      <w14:textFill>
                        <w14:solidFill>
                          <w14:schemeClr w14:val="tx1"/>
                        </w14:solidFill>
                      </w14:textFill>
                    </w:rPr>
                    <w:t>mg/L</w:t>
                  </w:r>
                </w:p>
              </w:tc>
              <w:tc>
                <w:tcPr>
                  <w:tcW w:w="1106" w:type="pct"/>
                  <w:vAlign w:val="center"/>
                </w:tcPr>
                <w:p w14:paraId="3104114A">
                  <w:pPr>
                    <w:pStyle w:val="79"/>
                    <w:spacing w:line="240" w:lineRule="auto"/>
                    <w:jc w:val="center"/>
                    <w:rPr>
                      <w:rFonts w:ascii="Times New Roman" w:hAnsi="Times New Roman"/>
                      <w:color w:val="000000" w:themeColor="text1"/>
                      <w:sz w:val="21"/>
                      <w:szCs w:val="21"/>
                      <w:lang w:eastAsia="zh-CN"/>
                      <w14:textFill>
                        <w14:solidFill>
                          <w14:schemeClr w14:val="tx1"/>
                        </w14:solidFill>
                      </w14:textFill>
                    </w:rPr>
                  </w:pPr>
                  <w:r>
                    <w:rPr>
                      <w:rFonts w:ascii="Times New Roman" w:hAnsi="Times New Roman"/>
                      <w:color w:val="000000" w:themeColor="text1"/>
                      <w:sz w:val="21"/>
                      <w:szCs w:val="21"/>
                      <w:lang w:eastAsia="zh-CN"/>
                      <w14:textFill>
                        <w14:solidFill>
                          <w14:schemeClr w14:val="tx1"/>
                        </w14:solidFill>
                      </w14:textFill>
                    </w:rPr>
                    <w:t>≤250</w:t>
                  </w:r>
                </w:p>
              </w:tc>
              <w:tc>
                <w:tcPr>
                  <w:tcW w:w="558" w:type="pct"/>
                  <w:vAlign w:val="center"/>
                </w:tcPr>
                <w:p w14:paraId="04180513">
                  <w:pPr>
                    <w:pStyle w:val="79"/>
                    <w:spacing w:line="240" w:lineRule="auto"/>
                    <w:jc w:val="center"/>
                    <w:rPr>
                      <w:rFonts w:ascii="Times New Roman" w:hAnsi="Times New Roman"/>
                      <w:color w:val="000000" w:themeColor="text1"/>
                      <w:sz w:val="21"/>
                      <w:szCs w:val="21"/>
                      <w:lang w:eastAsia="zh-CN"/>
                      <w14:textFill>
                        <w14:solidFill>
                          <w14:schemeClr w14:val="tx1"/>
                        </w14:solidFill>
                      </w14:textFill>
                    </w:rPr>
                  </w:pPr>
                  <w:r>
                    <w:rPr>
                      <w:rFonts w:ascii="Times New Roman" w:hAnsi="Times New Roman"/>
                      <w:color w:val="000000" w:themeColor="text1"/>
                      <w:sz w:val="21"/>
                      <w:szCs w:val="21"/>
                      <w:lang w:eastAsia="zh-CN"/>
                      <w14:textFill>
                        <w14:solidFill>
                          <w14:schemeClr w14:val="tx1"/>
                        </w14:solidFill>
                      </w14:textFill>
                    </w:rPr>
                    <w:t>达标</w:t>
                  </w:r>
                </w:p>
              </w:tc>
            </w:tr>
            <w:tr w14:paraId="2ABDC929">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49" w:type="pct"/>
                  <w:vAlign w:val="center"/>
                </w:tcPr>
                <w:p w14:paraId="6C3E6219">
                  <w:pPr>
                    <w:pStyle w:val="79"/>
                    <w:spacing w:line="240" w:lineRule="auto"/>
                    <w:jc w:val="center"/>
                    <w:rPr>
                      <w:rFonts w:ascii="Times New Roman" w:hAnsi="Times New Roman"/>
                      <w:color w:val="000000" w:themeColor="text1"/>
                      <w:sz w:val="21"/>
                      <w:szCs w:val="21"/>
                      <w:lang w:eastAsia="zh-CN"/>
                      <w14:textFill>
                        <w14:solidFill>
                          <w14:schemeClr w14:val="tx1"/>
                        </w14:solidFill>
                      </w14:textFill>
                    </w:rPr>
                  </w:pPr>
                  <w:r>
                    <w:rPr>
                      <w:rFonts w:ascii="Times New Roman" w:hAnsi="Times New Roman"/>
                      <w:color w:val="000000" w:themeColor="text1"/>
                      <w:sz w:val="21"/>
                      <w:szCs w:val="21"/>
                      <w:lang w:eastAsia="zh-CN"/>
                      <w14:textFill>
                        <w14:solidFill>
                          <w14:schemeClr w14:val="tx1"/>
                        </w14:solidFill>
                      </w14:textFill>
                    </w:rPr>
                    <w:t>硫酸盐</w:t>
                  </w:r>
                </w:p>
              </w:tc>
              <w:tc>
                <w:tcPr>
                  <w:tcW w:w="864" w:type="pct"/>
                  <w:vAlign w:val="center"/>
                </w:tcPr>
                <w:p w14:paraId="30464581">
                  <w:pPr>
                    <w:pStyle w:val="79"/>
                    <w:spacing w:line="240" w:lineRule="auto"/>
                    <w:jc w:val="center"/>
                    <w:rPr>
                      <w:rFonts w:ascii="Times New Roman" w:hAnsi="Times New Roman"/>
                      <w:color w:val="000000" w:themeColor="text1"/>
                      <w:sz w:val="21"/>
                      <w:szCs w:val="21"/>
                      <w:lang w:eastAsia="zh-CN"/>
                      <w14:textFill>
                        <w14:solidFill>
                          <w14:schemeClr w14:val="tx1"/>
                        </w14:solidFill>
                      </w14:textFill>
                    </w:rPr>
                  </w:pPr>
                  <w:r>
                    <w:rPr>
                      <w:rFonts w:ascii="Times New Roman" w:hAnsi="Times New Roman"/>
                      <w:color w:val="000000" w:themeColor="text1"/>
                      <w:sz w:val="21"/>
                      <w:szCs w:val="21"/>
                      <w:lang w:eastAsia="zh-CN"/>
                      <w14:textFill>
                        <w14:solidFill>
                          <w14:schemeClr w14:val="tx1"/>
                        </w14:solidFill>
                      </w14:textFill>
                    </w:rPr>
                    <w:t>116</w:t>
                  </w:r>
                </w:p>
              </w:tc>
              <w:tc>
                <w:tcPr>
                  <w:tcW w:w="710" w:type="pct"/>
                  <w:vAlign w:val="center"/>
                </w:tcPr>
                <w:p w14:paraId="23257A64">
                  <w:pPr>
                    <w:pStyle w:val="79"/>
                    <w:spacing w:line="240" w:lineRule="auto"/>
                    <w:jc w:val="center"/>
                    <w:rPr>
                      <w:rFonts w:hint="default" w:ascii="Times New Roman" w:hAnsi="Times New Roman"/>
                      <w:color w:val="FF0000"/>
                      <w:sz w:val="21"/>
                      <w:szCs w:val="21"/>
                      <w:lang w:val="en-US" w:eastAsia="zh-CN"/>
                    </w:rPr>
                  </w:pPr>
                  <w:r>
                    <w:rPr>
                      <w:rFonts w:hint="eastAsia" w:ascii="Times New Roman" w:hAnsi="Times New Roman"/>
                      <w:color w:val="FF0000"/>
                      <w:sz w:val="21"/>
                      <w:szCs w:val="21"/>
                      <w:lang w:val="en-US" w:eastAsia="zh-CN"/>
                    </w:rPr>
                    <w:t>77</w:t>
                  </w:r>
                </w:p>
              </w:tc>
              <w:tc>
                <w:tcPr>
                  <w:tcW w:w="810" w:type="pct"/>
                  <w:vAlign w:val="center"/>
                </w:tcPr>
                <w:p w14:paraId="12E53969">
                  <w:pPr>
                    <w:pStyle w:val="79"/>
                    <w:spacing w:line="240" w:lineRule="auto"/>
                    <w:jc w:val="center"/>
                    <w:rPr>
                      <w:rFonts w:ascii="Times New Roman" w:hAnsi="Times New Roman"/>
                      <w:color w:val="000000" w:themeColor="text1"/>
                      <w:sz w:val="21"/>
                      <w:szCs w:val="21"/>
                      <w:lang w:eastAsia="zh-CN"/>
                      <w14:textFill>
                        <w14:solidFill>
                          <w14:schemeClr w14:val="tx1"/>
                        </w14:solidFill>
                      </w14:textFill>
                    </w:rPr>
                  </w:pPr>
                  <w:r>
                    <w:rPr>
                      <w:rFonts w:ascii="Times New Roman" w:hAnsi="Times New Roman"/>
                      <w:color w:val="000000" w:themeColor="text1"/>
                      <w:sz w:val="21"/>
                      <w:szCs w:val="21"/>
                      <w:lang w:eastAsia="zh-CN"/>
                      <w14:textFill>
                        <w14:solidFill>
                          <w14:schemeClr w14:val="tx1"/>
                        </w14:solidFill>
                      </w14:textFill>
                    </w:rPr>
                    <w:t>mg/L</w:t>
                  </w:r>
                </w:p>
              </w:tc>
              <w:tc>
                <w:tcPr>
                  <w:tcW w:w="1106" w:type="pct"/>
                  <w:vAlign w:val="center"/>
                </w:tcPr>
                <w:p w14:paraId="7ED838EC">
                  <w:pPr>
                    <w:pStyle w:val="79"/>
                    <w:spacing w:line="240" w:lineRule="auto"/>
                    <w:jc w:val="center"/>
                    <w:rPr>
                      <w:rFonts w:ascii="Times New Roman" w:hAnsi="Times New Roman"/>
                      <w:color w:val="000000" w:themeColor="text1"/>
                      <w:sz w:val="21"/>
                      <w:szCs w:val="21"/>
                      <w:lang w:eastAsia="zh-CN"/>
                      <w14:textFill>
                        <w14:solidFill>
                          <w14:schemeClr w14:val="tx1"/>
                        </w14:solidFill>
                      </w14:textFill>
                    </w:rPr>
                  </w:pPr>
                  <w:r>
                    <w:rPr>
                      <w:rFonts w:ascii="Times New Roman" w:hAnsi="Times New Roman"/>
                      <w:color w:val="000000" w:themeColor="text1"/>
                      <w:sz w:val="21"/>
                      <w:szCs w:val="21"/>
                      <w:lang w:eastAsia="zh-CN"/>
                      <w14:textFill>
                        <w14:solidFill>
                          <w14:schemeClr w14:val="tx1"/>
                        </w14:solidFill>
                      </w14:textFill>
                    </w:rPr>
                    <w:t>≤250</w:t>
                  </w:r>
                </w:p>
              </w:tc>
              <w:tc>
                <w:tcPr>
                  <w:tcW w:w="558" w:type="pct"/>
                  <w:vAlign w:val="center"/>
                </w:tcPr>
                <w:p w14:paraId="480CB663">
                  <w:pPr>
                    <w:pStyle w:val="79"/>
                    <w:spacing w:line="240" w:lineRule="auto"/>
                    <w:jc w:val="center"/>
                    <w:rPr>
                      <w:rFonts w:ascii="Times New Roman" w:hAnsi="Times New Roman"/>
                      <w:color w:val="000000" w:themeColor="text1"/>
                      <w:sz w:val="21"/>
                      <w:szCs w:val="21"/>
                      <w:lang w:eastAsia="zh-CN"/>
                      <w14:textFill>
                        <w14:solidFill>
                          <w14:schemeClr w14:val="tx1"/>
                        </w14:solidFill>
                      </w14:textFill>
                    </w:rPr>
                  </w:pPr>
                  <w:r>
                    <w:rPr>
                      <w:rFonts w:ascii="Times New Roman" w:hAnsi="Times New Roman"/>
                      <w:color w:val="000000" w:themeColor="text1"/>
                      <w:sz w:val="21"/>
                      <w:szCs w:val="21"/>
                      <w:lang w:eastAsia="zh-CN"/>
                      <w14:textFill>
                        <w14:solidFill>
                          <w14:schemeClr w14:val="tx1"/>
                        </w14:solidFill>
                      </w14:textFill>
                    </w:rPr>
                    <w:t>达标</w:t>
                  </w:r>
                </w:p>
              </w:tc>
            </w:tr>
            <w:tr w14:paraId="5495D7A8">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49" w:type="pct"/>
                  <w:vAlign w:val="center"/>
                </w:tcPr>
                <w:p w14:paraId="4DDAF187">
                  <w:pPr>
                    <w:pStyle w:val="79"/>
                    <w:spacing w:line="240" w:lineRule="auto"/>
                    <w:jc w:val="center"/>
                    <w:rPr>
                      <w:rFonts w:ascii="Times New Roman" w:hAnsi="Times New Roman"/>
                      <w:color w:val="FF0000"/>
                      <w:sz w:val="21"/>
                      <w:szCs w:val="21"/>
                      <w:lang w:eastAsia="zh-CN"/>
                    </w:rPr>
                  </w:pPr>
                  <w:r>
                    <w:rPr>
                      <w:rFonts w:ascii="Times New Roman" w:hAnsi="Times New Roman"/>
                      <w:color w:val="FF0000"/>
                      <w:sz w:val="21"/>
                      <w:szCs w:val="21"/>
                      <w:lang w:eastAsia="zh-CN"/>
                    </w:rPr>
                    <w:t>石油类</w:t>
                  </w:r>
                </w:p>
              </w:tc>
              <w:tc>
                <w:tcPr>
                  <w:tcW w:w="864" w:type="pct"/>
                  <w:vAlign w:val="center"/>
                </w:tcPr>
                <w:p w14:paraId="63709465">
                  <w:pPr>
                    <w:pStyle w:val="79"/>
                    <w:spacing w:line="240" w:lineRule="auto"/>
                    <w:jc w:val="center"/>
                    <w:rPr>
                      <w:rFonts w:ascii="Times New Roman" w:hAnsi="Times New Roman"/>
                      <w:color w:val="FF0000"/>
                      <w:sz w:val="21"/>
                      <w:szCs w:val="21"/>
                      <w:lang w:eastAsia="zh-CN"/>
                    </w:rPr>
                  </w:pPr>
                  <w:r>
                    <w:rPr>
                      <w:rFonts w:ascii="Times New Roman" w:hAnsi="Times New Roman"/>
                      <w:color w:val="FF0000"/>
                      <w:sz w:val="21"/>
                      <w:szCs w:val="21"/>
                      <w:lang w:eastAsia="zh-CN"/>
                    </w:rPr>
                    <w:t>0.01L</w:t>
                  </w:r>
                </w:p>
              </w:tc>
              <w:tc>
                <w:tcPr>
                  <w:tcW w:w="710" w:type="pct"/>
                  <w:vAlign w:val="center"/>
                </w:tcPr>
                <w:p w14:paraId="7AF31C25">
                  <w:pPr>
                    <w:pStyle w:val="79"/>
                    <w:spacing w:line="240" w:lineRule="auto"/>
                    <w:jc w:val="center"/>
                    <w:rPr>
                      <w:rFonts w:ascii="Times New Roman" w:hAnsi="Times New Roman"/>
                      <w:color w:val="FF0000"/>
                      <w:sz w:val="21"/>
                      <w:szCs w:val="21"/>
                      <w:lang w:eastAsia="zh-CN"/>
                    </w:rPr>
                  </w:pPr>
                  <w:r>
                    <w:rPr>
                      <w:rFonts w:ascii="Times New Roman" w:hAnsi="Times New Roman"/>
                      <w:color w:val="FF0000"/>
                      <w:sz w:val="21"/>
                      <w:szCs w:val="21"/>
                      <w:lang w:eastAsia="zh-CN"/>
                    </w:rPr>
                    <w:t>0.01L</w:t>
                  </w:r>
                </w:p>
              </w:tc>
              <w:tc>
                <w:tcPr>
                  <w:tcW w:w="810" w:type="pct"/>
                  <w:vAlign w:val="center"/>
                </w:tcPr>
                <w:p w14:paraId="70F9C40D">
                  <w:pPr>
                    <w:pStyle w:val="79"/>
                    <w:spacing w:line="240" w:lineRule="auto"/>
                    <w:jc w:val="center"/>
                    <w:rPr>
                      <w:rFonts w:ascii="Times New Roman" w:hAnsi="Times New Roman"/>
                      <w:color w:val="FF0000"/>
                      <w:sz w:val="21"/>
                      <w:szCs w:val="21"/>
                      <w:lang w:eastAsia="zh-CN"/>
                    </w:rPr>
                  </w:pPr>
                  <w:r>
                    <w:rPr>
                      <w:rFonts w:ascii="Times New Roman" w:hAnsi="Times New Roman"/>
                      <w:color w:val="FF0000"/>
                      <w:sz w:val="21"/>
                      <w:szCs w:val="21"/>
                      <w:lang w:eastAsia="zh-CN"/>
                    </w:rPr>
                    <w:t>mg/L</w:t>
                  </w:r>
                </w:p>
              </w:tc>
              <w:tc>
                <w:tcPr>
                  <w:tcW w:w="1106" w:type="pct"/>
                  <w:vAlign w:val="center"/>
                </w:tcPr>
                <w:p w14:paraId="38E30D00">
                  <w:pPr>
                    <w:pStyle w:val="79"/>
                    <w:spacing w:line="240" w:lineRule="auto"/>
                    <w:jc w:val="center"/>
                    <w:rPr>
                      <w:rFonts w:ascii="Times New Roman" w:hAnsi="Times New Roman"/>
                      <w:color w:val="FF0000"/>
                      <w:sz w:val="21"/>
                      <w:szCs w:val="21"/>
                      <w:lang w:eastAsia="zh-CN"/>
                    </w:rPr>
                  </w:pPr>
                  <w:r>
                    <w:rPr>
                      <w:rFonts w:hint="eastAsia" w:ascii="Times New Roman" w:hAnsi="Times New Roman"/>
                      <w:color w:val="FF0000"/>
                      <w:sz w:val="21"/>
                      <w:szCs w:val="21"/>
                      <w:lang w:eastAsia="zh-CN"/>
                    </w:rPr>
                    <w:t>0.</w:t>
                  </w:r>
                  <w:r>
                    <w:rPr>
                      <w:rFonts w:hint="eastAsia" w:ascii="Times New Roman" w:hAnsi="Times New Roman"/>
                      <w:color w:val="FF0000"/>
                      <w:sz w:val="21"/>
                      <w:szCs w:val="21"/>
                      <w:lang w:val="en-US" w:eastAsia="zh-CN"/>
                    </w:rPr>
                    <w:t>05</w:t>
                  </w:r>
                  <w:r>
                    <w:rPr>
                      <w:rFonts w:ascii="Times New Roman" w:hAnsi="Times New Roman"/>
                      <w:color w:val="FF0000"/>
                      <w:sz w:val="21"/>
                      <w:szCs w:val="21"/>
                      <w:lang w:eastAsia="zh-CN"/>
                    </w:rPr>
                    <w:t>mg/L</w:t>
                  </w:r>
                </w:p>
              </w:tc>
              <w:tc>
                <w:tcPr>
                  <w:tcW w:w="558" w:type="pct"/>
                  <w:vAlign w:val="center"/>
                </w:tcPr>
                <w:p w14:paraId="79769097">
                  <w:pPr>
                    <w:pStyle w:val="79"/>
                    <w:spacing w:line="240" w:lineRule="auto"/>
                    <w:jc w:val="center"/>
                    <w:rPr>
                      <w:rFonts w:ascii="Times New Roman" w:hAnsi="Times New Roman"/>
                      <w:color w:val="FF0000"/>
                      <w:sz w:val="21"/>
                      <w:szCs w:val="21"/>
                      <w:lang w:eastAsia="zh-CN"/>
                    </w:rPr>
                  </w:pPr>
                  <w:r>
                    <w:rPr>
                      <w:rFonts w:ascii="Times New Roman" w:hAnsi="Times New Roman"/>
                      <w:color w:val="FF0000"/>
                      <w:sz w:val="21"/>
                      <w:szCs w:val="21"/>
                      <w:lang w:eastAsia="zh-CN"/>
                    </w:rPr>
                    <w:t>达标</w:t>
                  </w:r>
                </w:p>
              </w:tc>
            </w:tr>
          </w:tbl>
          <w:p w14:paraId="137F29F7">
            <w:pPr>
              <w:spacing w:line="360" w:lineRule="auto"/>
              <w:ind w:firstLine="420" w:firstLineChars="200"/>
              <w:jc w:val="left"/>
              <w:rPr>
                <w:color w:val="FF0000"/>
                <w:kern w:val="0"/>
                <w:szCs w:val="21"/>
              </w:rPr>
            </w:pPr>
            <w:r>
              <w:rPr>
                <w:color w:val="FF0000"/>
                <w:kern w:val="0"/>
                <w:szCs w:val="21"/>
              </w:rPr>
              <w:t>备注：</w:t>
            </w:r>
            <w:r>
              <w:rPr>
                <w:color w:val="FF0000"/>
                <w:szCs w:val="21"/>
              </w:rPr>
              <w:t>“L”表示低于检出限。</w:t>
            </w:r>
          </w:p>
          <w:p w14:paraId="1079ABB8">
            <w:pPr>
              <w:widowControl/>
              <w:spacing w:line="500" w:lineRule="exact"/>
              <w:ind w:firstLine="480" w:firstLineChars="200"/>
              <w:rPr>
                <w:color w:val="FF0000"/>
                <w:kern w:val="0"/>
                <w:sz w:val="24"/>
                <w:lang w:bidi="ar"/>
              </w:rPr>
            </w:pPr>
            <w:r>
              <w:rPr>
                <w:color w:val="FF0000"/>
                <w:kern w:val="0"/>
                <w:sz w:val="24"/>
                <w:lang w:bidi="ar"/>
              </w:rPr>
              <w:t>③监测</w:t>
            </w:r>
            <w:r>
              <w:rPr>
                <w:rFonts w:hint="eastAsia"/>
                <w:color w:val="FF0000"/>
                <w:kern w:val="0"/>
                <w:sz w:val="24"/>
                <w:lang w:bidi="ar"/>
              </w:rPr>
              <w:t>结果</w:t>
            </w:r>
            <w:r>
              <w:rPr>
                <w:color w:val="FF0000"/>
                <w:kern w:val="0"/>
                <w:sz w:val="24"/>
                <w:lang w:bidi="ar"/>
              </w:rPr>
              <w:t>分析</w:t>
            </w:r>
          </w:p>
          <w:p w14:paraId="26BD7428">
            <w:pPr>
              <w:adjustRightInd w:val="0"/>
              <w:snapToGrid w:val="0"/>
              <w:spacing w:line="500" w:lineRule="exact"/>
              <w:ind w:firstLine="480" w:firstLineChars="200"/>
              <w:rPr>
                <w:color w:val="FF0000"/>
                <w:sz w:val="24"/>
              </w:rPr>
            </w:pPr>
            <w:r>
              <w:rPr>
                <w:color w:val="FF0000"/>
                <w:sz w:val="24"/>
              </w:rPr>
              <w:t>由上表监测结果可知，本项目所在区域地下水</w:t>
            </w:r>
            <w:r>
              <w:rPr>
                <w:rFonts w:hint="eastAsia"/>
                <w:color w:val="FF0000"/>
                <w:sz w:val="24"/>
                <w:lang w:val="en-US" w:eastAsia="zh-CN"/>
              </w:rPr>
              <w:t>及</w:t>
            </w:r>
            <w:r>
              <w:rPr>
                <w:rFonts w:hint="eastAsia"/>
                <w:color w:val="FF0000"/>
                <w:kern w:val="0"/>
                <w:sz w:val="24"/>
                <w:highlight w:val="none"/>
                <w:lang w:eastAsia="zh-CN" w:bidi="ar"/>
              </w:rPr>
              <w:t>厂区</w:t>
            </w:r>
            <w:r>
              <w:rPr>
                <w:rFonts w:hint="eastAsia"/>
                <w:color w:val="FF0000"/>
                <w:kern w:val="0"/>
                <w:sz w:val="24"/>
                <w:highlight w:val="none"/>
                <w:lang w:val="en-US" w:eastAsia="zh-CN" w:bidi="ar"/>
              </w:rPr>
              <w:t>下游地下水</w:t>
            </w:r>
            <w:r>
              <w:rPr>
                <w:color w:val="FF0000"/>
                <w:sz w:val="24"/>
              </w:rPr>
              <w:t>环境</w:t>
            </w:r>
            <w:r>
              <w:rPr>
                <w:rFonts w:hint="eastAsia"/>
                <w:color w:val="FF0000"/>
                <w:sz w:val="24"/>
                <w:lang w:val="en-US" w:eastAsia="zh-CN"/>
              </w:rPr>
              <w:t>均</w:t>
            </w:r>
            <w:r>
              <w:rPr>
                <w:color w:val="FF0000"/>
                <w:sz w:val="24"/>
              </w:rPr>
              <w:t>满足《地下水质量标准》（GB/T14848-2017）表1中Ⅲ类标准限制要求</w:t>
            </w:r>
            <w:r>
              <w:rPr>
                <w:rFonts w:hint="eastAsia"/>
                <w:color w:val="FF0000"/>
                <w:sz w:val="24"/>
              </w:rPr>
              <w:t>，石油类</w:t>
            </w:r>
            <w:r>
              <w:rPr>
                <w:rFonts w:hint="eastAsia"/>
                <w:color w:val="FF0000"/>
                <w:sz w:val="24"/>
                <w:lang w:val="en-US" w:eastAsia="zh-CN"/>
              </w:rPr>
              <w:t>满足《地表水环境质量标准》（GB3838-2002）</w:t>
            </w:r>
            <w:r>
              <w:rPr>
                <w:color w:val="FF0000"/>
                <w:sz w:val="24"/>
              </w:rPr>
              <w:t>表1</w:t>
            </w:r>
            <w:r>
              <w:rPr>
                <w:rFonts w:hint="eastAsia"/>
                <w:color w:val="FF0000"/>
                <w:sz w:val="24"/>
                <w:lang w:val="en-US" w:eastAsia="zh-CN"/>
              </w:rPr>
              <w:t>中Ⅲ类标准</w:t>
            </w:r>
            <w:r>
              <w:rPr>
                <w:color w:val="FF0000"/>
                <w:sz w:val="24"/>
              </w:rPr>
              <w:t>。</w:t>
            </w:r>
          </w:p>
          <w:p w14:paraId="4D1DF2DB">
            <w:pPr>
              <w:adjustRightInd w:val="0"/>
              <w:snapToGrid w:val="0"/>
              <w:spacing w:line="500" w:lineRule="exact"/>
              <w:rPr>
                <w:b/>
                <w:bCs/>
                <w:color w:val="FF0000"/>
                <w:sz w:val="24"/>
              </w:rPr>
            </w:pPr>
            <w:r>
              <w:rPr>
                <w:b/>
                <w:bCs/>
                <w:color w:val="FF0000"/>
                <w:sz w:val="24"/>
              </w:rPr>
              <w:t>4</w:t>
            </w:r>
            <w:r>
              <w:rPr>
                <w:rFonts w:hint="eastAsia"/>
                <w:b/>
                <w:bCs/>
                <w:color w:val="FF0000"/>
                <w:sz w:val="24"/>
                <w:lang w:val="en-US" w:eastAsia="zh-CN"/>
              </w:rPr>
              <w:t>.</w:t>
            </w:r>
            <w:r>
              <w:rPr>
                <w:b/>
                <w:bCs/>
                <w:color w:val="FF0000"/>
                <w:sz w:val="24"/>
              </w:rPr>
              <w:t>地表水环境质量</w:t>
            </w:r>
          </w:p>
          <w:p w14:paraId="77D4C136">
            <w:pPr>
              <w:widowControl/>
              <w:adjustRightInd w:val="0"/>
              <w:snapToGrid w:val="0"/>
              <w:spacing w:line="500" w:lineRule="exact"/>
              <w:ind w:firstLine="480" w:firstLineChars="200"/>
              <w:rPr>
                <w:color w:val="FF0000"/>
                <w:kern w:val="0"/>
                <w:sz w:val="24"/>
                <w:highlight w:val="none"/>
                <w:lang w:bidi="ar"/>
              </w:rPr>
            </w:pPr>
            <w:r>
              <w:rPr>
                <w:rFonts w:hint="eastAsia"/>
                <w:color w:val="FF0000"/>
                <w:kern w:val="0"/>
                <w:sz w:val="24"/>
                <w:highlight w:val="none"/>
              </w:rPr>
              <w:t>建设单位委托</w:t>
            </w:r>
            <w:r>
              <w:rPr>
                <w:color w:val="FF0000"/>
                <w:kern w:val="0"/>
                <w:sz w:val="24"/>
                <w:highlight w:val="none"/>
              </w:rPr>
              <w:t>辽朝阳彤天环保发展有限公司于202</w:t>
            </w:r>
            <w:r>
              <w:rPr>
                <w:rFonts w:hint="eastAsia"/>
                <w:color w:val="FF0000"/>
                <w:kern w:val="0"/>
                <w:sz w:val="24"/>
                <w:highlight w:val="none"/>
              </w:rPr>
              <w:t>5</w:t>
            </w:r>
            <w:r>
              <w:rPr>
                <w:color w:val="FF0000"/>
                <w:kern w:val="0"/>
                <w:sz w:val="24"/>
                <w:highlight w:val="none"/>
              </w:rPr>
              <w:t>年</w:t>
            </w:r>
            <w:r>
              <w:rPr>
                <w:rFonts w:hint="eastAsia"/>
                <w:color w:val="FF0000"/>
                <w:kern w:val="0"/>
                <w:sz w:val="24"/>
                <w:highlight w:val="none"/>
                <w:lang w:val="en-US" w:eastAsia="zh-CN"/>
              </w:rPr>
              <w:t>7</w:t>
            </w:r>
            <w:r>
              <w:rPr>
                <w:color w:val="FF0000"/>
                <w:kern w:val="0"/>
                <w:sz w:val="24"/>
                <w:highlight w:val="none"/>
              </w:rPr>
              <w:t>月</w:t>
            </w:r>
            <w:r>
              <w:rPr>
                <w:rFonts w:hint="eastAsia"/>
                <w:color w:val="FF0000"/>
                <w:kern w:val="0"/>
                <w:sz w:val="24"/>
                <w:highlight w:val="none"/>
                <w:lang w:val="en-US" w:eastAsia="zh-CN"/>
              </w:rPr>
              <w:t>1</w:t>
            </w:r>
            <w:r>
              <w:rPr>
                <w:color w:val="FF0000"/>
                <w:kern w:val="0"/>
                <w:sz w:val="24"/>
                <w:highlight w:val="none"/>
              </w:rPr>
              <w:t>日对项目所在地</w:t>
            </w:r>
            <w:r>
              <w:rPr>
                <w:rFonts w:hint="eastAsia"/>
                <w:color w:val="FF0000"/>
                <w:kern w:val="0"/>
                <w:sz w:val="24"/>
                <w:highlight w:val="none"/>
                <w:lang w:val="en-US" w:eastAsia="zh-CN"/>
              </w:rPr>
              <w:t>厂区西南侧凉水河</w:t>
            </w:r>
            <w:r>
              <w:rPr>
                <w:color w:val="FF0000"/>
                <w:kern w:val="0"/>
                <w:sz w:val="24"/>
                <w:highlight w:val="none"/>
                <w:lang w:bidi="ar"/>
              </w:rPr>
              <w:t>进行了检测。</w:t>
            </w:r>
          </w:p>
          <w:p w14:paraId="2CCECA69">
            <w:pPr>
              <w:widowControl/>
              <w:spacing w:line="500" w:lineRule="exact"/>
              <w:ind w:firstLine="480" w:firstLineChars="200"/>
              <w:rPr>
                <w:color w:val="FF0000"/>
                <w:kern w:val="0"/>
                <w:sz w:val="24"/>
                <w:highlight w:val="none"/>
                <w:lang w:bidi="ar"/>
              </w:rPr>
            </w:pPr>
            <w:r>
              <w:rPr>
                <w:color w:val="FF0000"/>
                <w:kern w:val="0"/>
                <w:sz w:val="24"/>
                <w:highlight w:val="none"/>
                <w:lang w:bidi="ar"/>
              </w:rPr>
              <w:t>①监测点位：共</w:t>
            </w:r>
            <w:r>
              <w:rPr>
                <w:rFonts w:hint="eastAsia"/>
                <w:color w:val="FF0000"/>
                <w:kern w:val="0"/>
                <w:sz w:val="24"/>
                <w:highlight w:val="none"/>
                <w:lang w:bidi="ar"/>
              </w:rPr>
              <w:t>1</w:t>
            </w:r>
            <w:r>
              <w:rPr>
                <w:color w:val="FF0000"/>
                <w:kern w:val="0"/>
                <w:sz w:val="24"/>
                <w:highlight w:val="none"/>
                <w:lang w:bidi="ar"/>
              </w:rPr>
              <w:t>个点位，</w:t>
            </w:r>
            <w:r>
              <w:rPr>
                <w:rFonts w:hint="eastAsia"/>
                <w:color w:val="FF0000"/>
                <w:kern w:val="0"/>
                <w:sz w:val="24"/>
                <w:highlight w:val="none"/>
                <w:lang w:val="en-US" w:eastAsia="zh-CN"/>
              </w:rPr>
              <w:t>厂区西南侧凉水河</w:t>
            </w:r>
            <w:r>
              <w:rPr>
                <w:color w:val="FF0000"/>
                <w:kern w:val="0"/>
                <w:sz w:val="24"/>
                <w:highlight w:val="none"/>
                <w:lang w:bidi="ar"/>
              </w:rPr>
              <w:t>，检测点位坐标（N：41°</w:t>
            </w:r>
            <w:r>
              <w:rPr>
                <w:rFonts w:hint="eastAsia"/>
                <w:color w:val="FF0000"/>
                <w:kern w:val="0"/>
                <w:sz w:val="24"/>
                <w:highlight w:val="none"/>
                <w:lang w:val="en-US" w:eastAsia="zh-CN" w:bidi="ar"/>
              </w:rPr>
              <w:t>4</w:t>
            </w:r>
            <w:r>
              <w:rPr>
                <w:color w:val="FF0000"/>
                <w:kern w:val="0"/>
                <w:sz w:val="24"/>
                <w:highlight w:val="none"/>
                <w:lang w:bidi="ar"/>
              </w:rPr>
              <w:t>6′</w:t>
            </w:r>
            <w:r>
              <w:rPr>
                <w:rFonts w:hint="eastAsia"/>
                <w:color w:val="FF0000"/>
                <w:kern w:val="0"/>
                <w:sz w:val="24"/>
                <w:highlight w:val="none"/>
                <w:lang w:val="en-US" w:eastAsia="zh-CN" w:bidi="ar"/>
              </w:rPr>
              <w:t>33</w:t>
            </w:r>
            <w:r>
              <w:rPr>
                <w:color w:val="FF0000"/>
                <w:kern w:val="0"/>
                <w:sz w:val="24"/>
                <w:highlight w:val="none"/>
                <w:lang w:bidi="ar"/>
              </w:rPr>
              <w:t>.</w:t>
            </w:r>
            <w:r>
              <w:rPr>
                <w:rFonts w:hint="eastAsia"/>
                <w:color w:val="FF0000"/>
                <w:kern w:val="0"/>
                <w:sz w:val="24"/>
                <w:highlight w:val="none"/>
                <w:lang w:val="en-US" w:eastAsia="zh-CN" w:bidi="ar"/>
              </w:rPr>
              <w:t>74</w:t>
            </w:r>
            <w:r>
              <w:rPr>
                <w:color w:val="FF0000"/>
                <w:kern w:val="0"/>
                <w:sz w:val="24"/>
                <w:highlight w:val="none"/>
                <w:lang w:bidi="ar"/>
              </w:rPr>
              <w:t>″,E：120°</w:t>
            </w:r>
            <w:r>
              <w:rPr>
                <w:rFonts w:hint="eastAsia"/>
                <w:color w:val="FF0000"/>
                <w:kern w:val="0"/>
                <w:sz w:val="24"/>
                <w:highlight w:val="none"/>
                <w:lang w:val="en-US" w:eastAsia="zh-CN" w:bidi="ar"/>
              </w:rPr>
              <w:t>45</w:t>
            </w:r>
            <w:r>
              <w:rPr>
                <w:color w:val="FF0000"/>
                <w:kern w:val="0"/>
                <w:sz w:val="24"/>
                <w:highlight w:val="none"/>
                <w:lang w:bidi="ar"/>
              </w:rPr>
              <w:t>′</w:t>
            </w:r>
            <w:r>
              <w:rPr>
                <w:rFonts w:hint="eastAsia"/>
                <w:color w:val="FF0000"/>
                <w:kern w:val="0"/>
                <w:sz w:val="24"/>
                <w:highlight w:val="none"/>
                <w:lang w:val="en-US" w:eastAsia="zh-CN" w:bidi="ar"/>
              </w:rPr>
              <w:t>15</w:t>
            </w:r>
            <w:r>
              <w:rPr>
                <w:color w:val="FF0000"/>
                <w:kern w:val="0"/>
                <w:sz w:val="24"/>
                <w:highlight w:val="none"/>
                <w:lang w:bidi="ar"/>
              </w:rPr>
              <w:t>.</w:t>
            </w:r>
            <w:r>
              <w:rPr>
                <w:rFonts w:hint="eastAsia"/>
                <w:color w:val="FF0000"/>
                <w:kern w:val="0"/>
                <w:sz w:val="24"/>
                <w:highlight w:val="none"/>
                <w:lang w:val="en-US" w:eastAsia="zh-CN" w:bidi="ar"/>
              </w:rPr>
              <w:t>69</w:t>
            </w:r>
            <w:r>
              <w:rPr>
                <w:color w:val="FF0000"/>
                <w:kern w:val="0"/>
                <w:sz w:val="24"/>
                <w:highlight w:val="none"/>
                <w:lang w:bidi="ar"/>
              </w:rPr>
              <w:t>″）。</w:t>
            </w:r>
          </w:p>
          <w:p w14:paraId="0A7DB99F">
            <w:pPr>
              <w:spacing w:line="500" w:lineRule="exact"/>
              <w:ind w:firstLine="480" w:firstLineChars="200"/>
              <w:rPr>
                <w:color w:val="FF0000"/>
                <w:kern w:val="0"/>
                <w:sz w:val="24"/>
                <w:highlight w:val="none"/>
              </w:rPr>
            </w:pPr>
            <w:r>
              <w:rPr>
                <w:color w:val="FF0000"/>
                <w:kern w:val="0"/>
                <w:sz w:val="24"/>
                <w:highlight w:val="none"/>
              </w:rPr>
              <w:t>②监测时间及频率：监测1天，1次/天。</w:t>
            </w:r>
          </w:p>
          <w:p w14:paraId="1D37B41D">
            <w:pPr>
              <w:spacing w:line="500" w:lineRule="exact"/>
              <w:ind w:firstLine="480" w:firstLineChars="200"/>
              <w:rPr>
                <w:color w:val="FF0000"/>
                <w:kern w:val="0"/>
                <w:sz w:val="24"/>
                <w:highlight w:val="none"/>
              </w:rPr>
            </w:pPr>
            <w:r>
              <w:rPr>
                <w:color w:val="FF0000"/>
                <w:kern w:val="0"/>
                <w:sz w:val="24"/>
                <w:highlight w:val="none"/>
              </w:rPr>
              <w:t>具体检测结果见表3-</w:t>
            </w:r>
            <w:r>
              <w:rPr>
                <w:rFonts w:hint="eastAsia"/>
                <w:color w:val="FF0000"/>
                <w:kern w:val="0"/>
                <w:sz w:val="24"/>
                <w:highlight w:val="none"/>
                <w:lang w:val="en-US" w:eastAsia="zh-CN"/>
              </w:rPr>
              <w:t>8</w:t>
            </w:r>
            <w:r>
              <w:rPr>
                <w:color w:val="FF0000"/>
                <w:kern w:val="0"/>
                <w:sz w:val="24"/>
                <w:highlight w:val="none"/>
              </w:rPr>
              <w:t>。</w:t>
            </w:r>
          </w:p>
          <w:p w14:paraId="042032AF">
            <w:pPr>
              <w:adjustRightInd w:val="0"/>
              <w:snapToGrid w:val="0"/>
              <w:spacing w:line="500" w:lineRule="exact"/>
              <w:jc w:val="center"/>
              <w:rPr>
                <w:b/>
                <w:bCs/>
                <w:color w:val="FF0000"/>
                <w:kern w:val="0"/>
                <w:szCs w:val="21"/>
              </w:rPr>
            </w:pPr>
            <w:r>
              <w:rPr>
                <w:b/>
                <w:bCs/>
                <w:color w:val="FF0000"/>
                <w:kern w:val="0"/>
                <w:szCs w:val="21"/>
                <w:highlight w:val="none"/>
              </w:rPr>
              <w:t>表3-</w:t>
            </w:r>
            <w:r>
              <w:rPr>
                <w:rFonts w:hint="eastAsia"/>
                <w:b/>
                <w:bCs/>
                <w:color w:val="FF0000"/>
                <w:kern w:val="0"/>
                <w:szCs w:val="21"/>
                <w:highlight w:val="none"/>
                <w:lang w:val="en-US" w:eastAsia="zh-CN"/>
              </w:rPr>
              <w:t>8</w:t>
            </w:r>
            <w:r>
              <w:rPr>
                <w:rFonts w:hint="eastAsia"/>
                <w:b/>
                <w:bCs/>
                <w:color w:val="FF0000"/>
                <w:kern w:val="0"/>
                <w:szCs w:val="21"/>
                <w:highlight w:val="none"/>
              </w:rPr>
              <w:t xml:space="preserve">  </w:t>
            </w:r>
            <w:r>
              <w:rPr>
                <w:b/>
                <w:bCs/>
                <w:color w:val="FF0000"/>
                <w:kern w:val="0"/>
                <w:szCs w:val="21"/>
              </w:rPr>
              <w:t xml:space="preserve"> 地</w:t>
            </w:r>
            <w:r>
              <w:rPr>
                <w:rFonts w:hint="eastAsia"/>
                <w:b/>
                <w:bCs/>
                <w:color w:val="FF0000"/>
                <w:kern w:val="0"/>
                <w:szCs w:val="21"/>
                <w:lang w:val="en-US" w:eastAsia="zh-CN"/>
              </w:rPr>
              <w:t>表</w:t>
            </w:r>
            <w:r>
              <w:rPr>
                <w:b/>
                <w:bCs/>
                <w:color w:val="FF0000"/>
                <w:kern w:val="0"/>
                <w:szCs w:val="21"/>
              </w:rPr>
              <w:t>水现状监测结果</w:t>
            </w:r>
          </w:p>
          <w:tbl>
            <w:tblPr>
              <w:tblStyle w:val="34"/>
              <w:tblW w:w="4998" w:type="pct"/>
              <w:tblInd w:w="0" w:type="dxa"/>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810"/>
              <w:gridCol w:w="1457"/>
              <w:gridCol w:w="1543"/>
              <w:gridCol w:w="2107"/>
              <w:gridCol w:w="1065"/>
            </w:tblGrid>
            <w:tr w14:paraId="1D56CB61">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5" w:hRule="atLeast"/>
              </w:trPr>
              <w:tc>
                <w:tcPr>
                  <w:tcW w:w="1133" w:type="pct"/>
                  <w:vAlign w:val="center"/>
                </w:tcPr>
                <w:p w14:paraId="61AE2573">
                  <w:pPr>
                    <w:adjustRightInd w:val="0"/>
                    <w:snapToGrid w:val="0"/>
                    <w:spacing w:line="240" w:lineRule="auto"/>
                    <w:jc w:val="center"/>
                    <w:rPr>
                      <w:b/>
                      <w:bCs/>
                      <w:color w:val="FF0000"/>
                      <w:kern w:val="0"/>
                      <w:sz w:val="21"/>
                      <w:szCs w:val="21"/>
                    </w:rPr>
                  </w:pPr>
                  <w:r>
                    <w:rPr>
                      <w:b/>
                      <w:bCs/>
                      <w:color w:val="FF0000"/>
                      <w:kern w:val="0"/>
                      <w:sz w:val="21"/>
                      <w:szCs w:val="21"/>
                    </w:rPr>
                    <w:t>监测项目</w:t>
                  </w:r>
                </w:p>
              </w:tc>
              <w:tc>
                <w:tcPr>
                  <w:tcW w:w="912" w:type="pct"/>
                  <w:vAlign w:val="center"/>
                </w:tcPr>
                <w:p w14:paraId="2EC599CA">
                  <w:pPr>
                    <w:adjustRightInd w:val="0"/>
                    <w:snapToGrid w:val="0"/>
                    <w:spacing w:line="240" w:lineRule="auto"/>
                    <w:jc w:val="center"/>
                    <w:rPr>
                      <w:b/>
                      <w:bCs/>
                      <w:color w:val="FF0000"/>
                      <w:kern w:val="0"/>
                      <w:sz w:val="21"/>
                      <w:szCs w:val="21"/>
                    </w:rPr>
                  </w:pPr>
                  <w:r>
                    <w:rPr>
                      <w:b/>
                      <w:bCs/>
                      <w:color w:val="FF0000"/>
                      <w:kern w:val="0"/>
                      <w:sz w:val="21"/>
                      <w:szCs w:val="21"/>
                    </w:rPr>
                    <w:t>监测结果（mg/L）</w:t>
                  </w:r>
                </w:p>
              </w:tc>
              <w:tc>
                <w:tcPr>
                  <w:tcW w:w="966" w:type="pct"/>
                  <w:vAlign w:val="center"/>
                </w:tcPr>
                <w:p w14:paraId="032B23D6">
                  <w:pPr>
                    <w:adjustRightInd w:val="0"/>
                    <w:snapToGrid w:val="0"/>
                    <w:spacing w:line="240" w:lineRule="auto"/>
                    <w:jc w:val="center"/>
                    <w:rPr>
                      <w:b/>
                      <w:color w:val="FF0000"/>
                      <w:sz w:val="21"/>
                      <w:szCs w:val="21"/>
                    </w:rPr>
                  </w:pPr>
                  <w:r>
                    <w:rPr>
                      <w:b/>
                      <w:color w:val="FF0000"/>
                      <w:sz w:val="21"/>
                      <w:szCs w:val="21"/>
                    </w:rPr>
                    <w:t>计量</w:t>
                  </w:r>
                </w:p>
                <w:p w14:paraId="3002D012">
                  <w:pPr>
                    <w:adjustRightInd w:val="0"/>
                    <w:snapToGrid w:val="0"/>
                    <w:spacing w:line="240" w:lineRule="auto"/>
                    <w:jc w:val="center"/>
                    <w:rPr>
                      <w:b/>
                      <w:bCs/>
                      <w:color w:val="FF0000"/>
                      <w:kern w:val="0"/>
                      <w:sz w:val="21"/>
                      <w:szCs w:val="21"/>
                    </w:rPr>
                  </w:pPr>
                  <w:r>
                    <w:rPr>
                      <w:b/>
                      <w:color w:val="FF0000"/>
                      <w:sz w:val="21"/>
                      <w:szCs w:val="21"/>
                    </w:rPr>
                    <w:t>单位</w:t>
                  </w:r>
                </w:p>
              </w:tc>
              <w:tc>
                <w:tcPr>
                  <w:tcW w:w="1319" w:type="pct"/>
                  <w:vAlign w:val="center"/>
                </w:tcPr>
                <w:p w14:paraId="0511B457">
                  <w:pPr>
                    <w:adjustRightInd w:val="0"/>
                    <w:snapToGrid w:val="0"/>
                    <w:spacing w:line="240" w:lineRule="auto"/>
                    <w:jc w:val="center"/>
                    <w:rPr>
                      <w:b/>
                      <w:bCs/>
                      <w:color w:val="FF0000"/>
                      <w:kern w:val="0"/>
                      <w:sz w:val="21"/>
                      <w:szCs w:val="21"/>
                    </w:rPr>
                  </w:pPr>
                  <w:r>
                    <w:rPr>
                      <w:b/>
                      <w:bCs/>
                      <w:color w:val="FF0000"/>
                      <w:kern w:val="0"/>
                      <w:sz w:val="21"/>
                      <w:szCs w:val="21"/>
                    </w:rPr>
                    <w:t>标准值</w:t>
                  </w:r>
                </w:p>
              </w:tc>
              <w:tc>
                <w:tcPr>
                  <w:tcW w:w="667" w:type="pct"/>
                  <w:vAlign w:val="center"/>
                </w:tcPr>
                <w:p w14:paraId="2224C18B">
                  <w:pPr>
                    <w:adjustRightInd w:val="0"/>
                    <w:snapToGrid w:val="0"/>
                    <w:spacing w:line="240" w:lineRule="auto"/>
                    <w:jc w:val="center"/>
                    <w:rPr>
                      <w:b/>
                      <w:bCs/>
                      <w:color w:val="FF0000"/>
                      <w:kern w:val="0"/>
                      <w:sz w:val="21"/>
                      <w:szCs w:val="21"/>
                    </w:rPr>
                  </w:pPr>
                  <w:r>
                    <w:rPr>
                      <w:b/>
                      <w:bCs/>
                      <w:color w:val="FF0000"/>
                      <w:kern w:val="0"/>
                      <w:sz w:val="21"/>
                      <w:szCs w:val="21"/>
                    </w:rPr>
                    <w:t>达标</w:t>
                  </w:r>
                </w:p>
                <w:p w14:paraId="3BAB7E3F">
                  <w:pPr>
                    <w:adjustRightInd w:val="0"/>
                    <w:snapToGrid w:val="0"/>
                    <w:spacing w:line="240" w:lineRule="auto"/>
                    <w:jc w:val="center"/>
                    <w:rPr>
                      <w:b/>
                      <w:bCs/>
                      <w:color w:val="FF0000"/>
                      <w:kern w:val="0"/>
                      <w:sz w:val="21"/>
                      <w:szCs w:val="21"/>
                    </w:rPr>
                  </w:pPr>
                  <w:r>
                    <w:rPr>
                      <w:b/>
                      <w:bCs/>
                      <w:color w:val="FF0000"/>
                      <w:kern w:val="0"/>
                      <w:sz w:val="21"/>
                      <w:szCs w:val="21"/>
                    </w:rPr>
                    <w:t>情况</w:t>
                  </w:r>
                </w:p>
              </w:tc>
            </w:tr>
            <w:tr w14:paraId="33BB92A6">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133" w:type="pct"/>
                  <w:vAlign w:val="center"/>
                </w:tcPr>
                <w:p w14:paraId="4203B4E0">
                  <w:pPr>
                    <w:pStyle w:val="79"/>
                    <w:spacing w:line="240" w:lineRule="auto"/>
                    <w:jc w:val="center"/>
                    <w:rPr>
                      <w:rFonts w:ascii="Times New Roman" w:hAnsi="Times New Roman" w:eastAsia="宋体" w:cs="Times New Roman"/>
                      <w:color w:val="FF0000"/>
                      <w:sz w:val="21"/>
                      <w:szCs w:val="21"/>
                      <w:lang w:eastAsia="zh-CN"/>
                    </w:rPr>
                  </w:pPr>
                  <w:r>
                    <w:rPr>
                      <w:rFonts w:ascii="Times New Roman" w:hAnsi="Times New Roman" w:eastAsia="宋体" w:cs="Times New Roman"/>
                      <w:color w:val="FF0000"/>
                      <w:sz w:val="21"/>
                      <w:szCs w:val="21"/>
                      <w:lang w:eastAsia="zh-CN"/>
                    </w:rPr>
                    <w:t>pH</w:t>
                  </w:r>
                </w:p>
              </w:tc>
              <w:tc>
                <w:tcPr>
                  <w:tcW w:w="1457" w:type="dxa"/>
                  <w:vAlign w:val="center"/>
                </w:tcPr>
                <w:p w14:paraId="3489234B">
                  <w:pPr>
                    <w:pStyle w:val="79"/>
                    <w:spacing w:line="240" w:lineRule="auto"/>
                    <w:jc w:val="center"/>
                    <w:rPr>
                      <w:rFonts w:ascii="Times New Roman" w:hAnsi="Times New Roman" w:eastAsia="宋体" w:cs="Times New Roman"/>
                      <w:color w:val="FF0000"/>
                      <w:sz w:val="21"/>
                      <w:szCs w:val="21"/>
                      <w:lang w:eastAsia="zh-CN"/>
                    </w:rPr>
                  </w:pPr>
                  <w:r>
                    <w:rPr>
                      <w:rFonts w:hint="eastAsia" w:ascii="Times New Roman" w:hAnsi="Times New Roman" w:eastAsia="宋体" w:cs="Times New Roman"/>
                      <w:color w:val="FF0000"/>
                      <w:sz w:val="21"/>
                      <w:szCs w:val="21"/>
                      <w:lang w:val="en-US" w:eastAsia="zh-CN"/>
                    </w:rPr>
                    <w:t>7.3</w:t>
                  </w:r>
                </w:p>
              </w:tc>
              <w:tc>
                <w:tcPr>
                  <w:tcW w:w="1543" w:type="dxa"/>
                  <w:vAlign w:val="center"/>
                </w:tcPr>
                <w:p w14:paraId="2156141A">
                  <w:pPr>
                    <w:pStyle w:val="79"/>
                    <w:spacing w:line="240" w:lineRule="auto"/>
                    <w:jc w:val="center"/>
                    <w:rPr>
                      <w:rFonts w:ascii="Times New Roman" w:hAnsi="Times New Roman" w:eastAsia="宋体" w:cs="Times New Roman"/>
                      <w:color w:val="FF0000"/>
                      <w:sz w:val="21"/>
                      <w:szCs w:val="21"/>
                      <w:lang w:eastAsia="zh-CN"/>
                    </w:rPr>
                  </w:pPr>
                  <w:r>
                    <w:rPr>
                      <w:rFonts w:hint="eastAsia" w:ascii="Times New Roman" w:hAnsi="Times New Roman" w:eastAsia="宋体" w:cs="Times New Roman"/>
                      <w:color w:val="FF0000"/>
                      <w:sz w:val="21"/>
                      <w:szCs w:val="21"/>
                      <w:lang w:eastAsia="zh-CN"/>
                    </w:rPr>
                    <w:t>无量纲</w:t>
                  </w:r>
                </w:p>
              </w:tc>
              <w:tc>
                <w:tcPr>
                  <w:tcW w:w="1319" w:type="pct"/>
                  <w:vAlign w:val="center"/>
                </w:tcPr>
                <w:p w14:paraId="735C8338">
                  <w:pPr>
                    <w:pStyle w:val="79"/>
                    <w:spacing w:line="240" w:lineRule="auto"/>
                    <w:jc w:val="center"/>
                    <w:rPr>
                      <w:rFonts w:hint="default" w:ascii="Times New Roman" w:hAnsi="Times New Roman" w:eastAsia="宋体" w:cs="Times New Roman"/>
                      <w:color w:val="FF0000"/>
                      <w:sz w:val="21"/>
                      <w:szCs w:val="21"/>
                      <w:lang w:val="en-US" w:eastAsia="zh-CN"/>
                    </w:rPr>
                  </w:pPr>
                  <w:r>
                    <w:rPr>
                      <w:rFonts w:hint="eastAsia" w:ascii="Times New Roman" w:hAnsi="Times New Roman" w:eastAsia="宋体" w:cs="Times New Roman"/>
                      <w:color w:val="FF0000"/>
                      <w:sz w:val="21"/>
                      <w:szCs w:val="21"/>
                      <w:lang w:val="en-US" w:eastAsia="zh-CN"/>
                    </w:rPr>
                    <w:t>6-9</w:t>
                  </w:r>
                </w:p>
              </w:tc>
              <w:tc>
                <w:tcPr>
                  <w:tcW w:w="667" w:type="pct"/>
                  <w:vAlign w:val="center"/>
                </w:tcPr>
                <w:p w14:paraId="2257565A">
                  <w:pPr>
                    <w:pStyle w:val="79"/>
                    <w:spacing w:line="240" w:lineRule="auto"/>
                    <w:jc w:val="center"/>
                    <w:rPr>
                      <w:rFonts w:ascii="Times New Roman" w:hAnsi="Times New Roman" w:eastAsia="宋体" w:cs="Times New Roman"/>
                      <w:color w:val="FF0000"/>
                      <w:sz w:val="21"/>
                      <w:szCs w:val="21"/>
                      <w:lang w:eastAsia="zh-CN"/>
                    </w:rPr>
                  </w:pPr>
                  <w:r>
                    <w:rPr>
                      <w:rFonts w:ascii="Times New Roman" w:hAnsi="Times New Roman" w:eastAsia="宋体" w:cs="Times New Roman"/>
                      <w:color w:val="FF0000"/>
                      <w:sz w:val="21"/>
                      <w:szCs w:val="21"/>
                      <w:lang w:eastAsia="zh-CN"/>
                    </w:rPr>
                    <w:t>达标</w:t>
                  </w:r>
                </w:p>
              </w:tc>
            </w:tr>
            <w:tr w14:paraId="072FA692">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133" w:type="pct"/>
                  <w:vAlign w:val="center"/>
                </w:tcPr>
                <w:p w14:paraId="371F3F40">
                  <w:pPr>
                    <w:pStyle w:val="79"/>
                    <w:spacing w:line="240" w:lineRule="auto"/>
                    <w:jc w:val="center"/>
                    <w:rPr>
                      <w:rFonts w:ascii="Times New Roman" w:hAnsi="Times New Roman" w:eastAsia="宋体" w:cs="Times New Roman"/>
                      <w:color w:val="FF0000"/>
                      <w:sz w:val="21"/>
                      <w:szCs w:val="21"/>
                      <w:lang w:eastAsia="zh-CN"/>
                    </w:rPr>
                  </w:pPr>
                  <w:r>
                    <w:rPr>
                      <w:rFonts w:hint="eastAsia" w:ascii="Times New Roman" w:hAnsi="Times New Roman" w:eastAsia="宋体" w:cs="Times New Roman"/>
                      <w:color w:val="FF0000"/>
                      <w:sz w:val="21"/>
                      <w:szCs w:val="21"/>
                      <w:lang w:eastAsia="zh-CN"/>
                    </w:rPr>
                    <w:t>溶解氧</w:t>
                  </w:r>
                </w:p>
              </w:tc>
              <w:tc>
                <w:tcPr>
                  <w:tcW w:w="1457" w:type="dxa"/>
                  <w:vAlign w:val="center"/>
                </w:tcPr>
                <w:p w14:paraId="7765A232">
                  <w:pPr>
                    <w:pStyle w:val="79"/>
                    <w:spacing w:line="240" w:lineRule="auto"/>
                    <w:jc w:val="center"/>
                    <w:rPr>
                      <w:rFonts w:ascii="Times New Roman" w:hAnsi="Times New Roman" w:eastAsia="宋体" w:cs="Times New Roman"/>
                      <w:color w:val="FF0000"/>
                      <w:sz w:val="21"/>
                      <w:szCs w:val="21"/>
                      <w:lang w:eastAsia="zh-CN"/>
                    </w:rPr>
                  </w:pPr>
                  <w:r>
                    <w:rPr>
                      <w:rFonts w:hint="eastAsia" w:ascii="Times New Roman" w:hAnsi="Times New Roman" w:eastAsia="宋体" w:cs="Times New Roman"/>
                      <w:color w:val="FF0000"/>
                      <w:sz w:val="21"/>
                      <w:szCs w:val="21"/>
                      <w:lang w:val="en-US" w:eastAsia="zh-CN"/>
                    </w:rPr>
                    <w:t>8.0</w:t>
                  </w:r>
                </w:p>
              </w:tc>
              <w:tc>
                <w:tcPr>
                  <w:tcW w:w="1543" w:type="dxa"/>
                  <w:vAlign w:val="center"/>
                </w:tcPr>
                <w:p w14:paraId="26FEF8EB">
                  <w:pPr>
                    <w:pStyle w:val="79"/>
                    <w:spacing w:line="240" w:lineRule="auto"/>
                    <w:jc w:val="center"/>
                    <w:rPr>
                      <w:rFonts w:ascii="Times New Roman" w:hAnsi="Times New Roman" w:eastAsia="宋体" w:cs="Times New Roman"/>
                      <w:color w:val="FF0000"/>
                      <w:sz w:val="21"/>
                      <w:szCs w:val="21"/>
                      <w:lang w:eastAsia="zh-CN"/>
                    </w:rPr>
                  </w:pPr>
                  <w:r>
                    <w:rPr>
                      <w:rFonts w:hint="eastAsia" w:ascii="Times New Roman" w:hAnsi="Times New Roman" w:eastAsia="宋体" w:cs="Times New Roman"/>
                      <w:color w:val="FF0000"/>
                      <w:sz w:val="21"/>
                      <w:szCs w:val="21"/>
                      <w:lang w:val="en-US" w:eastAsia="zh-CN"/>
                    </w:rPr>
                    <w:t>mg/L</w:t>
                  </w:r>
                </w:p>
              </w:tc>
              <w:tc>
                <w:tcPr>
                  <w:tcW w:w="1319" w:type="pct"/>
                  <w:vAlign w:val="center"/>
                </w:tcPr>
                <w:p w14:paraId="1D66D402">
                  <w:pPr>
                    <w:pStyle w:val="79"/>
                    <w:spacing w:line="240" w:lineRule="auto"/>
                    <w:jc w:val="center"/>
                    <w:rPr>
                      <w:rFonts w:hint="default" w:ascii="Times New Roman" w:hAnsi="Times New Roman" w:eastAsia="宋体" w:cs="Times New Roman"/>
                      <w:color w:val="FF0000"/>
                      <w:sz w:val="21"/>
                      <w:szCs w:val="21"/>
                      <w:lang w:val="en-US" w:eastAsia="zh-CN"/>
                    </w:rPr>
                  </w:pPr>
                  <w:r>
                    <w:rPr>
                      <w:rFonts w:hint="eastAsia" w:ascii="Times New Roman" w:hAnsi="Times New Roman" w:eastAsia="宋体" w:cs="Times New Roman"/>
                      <w:color w:val="FF0000"/>
                      <w:sz w:val="21"/>
                      <w:szCs w:val="21"/>
                      <w:lang w:val="en-US" w:eastAsia="zh-CN"/>
                    </w:rPr>
                    <w:t>≥5</w:t>
                  </w:r>
                </w:p>
              </w:tc>
              <w:tc>
                <w:tcPr>
                  <w:tcW w:w="667" w:type="pct"/>
                  <w:vAlign w:val="center"/>
                </w:tcPr>
                <w:p w14:paraId="25175253">
                  <w:pPr>
                    <w:pStyle w:val="79"/>
                    <w:spacing w:line="240" w:lineRule="auto"/>
                    <w:jc w:val="center"/>
                    <w:rPr>
                      <w:rFonts w:ascii="Times New Roman" w:hAnsi="Times New Roman" w:eastAsia="宋体" w:cs="Times New Roman"/>
                      <w:color w:val="FF0000"/>
                      <w:sz w:val="21"/>
                      <w:szCs w:val="21"/>
                      <w:lang w:eastAsia="zh-CN"/>
                    </w:rPr>
                  </w:pPr>
                  <w:r>
                    <w:rPr>
                      <w:rFonts w:ascii="Times New Roman" w:hAnsi="Times New Roman" w:eastAsia="宋体" w:cs="Times New Roman"/>
                      <w:color w:val="FF0000"/>
                      <w:sz w:val="21"/>
                      <w:szCs w:val="21"/>
                      <w:lang w:eastAsia="zh-CN"/>
                    </w:rPr>
                    <w:t>达标</w:t>
                  </w:r>
                </w:p>
              </w:tc>
            </w:tr>
            <w:tr w14:paraId="0DDB68C1">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133" w:type="pct"/>
                  <w:vAlign w:val="center"/>
                </w:tcPr>
                <w:p w14:paraId="5E9F1853">
                  <w:pPr>
                    <w:pStyle w:val="79"/>
                    <w:spacing w:line="240" w:lineRule="auto"/>
                    <w:jc w:val="center"/>
                    <w:rPr>
                      <w:rFonts w:hint="default" w:ascii="Times New Roman" w:hAnsi="Times New Roman" w:eastAsia="宋体" w:cs="Times New Roman"/>
                      <w:color w:val="FF0000"/>
                      <w:sz w:val="21"/>
                      <w:szCs w:val="21"/>
                      <w:lang w:val="en-US" w:eastAsia="zh-CN"/>
                    </w:rPr>
                  </w:pPr>
                  <w:r>
                    <w:rPr>
                      <w:rFonts w:hint="default" w:ascii="Times New Roman" w:hAnsi="Times New Roman" w:eastAsia="宋体" w:cs="Times New Roman"/>
                      <w:color w:val="FF0000"/>
                      <w:sz w:val="21"/>
                      <w:szCs w:val="21"/>
                      <w:lang w:val="en-US" w:eastAsia="zh-CN"/>
                    </w:rPr>
                    <w:t>高锰酸盐</w:t>
                  </w:r>
                </w:p>
                <w:p w14:paraId="6C21F5EF">
                  <w:pPr>
                    <w:pStyle w:val="79"/>
                    <w:spacing w:line="240" w:lineRule="auto"/>
                    <w:jc w:val="center"/>
                    <w:rPr>
                      <w:rFonts w:ascii="Times New Roman" w:hAnsi="Times New Roman" w:eastAsia="宋体" w:cs="Times New Roman"/>
                      <w:color w:val="FF0000"/>
                      <w:sz w:val="21"/>
                      <w:szCs w:val="21"/>
                      <w:lang w:eastAsia="zh-CN"/>
                    </w:rPr>
                  </w:pPr>
                  <w:r>
                    <w:rPr>
                      <w:rFonts w:hint="default" w:ascii="Times New Roman" w:hAnsi="Times New Roman" w:eastAsia="宋体" w:cs="Times New Roman"/>
                      <w:color w:val="FF0000"/>
                      <w:sz w:val="21"/>
                      <w:szCs w:val="21"/>
                      <w:lang w:val="en-US" w:eastAsia="zh-CN"/>
                    </w:rPr>
                    <w:t>指数</w:t>
                  </w:r>
                </w:p>
              </w:tc>
              <w:tc>
                <w:tcPr>
                  <w:tcW w:w="1457" w:type="dxa"/>
                  <w:vAlign w:val="center"/>
                </w:tcPr>
                <w:p w14:paraId="38F3149F">
                  <w:pPr>
                    <w:pStyle w:val="79"/>
                    <w:spacing w:line="240" w:lineRule="auto"/>
                    <w:jc w:val="center"/>
                    <w:rPr>
                      <w:rFonts w:ascii="Times New Roman" w:hAnsi="Times New Roman" w:eastAsia="宋体" w:cs="Times New Roman"/>
                      <w:color w:val="FF0000"/>
                      <w:sz w:val="21"/>
                      <w:szCs w:val="21"/>
                      <w:lang w:eastAsia="zh-CN"/>
                    </w:rPr>
                  </w:pPr>
                  <w:r>
                    <w:rPr>
                      <w:rFonts w:hint="eastAsia" w:ascii="Times New Roman" w:hAnsi="Times New Roman" w:eastAsia="宋体" w:cs="Times New Roman"/>
                      <w:color w:val="FF0000"/>
                      <w:sz w:val="21"/>
                      <w:szCs w:val="21"/>
                      <w:lang w:val="en-US" w:eastAsia="zh-CN"/>
                    </w:rPr>
                    <w:t>4.5</w:t>
                  </w:r>
                </w:p>
              </w:tc>
              <w:tc>
                <w:tcPr>
                  <w:tcW w:w="1543" w:type="dxa"/>
                  <w:vAlign w:val="center"/>
                </w:tcPr>
                <w:p w14:paraId="35A431BE">
                  <w:pPr>
                    <w:pStyle w:val="79"/>
                    <w:spacing w:line="240" w:lineRule="auto"/>
                    <w:jc w:val="center"/>
                    <w:rPr>
                      <w:rFonts w:ascii="Times New Roman" w:hAnsi="Times New Roman" w:eastAsia="宋体" w:cs="Times New Roman"/>
                      <w:color w:val="FF0000"/>
                      <w:sz w:val="21"/>
                      <w:szCs w:val="21"/>
                      <w:lang w:eastAsia="zh-CN"/>
                    </w:rPr>
                  </w:pPr>
                  <w:r>
                    <w:rPr>
                      <w:rFonts w:hint="eastAsia" w:ascii="Times New Roman" w:hAnsi="Times New Roman" w:eastAsia="宋体" w:cs="Times New Roman"/>
                      <w:color w:val="FF0000"/>
                      <w:sz w:val="21"/>
                      <w:szCs w:val="21"/>
                      <w:lang w:val="en-US" w:eastAsia="zh-CN"/>
                    </w:rPr>
                    <w:t>mg/L</w:t>
                  </w:r>
                </w:p>
              </w:tc>
              <w:tc>
                <w:tcPr>
                  <w:tcW w:w="1319" w:type="pct"/>
                  <w:vAlign w:val="center"/>
                </w:tcPr>
                <w:p w14:paraId="50BF12CE">
                  <w:pPr>
                    <w:pStyle w:val="79"/>
                    <w:spacing w:line="240" w:lineRule="auto"/>
                    <w:jc w:val="center"/>
                    <w:rPr>
                      <w:rFonts w:ascii="Times New Roman" w:hAnsi="Times New Roman" w:eastAsia="宋体" w:cs="Times New Roman"/>
                      <w:color w:val="FF0000"/>
                      <w:sz w:val="21"/>
                      <w:szCs w:val="21"/>
                      <w:lang w:eastAsia="zh-CN"/>
                    </w:rPr>
                  </w:pPr>
                  <w:r>
                    <w:rPr>
                      <w:rFonts w:ascii="Times New Roman" w:hAnsi="Times New Roman" w:eastAsia="宋体" w:cs="Times New Roman"/>
                      <w:color w:val="FF0000"/>
                      <w:sz w:val="21"/>
                      <w:szCs w:val="21"/>
                      <w:lang w:eastAsia="zh-CN"/>
                    </w:rPr>
                    <w:t>≤</w:t>
                  </w:r>
                  <w:r>
                    <w:rPr>
                      <w:rFonts w:hint="eastAsia" w:ascii="Times New Roman" w:hAnsi="Times New Roman" w:eastAsia="宋体" w:cs="Times New Roman"/>
                      <w:color w:val="FF0000"/>
                      <w:sz w:val="21"/>
                      <w:szCs w:val="21"/>
                      <w:lang w:val="en-US" w:eastAsia="zh-CN"/>
                    </w:rPr>
                    <w:t>6</w:t>
                  </w:r>
                </w:p>
              </w:tc>
              <w:tc>
                <w:tcPr>
                  <w:tcW w:w="667" w:type="pct"/>
                  <w:vAlign w:val="center"/>
                </w:tcPr>
                <w:p w14:paraId="4CEA3341">
                  <w:pPr>
                    <w:pStyle w:val="79"/>
                    <w:spacing w:line="240" w:lineRule="auto"/>
                    <w:jc w:val="center"/>
                    <w:rPr>
                      <w:rFonts w:ascii="Times New Roman" w:hAnsi="Times New Roman" w:eastAsia="宋体" w:cs="Times New Roman"/>
                      <w:color w:val="FF0000"/>
                      <w:sz w:val="21"/>
                      <w:szCs w:val="21"/>
                      <w:lang w:eastAsia="zh-CN"/>
                    </w:rPr>
                  </w:pPr>
                  <w:r>
                    <w:rPr>
                      <w:rFonts w:ascii="Times New Roman" w:hAnsi="Times New Roman" w:eastAsia="宋体" w:cs="Times New Roman"/>
                      <w:color w:val="FF0000"/>
                      <w:sz w:val="21"/>
                      <w:szCs w:val="21"/>
                      <w:lang w:eastAsia="zh-CN"/>
                    </w:rPr>
                    <w:t>达标</w:t>
                  </w:r>
                </w:p>
              </w:tc>
            </w:tr>
            <w:tr w14:paraId="23E5977A">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81" w:hRule="atLeast"/>
              </w:trPr>
              <w:tc>
                <w:tcPr>
                  <w:tcW w:w="1133" w:type="pct"/>
                  <w:vAlign w:val="center"/>
                </w:tcPr>
                <w:p w14:paraId="76DA55C3">
                  <w:pPr>
                    <w:pStyle w:val="79"/>
                    <w:spacing w:line="240" w:lineRule="auto"/>
                    <w:jc w:val="center"/>
                    <w:rPr>
                      <w:rFonts w:ascii="Times New Roman" w:hAnsi="Times New Roman" w:eastAsia="宋体" w:cs="Times New Roman"/>
                      <w:color w:val="FF0000"/>
                      <w:sz w:val="21"/>
                      <w:szCs w:val="21"/>
                      <w:lang w:eastAsia="zh-CN"/>
                    </w:rPr>
                  </w:pPr>
                  <w:r>
                    <w:rPr>
                      <w:rFonts w:hint="eastAsia" w:ascii="Times New Roman" w:hAnsi="Times New Roman" w:eastAsia="宋体" w:cs="Times New Roman"/>
                      <w:color w:val="FF0000"/>
                      <w:sz w:val="21"/>
                      <w:szCs w:val="21"/>
                      <w:lang w:val="en-US" w:eastAsia="zh-CN"/>
                    </w:rPr>
                    <w:t>化学需氧量</w:t>
                  </w:r>
                </w:p>
              </w:tc>
              <w:tc>
                <w:tcPr>
                  <w:tcW w:w="1457" w:type="dxa"/>
                  <w:vAlign w:val="center"/>
                </w:tcPr>
                <w:p w14:paraId="2AB69860">
                  <w:pPr>
                    <w:pStyle w:val="79"/>
                    <w:spacing w:line="240" w:lineRule="auto"/>
                    <w:jc w:val="center"/>
                    <w:rPr>
                      <w:rFonts w:ascii="Times New Roman" w:hAnsi="Times New Roman" w:eastAsia="宋体" w:cs="Times New Roman"/>
                      <w:color w:val="FF0000"/>
                      <w:sz w:val="21"/>
                      <w:szCs w:val="21"/>
                      <w:lang w:eastAsia="zh-CN"/>
                    </w:rPr>
                  </w:pPr>
                  <w:r>
                    <w:rPr>
                      <w:rFonts w:hint="eastAsia" w:ascii="Times New Roman" w:hAnsi="Times New Roman" w:eastAsia="宋体" w:cs="Times New Roman"/>
                      <w:color w:val="FF0000"/>
                      <w:sz w:val="21"/>
                      <w:szCs w:val="21"/>
                      <w:lang w:val="en-US" w:eastAsia="zh-CN"/>
                    </w:rPr>
                    <w:t>14</w:t>
                  </w:r>
                </w:p>
              </w:tc>
              <w:tc>
                <w:tcPr>
                  <w:tcW w:w="1543" w:type="dxa"/>
                  <w:vAlign w:val="center"/>
                </w:tcPr>
                <w:p w14:paraId="30BAA68B">
                  <w:pPr>
                    <w:pStyle w:val="79"/>
                    <w:spacing w:line="240" w:lineRule="auto"/>
                    <w:jc w:val="center"/>
                    <w:rPr>
                      <w:rFonts w:ascii="Times New Roman" w:hAnsi="Times New Roman" w:eastAsia="宋体" w:cs="Times New Roman"/>
                      <w:color w:val="FF0000"/>
                      <w:sz w:val="21"/>
                      <w:szCs w:val="21"/>
                      <w:lang w:eastAsia="zh-CN"/>
                    </w:rPr>
                  </w:pPr>
                  <w:r>
                    <w:rPr>
                      <w:rFonts w:hint="eastAsia" w:ascii="Times New Roman" w:hAnsi="Times New Roman" w:eastAsia="宋体" w:cs="Times New Roman"/>
                      <w:color w:val="FF0000"/>
                      <w:sz w:val="21"/>
                      <w:szCs w:val="21"/>
                      <w:lang w:val="en-US" w:eastAsia="zh-CN"/>
                    </w:rPr>
                    <w:t>mg/L</w:t>
                  </w:r>
                </w:p>
              </w:tc>
              <w:tc>
                <w:tcPr>
                  <w:tcW w:w="1319" w:type="pct"/>
                  <w:vAlign w:val="center"/>
                </w:tcPr>
                <w:p w14:paraId="6735D4B4">
                  <w:pPr>
                    <w:pStyle w:val="79"/>
                    <w:spacing w:line="240" w:lineRule="auto"/>
                    <w:jc w:val="center"/>
                    <w:rPr>
                      <w:rFonts w:hint="default" w:ascii="Times New Roman" w:hAnsi="Times New Roman" w:eastAsia="宋体" w:cs="Times New Roman"/>
                      <w:color w:val="FF0000"/>
                      <w:sz w:val="21"/>
                      <w:szCs w:val="21"/>
                      <w:lang w:val="en-US" w:eastAsia="zh-CN"/>
                    </w:rPr>
                  </w:pPr>
                  <w:r>
                    <w:rPr>
                      <w:rFonts w:ascii="Times New Roman" w:hAnsi="Times New Roman" w:eastAsia="宋体" w:cs="Times New Roman"/>
                      <w:color w:val="FF0000"/>
                      <w:sz w:val="21"/>
                      <w:szCs w:val="21"/>
                      <w:lang w:eastAsia="zh-CN"/>
                    </w:rPr>
                    <w:t>≤</w:t>
                  </w:r>
                  <w:r>
                    <w:rPr>
                      <w:rFonts w:hint="eastAsia" w:ascii="Times New Roman" w:hAnsi="Times New Roman" w:eastAsia="宋体" w:cs="Times New Roman"/>
                      <w:color w:val="FF0000"/>
                      <w:sz w:val="21"/>
                      <w:szCs w:val="21"/>
                      <w:lang w:val="en-US" w:eastAsia="zh-CN"/>
                    </w:rPr>
                    <w:t>20</w:t>
                  </w:r>
                </w:p>
              </w:tc>
              <w:tc>
                <w:tcPr>
                  <w:tcW w:w="667" w:type="pct"/>
                  <w:vAlign w:val="center"/>
                </w:tcPr>
                <w:p w14:paraId="794C5274">
                  <w:pPr>
                    <w:pStyle w:val="79"/>
                    <w:spacing w:line="240" w:lineRule="auto"/>
                    <w:jc w:val="center"/>
                    <w:rPr>
                      <w:rFonts w:ascii="Times New Roman" w:hAnsi="Times New Roman" w:eastAsia="宋体" w:cs="Times New Roman"/>
                      <w:color w:val="FF0000"/>
                      <w:sz w:val="21"/>
                      <w:szCs w:val="21"/>
                      <w:lang w:eastAsia="zh-CN"/>
                    </w:rPr>
                  </w:pPr>
                  <w:r>
                    <w:rPr>
                      <w:rFonts w:ascii="Times New Roman" w:hAnsi="Times New Roman" w:eastAsia="宋体" w:cs="Times New Roman"/>
                      <w:color w:val="FF0000"/>
                      <w:sz w:val="21"/>
                      <w:szCs w:val="21"/>
                      <w:lang w:eastAsia="zh-CN"/>
                    </w:rPr>
                    <w:t>达标</w:t>
                  </w:r>
                </w:p>
              </w:tc>
            </w:tr>
            <w:tr w14:paraId="518F6386">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133" w:type="pct"/>
                  <w:vAlign w:val="center"/>
                </w:tcPr>
                <w:p w14:paraId="2B897BA7">
                  <w:pPr>
                    <w:pStyle w:val="79"/>
                    <w:spacing w:line="240" w:lineRule="auto"/>
                    <w:jc w:val="center"/>
                    <w:rPr>
                      <w:rFonts w:ascii="Times New Roman" w:hAnsi="Times New Roman" w:eastAsia="宋体" w:cs="Times New Roman"/>
                      <w:color w:val="FF0000"/>
                      <w:sz w:val="21"/>
                      <w:szCs w:val="21"/>
                      <w:lang w:eastAsia="zh-CN"/>
                    </w:rPr>
                  </w:pPr>
                  <w:r>
                    <w:rPr>
                      <w:rFonts w:hint="eastAsia" w:ascii="Times New Roman" w:hAnsi="Times New Roman" w:eastAsia="宋体" w:cs="Times New Roman"/>
                      <w:color w:val="FF0000"/>
                      <w:sz w:val="21"/>
                      <w:szCs w:val="21"/>
                      <w:lang w:eastAsia="zh-CN"/>
                    </w:rPr>
                    <w:t>五</w:t>
                  </w:r>
                  <w:r>
                    <w:rPr>
                      <w:rFonts w:ascii="Times New Roman" w:hAnsi="Times New Roman" w:eastAsia="宋体" w:cs="Times New Roman"/>
                      <w:color w:val="FF0000"/>
                      <w:sz w:val="21"/>
                      <w:szCs w:val="21"/>
                      <w:lang w:eastAsia="zh-CN"/>
                    </w:rPr>
                    <w:t>日生化</w:t>
                  </w:r>
                </w:p>
                <w:p w14:paraId="38533AC0">
                  <w:pPr>
                    <w:pStyle w:val="79"/>
                    <w:spacing w:line="240" w:lineRule="auto"/>
                    <w:jc w:val="center"/>
                    <w:rPr>
                      <w:rFonts w:ascii="Times New Roman" w:hAnsi="Times New Roman" w:eastAsia="宋体" w:cs="Times New Roman"/>
                      <w:color w:val="FF0000"/>
                      <w:sz w:val="21"/>
                      <w:szCs w:val="21"/>
                      <w:lang w:eastAsia="zh-CN"/>
                    </w:rPr>
                  </w:pPr>
                  <w:r>
                    <w:rPr>
                      <w:rFonts w:ascii="Times New Roman" w:hAnsi="Times New Roman" w:eastAsia="宋体" w:cs="Times New Roman"/>
                      <w:color w:val="FF0000"/>
                      <w:sz w:val="21"/>
                      <w:szCs w:val="21"/>
                      <w:lang w:eastAsia="zh-CN"/>
                    </w:rPr>
                    <w:t>需氧量</w:t>
                  </w:r>
                </w:p>
              </w:tc>
              <w:tc>
                <w:tcPr>
                  <w:tcW w:w="1457" w:type="dxa"/>
                  <w:vAlign w:val="center"/>
                </w:tcPr>
                <w:p w14:paraId="7409897C">
                  <w:pPr>
                    <w:pStyle w:val="79"/>
                    <w:spacing w:line="240" w:lineRule="auto"/>
                    <w:jc w:val="center"/>
                    <w:rPr>
                      <w:rFonts w:ascii="Times New Roman" w:hAnsi="Times New Roman" w:eastAsia="宋体" w:cs="Times New Roman"/>
                      <w:color w:val="FF0000"/>
                      <w:sz w:val="21"/>
                      <w:szCs w:val="21"/>
                      <w:lang w:eastAsia="zh-CN"/>
                    </w:rPr>
                  </w:pPr>
                  <w:r>
                    <w:rPr>
                      <w:rFonts w:hint="eastAsia" w:ascii="Times New Roman" w:hAnsi="Times New Roman" w:eastAsia="宋体" w:cs="Times New Roman"/>
                      <w:color w:val="FF0000"/>
                      <w:sz w:val="21"/>
                      <w:szCs w:val="21"/>
                      <w:lang w:val="en-US" w:eastAsia="zh-CN"/>
                    </w:rPr>
                    <w:t>3.3</w:t>
                  </w:r>
                </w:p>
              </w:tc>
              <w:tc>
                <w:tcPr>
                  <w:tcW w:w="1543" w:type="dxa"/>
                  <w:vAlign w:val="center"/>
                </w:tcPr>
                <w:p w14:paraId="408F3D2D">
                  <w:pPr>
                    <w:pStyle w:val="79"/>
                    <w:spacing w:line="240" w:lineRule="auto"/>
                    <w:jc w:val="center"/>
                    <w:rPr>
                      <w:rFonts w:ascii="Times New Roman" w:hAnsi="Times New Roman" w:eastAsia="宋体" w:cs="Times New Roman"/>
                      <w:color w:val="FF0000"/>
                      <w:sz w:val="21"/>
                      <w:szCs w:val="21"/>
                      <w:lang w:eastAsia="zh-CN"/>
                    </w:rPr>
                  </w:pPr>
                  <w:r>
                    <w:rPr>
                      <w:rFonts w:hint="eastAsia" w:ascii="Times New Roman" w:hAnsi="Times New Roman" w:eastAsia="宋体" w:cs="Times New Roman"/>
                      <w:color w:val="FF0000"/>
                      <w:sz w:val="21"/>
                      <w:szCs w:val="21"/>
                      <w:lang w:val="en-US" w:eastAsia="zh-CN"/>
                    </w:rPr>
                    <w:t>mg/L</w:t>
                  </w:r>
                </w:p>
              </w:tc>
              <w:tc>
                <w:tcPr>
                  <w:tcW w:w="1319" w:type="pct"/>
                  <w:vAlign w:val="center"/>
                </w:tcPr>
                <w:p w14:paraId="6802B4C8">
                  <w:pPr>
                    <w:pStyle w:val="79"/>
                    <w:spacing w:line="240" w:lineRule="auto"/>
                    <w:jc w:val="center"/>
                    <w:rPr>
                      <w:rFonts w:ascii="Times New Roman" w:hAnsi="Times New Roman" w:eastAsia="宋体" w:cs="Times New Roman"/>
                      <w:color w:val="FF0000"/>
                      <w:sz w:val="21"/>
                      <w:szCs w:val="21"/>
                      <w:lang w:eastAsia="zh-CN"/>
                    </w:rPr>
                  </w:pPr>
                  <w:r>
                    <w:rPr>
                      <w:rFonts w:ascii="Times New Roman" w:hAnsi="Times New Roman" w:eastAsia="宋体" w:cs="Times New Roman"/>
                      <w:color w:val="FF0000"/>
                      <w:sz w:val="21"/>
                      <w:szCs w:val="21"/>
                      <w:lang w:eastAsia="zh-CN"/>
                    </w:rPr>
                    <w:t>≤</w:t>
                  </w:r>
                  <w:r>
                    <w:rPr>
                      <w:rFonts w:hint="eastAsia" w:ascii="Times New Roman" w:hAnsi="Times New Roman" w:eastAsia="宋体" w:cs="Times New Roman"/>
                      <w:color w:val="FF0000"/>
                      <w:sz w:val="21"/>
                      <w:szCs w:val="21"/>
                      <w:lang w:val="en-US" w:eastAsia="zh-CN"/>
                    </w:rPr>
                    <w:t>4</w:t>
                  </w:r>
                </w:p>
              </w:tc>
              <w:tc>
                <w:tcPr>
                  <w:tcW w:w="667" w:type="pct"/>
                  <w:vAlign w:val="center"/>
                </w:tcPr>
                <w:p w14:paraId="7F506CA9">
                  <w:pPr>
                    <w:pStyle w:val="79"/>
                    <w:spacing w:line="240" w:lineRule="auto"/>
                    <w:jc w:val="center"/>
                    <w:rPr>
                      <w:rFonts w:ascii="Times New Roman" w:hAnsi="Times New Roman" w:eastAsia="宋体" w:cs="Times New Roman"/>
                      <w:color w:val="FF0000"/>
                      <w:sz w:val="21"/>
                      <w:szCs w:val="21"/>
                      <w:lang w:eastAsia="zh-CN"/>
                    </w:rPr>
                  </w:pPr>
                  <w:r>
                    <w:rPr>
                      <w:rFonts w:ascii="Times New Roman" w:hAnsi="Times New Roman" w:eastAsia="宋体" w:cs="Times New Roman"/>
                      <w:color w:val="FF0000"/>
                      <w:sz w:val="21"/>
                      <w:szCs w:val="21"/>
                      <w:lang w:eastAsia="zh-CN"/>
                    </w:rPr>
                    <w:t>达标</w:t>
                  </w:r>
                </w:p>
              </w:tc>
            </w:tr>
            <w:tr w14:paraId="7A03F073">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133" w:type="pct"/>
                  <w:vAlign w:val="center"/>
                </w:tcPr>
                <w:p w14:paraId="424A2351">
                  <w:pPr>
                    <w:pStyle w:val="79"/>
                    <w:spacing w:line="240" w:lineRule="auto"/>
                    <w:jc w:val="center"/>
                    <w:rPr>
                      <w:rFonts w:ascii="Times New Roman" w:hAnsi="Times New Roman" w:eastAsia="宋体" w:cs="Times New Roman"/>
                      <w:color w:val="FF0000"/>
                      <w:sz w:val="21"/>
                      <w:szCs w:val="21"/>
                      <w:lang w:eastAsia="zh-CN"/>
                    </w:rPr>
                  </w:pPr>
                  <w:r>
                    <w:rPr>
                      <w:rFonts w:ascii="Times New Roman" w:hAnsi="Times New Roman" w:eastAsia="宋体" w:cs="Times New Roman"/>
                      <w:color w:val="FF0000"/>
                      <w:sz w:val="21"/>
                      <w:szCs w:val="21"/>
                      <w:lang w:eastAsia="zh-CN"/>
                    </w:rPr>
                    <w:t>氨氮</w:t>
                  </w:r>
                </w:p>
              </w:tc>
              <w:tc>
                <w:tcPr>
                  <w:tcW w:w="1457" w:type="dxa"/>
                  <w:vAlign w:val="center"/>
                </w:tcPr>
                <w:p w14:paraId="1F6A2982">
                  <w:pPr>
                    <w:pStyle w:val="79"/>
                    <w:spacing w:line="240" w:lineRule="auto"/>
                    <w:jc w:val="center"/>
                    <w:rPr>
                      <w:rFonts w:ascii="Times New Roman" w:hAnsi="Times New Roman" w:eastAsia="宋体" w:cs="Times New Roman"/>
                      <w:color w:val="FF0000"/>
                      <w:sz w:val="21"/>
                      <w:szCs w:val="21"/>
                      <w:lang w:eastAsia="zh-CN"/>
                    </w:rPr>
                  </w:pPr>
                  <w:r>
                    <w:rPr>
                      <w:rFonts w:hint="eastAsia" w:ascii="Times New Roman" w:hAnsi="Times New Roman" w:eastAsia="宋体" w:cs="Times New Roman"/>
                      <w:color w:val="FF0000"/>
                      <w:sz w:val="21"/>
                      <w:szCs w:val="21"/>
                      <w:lang w:val="en-US" w:eastAsia="zh-CN"/>
                    </w:rPr>
                    <w:t>0.667</w:t>
                  </w:r>
                </w:p>
              </w:tc>
              <w:tc>
                <w:tcPr>
                  <w:tcW w:w="1543" w:type="dxa"/>
                  <w:vAlign w:val="center"/>
                </w:tcPr>
                <w:p w14:paraId="6C1A907F">
                  <w:pPr>
                    <w:pStyle w:val="79"/>
                    <w:spacing w:line="240" w:lineRule="auto"/>
                    <w:jc w:val="center"/>
                    <w:rPr>
                      <w:rFonts w:ascii="Times New Roman" w:hAnsi="Times New Roman" w:eastAsia="宋体" w:cs="Times New Roman"/>
                      <w:color w:val="FF0000"/>
                      <w:sz w:val="21"/>
                      <w:szCs w:val="21"/>
                      <w:lang w:eastAsia="zh-CN"/>
                    </w:rPr>
                  </w:pPr>
                  <w:r>
                    <w:rPr>
                      <w:rFonts w:hint="eastAsia" w:ascii="Times New Roman" w:hAnsi="Times New Roman" w:eastAsia="宋体" w:cs="Times New Roman"/>
                      <w:color w:val="FF0000"/>
                      <w:sz w:val="21"/>
                      <w:szCs w:val="21"/>
                      <w:lang w:val="en-US" w:eastAsia="zh-CN"/>
                    </w:rPr>
                    <w:t>mg/L</w:t>
                  </w:r>
                </w:p>
              </w:tc>
              <w:tc>
                <w:tcPr>
                  <w:tcW w:w="1319" w:type="pct"/>
                  <w:vAlign w:val="center"/>
                </w:tcPr>
                <w:p w14:paraId="08F6875E">
                  <w:pPr>
                    <w:pStyle w:val="79"/>
                    <w:spacing w:line="240" w:lineRule="auto"/>
                    <w:jc w:val="center"/>
                    <w:rPr>
                      <w:rFonts w:ascii="Times New Roman" w:hAnsi="Times New Roman" w:eastAsia="宋体" w:cs="Times New Roman"/>
                      <w:color w:val="FF0000"/>
                      <w:sz w:val="21"/>
                      <w:szCs w:val="21"/>
                      <w:lang w:eastAsia="zh-CN"/>
                    </w:rPr>
                  </w:pPr>
                  <w:r>
                    <w:rPr>
                      <w:rFonts w:ascii="Times New Roman" w:hAnsi="Times New Roman" w:eastAsia="宋体" w:cs="Times New Roman"/>
                      <w:color w:val="FF0000"/>
                      <w:sz w:val="21"/>
                      <w:szCs w:val="21"/>
                      <w:lang w:eastAsia="zh-CN"/>
                    </w:rPr>
                    <w:t>≤</w:t>
                  </w:r>
                  <w:r>
                    <w:rPr>
                      <w:rFonts w:hint="eastAsia" w:ascii="Times New Roman" w:hAnsi="Times New Roman" w:eastAsia="宋体" w:cs="Times New Roman"/>
                      <w:color w:val="FF0000"/>
                      <w:sz w:val="21"/>
                      <w:szCs w:val="21"/>
                      <w:lang w:val="en-US" w:eastAsia="zh-CN"/>
                    </w:rPr>
                    <w:t>1</w:t>
                  </w:r>
                </w:p>
              </w:tc>
              <w:tc>
                <w:tcPr>
                  <w:tcW w:w="667" w:type="pct"/>
                  <w:vAlign w:val="center"/>
                </w:tcPr>
                <w:p w14:paraId="12E4C138">
                  <w:pPr>
                    <w:pStyle w:val="79"/>
                    <w:spacing w:line="240" w:lineRule="auto"/>
                    <w:jc w:val="center"/>
                    <w:rPr>
                      <w:rFonts w:ascii="Times New Roman" w:hAnsi="Times New Roman" w:eastAsia="宋体" w:cs="Times New Roman"/>
                      <w:color w:val="FF0000"/>
                      <w:sz w:val="21"/>
                      <w:szCs w:val="21"/>
                      <w:lang w:eastAsia="zh-CN"/>
                    </w:rPr>
                  </w:pPr>
                  <w:r>
                    <w:rPr>
                      <w:rFonts w:ascii="Times New Roman" w:hAnsi="Times New Roman" w:eastAsia="宋体" w:cs="Times New Roman"/>
                      <w:color w:val="FF0000"/>
                      <w:sz w:val="21"/>
                      <w:szCs w:val="21"/>
                      <w:lang w:eastAsia="zh-CN"/>
                    </w:rPr>
                    <w:t>达标</w:t>
                  </w:r>
                </w:p>
              </w:tc>
            </w:tr>
            <w:tr w14:paraId="22EAE810">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PrEx>
              <w:tc>
                <w:tcPr>
                  <w:tcW w:w="1133" w:type="pct"/>
                  <w:vAlign w:val="center"/>
                </w:tcPr>
                <w:p w14:paraId="10064BD2">
                  <w:pPr>
                    <w:pStyle w:val="79"/>
                    <w:spacing w:line="240" w:lineRule="auto"/>
                    <w:jc w:val="center"/>
                    <w:rPr>
                      <w:rFonts w:ascii="Times New Roman" w:hAnsi="Times New Roman" w:eastAsia="宋体" w:cs="Times New Roman"/>
                      <w:color w:val="FF0000"/>
                      <w:sz w:val="21"/>
                      <w:szCs w:val="21"/>
                      <w:lang w:eastAsia="zh-CN"/>
                    </w:rPr>
                  </w:pPr>
                  <w:r>
                    <w:rPr>
                      <w:rFonts w:hint="eastAsia" w:ascii="Times New Roman" w:hAnsi="Times New Roman" w:eastAsia="宋体" w:cs="Times New Roman"/>
                      <w:color w:val="FF0000"/>
                      <w:sz w:val="21"/>
                      <w:szCs w:val="21"/>
                      <w:lang w:eastAsia="zh-CN"/>
                    </w:rPr>
                    <w:t>总磷</w:t>
                  </w:r>
                </w:p>
              </w:tc>
              <w:tc>
                <w:tcPr>
                  <w:tcW w:w="1457" w:type="dxa"/>
                  <w:vAlign w:val="center"/>
                </w:tcPr>
                <w:p w14:paraId="4FE5E1B1">
                  <w:pPr>
                    <w:pStyle w:val="79"/>
                    <w:spacing w:line="240" w:lineRule="auto"/>
                    <w:jc w:val="center"/>
                    <w:rPr>
                      <w:rFonts w:ascii="Times New Roman" w:hAnsi="Times New Roman" w:eastAsia="宋体" w:cs="Times New Roman"/>
                      <w:color w:val="FF0000"/>
                      <w:sz w:val="21"/>
                      <w:szCs w:val="21"/>
                      <w:lang w:eastAsia="zh-CN"/>
                    </w:rPr>
                  </w:pPr>
                  <w:r>
                    <w:rPr>
                      <w:rFonts w:hint="eastAsia" w:ascii="Times New Roman" w:hAnsi="Times New Roman" w:eastAsia="宋体" w:cs="Times New Roman"/>
                      <w:color w:val="FF0000"/>
                      <w:sz w:val="21"/>
                      <w:szCs w:val="21"/>
                      <w:lang w:val="en-US" w:eastAsia="zh-CN"/>
                    </w:rPr>
                    <w:t>0.10</w:t>
                  </w:r>
                </w:p>
              </w:tc>
              <w:tc>
                <w:tcPr>
                  <w:tcW w:w="1543" w:type="dxa"/>
                  <w:vAlign w:val="center"/>
                </w:tcPr>
                <w:p w14:paraId="56678EE2">
                  <w:pPr>
                    <w:pStyle w:val="79"/>
                    <w:spacing w:line="240" w:lineRule="auto"/>
                    <w:jc w:val="center"/>
                    <w:rPr>
                      <w:rFonts w:ascii="Times New Roman" w:hAnsi="Times New Roman" w:eastAsia="宋体" w:cs="Times New Roman"/>
                      <w:color w:val="FF0000"/>
                      <w:sz w:val="21"/>
                      <w:szCs w:val="21"/>
                      <w:lang w:eastAsia="zh-CN"/>
                    </w:rPr>
                  </w:pPr>
                  <w:r>
                    <w:rPr>
                      <w:rFonts w:hint="eastAsia" w:ascii="Times New Roman" w:hAnsi="Times New Roman" w:eastAsia="宋体" w:cs="Times New Roman"/>
                      <w:color w:val="FF0000"/>
                      <w:sz w:val="21"/>
                      <w:szCs w:val="21"/>
                      <w:lang w:val="en-US" w:eastAsia="zh-CN"/>
                    </w:rPr>
                    <w:t>mg/L</w:t>
                  </w:r>
                </w:p>
              </w:tc>
              <w:tc>
                <w:tcPr>
                  <w:tcW w:w="1319" w:type="pct"/>
                  <w:vAlign w:val="center"/>
                </w:tcPr>
                <w:p w14:paraId="4DFC8119">
                  <w:pPr>
                    <w:pStyle w:val="79"/>
                    <w:spacing w:line="240" w:lineRule="auto"/>
                    <w:jc w:val="center"/>
                    <w:rPr>
                      <w:rFonts w:hint="default" w:ascii="Times New Roman" w:hAnsi="Times New Roman" w:eastAsia="宋体" w:cs="Times New Roman"/>
                      <w:color w:val="FF0000"/>
                      <w:sz w:val="21"/>
                      <w:szCs w:val="21"/>
                      <w:lang w:val="en-US" w:eastAsia="zh-CN"/>
                    </w:rPr>
                  </w:pPr>
                  <w:r>
                    <w:rPr>
                      <w:rFonts w:ascii="Times New Roman" w:hAnsi="Times New Roman" w:eastAsia="宋体" w:cs="Times New Roman"/>
                      <w:color w:val="FF0000"/>
                      <w:sz w:val="21"/>
                      <w:szCs w:val="21"/>
                      <w:lang w:eastAsia="zh-CN"/>
                    </w:rPr>
                    <w:t>≤</w:t>
                  </w:r>
                  <w:r>
                    <w:rPr>
                      <w:rFonts w:hint="eastAsia" w:ascii="Times New Roman" w:hAnsi="Times New Roman" w:eastAsia="宋体" w:cs="Times New Roman"/>
                      <w:color w:val="FF0000"/>
                      <w:sz w:val="21"/>
                      <w:szCs w:val="21"/>
                      <w:lang w:val="en-US" w:eastAsia="zh-CN"/>
                    </w:rPr>
                    <w:t>0.2</w:t>
                  </w:r>
                </w:p>
              </w:tc>
              <w:tc>
                <w:tcPr>
                  <w:tcW w:w="667" w:type="pct"/>
                  <w:vAlign w:val="center"/>
                </w:tcPr>
                <w:p w14:paraId="589C0BBA">
                  <w:pPr>
                    <w:pStyle w:val="79"/>
                    <w:spacing w:line="240" w:lineRule="auto"/>
                    <w:jc w:val="center"/>
                    <w:rPr>
                      <w:rFonts w:ascii="Times New Roman" w:hAnsi="Times New Roman" w:eastAsia="宋体" w:cs="Times New Roman"/>
                      <w:color w:val="FF0000"/>
                      <w:sz w:val="21"/>
                      <w:szCs w:val="21"/>
                      <w:lang w:eastAsia="zh-CN"/>
                    </w:rPr>
                  </w:pPr>
                  <w:r>
                    <w:rPr>
                      <w:rFonts w:ascii="Times New Roman" w:hAnsi="Times New Roman" w:eastAsia="宋体" w:cs="Times New Roman"/>
                      <w:color w:val="FF0000"/>
                      <w:sz w:val="21"/>
                      <w:szCs w:val="21"/>
                      <w:lang w:eastAsia="zh-CN"/>
                    </w:rPr>
                    <w:t>达标</w:t>
                  </w:r>
                </w:p>
              </w:tc>
            </w:tr>
            <w:tr w14:paraId="31FD89A6">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133" w:type="pct"/>
                  <w:vAlign w:val="center"/>
                </w:tcPr>
                <w:p w14:paraId="21426773">
                  <w:pPr>
                    <w:pStyle w:val="79"/>
                    <w:spacing w:line="240" w:lineRule="auto"/>
                    <w:jc w:val="center"/>
                    <w:rPr>
                      <w:rFonts w:ascii="Times New Roman" w:hAnsi="Times New Roman" w:eastAsia="宋体" w:cs="Times New Roman"/>
                      <w:color w:val="FF0000"/>
                      <w:sz w:val="21"/>
                      <w:szCs w:val="21"/>
                      <w:lang w:eastAsia="zh-CN"/>
                    </w:rPr>
                  </w:pPr>
                  <w:r>
                    <w:rPr>
                      <w:rFonts w:hint="eastAsia" w:ascii="Times New Roman" w:hAnsi="Times New Roman" w:eastAsia="宋体" w:cs="Times New Roman"/>
                      <w:color w:val="FF0000"/>
                      <w:sz w:val="21"/>
                      <w:szCs w:val="21"/>
                      <w:lang w:eastAsia="zh-CN"/>
                    </w:rPr>
                    <w:t>氰化物</w:t>
                  </w:r>
                </w:p>
              </w:tc>
              <w:tc>
                <w:tcPr>
                  <w:tcW w:w="1457" w:type="dxa"/>
                  <w:vAlign w:val="center"/>
                </w:tcPr>
                <w:p w14:paraId="186AFFBB">
                  <w:pPr>
                    <w:pStyle w:val="79"/>
                    <w:spacing w:line="240" w:lineRule="auto"/>
                    <w:jc w:val="center"/>
                    <w:rPr>
                      <w:rFonts w:ascii="Times New Roman" w:hAnsi="Times New Roman" w:eastAsia="宋体" w:cs="Times New Roman"/>
                      <w:color w:val="FF0000"/>
                      <w:sz w:val="21"/>
                      <w:szCs w:val="21"/>
                      <w:lang w:eastAsia="zh-CN"/>
                    </w:rPr>
                  </w:pPr>
                  <w:r>
                    <w:rPr>
                      <w:rFonts w:hint="eastAsia" w:ascii="Times New Roman" w:hAnsi="Times New Roman" w:eastAsia="宋体" w:cs="Times New Roman"/>
                      <w:color w:val="FF0000"/>
                      <w:sz w:val="21"/>
                      <w:szCs w:val="21"/>
                      <w:lang w:val="en-US" w:eastAsia="zh-CN"/>
                    </w:rPr>
                    <w:t>0.004L</w:t>
                  </w:r>
                </w:p>
              </w:tc>
              <w:tc>
                <w:tcPr>
                  <w:tcW w:w="1543" w:type="dxa"/>
                  <w:vAlign w:val="center"/>
                </w:tcPr>
                <w:p w14:paraId="0FFBFED8">
                  <w:pPr>
                    <w:pStyle w:val="79"/>
                    <w:spacing w:line="240" w:lineRule="auto"/>
                    <w:jc w:val="center"/>
                    <w:rPr>
                      <w:rFonts w:ascii="Times New Roman" w:hAnsi="Times New Roman" w:eastAsia="宋体" w:cs="Times New Roman"/>
                      <w:color w:val="FF0000"/>
                      <w:sz w:val="21"/>
                      <w:szCs w:val="21"/>
                      <w:lang w:eastAsia="zh-CN"/>
                    </w:rPr>
                  </w:pPr>
                  <w:r>
                    <w:rPr>
                      <w:rFonts w:hint="eastAsia" w:ascii="Times New Roman" w:hAnsi="Times New Roman" w:eastAsia="宋体" w:cs="Times New Roman"/>
                      <w:color w:val="FF0000"/>
                      <w:sz w:val="21"/>
                      <w:szCs w:val="21"/>
                      <w:lang w:val="en-US" w:eastAsia="zh-CN"/>
                    </w:rPr>
                    <w:t>mg/L</w:t>
                  </w:r>
                </w:p>
              </w:tc>
              <w:tc>
                <w:tcPr>
                  <w:tcW w:w="1319" w:type="pct"/>
                  <w:vAlign w:val="center"/>
                </w:tcPr>
                <w:p w14:paraId="033D2414">
                  <w:pPr>
                    <w:pStyle w:val="79"/>
                    <w:spacing w:line="240" w:lineRule="auto"/>
                    <w:jc w:val="center"/>
                    <w:rPr>
                      <w:rFonts w:ascii="Times New Roman" w:hAnsi="Times New Roman" w:eastAsia="宋体" w:cs="Times New Roman"/>
                      <w:color w:val="FF0000"/>
                      <w:sz w:val="21"/>
                      <w:szCs w:val="21"/>
                      <w:lang w:eastAsia="zh-CN"/>
                    </w:rPr>
                  </w:pPr>
                  <w:r>
                    <w:rPr>
                      <w:rFonts w:ascii="Times New Roman" w:hAnsi="Times New Roman" w:eastAsia="宋体" w:cs="Times New Roman"/>
                      <w:color w:val="FF0000"/>
                      <w:sz w:val="21"/>
                      <w:szCs w:val="21"/>
                      <w:lang w:eastAsia="zh-CN"/>
                    </w:rPr>
                    <w:t>≤0.</w:t>
                  </w:r>
                  <w:r>
                    <w:rPr>
                      <w:rFonts w:hint="eastAsia" w:ascii="Times New Roman" w:hAnsi="Times New Roman" w:eastAsia="宋体" w:cs="Times New Roman"/>
                      <w:color w:val="FF0000"/>
                      <w:sz w:val="21"/>
                      <w:szCs w:val="21"/>
                      <w:lang w:val="en-US" w:eastAsia="zh-CN"/>
                    </w:rPr>
                    <w:t>2</w:t>
                  </w:r>
                </w:p>
              </w:tc>
              <w:tc>
                <w:tcPr>
                  <w:tcW w:w="667" w:type="pct"/>
                  <w:vAlign w:val="center"/>
                </w:tcPr>
                <w:p w14:paraId="70A2F03D">
                  <w:pPr>
                    <w:pStyle w:val="79"/>
                    <w:spacing w:line="240" w:lineRule="auto"/>
                    <w:jc w:val="center"/>
                    <w:rPr>
                      <w:rFonts w:ascii="Times New Roman" w:hAnsi="Times New Roman" w:eastAsia="宋体" w:cs="Times New Roman"/>
                      <w:color w:val="FF0000"/>
                      <w:sz w:val="21"/>
                      <w:szCs w:val="21"/>
                      <w:lang w:eastAsia="zh-CN"/>
                    </w:rPr>
                  </w:pPr>
                  <w:r>
                    <w:rPr>
                      <w:rFonts w:ascii="Times New Roman" w:hAnsi="Times New Roman" w:eastAsia="宋体" w:cs="Times New Roman"/>
                      <w:color w:val="FF0000"/>
                      <w:sz w:val="21"/>
                      <w:szCs w:val="21"/>
                      <w:lang w:eastAsia="zh-CN"/>
                    </w:rPr>
                    <w:t>达标</w:t>
                  </w:r>
                </w:p>
              </w:tc>
            </w:tr>
            <w:tr w14:paraId="3D2A48D3">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133" w:type="pct"/>
                  <w:vAlign w:val="center"/>
                </w:tcPr>
                <w:p w14:paraId="44A68C77">
                  <w:pPr>
                    <w:pStyle w:val="79"/>
                    <w:spacing w:line="240" w:lineRule="auto"/>
                    <w:jc w:val="center"/>
                    <w:rPr>
                      <w:rFonts w:ascii="Times New Roman" w:hAnsi="Times New Roman" w:eastAsia="宋体" w:cs="Times New Roman"/>
                      <w:color w:val="FF0000"/>
                      <w:sz w:val="21"/>
                      <w:szCs w:val="21"/>
                      <w:lang w:eastAsia="zh-CN"/>
                    </w:rPr>
                  </w:pPr>
                  <w:r>
                    <w:rPr>
                      <w:rFonts w:hint="eastAsia" w:ascii="Times New Roman" w:hAnsi="Times New Roman" w:eastAsia="宋体" w:cs="Times New Roman"/>
                      <w:color w:val="FF0000"/>
                      <w:sz w:val="21"/>
                      <w:szCs w:val="21"/>
                      <w:lang w:eastAsia="zh-CN"/>
                    </w:rPr>
                    <w:t>铜</w:t>
                  </w:r>
                </w:p>
              </w:tc>
              <w:tc>
                <w:tcPr>
                  <w:tcW w:w="1457" w:type="dxa"/>
                  <w:vAlign w:val="center"/>
                </w:tcPr>
                <w:p w14:paraId="3D773E8D">
                  <w:pPr>
                    <w:pStyle w:val="79"/>
                    <w:spacing w:line="240" w:lineRule="auto"/>
                    <w:jc w:val="center"/>
                    <w:rPr>
                      <w:rFonts w:ascii="Times New Roman" w:hAnsi="Times New Roman" w:eastAsia="宋体" w:cs="Times New Roman"/>
                      <w:color w:val="FF0000"/>
                      <w:sz w:val="21"/>
                      <w:szCs w:val="21"/>
                      <w:lang w:eastAsia="zh-CN"/>
                    </w:rPr>
                  </w:pPr>
                  <w:r>
                    <w:rPr>
                      <w:rFonts w:hint="eastAsia" w:ascii="Times New Roman" w:hAnsi="Times New Roman" w:eastAsia="宋体" w:cs="Times New Roman"/>
                      <w:color w:val="FF0000"/>
                      <w:sz w:val="21"/>
                      <w:szCs w:val="21"/>
                      <w:lang w:val="en-US" w:eastAsia="zh-CN"/>
                    </w:rPr>
                    <w:t>0.05L</w:t>
                  </w:r>
                </w:p>
              </w:tc>
              <w:tc>
                <w:tcPr>
                  <w:tcW w:w="1543" w:type="dxa"/>
                  <w:vAlign w:val="center"/>
                </w:tcPr>
                <w:p w14:paraId="6FB681D8">
                  <w:pPr>
                    <w:pStyle w:val="79"/>
                    <w:spacing w:line="240" w:lineRule="auto"/>
                    <w:jc w:val="center"/>
                    <w:rPr>
                      <w:rFonts w:ascii="Times New Roman" w:hAnsi="Times New Roman" w:eastAsia="宋体" w:cs="Times New Roman"/>
                      <w:color w:val="FF0000"/>
                      <w:sz w:val="21"/>
                      <w:szCs w:val="21"/>
                      <w:lang w:eastAsia="zh-CN"/>
                    </w:rPr>
                  </w:pPr>
                  <w:r>
                    <w:rPr>
                      <w:rFonts w:hint="eastAsia" w:ascii="Times New Roman" w:hAnsi="Times New Roman" w:eastAsia="宋体" w:cs="Times New Roman"/>
                      <w:color w:val="FF0000"/>
                      <w:sz w:val="21"/>
                      <w:szCs w:val="21"/>
                      <w:lang w:val="en-US" w:eastAsia="zh-CN"/>
                    </w:rPr>
                    <w:t>mg/L</w:t>
                  </w:r>
                </w:p>
              </w:tc>
              <w:tc>
                <w:tcPr>
                  <w:tcW w:w="1319" w:type="pct"/>
                  <w:vAlign w:val="center"/>
                </w:tcPr>
                <w:p w14:paraId="112D7810">
                  <w:pPr>
                    <w:pStyle w:val="79"/>
                    <w:spacing w:line="240" w:lineRule="auto"/>
                    <w:jc w:val="center"/>
                    <w:rPr>
                      <w:rFonts w:ascii="Times New Roman" w:hAnsi="Times New Roman" w:eastAsia="宋体" w:cs="Times New Roman"/>
                      <w:color w:val="FF0000"/>
                      <w:sz w:val="21"/>
                      <w:szCs w:val="21"/>
                      <w:lang w:eastAsia="zh-CN"/>
                    </w:rPr>
                  </w:pPr>
                  <w:r>
                    <w:rPr>
                      <w:rFonts w:ascii="Times New Roman" w:hAnsi="Times New Roman" w:eastAsia="宋体" w:cs="Times New Roman"/>
                      <w:color w:val="FF0000"/>
                      <w:sz w:val="21"/>
                      <w:szCs w:val="21"/>
                      <w:lang w:eastAsia="zh-CN"/>
                    </w:rPr>
                    <w:t>≤</w:t>
                  </w:r>
                  <w:r>
                    <w:rPr>
                      <w:rFonts w:hint="eastAsia" w:ascii="Times New Roman" w:hAnsi="Times New Roman" w:eastAsia="宋体" w:cs="Times New Roman"/>
                      <w:color w:val="FF0000"/>
                      <w:sz w:val="21"/>
                      <w:szCs w:val="21"/>
                      <w:lang w:val="en-US" w:eastAsia="zh-CN"/>
                    </w:rPr>
                    <w:t>1</w:t>
                  </w:r>
                </w:p>
              </w:tc>
              <w:tc>
                <w:tcPr>
                  <w:tcW w:w="667" w:type="pct"/>
                  <w:vAlign w:val="center"/>
                </w:tcPr>
                <w:p w14:paraId="145207FB">
                  <w:pPr>
                    <w:pStyle w:val="79"/>
                    <w:spacing w:line="240" w:lineRule="auto"/>
                    <w:jc w:val="center"/>
                    <w:rPr>
                      <w:rFonts w:ascii="Times New Roman" w:hAnsi="Times New Roman" w:eastAsia="宋体" w:cs="Times New Roman"/>
                      <w:color w:val="FF0000"/>
                      <w:sz w:val="21"/>
                      <w:szCs w:val="21"/>
                      <w:lang w:eastAsia="zh-CN"/>
                    </w:rPr>
                  </w:pPr>
                  <w:r>
                    <w:rPr>
                      <w:rFonts w:ascii="Times New Roman" w:hAnsi="Times New Roman" w:eastAsia="宋体" w:cs="Times New Roman"/>
                      <w:color w:val="FF0000"/>
                      <w:sz w:val="21"/>
                      <w:szCs w:val="21"/>
                      <w:lang w:eastAsia="zh-CN"/>
                    </w:rPr>
                    <w:t>达标</w:t>
                  </w:r>
                </w:p>
              </w:tc>
            </w:tr>
            <w:tr w14:paraId="066887FF">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133" w:type="pct"/>
                  <w:vAlign w:val="center"/>
                </w:tcPr>
                <w:p w14:paraId="6B867E1D">
                  <w:pPr>
                    <w:pStyle w:val="79"/>
                    <w:spacing w:line="240" w:lineRule="auto"/>
                    <w:jc w:val="center"/>
                    <w:rPr>
                      <w:rFonts w:ascii="Times New Roman" w:hAnsi="Times New Roman" w:eastAsia="宋体" w:cs="Times New Roman"/>
                      <w:color w:val="FF0000"/>
                      <w:sz w:val="21"/>
                      <w:szCs w:val="21"/>
                      <w:lang w:eastAsia="zh-CN"/>
                    </w:rPr>
                  </w:pPr>
                  <w:r>
                    <w:rPr>
                      <w:rFonts w:hint="eastAsia" w:ascii="Times New Roman" w:hAnsi="Times New Roman" w:eastAsia="宋体" w:cs="Times New Roman"/>
                      <w:color w:val="FF0000"/>
                      <w:sz w:val="21"/>
                      <w:szCs w:val="21"/>
                      <w:lang w:eastAsia="zh-CN"/>
                    </w:rPr>
                    <w:t>锌</w:t>
                  </w:r>
                </w:p>
              </w:tc>
              <w:tc>
                <w:tcPr>
                  <w:tcW w:w="1457" w:type="dxa"/>
                  <w:vAlign w:val="center"/>
                </w:tcPr>
                <w:p w14:paraId="70F548CF">
                  <w:pPr>
                    <w:pStyle w:val="79"/>
                    <w:spacing w:line="240" w:lineRule="auto"/>
                    <w:jc w:val="center"/>
                    <w:rPr>
                      <w:rFonts w:ascii="Times New Roman" w:hAnsi="Times New Roman" w:eastAsia="宋体" w:cs="Times New Roman"/>
                      <w:color w:val="FF0000"/>
                      <w:sz w:val="21"/>
                      <w:szCs w:val="21"/>
                      <w:lang w:eastAsia="zh-CN"/>
                    </w:rPr>
                  </w:pPr>
                  <w:r>
                    <w:rPr>
                      <w:rFonts w:hint="eastAsia" w:ascii="Times New Roman" w:hAnsi="Times New Roman" w:eastAsia="宋体" w:cs="Times New Roman"/>
                      <w:color w:val="FF0000"/>
                      <w:sz w:val="21"/>
                      <w:szCs w:val="21"/>
                      <w:lang w:val="en-US" w:eastAsia="zh-CN"/>
                    </w:rPr>
                    <w:t>0.05L</w:t>
                  </w:r>
                </w:p>
              </w:tc>
              <w:tc>
                <w:tcPr>
                  <w:tcW w:w="1543" w:type="dxa"/>
                  <w:vAlign w:val="center"/>
                </w:tcPr>
                <w:p w14:paraId="375257E8">
                  <w:pPr>
                    <w:pStyle w:val="79"/>
                    <w:spacing w:line="240" w:lineRule="auto"/>
                    <w:jc w:val="center"/>
                    <w:rPr>
                      <w:rFonts w:ascii="Times New Roman" w:hAnsi="Times New Roman" w:eastAsia="宋体" w:cs="Times New Roman"/>
                      <w:color w:val="FF0000"/>
                      <w:sz w:val="21"/>
                      <w:szCs w:val="21"/>
                      <w:lang w:eastAsia="zh-CN"/>
                    </w:rPr>
                  </w:pPr>
                  <w:r>
                    <w:rPr>
                      <w:rFonts w:hint="eastAsia" w:ascii="Times New Roman" w:hAnsi="Times New Roman" w:eastAsia="宋体" w:cs="Times New Roman"/>
                      <w:color w:val="FF0000"/>
                      <w:sz w:val="21"/>
                      <w:szCs w:val="21"/>
                      <w:lang w:val="en-US" w:eastAsia="zh-CN"/>
                    </w:rPr>
                    <w:t>mg/L</w:t>
                  </w:r>
                </w:p>
              </w:tc>
              <w:tc>
                <w:tcPr>
                  <w:tcW w:w="1319" w:type="pct"/>
                  <w:vAlign w:val="center"/>
                </w:tcPr>
                <w:p w14:paraId="29C206CA">
                  <w:pPr>
                    <w:pStyle w:val="79"/>
                    <w:spacing w:line="240" w:lineRule="auto"/>
                    <w:jc w:val="center"/>
                    <w:rPr>
                      <w:rFonts w:ascii="Times New Roman" w:hAnsi="Times New Roman" w:eastAsia="宋体" w:cs="Times New Roman"/>
                      <w:color w:val="FF0000"/>
                      <w:sz w:val="21"/>
                      <w:szCs w:val="21"/>
                      <w:lang w:eastAsia="zh-CN"/>
                    </w:rPr>
                  </w:pPr>
                  <w:r>
                    <w:rPr>
                      <w:rFonts w:ascii="Times New Roman" w:hAnsi="Times New Roman" w:eastAsia="宋体" w:cs="Times New Roman"/>
                      <w:color w:val="FF0000"/>
                      <w:sz w:val="21"/>
                      <w:szCs w:val="21"/>
                      <w:lang w:eastAsia="zh-CN"/>
                    </w:rPr>
                    <w:t>≤</w:t>
                  </w:r>
                  <w:r>
                    <w:rPr>
                      <w:rFonts w:hint="eastAsia" w:ascii="Times New Roman" w:hAnsi="Times New Roman" w:eastAsia="宋体" w:cs="Times New Roman"/>
                      <w:color w:val="FF0000"/>
                      <w:sz w:val="21"/>
                      <w:szCs w:val="21"/>
                      <w:lang w:val="en-US" w:eastAsia="zh-CN"/>
                    </w:rPr>
                    <w:t>1</w:t>
                  </w:r>
                </w:p>
              </w:tc>
              <w:tc>
                <w:tcPr>
                  <w:tcW w:w="667" w:type="pct"/>
                  <w:vAlign w:val="center"/>
                </w:tcPr>
                <w:p w14:paraId="0F598D07">
                  <w:pPr>
                    <w:pStyle w:val="79"/>
                    <w:spacing w:line="240" w:lineRule="auto"/>
                    <w:jc w:val="center"/>
                    <w:rPr>
                      <w:rFonts w:ascii="Times New Roman" w:hAnsi="Times New Roman" w:eastAsia="宋体" w:cs="Times New Roman"/>
                      <w:color w:val="FF0000"/>
                      <w:sz w:val="21"/>
                      <w:szCs w:val="21"/>
                      <w:lang w:eastAsia="zh-CN"/>
                    </w:rPr>
                  </w:pPr>
                  <w:r>
                    <w:rPr>
                      <w:rFonts w:ascii="Times New Roman" w:hAnsi="Times New Roman" w:eastAsia="宋体" w:cs="Times New Roman"/>
                      <w:color w:val="FF0000"/>
                      <w:sz w:val="21"/>
                      <w:szCs w:val="21"/>
                      <w:lang w:eastAsia="zh-CN"/>
                    </w:rPr>
                    <w:t>达标</w:t>
                  </w:r>
                </w:p>
              </w:tc>
            </w:tr>
            <w:tr w14:paraId="3DC81EEC">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133" w:type="pct"/>
                  <w:vAlign w:val="center"/>
                </w:tcPr>
                <w:p w14:paraId="2CE7FD85">
                  <w:pPr>
                    <w:pStyle w:val="79"/>
                    <w:spacing w:line="240" w:lineRule="auto"/>
                    <w:jc w:val="center"/>
                    <w:rPr>
                      <w:rFonts w:ascii="Times New Roman" w:hAnsi="Times New Roman" w:eastAsia="宋体" w:cs="Times New Roman"/>
                      <w:color w:val="FF0000"/>
                      <w:sz w:val="21"/>
                      <w:szCs w:val="21"/>
                      <w:lang w:eastAsia="zh-CN"/>
                    </w:rPr>
                  </w:pPr>
                  <w:r>
                    <w:rPr>
                      <w:rFonts w:hint="eastAsia" w:ascii="Times New Roman" w:hAnsi="Times New Roman" w:eastAsia="宋体" w:cs="Times New Roman"/>
                      <w:color w:val="FF0000"/>
                      <w:sz w:val="21"/>
                      <w:szCs w:val="21"/>
                      <w:lang w:eastAsia="zh-CN"/>
                    </w:rPr>
                    <w:t>铅</w:t>
                  </w:r>
                </w:p>
              </w:tc>
              <w:tc>
                <w:tcPr>
                  <w:tcW w:w="1457" w:type="dxa"/>
                  <w:vAlign w:val="center"/>
                </w:tcPr>
                <w:p w14:paraId="089ED5F0">
                  <w:pPr>
                    <w:pStyle w:val="79"/>
                    <w:spacing w:line="240" w:lineRule="auto"/>
                    <w:jc w:val="center"/>
                    <w:rPr>
                      <w:rFonts w:ascii="Times New Roman" w:hAnsi="Times New Roman" w:eastAsia="宋体" w:cs="Times New Roman"/>
                      <w:color w:val="FF0000"/>
                      <w:sz w:val="21"/>
                      <w:szCs w:val="21"/>
                      <w:lang w:eastAsia="zh-CN"/>
                    </w:rPr>
                  </w:pPr>
                  <w:r>
                    <w:rPr>
                      <w:rFonts w:hint="eastAsia" w:ascii="Times New Roman" w:hAnsi="Times New Roman" w:eastAsia="宋体" w:cs="Times New Roman"/>
                      <w:color w:val="FF0000"/>
                      <w:sz w:val="21"/>
                      <w:szCs w:val="21"/>
                      <w:lang w:val="en-US" w:eastAsia="zh-CN"/>
                    </w:rPr>
                    <w:t>2.5L</w:t>
                  </w:r>
                </w:p>
              </w:tc>
              <w:tc>
                <w:tcPr>
                  <w:tcW w:w="1543" w:type="dxa"/>
                  <w:vAlign w:val="center"/>
                </w:tcPr>
                <w:p w14:paraId="3227B741">
                  <w:pPr>
                    <w:pStyle w:val="79"/>
                    <w:spacing w:line="240" w:lineRule="auto"/>
                    <w:jc w:val="center"/>
                    <w:rPr>
                      <w:rFonts w:ascii="Times New Roman" w:hAnsi="Times New Roman" w:eastAsia="宋体" w:cs="Times New Roman"/>
                      <w:color w:val="FF0000"/>
                      <w:sz w:val="21"/>
                      <w:szCs w:val="21"/>
                      <w:lang w:eastAsia="zh-CN"/>
                    </w:rPr>
                  </w:pPr>
                  <w:r>
                    <w:rPr>
                      <w:rFonts w:hint="default" w:ascii="Times New Roman" w:hAnsi="Times New Roman" w:eastAsia="宋体" w:cs="Times New Roman"/>
                      <w:color w:val="FF0000"/>
                      <w:sz w:val="21"/>
                      <w:szCs w:val="21"/>
                      <w:lang w:val="en-US" w:eastAsia="zh-CN"/>
                    </w:rPr>
                    <w:t>μg/L</w:t>
                  </w:r>
                </w:p>
              </w:tc>
              <w:tc>
                <w:tcPr>
                  <w:tcW w:w="1319" w:type="pct"/>
                  <w:vAlign w:val="center"/>
                </w:tcPr>
                <w:p w14:paraId="0DB5C9F1">
                  <w:pPr>
                    <w:pStyle w:val="79"/>
                    <w:spacing w:line="240" w:lineRule="auto"/>
                    <w:jc w:val="center"/>
                    <w:rPr>
                      <w:rFonts w:hint="default" w:ascii="Times New Roman" w:hAnsi="Times New Roman" w:eastAsia="宋体" w:cs="Times New Roman"/>
                      <w:color w:val="FF0000"/>
                      <w:sz w:val="21"/>
                      <w:szCs w:val="21"/>
                      <w:lang w:val="en-US" w:eastAsia="zh-CN"/>
                    </w:rPr>
                  </w:pPr>
                  <w:r>
                    <w:rPr>
                      <w:rFonts w:ascii="Times New Roman" w:hAnsi="Times New Roman" w:eastAsia="宋体" w:cs="Times New Roman"/>
                      <w:color w:val="FF0000"/>
                      <w:sz w:val="21"/>
                      <w:szCs w:val="21"/>
                      <w:lang w:eastAsia="zh-CN"/>
                    </w:rPr>
                    <w:t>≤</w:t>
                  </w:r>
                  <w:r>
                    <w:rPr>
                      <w:rFonts w:hint="eastAsia" w:ascii="Times New Roman" w:hAnsi="Times New Roman" w:eastAsia="宋体" w:cs="Times New Roman"/>
                      <w:color w:val="FF0000"/>
                      <w:sz w:val="21"/>
                      <w:szCs w:val="21"/>
                      <w:lang w:val="en-US" w:eastAsia="zh-CN"/>
                    </w:rPr>
                    <w:t>50</w:t>
                  </w:r>
                </w:p>
              </w:tc>
              <w:tc>
                <w:tcPr>
                  <w:tcW w:w="667" w:type="pct"/>
                  <w:vAlign w:val="center"/>
                </w:tcPr>
                <w:p w14:paraId="498A1257">
                  <w:pPr>
                    <w:pStyle w:val="79"/>
                    <w:spacing w:line="240" w:lineRule="auto"/>
                    <w:jc w:val="center"/>
                    <w:rPr>
                      <w:rFonts w:ascii="Times New Roman" w:hAnsi="Times New Roman" w:eastAsia="宋体" w:cs="Times New Roman"/>
                      <w:color w:val="FF0000"/>
                      <w:sz w:val="21"/>
                      <w:szCs w:val="21"/>
                      <w:lang w:eastAsia="zh-CN"/>
                    </w:rPr>
                  </w:pPr>
                  <w:r>
                    <w:rPr>
                      <w:rFonts w:ascii="Times New Roman" w:hAnsi="Times New Roman" w:eastAsia="宋体" w:cs="Times New Roman"/>
                      <w:color w:val="FF0000"/>
                      <w:sz w:val="21"/>
                      <w:szCs w:val="21"/>
                      <w:lang w:eastAsia="zh-CN"/>
                    </w:rPr>
                    <w:t>达标</w:t>
                  </w:r>
                </w:p>
              </w:tc>
            </w:tr>
            <w:tr w14:paraId="0875BC86">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PrEx>
              <w:tc>
                <w:tcPr>
                  <w:tcW w:w="1133" w:type="pct"/>
                  <w:vAlign w:val="center"/>
                </w:tcPr>
                <w:p w14:paraId="4DF982A4">
                  <w:pPr>
                    <w:pStyle w:val="79"/>
                    <w:spacing w:line="240" w:lineRule="auto"/>
                    <w:jc w:val="center"/>
                    <w:rPr>
                      <w:rFonts w:ascii="Times New Roman" w:hAnsi="Times New Roman" w:eastAsia="宋体" w:cs="Times New Roman"/>
                      <w:color w:val="FF0000"/>
                      <w:sz w:val="21"/>
                      <w:szCs w:val="21"/>
                      <w:lang w:eastAsia="zh-CN"/>
                    </w:rPr>
                  </w:pPr>
                  <w:r>
                    <w:rPr>
                      <w:rFonts w:hint="eastAsia" w:ascii="Times New Roman" w:hAnsi="Times New Roman" w:eastAsia="宋体" w:cs="Times New Roman"/>
                      <w:color w:val="FF0000"/>
                      <w:sz w:val="21"/>
                      <w:szCs w:val="21"/>
                      <w:lang w:eastAsia="zh-CN"/>
                    </w:rPr>
                    <w:t>镉</w:t>
                  </w:r>
                </w:p>
              </w:tc>
              <w:tc>
                <w:tcPr>
                  <w:tcW w:w="1457" w:type="dxa"/>
                  <w:vAlign w:val="center"/>
                </w:tcPr>
                <w:p w14:paraId="22BD1E68">
                  <w:pPr>
                    <w:pStyle w:val="79"/>
                    <w:spacing w:line="240" w:lineRule="auto"/>
                    <w:jc w:val="center"/>
                    <w:rPr>
                      <w:rFonts w:ascii="Times New Roman" w:hAnsi="Times New Roman" w:eastAsia="宋体" w:cs="Times New Roman"/>
                      <w:color w:val="FF0000"/>
                      <w:sz w:val="21"/>
                      <w:szCs w:val="21"/>
                      <w:lang w:eastAsia="zh-CN"/>
                    </w:rPr>
                  </w:pPr>
                  <w:r>
                    <w:rPr>
                      <w:rFonts w:hint="eastAsia" w:ascii="Times New Roman" w:hAnsi="Times New Roman" w:eastAsia="宋体" w:cs="Times New Roman"/>
                      <w:color w:val="FF0000"/>
                      <w:sz w:val="21"/>
                      <w:szCs w:val="21"/>
                      <w:lang w:val="en-US" w:eastAsia="zh-CN"/>
                    </w:rPr>
                    <w:t>0.5L</w:t>
                  </w:r>
                </w:p>
              </w:tc>
              <w:tc>
                <w:tcPr>
                  <w:tcW w:w="1543" w:type="dxa"/>
                  <w:vAlign w:val="center"/>
                </w:tcPr>
                <w:p w14:paraId="6B0AAAFD">
                  <w:pPr>
                    <w:pStyle w:val="79"/>
                    <w:spacing w:line="240" w:lineRule="auto"/>
                    <w:jc w:val="center"/>
                    <w:rPr>
                      <w:rFonts w:ascii="Times New Roman" w:hAnsi="Times New Roman" w:eastAsia="宋体" w:cs="Times New Roman"/>
                      <w:color w:val="FF0000"/>
                      <w:sz w:val="21"/>
                      <w:szCs w:val="21"/>
                      <w:lang w:eastAsia="zh-CN"/>
                    </w:rPr>
                  </w:pPr>
                  <w:r>
                    <w:rPr>
                      <w:rFonts w:hint="default" w:ascii="Times New Roman" w:hAnsi="Times New Roman" w:eastAsia="宋体" w:cs="Times New Roman"/>
                      <w:color w:val="FF0000"/>
                      <w:sz w:val="21"/>
                      <w:szCs w:val="21"/>
                      <w:lang w:val="en-US" w:eastAsia="zh-CN"/>
                    </w:rPr>
                    <w:t>μg/L</w:t>
                  </w:r>
                </w:p>
              </w:tc>
              <w:tc>
                <w:tcPr>
                  <w:tcW w:w="1319" w:type="pct"/>
                  <w:vAlign w:val="center"/>
                </w:tcPr>
                <w:p w14:paraId="59B33E84">
                  <w:pPr>
                    <w:pStyle w:val="79"/>
                    <w:spacing w:line="240" w:lineRule="auto"/>
                    <w:jc w:val="center"/>
                    <w:rPr>
                      <w:rFonts w:ascii="Times New Roman" w:hAnsi="Times New Roman" w:eastAsia="宋体" w:cs="Times New Roman"/>
                      <w:color w:val="FF0000"/>
                      <w:sz w:val="21"/>
                      <w:szCs w:val="21"/>
                      <w:lang w:eastAsia="zh-CN"/>
                    </w:rPr>
                  </w:pPr>
                  <w:r>
                    <w:rPr>
                      <w:rFonts w:ascii="Times New Roman" w:hAnsi="Times New Roman" w:eastAsia="宋体" w:cs="Times New Roman"/>
                      <w:color w:val="FF0000"/>
                      <w:sz w:val="21"/>
                      <w:szCs w:val="21"/>
                      <w:lang w:eastAsia="zh-CN"/>
                    </w:rPr>
                    <w:t>≤</w:t>
                  </w:r>
                  <w:r>
                    <w:rPr>
                      <w:rFonts w:hint="eastAsia" w:ascii="Times New Roman" w:hAnsi="Times New Roman" w:eastAsia="宋体" w:cs="Times New Roman"/>
                      <w:color w:val="FF0000"/>
                      <w:sz w:val="21"/>
                      <w:szCs w:val="21"/>
                      <w:lang w:val="en-US" w:eastAsia="zh-CN"/>
                    </w:rPr>
                    <w:t>5</w:t>
                  </w:r>
                </w:p>
              </w:tc>
              <w:tc>
                <w:tcPr>
                  <w:tcW w:w="667" w:type="pct"/>
                  <w:vAlign w:val="center"/>
                </w:tcPr>
                <w:p w14:paraId="33CCE712">
                  <w:pPr>
                    <w:pStyle w:val="79"/>
                    <w:spacing w:line="240" w:lineRule="auto"/>
                    <w:jc w:val="center"/>
                    <w:rPr>
                      <w:rFonts w:ascii="Times New Roman" w:hAnsi="Times New Roman" w:eastAsia="宋体" w:cs="Times New Roman"/>
                      <w:color w:val="FF0000"/>
                      <w:sz w:val="21"/>
                      <w:szCs w:val="21"/>
                      <w:lang w:eastAsia="zh-CN"/>
                    </w:rPr>
                  </w:pPr>
                  <w:r>
                    <w:rPr>
                      <w:rFonts w:ascii="Times New Roman" w:hAnsi="Times New Roman" w:eastAsia="宋体" w:cs="Times New Roman"/>
                      <w:color w:val="FF0000"/>
                      <w:sz w:val="21"/>
                      <w:szCs w:val="21"/>
                      <w:lang w:eastAsia="zh-CN"/>
                    </w:rPr>
                    <w:t>达标</w:t>
                  </w:r>
                </w:p>
              </w:tc>
            </w:tr>
            <w:tr w14:paraId="756ED1B4">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133" w:type="pct"/>
                  <w:vAlign w:val="center"/>
                </w:tcPr>
                <w:p w14:paraId="17A0A774">
                  <w:pPr>
                    <w:pStyle w:val="79"/>
                    <w:spacing w:line="240" w:lineRule="auto"/>
                    <w:jc w:val="center"/>
                    <w:rPr>
                      <w:rFonts w:ascii="Times New Roman" w:hAnsi="Times New Roman" w:eastAsia="宋体" w:cs="Times New Roman"/>
                      <w:color w:val="FF0000"/>
                      <w:sz w:val="21"/>
                      <w:szCs w:val="21"/>
                      <w:lang w:eastAsia="zh-CN"/>
                    </w:rPr>
                  </w:pPr>
                  <w:r>
                    <w:rPr>
                      <w:rFonts w:hint="eastAsia" w:ascii="Times New Roman" w:hAnsi="Times New Roman" w:eastAsia="宋体" w:cs="Times New Roman"/>
                      <w:color w:val="FF0000"/>
                      <w:sz w:val="21"/>
                      <w:szCs w:val="21"/>
                      <w:lang w:eastAsia="zh-CN"/>
                    </w:rPr>
                    <w:t>氟化物</w:t>
                  </w:r>
                </w:p>
              </w:tc>
              <w:tc>
                <w:tcPr>
                  <w:tcW w:w="1457" w:type="dxa"/>
                  <w:vAlign w:val="center"/>
                </w:tcPr>
                <w:p w14:paraId="29726196">
                  <w:pPr>
                    <w:pStyle w:val="79"/>
                    <w:spacing w:line="240" w:lineRule="auto"/>
                    <w:jc w:val="center"/>
                    <w:rPr>
                      <w:rFonts w:ascii="Times New Roman" w:hAnsi="Times New Roman" w:eastAsia="宋体" w:cs="Times New Roman"/>
                      <w:color w:val="FF0000"/>
                      <w:sz w:val="21"/>
                      <w:szCs w:val="21"/>
                      <w:lang w:eastAsia="zh-CN"/>
                    </w:rPr>
                  </w:pPr>
                  <w:r>
                    <w:rPr>
                      <w:rFonts w:hint="eastAsia" w:ascii="Times New Roman" w:hAnsi="Times New Roman" w:eastAsia="宋体" w:cs="Times New Roman"/>
                      <w:color w:val="FF0000"/>
                      <w:sz w:val="21"/>
                      <w:szCs w:val="21"/>
                      <w:lang w:val="en-US" w:eastAsia="zh-CN"/>
                    </w:rPr>
                    <w:t>0.82</w:t>
                  </w:r>
                </w:p>
              </w:tc>
              <w:tc>
                <w:tcPr>
                  <w:tcW w:w="1543" w:type="dxa"/>
                  <w:vAlign w:val="center"/>
                </w:tcPr>
                <w:p w14:paraId="0EAC1BCB">
                  <w:pPr>
                    <w:pStyle w:val="79"/>
                    <w:spacing w:line="240" w:lineRule="auto"/>
                    <w:jc w:val="center"/>
                    <w:rPr>
                      <w:rFonts w:ascii="Times New Roman" w:hAnsi="Times New Roman" w:eastAsia="宋体" w:cs="Times New Roman"/>
                      <w:color w:val="FF0000"/>
                      <w:sz w:val="21"/>
                      <w:szCs w:val="21"/>
                      <w:lang w:eastAsia="zh-CN"/>
                    </w:rPr>
                  </w:pPr>
                  <w:r>
                    <w:rPr>
                      <w:rFonts w:hint="eastAsia" w:ascii="Times New Roman" w:hAnsi="Times New Roman" w:eastAsia="宋体" w:cs="Times New Roman"/>
                      <w:color w:val="FF0000"/>
                      <w:sz w:val="21"/>
                      <w:szCs w:val="21"/>
                      <w:lang w:val="en-US" w:eastAsia="zh-CN"/>
                    </w:rPr>
                    <w:t>mg/L</w:t>
                  </w:r>
                </w:p>
              </w:tc>
              <w:tc>
                <w:tcPr>
                  <w:tcW w:w="1319" w:type="pct"/>
                  <w:vAlign w:val="center"/>
                </w:tcPr>
                <w:p w14:paraId="16E3FFAE">
                  <w:pPr>
                    <w:pStyle w:val="79"/>
                    <w:spacing w:line="240" w:lineRule="auto"/>
                    <w:jc w:val="center"/>
                    <w:rPr>
                      <w:rFonts w:ascii="Times New Roman" w:hAnsi="Times New Roman" w:eastAsia="宋体" w:cs="Times New Roman"/>
                      <w:color w:val="FF0000"/>
                      <w:sz w:val="21"/>
                      <w:szCs w:val="21"/>
                      <w:lang w:eastAsia="zh-CN"/>
                    </w:rPr>
                  </w:pPr>
                  <w:r>
                    <w:rPr>
                      <w:rFonts w:ascii="Times New Roman" w:hAnsi="Times New Roman" w:eastAsia="宋体" w:cs="Times New Roman"/>
                      <w:color w:val="FF0000"/>
                      <w:sz w:val="21"/>
                      <w:szCs w:val="21"/>
                      <w:lang w:eastAsia="zh-CN"/>
                    </w:rPr>
                    <w:t>≤</w:t>
                  </w:r>
                  <w:r>
                    <w:rPr>
                      <w:rFonts w:hint="eastAsia" w:ascii="Times New Roman" w:hAnsi="Times New Roman" w:eastAsia="宋体" w:cs="Times New Roman"/>
                      <w:color w:val="FF0000"/>
                      <w:sz w:val="21"/>
                      <w:szCs w:val="21"/>
                      <w:lang w:val="en-US" w:eastAsia="zh-CN"/>
                    </w:rPr>
                    <w:t>1</w:t>
                  </w:r>
                </w:p>
              </w:tc>
              <w:tc>
                <w:tcPr>
                  <w:tcW w:w="667" w:type="pct"/>
                  <w:vAlign w:val="center"/>
                </w:tcPr>
                <w:p w14:paraId="4BD598D2">
                  <w:pPr>
                    <w:pStyle w:val="79"/>
                    <w:spacing w:line="240" w:lineRule="auto"/>
                    <w:jc w:val="center"/>
                    <w:rPr>
                      <w:rFonts w:ascii="Times New Roman" w:hAnsi="Times New Roman" w:eastAsia="宋体" w:cs="Times New Roman"/>
                      <w:color w:val="FF0000"/>
                      <w:sz w:val="21"/>
                      <w:szCs w:val="21"/>
                      <w:lang w:eastAsia="zh-CN"/>
                    </w:rPr>
                  </w:pPr>
                  <w:r>
                    <w:rPr>
                      <w:rFonts w:ascii="Times New Roman" w:hAnsi="Times New Roman" w:eastAsia="宋体" w:cs="Times New Roman"/>
                      <w:color w:val="FF0000"/>
                      <w:sz w:val="21"/>
                      <w:szCs w:val="21"/>
                      <w:lang w:eastAsia="zh-CN"/>
                    </w:rPr>
                    <w:t>达标</w:t>
                  </w:r>
                </w:p>
              </w:tc>
            </w:tr>
            <w:tr w14:paraId="5B5D02D7">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133" w:type="pct"/>
                  <w:vAlign w:val="center"/>
                </w:tcPr>
                <w:p w14:paraId="32998520">
                  <w:pPr>
                    <w:pStyle w:val="79"/>
                    <w:spacing w:line="240" w:lineRule="auto"/>
                    <w:jc w:val="center"/>
                    <w:rPr>
                      <w:rFonts w:ascii="Times New Roman" w:hAnsi="Times New Roman" w:eastAsia="宋体" w:cs="Times New Roman"/>
                      <w:color w:val="FF0000"/>
                      <w:sz w:val="21"/>
                      <w:szCs w:val="21"/>
                      <w:lang w:eastAsia="zh-CN"/>
                    </w:rPr>
                  </w:pPr>
                  <w:r>
                    <w:rPr>
                      <w:rFonts w:hint="eastAsia" w:ascii="Times New Roman" w:hAnsi="Times New Roman" w:eastAsia="宋体" w:cs="Times New Roman"/>
                      <w:color w:val="FF0000"/>
                      <w:sz w:val="21"/>
                      <w:szCs w:val="21"/>
                      <w:lang w:eastAsia="zh-CN"/>
                    </w:rPr>
                    <w:t>挥发酚</w:t>
                  </w:r>
                </w:p>
              </w:tc>
              <w:tc>
                <w:tcPr>
                  <w:tcW w:w="1457" w:type="dxa"/>
                  <w:vAlign w:val="center"/>
                </w:tcPr>
                <w:p w14:paraId="4631C92C">
                  <w:pPr>
                    <w:pStyle w:val="79"/>
                    <w:spacing w:line="240" w:lineRule="auto"/>
                    <w:jc w:val="center"/>
                    <w:rPr>
                      <w:rFonts w:ascii="Times New Roman" w:hAnsi="Times New Roman" w:eastAsia="宋体" w:cs="Times New Roman"/>
                      <w:color w:val="FF0000"/>
                      <w:sz w:val="21"/>
                      <w:szCs w:val="21"/>
                      <w:lang w:eastAsia="zh-CN"/>
                    </w:rPr>
                  </w:pPr>
                  <w:r>
                    <w:rPr>
                      <w:rFonts w:hint="eastAsia" w:ascii="Times New Roman" w:hAnsi="Times New Roman" w:eastAsia="宋体" w:cs="Times New Roman"/>
                      <w:color w:val="FF0000"/>
                      <w:sz w:val="21"/>
                      <w:szCs w:val="21"/>
                      <w:lang w:val="en-US" w:eastAsia="zh-CN"/>
                    </w:rPr>
                    <w:t>0.0012</w:t>
                  </w:r>
                </w:p>
              </w:tc>
              <w:tc>
                <w:tcPr>
                  <w:tcW w:w="1543" w:type="dxa"/>
                  <w:vAlign w:val="center"/>
                </w:tcPr>
                <w:p w14:paraId="2E1BFADB">
                  <w:pPr>
                    <w:pStyle w:val="79"/>
                    <w:spacing w:line="240" w:lineRule="auto"/>
                    <w:jc w:val="center"/>
                    <w:rPr>
                      <w:rFonts w:ascii="Times New Roman" w:hAnsi="Times New Roman" w:eastAsia="宋体" w:cs="Times New Roman"/>
                      <w:color w:val="FF0000"/>
                      <w:sz w:val="21"/>
                      <w:szCs w:val="21"/>
                      <w:lang w:eastAsia="zh-CN"/>
                    </w:rPr>
                  </w:pPr>
                  <w:r>
                    <w:rPr>
                      <w:rFonts w:hint="eastAsia" w:ascii="Times New Roman" w:hAnsi="Times New Roman" w:eastAsia="宋体" w:cs="Times New Roman"/>
                      <w:color w:val="FF0000"/>
                      <w:sz w:val="21"/>
                      <w:szCs w:val="21"/>
                      <w:lang w:val="en-US" w:eastAsia="zh-CN"/>
                    </w:rPr>
                    <w:t>mg/L</w:t>
                  </w:r>
                </w:p>
              </w:tc>
              <w:tc>
                <w:tcPr>
                  <w:tcW w:w="1319" w:type="pct"/>
                  <w:vAlign w:val="center"/>
                </w:tcPr>
                <w:p w14:paraId="60A61E17">
                  <w:pPr>
                    <w:pStyle w:val="79"/>
                    <w:spacing w:line="240" w:lineRule="auto"/>
                    <w:jc w:val="center"/>
                    <w:rPr>
                      <w:rFonts w:hint="default" w:ascii="Times New Roman" w:hAnsi="Times New Roman" w:eastAsia="宋体" w:cs="Times New Roman"/>
                      <w:color w:val="FF0000"/>
                      <w:sz w:val="21"/>
                      <w:szCs w:val="21"/>
                      <w:lang w:val="en-US" w:eastAsia="zh-CN"/>
                    </w:rPr>
                  </w:pPr>
                  <w:r>
                    <w:rPr>
                      <w:rFonts w:ascii="Times New Roman" w:hAnsi="Times New Roman" w:eastAsia="宋体" w:cs="Times New Roman"/>
                      <w:color w:val="FF0000"/>
                      <w:sz w:val="21"/>
                      <w:szCs w:val="21"/>
                      <w:lang w:eastAsia="zh-CN"/>
                    </w:rPr>
                    <w:t>≤0.</w:t>
                  </w:r>
                  <w:r>
                    <w:rPr>
                      <w:rFonts w:hint="eastAsia" w:ascii="Times New Roman" w:hAnsi="Times New Roman" w:eastAsia="宋体" w:cs="Times New Roman"/>
                      <w:color w:val="FF0000"/>
                      <w:sz w:val="21"/>
                      <w:szCs w:val="21"/>
                      <w:lang w:val="en-US" w:eastAsia="zh-CN"/>
                    </w:rPr>
                    <w:t>005</w:t>
                  </w:r>
                </w:p>
              </w:tc>
              <w:tc>
                <w:tcPr>
                  <w:tcW w:w="667" w:type="pct"/>
                  <w:vAlign w:val="center"/>
                </w:tcPr>
                <w:p w14:paraId="5E9E2959">
                  <w:pPr>
                    <w:pStyle w:val="79"/>
                    <w:spacing w:line="240" w:lineRule="auto"/>
                    <w:jc w:val="center"/>
                    <w:rPr>
                      <w:rFonts w:ascii="Times New Roman" w:hAnsi="Times New Roman" w:eastAsia="宋体" w:cs="Times New Roman"/>
                      <w:color w:val="FF0000"/>
                      <w:sz w:val="21"/>
                      <w:szCs w:val="21"/>
                      <w:lang w:eastAsia="zh-CN"/>
                    </w:rPr>
                  </w:pPr>
                  <w:r>
                    <w:rPr>
                      <w:rFonts w:ascii="Times New Roman" w:hAnsi="Times New Roman" w:eastAsia="宋体" w:cs="Times New Roman"/>
                      <w:color w:val="FF0000"/>
                      <w:sz w:val="21"/>
                      <w:szCs w:val="21"/>
                      <w:lang w:eastAsia="zh-CN"/>
                    </w:rPr>
                    <w:t>达标</w:t>
                  </w:r>
                </w:p>
              </w:tc>
            </w:tr>
            <w:tr w14:paraId="1CB0EE2F">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133" w:type="pct"/>
                  <w:vAlign w:val="center"/>
                </w:tcPr>
                <w:p w14:paraId="6F4DB1DD">
                  <w:pPr>
                    <w:pStyle w:val="79"/>
                    <w:spacing w:line="240" w:lineRule="auto"/>
                    <w:jc w:val="center"/>
                    <w:rPr>
                      <w:rFonts w:ascii="Times New Roman" w:hAnsi="Times New Roman" w:eastAsia="宋体" w:cs="Times New Roman"/>
                      <w:color w:val="FF0000"/>
                      <w:sz w:val="21"/>
                      <w:szCs w:val="21"/>
                      <w:lang w:eastAsia="zh-CN"/>
                    </w:rPr>
                  </w:pPr>
                  <w:r>
                    <w:rPr>
                      <w:rFonts w:hint="default" w:ascii="Times New Roman" w:hAnsi="Times New Roman" w:eastAsia="宋体" w:cs="Times New Roman"/>
                      <w:color w:val="FF0000"/>
                      <w:sz w:val="21"/>
                      <w:szCs w:val="21"/>
                      <w:lang w:eastAsia="zh-CN"/>
                    </w:rPr>
                    <w:t>阴离子表面活性剂</w:t>
                  </w:r>
                </w:p>
              </w:tc>
              <w:tc>
                <w:tcPr>
                  <w:tcW w:w="1457" w:type="dxa"/>
                  <w:vAlign w:val="center"/>
                </w:tcPr>
                <w:p w14:paraId="297B741B">
                  <w:pPr>
                    <w:pStyle w:val="79"/>
                    <w:spacing w:line="240" w:lineRule="auto"/>
                    <w:jc w:val="center"/>
                    <w:rPr>
                      <w:rFonts w:ascii="Times New Roman" w:hAnsi="Times New Roman" w:eastAsia="宋体" w:cs="Times New Roman"/>
                      <w:color w:val="FF0000"/>
                      <w:sz w:val="21"/>
                      <w:szCs w:val="21"/>
                      <w:lang w:eastAsia="zh-CN"/>
                    </w:rPr>
                  </w:pPr>
                  <w:r>
                    <w:rPr>
                      <w:rFonts w:hint="eastAsia" w:ascii="Times New Roman" w:hAnsi="Times New Roman" w:eastAsia="宋体" w:cs="Times New Roman"/>
                      <w:color w:val="FF0000"/>
                      <w:sz w:val="21"/>
                      <w:szCs w:val="21"/>
                      <w:lang w:val="en-US" w:eastAsia="zh-CN"/>
                    </w:rPr>
                    <w:t>0.05L</w:t>
                  </w:r>
                </w:p>
              </w:tc>
              <w:tc>
                <w:tcPr>
                  <w:tcW w:w="1543" w:type="dxa"/>
                  <w:vAlign w:val="center"/>
                </w:tcPr>
                <w:p w14:paraId="271AA597">
                  <w:pPr>
                    <w:pStyle w:val="79"/>
                    <w:spacing w:line="240" w:lineRule="auto"/>
                    <w:jc w:val="center"/>
                    <w:rPr>
                      <w:rFonts w:ascii="Times New Roman" w:hAnsi="Times New Roman" w:eastAsia="宋体" w:cs="Times New Roman"/>
                      <w:color w:val="FF0000"/>
                      <w:sz w:val="21"/>
                      <w:szCs w:val="21"/>
                      <w:lang w:eastAsia="zh-CN"/>
                    </w:rPr>
                  </w:pPr>
                  <w:r>
                    <w:rPr>
                      <w:rFonts w:hint="eastAsia" w:ascii="Times New Roman" w:hAnsi="Times New Roman" w:eastAsia="宋体" w:cs="Times New Roman"/>
                      <w:color w:val="FF0000"/>
                      <w:sz w:val="21"/>
                      <w:szCs w:val="21"/>
                      <w:lang w:val="en-US" w:eastAsia="zh-CN"/>
                    </w:rPr>
                    <w:t>mg/L</w:t>
                  </w:r>
                </w:p>
              </w:tc>
              <w:tc>
                <w:tcPr>
                  <w:tcW w:w="1319" w:type="pct"/>
                  <w:vAlign w:val="center"/>
                </w:tcPr>
                <w:p w14:paraId="6EE7ED9D">
                  <w:pPr>
                    <w:pStyle w:val="79"/>
                    <w:spacing w:line="240" w:lineRule="auto"/>
                    <w:jc w:val="center"/>
                    <w:rPr>
                      <w:rFonts w:ascii="Times New Roman" w:hAnsi="Times New Roman" w:eastAsia="宋体" w:cs="Times New Roman"/>
                      <w:color w:val="FF0000"/>
                      <w:sz w:val="21"/>
                      <w:szCs w:val="21"/>
                      <w:lang w:eastAsia="zh-CN"/>
                    </w:rPr>
                  </w:pPr>
                  <w:r>
                    <w:rPr>
                      <w:rFonts w:ascii="Times New Roman" w:hAnsi="Times New Roman" w:eastAsia="宋体" w:cs="Times New Roman"/>
                      <w:color w:val="FF0000"/>
                      <w:sz w:val="21"/>
                      <w:szCs w:val="21"/>
                      <w:lang w:eastAsia="zh-CN"/>
                    </w:rPr>
                    <w:t>≤0.</w:t>
                  </w:r>
                  <w:r>
                    <w:rPr>
                      <w:rFonts w:hint="eastAsia" w:ascii="Times New Roman" w:hAnsi="Times New Roman" w:eastAsia="宋体" w:cs="Times New Roman"/>
                      <w:color w:val="FF0000"/>
                      <w:sz w:val="21"/>
                      <w:szCs w:val="21"/>
                      <w:lang w:val="en-US" w:eastAsia="zh-CN"/>
                    </w:rPr>
                    <w:t>2</w:t>
                  </w:r>
                </w:p>
              </w:tc>
              <w:tc>
                <w:tcPr>
                  <w:tcW w:w="667" w:type="pct"/>
                  <w:vAlign w:val="center"/>
                </w:tcPr>
                <w:p w14:paraId="10E01A21">
                  <w:pPr>
                    <w:pStyle w:val="79"/>
                    <w:spacing w:line="240" w:lineRule="auto"/>
                    <w:jc w:val="center"/>
                    <w:rPr>
                      <w:rFonts w:ascii="Times New Roman" w:hAnsi="Times New Roman" w:eastAsia="宋体" w:cs="Times New Roman"/>
                      <w:color w:val="FF0000"/>
                      <w:sz w:val="21"/>
                      <w:szCs w:val="21"/>
                      <w:lang w:eastAsia="zh-CN"/>
                    </w:rPr>
                  </w:pPr>
                  <w:r>
                    <w:rPr>
                      <w:rFonts w:ascii="Times New Roman" w:hAnsi="Times New Roman" w:eastAsia="宋体" w:cs="Times New Roman"/>
                      <w:color w:val="FF0000"/>
                      <w:sz w:val="21"/>
                      <w:szCs w:val="21"/>
                      <w:lang w:eastAsia="zh-CN"/>
                    </w:rPr>
                    <w:t>达标</w:t>
                  </w:r>
                </w:p>
              </w:tc>
            </w:tr>
            <w:tr w14:paraId="0C205F76">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133" w:type="pct"/>
                  <w:vAlign w:val="center"/>
                </w:tcPr>
                <w:p w14:paraId="33F48061">
                  <w:pPr>
                    <w:pStyle w:val="79"/>
                    <w:spacing w:line="240" w:lineRule="auto"/>
                    <w:jc w:val="center"/>
                    <w:rPr>
                      <w:rFonts w:ascii="Times New Roman" w:hAnsi="Times New Roman" w:eastAsia="宋体" w:cs="Times New Roman"/>
                      <w:color w:val="FF0000"/>
                      <w:sz w:val="21"/>
                      <w:szCs w:val="21"/>
                      <w:lang w:eastAsia="zh-CN"/>
                    </w:rPr>
                  </w:pPr>
                  <w:r>
                    <w:rPr>
                      <w:rFonts w:ascii="Times New Roman" w:hAnsi="Times New Roman" w:eastAsia="宋体" w:cs="Times New Roman"/>
                      <w:color w:val="FF0000"/>
                      <w:sz w:val="21"/>
                      <w:szCs w:val="21"/>
                      <w:lang w:eastAsia="zh-CN"/>
                    </w:rPr>
                    <w:t>石油类</w:t>
                  </w:r>
                </w:p>
              </w:tc>
              <w:tc>
                <w:tcPr>
                  <w:tcW w:w="1457" w:type="dxa"/>
                  <w:vAlign w:val="center"/>
                </w:tcPr>
                <w:p w14:paraId="277440E8">
                  <w:pPr>
                    <w:pStyle w:val="79"/>
                    <w:spacing w:line="240" w:lineRule="auto"/>
                    <w:jc w:val="center"/>
                    <w:rPr>
                      <w:rFonts w:ascii="Times New Roman" w:hAnsi="Times New Roman" w:eastAsia="宋体" w:cs="Times New Roman"/>
                      <w:color w:val="FF0000"/>
                      <w:sz w:val="21"/>
                      <w:szCs w:val="21"/>
                      <w:lang w:eastAsia="zh-CN"/>
                    </w:rPr>
                  </w:pPr>
                  <w:r>
                    <w:rPr>
                      <w:rFonts w:hint="eastAsia" w:ascii="Times New Roman" w:hAnsi="Times New Roman" w:eastAsia="宋体" w:cs="Times New Roman"/>
                      <w:color w:val="FF0000"/>
                      <w:sz w:val="21"/>
                      <w:szCs w:val="21"/>
                      <w:lang w:val="en-US" w:eastAsia="zh-CN"/>
                    </w:rPr>
                    <w:t>0.02</w:t>
                  </w:r>
                </w:p>
              </w:tc>
              <w:tc>
                <w:tcPr>
                  <w:tcW w:w="1543" w:type="dxa"/>
                  <w:vAlign w:val="center"/>
                </w:tcPr>
                <w:p w14:paraId="395FF0C5">
                  <w:pPr>
                    <w:pStyle w:val="79"/>
                    <w:spacing w:line="240" w:lineRule="auto"/>
                    <w:jc w:val="center"/>
                    <w:rPr>
                      <w:rFonts w:ascii="Times New Roman" w:hAnsi="Times New Roman" w:eastAsia="宋体" w:cs="Times New Roman"/>
                      <w:color w:val="FF0000"/>
                      <w:sz w:val="21"/>
                      <w:szCs w:val="21"/>
                      <w:lang w:eastAsia="zh-CN"/>
                    </w:rPr>
                  </w:pPr>
                  <w:r>
                    <w:rPr>
                      <w:rFonts w:hint="eastAsia" w:ascii="Times New Roman" w:hAnsi="Times New Roman" w:eastAsia="宋体" w:cs="Times New Roman"/>
                      <w:color w:val="FF0000"/>
                      <w:sz w:val="21"/>
                      <w:szCs w:val="21"/>
                      <w:lang w:val="en-US" w:eastAsia="zh-CN"/>
                    </w:rPr>
                    <w:t>mg/L</w:t>
                  </w:r>
                </w:p>
              </w:tc>
              <w:tc>
                <w:tcPr>
                  <w:tcW w:w="1319" w:type="pct"/>
                  <w:vAlign w:val="center"/>
                </w:tcPr>
                <w:p w14:paraId="47DE43E6">
                  <w:pPr>
                    <w:pStyle w:val="79"/>
                    <w:spacing w:line="240" w:lineRule="auto"/>
                    <w:jc w:val="center"/>
                    <w:rPr>
                      <w:rFonts w:hint="default" w:ascii="Times New Roman" w:hAnsi="Times New Roman" w:eastAsia="宋体" w:cs="Times New Roman"/>
                      <w:color w:val="FF0000"/>
                      <w:sz w:val="21"/>
                      <w:szCs w:val="21"/>
                      <w:lang w:val="en-US" w:eastAsia="zh-CN"/>
                    </w:rPr>
                  </w:pPr>
                  <w:r>
                    <w:rPr>
                      <w:rFonts w:ascii="Times New Roman" w:hAnsi="Times New Roman" w:eastAsia="宋体" w:cs="Times New Roman"/>
                      <w:color w:val="FF0000"/>
                      <w:sz w:val="21"/>
                      <w:szCs w:val="21"/>
                      <w:lang w:eastAsia="zh-CN"/>
                    </w:rPr>
                    <w:t>≤</w:t>
                  </w:r>
                  <w:r>
                    <w:rPr>
                      <w:rFonts w:hint="eastAsia" w:ascii="Times New Roman" w:hAnsi="Times New Roman" w:eastAsia="宋体" w:cs="Times New Roman"/>
                      <w:color w:val="FF0000"/>
                      <w:sz w:val="21"/>
                      <w:szCs w:val="21"/>
                      <w:lang w:val="en-US" w:eastAsia="zh-CN"/>
                    </w:rPr>
                    <w:t>0.05</w:t>
                  </w:r>
                </w:p>
              </w:tc>
              <w:tc>
                <w:tcPr>
                  <w:tcW w:w="667" w:type="pct"/>
                  <w:vAlign w:val="center"/>
                </w:tcPr>
                <w:p w14:paraId="447A7AC7">
                  <w:pPr>
                    <w:pStyle w:val="79"/>
                    <w:spacing w:line="240" w:lineRule="auto"/>
                    <w:jc w:val="center"/>
                    <w:rPr>
                      <w:rFonts w:ascii="Times New Roman" w:hAnsi="Times New Roman" w:eastAsia="宋体" w:cs="Times New Roman"/>
                      <w:color w:val="FF0000"/>
                      <w:sz w:val="21"/>
                      <w:szCs w:val="21"/>
                      <w:lang w:eastAsia="zh-CN"/>
                    </w:rPr>
                  </w:pPr>
                  <w:r>
                    <w:rPr>
                      <w:rFonts w:ascii="Times New Roman" w:hAnsi="Times New Roman" w:eastAsia="宋体" w:cs="Times New Roman"/>
                      <w:color w:val="FF0000"/>
                      <w:sz w:val="21"/>
                      <w:szCs w:val="21"/>
                      <w:lang w:eastAsia="zh-CN"/>
                    </w:rPr>
                    <w:t>达标</w:t>
                  </w:r>
                </w:p>
              </w:tc>
            </w:tr>
            <w:tr w14:paraId="541F353D">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133" w:type="pct"/>
                  <w:vAlign w:val="center"/>
                </w:tcPr>
                <w:p w14:paraId="04242026">
                  <w:pPr>
                    <w:pStyle w:val="79"/>
                    <w:spacing w:line="240" w:lineRule="auto"/>
                    <w:jc w:val="center"/>
                    <w:rPr>
                      <w:rFonts w:ascii="Times New Roman" w:hAnsi="Times New Roman" w:eastAsia="宋体" w:cs="Times New Roman"/>
                      <w:color w:val="FF0000"/>
                      <w:sz w:val="21"/>
                      <w:szCs w:val="21"/>
                      <w:lang w:eastAsia="zh-CN"/>
                    </w:rPr>
                  </w:pPr>
                  <w:r>
                    <w:rPr>
                      <w:rFonts w:hint="eastAsia" w:ascii="Times New Roman" w:hAnsi="Times New Roman" w:eastAsia="宋体" w:cs="Times New Roman"/>
                      <w:color w:val="FF0000"/>
                      <w:sz w:val="21"/>
                      <w:szCs w:val="21"/>
                      <w:lang w:eastAsia="zh-CN"/>
                    </w:rPr>
                    <w:t>硫化物</w:t>
                  </w:r>
                </w:p>
              </w:tc>
              <w:tc>
                <w:tcPr>
                  <w:tcW w:w="1457" w:type="dxa"/>
                  <w:vAlign w:val="center"/>
                </w:tcPr>
                <w:p w14:paraId="6461A39E">
                  <w:pPr>
                    <w:pStyle w:val="79"/>
                    <w:spacing w:line="240" w:lineRule="auto"/>
                    <w:jc w:val="center"/>
                    <w:rPr>
                      <w:rFonts w:ascii="Times New Roman" w:hAnsi="Times New Roman" w:eastAsia="宋体" w:cs="Times New Roman"/>
                      <w:color w:val="FF0000"/>
                      <w:sz w:val="21"/>
                      <w:szCs w:val="21"/>
                      <w:lang w:eastAsia="zh-CN"/>
                    </w:rPr>
                  </w:pPr>
                  <w:r>
                    <w:rPr>
                      <w:rFonts w:hint="eastAsia" w:ascii="Times New Roman" w:hAnsi="Times New Roman" w:eastAsia="宋体" w:cs="Times New Roman"/>
                      <w:color w:val="FF0000"/>
                      <w:sz w:val="21"/>
                      <w:szCs w:val="21"/>
                      <w:lang w:val="en-US" w:eastAsia="zh-CN"/>
                    </w:rPr>
                    <w:t>0.01L</w:t>
                  </w:r>
                </w:p>
              </w:tc>
              <w:tc>
                <w:tcPr>
                  <w:tcW w:w="1543" w:type="dxa"/>
                  <w:vAlign w:val="center"/>
                </w:tcPr>
                <w:p w14:paraId="35246F33">
                  <w:pPr>
                    <w:pStyle w:val="79"/>
                    <w:spacing w:line="240" w:lineRule="auto"/>
                    <w:jc w:val="center"/>
                    <w:rPr>
                      <w:rFonts w:ascii="Times New Roman" w:hAnsi="Times New Roman" w:eastAsia="宋体" w:cs="Times New Roman"/>
                      <w:color w:val="FF0000"/>
                      <w:sz w:val="21"/>
                      <w:szCs w:val="21"/>
                      <w:lang w:eastAsia="zh-CN"/>
                    </w:rPr>
                  </w:pPr>
                  <w:r>
                    <w:rPr>
                      <w:rFonts w:hint="eastAsia" w:ascii="Times New Roman" w:hAnsi="Times New Roman" w:eastAsia="宋体" w:cs="Times New Roman"/>
                      <w:color w:val="FF0000"/>
                      <w:sz w:val="21"/>
                      <w:szCs w:val="21"/>
                      <w:lang w:val="en-US" w:eastAsia="zh-CN"/>
                    </w:rPr>
                    <w:t>mg/L</w:t>
                  </w:r>
                </w:p>
              </w:tc>
              <w:tc>
                <w:tcPr>
                  <w:tcW w:w="1319" w:type="pct"/>
                  <w:vAlign w:val="center"/>
                </w:tcPr>
                <w:p w14:paraId="29223635">
                  <w:pPr>
                    <w:pStyle w:val="79"/>
                    <w:spacing w:line="240" w:lineRule="auto"/>
                    <w:jc w:val="center"/>
                    <w:rPr>
                      <w:rFonts w:hint="default" w:ascii="Times New Roman" w:hAnsi="Times New Roman" w:eastAsia="宋体" w:cs="Times New Roman"/>
                      <w:color w:val="FF0000"/>
                      <w:sz w:val="21"/>
                      <w:szCs w:val="21"/>
                      <w:lang w:val="en-US" w:eastAsia="zh-CN"/>
                    </w:rPr>
                  </w:pPr>
                  <w:r>
                    <w:rPr>
                      <w:rFonts w:hint="eastAsia" w:ascii="Times New Roman" w:hAnsi="Times New Roman" w:eastAsia="宋体" w:cs="Times New Roman"/>
                      <w:color w:val="FF0000"/>
                      <w:sz w:val="21"/>
                      <w:szCs w:val="21"/>
                      <w:lang w:val="en-US" w:eastAsia="zh-CN"/>
                    </w:rPr>
                    <w:t>0.2</w:t>
                  </w:r>
                </w:p>
              </w:tc>
              <w:tc>
                <w:tcPr>
                  <w:tcW w:w="667" w:type="pct"/>
                  <w:vAlign w:val="center"/>
                </w:tcPr>
                <w:p w14:paraId="1F08B4E7">
                  <w:pPr>
                    <w:pStyle w:val="79"/>
                    <w:spacing w:line="240" w:lineRule="auto"/>
                    <w:jc w:val="center"/>
                    <w:rPr>
                      <w:rFonts w:ascii="Times New Roman" w:hAnsi="Times New Roman" w:eastAsia="宋体" w:cs="Times New Roman"/>
                      <w:color w:val="FF0000"/>
                      <w:sz w:val="21"/>
                      <w:szCs w:val="21"/>
                      <w:lang w:eastAsia="zh-CN"/>
                    </w:rPr>
                  </w:pPr>
                  <w:r>
                    <w:rPr>
                      <w:rFonts w:ascii="Times New Roman" w:hAnsi="Times New Roman" w:eastAsia="宋体" w:cs="Times New Roman"/>
                      <w:color w:val="FF0000"/>
                      <w:sz w:val="21"/>
                      <w:szCs w:val="21"/>
                      <w:lang w:eastAsia="zh-CN"/>
                    </w:rPr>
                    <w:t>达标</w:t>
                  </w:r>
                </w:p>
              </w:tc>
            </w:tr>
            <w:tr w14:paraId="3A6EE27D">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133" w:type="pct"/>
                  <w:vAlign w:val="center"/>
                </w:tcPr>
                <w:p w14:paraId="7319619B">
                  <w:pPr>
                    <w:pStyle w:val="79"/>
                    <w:spacing w:line="240" w:lineRule="auto"/>
                    <w:jc w:val="center"/>
                    <w:rPr>
                      <w:rFonts w:ascii="Times New Roman" w:hAnsi="Times New Roman" w:eastAsia="宋体" w:cs="Times New Roman"/>
                      <w:color w:val="FF0000"/>
                      <w:sz w:val="21"/>
                      <w:szCs w:val="21"/>
                      <w:lang w:eastAsia="zh-CN"/>
                    </w:rPr>
                  </w:pPr>
                  <w:r>
                    <w:rPr>
                      <w:rFonts w:hint="eastAsia" w:ascii="Times New Roman" w:hAnsi="Times New Roman" w:eastAsia="宋体" w:cs="Times New Roman"/>
                      <w:color w:val="FF0000"/>
                      <w:sz w:val="21"/>
                      <w:szCs w:val="21"/>
                      <w:lang w:eastAsia="zh-CN"/>
                    </w:rPr>
                    <w:t>粪大肠</w:t>
                  </w:r>
                  <w:r>
                    <w:rPr>
                      <w:rFonts w:hint="default" w:ascii="Times New Roman" w:hAnsi="Times New Roman" w:eastAsia="宋体" w:cs="Times New Roman"/>
                      <w:color w:val="FF0000"/>
                      <w:sz w:val="21"/>
                      <w:szCs w:val="21"/>
                      <w:lang w:eastAsia="zh-CN"/>
                    </w:rPr>
                    <w:t>菌群</w:t>
                  </w:r>
                </w:p>
              </w:tc>
              <w:tc>
                <w:tcPr>
                  <w:tcW w:w="1457" w:type="dxa"/>
                  <w:vAlign w:val="center"/>
                </w:tcPr>
                <w:p w14:paraId="7FBAFE12">
                  <w:pPr>
                    <w:pStyle w:val="79"/>
                    <w:spacing w:line="240" w:lineRule="auto"/>
                    <w:jc w:val="center"/>
                    <w:rPr>
                      <w:rFonts w:ascii="Times New Roman" w:hAnsi="Times New Roman" w:eastAsia="宋体" w:cs="Times New Roman"/>
                      <w:color w:val="FF0000"/>
                      <w:sz w:val="21"/>
                      <w:szCs w:val="21"/>
                      <w:lang w:eastAsia="zh-CN"/>
                    </w:rPr>
                  </w:pPr>
                  <w:r>
                    <w:rPr>
                      <w:rFonts w:hint="eastAsia" w:ascii="Times New Roman" w:hAnsi="Times New Roman" w:eastAsia="宋体" w:cs="Times New Roman"/>
                      <w:color w:val="FF0000"/>
                      <w:sz w:val="21"/>
                      <w:szCs w:val="21"/>
                      <w:lang w:val="en-US" w:eastAsia="zh-CN"/>
                    </w:rPr>
                    <w:t>1.4</w:t>
                  </w:r>
                  <w:r>
                    <w:rPr>
                      <w:rFonts w:hint="default" w:ascii="Times New Roman" w:hAnsi="Times New Roman" w:eastAsia="宋体" w:cs="Times New Roman"/>
                      <w:color w:val="FF0000"/>
                      <w:sz w:val="21"/>
                      <w:szCs w:val="21"/>
                      <w:lang w:val="en-US" w:eastAsia="zh-CN"/>
                    </w:rPr>
                    <w:t>×</w:t>
                  </w:r>
                  <w:r>
                    <w:rPr>
                      <w:rFonts w:hint="eastAsia" w:ascii="Times New Roman" w:hAnsi="Times New Roman" w:eastAsia="宋体" w:cs="Times New Roman"/>
                      <w:color w:val="FF0000"/>
                      <w:sz w:val="21"/>
                      <w:szCs w:val="21"/>
                      <w:lang w:val="en-US" w:eastAsia="zh-CN"/>
                    </w:rPr>
                    <w:t>10</w:t>
                  </w:r>
                  <w:r>
                    <w:rPr>
                      <w:rFonts w:hint="eastAsia" w:ascii="Times New Roman" w:hAnsi="Times New Roman" w:eastAsia="宋体" w:cs="Times New Roman"/>
                      <w:color w:val="FF0000"/>
                      <w:sz w:val="21"/>
                      <w:szCs w:val="21"/>
                      <w:vertAlign w:val="superscript"/>
                      <w:lang w:val="en-US" w:eastAsia="zh-CN"/>
                    </w:rPr>
                    <w:t>3</w:t>
                  </w:r>
                </w:p>
              </w:tc>
              <w:tc>
                <w:tcPr>
                  <w:tcW w:w="1543" w:type="dxa"/>
                  <w:vAlign w:val="center"/>
                </w:tcPr>
                <w:p w14:paraId="36347AD7">
                  <w:pPr>
                    <w:pStyle w:val="79"/>
                    <w:spacing w:line="240" w:lineRule="auto"/>
                    <w:jc w:val="center"/>
                    <w:rPr>
                      <w:rFonts w:ascii="Times New Roman" w:hAnsi="Times New Roman" w:eastAsia="宋体" w:cs="Times New Roman"/>
                      <w:color w:val="FF0000"/>
                      <w:sz w:val="21"/>
                      <w:szCs w:val="21"/>
                      <w:lang w:eastAsia="zh-CN"/>
                    </w:rPr>
                  </w:pPr>
                  <w:r>
                    <w:rPr>
                      <w:rFonts w:hint="eastAsia" w:ascii="Times New Roman" w:hAnsi="Times New Roman" w:eastAsia="宋体" w:cs="Times New Roman"/>
                      <w:color w:val="FF0000"/>
                      <w:sz w:val="21"/>
                      <w:szCs w:val="21"/>
                      <w:lang w:val="en-US" w:eastAsia="zh-CN"/>
                    </w:rPr>
                    <w:t>MPN/L</w:t>
                  </w:r>
                </w:p>
              </w:tc>
              <w:tc>
                <w:tcPr>
                  <w:tcW w:w="1319" w:type="pct"/>
                  <w:vAlign w:val="center"/>
                </w:tcPr>
                <w:p w14:paraId="32504C90">
                  <w:pPr>
                    <w:pStyle w:val="79"/>
                    <w:spacing w:line="240" w:lineRule="auto"/>
                    <w:jc w:val="center"/>
                    <w:rPr>
                      <w:rFonts w:ascii="Times New Roman" w:hAnsi="Times New Roman" w:eastAsia="宋体" w:cs="Times New Roman"/>
                      <w:color w:val="FF0000"/>
                      <w:sz w:val="21"/>
                      <w:szCs w:val="21"/>
                      <w:lang w:eastAsia="zh-CN"/>
                    </w:rPr>
                  </w:pPr>
                  <w:r>
                    <w:rPr>
                      <w:rFonts w:ascii="Times New Roman" w:hAnsi="Times New Roman" w:eastAsia="宋体" w:cs="Times New Roman"/>
                      <w:color w:val="FF0000"/>
                      <w:sz w:val="21"/>
                      <w:szCs w:val="21"/>
                      <w:lang w:eastAsia="zh-CN"/>
                    </w:rPr>
                    <w:t>≤</w:t>
                  </w:r>
                  <w:r>
                    <w:rPr>
                      <w:rFonts w:hint="eastAsia" w:ascii="Times New Roman" w:hAnsi="Times New Roman" w:eastAsia="宋体" w:cs="Times New Roman"/>
                      <w:color w:val="FF0000"/>
                      <w:sz w:val="21"/>
                      <w:szCs w:val="21"/>
                      <w:lang w:val="en-US" w:eastAsia="zh-CN"/>
                    </w:rPr>
                    <w:t>1</w:t>
                  </w:r>
                  <w:r>
                    <w:rPr>
                      <w:rFonts w:hint="default" w:ascii="Times New Roman" w:hAnsi="Times New Roman" w:eastAsia="宋体" w:cs="Times New Roman"/>
                      <w:color w:val="FF0000"/>
                      <w:sz w:val="21"/>
                      <w:szCs w:val="21"/>
                      <w:lang w:val="en-US" w:eastAsia="zh-CN"/>
                    </w:rPr>
                    <w:t>×</w:t>
                  </w:r>
                  <w:r>
                    <w:rPr>
                      <w:rFonts w:hint="eastAsia" w:ascii="Times New Roman" w:hAnsi="Times New Roman" w:eastAsia="宋体" w:cs="Times New Roman"/>
                      <w:color w:val="FF0000"/>
                      <w:sz w:val="21"/>
                      <w:szCs w:val="21"/>
                      <w:lang w:val="en-US" w:eastAsia="zh-CN"/>
                    </w:rPr>
                    <w:t>10</w:t>
                  </w:r>
                  <w:r>
                    <w:rPr>
                      <w:rFonts w:hint="eastAsia" w:ascii="Times New Roman" w:hAnsi="Times New Roman" w:eastAsia="宋体" w:cs="Times New Roman"/>
                      <w:color w:val="FF0000"/>
                      <w:sz w:val="21"/>
                      <w:szCs w:val="21"/>
                      <w:vertAlign w:val="superscript"/>
                      <w:lang w:val="en-US" w:eastAsia="zh-CN"/>
                    </w:rPr>
                    <w:t>4</w:t>
                  </w:r>
                </w:p>
              </w:tc>
              <w:tc>
                <w:tcPr>
                  <w:tcW w:w="667" w:type="pct"/>
                  <w:vAlign w:val="center"/>
                </w:tcPr>
                <w:p w14:paraId="57E6895E">
                  <w:pPr>
                    <w:pStyle w:val="79"/>
                    <w:spacing w:line="240" w:lineRule="auto"/>
                    <w:jc w:val="center"/>
                    <w:rPr>
                      <w:rFonts w:ascii="Times New Roman" w:hAnsi="Times New Roman" w:eastAsia="宋体" w:cs="Times New Roman"/>
                      <w:color w:val="FF0000"/>
                      <w:sz w:val="21"/>
                      <w:szCs w:val="21"/>
                      <w:lang w:eastAsia="zh-CN"/>
                    </w:rPr>
                  </w:pPr>
                  <w:r>
                    <w:rPr>
                      <w:rFonts w:ascii="Times New Roman" w:hAnsi="Times New Roman" w:eastAsia="宋体" w:cs="Times New Roman"/>
                      <w:color w:val="FF0000"/>
                      <w:sz w:val="21"/>
                      <w:szCs w:val="21"/>
                      <w:lang w:eastAsia="zh-CN"/>
                    </w:rPr>
                    <w:t>达标</w:t>
                  </w:r>
                </w:p>
              </w:tc>
            </w:tr>
            <w:tr w14:paraId="1F82668C">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133" w:type="pct"/>
                  <w:vAlign w:val="center"/>
                </w:tcPr>
                <w:p w14:paraId="092295AC">
                  <w:pPr>
                    <w:pStyle w:val="79"/>
                    <w:spacing w:line="240" w:lineRule="auto"/>
                    <w:jc w:val="center"/>
                    <w:rPr>
                      <w:rFonts w:ascii="Times New Roman" w:hAnsi="Times New Roman" w:eastAsia="宋体" w:cs="Times New Roman"/>
                      <w:color w:val="FF0000"/>
                      <w:sz w:val="21"/>
                      <w:szCs w:val="21"/>
                      <w:lang w:eastAsia="zh-CN"/>
                    </w:rPr>
                  </w:pPr>
                  <w:r>
                    <w:rPr>
                      <w:rFonts w:hint="eastAsia" w:ascii="Times New Roman" w:hAnsi="Times New Roman" w:eastAsia="宋体" w:cs="Times New Roman"/>
                      <w:color w:val="FF0000"/>
                      <w:sz w:val="21"/>
                      <w:szCs w:val="21"/>
                      <w:lang w:eastAsia="zh-CN"/>
                    </w:rPr>
                    <w:t>六价铬</w:t>
                  </w:r>
                </w:p>
              </w:tc>
              <w:tc>
                <w:tcPr>
                  <w:tcW w:w="1457" w:type="dxa"/>
                  <w:vAlign w:val="center"/>
                </w:tcPr>
                <w:p w14:paraId="6E5B3371">
                  <w:pPr>
                    <w:pStyle w:val="79"/>
                    <w:spacing w:line="240" w:lineRule="auto"/>
                    <w:jc w:val="center"/>
                    <w:rPr>
                      <w:rFonts w:ascii="Times New Roman" w:hAnsi="Times New Roman" w:eastAsia="宋体" w:cs="Times New Roman"/>
                      <w:color w:val="FF0000"/>
                      <w:sz w:val="21"/>
                      <w:szCs w:val="21"/>
                      <w:lang w:eastAsia="zh-CN"/>
                    </w:rPr>
                  </w:pPr>
                  <w:r>
                    <w:rPr>
                      <w:rFonts w:hint="eastAsia" w:ascii="Times New Roman" w:hAnsi="Times New Roman" w:eastAsia="宋体" w:cs="Times New Roman"/>
                      <w:color w:val="FF0000"/>
                      <w:sz w:val="21"/>
                      <w:szCs w:val="21"/>
                      <w:lang w:val="en-US" w:eastAsia="zh-CN"/>
                    </w:rPr>
                    <w:t>0.004L</w:t>
                  </w:r>
                </w:p>
              </w:tc>
              <w:tc>
                <w:tcPr>
                  <w:tcW w:w="1543" w:type="dxa"/>
                  <w:vAlign w:val="center"/>
                </w:tcPr>
                <w:p w14:paraId="45D73ED3">
                  <w:pPr>
                    <w:pStyle w:val="79"/>
                    <w:spacing w:line="240" w:lineRule="auto"/>
                    <w:jc w:val="center"/>
                    <w:rPr>
                      <w:rFonts w:ascii="Times New Roman" w:hAnsi="Times New Roman" w:eastAsia="宋体" w:cs="Times New Roman"/>
                      <w:color w:val="FF0000"/>
                      <w:sz w:val="21"/>
                      <w:szCs w:val="21"/>
                      <w:lang w:eastAsia="zh-CN"/>
                    </w:rPr>
                  </w:pPr>
                  <w:r>
                    <w:rPr>
                      <w:rFonts w:hint="eastAsia" w:ascii="Times New Roman" w:hAnsi="Times New Roman" w:eastAsia="宋体" w:cs="Times New Roman"/>
                      <w:color w:val="FF0000"/>
                      <w:sz w:val="21"/>
                      <w:szCs w:val="21"/>
                      <w:lang w:val="en-US" w:eastAsia="zh-CN"/>
                    </w:rPr>
                    <w:t>mg/L</w:t>
                  </w:r>
                </w:p>
              </w:tc>
              <w:tc>
                <w:tcPr>
                  <w:tcW w:w="1319" w:type="pct"/>
                  <w:vAlign w:val="center"/>
                </w:tcPr>
                <w:p w14:paraId="4568D9F9">
                  <w:pPr>
                    <w:pStyle w:val="79"/>
                    <w:spacing w:line="240" w:lineRule="auto"/>
                    <w:jc w:val="center"/>
                    <w:rPr>
                      <w:rFonts w:hint="default" w:ascii="Times New Roman" w:hAnsi="Times New Roman" w:eastAsia="宋体" w:cs="Times New Roman"/>
                      <w:color w:val="FF0000"/>
                      <w:sz w:val="21"/>
                      <w:szCs w:val="21"/>
                      <w:lang w:val="en-US" w:eastAsia="zh-CN"/>
                    </w:rPr>
                  </w:pPr>
                  <w:r>
                    <w:rPr>
                      <w:rFonts w:ascii="Times New Roman" w:hAnsi="Times New Roman" w:eastAsia="宋体" w:cs="Times New Roman"/>
                      <w:color w:val="FF0000"/>
                      <w:sz w:val="21"/>
                      <w:szCs w:val="21"/>
                      <w:lang w:eastAsia="zh-CN"/>
                    </w:rPr>
                    <w:t>≤</w:t>
                  </w:r>
                  <w:r>
                    <w:rPr>
                      <w:rFonts w:hint="eastAsia" w:ascii="Times New Roman" w:hAnsi="Times New Roman" w:eastAsia="宋体" w:cs="Times New Roman"/>
                      <w:color w:val="FF0000"/>
                      <w:sz w:val="21"/>
                      <w:szCs w:val="21"/>
                      <w:lang w:val="en-US" w:eastAsia="zh-CN"/>
                    </w:rPr>
                    <w:t>0.05</w:t>
                  </w:r>
                </w:p>
              </w:tc>
              <w:tc>
                <w:tcPr>
                  <w:tcW w:w="667" w:type="pct"/>
                  <w:vAlign w:val="center"/>
                </w:tcPr>
                <w:p w14:paraId="56C0373D">
                  <w:pPr>
                    <w:pStyle w:val="79"/>
                    <w:spacing w:line="240" w:lineRule="auto"/>
                    <w:jc w:val="center"/>
                    <w:rPr>
                      <w:rFonts w:ascii="Times New Roman" w:hAnsi="Times New Roman" w:eastAsia="宋体" w:cs="Times New Roman"/>
                      <w:color w:val="FF0000"/>
                      <w:sz w:val="21"/>
                      <w:szCs w:val="21"/>
                      <w:lang w:eastAsia="zh-CN"/>
                    </w:rPr>
                  </w:pPr>
                  <w:r>
                    <w:rPr>
                      <w:rFonts w:ascii="Times New Roman" w:hAnsi="Times New Roman" w:eastAsia="宋体" w:cs="Times New Roman"/>
                      <w:color w:val="FF0000"/>
                      <w:sz w:val="21"/>
                      <w:szCs w:val="21"/>
                      <w:lang w:eastAsia="zh-CN"/>
                    </w:rPr>
                    <w:t>达标</w:t>
                  </w:r>
                </w:p>
              </w:tc>
            </w:tr>
            <w:tr w14:paraId="69C6A61C">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133" w:type="pct"/>
                  <w:vAlign w:val="center"/>
                </w:tcPr>
                <w:p w14:paraId="1EACC8BB">
                  <w:pPr>
                    <w:pStyle w:val="79"/>
                    <w:spacing w:line="240" w:lineRule="auto"/>
                    <w:jc w:val="center"/>
                    <w:rPr>
                      <w:rFonts w:ascii="Times New Roman" w:hAnsi="Times New Roman" w:eastAsia="宋体" w:cs="Times New Roman"/>
                      <w:color w:val="FF0000"/>
                      <w:sz w:val="21"/>
                      <w:szCs w:val="21"/>
                      <w:lang w:eastAsia="zh-CN"/>
                    </w:rPr>
                  </w:pPr>
                  <w:r>
                    <w:rPr>
                      <w:rFonts w:hint="eastAsia" w:ascii="Times New Roman" w:hAnsi="Times New Roman" w:eastAsia="宋体" w:cs="Times New Roman"/>
                      <w:color w:val="FF0000"/>
                      <w:sz w:val="21"/>
                      <w:szCs w:val="21"/>
                      <w:lang w:eastAsia="zh-CN"/>
                    </w:rPr>
                    <w:t>汞</w:t>
                  </w:r>
                </w:p>
              </w:tc>
              <w:tc>
                <w:tcPr>
                  <w:tcW w:w="1457" w:type="dxa"/>
                  <w:vAlign w:val="center"/>
                </w:tcPr>
                <w:p w14:paraId="0252A54E">
                  <w:pPr>
                    <w:pStyle w:val="79"/>
                    <w:spacing w:line="240" w:lineRule="auto"/>
                    <w:jc w:val="center"/>
                    <w:rPr>
                      <w:rFonts w:ascii="Times New Roman" w:hAnsi="Times New Roman" w:eastAsia="宋体" w:cs="Times New Roman"/>
                      <w:color w:val="FF0000"/>
                      <w:sz w:val="21"/>
                      <w:szCs w:val="21"/>
                      <w:lang w:eastAsia="zh-CN"/>
                    </w:rPr>
                  </w:pPr>
                  <w:r>
                    <w:rPr>
                      <w:rFonts w:hint="eastAsia" w:ascii="Times New Roman" w:hAnsi="Times New Roman" w:eastAsia="宋体" w:cs="Times New Roman"/>
                      <w:color w:val="FF0000"/>
                      <w:sz w:val="21"/>
                      <w:szCs w:val="21"/>
                      <w:lang w:val="en-US" w:eastAsia="zh-CN"/>
                    </w:rPr>
                    <w:t>0.04L</w:t>
                  </w:r>
                </w:p>
              </w:tc>
              <w:tc>
                <w:tcPr>
                  <w:tcW w:w="1543" w:type="dxa"/>
                  <w:vAlign w:val="center"/>
                </w:tcPr>
                <w:p w14:paraId="1AF6C5A8">
                  <w:pPr>
                    <w:pStyle w:val="79"/>
                    <w:spacing w:line="240" w:lineRule="auto"/>
                    <w:jc w:val="center"/>
                    <w:rPr>
                      <w:rFonts w:ascii="Times New Roman" w:hAnsi="Times New Roman" w:eastAsia="宋体" w:cs="Times New Roman"/>
                      <w:color w:val="FF0000"/>
                      <w:sz w:val="21"/>
                      <w:szCs w:val="21"/>
                      <w:lang w:eastAsia="zh-CN"/>
                    </w:rPr>
                  </w:pPr>
                  <w:r>
                    <w:rPr>
                      <w:rFonts w:hint="default" w:ascii="Times New Roman" w:hAnsi="Times New Roman" w:eastAsia="宋体" w:cs="Times New Roman"/>
                      <w:color w:val="FF0000"/>
                      <w:sz w:val="21"/>
                      <w:szCs w:val="21"/>
                      <w:lang w:val="en-US" w:eastAsia="zh-CN"/>
                    </w:rPr>
                    <w:t>μg/L</w:t>
                  </w:r>
                </w:p>
              </w:tc>
              <w:tc>
                <w:tcPr>
                  <w:tcW w:w="1319" w:type="pct"/>
                  <w:vAlign w:val="center"/>
                </w:tcPr>
                <w:p w14:paraId="792E4F76">
                  <w:pPr>
                    <w:pStyle w:val="79"/>
                    <w:spacing w:line="240" w:lineRule="auto"/>
                    <w:jc w:val="center"/>
                    <w:rPr>
                      <w:rFonts w:hint="default" w:ascii="Times New Roman" w:hAnsi="Times New Roman" w:eastAsia="宋体" w:cs="Times New Roman"/>
                      <w:color w:val="FF0000"/>
                      <w:sz w:val="21"/>
                      <w:szCs w:val="21"/>
                      <w:lang w:val="en-US" w:eastAsia="zh-CN"/>
                    </w:rPr>
                  </w:pPr>
                  <w:r>
                    <w:rPr>
                      <w:rFonts w:ascii="Times New Roman" w:hAnsi="Times New Roman" w:eastAsia="宋体" w:cs="Times New Roman"/>
                      <w:color w:val="FF0000"/>
                      <w:sz w:val="21"/>
                      <w:szCs w:val="21"/>
                      <w:lang w:eastAsia="zh-CN"/>
                    </w:rPr>
                    <w:t>≤</w:t>
                  </w:r>
                  <w:r>
                    <w:rPr>
                      <w:rFonts w:hint="eastAsia" w:ascii="Times New Roman" w:hAnsi="Times New Roman" w:eastAsia="宋体" w:cs="Times New Roman"/>
                      <w:color w:val="FF0000"/>
                      <w:sz w:val="21"/>
                      <w:szCs w:val="21"/>
                      <w:lang w:val="en-US" w:eastAsia="zh-CN"/>
                    </w:rPr>
                    <w:t>0.1</w:t>
                  </w:r>
                </w:p>
              </w:tc>
              <w:tc>
                <w:tcPr>
                  <w:tcW w:w="667" w:type="pct"/>
                  <w:vAlign w:val="center"/>
                </w:tcPr>
                <w:p w14:paraId="302F0EA6">
                  <w:pPr>
                    <w:pStyle w:val="79"/>
                    <w:spacing w:line="240" w:lineRule="auto"/>
                    <w:jc w:val="center"/>
                    <w:rPr>
                      <w:rFonts w:ascii="Times New Roman" w:hAnsi="Times New Roman" w:eastAsia="宋体" w:cs="Times New Roman"/>
                      <w:color w:val="FF0000"/>
                      <w:sz w:val="21"/>
                      <w:szCs w:val="21"/>
                      <w:lang w:eastAsia="zh-CN"/>
                    </w:rPr>
                  </w:pPr>
                  <w:r>
                    <w:rPr>
                      <w:rFonts w:ascii="Times New Roman" w:hAnsi="Times New Roman" w:eastAsia="宋体" w:cs="Times New Roman"/>
                      <w:color w:val="FF0000"/>
                      <w:sz w:val="21"/>
                      <w:szCs w:val="21"/>
                      <w:lang w:eastAsia="zh-CN"/>
                    </w:rPr>
                    <w:t>达标</w:t>
                  </w:r>
                </w:p>
              </w:tc>
            </w:tr>
            <w:tr w14:paraId="1EEBBA36">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133" w:type="pct"/>
                  <w:shd w:val="clear" w:color="auto" w:fill="auto"/>
                  <w:vAlign w:val="center"/>
                </w:tcPr>
                <w:p w14:paraId="6F2D1E61">
                  <w:pPr>
                    <w:pStyle w:val="79"/>
                    <w:spacing w:line="240" w:lineRule="auto"/>
                    <w:jc w:val="center"/>
                    <w:rPr>
                      <w:rFonts w:hint="eastAsia" w:ascii="Times New Roman" w:hAnsi="Times New Roman" w:eastAsia="宋体" w:cs="Times New Roman"/>
                      <w:color w:val="FF0000"/>
                      <w:sz w:val="21"/>
                      <w:szCs w:val="21"/>
                      <w:lang w:val="en-US" w:eastAsia="zh-CN"/>
                    </w:rPr>
                  </w:pPr>
                  <w:r>
                    <w:rPr>
                      <w:rFonts w:hint="eastAsia" w:ascii="Times New Roman" w:hAnsi="Times New Roman" w:eastAsia="宋体" w:cs="Times New Roman"/>
                      <w:color w:val="FF0000"/>
                      <w:sz w:val="21"/>
                      <w:szCs w:val="21"/>
                      <w:lang w:eastAsia="zh-CN"/>
                    </w:rPr>
                    <w:t>硒</w:t>
                  </w:r>
                </w:p>
              </w:tc>
              <w:tc>
                <w:tcPr>
                  <w:tcW w:w="1457" w:type="dxa"/>
                  <w:vAlign w:val="center"/>
                </w:tcPr>
                <w:p w14:paraId="334E8346">
                  <w:pPr>
                    <w:pStyle w:val="79"/>
                    <w:spacing w:line="240" w:lineRule="auto"/>
                    <w:jc w:val="center"/>
                    <w:rPr>
                      <w:rFonts w:ascii="Times New Roman" w:hAnsi="Times New Roman" w:eastAsia="宋体" w:cs="Times New Roman"/>
                      <w:color w:val="FF0000"/>
                      <w:sz w:val="21"/>
                      <w:szCs w:val="21"/>
                      <w:lang w:eastAsia="zh-CN"/>
                    </w:rPr>
                  </w:pPr>
                  <w:r>
                    <w:rPr>
                      <w:rFonts w:hint="eastAsia" w:ascii="Times New Roman" w:hAnsi="Times New Roman" w:eastAsia="宋体" w:cs="Times New Roman"/>
                      <w:color w:val="FF0000"/>
                      <w:sz w:val="21"/>
                      <w:szCs w:val="21"/>
                      <w:lang w:val="en-US" w:eastAsia="zh-CN"/>
                    </w:rPr>
                    <w:t>0.4L</w:t>
                  </w:r>
                </w:p>
              </w:tc>
              <w:tc>
                <w:tcPr>
                  <w:tcW w:w="1543" w:type="dxa"/>
                  <w:vAlign w:val="center"/>
                </w:tcPr>
                <w:p w14:paraId="1E917303">
                  <w:pPr>
                    <w:pStyle w:val="79"/>
                    <w:spacing w:line="240" w:lineRule="auto"/>
                    <w:jc w:val="center"/>
                    <w:rPr>
                      <w:rFonts w:ascii="Times New Roman" w:hAnsi="Times New Roman" w:eastAsia="宋体" w:cs="Times New Roman"/>
                      <w:color w:val="FF0000"/>
                      <w:sz w:val="21"/>
                      <w:szCs w:val="21"/>
                      <w:lang w:eastAsia="zh-CN"/>
                    </w:rPr>
                  </w:pPr>
                  <w:r>
                    <w:rPr>
                      <w:rFonts w:hint="default" w:ascii="Times New Roman" w:hAnsi="Times New Roman" w:eastAsia="宋体" w:cs="Times New Roman"/>
                      <w:color w:val="FF0000"/>
                      <w:sz w:val="21"/>
                      <w:szCs w:val="21"/>
                      <w:lang w:val="en-US" w:eastAsia="zh-CN"/>
                    </w:rPr>
                    <w:t>μg/L</w:t>
                  </w:r>
                </w:p>
              </w:tc>
              <w:tc>
                <w:tcPr>
                  <w:tcW w:w="1319" w:type="pct"/>
                  <w:vAlign w:val="center"/>
                </w:tcPr>
                <w:p w14:paraId="1800AF28">
                  <w:pPr>
                    <w:pStyle w:val="79"/>
                    <w:spacing w:line="240" w:lineRule="auto"/>
                    <w:jc w:val="center"/>
                    <w:rPr>
                      <w:rFonts w:hint="default" w:ascii="Times New Roman" w:hAnsi="Times New Roman" w:eastAsia="宋体" w:cs="Times New Roman"/>
                      <w:color w:val="FF0000"/>
                      <w:sz w:val="21"/>
                      <w:szCs w:val="21"/>
                      <w:lang w:val="en-US" w:eastAsia="zh-CN"/>
                    </w:rPr>
                  </w:pPr>
                  <w:r>
                    <w:rPr>
                      <w:rFonts w:ascii="Times New Roman" w:hAnsi="Times New Roman" w:eastAsia="宋体" w:cs="Times New Roman"/>
                      <w:color w:val="FF0000"/>
                      <w:sz w:val="21"/>
                      <w:szCs w:val="21"/>
                      <w:lang w:eastAsia="zh-CN"/>
                    </w:rPr>
                    <w:t>≤</w:t>
                  </w:r>
                  <w:r>
                    <w:rPr>
                      <w:rFonts w:hint="eastAsia" w:ascii="Times New Roman" w:hAnsi="Times New Roman" w:eastAsia="宋体" w:cs="Times New Roman"/>
                      <w:color w:val="FF0000"/>
                      <w:sz w:val="21"/>
                      <w:szCs w:val="21"/>
                      <w:lang w:val="en-US" w:eastAsia="zh-CN"/>
                    </w:rPr>
                    <w:t>10</w:t>
                  </w:r>
                </w:p>
              </w:tc>
              <w:tc>
                <w:tcPr>
                  <w:tcW w:w="667" w:type="pct"/>
                  <w:vAlign w:val="center"/>
                </w:tcPr>
                <w:p w14:paraId="247C1E79">
                  <w:pPr>
                    <w:pStyle w:val="79"/>
                    <w:spacing w:line="240" w:lineRule="auto"/>
                    <w:jc w:val="center"/>
                    <w:rPr>
                      <w:rFonts w:ascii="Times New Roman" w:hAnsi="Times New Roman" w:eastAsia="宋体" w:cs="Times New Roman"/>
                      <w:color w:val="FF0000"/>
                      <w:sz w:val="21"/>
                      <w:szCs w:val="21"/>
                      <w:lang w:eastAsia="zh-CN"/>
                    </w:rPr>
                  </w:pPr>
                  <w:r>
                    <w:rPr>
                      <w:rFonts w:ascii="Times New Roman" w:hAnsi="Times New Roman" w:eastAsia="宋体" w:cs="Times New Roman"/>
                      <w:color w:val="FF0000"/>
                      <w:sz w:val="21"/>
                      <w:szCs w:val="21"/>
                      <w:lang w:eastAsia="zh-CN"/>
                    </w:rPr>
                    <w:t>达标</w:t>
                  </w:r>
                </w:p>
              </w:tc>
            </w:tr>
            <w:tr w14:paraId="1149CD59">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PrEx>
              <w:tc>
                <w:tcPr>
                  <w:tcW w:w="1133" w:type="pct"/>
                  <w:shd w:val="clear" w:color="auto" w:fill="auto"/>
                  <w:vAlign w:val="center"/>
                </w:tcPr>
                <w:p w14:paraId="7F6F3C31">
                  <w:pPr>
                    <w:pStyle w:val="79"/>
                    <w:spacing w:line="240" w:lineRule="auto"/>
                    <w:jc w:val="center"/>
                    <w:rPr>
                      <w:rFonts w:hint="eastAsia" w:ascii="Times New Roman" w:hAnsi="Times New Roman" w:eastAsia="宋体" w:cs="Times New Roman"/>
                      <w:color w:val="FF0000"/>
                      <w:sz w:val="21"/>
                      <w:szCs w:val="21"/>
                      <w:lang w:val="en-US" w:eastAsia="zh-CN"/>
                    </w:rPr>
                  </w:pPr>
                  <w:r>
                    <w:rPr>
                      <w:rFonts w:hint="eastAsia" w:ascii="Times New Roman" w:hAnsi="Times New Roman" w:eastAsia="宋体" w:cs="Times New Roman"/>
                      <w:color w:val="FF0000"/>
                      <w:sz w:val="21"/>
                      <w:szCs w:val="21"/>
                      <w:lang w:eastAsia="zh-CN"/>
                    </w:rPr>
                    <w:t>砷</w:t>
                  </w:r>
                </w:p>
              </w:tc>
              <w:tc>
                <w:tcPr>
                  <w:tcW w:w="1457" w:type="dxa"/>
                  <w:vAlign w:val="center"/>
                </w:tcPr>
                <w:p w14:paraId="5A42FE59">
                  <w:pPr>
                    <w:pStyle w:val="79"/>
                    <w:spacing w:line="240" w:lineRule="auto"/>
                    <w:jc w:val="center"/>
                    <w:rPr>
                      <w:rFonts w:ascii="Times New Roman" w:hAnsi="Times New Roman" w:eastAsia="宋体" w:cs="Times New Roman"/>
                      <w:color w:val="FF0000"/>
                      <w:sz w:val="21"/>
                      <w:szCs w:val="21"/>
                      <w:lang w:eastAsia="zh-CN"/>
                    </w:rPr>
                  </w:pPr>
                  <w:r>
                    <w:rPr>
                      <w:rFonts w:hint="eastAsia" w:ascii="Times New Roman" w:hAnsi="Times New Roman" w:eastAsia="宋体" w:cs="Times New Roman"/>
                      <w:color w:val="FF0000"/>
                      <w:sz w:val="21"/>
                      <w:szCs w:val="21"/>
                      <w:lang w:val="en-US" w:eastAsia="zh-CN"/>
                    </w:rPr>
                    <w:t>1.1</w:t>
                  </w:r>
                </w:p>
              </w:tc>
              <w:tc>
                <w:tcPr>
                  <w:tcW w:w="1543" w:type="dxa"/>
                  <w:vAlign w:val="center"/>
                </w:tcPr>
                <w:p w14:paraId="009427A5">
                  <w:pPr>
                    <w:pStyle w:val="79"/>
                    <w:spacing w:line="240" w:lineRule="auto"/>
                    <w:jc w:val="center"/>
                    <w:rPr>
                      <w:rFonts w:ascii="Times New Roman" w:hAnsi="Times New Roman" w:eastAsia="宋体" w:cs="Times New Roman"/>
                      <w:color w:val="FF0000"/>
                      <w:sz w:val="21"/>
                      <w:szCs w:val="21"/>
                      <w:lang w:eastAsia="zh-CN"/>
                    </w:rPr>
                  </w:pPr>
                  <w:r>
                    <w:rPr>
                      <w:rFonts w:hint="default" w:ascii="Times New Roman" w:hAnsi="Times New Roman" w:eastAsia="宋体" w:cs="Times New Roman"/>
                      <w:color w:val="FF0000"/>
                      <w:sz w:val="21"/>
                      <w:szCs w:val="21"/>
                      <w:lang w:val="en-US" w:eastAsia="zh-CN"/>
                    </w:rPr>
                    <w:t>μg/L</w:t>
                  </w:r>
                </w:p>
              </w:tc>
              <w:tc>
                <w:tcPr>
                  <w:tcW w:w="1319" w:type="pct"/>
                  <w:vAlign w:val="center"/>
                </w:tcPr>
                <w:p w14:paraId="7D03EB0C">
                  <w:pPr>
                    <w:pStyle w:val="79"/>
                    <w:spacing w:line="240" w:lineRule="auto"/>
                    <w:jc w:val="center"/>
                    <w:rPr>
                      <w:rFonts w:hint="default" w:ascii="Times New Roman" w:hAnsi="Times New Roman" w:eastAsia="宋体" w:cs="Times New Roman"/>
                      <w:color w:val="FF0000"/>
                      <w:sz w:val="21"/>
                      <w:szCs w:val="21"/>
                      <w:lang w:val="en-US" w:eastAsia="zh-CN"/>
                    </w:rPr>
                  </w:pPr>
                  <w:r>
                    <w:rPr>
                      <w:rFonts w:ascii="Times New Roman" w:hAnsi="Times New Roman" w:eastAsia="宋体" w:cs="Times New Roman"/>
                      <w:color w:val="FF0000"/>
                      <w:sz w:val="21"/>
                      <w:szCs w:val="21"/>
                      <w:lang w:eastAsia="zh-CN"/>
                    </w:rPr>
                    <w:t>≤</w:t>
                  </w:r>
                  <w:r>
                    <w:rPr>
                      <w:rFonts w:hint="eastAsia" w:ascii="Times New Roman" w:hAnsi="Times New Roman" w:eastAsia="宋体" w:cs="Times New Roman"/>
                      <w:color w:val="FF0000"/>
                      <w:sz w:val="21"/>
                      <w:szCs w:val="21"/>
                      <w:lang w:val="en-US" w:eastAsia="zh-CN"/>
                    </w:rPr>
                    <w:t>50</w:t>
                  </w:r>
                </w:p>
              </w:tc>
              <w:tc>
                <w:tcPr>
                  <w:tcW w:w="667" w:type="pct"/>
                  <w:vAlign w:val="center"/>
                </w:tcPr>
                <w:p w14:paraId="414950E6">
                  <w:pPr>
                    <w:pStyle w:val="79"/>
                    <w:spacing w:line="240" w:lineRule="auto"/>
                    <w:jc w:val="center"/>
                    <w:rPr>
                      <w:rFonts w:ascii="Times New Roman" w:hAnsi="Times New Roman" w:eastAsia="宋体" w:cs="Times New Roman"/>
                      <w:color w:val="FF0000"/>
                      <w:sz w:val="21"/>
                      <w:szCs w:val="21"/>
                      <w:lang w:eastAsia="zh-CN"/>
                    </w:rPr>
                  </w:pPr>
                  <w:r>
                    <w:rPr>
                      <w:rFonts w:ascii="Times New Roman" w:hAnsi="Times New Roman" w:eastAsia="宋体" w:cs="Times New Roman"/>
                      <w:color w:val="FF0000"/>
                      <w:sz w:val="21"/>
                      <w:szCs w:val="21"/>
                      <w:lang w:eastAsia="zh-CN"/>
                    </w:rPr>
                    <w:t>达标</w:t>
                  </w:r>
                </w:p>
              </w:tc>
            </w:tr>
          </w:tbl>
          <w:p w14:paraId="39C75925">
            <w:pPr>
              <w:widowControl/>
              <w:spacing w:line="500" w:lineRule="exact"/>
              <w:ind w:firstLine="480" w:firstLineChars="200"/>
              <w:rPr>
                <w:color w:val="FF0000"/>
                <w:kern w:val="0"/>
                <w:sz w:val="24"/>
                <w:lang w:bidi="ar"/>
              </w:rPr>
            </w:pPr>
            <w:r>
              <w:rPr>
                <w:color w:val="FF0000"/>
                <w:kern w:val="0"/>
                <w:sz w:val="24"/>
                <w:lang w:bidi="ar"/>
              </w:rPr>
              <w:t>③监测</w:t>
            </w:r>
            <w:r>
              <w:rPr>
                <w:rFonts w:hint="eastAsia"/>
                <w:color w:val="FF0000"/>
                <w:kern w:val="0"/>
                <w:sz w:val="24"/>
                <w:lang w:bidi="ar"/>
              </w:rPr>
              <w:t>结果</w:t>
            </w:r>
            <w:r>
              <w:rPr>
                <w:color w:val="FF0000"/>
                <w:kern w:val="0"/>
                <w:sz w:val="24"/>
                <w:lang w:bidi="ar"/>
              </w:rPr>
              <w:t>分析</w:t>
            </w:r>
          </w:p>
          <w:p w14:paraId="6C2A4300">
            <w:pPr>
              <w:adjustRightInd w:val="0"/>
              <w:snapToGrid w:val="0"/>
              <w:spacing w:line="500" w:lineRule="exact"/>
              <w:ind w:firstLine="480" w:firstLineChars="200"/>
              <w:rPr>
                <w:color w:val="FF0000"/>
                <w:sz w:val="24"/>
              </w:rPr>
            </w:pPr>
            <w:r>
              <w:rPr>
                <w:color w:val="FF0000"/>
                <w:sz w:val="24"/>
              </w:rPr>
              <w:t>由上表监测结果可知，本项目所在区域</w:t>
            </w:r>
            <w:r>
              <w:rPr>
                <w:rFonts w:hint="eastAsia"/>
                <w:color w:val="FF0000"/>
                <w:kern w:val="0"/>
                <w:sz w:val="24"/>
                <w:highlight w:val="none"/>
                <w:lang w:val="en-US" w:eastAsia="zh-CN"/>
              </w:rPr>
              <w:t>厂区西南侧凉水河地表水环境</w:t>
            </w:r>
            <w:r>
              <w:rPr>
                <w:rFonts w:hint="eastAsia"/>
                <w:color w:val="FF0000"/>
                <w:sz w:val="24"/>
                <w:lang w:val="en-US" w:eastAsia="zh-CN"/>
              </w:rPr>
              <w:t>满足《地表水环境质量标准》（GB3838-2002）</w:t>
            </w:r>
            <w:r>
              <w:rPr>
                <w:color w:val="FF0000"/>
                <w:sz w:val="24"/>
              </w:rPr>
              <w:t>表1</w:t>
            </w:r>
            <w:r>
              <w:rPr>
                <w:rFonts w:hint="eastAsia"/>
                <w:color w:val="FF0000"/>
                <w:sz w:val="24"/>
                <w:lang w:val="en-US" w:eastAsia="zh-CN"/>
              </w:rPr>
              <w:t>中Ⅲ类标准</w:t>
            </w:r>
            <w:r>
              <w:rPr>
                <w:color w:val="FF0000"/>
                <w:sz w:val="24"/>
              </w:rPr>
              <w:t>。</w:t>
            </w:r>
          </w:p>
          <w:p w14:paraId="76A44E59">
            <w:pPr>
              <w:adjustRightInd w:val="0"/>
              <w:snapToGrid w:val="0"/>
              <w:spacing w:line="500" w:lineRule="exact"/>
              <w:rPr>
                <w:b/>
                <w:bCs/>
                <w:color w:val="000000" w:themeColor="text1"/>
                <w:sz w:val="24"/>
                <w14:textFill>
                  <w14:solidFill>
                    <w14:schemeClr w14:val="tx1"/>
                  </w14:solidFill>
                </w14:textFill>
              </w:rPr>
            </w:pPr>
            <w:r>
              <w:rPr>
                <w:b/>
                <w:bCs/>
                <w:color w:val="000000" w:themeColor="text1"/>
                <w:sz w:val="24"/>
                <w14:textFill>
                  <w14:solidFill>
                    <w14:schemeClr w14:val="tx1"/>
                  </w14:solidFill>
                </w14:textFill>
              </w:rPr>
              <w:t>5</w:t>
            </w:r>
            <w:r>
              <w:rPr>
                <w:rFonts w:hint="eastAsia"/>
                <w:b/>
                <w:bCs/>
                <w:color w:val="000000" w:themeColor="text1"/>
                <w:sz w:val="24"/>
                <w:lang w:val="en-US" w:eastAsia="zh-CN"/>
                <w14:textFill>
                  <w14:solidFill>
                    <w14:schemeClr w14:val="tx1"/>
                  </w14:solidFill>
                </w14:textFill>
              </w:rPr>
              <w:t>.</w:t>
            </w:r>
            <w:r>
              <w:rPr>
                <w:b/>
                <w:bCs/>
                <w:color w:val="000000" w:themeColor="text1"/>
                <w:sz w:val="24"/>
                <w14:textFill>
                  <w14:solidFill>
                    <w14:schemeClr w14:val="tx1"/>
                  </w14:solidFill>
                </w14:textFill>
              </w:rPr>
              <w:t>环境噪声</w:t>
            </w:r>
          </w:p>
          <w:p w14:paraId="185E97B5">
            <w:pPr>
              <w:widowControl/>
              <w:spacing w:line="500" w:lineRule="exact"/>
              <w:ind w:firstLine="480" w:firstLineChars="200"/>
              <w:rPr>
                <w:color w:val="000000" w:themeColor="text1"/>
                <w:kern w:val="0"/>
                <w:sz w:val="24"/>
                <w:lang w:bidi="ar"/>
                <w14:textFill>
                  <w14:solidFill>
                    <w14:schemeClr w14:val="tx1"/>
                  </w14:solidFill>
                </w14:textFill>
              </w:rPr>
            </w:pPr>
            <w:r>
              <w:rPr>
                <w:color w:val="000000" w:themeColor="text1"/>
                <w:kern w:val="0"/>
                <w:sz w:val="24"/>
                <w:lang w:bidi="ar"/>
                <w14:textFill>
                  <w14:solidFill>
                    <w14:schemeClr w14:val="tx1"/>
                  </w14:solidFill>
                </w14:textFill>
              </w:rPr>
              <w:t>（1）</w:t>
            </w:r>
            <w:r>
              <w:rPr>
                <w:rFonts w:hint="eastAsia"/>
                <w:color w:val="000000" w:themeColor="text1"/>
                <w:kern w:val="0"/>
                <w:sz w:val="24"/>
                <w:lang w:bidi="ar"/>
                <w14:textFill>
                  <w14:solidFill>
                    <w14:schemeClr w14:val="tx1"/>
                  </w14:solidFill>
                </w14:textFill>
              </w:rPr>
              <w:t>根据</w:t>
            </w:r>
            <w:r>
              <w:rPr>
                <w:color w:val="000000" w:themeColor="text1"/>
                <w:kern w:val="0"/>
                <w:sz w:val="24"/>
                <w:lang w:bidi="ar"/>
                <w14:textFill>
                  <w14:solidFill>
                    <w14:schemeClr w14:val="tx1"/>
                  </w14:solidFill>
                </w14:textFill>
              </w:rPr>
              <w:t>《北票市城市声环境功能区划调整方案》北政发〔2022〕13号</w:t>
            </w:r>
            <w:r>
              <w:rPr>
                <w:rFonts w:hint="eastAsia"/>
                <w:color w:val="000000" w:themeColor="text1"/>
                <w:kern w:val="0"/>
                <w:sz w:val="24"/>
                <w:lang w:bidi="ar"/>
                <w14:textFill>
                  <w14:solidFill>
                    <w14:schemeClr w14:val="tx1"/>
                  </w14:solidFill>
                </w14:textFill>
              </w:rPr>
              <w:t>，本项目位于</w:t>
            </w:r>
            <w:r>
              <w:rPr>
                <w:sz w:val="24"/>
              </w:rPr>
              <w:t>辽宁省朝阳市北票市宝锦线凉水河北侧3幢01023</w:t>
            </w:r>
            <w:r>
              <w:rPr>
                <w:rFonts w:hint="eastAsia"/>
                <w:sz w:val="24"/>
              </w:rPr>
              <w:t>，属于2类声环境功能区中的BP-SHJ-2-004 凉水河组团规划片区</w:t>
            </w:r>
            <w:r>
              <w:rPr>
                <w:rFonts w:hint="eastAsia"/>
                <w:color w:val="000000" w:themeColor="text1"/>
                <w:sz w:val="24"/>
                <w14:textFill>
                  <w14:solidFill>
                    <w14:schemeClr w14:val="tx1"/>
                  </w14:solidFill>
                </w14:textFill>
              </w:rPr>
              <w:t>，厂区南侧紧邻宝锦线，属于4a类声环境功能区中的北票市中心城区主要交通干线，所以</w:t>
            </w:r>
            <w:r>
              <w:rPr>
                <w:color w:val="000000" w:themeColor="text1"/>
                <w:kern w:val="0"/>
                <w:sz w:val="24"/>
                <w:lang w:bidi="ar"/>
                <w14:textFill>
                  <w14:solidFill>
                    <w14:schemeClr w14:val="tx1"/>
                  </w14:solidFill>
                </w14:textFill>
              </w:rPr>
              <w:t>本项目</w:t>
            </w:r>
            <w:r>
              <w:rPr>
                <w:rFonts w:hint="eastAsia"/>
                <w:color w:val="000000" w:themeColor="text1"/>
                <w:kern w:val="0"/>
                <w:sz w:val="24"/>
                <w:lang w:bidi="ar"/>
                <w14:textFill>
                  <w14:solidFill>
                    <w14:schemeClr w14:val="tx1"/>
                  </w14:solidFill>
                </w14:textFill>
              </w:rPr>
              <w:t>厂区西侧、北侧、东侧</w:t>
            </w:r>
            <w:r>
              <w:rPr>
                <w:color w:val="000000" w:themeColor="text1"/>
                <w:kern w:val="0"/>
                <w:sz w:val="24"/>
                <w:lang w:bidi="ar"/>
                <w14:textFill>
                  <w14:solidFill>
                    <w14:schemeClr w14:val="tx1"/>
                  </w14:solidFill>
                </w14:textFill>
              </w:rPr>
              <w:t>环境噪声执行国家《声环境质量标准》(GB3096-2008）</w:t>
            </w:r>
            <w:r>
              <w:rPr>
                <w:rFonts w:hint="eastAsia"/>
                <w:color w:val="000000" w:themeColor="text1"/>
                <w:kern w:val="0"/>
                <w:sz w:val="24"/>
                <w:lang w:bidi="ar"/>
                <w14:textFill>
                  <w14:solidFill>
                    <w14:schemeClr w14:val="tx1"/>
                  </w14:solidFill>
                </w14:textFill>
              </w:rPr>
              <w:t>2</w:t>
            </w:r>
            <w:r>
              <w:rPr>
                <w:color w:val="000000" w:themeColor="text1"/>
                <w:kern w:val="0"/>
                <w:sz w:val="24"/>
                <w:lang w:bidi="ar"/>
                <w14:textFill>
                  <w14:solidFill>
                    <w14:schemeClr w14:val="tx1"/>
                  </w14:solidFill>
                </w14:textFill>
              </w:rPr>
              <w:t>类标准</w:t>
            </w:r>
            <w:r>
              <w:rPr>
                <w:rFonts w:hint="eastAsia"/>
                <w:color w:val="000000" w:themeColor="text1"/>
                <w:kern w:val="0"/>
                <w:sz w:val="24"/>
                <w:lang w:bidi="ar"/>
                <w14:textFill>
                  <w14:solidFill>
                    <w14:schemeClr w14:val="tx1"/>
                  </w14:solidFill>
                </w14:textFill>
              </w:rPr>
              <w:t>，南侧</w:t>
            </w:r>
            <w:r>
              <w:rPr>
                <w:color w:val="000000" w:themeColor="text1"/>
                <w:kern w:val="0"/>
                <w:sz w:val="24"/>
                <w:lang w:bidi="ar"/>
                <w14:textFill>
                  <w14:solidFill>
                    <w14:schemeClr w14:val="tx1"/>
                  </w14:solidFill>
                </w14:textFill>
              </w:rPr>
              <w:t>环境噪声执行国家《声环境质量标准》(GB3096-2008）</w:t>
            </w:r>
            <w:r>
              <w:rPr>
                <w:rFonts w:hint="eastAsia"/>
                <w:color w:val="000000" w:themeColor="text1"/>
                <w:kern w:val="0"/>
                <w:sz w:val="24"/>
                <w:lang w:bidi="ar"/>
                <w14:textFill>
                  <w14:solidFill>
                    <w14:schemeClr w14:val="tx1"/>
                  </w14:solidFill>
                </w14:textFill>
              </w:rPr>
              <w:t>4a</w:t>
            </w:r>
            <w:r>
              <w:rPr>
                <w:color w:val="000000" w:themeColor="text1"/>
                <w:kern w:val="0"/>
                <w:sz w:val="24"/>
                <w:lang w:bidi="ar"/>
                <w14:textFill>
                  <w14:solidFill>
                    <w14:schemeClr w14:val="tx1"/>
                  </w14:solidFill>
                </w14:textFill>
              </w:rPr>
              <w:t>类标准，</w:t>
            </w:r>
            <w:r>
              <w:rPr>
                <w:rFonts w:hint="eastAsia"/>
                <w:color w:val="000000" w:themeColor="text1"/>
                <w:kern w:val="0"/>
                <w:sz w:val="24"/>
                <w:lang w:bidi="ar"/>
                <w14:textFill>
                  <w14:solidFill>
                    <w14:schemeClr w14:val="tx1"/>
                  </w14:solidFill>
                </w14:textFill>
              </w:rPr>
              <w:t>本项目</w:t>
            </w:r>
            <w:r>
              <w:rPr>
                <w:color w:val="000000" w:themeColor="text1"/>
                <w:kern w:val="0"/>
                <w:sz w:val="24"/>
                <w:lang w:bidi="ar"/>
                <w14:textFill>
                  <w14:solidFill>
                    <w14:schemeClr w14:val="tx1"/>
                  </w14:solidFill>
                </w14:textFill>
              </w:rPr>
              <w:t>声环境质量标准详见表3-</w:t>
            </w:r>
            <w:r>
              <w:rPr>
                <w:rFonts w:hint="eastAsia"/>
                <w:color w:val="000000" w:themeColor="text1"/>
                <w:kern w:val="0"/>
                <w:sz w:val="24"/>
                <w:lang w:bidi="ar"/>
                <w14:textFill>
                  <w14:solidFill>
                    <w14:schemeClr w14:val="tx1"/>
                  </w14:solidFill>
                </w14:textFill>
              </w:rPr>
              <w:t>8</w:t>
            </w:r>
            <w:r>
              <w:rPr>
                <w:color w:val="000000" w:themeColor="text1"/>
                <w:kern w:val="0"/>
                <w:sz w:val="24"/>
                <w:lang w:bidi="ar"/>
                <w14:textFill>
                  <w14:solidFill>
                    <w14:schemeClr w14:val="tx1"/>
                  </w14:solidFill>
                </w14:textFill>
              </w:rPr>
              <w:t>。</w:t>
            </w:r>
          </w:p>
          <w:p w14:paraId="7FEEB977">
            <w:pPr>
              <w:spacing w:line="500" w:lineRule="exact"/>
              <w:jc w:val="center"/>
              <w:rPr>
                <w:b/>
                <w:bCs/>
                <w:color w:val="000000" w:themeColor="text1"/>
                <w:szCs w:val="21"/>
                <w14:textFill>
                  <w14:solidFill>
                    <w14:schemeClr w14:val="tx1"/>
                  </w14:solidFill>
                </w14:textFill>
              </w:rPr>
            </w:pPr>
            <w:r>
              <w:rPr>
                <w:b/>
                <w:bCs/>
                <w:color w:val="000000" w:themeColor="text1"/>
                <w:szCs w:val="21"/>
                <w14:textFill>
                  <w14:solidFill>
                    <w14:schemeClr w14:val="tx1"/>
                  </w14:solidFill>
                </w14:textFill>
              </w:rPr>
              <w:t>表3-</w:t>
            </w:r>
            <w:r>
              <w:rPr>
                <w:rFonts w:hint="eastAsia"/>
                <w:b/>
                <w:bCs/>
                <w:color w:val="000000" w:themeColor="text1"/>
                <w:szCs w:val="21"/>
                <w:lang w:val="en-US" w:eastAsia="zh-CN"/>
                <w14:textFill>
                  <w14:solidFill>
                    <w14:schemeClr w14:val="tx1"/>
                  </w14:solidFill>
                </w14:textFill>
              </w:rPr>
              <w:t>9</w:t>
            </w:r>
            <w:r>
              <w:rPr>
                <w:b/>
                <w:bCs/>
                <w:color w:val="000000" w:themeColor="text1"/>
                <w:szCs w:val="21"/>
                <w14:textFill>
                  <w14:solidFill>
                    <w14:schemeClr w14:val="tx1"/>
                  </w14:solidFill>
                </w14:textFill>
              </w:rPr>
              <w:t xml:space="preserve"> </w:t>
            </w:r>
            <w:r>
              <w:rPr>
                <w:rFonts w:hint="eastAsia"/>
                <w:b/>
                <w:bCs/>
                <w:color w:val="000000" w:themeColor="text1"/>
                <w:szCs w:val="21"/>
                <w14:textFill>
                  <w14:solidFill>
                    <w14:schemeClr w14:val="tx1"/>
                  </w14:solidFill>
                </w14:textFill>
              </w:rPr>
              <w:t xml:space="preserve">  </w:t>
            </w:r>
            <w:r>
              <w:rPr>
                <w:b/>
                <w:bCs/>
                <w:color w:val="000000" w:themeColor="text1"/>
                <w:szCs w:val="21"/>
                <w14:textFill>
                  <w14:solidFill>
                    <w14:schemeClr w14:val="tx1"/>
                  </w14:solidFill>
                </w14:textFill>
              </w:rPr>
              <w:t xml:space="preserve"> 声环境质量标准   单位：dB（A）</w:t>
            </w:r>
          </w:p>
          <w:tbl>
            <w:tblPr>
              <w:tblStyle w:val="35"/>
              <w:tblW w:w="4998" w:type="pct"/>
              <w:tblInd w:w="0" w:type="dxa"/>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305"/>
              <w:gridCol w:w="802"/>
              <w:gridCol w:w="818"/>
              <w:gridCol w:w="5057"/>
            </w:tblGrid>
            <w:tr w14:paraId="69687B37">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818" w:type="pct"/>
                  <w:vMerge w:val="restart"/>
                  <w:tcBorders>
                    <w:tl2br w:val="nil"/>
                    <w:tr2bl w:val="nil"/>
                  </w:tcBorders>
                  <w:vAlign w:val="center"/>
                </w:tcPr>
                <w:p w14:paraId="044E0BB6">
                  <w:pPr>
                    <w:spacing w:line="240" w:lineRule="auto"/>
                    <w:jc w:val="center"/>
                    <w:rPr>
                      <w:rFonts w:hint="eastAsia" w:asciiTheme="minorEastAsia" w:hAnsiTheme="minorEastAsia" w:eastAsiaTheme="minorEastAsia" w:cstheme="minorEastAsia"/>
                      <w:b/>
                      <w:bCs/>
                      <w:color w:val="000000" w:themeColor="text1"/>
                      <w:szCs w:val="21"/>
                      <w14:textFill>
                        <w14:solidFill>
                          <w14:schemeClr w14:val="tx1"/>
                        </w14:solidFill>
                      </w14:textFill>
                    </w:rPr>
                  </w:pPr>
                  <w:r>
                    <w:rPr>
                      <w:rFonts w:hint="eastAsia" w:asciiTheme="minorEastAsia" w:hAnsiTheme="minorEastAsia" w:eastAsiaTheme="minorEastAsia" w:cstheme="minorEastAsia"/>
                      <w:b/>
                      <w:bCs/>
                      <w:color w:val="000000" w:themeColor="text1"/>
                      <w:szCs w:val="21"/>
                      <w14:textFill>
                        <w14:solidFill>
                          <w14:schemeClr w14:val="tx1"/>
                        </w14:solidFill>
                      </w14:textFill>
                    </w:rPr>
                    <w:t>声环境功能区类别</w:t>
                  </w:r>
                </w:p>
              </w:tc>
              <w:tc>
                <w:tcPr>
                  <w:tcW w:w="1014" w:type="pct"/>
                  <w:gridSpan w:val="2"/>
                  <w:tcBorders>
                    <w:tl2br w:val="nil"/>
                    <w:tr2bl w:val="nil"/>
                  </w:tcBorders>
                  <w:vAlign w:val="center"/>
                </w:tcPr>
                <w:p w14:paraId="4123F3CC">
                  <w:pPr>
                    <w:spacing w:line="240" w:lineRule="auto"/>
                    <w:jc w:val="center"/>
                    <w:rPr>
                      <w:rFonts w:hint="eastAsia" w:asciiTheme="minorEastAsia" w:hAnsiTheme="minorEastAsia" w:eastAsiaTheme="minorEastAsia" w:cstheme="minorEastAsia"/>
                      <w:b/>
                      <w:bCs/>
                      <w:color w:val="000000" w:themeColor="text1"/>
                      <w:szCs w:val="21"/>
                      <w14:textFill>
                        <w14:solidFill>
                          <w14:schemeClr w14:val="tx1"/>
                        </w14:solidFill>
                      </w14:textFill>
                    </w:rPr>
                  </w:pPr>
                  <w:r>
                    <w:rPr>
                      <w:rFonts w:hint="eastAsia" w:asciiTheme="minorEastAsia" w:hAnsiTheme="minorEastAsia" w:eastAsiaTheme="minorEastAsia" w:cstheme="minorEastAsia"/>
                      <w:b/>
                      <w:bCs/>
                      <w:color w:val="000000" w:themeColor="text1"/>
                      <w:szCs w:val="21"/>
                      <w14:textFill>
                        <w14:solidFill>
                          <w14:schemeClr w14:val="tx1"/>
                        </w14:solidFill>
                      </w14:textFill>
                    </w:rPr>
                    <w:t>时段</w:t>
                  </w:r>
                </w:p>
              </w:tc>
              <w:tc>
                <w:tcPr>
                  <w:tcW w:w="3167" w:type="pct"/>
                  <w:vMerge w:val="restart"/>
                  <w:tcBorders>
                    <w:tl2br w:val="nil"/>
                    <w:tr2bl w:val="nil"/>
                  </w:tcBorders>
                  <w:vAlign w:val="center"/>
                </w:tcPr>
                <w:p w14:paraId="1B4CB92C">
                  <w:pPr>
                    <w:spacing w:line="240" w:lineRule="auto"/>
                    <w:jc w:val="center"/>
                    <w:rPr>
                      <w:rFonts w:hint="eastAsia" w:asciiTheme="minorEastAsia" w:hAnsiTheme="minorEastAsia" w:eastAsiaTheme="minorEastAsia" w:cstheme="minorEastAsia"/>
                      <w:b/>
                      <w:bCs/>
                      <w:color w:val="000000" w:themeColor="text1"/>
                      <w:szCs w:val="21"/>
                      <w14:textFill>
                        <w14:solidFill>
                          <w14:schemeClr w14:val="tx1"/>
                        </w14:solidFill>
                      </w14:textFill>
                    </w:rPr>
                  </w:pPr>
                  <w:r>
                    <w:rPr>
                      <w:rFonts w:hint="eastAsia" w:asciiTheme="minorEastAsia" w:hAnsiTheme="minorEastAsia" w:eastAsiaTheme="minorEastAsia" w:cstheme="minorEastAsia"/>
                      <w:b/>
                      <w:bCs/>
                      <w:color w:val="000000" w:themeColor="text1"/>
                      <w:szCs w:val="21"/>
                      <w14:textFill>
                        <w14:solidFill>
                          <w14:schemeClr w14:val="tx1"/>
                        </w14:solidFill>
                      </w14:textFill>
                    </w:rPr>
                    <w:t>备注</w:t>
                  </w:r>
                </w:p>
              </w:tc>
            </w:tr>
            <w:tr w14:paraId="2BAF3ECC">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818" w:type="pct"/>
                  <w:vMerge w:val="continue"/>
                  <w:tcBorders>
                    <w:tl2br w:val="nil"/>
                    <w:tr2bl w:val="nil"/>
                  </w:tcBorders>
                  <w:vAlign w:val="center"/>
                </w:tcPr>
                <w:p w14:paraId="684BC997">
                  <w:pPr>
                    <w:spacing w:line="240" w:lineRule="auto"/>
                    <w:jc w:val="center"/>
                    <w:rPr>
                      <w:rFonts w:hint="eastAsia" w:asciiTheme="minorEastAsia" w:hAnsiTheme="minorEastAsia" w:eastAsiaTheme="minorEastAsia" w:cstheme="minorEastAsia"/>
                      <w:b/>
                      <w:bCs/>
                      <w:color w:val="000000" w:themeColor="text1"/>
                      <w:szCs w:val="21"/>
                      <w14:textFill>
                        <w14:solidFill>
                          <w14:schemeClr w14:val="tx1"/>
                        </w14:solidFill>
                      </w14:textFill>
                    </w:rPr>
                  </w:pPr>
                </w:p>
              </w:tc>
              <w:tc>
                <w:tcPr>
                  <w:tcW w:w="502" w:type="pct"/>
                  <w:tcBorders>
                    <w:tl2br w:val="nil"/>
                    <w:tr2bl w:val="nil"/>
                  </w:tcBorders>
                  <w:vAlign w:val="center"/>
                </w:tcPr>
                <w:p w14:paraId="3E81932D">
                  <w:pPr>
                    <w:spacing w:line="240" w:lineRule="auto"/>
                    <w:jc w:val="center"/>
                    <w:rPr>
                      <w:rFonts w:hint="eastAsia" w:asciiTheme="minorEastAsia" w:hAnsiTheme="minorEastAsia" w:eastAsiaTheme="minorEastAsia" w:cstheme="minorEastAsia"/>
                      <w:b/>
                      <w:bCs/>
                      <w:color w:val="000000" w:themeColor="text1"/>
                      <w:szCs w:val="21"/>
                      <w14:textFill>
                        <w14:solidFill>
                          <w14:schemeClr w14:val="tx1"/>
                        </w14:solidFill>
                      </w14:textFill>
                    </w:rPr>
                  </w:pPr>
                  <w:r>
                    <w:rPr>
                      <w:rFonts w:hint="eastAsia" w:asciiTheme="minorEastAsia" w:hAnsiTheme="minorEastAsia" w:eastAsiaTheme="minorEastAsia" w:cstheme="minorEastAsia"/>
                      <w:b/>
                      <w:bCs/>
                      <w:color w:val="000000" w:themeColor="text1"/>
                      <w:szCs w:val="21"/>
                      <w14:textFill>
                        <w14:solidFill>
                          <w14:schemeClr w14:val="tx1"/>
                        </w14:solidFill>
                      </w14:textFill>
                    </w:rPr>
                    <w:t>昼间</w:t>
                  </w:r>
                </w:p>
              </w:tc>
              <w:tc>
                <w:tcPr>
                  <w:tcW w:w="512" w:type="pct"/>
                  <w:tcBorders>
                    <w:tl2br w:val="nil"/>
                    <w:tr2bl w:val="nil"/>
                  </w:tcBorders>
                  <w:vAlign w:val="center"/>
                </w:tcPr>
                <w:p w14:paraId="0BF7FFB7">
                  <w:pPr>
                    <w:spacing w:line="240" w:lineRule="auto"/>
                    <w:jc w:val="center"/>
                    <w:rPr>
                      <w:rFonts w:hint="eastAsia" w:asciiTheme="minorEastAsia" w:hAnsiTheme="minorEastAsia" w:eastAsiaTheme="minorEastAsia" w:cstheme="minorEastAsia"/>
                      <w:b/>
                      <w:bCs/>
                      <w:color w:val="000000" w:themeColor="text1"/>
                      <w:szCs w:val="21"/>
                      <w14:textFill>
                        <w14:solidFill>
                          <w14:schemeClr w14:val="tx1"/>
                        </w14:solidFill>
                      </w14:textFill>
                    </w:rPr>
                  </w:pPr>
                  <w:r>
                    <w:rPr>
                      <w:rFonts w:hint="eastAsia" w:asciiTheme="minorEastAsia" w:hAnsiTheme="minorEastAsia" w:eastAsiaTheme="minorEastAsia" w:cstheme="minorEastAsia"/>
                      <w:b/>
                      <w:bCs/>
                      <w:color w:val="000000" w:themeColor="text1"/>
                      <w:szCs w:val="21"/>
                      <w14:textFill>
                        <w14:solidFill>
                          <w14:schemeClr w14:val="tx1"/>
                        </w14:solidFill>
                      </w14:textFill>
                    </w:rPr>
                    <w:t>夜间</w:t>
                  </w:r>
                </w:p>
              </w:tc>
              <w:tc>
                <w:tcPr>
                  <w:tcW w:w="3167" w:type="pct"/>
                  <w:vMerge w:val="continue"/>
                  <w:tcBorders>
                    <w:tl2br w:val="nil"/>
                    <w:tr2bl w:val="nil"/>
                  </w:tcBorders>
                  <w:vAlign w:val="center"/>
                </w:tcPr>
                <w:p w14:paraId="4419C534">
                  <w:pPr>
                    <w:spacing w:line="240" w:lineRule="auto"/>
                    <w:jc w:val="center"/>
                    <w:rPr>
                      <w:rFonts w:hint="eastAsia" w:asciiTheme="minorEastAsia" w:hAnsiTheme="minorEastAsia" w:eastAsiaTheme="minorEastAsia" w:cstheme="minorEastAsia"/>
                      <w:b/>
                      <w:bCs/>
                      <w:color w:val="000000" w:themeColor="text1"/>
                      <w:szCs w:val="21"/>
                      <w14:textFill>
                        <w14:solidFill>
                          <w14:schemeClr w14:val="tx1"/>
                        </w14:solidFill>
                      </w14:textFill>
                    </w:rPr>
                  </w:pPr>
                </w:p>
              </w:tc>
            </w:tr>
            <w:tr w14:paraId="0F027A97">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18" w:type="pct"/>
                  <w:tcBorders>
                    <w:tl2br w:val="nil"/>
                    <w:tr2bl w:val="nil"/>
                  </w:tcBorders>
                  <w:vAlign w:val="center"/>
                </w:tcPr>
                <w:p w14:paraId="7D08E8F4">
                  <w:pPr>
                    <w:pStyle w:val="79"/>
                    <w:spacing w:line="240" w:lineRule="auto"/>
                    <w:jc w:val="center"/>
                    <w:rPr>
                      <w:rFonts w:ascii="Times New Roman" w:hAnsi="Times New Roman"/>
                      <w:color w:val="000000" w:themeColor="text1"/>
                      <w:sz w:val="21"/>
                      <w:szCs w:val="21"/>
                      <w:lang w:eastAsia="zh-CN"/>
                      <w14:textFill>
                        <w14:solidFill>
                          <w14:schemeClr w14:val="tx1"/>
                        </w14:solidFill>
                      </w14:textFill>
                    </w:rPr>
                  </w:pPr>
                  <w:r>
                    <w:rPr>
                      <w:rFonts w:hint="eastAsia" w:ascii="Times New Roman" w:hAnsi="Times New Roman"/>
                      <w:color w:val="000000" w:themeColor="text1"/>
                      <w:sz w:val="21"/>
                      <w:szCs w:val="21"/>
                      <w:lang w:eastAsia="zh-CN"/>
                      <w14:textFill>
                        <w14:solidFill>
                          <w14:schemeClr w14:val="tx1"/>
                        </w14:solidFill>
                      </w14:textFill>
                    </w:rPr>
                    <w:t>2类</w:t>
                  </w:r>
                </w:p>
              </w:tc>
              <w:tc>
                <w:tcPr>
                  <w:tcW w:w="502" w:type="pct"/>
                  <w:tcBorders>
                    <w:tl2br w:val="nil"/>
                    <w:tr2bl w:val="nil"/>
                  </w:tcBorders>
                  <w:vAlign w:val="center"/>
                </w:tcPr>
                <w:p w14:paraId="59DDD878">
                  <w:pPr>
                    <w:pStyle w:val="79"/>
                    <w:spacing w:line="240" w:lineRule="auto"/>
                    <w:jc w:val="center"/>
                    <w:rPr>
                      <w:rFonts w:ascii="Times New Roman" w:hAnsi="Times New Roman"/>
                      <w:color w:val="000000" w:themeColor="text1"/>
                      <w:sz w:val="21"/>
                      <w:szCs w:val="21"/>
                      <w:lang w:eastAsia="zh-CN"/>
                      <w14:textFill>
                        <w14:solidFill>
                          <w14:schemeClr w14:val="tx1"/>
                        </w14:solidFill>
                      </w14:textFill>
                    </w:rPr>
                  </w:pPr>
                  <w:r>
                    <w:rPr>
                      <w:rFonts w:hint="eastAsia" w:ascii="Times New Roman" w:hAnsi="Times New Roman"/>
                      <w:color w:val="000000" w:themeColor="text1"/>
                      <w:sz w:val="21"/>
                      <w:szCs w:val="21"/>
                      <w:lang w:eastAsia="zh-CN"/>
                      <w14:textFill>
                        <w14:solidFill>
                          <w14:schemeClr w14:val="tx1"/>
                        </w14:solidFill>
                      </w14:textFill>
                    </w:rPr>
                    <w:t>60</w:t>
                  </w:r>
                </w:p>
              </w:tc>
              <w:tc>
                <w:tcPr>
                  <w:tcW w:w="512" w:type="pct"/>
                  <w:tcBorders>
                    <w:tl2br w:val="nil"/>
                    <w:tr2bl w:val="nil"/>
                  </w:tcBorders>
                  <w:vAlign w:val="center"/>
                </w:tcPr>
                <w:p w14:paraId="2EC648F0">
                  <w:pPr>
                    <w:pStyle w:val="79"/>
                    <w:spacing w:line="240" w:lineRule="auto"/>
                    <w:jc w:val="center"/>
                    <w:rPr>
                      <w:rFonts w:ascii="Times New Roman" w:hAnsi="Times New Roman"/>
                      <w:color w:val="000000" w:themeColor="text1"/>
                      <w:sz w:val="21"/>
                      <w:szCs w:val="21"/>
                      <w:lang w:eastAsia="zh-CN"/>
                      <w14:textFill>
                        <w14:solidFill>
                          <w14:schemeClr w14:val="tx1"/>
                        </w14:solidFill>
                      </w14:textFill>
                    </w:rPr>
                  </w:pPr>
                  <w:r>
                    <w:rPr>
                      <w:rFonts w:hint="eastAsia" w:ascii="Times New Roman" w:hAnsi="Times New Roman"/>
                      <w:color w:val="000000" w:themeColor="text1"/>
                      <w:sz w:val="21"/>
                      <w:szCs w:val="21"/>
                      <w:lang w:eastAsia="zh-CN"/>
                      <w14:textFill>
                        <w14:solidFill>
                          <w14:schemeClr w14:val="tx1"/>
                        </w14:solidFill>
                      </w14:textFill>
                    </w:rPr>
                    <w:t>50</w:t>
                  </w:r>
                </w:p>
              </w:tc>
              <w:tc>
                <w:tcPr>
                  <w:tcW w:w="3167" w:type="pct"/>
                  <w:tcBorders>
                    <w:tl2br w:val="nil"/>
                    <w:tr2bl w:val="nil"/>
                  </w:tcBorders>
                  <w:vAlign w:val="center"/>
                </w:tcPr>
                <w:p w14:paraId="07E8F4C2">
                  <w:pPr>
                    <w:pStyle w:val="79"/>
                    <w:spacing w:line="240" w:lineRule="auto"/>
                    <w:jc w:val="center"/>
                    <w:rPr>
                      <w:rFonts w:ascii="Times New Roman" w:hAnsi="Times New Roman"/>
                      <w:color w:val="000000" w:themeColor="text1"/>
                      <w:sz w:val="21"/>
                      <w:szCs w:val="21"/>
                      <w:lang w:eastAsia="zh-CN"/>
                      <w14:textFill>
                        <w14:solidFill>
                          <w14:schemeClr w14:val="tx1"/>
                        </w14:solidFill>
                      </w14:textFill>
                    </w:rPr>
                  </w:pPr>
                  <w:r>
                    <w:rPr>
                      <w:rFonts w:hint="eastAsia" w:ascii="Times New Roman" w:hAnsi="Times New Roman"/>
                      <w:color w:val="000000" w:themeColor="text1"/>
                      <w:sz w:val="21"/>
                      <w:szCs w:val="21"/>
                      <w:lang w:eastAsia="zh-CN"/>
                      <w14:textFill>
                        <w14:solidFill>
                          <w14:schemeClr w14:val="tx1"/>
                        </w14:solidFill>
                      </w14:textFill>
                    </w:rPr>
                    <w:t>《声环境质量标准》（GB3096-2008）2类标准</w:t>
                  </w:r>
                </w:p>
              </w:tc>
            </w:tr>
            <w:tr w14:paraId="3733AB04">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18" w:type="pct"/>
                  <w:tcBorders>
                    <w:tl2br w:val="nil"/>
                    <w:tr2bl w:val="nil"/>
                  </w:tcBorders>
                  <w:vAlign w:val="center"/>
                </w:tcPr>
                <w:p w14:paraId="6D25AA9A">
                  <w:pPr>
                    <w:pStyle w:val="79"/>
                    <w:spacing w:line="240" w:lineRule="auto"/>
                    <w:jc w:val="center"/>
                    <w:rPr>
                      <w:rFonts w:ascii="Times New Roman" w:hAnsi="Times New Roman"/>
                      <w:color w:val="000000" w:themeColor="text1"/>
                      <w:sz w:val="21"/>
                      <w:szCs w:val="21"/>
                      <w:lang w:eastAsia="zh-CN"/>
                      <w14:textFill>
                        <w14:solidFill>
                          <w14:schemeClr w14:val="tx1"/>
                        </w14:solidFill>
                      </w14:textFill>
                    </w:rPr>
                  </w:pPr>
                  <w:r>
                    <w:rPr>
                      <w:rFonts w:hint="eastAsia" w:ascii="Times New Roman" w:hAnsi="Times New Roman"/>
                      <w:color w:val="000000" w:themeColor="text1"/>
                      <w:sz w:val="21"/>
                      <w:szCs w:val="21"/>
                      <w:lang w:eastAsia="zh-CN"/>
                      <w14:textFill>
                        <w14:solidFill>
                          <w14:schemeClr w14:val="tx1"/>
                        </w14:solidFill>
                      </w14:textFill>
                    </w:rPr>
                    <w:t>4a类</w:t>
                  </w:r>
                </w:p>
              </w:tc>
              <w:tc>
                <w:tcPr>
                  <w:tcW w:w="502" w:type="pct"/>
                  <w:tcBorders>
                    <w:tl2br w:val="nil"/>
                    <w:tr2bl w:val="nil"/>
                  </w:tcBorders>
                  <w:vAlign w:val="center"/>
                </w:tcPr>
                <w:p w14:paraId="590EB52E">
                  <w:pPr>
                    <w:pStyle w:val="79"/>
                    <w:spacing w:line="240" w:lineRule="auto"/>
                    <w:jc w:val="center"/>
                    <w:rPr>
                      <w:rFonts w:ascii="Times New Roman" w:hAnsi="Times New Roman"/>
                      <w:color w:val="000000" w:themeColor="text1"/>
                      <w:sz w:val="21"/>
                      <w:szCs w:val="21"/>
                      <w:lang w:eastAsia="zh-CN"/>
                      <w14:textFill>
                        <w14:solidFill>
                          <w14:schemeClr w14:val="tx1"/>
                        </w14:solidFill>
                      </w14:textFill>
                    </w:rPr>
                  </w:pPr>
                  <w:r>
                    <w:rPr>
                      <w:rFonts w:hint="eastAsia" w:ascii="Times New Roman" w:hAnsi="Times New Roman"/>
                      <w:color w:val="000000" w:themeColor="text1"/>
                      <w:sz w:val="21"/>
                      <w:szCs w:val="21"/>
                      <w:lang w:eastAsia="zh-CN"/>
                      <w14:textFill>
                        <w14:solidFill>
                          <w14:schemeClr w14:val="tx1"/>
                        </w14:solidFill>
                      </w14:textFill>
                    </w:rPr>
                    <w:t>70</w:t>
                  </w:r>
                </w:p>
              </w:tc>
              <w:tc>
                <w:tcPr>
                  <w:tcW w:w="512" w:type="pct"/>
                  <w:tcBorders>
                    <w:tl2br w:val="nil"/>
                    <w:tr2bl w:val="nil"/>
                  </w:tcBorders>
                  <w:vAlign w:val="center"/>
                </w:tcPr>
                <w:p w14:paraId="24497A75">
                  <w:pPr>
                    <w:pStyle w:val="79"/>
                    <w:spacing w:line="240" w:lineRule="auto"/>
                    <w:jc w:val="center"/>
                    <w:rPr>
                      <w:rFonts w:ascii="Times New Roman" w:hAnsi="Times New Roman"/>
                      <w:color w:val="000000" w:themeColor="text1"/>
                      <w:sz w:val="21"/>
                      <w:szCs w:val="21"/>
                      <w:lang w:eastAsia="zh-CN"/>
                      <w14:textFill>
                        <w14:solidFill>
                          <w14:schemeClr w14:val="tx1"/>
                        </w14:solidFill>
                      </w14:textFill>
                    </w:rPr>
                  </w:pPr>
                  <w:r>
                    <w:rPr>
                      <w:rFonts w:hint="eastAsia" w:ascii="Times New Roman" w:hAnsi="Times New Roman"/>
                      <w:color w:val="000000" w:themeColor="text1"/>
                      <w:sz w:val="21"/>
                      <w:szCs w:val="21"/>
                      <w:lang w:eastAsia="zh-CN"/>
                      <w14:textFill>
                        <w14:solidFill>
                          <w14:schemeClr w14:val="tx1"/>
                        </w14:solidFill>
                      </w14:textFill>
                    </w:rPr>
                    <w:t>55</w:t>
                  </w:r>
                </w:p>
              </w:tc>
              <w:tc>
                <w:tcPr>
                  <w:tcW w:w="3167" w:type="pct"/>
                  <w:tcBorders>
                    <w:tl2br w:val="nil"/>
                    <w:tr2bl w:val="nil"/>
                  </w:tcBorders>
                  <w:vAlign w:val="center"/>
                </w:tcPr>
                <w:p w14:paraId="31EB9EB1">
                  <w:pPr>
                    <w:pStyle w:val="79"/>
                    <w:spacing w:line="240" w:lineRule="auto"/>
                    <w:jc w:val="center"/>
                    <w:rPr>
                      <w:rFonts w:ascii="Times New Roman" w:hAnsi="Times New Roman"/>
                      <w:color w:val="000000" w:themeColor="text1"/>
                      <w:sz w:val="21"/>
                      <w:szCs w:val="21"/>
                      <w:lang w:eastAsia="zh-CN"/>
                      <w14:textFill>
                        <w14:solidFill>
                          <w14:schemeClr w14:val="tx1"/>
                        </w14:solidFill>
                      </w14:textFill>
                    </w:rPr>
                  </w:pPr>
                  <w:r>
                    <w:rPr>
                      <w:rFonts w:hint="eastAsia" w:ascii="Times New Roman" w:hAnsi="Times New Roman"/>
                      <w:color w:val="000000" w:themeColor="text1"/>
                      <w:sz w:val="21"/>
                      <w:szCs w:val="21"/>
                      <w:lang w:eastAsia="zh-CN"/>
                      <w14:textFill>
                        <w14:solidFill>
                          <w14:schemeClr w14:val="tx1"/>
                        </w14:solidFill>
                      </w14:textFill>
                    </w:rPr>
                    <w:t>《声环境质量标准》（GB3096-2008）4a类标准</w:t>
                  </w:r>
                </w:p>
              </w:tc>
            </w:tr>
          </w:tbl>
          <w:p w14:paraId="54349391">
            <w:pPr>
              <w:widowControl/>
              <w:adjustRightInd w:val="0"/>
              <w:snapToGrid w:val="0"/>
              <w:spacing w:line="360" w:lineRule="auto"/>
              <w:ind w:firstLine="480" w:firstLineChars="200"/>
              <w:rPr>
                <w:color w:val="000000" w:themeColor="text1"/>
                <w:kern w:val="0"/>
                <w:sz w:val="24"/>
                <w:lang w:bidi="ar"/>
                <w14:textFill>
                  <w14:solidFill>
                    <w14:schemeClr w14:val="tx1"/>
                  </w14:solidFill>
                </w14:textFill>
              </w:rPr>
            </w:pPr>
            <w:r>
              <w:rPr>
                <w:color w:val="000000" w:themeColor="text1"/>
                <w:sz w:val="24"/>
                <w14:textFill>
                  <w14:solidFill>
                    <w14:schemeClr w14:val="tx1"/>
                  </w14:solidFill>
                </w14:textFill>
              </w:rPr>
              <w:t>（2）</w:t>
            </w:r>
            <w:r>
              <w:rPr>
                <w:rFonts w:hint="eastAsia"/>
                <w:color w:val="000000" w:themeColor="text1"/>
                <w:kern w:val="0"/>
                <w:sz w:val="24"/>
                <w14:textFill>
                  <w14:solidFill>
                    <w14:schemeClr w14:val="tx1"/>
                  </w14:solidFill>
                </w14:textFill>
              </w:rPr>
              <w:t>建设单位委托</w:t>
            </w:r>
            <w:r>
              <w:rPr>
                <w:color w:val="000000" w:themeColor="text1"/>
                <w:kern w:val="0"/>
                <w:sz w:val="24"/>
                <w14:textFill>
                  <w14:solidFill>
                    <w14:schemeClr w14:val="tx1"/>
                  </w14:solidFill>
                </w14:textFill>
              </w:rPr>
              <w:t>辽朝阳彤天环保发展有限公司于202</w:t>
            </w:r>
            <w:r>
              <w:rPr>
                <w:rFonts w:hint="eastAsia"/>
                <w:color w:val="000000" w:themeColor="text1"/>
                <w:kern w:val="0"/>
                <w:sz w:val="24"/>
                <w14:textFill>
                  <w14:solidFill>
                    <w14:schemeClr w14:val="tx1"/>
                  </w14:solidFill>
                </w14:textFill>
              </w:rPr>
              <w:t>5</w:t>
            </w:r>
            <w:r>
              <w:rPr>
                <w:color w:val="000000" w:themeColor="text1"/>
                <w:kern w:val="0"/>
                <w:sz w:val="24"/>
                <w14:textFill>
                  <w14:solidFill>
                    <w14:schemeClr w14:val="tx1"/>
                  </w14:solidFill>
                </w14:textFill>
              </w:rPr>
              <w:t>年</w:t>
            </w:r>
            <w:r>
              <w:rPr>
                <w:rFonts w:hint="eastAsia"/>
                <w:color w:val="000000" w:themeColor="text1"/>
                <w:kern w:val="0"/>
                <w:sz w:val="24"/>
                <w14:textFill>
                  <w14:solidFill>
                    <w14:schemeClr w14:val="tx1"/>
                  </w14:solidFill>
                </w14:textFill>
              </w:rPr>
              <w:t>3</w:t>
            </w:r>
            <w:r>
              <w:rPr>
                <w:color w:val="000000" w:themeColor="text1"/>
                <w:kern w:val="0"/>
                <w:sz w:val="24"/>
                <w14:textFill>
                  <w14:solidFill>
                    <w14:schemeClr w14:val="tx1"/>
                  </w14:solidFill>
                </w14:textFill>
              </w:rPr>
              <w:t>月</w:t>
            </w:r>
            <w:r>
              <w:rPr>
                <w:rFonts w:hint="eastAsia"/>
                <w:color w:val="000000" w:themeColor="text1"/>
                <w:kern w:val="0"/>
                <w:sz w:val="24"/>
                <w14:textFill>
                  <w14:solidFill>
                    <w14:schemeClr w14:val="tx1"/>
                  </w14:solidFill>
                </w14:textFill>
              </w:rPr>
              <w:t>27</w:t>
            </w:r>
            <w:r>
              <w:rPr>
                <w:color w:val="000000" w:themeColor="text1"/>
                <w:kern w:val="0"/>
                <w:sz w:val="24"/>
                <w14:textFill>
                  <w14:solidFill>
                    <w14:schemeClr w14:val="tx1"/>
                  </w14:solidFill>
                </w14:textFill>
              </w:rPr>
              <w:t>日对项目所在</w:t>
            </w:r>
            <w:r>
              <w:rPr>
                <w:rFonts w:hint="eastAsia"/>
                <w:color w:val="000000" w:themeColor="text1"/>
                <w:kern w:val="0"/>
                <w:sz w:val="24"/>
                <w14:textFill>
                  <w14:solidFill>
                    <w14:schemeClr w14:val="tx1"/>
                  </w14:solidFill>
                </w14:textFill>
              </w:rPr>
              <w:t>环境噪声</w:t>
            </w:r>
            <w:r>
              <w:rPr>
                <w:color w:val="000000" w:themeColor="text1"/>
                <w:kern w:val="0"/>
                <w:sz w:val="24"/>
                <w:lang w:bidi="ar"/>
                <w14:textFill>
                  <w14:solidFill>
                    <w14:schemeClr w14:val="tx1"/>
                  </w14:solidFill>
                </w14:textFill>
              </w:rPr>
              <w:t>进行了检测。</w:t>
            </w:r>
          </w:p>
          <w:p w14:paraId="000DF6B9">
            <w:pPr>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①监测点位：厂界四个点位东厂界、南厂界、西厂界、北厂界，</w:t>
            </w:r>
            <w:r>
              <w:rPr>
                <w:rFonts w:hint="eastAsia"/>
                <w:color w:val="000000" w:themeColor="text1"/>
                <w:sz w:val="24"/>
                <w:lang w:val="en-US" w:eastAsia="zh-CN"/>
                <w14:textFill>
                  <w14:solidFill>
                    <w14:schemeClr w14:val="tx1"/>
                  </w14:solidFill>
                </w14:textFill>
              </w:rPr>
              <w:t>监</w:t>
            </w:r>
            <w:r>
              <w:rPr>
                <w:color w:val="000000" w:themeColor="text1"/>
                <w:sz w:val="24"/>
                <w14:textFill>
                  <w14:solidFill>
                    <w14:schemeClr w14:val="tx1"/>
                  </w14:solidFill>
                </w14:textFill>
              </w:rPr>
              <w:t>测点位坐标（</w:t>
            </w:r>
            <w:r>
              <w:rPr>
                <w:rFonts w:hint="eastAsia"/>
                <w:color w:val="000000" w:themeColor="text1"/>
                <w:sz w:val="24"/>
                <w14:textFill>
                  <w14:solidFill>
                    <w14:schemeClr w14:val="tx1"/>
                  </w14:solidFill>
                </w14:textFill>
              </w:rPr>
              <w:t>东</w:t>
            </w:r>
            <w:r>
              <w:rPr>
                <w:color w:val="000000" w:themeColor="text1"/>
                <w:sz w:val="24"/>
                <w14:textFill>
                  <w14:solidFill>
                    <w14:schemeClr w14:val="tx1"/>
                  </w14:solidFill>
                </w14:textFill>
              </w:rPr>
              <w:t>厂界N：41°46′35.64″，E：120°45′19.74″</w:t>
            </w:r>
            <w:r>
              <w:rPr>
                <w:rFonts w:hint="eastAsia"/>
                <w:color w:val="000000" w:themeColor="text1"/>
                <w:sz w:val="24"/>
                <w14:textFill>
                  <w14:solidFill>
                    <w14:schemeClr w14:val="tx1"/>
                  </w14:solidFill>
                </w14:textFill>
              </w:rPr>
              <w:t>、南</w:t>
            </w:r>
            <w:r>
              <w:rPr>
                <w:color w:val="000000" w:themeColor="text1"/>
                <w:sz w:val="24"/>
                <w14:textFill>
                  <w14:solidFill>
                    <w14:schemeClr w14:val="tx1"/>
                  </w14:solidFill>
                </w14:textFill>
              </w:rPr>
              <w:t>厂界N：41°46′34.43″，E：120°45′16.96″；西厂界N：41°46′38.93″，E：120°45′14.40″；</w:t>
            </w:r>
            <w:r>
              <w:rPr>
                <w:rFonts w:hint="eastAsia"/>
                <w:color w:val="000000" w:themeColor="text1"/>
                <w:sz w:val="24"/>
                <w14:textFill>
                  <w14:solidFill>
                    <w14:schemeClr w14:val="tx1"/>
                  </w14:solidFill>
                </w14:textFill>
              </w:rPr>
              <w:t>北</w:t>
            </w:r>
            <w:r>
              <w:rPr>
                <w:color w:val="000000" w:themeColor="text1"/>
                <w:sz w:val="24"/>
                <w14:textFill>
                  <w14:solidFill>
                    <w14:schemeClr w14:val="tx1"/>
                  </w14:solidFill>
                </w14:textFill>
              </w:rPr>
              <w:t>厂界N：41°46′39.07″，E：120°45′18.66″）。</w:t>
            </w:r>
          </w:p>
          <w:p w14:paraId="32BED0E7">
            <w:pPr>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②监测时间及频率：监测</w:t>
            </w:r>
            <w:r>
              <w:rPr>
                <w:rFonts w:hint="eastAsia"/>
                <w:color w:val="000000" w:themeColor="text1"/>
                <w:sz w:val="24"/>
                <w14:textFill>
                  <w14:solidFill>
                    <w14:schemeClr w14:val="tx1"/>
                  </w14:solidFill>
                </w14:textFill>
              </w:rPr>
              <w:t>1</w:t>
            </w:r>
            <w:r>
              <w:rPr>
                <w:color w:val="000000" w:themeColor="text1"/>
                <w:sz w:val="24"/>
                <w14:textFill>
                  <w14:solidFill>
                    <w14:schemeClr w14:val="tx1"/>
                  </w14:solidFill>
                </w14:textFill>
              </w:rPr>
              <w:t>天，2次/天。</w:t>
            </w:r>
          </w:p>
          <w:p w14:paraId="5D610283">
            <w:pPr>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环境噪声监测结果见下表3-</w:t>
            </w:r>
            <w:r>
              <w:rPr>
                <w:rFonts w:hint="eastAsia"/>
                <w:color w:val="000000" w:themeColor="text1"/>
                <w:sz w:val="24"/>
                <w14:textFill>
                  <w14:solidFill>
                    <w14:schemeClr w14:val="tx1"/>
                  </w14:solidFill>
                </w14:textFill>
              </w:rPr>
              <w:t>9</w:t>
            </w:r>
            <w:r>
              <w:rPr>
                <w:color w:val="000000" w:themeColor="text1"/>
                <w:sz w:val="24"/>
                <w14:textFill>
                  <w14:solidFill>
                    <w14:schemeClr w14:val="tx1"/>
                  </w14:solidFill>
                </w14:textFill>
              </w:rPr>
              <w:t>。</w:t>
            </w:r>
          </w:p>
          <w:p w14:paraId="6DAA45D6">
            <w:pPr>
              <w:adjustRightInd w:val="0"/>
              <w:snapToGrid w:val="0"/>
              <w:spacing w:line="500" w:lineRule="exact"/>
              <w:jc w:val="center"/>
              <w:rPr>
                <w:b/>
                <w:bCs/>
                <w:color w:val="000000" w:themeColor="text1"/>
                <w:kern w:val="0"/>
                <w:szCs w:val="21"/>
                <w14:textFill>
                  <w14:solidFill>
                    <w14:schemeClr w14:val="tx1"/>
                  </w14:solidFill>
                </w14:textFill>
              </w:rPr>
            </w:pPr>
            <w:r>
              <w:rPr>
                <w:b/>
                <w:bCs/>
                <w:color w:val="000000" w:themeColor="text1"/>
                <w:szCs w:val="21"/>
                <w14:textFill>
                  <w14:solidFill>
                    <w14:schemeClr w14:val="tx1"/>
                  </w14:solidFill>
                </w14:textFill>
              </w:rPr>
              <w:t>表3-</w:t>
            </w:r>
            <w:r>
              <w:rPr>
                <w:rFonts w:hint="eastAsia"/>
                <w:b/>
                <w:bCs/>
                <w:color w:val="000000" w:themeColor="text1"/>
                <w:szCs w:val="21"/>
                <w:lang w:val="en-US" w:eastAsia="zh-CN"/>
                <w14:textFill>
                  <w14:solidFill>
                    <w14:schemeClr w14:val="tx1"/>
                  </w14:solidFill>
                </w14:textFill>
              </w:rPr>
              <w:t>10</w:t>
            </w:r>
            <w:r>
              <w:rPr>
                <w:b/>
                <w:bCs/>
                <w:color w:val="000000" w:themeColor="text1"/>
                <w:szCs w:val="21"/>
                <w14:textFill>
                  <w14:solidFill>
                    <w14:schemeClr w14:val="tx1"/>
                  </w14:solidFill>
                </w14:textFill>
              </w:rPr>
              <w:t xml:space="preserve"> </w:t>
            </w:r>
            <w:r>
              <w:rPr>
                <w:rFonts w:hint="eastAsia"/>
                <w:b/>
                <w:bCs/>
                <w:color w:val="000000" w:themeColor="text1"/>
                <w:szCs w:val="21"/>
                <w14:textFill>
                  <w14:solidFill>
                    <w14:schemeClr w14:val="tx1"/>
                  </w14:solidFill>
                </w14:textFill>
              </w:rPr>
              <w:t xml:space="preserve">  </w:t>
            </w:r>
            <w:r>
              <w:rPr>
                <w:b/>
                <w:bCs/>
                <w:color w:val="000000" w:themeColor="text1"/>
                <w:szCs w:val="21"/>
                <w14:textFill>
                  <w14:solidFill>
                    <w14:schemeClr w14:val="tx1"/>
                  </w14:solidFill>
                </w14:textFill>
              </w:rPr>
              <w:t xml:space="preserve"> 环境噪声监测结果</w:t>
            </w:r>
          </w:p>
          <w:tbl>
            <w:tblPr>
              <w:tblStyle w:val="34"/>
              <w:tblW w:w="4997" w:type="pct"/>
              <w:tblInd w:w="0" w:type="dxa"/>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385"/>
              <w:gridCol w:w="1155"/>
              <w:gridCol w:w="652"/>
              <w:gridCol w:w="687"/>
              <w:gridCol w:w="631"/>
              <w:gridCol w:w="679"/>
              <w:gridCol w:w="688"/>
              <w:gridCol w:w="701"/>
              <w:gridCol w:w="701"/>
              <w:gridCol w:w="701"/>
            </w:tblGrid>
            <w:tr w14:paraId="33CBC360">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867" w:type="pct"/>
                  <w:vMerge w:val="restart"/>
                  <w:tcBorders>
                    <w:tl2br w:val="nil"/>
                    <w:tr2bl w:val="nil"/>
                  </w:tcBorders>
                  <w:vAlign w:val="center"/>
                </w:tcPr>
                <w:p w14:paraId="38461250">
                  <w:pPr>
                    <w:spacing w:line="240" w:lineRule="auto"/>
                    <w:jc w:val="center"/>
                    <w:rPr>
                      <w:szCs w:val="21"/>
                    </w:rPr>
                  </w:pPr>
                  <w:r>
                    <w:rPr>
                      <w:rFonts w:hint="eastAsia"/>
                      <w:b/>
                      <w:szCs w:val="21"/>
                    </w:rPr>
                    <w:t>监测</w:t>
                  </w:r>
                  <w:r>
                    <w:rPr>
                      <w:b/>
                      <w:szCs w:val="21"/>
                    </w:rPr>
                    <w:t>点位</w:t>
                  </w:r>
                </w:p>
              </w:tc>
              <w:tc>
                <w:tcPr>
                  <w:tcW w:w="723" w:type="pct"/>
                  <w:vMerge w:val="restart"/>
                  <w:tcBorders>
                    <w:tl2br w:val="nil"/>
                    <w:tr2bl w:val="nil"/>
                  </w:tcBorders>
                  <w:vAlign w:val="center"/>
                </w:tcPr>
                <w:p w14:paraId="73394C5E">
                  <w:pPr>
                    <w:spacing w:line="240" w:lineRule="auto"/>
                    <w:jc w:val="center"/>
                    <w:rPr>
                      <w:szCs w:val="21"/>
                    </w:rPr>
                  </w:pPr>
                  <w:r>
                    <w:rPr>
                      <w:b/>
                      <w:szCs w:val="21"/>
                    </w:rPr>
                    <w:t>监测时间</w:t>
                  </w:r>
                </w:p>
              </w:tc>
              <w:tc>
                <w:tcPr>
                  <w:tcW w:w="1658" w:type="pct"/>
                  <w:gridSpan w:val="4"/>
                  <w:tcBorders>
                    <w:tl2br w:val="nil"/>
                    <w:tr2bl w:val="nil"/>
                  </w:tcBorders>
                  <w:vAlign w:val="center"/>
                </w:tcPr>
                <w:p w14:paraId="7833B306">
                  <w:pPr>
                    <w:spacing w:line="240" w:lineRule="auto"/>
                    <w:jc w:val="center"/>
                    <w:rPr>
                      <w:szCs w:val="21"/>
                    </w:rPr>
                  </w:pPr>
                  <w:r>
                    <w:rPr>
                      <w:b/>
                      <w:szCs w:val="21"/>
                    </w:rPr>
                    <w:t>单位：dB(A)</w:t>
                  </w:r>
                </w:p>
              </w:tc>
              <w:tc>
                <w:tcPr>
                  <w:tcW w:w="431" w:type="pct"/>
                  <w:vMerge w:val="restart"/>
                  <w:tcBorders>
                    <w:tl2br w:val="nil"/>
                    <w:tr2bl w:val="nil"/>
                  </w:tcBorders>
                  <w:vAlign w:val="center"/>
                </w:tcPr>
                <w:p w14:paraId="7267D733">
                  <w:pPr>
                    <w:spacing w:line="240" w:lineRule="auto"/>
                    <w:jc w:val="center"/>
                    <w:rPr>
                      <w:szCs w:val="21"/>
                    </w:rPr>
                  </w:pPr>
                  <w:r>
                    <w:rPr>
                      <w:b/>
                      <w:szCs w:val="21"/>
                    </w:rPr>
                    <w:t>SD</w:t>
                  </w:r>
                </w:p>
              </w:tc>
              <w:tc>
                <w:tcPr>
                  <w:tcW w:w="439" w:type="pct"/>
                  <w:vMerge w:val="restart"/>
                  <w:tcBorders>
                    <w:tl2br w:val="nil"/>
                    <w:tr2bl w:val="nil"/>
                  </w:tcBorders>
                  <w:vAlign w:val="center"/>
                </w:tcPr>
                <w:p w14:paraId="14B7C0A2">
                  <w:pPr>
                    <w:spacing w:line="240" w:lineRule="auto"/>
                    <w:jc w:val="center"/>
                    <w:rPr>
                      <w:b/>
                      <w:szCs w:val="21"/>
                    </w:rPr>
                  </w:pPr>
                  <w:r>
                    <w:rPr>
                      <w:b/>
                      <w:szCs w:val="21"/>
                    </w:rPr>
                    <w:t>车流量</w:t>
                  </w:r>
                </w:p>
                <w:p w14:paraId="6865B920">
                  <w:pPr>
                    <w:spacing w:line="240" w:lineRule="auto"/>
                    <w:jc w:val="center"/>
                    <w:rPr>
                      <w:szCs w:val="21"/>
                    </w:rPr>
                  </w:pPr>
                  <w:r>
                    <w:rPr>
                      <w:b/>
                      <w:szCs w:val="21"/>
                    </w:rPr>
                    <w:t>（辆</w:t>
                  </w:r>
                  <w:r>
                    <w:rPr>
                      <w:rFonts w:hint="eastAsia"/>
                      <w:b/>
                      <w:szCs w:val="21"/>
                    </w:rPr>
                    <w:t>/小时</w:t>
                  </w:r>
                  <w:r>
                    <w:rPr>
                      <w:b/>
                      <w:szCs w:val="21"/>
                    </w:rPr>
                    <w:t>）</w:t>
                  </w:r>
                </w:p>
              </w:tc>
              <w:tc>
                <w:tcPr>
                  <w:tcW w:w="439" w:type="pct"/>
                  <w:vMerge w:val="restart"/>
                  <w:tcBorders>
                    <w:tl2br w:val="nil"/>
                    <w:tr2bl w:val="nil"/>
                  </w:tcBorders>
                  <w:vAlign w:val="center"/>
                </w:tcPr>
                <w:p w14:paraId="217BFC42">
                  <w:pPr>
                    <w:spacing w:line="240" w:lineRule="auto"/>
                    <w:jc w:val="center"/>
                    <w:rPr>
                      <w:b/>
                      <w:szCs w:val="21"/>
                    </w:rPr>
                  </w:pPr>
                  <w:r>
                    <w:rPr>
                      <w:b/>
                      <w:bCs/>
                      <w:color w:val="000000" w:themeColor="text1"/>
                      <w:kern w:val="0"/>
                      <w:szCs w:val="21"/>
                      <w14:textFill>
                        <w14:solidFill>
                          <w14:schemeClr w14:val="tx1"/>
                        </w14:solidFill>
                      </w14:textFill>
                    </w:rPr>
                    <w:t>标准值</w:t>
                  </w:r>
                </w:p>
              </w:tc>
              <w:tc>
                <w:tcPr>
                  <w:tcW w:w="439" w:type="pct"/>
                  <w:vMerge w:val="restart"/>
                  <w:tcBorders>
                    <w:tl2br w:val="nil"/>
                    <w:tr2bl w:val="nil"/>
                  </w:tcBorders>
                  <w:vAlign w:val="center"/>
                </w:tcPr>
                <w:p w14:paraId="2C893E94">
                  <w:pPr>
                    <w:adjustRightInd w:val="0"/>
                    <w:snapToGrid w:val="0"/>
                    <w:spacing w:line="240" w:lineRule="auto"/>
                    <w:jc w:val="center"/>
                    <w:rPr>
                      <w:b/>
                      <w:bCs/>
                      <w:color w:val="000000" w:themeColor="text1"/>
                      <w:kern w:val="0"/>
                      <w:szCs w:val="21"/>
                      <w14:textFill>
                        <w14:solidFill>
                          <w14:schemeClr w14:val="tx1"/>
                        </w14:solidFill>
                      </w14:textFill>
                    </w:rPr>
                  </w:pPr>
                  <w:r>
                    <w:rPr>
                      <w:b/>
                      <w:bCs/>
                      <w:color w:val="000000" w:themeColor="text1"/>
                      <w:kern w:val="0"/>
                      <w:szCs w:val="21"/>
                      <w14:textFill>
                        <w14:solidFill>
                          <w14:schemeClr w14:val="tx1"/>
                        </w14:solidFill>
                      </w14:textFill>
                    </w:rPr>
                    <w:t>达标</w:t>
                  </w:r>
                </w:p>
                <w:p w14:paraId="28327C00">
                  <w:pPr>
                    <w:spacing w:line="240" w:lineRule="auto"/>
                    <w:jc w:val="center"/>
                    <w:rPr>
                      <w:b/>
                      <w:szCs w:val="21"/>
                    </w:rPr>
                  </w:pPr>
                  <w:r>
                    <w:rPr>
                      <w:b/>
                      <w:bCs/>
                      <w:color w:val="000000" w:themeColor="text1"/>
                      <w:kern w:val="0"/>
                      <w:szCs w:val="21"/>
                      <w14:textFill>
                        <w14:solidFill>
                          <w14:schemeClr w14:val="tx1"/>
                        </w14:solidFill>
                      </w14:textFill>
                    </w:rPr>
                    <w:t>情况</w:t>
                  </w:r>
                </w:p>
              </w:tc>
            </w:tr>
            <w:tr w14:paraId="6947DC5F">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867" w:type="pct"/>
                  <w:vMerge w:val="continue"/>
                  <w:tcBorders>
                    <w:tl2br w:val="nil"/>
                    <w:tr2bl w:val="nil"/>
                  </w:tcBorders>
                  <w:vAlign w:val="center"/>
                </w:tcPr>
                <w:p w14:paraId="2B12F645">
                  <w:pPr>
                    <w:spacing w:line="240" w:lineRule="auto"/>
                    <w:jc w:val="center"/>
                    <w:rPr>
                      <w:b/>
                      <w:szCs w:val="21"/>
                    </w:rPr>
                  </w:pPr>
                </w:p>
              </w:tc>
              <w:tc>
                <w:tcPr>
                  <w:tcW w:w="723" w:type="pct"/>
                  <w:vMerge w:val="continue"/>
                  <w:tcBorders>
                    <w:tl2br w:val="nil"/>
                    <w:tr2bl w:val="nil"/>
                  </w:tcBorders>
                  <w:vAlign w:val="center"/>
                </w:tcPr>
                <w:p w14:paraId="117E77FB">
                  <w:pPr>
                    <w:spacing w:line="240" w:lineRule="auto"/>
                    <w:jc w:val="center"/>
                    <w:rPr>
                      <w:b/>
                      <w:szCs w:val="21"/>
                    </w:rPr>
                  </w:pPr>
                </w:p>
              </w:tc>
              <w:tc>
                <w:tcPr>
                  <w:tcW w:w="408" w:type="pct"/>
                  <w:tcBorders>
                    <w:tl2br w:val="nil"/>
                    <w:tr2bl w:val="nil"/>
                  </w:tcBorders>
                  <w:vAlign w:val="center"/>
                </w:tcPr>
                <w:p w14:paraId="3BCD9387">
                  <w:pPr>
                    <w:spacing w:line="240" w:lineRule="auto"/>
                    <w:jc w:val="center"/>
                    <w:rPr>
                      <w:b/>
                      <w:szCs w:val="21"/>
                    </w:rPr>
                  </w:pPr>
                  <w:r>
                    <w:rPr>
                      <w:b/>
                      <w:szCs w:val="21"/>
                    </w:rPr>
                    <w:t>L</w:t>
                  </w:r>
                  <w:r>
                    <w:rPr>
                      <w:b/>
                      <w:szCs w:val="21"/>
                      <w:vertAlign w:val="subscript"/>
                    </w:rPr>
                    <w:t>10</w:t>
                  </w:r>
                </w:p>
              </w:tc>
              <w:tc>
                <w:tcPr>
                  <w:tcW w:w="430" w:type="pct"/>
                  <w:tcBorders>
                    <w:tl2br w:val="nil"/>
                    <w:tr2bl w:val="nil"/>
                  </w:tcBorders>
                  <w:vAlign w:val="center"/>
                </w:tcPr>
                <w:p w14:paraId="58A1767C">
                  <w:pPr>
                    <w:spacing w:line="240" w:lineRule="auto"/>
                    <w:jc w:val="center"/>
                    <w:rPr>
                      <w:b/>
                      <w:szCs w:val="21"/>
                    </w:rPr>
                  </w:pPr>
                  <w:r>
                    <w:rPr>
                      <w:b/>
                      <w:szCs w:val="21"/>
                    </w:rPr>
                    <w:t>L</w:t>
                  </w:r>
                  <w:r>
                    <w:rPr>
                      <w:b/>
                      <w:szCs w:val="21"/>
                      <w:vertAlign w:val="subscript"/>
                    </w:rPr>
                    <w:t>50</w:t>
                  </w:r>
                </w:p>
              </w:tc>
              <w:tc>
                <w:tcPr>
                  <w:tcW w:w="395" w:type="pct"/>
                  <w:tcBorders>
                    <w:tl2br w:val="nil"/>
                    <w:tr2bl w:val="nil"/>
                  </w:tcBorders>
                  <w:vAlign w:val="center"/>
                </w:tcPr>
                <w:p w14:paraId="454B6816">
                  <w:pPr>
                    <w:spacing w:line="240" w:lineRule="auto"/>
                    <w:jc w:val="center"/>
                    <w:rPr>
                      <w:b/>
                      <w:szCs w:val="21"/>
                    </w:rPr>
                  </w:pPr>
                  <w:r>
                    <w:rPr>
                      <w:b/>
                      <w:szCs w:val="21"/>
                    </w:rPr>
                    <w:t>L</w:t>
                  </w:r>
                  <w:r>
                    <w:rPr>
                      <w:b/>
                      <w:szCs w:val="21"/>
                      <w:vertAlign w:val="subscript"/>
                    </w:rPr>
                    <w:t>90</w:t>
                  </w:r>
                </w:p>
              </w:tc>
              <w:tc>
                <w:tcPr>
                  <w:tcW w:w="422" w:type="pct"/>
                  <w:tcBorders>
                    <w:tl2br w:val="nil"/>
                    <w:tr2bl w:val="nil"/>
                  </w:tcBorders>
                  <w:vAlign w:val="center"/>
                </w:tcPr>
                <w:p w14:paraId="78E4E330">
                  <w:pPr>
                    <w:spacing w:line="240" w:lineRule="auto"/>
                    <w:jc w:val="center"/>
                    <w:rPr>
                      <w:b/>
                      <w:szCs w:val="21"/>
                    </w:rPr>
                  </w:pPr>
                  <w:r>
                    <w:rPr>
                      <w:b/>
                      <w:szCs w:val="21"/>
                    </w:rPr>
                    <w:t>L</w:t>
                  </w:r>
                  <w:r>
                    <w:rPr>
                      <w:b/>
                      <w:szCs w:val="21"/>
                      <w:vertAlign w:val="subscript"/>
                    </w:rPr>
                    <w:t>eq</w:t>
                  </w:r>
                </w:p>
              </w:tc>
              <w:tc>
                <w:tcPr>
                  <w:tcW w:w="431" w:type="pct"/>
                  <w:vMerge w:val="continue"/>
                  <w:tcBorders>
                    <w:tl2br w:val="nil"/>
                    <w:tr2bl w:val="nil"/>
                  </w:tcBorders>
                  <w:vAlign w:val="center"/>
                </w:tcPr>
                <w:p w14:paraId="7FECA869">
                  <w:pPr>
                    <w:spacing w:line="240" w:lineRule="auto"/>
                    <w:jc w:val="center"/>
                    <w:rPr>
                      <w:b/>
                      <w:szCs w:val="21"/>
                    </w:rPr>
                  </w:pPr>
                </w:p>
              </w:tc>
              <w:tc>
                <w:tcPr>
                  <w:tcW w:w="439" w:type="pct"/>
                  <w:vMerge w:val="continue"/>
                  <w:tcBorders>
                    <w:tl2br w:val="nil"/>
                    <w:tr2bl w:val="nil"/>
                  </w:tcBorders>
                  <w:vAlign w:val="center"/>
                </w:tcPr>
                <w:p w14:paraId="3505CDA4">
                  <w:pPr>
                    <w:spacing w:line="240" w:lineRule="auto"/>
                    <w:jc w:val="center"/>
                    <w:rPr>
                      <w:b/>
                      <w:szCs w:val="21"/>
                    </w:rPr>
                  </w:pPr>
                </w:p>
              </w:tc>
              <w:tc>
                <w:tcPr>
                  <w:tcW w:w="439" w:type="pct"/>
                  <w:vMerge w:val="continue"/>
                  <w:tcBorders>
                    <w:tl2br w:val="nil"/>
                    <w:tr2bl w:val="nil"/>
                  </w:tcBorders>
                  <w:vAlign w:val="center"/>
                </w:tcPr>
                <w:p w14:paraId="3AAECC0B">
                  <w:pPr>
                    <w:spacing w:line="240" w:lineRule="auto"/>
                    <w:jc w:val="center"/>
                    <w:rPr>
                      <w:b/>
                      <w:szCs w:val="21"/>
                    </w:rPr>
                  </w:pPr>
                </w:p>
              </w:tc>
              <w:tc>
                <w:tcPr>
                  <w:tcW w:w="439" w:type="pct"/>
                  <w:vMerge w:val="continue"/>
                  <w:tcBorders>
                    <w:tl2br w:val="nil"/>
                    <w:tr2bl w:val="nil"/>
                  </w:tcBorders>
                  <w:vAlign w:val="center"/>
                </w:tcPr>
                <w:p w14:paraId="5ED69610">
                  <w:pPr>
                    <w:spacing w:line="240" w:lineRule="auto"/>
                    <w:jc w:val="center"/>
                    <w:rPr>
                      <w:b/>
                      <w:szCs w:val="21"/>
                    </w:rPr>
                  </w:pPr>
                </w:p>
              </w:tc>
            </w:tr>
            <w:tr w14:paraId="37A38DF9">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867" w:type="pct"/>
                  <w:vMerge w:val="restart"/>
                  <w:tcBorders>
                    <w:tl2br w:val="nil"/>
                    <w:tr2bl w:val="nil"/>
                  </w:tcBorders>
                  <w:vAlign w:val="center"/>
                </w:tcPr>
                <w:p w14:paraId="04DE0C52">
                  <w:pPr>
                    <w:spacing w:line="240" w:lineRule="auto"/>
                    <w:jc w:val="center"/>
                    <w:rPr>
                      <w:b/>
                      <w:szCs w:val="21"/>
                    </w:rPr>
                  </w:pPr>
                  <w:r>
                    <w:rPr>
                      <w:rFonts w:hint="eastAsia"/>
                      <w:b/>
                      <w:szCs w:val="21"/>
                    </w:rPr>
                    <w:t>1、东厂界</w:t>
                  </w:r>
                </w:p>
              </w:tc>
              <w:tc>
                <w:tcPr>
                  <w:tcW w:w="723" w:type="pct"/>
                  <w:tcBorders>
                    <w:tl2br w:val="nil"/>
                    <w:tr2bl w:val="nil"/>
                  </w:tcBorders>
                  <w:vAlign w:val="center"/>
                </w:tcPr>
                <w:p w14:paraId="558B572A">
                  <w:pPr>
                    <w:spacing w:line="240" w:lineRule="auto"/>
                    <w:jc w:val="center"/>
                    <w:rPr>
                      <w:szCs w:val="21"/>
                    </w:rPr>
                  </w:pPr>
                  <w:r>
                    <w:rPr>
                      <w:rFonts w:hint="eastAsia"/>
                      <w:kern w:val="0"/>
                      <w:szCs w:val="21"/>
                    </w:rPr>
                    <w:t>3月27日</w:t>
                  </w:r>
                  <w:r>
                    <w:rPr>
                      <w:rFonts w:hint="eastAsia"/>
                      <w:szCs w:val="21"/>
                    </w:rPr>
                    <w:t>（昼间）</w:t>
                  </w:r>
                </w:p>
              </w:tc>
              <w:tc>
                <w:tcPr>
                  <w:tcW w:w="408" w:type="pct"/>
                  <w:tcBorders>
                    <w:tl2br w:val="nil"/>
                    <w:tr2bl w:val="nil"/>
                  </w:tcBorders>
                  <w:vAlign w:val="center"/>
                </w:tcPr>
                <w:p w14:paraId="5D9BDAFF">
                  <w:pPr>
                    <w:spacing w:line="240" w:lineRule="auto"/>
                    <w:jc w:val="center"/>
                    <w:rPr>
                      <w:szCs w:val="21"/>
                    </w:rPr>
                  </w:pPr>
                  <w:r>
                    <w:rPr>
                      <w:rFonts w:hint="eastAsia"/>
                      <w:szCs w:val="21"/>
                    </w:rPr>
                    <w:t>52.4</w:t>
                  </w:r>
                </w:p>
              </w:tc>
              <w:tc>
                <w:tcPr>
                  <w:tcW w:w="430" w:type="pct"/>
                  <w:tcBorders>
                    <w:tl2br w:val="nil"/>
                    <w:tr2bl w:val="nil"/>
                  </w:tcBorders>
                  <w:vAlign w:val="center"/>
                </w:tcPr>
                <w:p w14:paraId="3F2D4254">
                  <w:pPr>
                    <w:spacing w:line="240" w:lineRule="auto"/>
                    <w:jc w:val="center"/>
                    <w:rPr>
                      <w:szCs w:val="21"/>
                    </w:rPr>
                  </w:pPr>
                  <w:r>
                    <w:rPr>
                      <w:rFonts w:hint="eastAsia"/>
                      <w:szCs w:val="21"/>
                    </w:rPr>
                    <w:t>49.8</w:t>
                  </w:r>
                </w:p>
              </w:tc>
              <w:tc>
                <w:tcPr>
                  <w:tcW w:w="395" w:type="pct"/>
                  <w:tcBorders>
                    <w:tl2br w:val="nil"/>
                    <w:tr2bl w:val="nil"/>
                  </w:tcBorders>
                  <w:vAlign w:val="center"/>
                </w:tcPr>
                <w:p w14:paraId="46565440">
                  <w:pPr>
                    <w:spacing w:line="240" w:lineRule="auto"/>
                    <w:jc w:val="center"/>
                    <w:rPr>
                      <w:szCs w:val="21"/>
                    </w:rPr>
                  </w:pPr>
                  <w:r>
                    <w:rPr>
                      <w:rFonts w:hint="eastAsia"/>
                      <w:szCs w:val="21"/>
                    </w:rPr>
                    <w:t>47.0</w:t>
                  </w:r>
                </w:p>
              </w:tc>
              <w:tc>
                <w:tcPr>
                  <w:tcW w:w="422" w:type="pct"/>
                  <w:tcBorders>
                    <w:tl2br w:val="nil"/>
                    <w:tr2bl w:val="nil"/>
                  </w:tcBorders>
                  <w:vAlign w:val="center"/>
                </w:tcPr>
                <w:p w14:paraId="78EAFCE1">
                  <w:pPr>
                    <w:spacing w:line="240" w:lineRule="auto"/>
                    <w:jc w:val="center"/>
                    <w:rPr>
                      <w:szCs w:val="21"/>
                    </w:rPr>
                  </w:pPr>
                  <w:r>
                    <w:rPr>
                      <w:rFonts w:hint="eastAsia"/>
                      <w:szCs w:val="21"/>
                    </w:rPr>
                    <w:t>50</w:t>
                  </w:r>
                </w:p>
              </w:tc>
              <w:tc>
                <w:tcPr>
                  <w:tcW w:w="431" w:type="pct"/>
                  <w:tcBorders>
                    <w:tl2br w:val="nil"/>
                    <w:tr2bl w:val="nil"/>
                  </w:tcBorders>
                  <w:vAlign w:val="center"/>
                </w:tcPr>
                <w:p w14:paraId="69F43793">
                  <w:pPr>
                    <w:spacing w:line="240" w:lineRule="auto"/>
                    <w:jc w:val="center"/>
                    <w:rPr>
                      <w:szCs w:val="21"/>
                    </w:rPr>
                  </w:pPr>
                  <w:r>
                    <w:rPr>
                      <w:rFonts w:hint="eastAsia"/>
                      <w:szCs w:val="21"/>
                    </w:rPr>
                    <w:t>2.3</w:t>
                  </w:r>
                </w:p>
              </w:tc>
              <w:tc>
                <w:tcPr>
                  <w:tcW w:w="439" w:type="pct"/>
                  <w:tcBorders>
                    <w:tl2br w:val="nil"/>
                    <w:tr2bl w:val="nil"/>
                  </w:tcBorders>
                  <w:vAlign w:val="center"/>
                </w:tcPr>
                <w:p w14:paraId="5904FBB6">
                  <w:pPr>
                    <w:spacing w:line="240" w:lineRule="auto"/>
                    <w:jc w:val="center"/>
                    <w:rPr>
                      <w:szCs w:val="21"/>
                    </w:rPr>
                  </w:pPr>
                  <w:r>
                    <w:rPr>
                      <w:rFonts w:hint="eastAsia"/>
                      <w:szCs w:val="21"/>
                    </w:rPr>
                    <w:t>/</w:t>
                  </w:r>
                </w:p>
              </w:tc>
              <w:tc>
                <w:tcPr>
                  <w:tcW w:w="439" w:type="pct"/>
                  <w:tcBorders>
                    <w:tl2br w:val="nil"/>
                    <w:tr2bl w:val="nil"/>
                  </w:tcBorders>
                  <w:vAlign w:val="center"/>
                </w:tcPr>
                <w:p w14:paraId="2F3951E1">
                  <w:pPr>
                    <w:spacing w:line="240" w:lineRule="auto"/>
                    <w:jc w:val="center"/>
                    <w:rPr>
                      <w:szCs w:val="21"/>
                    </w:rPr>
                  </w:pPr>
                  <w:r>
                    <w:rPr>
                      <w:rFonts w:hint="eastAsia"/>
                      <w:szCs w:val="21"/>
                    </w:rPr>
                    <w:t>60</w:t>
                  </w:r>
                </w:p>
              </w:tc>
              <w:tc>
                <w:tcPr>
                  <w:tcW w:w="439" w:type="pct"/>
                  <w:tcBorders>
                    <w:tl2br w:val="nil"/>
                    <w:tr2bl w:val="nil"/>
                  </w:tcBorders>
                  <w:vAlign w:val="center"/>
                </w:tcPr>
                <w:p w14:paraId="4506F9A2">
                  <w:pPr>
                    <w:spacing w:line="240" w:lineRule="auto"/>
                    <w:jc w:val="center"/>
                    <w:rPr>
                      <w:szCs w:val="21"/>
                    </w:rPr>
                  </w:pPr>
                  <w:r>
                    <w:rPr>
                      <w:color w:val="000000" w:themeColor="text1"/>
                      <w:szCs w:val="21"/>
                      <w14:textFill>
                        <w14:solidFill>
                          <w14:schemeClr w14:val="tx1"/>
                        </w14:solidFill>
                      </w14:textFill>
                    </w:rPr>
                    <w:t>达标</w:t>
                  </w:r>
                </w:p>
              </w:tc>
            </w:tr>
            <w:tr w14:paraId="32CD1141">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867" w:type="pct"/>
                  <w:vMerge w:val="continue"/>
                  <w:tcBorders>
                    <w:tl2br w:val="nil"/>
                    <w:tr2bl w:val="nil"/>
                  </w:tcBorders>
                  <w:vAlign w:val="center"/>
                </w:tcPr>
                <w:p w14:paraId="188A664C">
                  <w:pPr>
                    <w:spacing w:line="240" w:lineRule="auto"/>
                    <w:jc w:val="center"/>
                    <w:rPr>
                      <w:b/>
                      <w:szCs w:val="21"/>
                    </w:rPr>
                  </w:pPr>
                </w:p>
              </w:tc>
              <w:tc>
                <w:tcPr>
                  <w:tcW w:w="723" w:type="pct"/>
                  <w:tcBorders>
                    <w:tl2br w:val="nil"/>
                    <w:tr2bl w:val="nil"/>
                  </w:tcBorders>
                  <w:vAlign w:val="center"/>
                </w:tcPr>
                <w:p w14:paraId="1083271D">
                  <w:pPr>
                    <w:spacing w:line="240" w:lineRule="auto"/>
                    <w:jc w:val="center"/>
                    <w:rPr>
                      <w:szCs w:val="21"/>
                    </w:rPr>
                  </w:pPr>
                  <w:r>
                    <w:rPr>
                      <w:rFonts w:hint="eastAsia"/>
                      <w:kern w:val="0"/>
                      <w:szCs w:val="21"/>
                    </w:rPr>
                    <w:t>3月27日</w:t>
                  </w:r>
                  <w:r>
                    <w:rPr>
                      <w:rFonts w:hint="eastAsia"/>
                      <w:szCs w:val="21"/>
                    </w:rPr>
                    <w:t>（夜间）</w:t>
                  </w:r>
                </w:p>
              </w:tc>
              <w:tc>
                <w:tcPr>
                  <w:tcW w:w="408" w:type="pct"/>
                  <w:tcBorders>
                    <w:tl2br w:val="nil"/>
                    <w:tr2bl w:val="nil"/>
                  </w:tcBorders>
                  <w:vAlign w:val="center"/>
                </w:tcPr>
                <w:p w14:paraId="12802B2D">
                  <w:pPr>
                    <w:spacing w:line="240" w:lineRule="auto"/>
                    <w:jc w:val="center"/>
                    <w:rPr>
                      <w:szCs w:val="21"/>
                    </w:rPr>
                  </w:pPr>
                  <w:r>
                    <w:rPr>
                      <w:rFonts w:hint="eastAsia"/>
                      <w:szCs w:val="21"/>
                    </w:rPr>
                    <w:t>42.2</w:t>
                  </w:r>
                </w:p>
              </w:tc>
              <w:tc>
                <w:tcPr>
                  <w:tcW w:w="430" w:type="pct"/>
                  <w:tcBorders>
                    <w:tl2br w:val="nil"/>
                    <w:tr2bl w:val="nil"/>
                  </w:tcBorders>
                  <w:vAlign w:val="center"/>
                </w:tcPr>
                <w:p w14:paraId="5A051432">
                  <w:pPr>
                    <w:spacing w:line="240" w:lineRule="auto"/>
                    <w:jc w:val="center"/>
                    <w:rPr>
                      <w:szCs w:val="21"/>
                    </w:rPr>
                  </w:pPr>
                  <w:r>
                    <w:rPr>
                      <w:rFonts w:hint="eastAsia"/>
                      <w:szCs w:val="21"/>
                    </w:rPr>
                    <w:t>40.0</w:t>
                  </w:r>
                </w:p>
              </w:tc>
              <w:tc>
                <w:tcPr>
                  <w:tcW w:w="395" w:type="pct"/>
                  <w:tcBorders>
                    <w:tl2br w:val="nil"/>
                    <w:tr2bl w:val="nil"/>
                  </w:tcBorders>
                  <w:vAlign w:val="center"/>
                </w:tcPr>
                <w:p w14:paraId="0FE49A82">
                  <w:pPr>
                    <w:spacing w:line="240" w:lineRule="auto"/>
                    <w:jc w:val="center"/>
                    <w:rPr>
                      <w:szCs w:val="21"/>
                    </w:rPr>
                  </w:pPr>
                  <w:r>
                    <w:rPr>
                      <w:rFonts w:hint="eastAsia"/>
                      <w:szCs w:val="21"/>
                    </w:rPr>
                    <w:t>35.9</w:t>
                  </w:r>
                </w:p>
              </w:tc>
              <w:tc>
                <w:tcPr>
                  <w:tcW w:w="422" w:type="pct"/>
                  <w:tcBorders>
                    <w:tl2br w:val="nil"/>
                    <w:tr2bl w:val="nil"/>
                  </w:tcBorders>
                  <w:vAlign w:val="center"/>
                </w:tcPr>
                <w:p w14:paraId="5008269F">
                  <w:pPr>
                    <w:spacing w:line="240" w:lineRule="auto"/>
                    <w:jc w:val="center"/>
                    <w:rPr>
                      <w:szCs w:val="21"/>
                    </w:rPr>
                  </w:pPr>
                  <w:r>
                    <w:rPr>
                      <w:rFonts w:hint="eastAsia"/>
                      <w:szCs w:val="21"/>
                    </w:rPr>
                    <w:t>40</w:t>
                  </w:r>
                </w:p>
              </w:tc>
              <w:tc>
                <w:tcPr>
                  <w:tcW w:w="431" w:type="pct"/>
                  <w:tcBorders>
                    <w:tl2br w:val="nil"/>
                    <w:tr2bl w:val="nil"/>
                  </w:tcBorders>
                  <w:vAlign w:val="center"/>
                </w:tcPr>
                <w:p w14:paraId="63BE80D8">
                  <w:pPr>
                    <w:spacing w:line="240" w:lineRule="auto"/>
                    <w:jc w:val="center"/>
                    <w:rPr>
                      <w:szCs w:val="21"/>
                    </w:rPr>
                  </w:pPr>
                  <w:r>
                    <w:rPr>
                      <w:rFonts w:hint="eastAsia"/>
                      <w:szCs w:val="21"/>
                    </w:rPr>
                    <w:t>2.6</w:t>
                  </w:r>
                </w:p>
              </w:tc>
              <w:tc>
                <w:tcPr>
                  <w:tcW w:w="439" w:type="pct"/>
                  <w:tcBorders>
                    <w:tl2br w:val="nil"/>
                    <w:tr2bl w:val="nil"/>
                  </w:tcBorders>
                  <w:vAlign w:val="center"/>
                </w:tcPr>
                <w:p w14:paraId="1E61CB91">
                  <w:pPr>
                    <w:spacing w:line="240" w:lineRule="auto"/>
                    <w:jc w:val="center"/>
                    <w:rPr>
                      <w:szCs w:val="21"/>
                    </w:rPr>
                  </w:pPr>
                  <w:r>
                    <w:rPr>
                      <w:rFonts w:hint="eastAsia"/>
                      <w:szCs w:val="21"/>
                    </w:rPr>
                    <w:t>/</w:t>
                  </w:r>
                </w:p>
              </w:tc>
              <w:tc>
                <w:tcPr>
                  <w:tcW w:w="439" w:type="pct"/>
                  <w:tcBorders>
                    <w:tl2br w:val="nil"/>
                    <w:tr2bl w:val="nil"/>
                  </w:tcBorders>
                  <w:vAlign w:val="center"/>
                </w:tcPr>
                <w:p w14:paraId="28CB3F23">
                  <w:pPr>
                    <w:spacing w:line="240" w:lineRule="auto"/>
                    <w:jc w:val="center"/>
                    <w:rPr>
                      <w:szCs w:val="21"/>
                    </w:rPr>
                  </w:pPr>
                  <w:r>
                    <w:rPr>
                      <w:rFonts w:hint="eastAsia"/>
                      <w:szCs w:val="21"/>
                    </w:rPr>
                    <w:t>50</w:t>
                  </w:r>
                </w:p>
              </w:tc>
              <w:tc>
                <w:tcPr>
                  <w:tcW w:w="439" w:type="pct"/>
                  <w:tcBorders>
                    <w:tl2br w:val="nil"/>
                    <w:tr2bl w:val="nil"/>
                  </w:tcBorders>
                  <w:vAlign w:val="center"/>
                </w:tcPr>
                <w:p w14:paraId="1841E3CE">
                  <w:pPr>
                    <w:spacing w:line="240" w:lineRule="auto"/>
                    <w:jc w:val="center"/>
                    <w:rPr>
                      <w:szCs w:val="21"/>
                    </w:rPr>
                  </w:pPr>
                  <w:r>
                    <w:rPr>
                      <w:color w:val="000000" w:themeColor="text1"/>
                      <w:szCs w:val="21"/>
                      <w14:textFill>
                        <w14:solidFill>
                          <w14:schemeClr w14:val="tx1"/>
                        </w14:solidFill>
                      </w14:textFill>
                    </w:rPr>
                    <w:t>达标</w:t>
                  </w:r>
                </w:p>
              </w:tc>
            </w:tr>
            <w:tr w14:paraId="5DF1992F">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867" w:type="pct"/>
                  <w:vMerge w:val="restart"/>
                  <w:tcBorders>
                    <w:tl2br w:val="nil"/>
                    <w:tr2bl w:val="nil"/>
                  </w:tcBorders>
                  <w:vAlign w:val="center"/>
                </w:tcPr>
                <w:p w14:paraId="001BC608">
                  <w:pPr>
                    <w:spacing w:line="240" w:lineRule="auto"/>
                    <w:jc w:val="center"/>
                    <w:rPr>
                      <w:b/>
                      <w:szCs w:val="21"/>
                    </w:rPr>
                  </w:pPr>
                  <w:r>
                    <w:rPr>
                      <w:rFonts w:hint="eastAsia"/>
                      <w:b/>
                      <w:szCs w:val="21"/>
                    </w:rPr>
                    <w:t>2、南厂界</w:t>
                  </w:r>
                </w:p>
              </w:tc>
              <w:tc>
                <w:tcPr>
                  <w:tcW w:w="723" w:type="pct"/>
                  <w:tcBorders>
                    <w:tl2br w:val="nil"/>
                    <w:tr2bl w:val="nil"/>
                  </w:tcBorders>
                  <w:vAlign w:val="center"/>
                </w:tcPr>
                <w:p w14:paraId="4488C519">
                  <w:pPr>
                    <w:spacing w:line="240" w:lineRule="auto"/>
                    <w:jc w:val="center"/>
                    <w:rPr>
                      <w:szCs w:val="21"/>
                    </w:rPr>
                  </w:pPr>
                  <w:r>
                    <w:rPr>
                      <w:rFonts w:hint="eastAsia"/>
                      <w:kern w:val="0"/>
                      <w:szCs w:val="21"/>
                    </w:rPr>
                    <w:t>3月27日</w:t>
                  </w:r>
                  <w:r>
                    <w:rPr>
                      <w:rFonts w:hint="eastAsia"/>
                      <w:szCs w:val="21"/>
                    </w:rPr>
                    <w:t>（昼间）</w:t>
                  </w:r>
                </w:p>
              </w:tc>
              <w:tc>
                <w:tcPr>
                  <w:tcW w:w="408" w:type="pct"/>
                  <w:tcBorders>
                    <w:tl2br w:val="nil"/>
                    <w:tr2bl w:val="nil"/>
                  </w:tcBorders>
                  <w:vAlign w:val="center"/>
                </w:tcPr>
                <w:p w14:paraId="4DFE1FA8">
                  <w:pPr>
                    <w:spacing w:line="240" w:lineRule="auto"/>
                    <w:jc w:val="center"/>
                    <w:rPr>
                      <w:szCs w:val="21"/>
                    </w:rPr>
                  </w:pPr>
                  <w:r>
                    <w:rPr>
                      <w:rFonts w:hint="eastAsia"/>
                      <w:szCs w:val="21"/>
                    </w:rPr>
                    <w:t>68.8</w:t>
                  </w:r>
                </w:p>
              </w:tc>
              <w:tc>
                <w:tcPr>
                  <w:tcW w:w="430" w:type="pct"/>
                  <w:tcBorders>
                    <w:tl2br w:val="nil"/>
                    <w:tr2bl w:val="nil"/>
                  </w:tcBorders>
                  <w:vAlign w:val="center"/>
                </w:tcPr>
                <w:p w14:paraId="29115483">
                  <w:pPr>
                    <w:spacing w:line="240" w:lineRule="auto"/>
                    <w:jc w:val="center"/>
                    <w:rPr>
                      <w:szCs w:val="21"/>
                    </w:rPr>
                  </w:pPr>
                  <w:r>
                    <w:rPr>
                      <w:rFonts w:hint="eastAsia"/>
                      <w:szCs w:val="21"/>
                    </w:rPr>
                    <w:t>62.8</w:t>
                  </w:r>
                </w:p>
              </w:tc>
              <w:tc>
                <w:tcPr>
                  <w:tcW w:w="395" w:type="pct"/>
                  <w:tcBorders>
                    <w:tl2br w:val="nil"/>
                    <w:tr2bl w:val="nil"/>
                  </w:tcBorders>
                  <w:vAlign w:val="center"/>
                </w:tcPr>
                <w:p w14:paraId="18E3EF52">
                  <w:pPr>
                    <w:spacing w:line="240" w:lineRule="auto"/>
                    <w:jc w:val="center"/>
                    <w:rPr>
                      <w:szCs w:val="21"/>
                    </w:rPr>
                  </w:pPr>
                  <w:r>
                    <w:rPr>
                      <w:rFonts w:hint="eastAsia"/>
                      <w:szCs w:val="21"/>
                    </w:rPr>
                    <w:t>55.8</w:t>
                  </w:r>
                </w:p>
              </w:tc>
              <w:tc>
                <w:tcPr>
                  <w:tcW w:w="422" w:type="pct"/>
                  <w:tcBorders>
                    <w:tl2br w:val="nil"/>
                    <w:tr2bl w:val="nil"/>
                  </w:tcBorders>
                  <w:vAlign w:val="center"/>
                </w:tcPr>
                <w:p w14:paraId="7B60EC6F">
                  <w:pPr>
                    <w:spacing w:line="240" w:lineRule="auto"/>
                    <w:jc w:val="center"/>
                    <w:rPr>
                      <w:szCs w:val="21"/>
                    </w:rPr>
                  </w:pPr>
                  <w:r>
                    <w:rPr>
                      <w:rFonts w:hint="eastAsia"/>
                      <w:szCs w:val="21"/>
                    </w:rPr>
                    <w:t>65</w:t>
                  </w:r>
                </w:p>
              </w:tc>
              <w:tc>
                <w:tcPr>
                  <w:tcW w:w="431" w:type="pct"/>
                  <w:tcBorders>
                    <w:tl2br w:val="nil"/>
                    <w:tr2bl w:val="nil"/>
                  </w:tcBorders>
                  <w:vAlign w:val="center"/>
                </w:tcPr>
                <w:p w14:paraId="505B61BF">
                  <w:pPr>
                    <w:spacing w:line="240" w:lineRule="auto"/>
                    <w:jc w:val="center"/>
                    <w:rPr>
                      <w:szCs w:val="21"/>
                    </w:rPr>
                  </w:pPr>
                  <w:r>
                    <w:rPr>
                      <w:rFonts w:hint="eastAsia"/>
                      <w:szCs w:val="21"/>
                    </w:rPr>
                    <w:t>5.9</w:t>
                  </w:r>
                </w:p>
              </w:tc>
              <w:tc>
                <w:tcPr>
                  <w:tcW w:w="439" w:type="pct"/>
                  <w:tcBorders>
                    <w:tl2br w:val="nil"/>
                    <w:tr2bl w:val="nil"/>
                  </w:tcBorders>
                  <w:vAlign w:val="center"/>
                </w:tcPr>
                <w:p w14:paraId="5CC1CD4D">
                  <w:pPr>
                    <w:spacing w:line="240" w:lineRule="auto"/>
                    <w:jc w:val="center"/>
                    <w:rPr>
                      <w:szCs w:val="21"/>
                    </w:rPr>
                  </w:pPr>
                  <w:r>
                    <w:rPr>
                      <w:rFonts w:hint="eastAsia"/>
                      <w:szCs w:val="21"/>
                    </w:rPr>
                    <w:t>603</w:t>
                  </w:r>
                </w:p>
              </w:tc>
              <w:tc>
                <w:tcPr>
                  <w:tcW w:w="439" w:type="pct"/>
                  <w:tcBorders>
                    <w:tl2br w:val="nil"/>
                    <w:tr2bl w:val="nil"/>
                  </w:tcBorders>
                  <w:vAlign w:val="center"/>
                </w:tcPr>
                <w:p w14:paraId="11EDF8EA">
                  <w:pPr>
                    <w:spacing w:line="240" w:lineRule="auto"/>
                    <w:jc w:val="center"/>
                    <w:rPr>
                      <w:szCs w:val="21"/>
                    </w:rPr>
                  </w:pPr>
                  <w:r>
                    <w:rPr>
                      <w:rFonts w:hint="eastAsia"/>
                      <w:szCs w:val="21"/>
                    </w:rPr>
                    <w:t>70</w:t>
                  </w:r>
                </w:p>
              </w:tc>
              <w:tc>
                <w:tcPr>
                  <w:tcW w:w="439" w:type="pct"/>
                  <w:tcBorders>
                    <w:tl2br w:val="nil"/>
                    <w:tr2bl w:val="nil"/>
                  </w:tcBorders>
                  <w:vAlign w:val="center"/>
                </w:tcPr>
                <w:p w14:paraId="7172D8BC">
                  <w:pPr>
                    <w:spacing w:line="240" w:lineRule="auto"/>
                    <w:jc w:val="center"/>
                    <w:rPr>
                      <w:szCs w:val="21"/>
                    </w:rPr>
                  </w:pPr>
                  <w:r>
                    <w:rPr>
                      <w:color w:val="000000" w:themeColor="text1"/>
                      <w:szCs w:val="21"/>
                      <w14:textFill>
                        <w14:solidFill>
                          <w14:schemeClr w14:val="tx1"/>
                        </w14:solidFill>
                      </w14:textFill>
                    </w:rPr>
                    <w:t>达标</w:t>
                  </w:r>
                </w:p>
              </w:tc>
            </w:tr>
            <w:tr w14:paraId="4B0AA5D9">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867" w:type="pct"/>
                  <w:vMerge w:val="continue"/>
                  <w:tcBorders>
                    <w:tl2br w:val="nil"/>
                    <w:tr2bl w:val="nil"/>
                  </w:tcBorders>
                  <w:vAlign w:val="center"/>
                </w:tcPr>
                <w:p w14:paraId="188E87B4">
                  <w:pPr>
                    <w:spacing w:line="240" w:lineRule="auto"/>
                    <w:jc w:val="center"/>
                    <w:rPr>
                      <w:b/>
                      <w:szCs w:val="21"/>
                    </w:rPr>
                  </w:pPr>
                </w:p>
              </w:tc>
              <w:tc>
                <w:tcPr>
                  <w:tcW w:w="723" w:type="pct"/>
                  <w:tcBorders>
                    <w:tl2br w:val="nil"/>
                    <w:tr2bl w:val="nil"/>
                  </w:tcBorders>
                  <w:vAlign w:val="center"/>
                </w:tcPr>
                <w:p w14:paraId="2EF8BFE3">
                  <w:pPr>
                    <w:spacing w:line="240" w:lineRule="auto"/>
                    <w:jc w:val="center"/>
                    <w:rPr>
                      <w:szCs w:val="21"/>
                    </w:rPr>
                  </w:pPr>
                  <w:r>
                    <w:rPr>
                      <w:rFonts w:hint="eastAsia"/>
                      <w:kern w:val="0"/>
                      <w:szCs w:val="21"/>
                    </w:rPr>
                    <w:t>3月27日</w:t>
                  </w:r>
                  <w:r>
                    <w:rPr>
                      <w:rFonts w:hint="eastAsia"/>
                      <w:szCs w:val="21"/>
                    </w:rPr>
                    <w:t>（夜间）</w:t>
                  </w:r>
                </w:p>
              </w:tc>
              <w:tc>
                <w:tcPr>
                  <w:tcW w:w="408" w:type="pct"/>
                  <w:tcBorders>
                    <w:tl2br w:val="nil"/>
                    <w:tr2bl w:val="nil"/>
                  </w:tcBorders>
                  <w:vAlign w:val="center"/>
                </w:tcPr>
                <w:p w14:paraId="17E6237C">
                  <w:pPr>
                    <w:spacing w:line="240" w:lineRule="auto"/>
                    <w:jc w:val="center"/>
                    <w:rPr>
                      <w:szCs w:val="21"/>
                    </w:rPr>
                  </w:pPr>
                  <w:r>
                    <w:rPr>
                      <w:rFonts w:hint="eastAsia"/>
                      <w:szCs w:val="21"/>
                    </w:rPr>
                    <w:t>55.1</w:t>
                  </w:r>
                </w:p>
              </w:tc>
              <w:tc>
                <w:tcPr>
                  <w:tcW w:w="430" w:type="pct"/>
                  <w:tcBorders>
                    <w:tl2br w:val="nil"/>
                    <w:tr2bl w:val="nil"/>
                  </w:tcBorders>
                  <w:vAlign w:val="center"/>
                </w:tcPr>
                <w:p w14:paraId="72EC127A">
                  <w:pPr>
                    <w:spacing w:line="240" w:lineRule="auto"/>
                    <w:jc w:val="center"/>
                    <w:rPr>
                      <w:szCs w:val="21"/>
                    </w:rPr>
                  </w:pPr>
                  <w:r>
                    <w:rPr>
                      <w:rFonts w:hint="eastAsia"/>
                      <w:szCs w:val="21"/>
                    </w:rPr>
                    <w:t>50.5</w:t>
                  </w:r>
                </w:p>
              </w:tc>
              <w:tc>
                <w:tcPr>
                  <w:tcW w:w="395" w:type="pct"/>
                  <w:tcBorders>
                    <w:tl2br w:val="nil"/>
                    <w:tr2bl w:val="nil"/>
                  </w:tcBorders>
                  <w:vAlign w:val="center"/>
                </w:tcPr>
                <w:p w14:paraId="658DC8A1">
                  <w:pPr>
                    <w:spacing w:line="240" w:lineRule="auto"/>
                    <w:jc w:val="center"/>
                    <w:rPr>
                      <w:szCs w:val="21"/>
                    </w:rPr>
                  </w:pPr>
                  <w:r>
                    <w:rPr>
                      <w:rFonts w:hint="eastAsia"/>
                      <w:szCs w:val="21"/>
                    </w:rPr>
                    <w:t>43.9</w:t>
                  </w:r>
                </w:p>
              </w:tc>
              <w:tc>
                <w:tcPr>
                  <w:tcW w:w="422" w:type="pct"/>
                  <w:tcBorders>
                    <w:tl2br w:val="nil"/>
                    <w:tr2bl w:val="nil"/>
                  </w:tcBorders>
                  <w:vAlign w:val="center"/>
                </w:tcPr>
                <w:p w14:paraId="0B56C180">
                  <w:pPr>
                    <w:spacing w:line="240" w:lineRule="auto"/>
                    <w:jc w:val="center"/>
                    <w:rPr>
                      <w:szCs w:val="21"/>
                    </w:rPr>
                  </w:pPr>
                  <w:r>
                    <w:rPr>
                      <w:rFonts w:hint="eastAsia"/>
                      <w:szCs w:val="21"/>
                    </w:rPr>
                    <w:t>52</w:t>
                  </w:r>
                </w:p>
              </w:tc>
              <w:tc>
                <w:tcPr>
                  <w:tcW w:w="431" w:type="pct"/>
                  <w:tcBorders>
                    <w:tl2br w:val="nil"/>
                    <w:tr2bl w:val="nil"/>
                  </w:tcBorders>
                  <w:vAlign w:val="center"/>
                </w:tcPr>
                <w:p w14:paraId="1A4A0C64">
                  <w:pPr>
                    <w:spacing w:line="240" w:lineRule="auto"/>
                    <w:jc w:val="center"/>
                    <w:rPr>
                      <w:szCs w:val="21"/>
                    </w:rPr>
                  </w:pPr>
                  <w:r>
                    <w:rPr>
                      <w:rFonts w:hint="eastAsia"/>
                      <w:szCs w:val="21"/>
                    </w:rPr>
                    <w:t>5.6</w:t>
                  </w:r>
                </w:p>
              </w:tc>
              <w:tc>
                <w:tcPr>
                  <w:tcW w:w="439" w:type="pct"/>
                  <w:tcBorders>
                    <w:tl2br w:val="nil"/>
                    <w:tr2bl w:val="nil"/>
                  </w:tcBorders>
                  <w:vAlign w:val="center"/>
                </w:tcPr>
                <w:p w14:paraId="25CA1758">
                  <w:pPr>
                    <w:spacing w:line="240" w:lineRule="auto"/>
                    <w:jc w:val="center"/>
                    <w:rPr>
                      <w:szCs w:val="21"/>
                    </w:rPr>
                  </w:pPr>
                  <w:r>
                    <w:rPr>
                      <w:rFonts w:hint="eastAsia"/>
                      <w:szCs w:val="21"/>
                    </w:rPr>
                    <w:t>201</w:t>
                  </w:r>
                </w:p>
              </w:tc>
              <w:tc>
                <w:tcPr>
                  <w:tcW w:w="439" w:type="pct"/>
                  <w:tcBorders>
                    <w:tl2br w:val="nil"/>
                    <w:tr2bl w:val="nil"/>
                  </w:tcBorders>
                  <w:vAlign w:val="center"/>
                </w:tcPr>
                <w:p w14:paraId="54EE5B97">
                  <w:pPr>
                    <w:spacing w:line="240" w:lineRule="auto"/>
                    <w:jc w:val="center"/>
                    <w:rPr>
                      <w:szCs w:val="21"/>
                    </w:rPr>
                  </w:pPr>
                  <w:r>
                    <w:rPr>
                      <w:rFonts w:hint="eastAsia"/>
                      <w:szCs w:val="21"/>
                    </w:rPr>
                    <w:t>55</w:t>
                  </w:r>
                </w:p>
              </w:tc>
              <w:tc>
                <w:tcPr>
                  <w:tcW w:w="439" w:type="pct"/>
                  <w:tcBorders>
                    <w:tl2br w:val="nil"/>
                    <w:tr2bl w:val="nil"/>
                  </w:tcBorders>
                  <w:vAlign w:val="center"/>
                </w:tcPr>
                <w:p w14:paraId="573C9AC7">
                  <w:pPr>
                    <w:spacing w:line="240" w:lineRule="auto"/>
                    <w:jc w:val="center"/>
                    <w:rPr>
                      <w:szCs w:val="21"/>
                    </w:rPr>
                  </w:pPr>
                  <w:r>
                    <w:rPr>
                      <w:color w:val="000000" w:themeColor="text1"/>
                      <w:szCs w:val="21"/>
                      <w14:textFill>
                        <w14:solidFill>
                          <w14:schemeClr w14:val="tx1"/>
                        </w14:solidFill>
                      </w14:textFill>
                    </w:rPr>
                    <w:t>达标</w:t>
                  </w:r>
                </w:p>
              </w:tc>
            </w:tr>
            <w:tr w14:paraId="31373F99">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867" w:type="pct"/>
                  <w:vMerge w:val="restart"/>
                  <w:tcBorders>
                    <w:tl2br w:val="nil"/>
                    <w:tr2bl w:val="nil"/>
                  </w:tcBorders>
                  <w:vAlign w:val="center"/>
                </w:tcPr>
                <w:p w14:paraId="728962B3">
                  <w:pPr>
                    <w:spacing w:line="240" w:lineRule="auto"/>
                    <w:jc w:val="center"/>
                    <w:rPr>
                      <w:b/>
                      <w:szCs w:val="21"/>
                    </w:rPr>
                  </w:pPr>
                  <w:r>
                    <w:rPr>
                      <w:rFonts w:hint="eastAsia"/>
                      <w:b/>
                      <w:szCs w:val="21"/>
                    </w:rPr>
                    <w:t>3、西厂界</w:t>
                  </w:r>
                </w:p>
              </w:tc>
              <w:tc>
                <w:tcPr>
                  <w:tcW w:w="723" w:type="pct"/>
                  <w:tcBorders>
                    <w:tl2br w:val="nil"/>
                    <w:tr2bl w:val="nil"/>
                  </w:tcBorders>
                  <w:vAlign w:val="center"/>
                </w:tcPr>
                <w:p w14:paraId="1B9C6A4F">
                  <w:pPr>
                    <w:spacing w:line="240" w:lineRule="auto"/>
                    <w:jc w:val="center"/>
                    <w:rPr>
                      <w:szCs w:val="21"/>
                    </w:rPr>
                  </w:pPr>
                  <w:r>
                    <w:rPr>
                      <w:rFonts w:hint="eastAsia"/>
                      <w:kern w:val="0"/>
                      <w:szCs w:val="21"/>
                    </w:rPr>
                    <w:t>3月27日</w:t>
                  </w:r>
                  <w:r>
                    <w:rPr>
                      <w:rFonts w:hint="eastAsia"/>
                      <w:szCs w:val="21"/>
                    </w:rPr>
                    <w:t>（昼间）</w:t>
                  </w:r>
                </w:p>
              </w:tc>
              <w:tc>
                <w:tcPr>
                  <w:tcW w:w="408" w:type="pct"/>
                  <w:tcBorders>
                    <w:tl2br w:val="nil"/>
                    <w:tr2bl w:val="nil"/>
                  </w:tcBorders>
                  <w:vAlign w:val="center"/>
                </w:tcPr>
                <w:p w14:paraId="5AA72726">
                  <w:pPr>
                    <w:spacing w:line="240" w:lineRule="auto"/>
                    <w:jc w:val="center"/>
                    <w:rPr>
                      <w:szCs w:val="21"/>
                    </w:rPr>
                  </w:pPr>
                  <w:r>
                    <w:rPr>
                      <w:rFonts w:hint="eastAsia"/>
                      <w:szCs w:val="21"/>
                    </w:rPr>
                    <w:t>51.1</w:t>
                  </w:r>
                </w:p>
              </w:tc>
              <w:tc>
                <w:tcPr>
                  <w:tcW w:w="430" w:type="pct"/>
                  <w:tcBorders>
                    <w:tl2br w:val="nil"/>
                    <w:tr2bl w:val="nil"/>
                  </w:tcBorders>
                  <w:vAlign w:val="center"/>
                </w:tcPr>
                <w:p w14:paraId="5995BD76">
                  <w:pPr>
                    <w:spacing w:line="240" w:lineRule="auto"/>
                    <w:jc w:val="center"/>
                    <w:rPr>
                      <w:szCs w:val="21"/>
                    </w:rPr>
                  </w:pPr>
                  <w:r>
                    <w:rPr>
                      <w:rFonts w:hint="eastAsia"/>
                      <w:szCs w:val="21"/>
                    </w:rPr>
                    <w:t>49.0</w:t>
                  </w:r>
                </w:p>
              </w:tc>
              <w:tc>
                <w:tcPr>
                  <w:tcW w:w="395" w:type="pct"/>
                  <w:tcBorders>
                    <w:tl2br w:val="nil"/>
                    <w:tr2bl w:val="nil"/>
                  </w:tcBorders>
                  <w:vAlign w:val="center"/>
                </w:tcPr>
                <w:p w14:paraId="60923DD8">
                  <w:pPr>
                    <w:spacing w:line="240" w:lineRule="auto"/>
                    <w:jc w:val="center"/>
                    <w:rPr>
                      <w:szCs w:val="21"/>
                    </w:rPr>
                  </w:pPr>
                  <w:r>
                    <w:rPr>
                      <w:rFonts w:hint="eastAsia"/>
                      <w:szCs w:val="21"/>
                    </w:rPr>
                    <w:t>45.6</w:t>
                  </w:r>
                </w:p>
              </w:tc>
              <w:tc>
                <w:tcPr>
                  <w:tcW w:w="422" w:type="pct"/>
                  <w:tcBorders>
                    <w:tl2br w:val="nil"/>
                    <w:tr2bl w:val="nil"/>
                  </w:tcBorders>
                  <w:vAlign w:val="center"/>
                </w:tcPr>
                <w:p w14:paraId="655B6979">
                  <w:pPr>
                    <w:spacing w:line="240" w:lineRule="auto"/>
                    <w:jc w:val="center"/>
                    <w:rPr>
                      <w:szCs w:val="21"/>
                    </w:rPr>
                  </w:pPr>
                  <w:r>
                    <w:rPr>
                      <w:rFonts w:hint="eastAsia"/>
                      <w:szCs w:val="21"/>
                    </w:rPr>
                    <w:t>49</w:t>
                  </w:r>
                </w:p>
              </w:tc>
              <w:tc>
                <w:tcPr>
                  <w:tcW w:w="431" w:type="pct"/>
                  <w:tcBorders>
                    <w:tl2br w:val="nil"/>
                    <w:tr2bl w:val="nil"/>
                  </w:tcBorders>
                  <w:vAlign w:val="center"/>
                </w:tcPr>
                <w:p w14:paraId="7EEA3745">
                  <w:pPr>
                    <w:spacing w:line="240" w:lineRule="auto"/>
                    <w:jc w:val="center"/>
                    <w:rPr>
                      <w:szCs w:val="21"/>
                    </w:rPr>
                  </w:pPr>
                  <w:r>
                    <w:rPr>
                      <w:rFonts w:hint="eastAsia"/>
                      <w:szCs w:val="21"/>
                    </w:rPr>
                    <w:t>2.7</w:t>
                  </w:r>
                </w:p>
              </w:tc>
              <w:tc>
                <w:tcPr>
                  <w:tcW w:w="439" w:type="pct"/>
                  <w:tcBorders>
                    <w:tl2br w:val="nil"/>
                    <w:tr2bl w:val="nil"/>
                  </w:tcBorders>
                  <w:vAlign w:val="center"/>
                </w:tcPr>
                <w:p w14:paraId="7A575CFB">
                  <w:pPr>
                    <w:spacing w:line="240" w:lineRule="auto"/>
                    <w:jc w:val="center"/>
                    <w:rPr>
                      <w:szCs w:val="21"/>
                    </w:rPr>
                  </w:pPr>
                  <w:r>
                    <w:rPr>
                      <w:rFonts w:hint="eastAsia"/>
                      <w:szCs w:val="21"/>
                    </w:rPr>
                    <w:t>/</w:t>
                  </w:r>
                </w:p>
              </w:tc>
              <w:tc>
                <w:tcPr>
                  <w:tcW w:w="439" w:type="pct"/>
                  <w:tcBorders>
                    <w:tl2br w:val="nil"/>
                    <w:tr2bl w:val="nil"/>
                  </w:tcBorders>
                  <w:vAlign w:val="center"/>
                </w:tcPr>
                <w:p w14:paraId="04970066">
                  <w:pPr>
                    <w:spacing w:line="240" w:lineRule="auto"/>
                    <w:jc w:val="center"/>
                    <w:rPr>
                      <w:szCs w:val="21"/>
                    </w:rPr>
                  </w:pPr>
                  <w:r>
                    <w:rPr>
                      <w:rFonts w:hint="eastAsia"/>
                      <w:szCs w:val="21"/>
                    </w:rPr>
                    <w:t>60</w:t>
                  </w:r>
                </w:p>
              </w:tc>
              <w:tc>
                <w:tcPr>
                  <w:tcW w:w="439" w:type="pct"/>
                  <w:tcBorders>
                    <w:tl2br w:val="nil"/>
                    <w:tr2bl w:val="nil"/>
                  </w:tcBorders>
                  <w:vAlign w:val="center"/>
                </w:tcPr>
                <w:p w14:paraId="2FF6FC3B">
                  <w:pPr>
                    <w:spacing w:line="240" w:lineRule="auto"/>
                    <w:jc w:val="center"/>
                    <w:rPr>
                      <w:szCs w:val="21"/>
                    </w:rPr>
                  </w:pPr>
                  <w:r>
                    <w:rPr>
                      <w:color w:val="000000" w:themeColor="text1"/>
                      <w:szCs w:val="21"/>
                      <w14:textFill>
                        <w14:solidFill>
                          <w14:schemeClr w14:val="tx1"/>
                        </w14:solidFill>
                      </w14:textFill>
                    </w:rPr>
                    <w:t>达标</w:t>
                  </w:r>
                </w:p>
              </w:tc>
            </w:tr>
            <w:tr w14:paraId="7FAF194D">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867" w:type="pct"/>
                  <w:vMerge w:val="continue"/>
                  <w:tcBorders>
                    <w:tl2br w:val="nil"/>
                    <w:tr2bl w:val="nil"/>
                  </w:tcBorders>
                  <w:vAlign w:val="center"/>
                </w:tcPr>
                <w:p w14:paraId="2F8F9418">
                  <w:pPr>
                    <w:spacing w:line="240" w:lineRule="auto"/>
                    <w:jc w:val="center"/>
                    <w:rPr>
                      <w:b/>
                      <w:szCs w:val="21"/>
                    </w:rPr>
                  </w:pPr>
                </w:p>
              </w:tc>
              <w:tc>
                <w:tcPr>
                  <w:tcW w:w="723" w:type="pct"/>
                  <w:tcBorders>
                    <w:tl2br w:val="nil"/>
                    <w:tr2bl w:val="nil"/>
                  </w:tcBorders>
                  <w:vAlign w:val="center"/>
                </w:tcPr>
                <w:p w14:paraId="32312972">
                  <w:pPr>
                    <w:spacing w:line="240" w:lineRule="auto"/>
                    <w:jc w:val="center"/>
                    <w:rPr>
                      <w:szCs w:val="21"/>
                    </w:rPr>
                  </w:pPr>
                  <w:r>
                    <w:rPr>
                      <w:rFonts w:hint="eastAsia"/>
                      <w:kern w:val="0"/>
                      <w:szCs w:val="21"/>
                    </w:rPr>
                    <w:t>3月27日</w:t>
                  </w:r>
                  <w:r>
                    <w:rPr>
                      <w:rFonts w:hint="eastAsia"/>
                      <w:szCs w:val="21"/>
                    </w:rPr>
                    <w:t>（夜间）</w:t>
                  </w:r>
                </w:p>
              </w:tc>
              <w:tc>
                <w:tcPr>
                  <w:tcW w:w="408" w:type="pct"/>
                  <w:tcBorders>
                    <w:tl2br w:val="nil"/>
                    <w:tr2bl w:val="nil"/>
                  </w:tcBorders>
                  <w:vAlign w:val="center"/>
                </w:tcPr>
                <w:p w14:paraId="230FD441">
                  <w:pPr>
                    <w:spacing w:line="240" w:lineRule="auto"/>
                    <w:jc w:val="center"/>
                    <w:rPr>
                      <w:szCs w:val="21"/>
                    </w:rPr>
                  </w:pPr>
                  <w:r>
                    <w:rPr>
                      <w:rFonts w:hint="eastAsia"/>
                      <w:szCs w:val="21"/>
                    </w:rPr>
                    <w:t>43.5</w:t>
                  </w:r>
                </w:p>
              </w:tc>
              <w:tc>
                <w:tcPr>
                  <w:tcW w:w="430" w:type="pct"/>
                  <w:tcBorders>
                    <w:tl2br w:val="nil"/>
                    <w:tr2bl w:val="nil"/>
                  </w:tcBorders>
                  <w:vAlign w:val="center"/>
                </w:tcPr>
                <w:p w14:paraId="314E9349">
                  <w:pPr>
                    <w:spacing w:line="240" w:lineRule="auto"/>
                    <w:jc w:val="center"/>
                    <w:rPr>
                      <w:szCs w:val="21"/>
                    </w:rPr>
                  </w:pPr>
                  <w:r>
                    <w:rPr>
                      <w:rFonts w:hint="eastAsia"/>
                      <w:szCs w:val="21"/>
                    </w:rPr>
                    <w:t>40.9</w:t>
                  </w:r>
                </w:p>
              </w:tc>
              <w:tc>
                <w:tcPr>
                  <w:tcW w:w="395" w:type="pct"/>
                  <w:tcBorders>
                    <w:tl2br w:val="nil"/>
                    <w:tr2bl w:val="nil"/>
                  </w:tcBorders>
                  <w:vAlign w:val="center"/>
                </w:tcPr>
                <w:p w14:paraId="2E7530E9">
                  <w:pPr>
                    <w:spacing w:line="240" w:lineRule="auto"/>
                    <w:jc w:val="center"/>
                    <w:rPr>
                      <w:szCs w:val="21"/>
                    </w:rPr>
                  </w:pPr>
                  <w:r>
                    <w:rPr>
                      <w:rFonts w:hint="eastAsia"/>
                      <w:szCs w:val="21"/>
                    </w:rPr>
                    <w:t>37.3</w:t>
                  </w:r>
                </w:p>
              </w:tc>
              <w:tc>
                <w:tcPr>
                  <w:tcW w:w="422" w:type="pct"/>
                  <w:tcBorders>
                    <w:tl2br w:val="nil"/>
                    <w:tr2bl w:val="nil"/>
                  </w:tcBorders>
                  <w:vAlign w:val="center"/>
                </w:tcPr>
                <w:p w14:paraId="60E228DE">
                  <w:pPr>
                    <w:spacing w:line="240" w:lineRule="auto"/>
                    <w:jc w:val="center"/>
                    <w:rPr>
                      <w:szCs w:val="21"/>
                    </w:rPr>
                  </w:pPr>
                  <w:r>
                    <w:rPr>
                      <w:rFonts w:hint="eastAsia"/>
                      <w:szCs w:val="21"/>
                    </w:rPr>
                    <w:t>41</w:t>
                  </w:r>
                </w:p>
              </w:tc>
              <w:tc>
                <w:tcPr>
                  <w:tcW w:w="431" w:type="pct"/>
                  <w:tcBorders>
                    <w:tl2br w:val="nil"/>
                    <w:tr2bl w:val="nil"/>
                  </w:tcBorders>
                  <w:vAlign w:val="center"/>
                </w:tcPr>
                <w:p w14:paraId="5F46BEC3">
                  <w:pPr>
                    <w:spacing w:line="240" w:lineRule="auto"/>
                    <w:jc w:val="center"/>
                    <w:rPr>
                      <w:szCs w:val="21"/>
                    </w:rPr>
                  </w:pPr>
                  <w:r>
                    <w:rPr>
                      <w:rFonts w:hint="eastAsia"/>
                      <w:szCs w:val="21"/>
                    </w:rPr>
                    <w:t>2.9</w:t>
                  </w:r>
                </w:p>
              </w:tc>
              <w:tc>
                <w:tcPr>
                  <w:tcW w:w="439" w:type="pct"/>
                  <w:tcBorders>
                    <w:tl2br w:val="nil"/>
                    <w:tr2bl w:val="nil"/>
                  </w:tcBorders>
                  <w:vAlign w:val="center"/>
                </w:tcPr>
                <w:p w14:paraId="3811312E">
                  <w:pPr>
                    <w:spacing w:line="240" w:lineRule="auto"/>
                    <w:jc w:val="center"/>
                    <w:rPr>
                      <w:szCs w:val="21"/>
                    </w:rPr>
                  </w:pPr>
                  <w:r>
                    <w:rPr>
                      <w:rFonts w:hint="eastAsia"/>
                      <w:szCs w:val="21"/>
                    </w:rPr>
                    <w:t>/</w:t>
                  </w:r>
                </w:p>
              </w:tc>
              <w:tc>
                <w:tcPr>
                  <w:tcW w:w="439" w:type="pct"/>
                  <w:tcBorders>
                    <w:tl2br w:val="nil"/>
                    <w:tr2bl w:val="nil"/>
                  </w:tcBorders>
                  <w:vAlign w:val="center"/>
                </w:tcPr>
                <w:p w14:paraId="06989299">
                  <w:pPr>
                    <w:spacing w:line="240" w:lineRule="auto"/>
                    <w:jc w:val="center"/>
                    <w:rPr>
                      <w:szCs w:val="21"/>
                    </w:rPr>
                  </w:pPr>
                  <w:r>
                    <w:rPr>
                      <w:rFonts w:hint="eastAsia"/>
                      <w:szCs w:val="21"/>
                    </w:rPr>
                    <w:t>50</w:t>
                  </w:r>
                </w:p>
              </w:tc>
              <w:tc>
                <w:tcPr>
                  <w:tcW w:w="439" w:type="pct"/>
                  <w:tcBorders>
                    <w:tl2br w:val="nil"/>
                    <w:tr2bl w:val="nil"/>
                  </w:tcBorders>
                  <w:vAlign w:val="center"/>
                </w:tcPr>
                <w:p w14:paraId="263CA5BD">
                  <w:pPr>
                    <w:spacing w:line="240" w:lineRule="auto"/>
                    <w:jc w:val="center"/>
                    <w:rPr>
                      <w:szCs w:val="21"/>
                    </w:rPr>
                  </w:pPr>
                  <w:r>
                    <w:rPr>
                      <w:color w:val="000000" w:themeColor="text1"/>
                      <w:szCs w:val="21"/>
                      <w14:textFill>
                        <w14:solidFill>
                          <w14:schemeClr w14:val="tx1"/>
                        </w14:solidFill>
                      </w14:textFill>
                    </w:rPr>
                    <w:t>达标</w:t>
                  </w:r>
                </w:p>
              </w:tc>
            </w:tr>
            <w:tr w14:paraId="13BF4BD6">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867" w:type="pct"/>
                  <w:vMerge w:val="restart"/>
                  <w:tcBorders>
                    <w:tl2br w:val="nil"/>
                    <w:tr2bl w:val="nil"/>
                  </w:tcBorders>
                  <w:vAlign w:val="center"/>
                </w:tcPr>
                <w:p w14:paraId="7B6A9069">
                  <w:pPr>
                    <w:spacing w:line="240" w:lineRule="auto"/>
                    <w:jc w:val="center"/>
                    <w:rPr>
                      <w:b/>
                      <w:szCs w:val="21"/>
                    </w:rPr>
                  </w:pPr>
                  <w:r>
                    <w:rPr>
                      <w:rFonts w:hint="eastAsia"/>
                      <w:b/>
                      <w:szCs w:val="21"/>
                    </w:rPr>
                    <w:t>4、北厂界</w:t>
                  </w:r>
                </w:p>
              </w:tc>
              <w:tc>
                <w:tcPr>
                  <w:tcW w:w="723" w:type="pct"/>
                  <w:tcBorders>
                    <w:tl2br w:val="nil"/>
                    <w:tr2bl w:val="nil"/>
                  </w:tcBorders>
                  <w:vAlign w:val="center"/>
                </w:tcPr>
                <w:p w14:paraId="42330CA6">
                  <w:pPr>
                    <w:spacing w:line="240" w:lineRule="auto"/>
                    <w:jc w:val="center"/>
                    <w:rPr>
                      <w:szCs w:val="21"/>
                    </w:rPr>
                  </w:pPr>
                  <w:r>
                    <w:rPr>
                      <w:rFonts w:hint="eastAsia"/>
                      <w:kern w:val="0"/>
                      <w:szCs w:val="21"/>
                    </w:rPr>
                    <w:t>3月27日</w:t>
                  </w:r>
                  <w:r>
                    <w:rPr>
                      <w:rFonts w:hint="eastAsia"/>
                      <w:szCs w:val="21"/>
                    </w:rPr>
                    <w:t>（昼间）</w:t>
                  </w:r>
                </w:p>
              </w:tc>
              <w:tc>
                <w:tcPr>
                  <w:tcW w:w="408" w:type="pct"/>
                  <w:tcBorders>
                    <w:tl2br w:val="nil"/>
                    <w:tr2bl w:val="nil"/>
                  </w:tcBorders>
                  <w:vAlign w:val="center"/>
                </w:tcPr>
                <w:p w14:paraId="3B790390">
                  <w:pPr>
                    <w:spacing w:line="240" w:lineRule="auto"/>
                    <w:jc w:val="center"/>
                    <w:rPr>
                      <w:szCs w:val="21"/>
                    </w:rPr>
                  </w:pPr>
                  <w:r>
                    <w:rPr>
                      <w:rFonts w:hint="eastAsia"/>
                      <w:szCs w:val="21"/>
                    </w:rPr>
                    <w:t>49.9</w:t>
                  </w:r>
                </w:p>
              </w:tc>
              <w:tc>
                <w:tcPr>
                  <w:tcW w:w="430" w:type="pct"/>
                  <w:tcBorders>
                    <w:tl2br w:val="nil"/>
                    <w:tr2bl w:val="nil"/>
                  </w:tcBorders>
                  <w:vAlign w:val="center"/>
                </w:tcPr>
                <w:p w14:paraId="2C8A7B30">
                  <w:pPr>
                    <w:spacing w:line="240" w:lineRule="auto"/>
                    <w:jc w:val="center"/>
                    <w:rPr>
                      <w:szCs w:val="21"/>
                    </w:rPr>
                  </w:pPr>
                  <w:r>
                    <w:rPr>
                      <w:rFonts w:hint="eastAsia"/>
                      <w:szCs w:val="21"/>
                    </w:rPr>
                    <w:t>47.3</w:t>
                  </w:r>
                </w:p>
              </w:tc>
              <w:tc>
                <w:tcPr>
                  <w:tcW w:w="395" w:type="pct"/>
                  <w:tcBorders>
                    <w:tl2br w:val="nil"/>
                    <w:tr2bl w:val="nil"/>
                  </w:tcBorders>
                  <w:vAlign w:val="center"/>
                </w:tcPr>
                <w:p w14:paraId="57A4AC0A">
                  <w:pPr>
                    <w:spacing w:line="240" w:lineRule="auto"/>
                    <w:jc w:val="center"/>
                    <w:rPr>
                      <w:szCs w:val="21"/>
                    </w:rPr>
                  </w:pPr>
                  <w:r>
                    <w:rPr>
                      <w:rFonts w:hint="eastAsia"/>
                      <w:szCs w:val="21"/>
                    </w:rPr>
                    <w:t>44.3</w:t>
                  </w:r>
                </w:p>
              </w:tc>
              <w:tc>
                <w:tcPr>
                  <w:tcW w:w="422" w:type="pct"/>
                  <w:tcBorders>
                    <w:tl2br w:val="nil"/>
                    <w:tr2bl w:val="nil"/>
                  </w:tcBorders>
                  <w:vAlign w:val="center"/>
                </w:tcPr>
                <w:p w14:paraId="6368E009">
                  <w:pPr>
                    <w:spacing w:line="240" w:lineRule="auto"/>
                    <w:jc w:val="center"/>
                    <w:rPr>
                      <w:szCs w:val="21"/>
                    </w:rPr>
                  </w:pPr>
                  <w:r>
                    <w:rPr>
                      <w:rFonts w:hint="eastAsia"/>
                      <w:szCs w:val="21"/>
                    </w:rPr>
                    <w:t>48</w:t>
                  </w:r>
                </w:p>
              </w:tc>
              <w:tc>
                <w:tcPr>
                  <w:tcW w:w="431" w:type="pct"/>
                  <w:tcBorders>
                    <w:tl2br w:val="nil"/>
                    <w:tr2bl w:val="nil"/>
                  </w:tcBorders>
                  <w:vAlign w:val="center"/>
                </w:tcPr>
                <w:p w14:paraId="4967A265">
                  <w:pPr>
                    <w:spacing w:line="240" w:lineRule="auto"/>
                    <w:jc w:val="center"/>
                    <w:rPr>
                      <w:szCs w:val="21"/>
                    </w:rPr>
                  </w:pPr>
                  <w:r>
                    <w:rPr>
                      <w:rFonts w:hint="eastAsia"/>
                      <w:szCs w:val="21"/>
                    </w:rPr>
                    <w:t>2.5</w:t>
                  </w:r>
                </w:p>
              </w:tc>
              <w:tc>
                <w:tcPr>
                  <w:tcW w:w="439" w:type="pct"/>
                  <w:tcBorders>
                    <w:tl2br w:val="nil"/>
                    <w:tr2bl w:val="nil"/>
                  </w:tcBorders>
                  <w:vAlign w:val="center"/>
                </w:tcPr>
                <w:p w14:paraId="27CDD077">
                  <w:pPr>
                    <w:spacing w:line="240" w:lineRule="auto"/>
                    <w:jc w:val="center"/>
                    <w:rPr>
                      <w:szCs w:val="21"/>
                    </w:rPr>
                  </w:pPr>
                  <w:r>
                    <w:rPr>
                      <w:rFonts w:hint="eastAsia"/>
                      <w:szCs w:val="21"/>
                    </w:rPr>
                    <w:t>/</w:t>
                  </w:r>
                </w:p>
              </w:tc>
              <w:tc>
                <w:tcPr>
                  <w:tcW w:w="439" w:type="pct"/>
                  <w:tcBorders>
                    <w:tl2br w:val="nil"/>
                    <w:tr2bl w:val="nil"/>
                  </w:tcBorders>
                  <w:vAlign w:val="center"/>
                </w:tcPr>
                <w:p w14:paraId="1DC31B8E">
                  <w:pPr>
                    <w:spacing w:line="240" w:lineRule="auto"/>
                    <w:jc w:val="center"/>
                    <w:rPr>
                      <w:szCs w:val="21"/>
                    </w:rPr>
                  </w:pPr>
                  <w:r>
                    <w:rPr>
                      <w:rFonts w:hint="eastAsia"/>
                      <w:szCs w:val="21"/>
                    </w:rPr>
                    <w:t>60</w:t>
                  </w:r>
                </w:p>
              </w:tc>
              <w:tc>
                <w:tcPr>
                  <w:tcW w:w="439" w:type="pct"/>
                  <w:tcBorders>
                    <w:tl2br w:val="nil"/>
                    <w:tr2bl w:val="nil"/>
                  </w:tcBorders>
                  <w:vAlign w:val="center"/>
                </w:tcPr>
                <w:p w14:paraId="6104E482">
                  <w:pPr>
                    <w:spacing w:line="240" w:lineRule="auto"/>
                    <w:jc w:val="center"/>
                    <w:rPr>
                      <w:szCs w:val="21"/>
                    </w:rPr>
                  </w:pPr>
                  <w:r>
                    <w:rPr>
                      <w:color w:val="000000" w:themeColor="text1"/>
                      <w:szCs w:val="21"/>
                      <w14:textFill>
                        <w14:solidFill>
                          <w14:schemeClr w14:val="tx1"/>
                        </w14:solidFill>
                      </w14:textFill>
                    </w:rPr>
                    <w:t>达标</w:t>
                  </w:r>
                </w:p>
              </w:tc>
            </w:tr>
            <w:tr w14:paraId="54709612">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867" w:type="pct"/>
                  <w:vMerge w:val="continue"/>
                  <w:tcBorders>
                    <w:tl2br w:val="nil"/>
                    <w:tr2bl w:val="nil"/>
                  </w:tcBorders>
                  <w:vAlign w:val="center"/>
                </w:tcPr>
                <w:p w14:paraId="2CCD06D8">
                  <w:pPr>
                    <w:spacing w:line="240" w:lineRule="auto"/>
                    <w:jc w:val="center"/>
                    <w:rPr>
                      <w:szCs w:val="21"/>
                    </w:rPr>
                  </w:pPr>
                </w:p>
              </w:tc>
              <w:tc>
                <w:tcPr>
                  <w:tcW w:w="723" w:type="pct"/>
                  <w:tcBorders>
                    <w:tl2br w:val="nil"/>
                    <w:tr2bl w:val="nil"/>
                  </w:tcBorders>
                  <w:vAlign w:val="center"/>
                </w:tcPr>
                <w:p w14:paraId="508C457D">
                  <w:pPr>
                    <w:spacing w:line="240" w:lineRule="auto"/>
                    <w:jc w:val="center"/>
                    <w:rPr>
                      <w:szCs w:val="21"/>
                    </w:rPr>
                  </w:pPr>
                  <w:r>
                    <w:rPr>
                      <w:rFonts w:hint="eastAsia"/>
                      <w:kern w:val="0"/>
                      <w:szCs w:val="21"/>
                    </w:rPr>
                    <w:t>3月27日</w:t>
                  </w:r>
                  <w:r>
                    <w:rPr>
                      <w:rFonts w:hint="eastAsia"/>
                      <w:szCs w:val="21"/>
                    </w:rPr>
                    <w:t>（夜间）</w:t>
                  </w:r>
                </w:p>
              </w:tc>
              <w:tc>
                <w:tcPr>
                  <w:tcW w:w="408" w:type="pct"/>
                  <w:tcBorders>
                    <w:tl2br w:val="nil"/>
                    <w:tr2bl w:val="nil"/>
                  </w:tcBorders>
                  <w:vAlign w:val="center"/>
                </w:tcPr>
                <w:p w14:paraId="3052AF04">
                  <w:pPr>
                    <w:spacing w:line="240" w:lineRule="auto"/>
                    <w:jc w:val="center"/>
                    <w:rPr>
                      <w:szCs w:val="21"/>
                    </w:rPr>
                  </w:pPr>
                  <w:r>
                    <w:rPr>
                      <w:rFonts w:hint="eastAsia"/>
                      <w:szCs w:val="21"/>
                    </w:rPr>
                    <w:t>41.3</w:t>
                  </w:r>
                </w:p>
              </w:tc>
              <w:tc>
                <w:tcPr>
                  <w:tcW w:w="430" w:type="pct"/>
                  <w:tcBorders>
                    <w:tl2br w:val="nil"/>
                    <w:tr2bl w:val="nil"/>
                  </w:tcBorders>
                  <w:vAlign w:val="center"/>
                </w:tcPr>
                <w:p w14:paraId="6F1107CA">
                  <w:pPr>
                    <w:spacing w:line="240" w:lineRule="auto"/>
                    <w:jc w:val="center"/>
                    <w:rPr>
                      <w:szCs w:val="21"/>
                    </w:rPr>
                  </w:pPr>
                  <w:r>
                    <w:rPr>
                      <w:rFonts w:hint="eastAsia"/>
                      <w:szCs w:val="21"/>
                    </w:rPr>
                    <w:t>38.6</w:t>
                  </w:r>
                </w:p>
              </w:tc>
              <w:tc>
                <w:tcPr>
                  <w:tcW w:w="395" w:type="pct"/>
                  <w:tcBorders>
                    <w:tl2br w:val="nil"/>
                    <w:tr2bl w:val="nil"/>
                  </w:tcBorders>
                  <w:vAlign w:val="center"/>
                </w:tcPr>
                <w:p w14:paraId="7B64BA54">
                  <w:pPr>
                    <w:spacing w:line="240" w:lineRule="auto"/>
                    <w:jc w:val="center"/>
                    <w:rPr>
                      <w:szCs w:val="21"/>
                    </w:rPr>
                  </w:pPr>
                  <w:r>
                    <w:rPr>
                      <w:rFonts w:hint="eastAsia"/>
                      <w:szCs w:val="21"/>
                    </w:rPr>
                    <w:t>34.9</w:t>
                  </w:r>
                </w:p>
              </w:tc>
              <w:tc>
                <w:tcPr>
                  <w:tcW w:w="422" w:type="pct"/>
                  <w:tcBorders>
                    <w:tl2br w:val="nil"/>
                    <w:tr2bl w:val="nil"/>
                  </w:tcBorders>
                  <w:vAlign w:val="center"/>
                </w:tcPr>
                <w:p w14:paraId="624D22B9">
                  <w:pPr>
                    <w:spacing w:line="240" w:lineRule="auto"/>
                    <w:jc w:val="center"/>
                    <w:rPr>
                      <w:szCs w:val="21"/>
                    </w:rPr>
                  </w:pPr>
                  <w:r>
                    <w:rPr>
                      <w:rFonts w:hint="eastAsia"/>
                      <w:szCs w:val="21"/>
                    </w:rPr>
                    <w:t>39</w:t>
                  </w:r>
                </w:p>
              </w:tc>
              <w:tc>
                <w:tcPr>
                  <w:tcW w:w="431" w:type="pct"/>
                  <w:tcBorders>
                    <w:tl2br w:val="nil"/>
                    <w:tr2bl w:val="nil"/>
                  </w:tcBorders>
                  <w:vAlign w:val="center"/>
                </w:tcPr>
                <w:p w14:paraId="4439F6F0">
                  <w:pPr>
                    <w:spacing w:line="240" w:lineRule="auto"/>
                    <w:jc w:val="center"/>
                    <w:rPr>
                      <w:szCs w:val="21"/>
                    </w:rPr>
                  </w:pPr>
                  <w:r>
                    <w:rPr>
                      <w:rFonts w:hint="eastAsia"/>
                      <w:szCs w:val="21"/>
                    </w:rPr>
                    <w:t>2.7</w:t>
                  </w:r>
                </w:p>
              </w:tc>
              <w:tc>
                <w:tcPr>
                  <w:tcW w:w="439" w:type="pct"/>
                  <w:tcBorders>
                    <w:tl2br w:val="nil"/>
                    <w:tr2bl w:val="nil"/>
                  </w:tcBorders>
                  <w:vAlign w:val="center"/>
                </w:tcPr>
                <w:p w14:paraId="7EC325F5">
                  <w:pPr>
                    <w:spacing w:line="240" w:lineRule="auto"/>
                    <w:jc w:val="center"/>
                    <w:rPr>
                      <w:szCs w:val="21"/>
                    </w:rPr>
                  </w:pPr>
                  <w:r>
                    <w:rPr>
                      <w:rFonts w:hint="eastAsia"/>
                      <w:szCs w:val="21"/>
                    </w:rPr>
                    <w:t>/</w:t>
                  </w:r>
                </w:p>
              </w:tc>
              <w:tc>
                <w:tcPr>
                  <w:tcW w:w="439" w:type="pct"/>
                  <w:tcBorders>
                    <w:tl2br w:val="nil"/>
                    <w:tr2bl w:val="nil"/>
                  </w:tcBorders>
                  <w:vAlign w:val="center"/>
                </w:tcPr>
                <w:p w14:paraId="1F9420DE">
                  <w:pPr>
                    <w:spacing w:line="240" w:lineRule="auto"/>
                    <w:jc w:val="center"/>
                    <w:rPr>
                      <w:szCs w:val="21"/>
                    </w:rPr>
                  </w:pPr>
                  <w:r>
                    <w:rPr>
                      <w:rFonts w:hint="eastAsia"/>
                      <w:szCs w:val="21"/>
                    </w:rPr>
                    <w:t>50</w:t>
                  </w:r>
                </w:p>
              </w:tc>
              <w:tc>
                <w:tcPr>
                  <w:tcW w:w="439" w:type="pct"/>
                  <w:tcBorders>
                    <w:tl2br w:val="nil"/>
                    <w:tr2bl w:val="nil"/>
                  </w:tcBorders>
                  <w:vAlign w:val="center"/>
                </w:tcPr>
                <w:p w14:paraId="10BD97AE">
                  <w:pPr>
                    <w:spacing w:line="240" w:lineRule="auto"/>
                    <w:jc w:val="center"/>
                    <w:rPr>
                      <w:szCs w:val="21"/>
                    </w:rPr>
                  </w:pPr>
                  <w:r>
                    <w:rPr>
                      <w:color w:val="000000" w:themeColor="text1"/>
                      <w:szCs w:val="21"/>
                      <w14:textFill>
                        <w14:solidFill>
                          <w14:schemeClr w14:val="tx1"/>
                        </w14:solidFill>
                      </w14:textFill>
                    </w:rPr>
                    <w:t>达标</w:t>
                  </w:r>
                </w:p>
              </w:tc>
            </w:tr>
          </w:tbl>
          <w:p w14:paraId="7E3A22A7">
            <w:pPr>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③监测</w:t>
            </w:r>
            <w:r>
              <w:rPr>
                <w:rFonts w:hint="eastAsia"/>
                <w:color w:val="000000" w:themeColor="text1"/>
                <w:sz w:val="24"/>
                <w14:textFill>
                  <w14:solidFill>
                    <w14:schemeClr w14:val="tx1"/>
                  </w14:solidFill>
                </w14:textFill>
              </w:rPr>
              <w:t>结果分析</w:t>
            </w:r>
          </w:p>
          <w:p w14:paraId="17505303">
            <w:pPr>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由上表监测结果可知，</w:t>
            </w:r>
            <w:r>
              <w:rPr>
                <w:color w:val="000000" w:themeColor="text1"/>
                <w:kern w:val="0"/>
                <w:sz w:val="24"/>
                <w:lang w:bidi="ar"/>
                <w14:textFill>
                  <w14:solidFill>
                    <w14:schemeClr w14:val="tx1"/>
                  </w14:solidFill>
                </w14:textFill>
              </w:rPr>
              <w:t>本项目</w:t>
            </w:r>
            <w:r>
              <w:rPr>
                <w:rFonts w:hint="eastAsia"/>
                <w:color w:val="000000" w:themeColor="text1"/>
                <w:kern w:val="0"/>
                <w:sz w:val="24"/>
                <w:lang w:bidi="ar"/>
                <w14:textFill>
                  <w14:solidFill>
                    <w14:schemeClr w14:val="tx1"/>
                  </w14:solidFill>
                </w14:textFill>
              </w:rPr>
              <w:t>厂区西侧、北侧、东侧</w:t>
            </w:r>
            <w:r>
              <w:rPr>
                <w:color w:val="000000" w:themeColor="text1"/>
                <w:kern w:val="0"/>
                <w:sz w:val="24"/>
                <w:lang w:bidi="ar"/>
                <w14:textFill>
                  <w14:solidFill>
                    <w14:schemeClr w14:val="tx1"/>
                  </w14:solidFill>
                </w14:textFill>
              </w:rPr>
              <w:t>环境噪声</w:t>
            </w:r>
            <w:r>
              <w:rPr>
                <w:rFonts w:hint="eastAsia"/>
                <w:color w:val="000000" w:themeColor="text1"/>
                <w:kern w:val="0"/>
                <w:sz w:val="24"/>
                <w:lang w:bidi="ar"/>
                <w14:textFill>
                  <w14:solidFill>
                    <w14:schemeClr w14:val="tx1"/>
                  </w14:solidFill>
                </w14:textFill>
              </w:rPr>
              <w:t>满足</w:t>
            </w:r>
            <w:r>
              <w:rPr>
                <w:color w:val="000000" w:themeColor="text1"/>
                <w:kern w:val="0"/>
                <w:sz w:val="24"/>
                <w:lang w:bidi="ar"/>
                <w14:textFill>
                  <w14:solidFill>
                    <w14:schemeClr w14:val="tx1"/>
                  </w14:solidFill>
                </w14:textFill>
              </w:rPr>
              <w:t>国家《声环境质量标准》(GB3096-2008）</w:t>
            </w:r>
            <w:r>
              <w:rPr>
                <w:rFonts w:hint="eastAsia"/>
                <w:color w:val="000000" w:themeColor="text1"/>
                <w:kern w:val="0"/>
                <w:sz w:val="24"/>
                <w:lang w:bidi="ar"/>
                <w14:textFill>
                  <w14:solidFill>
                    <w14:schemeClr w14:val="tx1"/>
                  </w14:solidFill>
                </w14:textFill>
              </w:rPr>
              <w:t>2</w:t>
            </w:r>
            <w:r>
              <w:rPr>
                <w:color w:val="000000" w:themeColor="text1"/>
                <w:kern w:val="0"/>
                <w:sz w:val="24"/>
                <w:lang w:bidi="ar"/>
                <w14:textFill>
                  <w14:solidFill>
                    <w14:schemeClr w14:val="tx1"/>
                  </w14:solidFill>
                </w14:textFill>
              </w:rPr>
              <w:t>类标准</w:t>
            </w:r>
            <w:r>
              <w:rPr>
                <w:rFonts w:hint="eastAsia"/>
                <w:color w:val="000000" w:themeColor="text1"/>
                <w:kern w:val="0"/>
                <w:sz w:val="24"/>
                <w:lang w:bidi="ar"/>
                <w14:textFill>
                  <w14:solidFill>
                    <w14:schemeClr w14:val="tx1"/>
                  </w14:solidFill>
                </w14:textFill>
              </w:rPr>
              <w:t>，南侧</w:t>
            </w:r>
            <w:r>
              <w:rPr>
                <w:color w:val="000000" w:themeColor="text1"/>
                <w:kern w:val="0"/>
                <w:sz w:val="24"/>
                <w:lang w:bidi="ar"/>
                <w14:textFill>
                  <w14:solidFill>
                    <w14:schemeClr w14:val="tx1"/>
                  </w14:solidFill>
                </w14:textFill>
              </w:rPr>
              <w:t>环境噪声</w:t>
            </w:r>
            <w:r>
              <w:rPr>
                <w:rFonts w:hint="eastAsia"/>
                <w:color w:val="000000" w:themeColor="text1"/>
                <w:kern w:val="0"/>
                <w:sz w:val="24"/>
                <w:lang w:bidi="ar"/>
                <w14:textFill>
                  <w14:solidFill>
                    <w14:schemeClr w14:val="tx1"/>
                  </w14:solidFill>
                </w14:textFill>
              </w:rPr>
              <w:t>满足</w:t>
            </w:r>
            <w:r>
              <w:rPr>
                <w:color w:val="000000" w:themeColor="text1"/>
                <w:kern w:val="0"/>
                <w:sz w:val="24"/>
                <w:lang w:bidi="ar"/>
                <w14:textFill>
                  <w14:solidFill>
                    <w14:schemeClr w14:val="tx1"/>
                  </w14:solidFill>
                </w14:textFill>
              </w:rPr>
              <w:t>国家《声环境质量标准》(GB3096-2008）</w:t>
            </w:r>
            <w:r>
              <w:rPr>
                <w:rFonts w:hint="eastAsia"/>
                <w:color w:val="000000" w:themeColor="text1"/>
                <w:kern w:val="0"/>
                <w:sz w:val="24"/>
                <w:lang w:bidi="ar"/>
                <w14:textFill>
                  <w14:solidFill>
                    <w14:schemeClr w14:val="tx1"/>
                  </w14:solidFill>
                </w14:textFill>
              </w:rPr>
              <w:t>4a</w:t>
            </w:r>
            <w:r>
              <w:rPr>
                <w:color w:val="000000" w:themeColor="text1"/>
                <w:kern w:val="0"/>
                <w:sz w:val="24"/>
                <w:lang w:bidi="ar"/>
                <w14:textFill>
                  <w14:solidFill>
                    <w14:schemeClr w14:val="tx1"/>
                  </w14:solidFill>
                </w14:textFill>
              </w:rPr>
              <w:t>类标准</w:t>
            </w:r>
            <w:r>
              <w:rPr>
                <w:color w:val="000000" w:themeColor="text1"/>
                <w:sz w:val="24"/>
                <w14:textFill>
                  <w14:solidFill>
                    <w14:schemeClr w14:val="tx1"/>
                  </w14:solidFill>
                </w14:textFill>
              </w:rPr>
              <w:t>。</w:t>
            </w:r>
          </w:p>
          <w:p w14:paraId="7F8D54C1">
            <w:pPr>
              <w:adjustRightInd w:val="0"/>
              <w:snapToGrid w:val="0"/>
              <w:spacing w:line="360" w:lineRule="auto"/>
              <w:rPr>
                <w:b/>
                <w:bCs/>
                <w:color w:val="000000" w:themeColor="text1"/>
                <w:sz w:val="24"/>
                <w14:textFill>
                  <w14:solidFill>
                    <w14:schemeClr w14:val="tx1"/>
                  </w14:solidFill>
                </w14:textFill>
              </w:rPr>
            </w:pPr>
            <w:r>
              <w:rPr>
                <w:b/>
                <w:bCs/>
                <w:color w:val="000000" w:themeColor="text1"/>
                <w:sz w:val="24"/>
                <w14:textFill>
                  <w14:solidFill>
                    <w14:schemeClr w14:val="tx1"/>
                  </w14:solidFill>
                </w14:textFill>
              </w:rPr>
              <w:t>6</w:t>
            </w:r>
            <w:r>
              <w:rPr>
                <w:rFonts w:hint="eastAsia"/>
                <w:b/>
                <w:bCs/>
                <w:color w:val="000000" w:themeColor="text1"/>
                <w:sz w:val="24"/>
                <w:lang w:eastAsia="zh-CN"/>
                <w14:textFill>
                  <w14:solidFill>
                    <w14:schemeClr w14:val="tx1"/>
                  </w14:solidFill>
                </w14:textFill>
              </w:rPr>
              <w:t>.</w:t>
            </w:r>
            <w:r>
              <w:rPr>
                <w:b/>
                <w:bCs/>
                <w:color w:val="000000" w:themeColor="text1"/>
                <w:sz w:val="24"/>
                <w14:textFill>
                  <w14:solidFill>
                    <w14:schemeClr w14:val="tx1"/>
                  </w14:solidFill>
                </w14:textFill>
              </w:rPr>
              <w:t>生态环境</w:t>
            </w:r>
          </w:p>
          <w:p w14:paraId="6BF978EE">
            <w:pPr>
              <w:spacing w:line="360" w:lineRule="auto"/>
              <w:ind w:firstLine="480" w:firstLineChars="200"/>
              <w:rPr>
                <w:color w:val="000000" w:themeColor="text1"/>
                <w:kern w:val="0"/>
                <w:sz w:val="24"/>
                <w14:textFill>
                  <w14:solidFill>
                    <w14:schemeClr w14:val="tx1"/>
                  </w14:solidFill>
                </w14:textFill>
              </w:rPr>
            </w:pPr>
            <w:r>
              <w:rPr>
                <w:color w:val="000000" w:themeColor="text1"/>
                <w:kern w:val="0"/>
                <w:sz w:val="24"/>
                <w14:textFill>
                  <w14:solidFill>
                    <w14:schemeClr w14:val="tx1"/>
                  </w14:solidFill>
                </w14:textFill>
              </w:rPr>
              <w:t>本项目</w:t>
            </w:r>
            <w:r>
              <w:rPr>
                <w:rFonts w:hint="eastAsia"/>
                <w:color w:val="000000" w:themeColor="text1"/>
                <w:kern w:val="0"/>
                <w:sz w:val="24"/>
                <w14:textFill>
                  <w14:solidFill>
                    <w14:schemeClr w14:val="tx1"/>
                  </w14:solidFill>
                </w14:textFill>
              </w:rPr>
              <w:t>租用现有厂区进行改造，</w:t>
            </w:r>
            <w:r>
              <w:rPr>
                <w:color w:val="000000" w:themeColor="text1"/>
                <w:kern w:val="0"/>
                <w:sz w:val="24"/>
                <w14:textFill>
                  <w14:solidFill>
                    <w14:schemeClr w14:val="tx1"/>
                  </w14:solidFill>
                </w14:textFill>
              </w:rPr>
              <w:t>用地范围内不含有生态环境保护目标，无需开展生态现状调查。</w:t>
            </w:r>
          </w:p>
          <w:p w14:paraId="5CA13660">
            <w:pPr>
              <w:widowControl/>
              <w:spacing w:line="360" w:lineRule="auto"/>
              <w:rPr>
                <w:color w:val="000000" w:themeColor="text1"/>
                <w:sz w:val="24"/>
                <w14:textFill>
                  <w14:solidFill>
                    <w14:schemeClr w14:val="tx1"/>
                  </w14:solidFill>
                </w14:textFill>
              </w:rPr>
            </w:pPr>
            <w:r>
              <w:rPr>
                <w:b/>
                <w:bCs/>
                <w:color w:val="000000" w:themeColor="text1"/>
                <w:kern w:val="0"/>
                <w:sz w:val="24"/>
                <w:lang w:bidi="ar"/>
                <w14:textFill>
                  <w14:solidFill>
                    <w14:schemeClr w14:val="tx1"/>
                  </w14:solidFill>
                </w14:textFill>
              </w:rPr>
              <w:t>7</w:t>
            </w:r>
            <w:r>
              <w:rPr>
                <w:rFonts w:hint="eastAsia"/>
                <w:b/>
                <w:bCs/>
                <w:color w:val="000000" w:themeColor="text1"/>
                <w:kern w:val="0"/>
                <w:sz w:val="24"/>
                <w:lang w:eastAsia="zh-CN" w:bidi="ar"/>
                <w14:textFill>
                  <w14:solidFill>
                    <w14:schemeClr w14:val="tx1"/>
                  </w14:solidFill>
                </w14:textFill>
              </w:rPr>
              <w:t>.</w:t>
            </w:r>
            <w:r>
              <w:rPr>
                <w:b/>
                <w:bCs/>
                <w:color w:val="000000" w:themeColor="text1"/>
                <w:kern w:val="0"/>
                <w:sz w:val="24"/>
                <w:lang w:bidi="ar"/>
                <w14:textFill>
                  <w14:solidFill>
                    <w14:schemeClr w14:val="tx1"/>
                  </w14:solidFill>
                </w14:textFill>
              </w:rPr>
              <w:t>电磁辐射</w:t>
            </w:r>
          </w:p>
          <w:p w14:paraId="2FAFDAB7">
            <w:pPr>
              <w:widowControl/>
              <w:adjustRightInd w:val="0"/>
              <w:snapToGrid w:val="0"/>
              <w:spacing w:line="360" w:lineRule="auto"/>
              <w:ind w:firstLine="480" w:firstLineChars="200"/>
              <w:jc w:val="left"/>
              <w:rPr>
                <w:color w:val="000000" w:themeColor="text1"/>
                <w:sz w:val="24"/>
                <w14:textFill>
                  <w14:solidFill>
                    <w14:schemeClr w14:val="tx1"/>
                  </w14:solidFill>
                </w14:textFill>
              </w:rPr>
            </w:pPr>
            <w:r>
              <w:rPr>
                <w:color w:val="000000" w:themeColor="text1"/>
                <w:kern w:val="0"/>
                <w:sz w:val="24"/>
                <w14:textFill>
                  <w14:solidFill>
                    <w14:schemeClr w14:val="tx1"/>
                  </w14:solidFill>
                </w14:textFill>
              </w:rPr>
              <w:t>本项目不涉及电磁辐射。</w:t>
            </w:r>
          </w:p>
        </w:tc>
      </w:tr>
      <w:tr w14:paraId="1BD9057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1514" w:hRule="atLeast"/>
          <w:jc w:val="center"/>
        </w:trPr>
        <w:tc>
          <w:tcPr>
            <w:tcW w:w="800" w:type="dxa"/>
            <w:vAlign w:val="center"/>
          </w:tcPr>
          <w:p w14:paraId="5CE9618E">
            <w:pPr>
              <w:adjustRightInd w:val="0"/>
              <w:snapToGrid w:val="0"/>
              <w:jc w:val="center"/>
              <w:rPr>
                <w:rFonts w:hint="eastAsia" w:ascii="宋体" w:hAnsi="宋体" w:cs="宋体"/>
                <w:color w:val="000000" w:themeColor="text1"/>
                <w:kern w:val="0"/>
                <w:szCs w:val="21"/>
                <w14:textFill>
                  <w14:solidFill>
                    <w14:schemeClr w14:val="tx1"/>
                  </w14:solidFill>
                </w14:textFill>
              </w:rPr>
            </w:pPr>
            <w:r>
              <w:rPr>
                <w:rFonts w:hint="eastAsia" w:ascii="宋体" w:hAnsi="宋体" w:cs="宋体"/>
                <w:color w:val="000000" w:themeColor="text1"/>
                <w:kern w:val="0"/>
                <w:szCs w:val="21"/>
                <w14:textFill>
                  <w14:solidFill>
                    <w14:schemeClr w14:val="tx1"/>
                  </w14:solidFill>
                </w14:textFill>
              </w:rPr>
              <w:t>环境</w:t>
            </w:r>
          </w:p>
          <w:p w14:paraId="0050792E">
            <w:pPr>
              <w:adjustRightInd w:val="0"/>
              <w:snapToGrid w:val="0"/>
              <w:jc w:val="center"/>
              <w:rPr>
                <w:rFonts w:hint="eastAsia" w:ascii="宋体" w:hAnsi="宋体" w:cs="宋体"/>
                <w:color w:val="000000" w:themeColor="text1"/>
                <w:kern w:val="0"/>
                <w:szCs w:val="21"/>
                <w14:textFill>
                  <w14:solidFill>
                    <w14:schemeClr w14:val="tx1"/>
                  </w14:solidFill>
                </w14:textFill>
              </w:rPr>
            </w:pPr>
            <w:r>
              <w:rPr>
                <w:rFonts w:hint="eastAsia" w:ascii="宋体" w:hAnsi="宋体" w:cs="宋体"/>
                <w:color w:val="000000" w:themeColor="text1"/>
                <w:kern w:val="0"/>
                <w:szCs w:val="21"/>
                <w14:textFill>
                  <w14:solidFill>
                    <w14:schemeClr w14:val="tx1"/>
                  </w14:solidFill>
                </w14:textFill>
              </w:rPr>
              <w:t>保护</w:t>
            </w:r>
          </w:p>
          <w:p w14:paraId="2A457F1A">
            <w:pPr>
              <w:adjustRightInd w:val="0"/>
              <w:snapToGrid w:val="0"/>
              <w:jc w:val="center"/>
              <w:rPr>
                <w:rFonts w:hint="eastAsia" w:ascii="宋体" w:hAnsi="宋体" w:cs="宋体"/>
                <w:color w:val="000000" w:themeColor="text1"/>
                <w:kern w:val="0"/>
                <w:szCs w:val="21"/>
                <w14:textFill>
                  <w14:solidFill>
                    <w14:schemeClr w14:val="tx1"/>
                  </w14:solidFill>
                </w14:textFill>
              </w:rPr>
            </w:pPr>
            <w:r>
              <w:rPr>
                <w:rFonts w:hint="eastAsia" w:ascii="宋体" w:hAnsi="宋体" w:cs="宋体"/>
                <w:color w:val="000000" w:themeColor="text1"/>
                <w:kern w:val="0"/>
                <w:szCs w:val="21"/>
                <w14:textFill>
                  <w14:solidFill>
                    <w14:schemeClr w14:val="tx1"/>
                  </w14:solidFill>
                </w14:textFill>
              </w:rPr>
              <w:t>目标</w:t>
            </w:r>
          </w:p>
        </w:tc>
        <w:tc>
          <w:tcPr>
            <w:tcW w:w="8190" w:type="dxa"/>
            <w:vAlign w:val="center"/>
          </w:tcPr>
          <w:p w14:paraId="0A022EEB">
            <w:pPr>
              <w:adjustRightInd w:val="0"/>
              <w:snapToGrid w:val="0"/>
              <w:spacing w:line="360" w:lineRule="auto"/>
              <w:ind w:firstLine="482" w:firstLineChars="200"/>
              <w:rPr>
                <w:rFonts w:hint="eastAsia"/>
                <w:b/>
                <w:bCs/>
                <w:color w:val="FF0000"/>
                <w:sz w:val="24"/>
                <w:szCs w:val="32"/>
                <w:lang w:val="en-US" w:eastAsia="zh-CN"/>
              </w:rPr>
            </w:pPr>
            <w:r>
              <w:rPr>
                <w:rFonts w:hint="eastAsia"/>
                <w:b/>
                <w:bCs/>
                <w:color w:val="FF0000"/>
                <w:sz w:val="24"/>
                <w:szCs w:val="32"/>
                <w:lang w:val="en-US" w:eastAsia="zh-CN"/>
              </w:rPr>
              <w:t>1.项目四至及建筑物利用情况</w:t>
            </w:r>
          </w:p>
          <w:p w14:paraId="6F81371F">
            <w:pPr>
              <w:adjustRightInd w:val="0"/>
              <w:snapToGrid w:val="0"/>
              <w:spacing w:line="360" w:lineRule="auto"/>
              <w:ind w:firstLine="480" w:firstLineChars="200"/>
              <w:rPr>
                <w:rFonts w:hint="default"/>
                <w:color w:val="FF0000"/>
                <w:sz w:val="24"/>
                <w:szCs w:val="32"/>
                <w:lang w:val="en-US" w:eastAsia="zh-CN"/>
              </w:rPr>
            </w:pPr>
            <w:r>
              <w:rPr>
                <w:rFonts w:hint="default"/>
                <w:color w:val="FF0000"/>
                <w:sz w:val="24"/>
                <w:szCs w:val="32"/>
                <w:lang w:val="en-US" w:eastAsia="zh-CN"/>
              </w:rPr>
              <w:t>本项目位于辽宁省朝阳市北票市宝锦线凉水河北侧3幢01023。</w:t>
            </w:r>
          </w:p>
          <w:p w14:paraId="5948C7B9">
            <w:pPr>
              <w:adjustRightInd w:val="0"/>
              <w:snapToGrid w:val="0"/>
              <w:spacing w:line="360" w:lineRule="auto"/>
              <w:ind w:firstLine="480" w:firstLineChars="200"/>
              <w:rPr>
                <w:rFonts w:hint="default"/>
                <w:color w:val="FF0000"/>
                <w:sz w:val="24"/>
                <w:szCs w:val="32"/>
                <w:lang w:val="en-US" w:eastAsia="zh-CN"/>
              </w:rPr>
            </w:pPr>
            <w:r>
              <w:rPr>
                <w:rFonts w:hint="default"/>
                <w:color w:val="FF0000"/>
                <w:sz w:val="24"/>
                <w:szCs w:val="32"/>
                <w:lang w:val="en-US" w:eastAsia="zh-CN"/>
              </w:rPr>
              <w:t>项目四至：厂界东北侧为工业用地</w:t>
            </w:r>
            <w:r>
              <w:rPr>
                <w:rFonts w:hint="eastAsia"/>
                <w:color w:val="FF0000"/>
                <w:sz w:val="24"/>
                <w:szCs w:val="32"/>
                <w:lang w:val="en-US" w:eastAsia="zh-CN"/>
              </w:rPr>
              <w:t>空地</w:t>
            </w:r>
            <w:r>
              <w:rPr>
                <w:rFonts w:hint="default"/>
                <w:color w:val="FF0000"/>
                <w:sz w:val="24"/>
                <w:szCs w:val="32"/>
                <w:lang w:val="en-US" w:eastAsia="zh-CN"/>
              </w:rPr>
              <w:t>，东南侧为天鹅堡欢乐世界</w:t>
            </w:r>
            <w:r>
              <w:rPr>
                <w:rFonts w:hint="eastAsia"/>
                <w:color w:val="FF0000"/>
                <w:sz w:val="24"/>
                <w:szCs w:val="32"/>
                <w:lang w:val="en-US" w:eastAsia="zh-CN"/>
              </w:rPr>
              <w:t>（商用）</w:t>
            </w:r>
            <w:r>
              <w:rPr>
                <w:rFonts w:hint="default"/>
                <w:color w:val="FF0000"/>
                <w:sz w:val="24"/>
                <w:szCs w:val="32"/>
                <w:lang w:val="en-US" w:eastAsia="zh-CN"/>
              </w:rPr>
              <w:t>，西南侧为S218宝锦线、隔路为凉水河，西北侧为北票市华运汽车销售维修有限公司</w:t>
            </w:r>
            <w:r>
              <w:rPr>
                <w:rFonts w:hint="eastAsia"/>
                <w:color w:val="FF0000"/>
                <w:sz w:val="24"/>
                <w:szCs w:val="32"/>
                <w:lang w:val="en-US" w:eastAsia="zh-CN"/>
              </w:rPr>
              <w:t>（商用）</w:t>
            </w:r>
            <w:r>
              <w:rPr>
                <w:rFonts w:hint="default"/>
                <w:color w:val="FF0000"/>
                <w:sz w:val="24"/>
                <w:szCs w:val="32"/>
                <w:lang w:val="en-US" w:eastAsia="zh-CN"/>
              </w:rPr>
              <w:t>。</w:t>
            </w:r>
          </w:p>
          <w:p w14:paraId="36C417D8">
            <w:pPr>
              <w:adjustRightInd w:val="0"/>
              <w:snapToGrid w:val="0"/>
              <w:spacing w:line="360" w:lineRule="auto"/>
              <w:ind w:firstLine="480" w:firstLineChars="200"/>
              <w:rPr>
                <w:rFonts w:hint="default"/>
                <w:color w:val="FF0000"/>
                <w:sz w:val="24"/>
                <w:szCs w:val="32"/>
                <w:lang w:val="en-US" w:eastAsia="zh-CN"/>
              </w:rPr>
            </w:pPr>
            <w:r>
              <w:rPr>
                <w:rFonts w:hint="default"/>
                <w:color w:val="FF0000"/>
                <w:sz w:val="24"/>
                <w:szCs w:val="32"/>
                <w:lang w:val="en-US" w:eastAsia="zh-CN"/>
              </w:rPr>
              <w:t>根据《部令第16号 建设项目环境影响评价分类管理名录（2021年版）中第三条 本名录所称环境敏感区是指依法设立的各级各类保护区域和对建设项目产生的环境影响特别敏感的区域，主要包括下列区域：</w:t>
            </w:r>
          </w:p>
          <w:p w14:paraId="27C8F8D0">
            <w:pPr>
              <w:adjustRightInd w:val="0"/>
              <w:snapToGrid w:val="0"/>
              <w:spacing w:line="360" w:lineRule="auto"/>
              <w:ind w:firstLine="480" w:firstLineChars="200"/>
              <w:rPr>
                <w:rFonts w:hint="default"/>
                <w:color w:val="FF0000"/>
                <w:sz w:val="24"/>
                <w:szCs w:val="32"/>
                <w:lang w:val="en-US" w:eastAsia="zh-CN"/>
              </w:rPr>
            </w:pPr>
            <w:r>
              <w:rPr>
                <w:rFonts w:hint="default"/>
                <w:color w:val="FF0000"/>
                <w:sz w:val="24"/>
                <w:szCs w:val="32"/>
                <w:lang w:val="en-US" w:eastAsia="zh-CN"/>
              </w:rPr>
              <w:t>（一）国家公园、自然保护区、风景名胜区、世界文化和自然遗产地、海洋特别保护区、饮用水水源保护区；</w:t>
            </w:r>
          </w:p>
          <w:p w14:paraId="60E7B791">
            <w:pPr>
              <w:adjustRightInd w:val="0"/>
              <w:snapToGrid w:val="0"/>
              <w:spacing w:line="360" w:lineRule="auto"/>
              <w:ind w:firstLine="480" w:firstLineChars="200"/>
              <w:rPr>
                <w:rFonts w:hint="default"/>
                <w:color w:val="FF0000"/>
                <w:sz w:val="24"/>
                <w:szCs w:val="32"/>
                <w:lang w:val="en-US" w:eastAsia="zh-CN"/>
              </w:rPr>
            </w:pPr>
            <w:r>
              <w:rPr>
                <w:rFonts w:hint="default"/>
                <w:color w:val="FF0000"/>
                <w:sz w:val="24"/>
                <w:szCs w:val="32"/>
                <w:lang w:val="en-US" w:eastAsia="zh-CN"/>
              </w:rPr>
              <w:t>（二）除（一）外的生态保护红线管控范围，永久基本农田、基本草原、自然公园（森林公园、地质公园、海洋公园等）、重要湿地、天然林，重点保护野生动物栖息地，重点保护野生植物生长繁殖地，重要水生生物的自然产卵场、索饵场、越冬场和洄游通道，天然渔场，水土流失重点预防区和重点治理区、沙化土地封禁保护区、封闭及半封闭海域；</w:t>
            </w:r>
          </w:p>
          <w:p w14:paraId="03B0312B">
            <w:pPr>
              <w:adjustRightInd w:val="0"/>
              <w:snapToGrid w:val="0"/>
              <w:spacing w:line="360" w:lineRule="auto"/>
              <w:ind w:firstLine="480" w:firstLineChars="200"/>
              <w:rPr>
                <w:rFonts w:hint="default"/>
                <w:color w:val="FF0000"/>
                <w:sz w:val="24"/>
                <w:szCs w:val="32"/>
                <w:lang w:val="en-US" w:eastAsia="zh-CN"/>
              </w:rPr>
            </w:pPr>
            <w:r>
              <w:rPr>
                <w:rFonts w:hint="default"/>
                <w:color w:val="FF0000"/>
                <w:sz w:val="24"/>
                <w:szCs w:val="32"/>
                <w:lang w:val="en-US" w:eastAsia="zh-CN"/>
              </w:rPr>
              <w:t>（三）以居住、医疗卫生、文化教育、科研、行政办公为主要功能的区域，以及文物保护单位。</w:t>
            </w:r>
          </w:p>
          <w:p w14:paraId="3243BE4D">
            <w:pPr>
              <w:spacing w:line="360" w:lineRule="auto"/>
              <w:ind w:firstLine="480" w:firstLineChars="200"/>
              <w:jc w:val="left"/>
              <w:rPr>
                <w:rFonts w:hint="eastAsia"/>
                <w:color w:val="0070C0"/>
                <w:sz w:val="24"/>
                <w:lang w:eastAsia="zh-CN"/>
              </w:rPr>
            </w:pPr>
            <w:r>
              <w:rPr>
                <w:color w:val="0070C0"/>
                <w:sz w:val="24"/>
              </w:rPr>
              <w:t>关于东南侧“天鹅堡欢乐世界”的说明：天鹅堡欢乐世界</w:t>
            </w:r>
            <w:r>
              <w:rPr>
                <w:rFonts w:hint="eastAsia"/>
                <w:color w:val="0070C0"/>
                <w:sz w:val="24"/>
                <w:lang w:val="en-US" w:eastAsia="zh-CN"/>
              </w:rPr>
              <w:t>属于休闲娱乐的商业营利性场所，</w:t>
            </w:r>
            <w:r>
              <w:rPr>
                <w:rFonts w:hint="default"/>
                <w:color w:val="0070C0"/>
                <w:sz w:val="24"/>
              </w:rPr>
              <w:t>虽然其功能</w:t>
            </w:r>
            <w:r>
              <w:rPr>
                <w:rFonts w:hint="eastAsia"/>
                <w:color w:val="0070C0"/>
                <w:sz w:val="24"/>
                <w:lang w:val="en-US" w:eastAsia="zh-CN"/>
              </w:rPr>
              <w:t>不</w:t>
            </w:r>
            <w:r>
              <w:rPr>
                <w:rFonts w:hint="default"/>
                <w:color w:val="0070C0"/>
                <w:sz w:val="24"/>
              </w:rPr>
              <w:t>属于名录关注</w:t>
            </w:r>
            <w:r>
              <w:rPr>
                <w:rFonts w:hint="eastAsia"/>
                <w:color w:val="0070C0"/>
                <w:sz w:val="24"/>
                <w:lang w:val="en-US" w:eastAsia="zh-CN"/>
              </w:rPr>
              <w:t>的以居住、医疗卫生、文化教育、科研、行政办公为主要功能的区域</w:t>
            </w:r>
            <w:r>
              <w:rPr>
                <w:rFonts w:hint="eastAsia"/>
                <w:color w:val="0070C0"/>
                <w:sz w:val="24"/>
                <w:lang w:eastAsia="zh-CN"/>
              </w:rPr>
              <w:t>，</w:t>
            </w:r>
            <w:r>
              <w:rPr>
                <w:rFonts w:hint="eastAsia"/>
                <w:color w:val="0070C0"/>
                <w:sz w:val="24"/>
                <w:lang w:val="en-US" w:eastAsia="zh-CN"/>
              </w:rPr>
              <w:t>但</w:t>
            </w:r>
            <w:r>
              <w:rPr>
                <w:rFonts w:hint="eastAsia"/>
                <w:color w:val="0070C0"/>
                <w:sz w:val="24"/>
                <w:lang w:eastAsia="zh-CN"/>
              </w:rPr>
              <w:t>游乐设施可能吸引儿童活动，需考虑项目运营产生的噪声、</w:t>
            </w:r>
            <w:r>
              <w:rPr>
                <w:rFonts w:hint="eastAsia"/>
                <w:color w:val="0070C0"/>
                <w:sz w:val="24"/>
                <w:lang w:val="en-US" w:eastAsia="zh-CN"/>
              </w:rPr>
              <w:t>废气</w:t>
            </w:r>
            <w:r>
              <w:rPr>
                <w:rFonts w:hint="eastAsia"/>
                <w:color w:val="0070C0"/>
                <w:sz w:val="24"/>
                <w:lang w:eastAsia="zh-CN"/>
              </w:rPr>
              <w:t>对敏感人群的</w:t>
            </w:r>
            <w:r>
              <w:rPr>
                <w:rFonts w:hint="eastAsia"/>
                <w:color w:val="0070C0"/>
                <w:sz w:val="24"/>
                <w:lang w:val="en-US" w:eastAsia="zh-CN"/>
              </w:rPr>
              <w:t>潜在</w:t>
            </w:r>
            <w:r>
              <w:rPr>
                <w:rFonts w:hint="eastAsia"/>
                <w:color w:val="0070C0"/>
                <w:sz w:val="24"/>
                <w:lang w:eastAsia="zh-CN"/>
              </w:rPr>
              <w:t>影响。</w:t>
            </w:r>
          </w:p>
          <w:p w14:paraId="737A313D">
            <w:pPr>
              <w:spacing w:line="360" w:lineRule="auto"/>
              <w:ind w:firstLine="480" w:firstLineChars="200"/>
              <w:jc w:val="left"/>
              <w:rPr>
                <w:rFonts w:hint="default"/>
                <w:color w:val="0070C0"/>
                <w:sz w:val="24"/>
              </w:rPr>
            </w:pPr>
            <w:r>
              <w:rPr>
                <w:rFonts w:hint="default"/>
                <w:color w:val="0070C0"/>
                <w:sz w:val="24"/>
              </w:rPr>
              <w:t>经实地调查确认，项目厂界东南侧紧邻的“天鹅堡欢乐世界”</w:t>
            </w:r>
            <w:r>
              <w:rPr>
                <w:rFonts w:hint="eastAsia"/>
                <w:color w:val="0070C0"/>
                <w:sz w:val="24"/>
                <w:lang w:val="en-US" w:eastAsia="zh-CN"/>
              </w:rPr>
              <w:t>由于运营效益较差，</w:t>
            </w:r>
            <w:r>
              <w:rPr>
                <w:rFonts w:hint="default"/>
                <w:color w:val="0070C0"/>
                <w:sz w:val="24"/>
              </w:rPr>
              <w:t>目前已处于停业状态。根据掌握的信息和规划，该设施计划在一年内完成拆除工作。</w:t>
            </w:r>
          </w:p>
          <w:p w14:paraId="6AB4599E">
            <w:pPr>
              <w:spacing w:line="360" w:lineRule="auto"/>
              <w:ind w:firstLine="480" w:firstLineChars="200"/>
              <w:jc w:val="left"/>
              <w:rPr>
                <w:color w:val="0070C0"/>
                <w:sz w:val="24"/>
              </w:rPr>
            </w:pPr>
            <w:r>
              <w:rPr>
                <w:rFonts w:hint="eastAsia"/>
                <w:color w:val="0070C0"/>
                <w:sz w:val="24"/>
                <w:lang w:val="en-US" w:eastAsia="zh-CN"/>
              </w:rPr>
              <w:t>由于</w:t>
            </w:r>
            <w:r>
              <w:rPr>
                <w:rFonts w:hint="default"/>
                <w:color w:val="0070C0"/>
                <w:sz w:val="24"/>
              </w:rPr>
              <w:t>当前停业状态及明确的短期（一年内）拆除计划，意味着其在</w:t>
            </w:r>
            <w:r>
              <w:rPr>
                <w:rFonts w:hint="eastAsia"/>
                <w:color w:val="0070C0"/>
                <w:sz w:val="24"/>
                <w:lang w:val="en-US" w:eastAsia="zh-CN"/>
              </w:rPr>
              <w:t>本</w:t>
            </w:r>
            <w:r>
              <w:rPr>
                <w:rFonts w:hint="default"/>
                <w:color w:val="0070C0"/>
                <w:sz w:val="24"/>
              </w:rPr>
              <w:t>项目运营期将不复存在，因此不作为当前项目环评阶段的有效环境敏感区进行考量。</w:t>
            </w:r>
          </w:p>
          <w:p w14:paraId="203E283E">
            <w:pPr>
              <w:spacing w:line="360" w:lineRule="auto"/>
              <w:ind w:firstLine="480" w:firstLineChars="200"/>
              <w:jc w:val="left"/>
              <w:rPr>
                <w:color w:val="0070C0"/>
                <w:sz w:val="24"/>
              </w:rPr>
            </w:pPr>
            <w:r>
              <w:rPr>
                <w:rFonts w:hint="default"/>
                <w:color w:val="0070C0"/>
                <w:sz w:val="24"/>
              </w:rPr>
              <w:t>为确保</w:t>
            </w:r>
            <w:r>
              <w:rPr>
                <w:rFonts w:hint="eastAsia"/>
                <w:color w:val="0070C0"/>
                <w:sz w:val="24"/>
                <w:lang w:val="en-US" w:eastAsia="zh-CN"/>
              </w:rPr>
              <w:t>本</w:t>
            </w:r>
            <w:r>
              <w:rPr>
                <w:rFonts w:hint="default"/>
                <w:color w:val="0070C0"/>
                <w:sz w:val="24"/>
              </w:rPr>
              <w:t>项目运营完全符合环境管理要求，并避免任何潜在影响或误解，本项目明确承诺：在东南侧“天鹅堡欢乐世界”设施完成拆除并确认该地块不再具有敏感属性之前，本项目不得投入生产运行。</w:t>
            </w:r>
          </w:p>
          <w:p w14:paraId="377472B0">
            <w:pPr>
              <w:spacing w:line="360" w:lineRule="auto"/>
              <w:ind w:firstLine="480" w:firstLineChars="200"/>
              <w:jc w:val="left"/>
              <w:rPr>
                <w:color w:val="FF0000"/>
                <w:sz w:val="24"/>
              </w:rPr>
            </w:pPr>
            <w:r>
              <w:rPr>
                <w:rFonts w:hint="eastAsia"/>
                <w:color w:val="FF0000"/>
                <w:sz w:val="24"/>
                <w:lang w:val="en-US" w:eastAsia="zh-CN"/>
              </w:rPr>
              <w:t>综上所述，</w:t>
            </w:r>
            <w:r>
              <w:rPr>
                <w:color w:val="FF0000"/>
                <w:sz w:val="24"/>
              </w:rPr>
              <w:t>项目选址周边500m范围内，除西北侧260m处的北票五间房镇骆驼营村居住区（属于名录第三条（三）款定义的“以居住为主要功能的区域”）外，</w:t>
            </w:r>
            <w:r>
              <w:rPr>
                <w:rFonts w:hint="default"/>
                <w:color w:val="FF0000"/>
                <w:sz w:val="24"/>
              </w:rPr>
              <w:t>不存在名录定义的国家公园、自然保护区、风景名胜区、饮用水水源保护区、生态保护红线、永久基本农田、重要湿地、天然林、重点保护野生动植物栖息地/繁殖地、重要水生生物栖息地、天然渔场、水土流失重点防治区、沙化土地封禁保护区、封闭及半封闭海域、医疗卫生区、文化教育区、科研区、行政办公区、文物保护单位等其他环境敏感区。</w:t>
            </w:r>
          </w:p>
          <w:p w14:paraId="4729D46D">
            <w:pPr>
              <w:adjustRightInd w:val="0"/>
              <w:snapToGrid w:val="0"/>
              <w:spacing w:line="360" w:lineRule="auto"/>
              <w:ind w:firstLine="482" w:firstLineChars="200"/>
              <w:rPr>
                <w:b/>
                <w:bCs/>
                <w:color w:val="000000" w:themeColor="text1"/>
                <w:sz w:val="24"/>
                <w:szCs w:val="32"/>
                <w14:textFill>
                  <w14:solidFill>
                    <w14:schemeClr w14:val="tx1"/>
                  </w14:solidFill>
                </w14:textFill>
              </w:rPr>
            </w:pPr>
            <w:r>
              <w:rPr>
                <w:rFonts w:hint="eastAsia"/>
                <w:b/>
                <w:bCs/>
                <w:color w:val="000000" w:themeColor="text1"/>
                <w:sz w:val="24"/>
                <w:szCs w:val="32"/>
                <w:lang w:val="en-US" w:eastAsia="zh-CN"/>
                <w14:textFill>
                  <w14:solidFill>
                    <w14:schemeClr w14:val="tx1"/>
                  </w14:solidFill>
                </w14:textFill>
              </w:rPr>
              <w:t>2</w:t>
            </w:r>
            <w:r>
              <w:rPr>
                <w:rFonts w:hint="eastAsia"/>
                <w:b/>
                <w:bCs/>
                <w:color w:val="000000" w:themeColor="text1"/>
                <w:sz w:val="24"/>
                <w:szCs w:val="32"/>
                <w14:textFill>
                  <w14:solidFill>
                    <w14:schemeClr w14:val="tx1"/>
                  </w14:solidFill>
                </w14:textFill>
              </w:rPr>
              <w:t>.</w:t>
            </w:r>
            <w:r>
              <w:rPr>
                <w:b/>
                <w:bCs/>
                <w:color w:val="000000" w:themeColor="text1"/>
                <w:sz w:val="24"/>
                <w:szCs w:val="32"/>
                <w14:textFill>
                  <w14:solidFill>
                    <w14:schemeClr w14:val="tx1"/>
                  </w14:solidFill>
                </w14:textFill>
              </w:rPr>
              <w:t>大气环境</w:t>
            </w:r>
          </w:p>
          <w:p w14:paraId="2AC72281">
            <w:pPr>
              <w:adjustRightInd w:val="0"/>
              <w:snapToGrid w:val="0"/>
              <w:spacing w:line="360" w:lineRule="auto"/>
              <w:ind w:firstLine="480" w:firstLineChars="200"/>
              <w:rPr>
                <w:color w:val="000000" w:themeColor="text1"/>
                <w:sz w:val="24"/>
                <w:szCs w:val="32"/>
                <w14:textFill>
                  <w14:solidFill>
                    <w14:schemeClr w14:val="tx1"/>
                  </w14:solidFill>
                </w14:textFill>
              </w:rPr>
            </w:pPr>
            <w:r>
              <w:rPr>
                <w:color w:val="000000" w:themeColor="text1"/>
                <w:sz w:val="24"/>
                <w:szCs w:val="32"/>
                <w14:textFill>
                  <w14:solidFill>
                    <w14:schemeClr w14:val="tx1"/>
                  </w14:solidFill>
                </w14:textFill>
              </w:rPr>
              <w:t>本项目位于</w:t>
            </w:r>
            <w:r>
              <w:rPr>
                <w:sz w:val="24"/>
              </w:rPr>
              <w:t>辽宁省朝阳市北票市宝锦线凉水河北侧3幢01023</w:t>
            </w:r>
            <w:r>
              <w:rPr>
                <w:color w:val="000000" w:themeColor="text1"/>
                <w:sz w:val="24"/>
                <w:szCs w:val="32"/>
                <w14:textFill>
                  <w14:solidFill>
                    <w14:schemeClr w14:val="tx1"/>
                  </w14:solidFill>
                </w14:textFill>
              </w:rPr>
              <w:t>，经实地调查本项目</w:t>
            </w:r>
            <w:r>
              <w:rPr>
                <w:rFonts w:hint="eastAsia"/>
                <w:color w:val="000000" w:themeColor="text1"/>
                <w:sz w:val="24"/>
                <w:szCs w:val="32"/>
                <w14:textFill>
                  <w14:solidFill>
                    <w14:schemeClr w14:val="tx1"/>
                  </w14:solidFill>
                </w14:textFill>
              </w:rPr>
              <w:t>西北侧260</w:t>
            </w:r>
            <w:r>
              <w:rPr>
                <w:color w:val="000000" w:themeColor="text1"/>
                <w:sz w:val="24"/>
                <w:szCs w:val="32"/>
                <w14:textFill>
                  <w14:solidFill>
                    <w14:schemeClr w14:val="tx1"/>
                  </w14:solidFill>
                </w14:textFill>
              </w:rPr>
              <w:t>m</w:t>
            </w:r>
            <w:r>
              <w:rPr>
                <w:rFonts w:hint="eastAsia"/>
                <w:color w:val="000000" w:themeColor="text1"/>
                <w:sz w:val="24"/>
                <w:szCs w:val="32"/>
                <w14:textFill>
                  <w14:solidFill>
                    <w14:schemeClr w14:val="tx1"/>
                  </w14:solidFill>
                </w14:textFill>
              </w:rPr>
              <w:t>处存在北票五间房镇骆驼营村</w:t>
            </w:r>
            <w:r>
              <w:rPr>
                <w:color w:val="000000" w:themeColor="text1"/>
                <w:sz w:val="24"/>
                <w:szCs w:val="32"/>
                <w14:textFill>
                  <w14:solidFill>
                    <w14:schemeClr w14:val="tx1"/>
                  </w14:solidFill>
                </w14:textFill>
              </w:rPr>
              <w:t>居住区</w:t>
            </w:r>
            <w:r>
              <w:rPr>
                <w:rFonts w:hint="eastAsia"/>
                <w:color w:val="000000" w:themeColor="text1"/>
                <w:sz w:val="24"/>
                <w:szCs w:val="32"/>
                <w14:textFill>
                  <w14:solidFill>
                    <w14:schemeClr w14:val="tx1"/>
                  </w14:solidFill>
                </w14:textFill>
              </w:rPr>
              <w:t>，西南侧340m处存在北票凉水河蒙古族乡凉水河村居住区</w:t>
            </w:r>
            <w:r>
              <w:rPr>
                <w:color w:val="000000" w:themeColor="text1"/>
                <w:sz w:val="24"/>
                <w:szCs w:val="32"/>
                <w14:textFill>
                  <w14:solidFill>
                    <w14:schemeClr w14:val="tx1"/>
                  </w14:solidFill>
                </w14:textFill>
              </w:rPr>
              <w:t>，</w:t>
            </w:r>
            <w:r>
              <w:rPr>
                <w:rFonts w:hint="eastAsia"/>
                <w:color w:val="000000" w:themeColor="text1"/>
                <w:sz w:val="24"/>
                <w:szCs w:val="32"/>
                <w14:textFill>
                  <w14:solidFill>
                    <w14:schemeClr w14:val="tx1"/>
                  </w14:solidFill>
                </w14:textFill>
              </w:rPr>
              <w:t>除上述保护目标外</w:t>
            </w:r>
            <w:r>
              <w:rPr>
                <w:color w:val="000000" w:themeColor="text1"/>
                <w:sz w:val="24"/>
                <w:szCs w:val="32"/>
                <w14:textFill>
                  <w14:solidFill>
                    <w14:schemeClr w14:val="tx1"/>
                  </w14:solidFill>
                </w14:textFill>
              </w:rPr>
              <w:t>项目周围500m范围内无自然保护区、风景名胜区、文化区等大气敏感保护目标。</w:t>
            </w:r>
          </w:p>
          <w:p w14:paraId="34837E97">
            <w:pPr>
              <w:adjustRightInd w:val="0"/>
              <w:snapToGrid w:val="0"/>
              <w:spacing w:line="360" w:lineRule="auto"/>
              <w:ind w:firstLine="482" w:firstLineChars="200"/>
              <w:rPr>
                <w:b/>
                <w:bCs/>
                <w:color w:val="000000" w:themeColor="text1"/>
                <w:sz w:val="24"/>
                <w:szCs w:val="32"/>
                <w14:textFill>
                  <w14:solidFill>
                    <w14:schemeClr w14:val="tx1"/>
                  </w14:solidFill>
                </w14:textFill>
              </w:rPr>
            </w:pPr>
            <w:r>
              <w:rPr>
                <w:rFonts w:hint="eastAsia"/>
                <w:b/>
                <w:bCs/>
                <w:color w:val="000000" w:themeColor="text1"/>
                <w:sz w:val="24"/>
                <w:szCs w:val="32"/>
                <w:lang w:val="en-US" w:eastAsia="zh-CN"/>
                <w14:textFill>
                  <w14:solidFill>
                    <w14:schemeClr w14:val="tx1"/>
                  </w14:solidFill>
                </w14:textFill>
              </w:rPr>
              <w:t>3</w:t>
            </w:r>
            <w:r>
              <w:rPr>
                <w:rFonts w:hint="eastAsia"/>
                <w:b/>
                <w:bCs/>
                <w:color w:val="000000" w:themeColor="text1"/>
                <w:sz w:val="24"/>
                <w:szCs w:val="32"/>
                <w14:textFill>
                  <w14:solidFill>
                    <w14:schemeClr w14:val="tx1"/>
                  </w14:solidFill>
                </w14:textFill>
              </w:rPr>
              <w:t>.</w:t>
            </w:r>
            <w:r>
              <w:rPr>
                <w:b/>
                <w:bCs/>
                <w:color w:val="000000" w:themeColor="text1"/>
                <w:sz w:val="24"/>
                <w:szCs w:val="32"/>
                <w14:textFill>
                  <w14:solidFill>
                    <w14:schemeClr w14:val="tx1"/>
                  </w14:solidFill>
                </w14:textFill>
              </w:rPr>
              <w:t>声环境</w:t>
            </w:r>
          </w:p>
          <w:p w14:paraId="339C2486">
            <w:pPr>
              <w:adjustRightInd w:val="0"/>
              <w:snapToGrid w:val="0"/>
              <w:spacing w:line="360" w:lineRule="auto"/>
              <w:ind w:firstLine="480" w:firstLineChars="200"/>
              <w:rPr>
                <w:color w:val="000000" w:themeColor="text1"/>
                <w:sz w:val="24"/>
                <w:szCs w:val="32"/>
                <w14:textFill>
                  <w14:solidFill>
                    <w14:schemeClr w14:val="tx1"/>
                  </w14:solidFill>
                </w14:textFill>
              </w:rPr>
            </w:pPr>
            <w:r>
              <w:rPr>
                <w:color w:val="000000" w:themeColor="text1"/>
                <w:sz w:val="24"/>
                <w:szCs w:val="32"/>
                <w14:textFill>
                  <w14:solidFill>
                    <w14:schemeClr w14:val="tx1"/>
                  </w14:solidFill>
                </w14:textFill>
              </w:rPr>
              <w:t>项目厂界外50米范围内无声环境保护目标。</w:t>
            </w:r>
          </w:p>
          <w:p w14:paraId="0831EEF7">
            <w:pPr>
              <w:adjustRightInd w:val="0"/>
              <w:snapToGrid w:val="0"/>
              <w:spacing w:line="360" w:lineRule="auto"/>
              <w:ind w:firstLine="482" w:firstLineChars="200"/>
              <w:rPr>
                <w:b/>
                <w:bCs/>
                <w:color w:val="FF0000"/>
                <w:sz w:val="24"/>
                <w:szCs w:val="32"/>
              </w:rPr>
            </w:pPr>
            <w:r>
              <w:rPr>
                <w:rFonts w:hint="eastAsia"/>
                <w:b/>
                <w:bCs/>
                <w:color w:val="FF0000"/>
                <w:sz w:val="24"/>
                <w:szCs w:val="32"/>
                <w:lang w:val="en-US" w:eastAsia="zh-CN"/>
              </w:rPr>
              <w:t>4</w:t>
            </w:r>
            <w:r>
              <w:rPr>
                <w:rFonts w:hint="eastAsia"/>
                <w:b/>
                <w:bCs/>
                <w:color w:val="FF0000"/>
                <w:sz w:val="24"/>
                <w:szCs w:val="32"/>
              </w:rPr>
              <w:t>.</w:t>
            </w:r>
            <w:r>
              <w:rPr>
                <w:b/>
                <w:bCs/>
                <w:color w:val="FF0000"/>
                <w:sz w:val="24"/>
                <w:szCs w:val="32"/>
              </w:rPr>
              <w:t>地下水环境</w:t>
            </w:r>
          </w:p>
          <w:p w14:paraId="7EA93BBD">
            <w:pPr>
              <w:adjustRightInd w:val="0"/>
              <w:snapToGrid w:val="0"/>
              <w:spacing w:line="360" w:lineRule="auto"/>
              <w:ind w:firstLine="480" w:firstLineChars="200"/>
              <w:rPr>
                <w:color w:val="FF0000"/>
                <w:sz w:val="24"/>
                <w:szCs w:val="32"/>
              </w:rPr>
            </w:pPr>
            <w:r>
              <w:rPr>
                <w:color w:val="FF0000"/>
                <w:sz w:val="24"/>
                <w:szCs w:val="32"/>
              </w:rPr>
              <w:t>项目厂界外500米范围内无地下水集中式饮用水水源和热水、矿泉水、温泉等特殊地下水资源，500米范围内</w:t>
            </w:r>
            <w:r>
              <w:rPr>
                <w:rFonts w:hint="eastAsia"/>
                <w:color w:val="FF0000"/>
                <w:sz w:val="24"/>
                <w:szCs w:val="32"/>
              </w:rPr>
              <w:t>存在</w:t>
            </w:r>
            <w:r>
              <w:rPr>
                <w:color w:val="FF0000"/>
                <w:sz w:val="24"/>
                <w:szCs w:val="32"/>
              </w:rPr>
              <w:t xml:space="preserve">分散式饮用水水源。 </w:t>
            </w:r>
          </w:p>
          <w:p w14:paraId="030734C1">
            <w:pPr>
              <w:adjustRightInd w:val="0"/>
              <w:snapToGrid w:val="0"/>
              <w:spacing w:line="360" w:lineRule="auto"/>
              <w:ind w:firstLine="482" w:firstLineChars="200"/>
              <w:rPr>
                <w:rFonts w:hint="eastAsia"/>
                <w:b/>
                <w:bCs/>
                <w:color w:val="FF0000"/>
                <w:sz w:val="24"/>
                <w:szCs w:val="32"/>
                <w:lang w:val="en-US" w:eastAsia="zh-CN"/>
              </w:rPr>
            </w:pPr>
            <w:r>
              <w:rPr>
                <w:rFonts w:hint="eastAsia"/>
                <w:b/>
                <w:bCs/>
                <w:color w:val="FF0000"/>
                <w:sz w:val="24"/>
                <w:szCs w:val="32"/>
                <w:lang w:val="en-US" w:eastAsia="zh-CN"/>
              </w:rPr>
              <w:t>5.土壤环境</w:t>
            </w:r>
          </w:p>
          <w:p w14:paraId="52DBC3D8">
            <w:pPr>
              <w:adjustRightInd w:val="0"/>
              <w:snapToGrid w:val="0"/>
              <w:spacing w:line="360" w:lineRule="auto"/>
              <w:ind w:firstLine="480" w:firstLineChars="200"/>
              <w:rPr>
                <w:rFonts w:hint="default" w:ascii="Times New Roman" w:hAnsi="Times New Roman" w:eastAsia="宋体" w:cs="Times New Roman"/>
                <w:color w:val="FF0000"/>
                <w:sz w:val="24"/>
                <w:szCs w:val="32"/>
                <w:lang w:val="en-US" w:eastAsia="zh-CN"/>
              </w:rPr>
            </w:pPr>
            <w:r>
              <w:rPr>
                <w:rFonts w:hint="default" w:ascii="Times New Roman" w:hAnsi="Times New Roman" w:eastAsia="宋体" w:cs="Times New Roman"/>
                <w:color w:val="FF0000"/>
                <w:sz w:val="24"/>
                <w:szCs w:val="32"/>
                <w:lang w:val="en-US" w:eastAsia="zh-CN"/>
              </w:rPr>
              <w:t>厂界外50m范围内</w:t>
            </w:r>
            <w:r>
              <w:rPr>
                <w:rFonts w:hint="eastAsia" w:ascii="Times New Roman" w:hAnsi="Times New Roman" w:eastAsia="宋体" w:cs="Times New Roman"/>
                <w:color w:val="FF0000"/>
                <w:sz w:val="24"/>
                <w:szCs w:val="32"/>
                <w:lang w:val="en-US" w:eastAsia="zh-CN"/>
              </w:rPr>
              <w:t>无耕地等保护目标</w:t>
            </w:r>
          </w:p>
          <w:p w14:paraId="3D65C2D6">
            <w:pPr>
              <w:adjustRightInd w:val="0"/>
              <w:snapToGrid w:val="0"/>
              <w:spacing w:line="360" w:lineRule="auto"/>
              <w:ind w:firstLine="482" w:firstLineChars="200"/>
              <w:rPr>
                <w:b/>
                <w:bCs/>
                <w:color w:val="000000" w:themeColor="text1"/>
                <w:sz w:val="24"/>
                <w:szCs w:val="32"/>
                <w14:textFill>
                  <w14:solidFill>
                    <w14:schemeClr w14:val="tx1"/>
                  </w14:solidFill>
                </w14:textFill>
              </w:rPr>
            </w:pPr>
            <w:r>
              <w:rPr>
                <w:rFonts w:hint="eastAsia"/>
                <w:b/>
                <w:bCs/>
                <w:color w:val="000000" w:themeColor="text1"/>
                <w:sz w:val="24"/>
                <w:szCs w:val="32"/>
                <w:lang w:val="en-US" w:eastAsia="zh-CN"/>
                <w14:textFill>
                  <w14:solidFill>
                    <w14:schemeClr w14:val="tx1"/>
                  </w14:solidFill>
                </w14:textFill>
              </w:rPr>
              <w:t>6</w:t>
            </w:r>
            <w:r>
              <w:rPr>
                <w:rFonts w:hint="eastAsia"/>
                <w:b/>
                <w:bCs/>
                <w:color w:val="000000" w:themeColor="text1"/>
                <w:sz w:val="24"/>
                <w:szCs w:val="32"/>
                <w14:textFill>
                  <w14:solidFill>
                    <w14:schemeClr w14:val="tx1"/>
                  </w14:solidFill>
                </w14:textFill>
              </w:rPr>
              <w:t>.</w:t>
            </w:r>
            <w:r>
              <w:rPr>
                <w:b/>
                <w:bCs/>
                <w:color w:val="000000" w:themeColor="text1"/>
                <w:sz w:val="24"/>
                <w:szCs w:val="32"/>
                <w14:textFill>
                  <w14:solidFill>
                    <w14:schemeClr w14:val="tx1"/>
                  </w14:solidFill>
                </w14:textFill>
              </w:rPr>
              <w:t>生态环境</w:t>
            </w:r>
          </w:p>
          <w:p w14:paraId="03F06B48">
            <w:pPr>
              <w:adjustRightInd w:val="0"/>
              <w:snapToGrid w:val="0"/>
              <w:spacing w:line="360" w:lineRule="auto"/>
              <w:ind w:firstLine="480" w:firstLineChars="200"/>
              <w:rPr>
                <w:color w:val="000000" w:themeColor="text1"/>
                <w:sz w:val="24"/>
                <w:szCs w:val="32"/>
                <w14:textFill>
                  <w14:solidFill>
                    <w14:schemeClr w14:val="tx1"/>
                  </w14:solidFill>
                </w14:textFill>
              </w:rPr>
            </w:pPr>
            <w:r>
              <w:rPr>
                <w:color w:val="000000" w:themeColor="text1"/>
                <w:sz w:val="24"/>
                <w:szCs w:val="32"/>
                <w14:textFill>
                  <w14:solidFill>
                    <w14:schemeClr w14:val="tx1"/>
                  </w14:solidFill>
                </w14:textFill>
              </w:rPr>
              <w:t>项目厂界用地内无生态环境保护目标。</w:t>
            </w:r>
          </w:p>
          <w:p w14:paraId="39504CF9">
            <w:pPr>
              <w:ind w:right="181"/>
              <w:jc w:val="center"/>
              <w:rPr>
                <w:b/>
                <w:bCs/>
                <w:szCs w:val="21"/>
              </w:rPr>
            </w:pPr>
            <w:r>
              <w:rPr>
                <w:b/>
                <w:bCs/>
                <w:szCs w:val="21"/>
              </w:rPr>
              <w:t>表3-1</w:t>
            </w:r>
            <w:r>
              <w:rPr>
                <w:rFonts w:hint="eastAsia"/>
                <w:b/>
                <w:bCs/>
                <w:szCs w:val="21"/>
                <w:lang w:val="en-US" w:eastAsia="zh-CN"/>
              </w:rPr>
              <w:t>1</w:t>
            </w:r>
            <w:r>
              <w:rPr>
                <w:b/>
                <w:bCs/>
                <w:szCs w:val="21"/>
              </w:rPr>
              <w:t xml:space="preserve">    主要环境保护目标</w:t>
            </w:r>
          </w:p>
          <w:tbl>
            <w:tblPr>
              <w:tblStyle w:val="34"/>
              <w:tblW w:w="4996" w:type="pct"/>
              <w:jc w:val="center"/>
              <w:tblBorders>
                <w:top w:val="double" w:color="000000" w:sz="4" w:space="0"/>
                <w:left w:val="none" w:color="auto" w:sz="0" w:space="0"/>
                <w:bottom w:val="double" w:color="000000" w:sz="4" w:space="0"/>
                <w:right w:val="none" w:color="auto" w:sz="0" w:space="0"/>
                <w:insideH w:val="single" w:color="000000" w:sz="2" w:space="0"/>
                <w:insideV w:val="single" w:color="000000" w:sz="2" w:space="0"/>
              </w:tblBorders>
              <w:tblLayout w:type="autofit"/>
              <w:tblCellMar>
                <w:top w:w="0" w:type="dxa"/>
                <w:left w:w="108" w:type="dxa"/>
                <w:bottom w:w="0" w:type="dxa"/>
                <w:right w:w="108" w:type="dxa"/>
              </w:tblCellMar>
            </w:tblPr>
            <w:tblGrid>
              <w:gridCol w:w="426"/>
              <w:gridCol w:w="544"/>
              <w:gridCol w:w="1258"/>
              <w:gridCol w:w="1168"/>
              <w:gridCol w:w="539"/>
              <w:gridCol w:w="426"/>
              <w:gridCol w:w="531"/>
              <w:gridCol w:w="2130"/>
              <w:gridCol w:w="426"/>
              <w:gridCol w:w="531"/>
            </w:tblGrid>
            <w:tr w14:paraId="0E851263">
              <w:tblPrEx>
                <w:tblBorders>
                  <w:top w:val="double" w:color="000000" w:sz="4" w:space="0"/>
                  <w:left w:val="none" w:color="auto" w:sz="0" w:space="0"/>
                  <w:bottom w:val="double" w:color="000000" w:sz="4" w:space="0"/>
                  <w:right w:val="none" w:color="auto" w:sz="0" w:space="0"/>
                  <w:insideH w:val="single" w:color="000000" w:sz="2" w:space="0"/>
                  <w:insideV w:val="single" w:color="000000" w:sz="2" w:space="0"/>
                </w:tblBorders>
                <w:tblCellMar>
                  <w:top w:w="0" w:type="dxa"/>
                  <w:left w:w="108" w:type="dxa"/>
                  <w:bottom w:w="0" w:type="dxa"/>
                  <w:right w:w="108" w:type="dxa"/>
                </w:tblCellMar>
              </w:tblPrEx>
              <w:trPr>
                <w:trHeight w:val="23" w:hRule="atLeast"/>
                <w:jc w:val="center"/>
              </w:trPr>
              <w:tc>
                <w:tcPr>
                  <w:tcW w:w="266" w:type="pct"/>
                  <w:vMerge w:val="restart"/>
                  <w:tcBorders>
                    <w:tl2br w:val="nil"/>
                    <w:tr2bl w:val="nil"/>
                  </w:tcBorders>
                  <w:vAlign w:val="center"/>
                </w:tcPr>
                <w:p w14:paraId="58A5BF8D">
                  <w:pPr>
                    <w:adjustRightInd w:val="0"/>
                    <w:snapToGrid w:val="0"/>
                    <w:spacing w:line="240" w:lineRule="auto"/>
                    <w:jc w:val="center"/>
                    <w:rPr>
                      <w:szCs w:val="21"/>
                    </w:rPr>
                  </w:pPr>
                  <w:r>
                    <w:rPr>
                      <w:szCs w:val="21"/>
                    </w:rPr>
                    <w:t>类别</w:t>
                  </w:r>
                </w:p>
              </w:tc>
              <w:tc>
                <w:tcPr>
                  <w:tcW w:w="462" w:type="pct"/>
                  <w:vMerge w:val="restart"/>
                  <w:tcBorders>
                    <w:tl2br w:val="nil"/>
                    <w:tr2bl w:val="nil"/>
                  </w:tcBorders>
                  <w:vAlign w:val="center"/>
                </w:tcPr>
                <w:p w14:paraId="69B26EEB">
                  <w:pPr>
                    <w:adjustRightInd w:val="0"/>
                    <w:snapToGrid w:val="0"/>
                    <w:spacing w:line="240" w:lineRule="auto"/>
                    <w:jc w:val="center"/>
                    <w:rPr>
                      <w:szCs w:val="21"/>
                    </w:rPr>
                  </w:pPr>
                  <w:r>
                    <w:rPr>
                      <w:szCs w:val="21"/>
                    </w:rPr>
                    <w:t>名称</w:t>
                  </w:r>
                </w:p>
              </w:tc>
              <w:tc>
                <w:tcPr>
                  <w:tcW w:w="1369" w:type="pct"/>
                  <w:gridSpan w:val="2"/>
                  <w:tcBorders>
                    <w:tl2br w:val="nil"/>
                    <w:tr2bl w:val="nil"/>
                  </w:tcBorders>
                  <w:vAlign w:val="center"/>
                </w:tcPr>
                <w:p w14:paraId="7D562062">
                  <w:pPr>
                    <w:adjustRightInd w:val="0"/>
                    <w:snapToGrid w:val="0"/>
                    <w:spacing w:line="240" w:lineRule="auto"/>
                    <w:jc w:val="center"/>
                    <w:rPr>
                      <w:szCs w:val="21"/>
                    </w:rPr>
                  </w:pPr>
                  <w:r>
                    <w:rPr>
                      <w:szCs w:val="21"/>
                    </w:rPr>
                    <w:t>坐标（经纬度）</w:t>
                  </w:r>
                </w:p>
              </w:tc>
              <w:tc>
                <w:tcPr>
                  <w:tcW w:w="458" w:type="pct"/>
                  <w:vMerge w:val="restart"/>
                  <w:tcBorders>
                    <w:tl2br w:val="nil"/>
                    <w:tr2bl w:val="nil"/>
                  </w:tcBorders>
                  <w:vAlign w:val="center"/>
                </w:tcPr>
                <w:p w14:paraId="6C2548D5">
                  <w:pPr>
                    <w:adjustRightInd w:val="0"/>
                    <w:snapToGrid w:val="0"/>
                    <w:spacing w:line="240" w:lineRule="auto"/>
                    <w:jc w:val="center"/>
                    <w:rPr>
                      <w:szCs w:val="21"/>
                    </w:rPr>
                  </w:pPr>
                  <w:r>
                    <w:rPr>
                      <w:szCs w:val="21"/>
                    </w:rPr>
                    <w:t>保护对象</w:t>
                  </w:r>
                </w:p>
              </w:tc>
              <w:tc>
                <w:tcPr>
                  <w:tcW w:w="575" w:type="pct"/>
                  <w:gridSpan w:val="2"/>
                  <w:tcBorders>
                    <w:tl2br w:val="nil"/>
                    <w:tr2bl w:val="nil"/>
                  </w:tcBorders>
                  <w:vAlign w:val="center"/>
                </w:tcPr>
                <w:p w14:paraId="6D680FAF">
                  <w:pPr>
                    <w:adjustRightInd w:val="0"/>
                    <w:snapToGrid w:val="0"/>
                    <w:spacing w:line="240" w:lineRule="auto"/>
                    <w:jc w:val="center"/>
                    <w:rPr>
                      <w:szCs w:val="21"/>
                    </w:rPr>
                  </w:pPr>
                  <w:r>
                    <w:rPr>
                      <w:szCs w:val="21"/>
                    </w:rPr>
                    <w:t>保护内容</w:t>
                  </w:r>
                </w:p>
              </w:tc>
              <w:tc>
                <w:tcPr>
                  <w:tcW w:w="1265" w:type="pct"/>
                  <w:vMerge w:val="restart"/>
                  <w:tcBorders>
                    <w:tl2br w:val="nil"/>
                    <w:tr2bl w:val="nil"/>
                  </w:tcBorders>
                  <w:vAlign w:val="center"/>
                </w:tcPr>
                <w:p w14:paraId="4C2E939A">
                  <w:pPr>
                    <w:adjustRightInd w:val="0"/>
                    <w:snapToGrid w:val="0"/>
                    <w:spacing w:line="240" w:lineRule="auto"/>
                    <w:jc w:val="center"/>
                    <w:rPr>
                      <w:szCs w:val="21"/>
                    </w:rPr>
                  </w:pPr>
                  <w:r>
                    <w:rPr>
                      <w:szCs w:val="21"/>
                    </w:rPr>
                    <w:t>环境</w:t>
                  </w:r>
                </w:p>
                <w:p w14:paraId="31E14B7F">
                  <w:pPr>
                    <w:adjustRightInd w:val="0"/>
                    <w:snapToGrid w:val="0"/>
                    <w:spacing w:line="240" w:lineRule="auto"/>
                    <w:jc w:val="center"/>
                    <w:rPr>
                      <w:szCs w:val="21"/>
                    </w:rPr>
                  </w:pPr>
                  <w:r>
                    <w:rPr>
                      <w:szCs w:val="21"/>
                    </w:rPr>
                    <w:t>功能区</w:t>
                  </w:r>
                </w:p>
              </w:tc>
              <w:tc>
                <w:tcPr>
                  <w:tcW w:w="266" w:type="pct"/>
                  <w:vMerge w:val="restart"/>
                  <w:tcBorders>
                    <w:tl2br w:val="nil"/>
                    <w:tr2bl w:val="nil"/>
                  </w:tcBorders>
                  <w:vAlign w:val="center"/>
                </w:tcPr>
                <w:p w14:paraId="2B1A04BB">
                  <w:pPr>
                    <w:adjustRightInd w:val="0"/>
                    <w:snapToGrid w:val="0"/>
                    <w:spacing w:line="240" w:lineRule="auto"/>
                    <w:jc w:val="center"/>
                    <w:rPr>
                      <w:szCs w:val="21"/>
                    </w:rPr>
                  </w:pPr>
                  <w:r>
                    <w:rPr>
                      <w:szCs w:val="21"/>
                    </w:rPr>
                    <w:t>相对厂址方向</w:t>
                  </w:r>
                </w:p>
              </w:tc>
              <w:tc>
                <w:tcPr>
                  <w:tcW w:w="336" w:type="pct"/>
                  <w:vMerge w:val="restart"/>
                  <w:tcBorders>
                    <w:tl2br w:val="nil"/>
                    <w:tr2bl w:val="nil"/>
                  </w:tcBorders>
                  <w:vAlign w:val="center"/>
                </w:tcPr>
                <w:p w14:paraId="20343940">
                  <w:pPr>
                    <w:adjustRightInd w:val="0"/>
                    <w:snapToGrid w:val="0"/>
                    <w:spacing w:line="240" w:lineRule="auto"/>
                    <w:jc w:val="center"/>
                    <w:rPr>
                      <w:szCs w:val="21"/>
                    </w:rPr>
                  </w:pPr>
                  <w:r>
                    <w:rPr>
                      <w:szCs w:val="21"/>
                    </w:rPr>
                    <w:t>相对厂界距离/m</w:t>
                  </w:r>
                </w:p>
              </w:tc>
            </w:tr>
            <w:tr w14:paraId="77174E2C">
              <w:tblPrEx>
                <w:tblBorders>
                  <w:top w:val="double" w:color="000000" w:sz="4" w:space="0"/>
                  <w:left w:val="none" w:color="auto" w:sz="0" w:space="0"/>
                  <w:bottom w:val="double" w:color="000000" w:sz="4" w:space="0"/>
                  <w:right w:val="none" w:color="auto" w:sz="0" w:space="0"/>
                  <w:insideH w:val="single" w:color="000000" w:sz="2" w:space="0"/>
                  <w:insideV w:val="single" w:color="000000" w:sz="2" w:space="0"/>
                </w:tblBorders>
                <w:tblCellMar>
                  <w:top w:w="0" w:type="dxa"/>
                  <w:left w:w="108" w:type="dxa"/>
                  <w:bottom w:w="0" w:type="dxa"/>
                  <w:right w:w="108" w:type="dxa"/>
                </w:tblCellMar>
              </w:tblPrEx>
              <w:trPr>
                <w:trHeight w:val="23" w:hRule="atLeast"/>
                <w:jc w:val="center"/>
              </w:trPr>
              <w:tc>
                <w:tcPr>
                  <w:tcW w:w="266" w:type="pct"/>
                  <w:vMerge w:val="continue"/>
                  <w:tcBorders>
                    <w:tl2br w:val="nil"/>
                    <w:tr2bl w:val="nil"/>
                  </w:tcBorders>
                  <w:vAlign w:val="center"/>
                </w:tcPr>
                <w:p w14:paraId="221F140B">
                  <w:pPr>
                    <w:adjustRightInd w:val="0"/>
                    <w:snapToGrid w:val="0"/>
                    <w:spacing w:line="240" w:lineRule="auto"/>
                    <w:jc w:val="center"/>
                    <w:rPr>
                      <w:szCs w:val="21"/>
                    </w:rPr>
                  </w:pPr>
                </w:p>
              </w:tc>
              <w:tc>
                <w:tcPr>
                  <w:tcW w:w="462" w:type="pct"/>
                  <w:vMerge w:val="continue"/>
                  <w:tcBorders>
                    <w:tl2br w:val="nil"/>
                    <w:tr2bl w:val="nil"/>
                  </w:tcBorders>
                  <w:vAlign w:val="center"/>
                </w:tcPr>
                <w:p w14:paraId="1D50A6B1">
                  <w:pPr>
                    <w:adjustRightInd w:val="0"/>
                    <w:snapToGrid w:val="0"/>
                    <w:spacing w:line="240" w:lineRule="auto"/>
                    <w:jc w:val="center"/>
                    <w:rPr>
                      <w:szCs w:val="21"/>
                    </w:rPr>
                  </w:pPr>
                </w:p>
              </w:tc>
              <w:tc>
                <w:tcPr>
                  <w:tcW w:w="688" w:type="pct"/>
                  <w:tcBorders>
                    <w:tl2br w:val="nil"/>
                    <w:tr2bl w:val="nil"/>
                  </w:tcBorders>
                  <w:vAlign w:val="center"/>
                </w:tcPr>
                <w:p w14:paraId="3A178CB9">
                  <w:pPr>
                    <w:adjustRightInd w:val="0"/>
                    <w:snapToGrid w:val="0"/>
                    <w:spacing w:line="240" w:lineRule="auto"/>
                    <w:jc w:val="center"/>
                    <w:rPr>
                      <w:szCs w:val="21"/>
                    </w:rPr>
                  </w:pPr>
                  <w:r>
                    <w:rPr>
                      <w:szCs w:val="21"/>
                    </w:rPr>
                    <w:t>经度</w:t>
                  </w:r>
                </w:p>
              </w:tc>
              <w:tc>
                <w:tcPr>
                  <w:tcW w:w="680" w:type="pct"/>
                  <w:tcBorders>
                    <w:tl2br w:val="nil"/>
                    <w:tr2bl w:val="nil"/>
                  </w:tcBorders>
                  <w:vAlign w:val="center"/>
                </w:tcPr>
                <w:p w14:paraId="347E666E">
                  <w:pPr>
                    <w:adjustRightInd w:val="0"/>
                    <w:snapToGrid w:val="0"/>
                    <w:spacing w:line="240" w:lineRule="auto"/>
                    <w:jc w:val="center"/>
                    <w:rPr>
                      <w:szCs w:val="21"/>
                    </w:rPr>
                  </w:pPr>
                  <w:r>
                    <w:rPr>
                      <w:szCs w:val="21"/>
                    </w:rPr>
                    <w:t>纬度</w:t>
                  </w:r>
                </w:p>
              </w:tc>
              <w:tc>
                <w:tcPr>
                  <w:tcW w:w="458" w:type="pct"/>
                  <w:vMerge w:val="continue"/>
                  <w:tcBorders>
                    <w:tl2br w:val="nil"/>
                    <w:tr2bl w:val="nil"/>
                  </w:tcBorders>
                  <w:vAlign w:val="center"/>
                </w:tcPr>
                <w:p w14:paraId="702C5FE7">
                  <w:pPr>
                    <w:adjustRightInd w:val="0"/>
                    <w:snapToGrid w:val="0"/>
                    <w:spacing w:line="240" w:lineRule="auto"/>
                    <w:jc w:val="center"/>
                    <w:rPr>
                      <w:szCs w:val="21"/>
                    </w:rPr>
                  </w:pPr>
                </w:p>
              </w:tc>
              <w:tc>
                <w:tcPr>
                  <w:tcW w:w="250" w:type="pct"/>
                  <w:tcBorders>
                    <w:tl2br w:val="nil"/>
                    <w:tr2bl w:val="nil"/>
                  </w:tcBorders>
                  <w:vAlign w:val="center"/>
                </w:tcPr>
                <w:p w14:paraId="716807DE">
                  <w:pPr>
                    <w:adjustRightInd w:val="0"/>
                    <w:snapToGrid w:val="0"/>
                    <w:spacing w:line="240" w:lineRule="auto"/>
                    <w:jc w:val="center"/>
                    <w:rPr>
                      <w:szCs w:val="21"/>
                    </w:rPr>
                  </w:pPr>
                  <w:r>
                    <w:rPr>
                      <w:szCs w:val="21"/>
                    </w:rPr>
                    <w:t>户</w:t>
                  </w:r>
                </w:p>
              </w:tc>
              <w:tc>
                <w:tcPr>
                  <w:tcW w:w="325" w:type="pct"/>
                  <w:tcBorders>
                    <w:tl2br w:val="nil"/>
                    <w:tr2bl w:val="nil"/>
                  </w:tcBorders>
                  <w:vAlign w:val="center"/>
                </w:tcPr>
                <w:p w14:paraId="3F02BFAB">
                  <w:pPr>
                    <w:adjustRightInd w:val="0"/>
                    <w:snapToGrid w:val="0"/>
                    <w:spacing w:line="240" w:lineRule="auto"/>
                    <w:jc w:val="center"/>
                    <w:rPr>
                      <w:szCs w:val="21"/>
                    </w:rPr>
                  </w:pPr>
                  <w:r>
                    <w:rPr>
                      <w:szCs w:val="21"/>
                    </w:rPr>
                    <w:t>人</w:t>
                  </w:r>
                </w:p>
              </w:tc>
              <w:tc>
                <w:tcPr>
                  <w:tcW w:w="1265" w:type="pct"/>
                  <w:vMerge w:val="continue"/>
                  <w:tcBorders>
                    <w:tl2br w:val="nil"/>
                    <w:tr2bl w:val="nil"/>
                  </w:tcBorders>
                  <w:vAlign w:val="center"/>
                </w:tcPr>
                <w:p w14:paraId="677FCBE0">
                  <w:pPr>
                    <w:adjustRightInd w:val="0"/>
                    <w:snapToGrid w:val="0"/>
                    <w:spacing w:line="240" w:lineRule="auto"/>
                    <w:jc w:val="center"/>
                    <w:rPr>
                      <w:szCs w:val="21"/>
                    </w:rPr>
                  </w:pPr>
                </w:p>
              </w:tc>
              <w:tc>
                <w:tcPr>
                  <w:tcW w:w="266" w:type="pct"/>
                  <w:vMerge w:val="continue"/>
                  <w:tcBorders>
                    <w:tl2br w:val="nil"/>
                    <w:tr2bl w:val="nil"/>
                  </w:tcBorders>
                  <w:vAlign w:val="center"/>
                </w:tcPr>
                <w:p w14:paraId="2CBD3887">
                  <w:pPr>
                    <w:adjustRightInd w:val="0"/>
                    <w:snapToGrid w:val="0"/>
                    <w:spacing w:line="240" w:lineRule="auto"/>
                    <w:jc w:val="center"/>
                    <w:rPr>
                      <w:szCs w:val="21"/>
                    </w:rPr>
                  </w:pPr>
                </w:p>
              </w:tc>
              <w:tc>
                <w:tcPr>
                  <w:tcW w:w="336" w:type="pct"/>
                  <w:vMerge w:val="continue"/>
                  <w:tcBorders>
                    <w:tl2br w:val="nil"/>
                    <w:tr2bl w:val="nil"/>
                  </w:tcBorders>
                  <w:vAlign w:val="center"/>
                </w:tcPr>
                <w:p w14:paraId="722E58F3">
                  <w:pPr>
                    <w:adjustRightInd w:val="0"/>
                    <w:snapToGrid w:val="0"/>
                    <w:spacing w:line="240" w:lineRule="auto"/>
                    <w:jc w:val="center"/>
                    <w:rPr>
                      <w:szCs w:val="21"/>
                    </w:rPr>
                  </w:pPr>
                </w:p>
              </w:tc>
            </w:tr>
            <w:tr w14:paraId="4CD877A0">
              <w:tblPrEx>
                <w:tblBorders>
                  <w:top w:val="double" w:color="000000" w:sz="4" w:space="0"/>
                  <w:left w:val="none" w:color="auto" w:sz="0" w:space="0"/>
                  <w:bottom w:val="double" w:color="000000" w:sz="4" w:space="0"/>
                  <w:right w:val="none" w:color="auto" w:sz="0" w:space="0"/>
                  <w:insideH w:val="single" w:color="000000" w:sz="2" w:space="0"/>
                  <w:insideV w:val="single" w:color="000000" w:sz="2" w:space="0"/>
                </w:tblBorders>
                <w:tblCellMar>
                  <w:top w:w="0" w:type="dxa"/>
                  <w:left w:w="108" w:type="dxa"/>
                  <w:bottom w:w="0" w:type="dxa"/>
                  <w:right w:w="108" w:type="dxa"/>
                </w:tblCellMar>
              </w:tblPrEx>
              <w:trPr>
                <w:trHeight w:val="23" w:hRule="atLeast"/>
                <w:jc w:val="center"/>
              </w:trPr>
              <w:tc>
                <w:tcPr>
                  <w:tcW w:w="266" w:type="pct"/>
                  <w:vMerge w:val="restart"/>
                  <w:tcBorders>
                    <w:tl2br w:val="nil"/>
                    <w:tr2bl w:val="nil"/>
                  </w:tcBorders>
                  <w:vAlign w:val="center"/>
                </w:tcPr>
                <w:p w14:paraId="541EDD67">
                  <w:pPr>
                    <w:adjustRightInd w:val="0"/>
                    <w:snapToGrid w:val="0"/>
                    <w:spacing w:line="240" w:lineRule="auto"/>
                    <w:jc w:val="center"/>
                    <w:rPr>
                      <w:szCs w:val="21"/>
                    </w:rPr>
                  </w:pPr>
                  <w:r>
                    <w:rPr>
                      <w:szCs w:val="21"/>
                    </w:rPr>
                    <w:t>环境空气</w:t>
                  </w:r>
                </w:p>
              </w:tc>
              <w:tc>
                <w:tcPr>
                  <w:tcW w:w="462" w:type="pct"/>
                  <w:tcBorders>
                    <w:tl2br w:val="nil"/>
                    <w:tr2bl w:val="nil"/>
                  </w:tcBorders>
                  <w:vAlign w:val="center"/>
                </w:tcPr>
                <w:p w14:paraId="3F209627">
                  <w:pPr>
                    <w:adjustRightInd w:val="0"/>
                    <w:snapToGrid w:val="0"/>
                    <w:spacing w:line="240" w:lineRule="auto"/>
                    <w:jc w:val="center"/>
                    <w:rPr>
                      <w:szCs w:val="21"/>
                    </w:rPr>
                  </w:pPr>
                  <w:r>
                    <w:rPr>
                      <w:rFonts w:hint="eastAsia"/>
                      <w:szCs w:val="21"/>
                    </w:rPr>
                    <w:t>骆驼营村</w:t>
                  </w:r>
                </w:p>
              </w:tc>
              <w:tc>
                <w:tcPr>
                  <w:tcW w:w="688" w:type="pct"/>
                  <w:tcBorders>
                    <w:tl2br w:val="nil"/>
                    <w:tr2bl w:val="nil"/>
                  </w:tcBorders>
                  <w:vAlign w:val="center"/>
                </w:tcPr>
                <w:p w14:paraId="602D38EC">
                  <w:pPr>
                    <w:adjustRightInd w:val="0"/>
                    <w:snapToGrid w:val="0"/>
                    <w:spacing w:line="240" w:lineRule="auto"/>
                    <w:jc w:val="center"/>
                    <w:rPr>
                      <w:sz w:val="18"/>
                      <w:szCs w:val="18"/>
                    </w:rPr>
                  </w:pPr>
                  <w:r>
                    <w:rPr>
                      <w:sz w:val="18"/>
                      <w:szCs w:val="18"/>
                    </w:rPr>
                    <w:t>120°45′25.95″</w:t>
                  </w:r>
                </w:p>
              </w:tc>
              <w:tc>
                <w:tcPr>
                  <w:tcW w:w="680" w:type="pct"/>
                  <w:tcBorders>
                    <w:tl2br w:val="nil"/>
                    <w:tr2bl w:val="nil"/>
                  </w:tcBorders>
                  <w:vAlign w:val="center"/>
                </w:tcPr>
                <w:p w14:paraId="41ED9F02">
                  <w:pPr>
                    <w:adjustRightInd w:val="0"/>
                    <w:snapToGrid w:val="0"/>
                    <w:spacing w:line="240" w:lineRule="auto"/>
                    <w:jc w:val="center"/>
                    <w:rPr>
                      <w:sz w:val="18"/>
                      <w:szCs w:val="18"/>
                    </w:rPr>
                  </w:pPr>
                  <w:r>
                    <w:rPr>
                      <w:sz w:val="18"/>
                      <w:szCs w:val="18"/>
                    </w:rPr>
                    <w:t>41°46′57.05″</w:t>
                  </w:r>
                </w:p>
              </w:tc>
              <w:tc>
                <w:tcPr>
                  <w:tcW w:w="458" w:type="pct"/>
                  <w:tcBorders>
                    <w:tl2br w:val="nil"/>
                    <w:tr2bl w:val="nil"/>
                  </w:tcBorders>
                  <w:vAlign w:val="center"/>
                </w:tcPr>
                <w:p w14:paraId="53F9F16F">
                  <w:pPr>
                    <w:adjustRightInd w:val="0"/>
                    <w:snapToGrid w:val="0"/>
                    <w:spacing w:line="240" w:lineRule="auto"/>
                    <w:jc w:val="center"/>
                    <w:rPr>
                      <w:szCs w:val="21"/>
                    </w:rPr>
                  </w:pPr>
                  <w:r>
                    <w:rPr>
                      <w:rFonts w:hint="eastAsia"/>
                      <w:szCs w:val="21"/>
                    </w:rPr>
                    <w:t>居民</w:t>
                  </w:r>
                </w:p>
              </w:tc>
              <w:tc>
                <w:tcPr>
                  <w:tcW w:w="250" w:type="pct"/>
                  <w:tcBorders>
                    <w:tl2br w:val="nil"/>
                    <w:tr2bl w:val="nil"/>
                  </w:tcBorders>
                  <w:vAlign w:val="center"/>
                </w:tcPr>
                <w:p w14:paraId="36B003C5">
                  <w:pPr>
                    <w:adjustRightInd w:val="0"/>
                    <w:snapToGrid w:val="0"/>
                    <w:spacing w:line="240" w:lineRule="auto"/>
                    <w:jc w:val="center"/>
                    <w:rPr>
                      <w:szCs w:val="21"/>
                    </w:rPr>
                  </w:pPr>
                  <w:r>
                    <w:rPr>
                      <w:rFonts w:hint="eastAsia"/>
                      <w:szCs w:val="21"/>
                    </w:rPr>
                    <w:t>26</w:t>
                  </w:r>
                </w:p>
              </w:tc>
              <w:tc>
                <w:tcPr>
                  <w:tcW w:w="325" w:type="pct"/>
                  <w:tcBorders>
                    <w:tl2br w:val="nil"/>
                    <w:tr2bl w:val="nil"/>
                  </w:tcBorders>
                  <w:vAlign w:val="center"/>
                </w:tcPr>
                <w:p w14:paraId="198D6B3E">
                  <w:pPr>
                    <w:adjustRightInd w:val="0"/>
                    <w:snapToGrid w:val="0"/>
                    <w:spacing w:line="240" w:lineRule="auto"/>
                    <w:jc w:val="center"/>
                    <w:rPr>
                      <w:szCs w:val="21"/>
                    </w:rPr>
                  </w:pPr>
                  <w:r>
                    <w:rPr>
                      <w:rFonts w:hint="eastAsia"/>
                      <w:szCs w:val="21"/>
                    </w:rPr>
                    <w:t>78</w:t>
                  </w:r>
                </w:p>
              </w:tc>
              <w:tc>
                <w:tcPr>
                  <w:tcW w:w="1265" w:type="pct"/>
                  <w:vMerge w:val="restart"/>
                  <w:tcBorders>
                    <w:tl2br w:val="nil"/>
                    <w:tr2bl w:val="nil"/>
                  </w:tcBorders>
                  <w:vAlign w:val="center"/>
                </w:tcPr>
                <w:p w14:paraId="6157F8B9">
                  <w:pPr>
                    <w:adjustRightInd w:val="0"/>
                    <w:snapToGrid w:val="0"/>
                    <w:spacing w:line="240" w:lineRule="auto"/>
                    <w:jc w:val="center"/>
                    <w:rPr>
                      <w:szCs w:val="21"/>
                    </w:rPr>
                  </w:pPr>
                  <w:r>
                    <w:rPr>
                      <w:szCs w:val="21"/>
                    </w:rPr>
                    <w:t>环境空气质量二类</w:t>
                  </w:r>
                </w:p>
              </w:tc>
              <w:tc>
                <w:tcPr>
                  <w:tcW w:w="266" w:type="pct"/>
                  <w:tcBorders>
                    <w:tl2br w:val="nil"/>
                    <w:tr2bl w:val="nil"/>
                  </w:tcBorders>
                  <w:vAlign w:val="center"/>
                </w:tcPr>
                <w:p w14:paraId="06EDAAD3">
                  <w:pPr>
                    <w:adjustRightInd w:val="0"/>
                    <w:snapToGrid w:val="0"/>
                    <w:spacing w:line="240" w:lineRule="auto"/>
                    <w:jc w:val="center"/>
                    <w:rPr>
                      <w:szCs w:val="21"/>
                    </w:rPr>
                  </w:pPr>
                  <w:r>
                    <w:rPr>
                      <w:rFonts w:hint="eastAsia"/>
                      <w:szCs w:val="21"/>
                    </w:rPr>
                    <w:t>西北</w:t>
                  </w:r>
                </w:p>
              </w:tc>
              <w:tc>
                <w:tcPr>
                  <w:tcW w:w="336" w:type="pct"/>
                  <w:tcBorders>
                    <w:tl2br w:val="nil"/>
                    <w:tr2bl w:val="nil"/>
                  </w:tcBorders>
                  <w:vAlign w:val="center"/>
                </w:tcPr>
                <w:p w14:paraId="66BF1D6B">
                  <w:pPr>
                    <w:adjustRightInd w:val="0"/>
                    <w:snapToGrid w:val="0"/>
                    <w:spacing w:line="240" w:lineRule="auto"/>
                    <w:jc w:val="center"/>
                    <w:rPr>
                      <w:szCs w:val="21"/>
                    </w:rPr>
                  </w:pPr>
                  <w:r>
                    <w:rPr>
                      <w:rFonts w:hint="eastAsia"/>
                      <w:szCs w:val="21"/>
                    </w:rPr>
                    <w:t>260</w:t>
                  </w:r>
                </w:p>
              </w:tc>
            </w:tr>
            <w:tr w14:paraId="02950B16">
              <w:tblPrEx>
                <w:tblBorders>
                  <w:top w:val="double" w:color="000000" w:sz="4" w:space="0"/>
                  <w:left w:val="none" w:color="auto" w:sz="0" w:space="0"/>
                  <w:bottom w:val="double" w:color="000000" w:sz="4" w:space="0"/>
                  <w:right w:val="none" w:color="auto" w:sz="0" w:space="0"/>
                  <w:insideH w:val="single" w:color="000000" w:sz="2" w:space="0"/>
                  <w:insideV w:val="single" w:color="000000" w:sz="2" w:space="0"/>
                </w:tblBorders>
                <w:tblCellMar>
                  <w:top w:w="0" w:type="dxa"/>
                  <w:left w:w="108" w:type="dxa"/>
                  <w:bottom w:w="0" w:type="dxa"/>
                  <w:right w:w="108" w:type="dxa"/>
                </w:tblCellMar>
              </w:tblPrEx>
              <w:trPr>
                <w:trHeight w:val="23" w:hRule="atLeast"/>
                <w:jc w:val="center"/>
              </w:trPr>
              <w:tc>
                <w:tcPr>
                  <w:tcW w:w="266" w:type="pct"/>
                  <w:vMerge w:val="continue"/>
                  <w:tcBorders>
                    <w:tl2br w:val="nil"/>
                    <w:tr2bl w:val="nil"/>
                  </w:tcBorders>
                  <w:vAlign w:val="center"/>
                </w:tcPr>
                <w:p w14:paraId="2772023A">
                  <w:pPr>
                    <w:adjustRightInd w:val="0"/>
                    <w:snapToGrid w:val="0"/>
                    <w:spacing w:line="240" w:lineRule="auto"/>
                    <w:jc w:val="center"/>
                    <w:rPr>
                      <w:szCs w:val="21"/>
                    </w:rPr>
                  </w:pPr>
                </w:p>
              </w:tc>
              <w:tc>
                <w:tcPr>
                  <w:tcW w:w="462" w:type="pct"/>
                  <w:tcBorders>
                    <w:tl2br w:val="nil"/>
                    <w:tr2bl w:val="nil"/>
                  </w:tcBorders>
                  <w:vAlign w:val="center"/>
                </w:tcPr>
                <w:p w14:paraId="5BCC4163">
                  <w:pPr>
                    <w:adjustRightInd w:val="0"/>
                    <w:snapToGrid w:val="0"/>
                    <w:spacing w:line="240" w:lineRule="auto"/>
                    <w:jc w:val="center"/>
                    <w:rPr>
                      <w:szCs w:val="21"/>
                    </w:rPr>
                  </w:pPr>
                  <w:r>
                    <w:rPr>
                      <w:rFonts w:hint="eastAsia"/>
                      <w:szCs w:val="21"/>
                    </w:rPr>
                    <w:t>凉水河村</w:t>
                  </w:r>
                </w:p>
              </w:tc>
              <w:tc>
                <w:tcPr>
                  <w:tcW w:w="688" w:type="pct"/>
                  <w:tcBorders>
                    <w:tl2br w:val="nil"/>
                    <w:tr2bl w:val="nil"/>
                  </w:tcBorders>
                  <w:vAlign w:val="center"/>
                </w:tcPr>
                <w:p w14:paraId="45F55665">
                  <w:pPr>
                    <w:adjustRightInd w:val="0"/>
                    <w:snapToGrid w:val="0"/>
                    <w:spacing w:line="240" w:lineRule="auto"/>
                    <w:jc w:val="center"/>
                    <w:rPr>
                      <w:sz w:val="18"/>
                      <w:szCs w:val="18"/>
                    </w:rPr>
                  </w:pPr>
                  <w:r>
                    <w:rPr>
                      <w:sz w:val="18"/>
                      <w:szCs w:val="18"/>
                    </w:rPr>
                    <w:t>120°45′19.36″</w:t>
                  </w:r>
                </w:p>
              </w:tc>
              <w:tc>
                <w:tcPr>
                  <w:tcW w:w="680" w:type="pct"/>
                  <w:tcBorders>
                    <w:tl2br w:val="nil"/>
                    <w:tr2bl w:val="nil"/>
                  </w:tcBorders>
                  <w:vAlign w:val="center"/>
                </w:tcPr>
                <w:p w14:paraId="70003BF4">
                  <w:pPr>
                    <w:adjustRightInd w:val="0"/>
                    <w:snapToGrid w:val="0"/>
                    <w:spacing w:line="240" w:lineRule="auto"/>
                    <w:jc w:val="center"/>
                    <w:rPr>
                      <w:sz w:val="18"/>
                      <w:szCs w:val="18"/>
                    </w:rPr>
                  </w:pPr>
                  <w:r>
                    <w:rPr>
                      <w:sz w:val="18"/>
                      <w:szCs w:val="18"/>
                    </w:rPr>
                    <w:t>41°46′34.01″</w:t>
                  </w:r>
                </w:p>
              </w:tc>
              <w:tc>
                <w:tcPr>
                  <w:tcW w:w="458" w:type="pct"/>
                  <w:tcBorders>
                    <w:tl2br w:val="nil"/>
                    <w:tr2bl w:val="nil"/>
                  </w:tcBorders>
                  <w:vAlign w:val="center"/>
                </w:tcPr>
                <w:p w14:paraId="5408E29F">
                  <w:pPr>
                    <w:adjustRightInd w:val="0"/>
                    <w:snapToGrid w:val="0"/>
                    <w:spacing w:line="240" w:lineRule="auto"/>
                    <w:jc w:val="center"/>
                    <w:rPr>
                      <w:szCs w:val="21"/>
                    </w:rPr>
                  </w:pPr>
                  <w:r>
                    <w:rPr>
                      <w:rFonts w:hint="eastAsia"/>
                      <w:szCs w:val="21"/>
                    </w:rPr>
                    <w:t>居民</w:t>
                  </w:r>
                </w:p>
              </w:tc>
              <w:tc>
                <w:tcPr>
                  <w:tcW w:w="250" w:type="pct"/>
                  <w:tcBorders>
                    <w:tl2br w:val="nil"/>
                    <w:tr2bl w:val="nil"/>
                  </w:tcBorders>
                  <w:vAlign w:val="center"/>
                </w:tcPr>
                <w:p w14:paraId="73EAC5A6">
                  <w:pPr>
                    <w:adjustRightInd w:val="0"/>
                    <w:snapToGrid w:val="0"/>
                    <w:spacing w:line="240" w:lineRule="auto"/>
                    <w:jc w:val="center"/>
                    <w:rPr>
                      <w:szCs w:val="21"/>
                    </w:rPr>
                  </w:pPr>
                  <w:r>
                    <w:rPr>
                      <w:rFonts w:hint="eastAsia"/>
                      <w:szCs w:val="21"/>
                    </w:rPr>
                    <w:t>42</w:t>
                  </w:r>
                </w:p>
              </w:tc>
              <w:tc>
                <w:tcPr>
                  <w:tcW w:w="325" w:type="pct"/>
                  <w:tcBorders>
                    <w:tl2br w:val="nil"/>
                    <w:tr2bl w:val="nil"/>
                  </w:tcBorders>
                  <w:vAlign w:val="center"/>
                </w:tcPr>
                <w:p w14:paraId="10AD73FC">
                  <w:pPr>
                    <w:adjustRightInd w:val="0"/>
                    <w:snapToGrid w:val="0"/>
                    <w:spacing w:line="240" w:lineRule="auto"/>
                    <w:jc w:val="center"/>
                    <w:rPr>
                      <w:szCs w:val="21"/>
                    </w:rPr>
                  </w:pPr>
                  <w:r>
                    <w:rPr>
                      <w:rFonts w:hint="eastAsia"/>
                      <w:szCs w:val="21"/>
                    </w:rPr>
                    <w:t>126</w:t>
                  </w:r>
                </w:p>
              </w:tc>
              <w:tc>
                <w:tcPr>
                  <w:tcW w:w="1265" w:type="pct"/>
                  <w:vMerge w:val="continue"/>
                  <w:tcBorders>
                    <w:tl2br w:val="nil"/>
                    <w:tr2bl w:val="nil"/>
                  </w:tcBorders>
                  <w:vAlign w:val="center"/>
                </w:tcPr>
                <w:p w14:paraId="694735A1">
                  <w:pPr>
                    <w:adjustRightInd w:val="0"/>
                    <w:snapToGrid w:val="0"/>
                    <w:spacing w:line="240" w:lineRule="auto"/>
                    <w:jc w:val="center"/>
                    <w:rPr>
                      <w:szCs w:val="21"/>
                    </w:rPr>
                  </w:pPr>
                </w:p>
              </w:tc>
              <w:tc>
                <w:tcPr>
                  <w:tcW w:w="266" w:type="pct"/>
                  <w:tcBorders>
                    <w:tl2br w:val="nil"/>
                    <w:tr2bl w:val="nil"/>
                  </w:tcBorders>
                  <w:vAlign w:val="center"/>
                </w:tcPr>
                <w:p w14:paraId="6BE14C55">
                  <w:pPr>
                    <w:adjustRightInd w:val="0"/>
                    <w:snapToGrid w:val="0"/>
                    <w:spacing w:line="240" w:lineRule="auto"/>
                    <w:jc w:val="center"/>
                    <w:rPr>
                      <w:szCs w:val="21"/>
                    </w:rPr>
                  </w:pPr>
                  <w:r>
                    <w:rPr>
                      <w:rFonts w:hint="eastAsia"/>
                      <w:szCs w:val="21"/>
                    </w:rPr>
                    <w:t>西南</w:t>
                  </w:r>
                </w:p>
              </w:tc>
              <w:tc>
                <w:tcPr>
                  <w:tcW w:w="336" w:type="pct"/>
                  <w:tcBorders>
                    <w:tl2br w:val="nil"/>
                    <w:tr2bl w:val="nil"/>
                  </w:tcBorders>
                  <w:vAlign w:val="center"/>
                </w:tcPr>
                <w:p w14:paraId="3D3A59D5">
                  <w:pPr>
                    <w:adjustRightInd w:val="0"/>
                    <w:snapToGrid w:val="0"/>
                    <w:spacing w:line="240" w:lineRule="auto"/>
                    <w:jc w:val="center"/>
                    <w:rPr>
                      <w:szCs w:val="21"/>
                    </w:rPr>
                  </w:pPr>
                  <w:r>
                    <w:rPr>
                      <w:rFonts w:hint="eastAsia"/>
                      <w:szCs w:val="21"/>
                    </w:rPr>
                    <w:t>340</w:t>
                  </w:r>
                </w:p>
              </w:tc>
            </w:tr>
            <w:tr w14:paraId="7FDFA17B">
              <w:tblPrEx>
                <w:tblBorders>
                  <w:top w:val="double" w:color="000000" w:sz="4" w:space="0"/>
                  <w:left w:val="none" w:color="auto" w:sz="0" w:space="0"/>
                  <w:bottom w:val="double" w:color="000000" w:sz="4" w:space="0"/>
                  <w:right w:val="none" w:color="auto" w:sz="0" w:space="0"/>
                  <w:insideH w:val="single" w:color="000000" w:sz="2" w:space="0"/>
                  <w:insideV w:val="single" w:color="000000" w:sz="2" w:space="0"/>
                </w:tblBorders>
                <w:tblCellMar>
                  <w:top w:w="0" w:type="dxa"/>
                  <w:left w:w="108" w:type="dxa"/>
                  <w:bottom w:w="0" w:type="dxa"/>
                  <w:right w:w="108" w:type="dxa"/>
                </w:tblCellMar>
              </w:tblPrEx>
              <w:trPr>
                <w:trHeight w:val="686" w:hRule="atLeast"/>
                <w:jc w:val="center"/>
              </w:trPr>
              <w:tc>
                <w:tcPr>
                  <w:tcW w:w="266" w:type="pct"/>
                  <w:vMerge w:val="restart"/>
                  <w:tcBorders>
                    <w:tl2br w:val="nil"/>
                    <w:tr2bl w:val="nil"/>
                  </w:tcBorders>
                  <w:vAlign w:val="center"/>
                </w:tcPr>
                <w:p w14:paraId="2AD70224">
                  <w:pPr>
                    <w:adjustRightInd w:val="0"/>
                    <w:snapToGrid w:val="0"/>
                    <w:spacing w:line="240" w:lineRule="auto"/>
                    <w:jc w:val="center"/>
                    <w:rPr>
                      <w:color w:val="FF0000"/>
                      <w:szCs w:val="21"/>
                    </w:rPr>
                  </w:pPr>
                  <w:r>
                    <w:rPr>
                      <w:color w:val="FF0000"/>
                      <w:szCs w:val="21"/>
                    </w:rPr>
                    <w:t>地下水环境</w:t>
                  </w:r>
                </w:p>
              </w:tc>
              <w:tc>
                <w:tcPr>
                  <w:tcW w:w="462" w:type="pct"/>
                  <w:tcBorders>
                    <w:tl2br w:val="nil"/>
                    <w:tr2bl w:val="nil"/>
                  </w:tcBorders>
                  <w:vAlign w:val="center"/>
                </w:tcPr>
                <w:p w14:paraId="1579ECEF">
                  <w:pPr>
                    <w:adjustRightInd w:val="0"/>
                    <w:snapToGrid w:val="0"/>
                    <w:spacing w:line="240" w:lineRule="auto"/>
                    <w:jc w:val="center"/>
                    <w:rPr>
                      <w:color w:val="FF0000"/>
                      <w:szCs w:val="21"/>
                    </w:rPr>
                  </w:pPr>
                  <w:r>
                    <w:rPr>
                      <w:rFonts w:hint="eastAsia"/>
                      <w:color w:val="FF0000"/>
                      <w:szCs w:val="21"/>
                    </w:rPr>
                    <w:t>骆驼营村</w:t>
                  </w:r>
                </w:p>
              </w:tc>
              <w:tc>
                <w:tcPr>
                  <w:tcW w:w="688" w:type="pct"/>
                  <w:tcBorders>
                    <w:tl2br w:val="nil"/>
                    <w:tr2bl w:val="nil"/>
                  </w:tcBorders>
                  <w:shd w:val="clear" w:color="auto" w:fill="auto"/>
                  <w:vAlign w:val="center"/>
                </w:tcPr>
                <w:p w14:paraId="01834CBE">
                  <w:pPr>
                    <w:adjustRightInd w:val="0"/>
                    <w:snapToGrid w:val="0"/>
                    <w:spacing w:line="240" w:lineRule="auto"/>
                    <w:jc w:val="center"/>
                    <w:rPr>
                      <w:color w:val="FF0000"/>
                      <w:sz w:val="18"/>
                      <w:szCs w:val="18"/>
                    </w:rPr>
                  </w:pPr>
                  <w:r>
                    <w:rPr>
                      <w:color w:val="FF0000"/>
                      <w:sz w:val="18"/>
                      <w:szCs w:val="18"/>
                    </w:rPr>
                    <w:t>120°45′25.95″</w:t>
                  </w:r>
                </w:p>
              </w:tc>
              <w:tc>
                <w:tcPr>
                  <w:tcW w:w="680" w:type="pct"/>
                  <w:tcBorders>
                    <w:tl2br w:val="nil"/>
                    <w:tr2bl w:val="nil"/>
                  </w:tcBorders>
                  <w:shd w:val="clear" w:color="auto" w:fill="auto"/>
                  <w:vAlign w:val="center"/>
                </w:tcPr>
                <w:p w14:paraId="2523C62E">
                  <w:pPr>
                    <w:adjustRightInd w:val="0"/>
                    <w:snapToGrid w:val="0"/>
                    <w:spacing w:line="240" w:lineRule="auto"/>
                    <w:jc w:val="center"/>
                    <w:rPr>
                      <w:color w:val="FF0000"/>
                      <w:sz w:val="18"/>
                      <w:szCs w:val="18"/>
                    </w:rPr>
                  </w:pPr>
                  <w:r>
                    <w:rPr>
                      <w:color w:val="FF0000"/>
                      <w:sz w:val="18"/>
                      <w:szCs w:val="18"/>
                    </w:rPr>
                    <w:t>41°46′57.05″</w:t>
                  </w:r>
                </w:p>
              </w:tc>
              <w:tc>
                <w:tcPr>
                  <w:tcW w:w="1033" w:type="pct"/>
                  <w:gridSpan w:val="3"/>
                  <w:tcBorders>
                    <w:tl2br w:val="nil"/>
                    <w:tr2bl w:val="nil"/>
                  </w:tcBorders>
                  <w:vAlign w:val="center"/>
                </w:tcPr>
                <w:p w14:paraId="617FABEC">
                  <w:pPr>
                    <w:adjustRightInd w:val="0"/>
                    <w:snapToGrid w:val="0"/>
                    <w:spacing w:line="240" w:lineRule="auto"/>
                    <w:jc w:val="center"/>
                    <w:rPr>
                      <w:color w:val="FF0000"/>
                      <w:szCs w:val="21"/>
                    </w:rPr>
                  </w:pPr>
                  <w:r>
                    <w:rPr>
                      <w:rFonts w:hint="eastAsia"/>
                      <w:color w:val="FF0000"/>
                      <w:szCs w:val="21"/>
                      <w:lang w:val="en-US" w:eastAsia="zh-CN"/>
                    </w:rPr>
                    <w:t>分散式饮用水井</w:t>
                  </w:r>
                </w:p>
              </w:tc>
              <w:tc>
                <w:tcPr>
                  <w:tcW w:w="1265" w:type="pct"/>
                  <w:vMerge w:val="restart"/>
                  <w:tcBorders>
                    <w:tl2br w:val="nil"/>
                    <w:tr2bl w:val="nil"/>
                  </w:tcBorders>
                  <w:vAlign w:val="center"/>
                </w:tcPr>
                <w:p w14:paraId="79F3790A">
                  <w:pPr>
                    <w:adjustRightInd w:val="0"/>
                    <w:snapToGrid w:val="0"/>
                    <w:spacing w:line="240" w:lineRule="auto"/>
                    <w:jc w:val="center"/>
                    <w:rPr>
                      <w:color w:val="FF0000"/>
                      <w:szCs w:val="21"/>
                    </w:rPr>
                  </w:pPr>
                  <w:r>
                    <w:rPr>
                      <w:color w:val="FF0000"/>
                      <w:szCs w:val="21"/>
                    </w:rPr>
                    <w:t>《地下水质量标准》（GB/T14848-2017）中Ⅲ类标准要求</w:t>
                  </w:r>
                </w:p>
              </w:tc>
              <w:tc>
                <w:tcPr>
                  <w:tcW w:w="266" w:type="pct"/>
                  <w:tcBorders>
                    <w:tl2br w:val="nil"/>
                    <w:tr2bl w:val="nil"/>
                  </w:tcBorders>
                  <w:vAlign w:val="center"/>
                </w:tcPr>
                <w:p w14:paraId="0C775B96">
                  <w:pPr>
                    <w:adjustRightInd w:val="0"/>
                    <w:snapToGrid w:val="0"/>
                    <w:spacing w:line="240" w:lineRule="auto"/>
                    <w:jc w:val="center"/>
                    <w:rPr>
                      <w:color w:val="FF0000"/>
                      <w:szCs w:val="21"/>
                    </w:rPr>
                  </w:pPr>
                  <w:r>
                    <w:rPr>
                      <w:rFonts w:hint="eastAsia"/>
                      <w:color w:val="FF0000"/>
                      <w:szCs w:val="21"/>
                    </w:rPr>
                    <w:t>西北</w:t>
                  </w:r>
                </w:p>
              </w:tc>
              <w:tc>
                <w:tcPr>
                  <w:tcW w:w="336" w:type="pct"/>
                  <w:tcBorders>
                    <w:tl2br w:val="nil"/>
                    <w:tr2bl w:val="nil"/>
                  </w:tcBorders>
                  <w:vAlign w:val="center"/>
                </w:tcPr>
                <w:p w14:paraId="5A015325">
                  <w:pPr>
                    <w:adjustRightInd w:val="0"/>
                    <w:snapToGrid w:val="0"/>
                    <w:spacing w:line="240" w:lineRule="auto"/>
                    <w:jc w:val="center"/>
                    <w:rPr>
                      <w:color w:val="FF0000"/>
                      <w:szCs w:val="21"/>
                    </w:rPr>
                  </w:pPr>
                  <w:r>
                    <w:rPr>
                      <w:rFonts w:hint="eastAsia"/>
                      <w:color w:val="FF0000"/>
                      <w:szCs w:val="21"/>
                    </w:rPr>
                    <w:t>260</w:t>
                  </w:r>
                </w:p>
              </w:tc>
            </w:tr>
            <w:tr w14:paraId="204A6306">
              <w:tblPrEx>
                <w:tblBorders>
                  <w:top w:val="double" w:color="000000" w:sz="4" w:space="0"/>
                  <w:left w:val="none" w:color="auto" w:sz="0" w:space="0"/>
                  <w:bottom w:val="double" w:color="000000" w:sz="4" w:space="0"/>
                  <w:right w:val="none" w:color="auto" w:sz="0" w:space="0"/>
                  <w:insideH w:val="single" w:color="000000" w:sz="2" w:space="0"/>
                  <w:insideV w:val="single" w:color="000000" w:sz="2" w:space="0"/>
                </w:tblBorders>
                <w:tblCellMar>
                  <w:top w:w="0" w:type="dxa"/>
                  <w:left w:w="108" w:type="dxa"/>
                  <w:bottom w:w="0" w:type="dxa"/>
                  <w:right w:w="108" w:type="dxa"/>
                </w:tblCellMar>
              </w:tblPrEx>
              <w:trPr>
                <w:trHeight w:val="23" w:hRule="atLeast"/>
                <w:jc w:val="center"/>
              </w:trPr>
              <w:tc>
                <w:tcPr>
                  <w:tcW w:w="266" w:type="pct"/>
                  <w:vMerge w:val="continue"/>
                  <w:tcBorders>
                    <w:tl2br w:val="nil"/>
                    <w:tr2bl w:val="nil"/>
                  </w:tcBorders>
                  <w:vAlign w:val="center"/>
                </w:tcPr>
                <w:p w14:paraId="4142F33B">
                  <w:pPr>
                    <w:adjustRightInd w:val="0"/>
                    <w:snapToGrid w:val="0"/>
                    <w:spacing w:line="240" w:lineRule="auto"/>
                    <w:jc w:val="center"/>
                    <w:rPr>
                      <w:color w:val="FF0000"/>
                      <w:szCs w:val="21"/>
                    </w:rPr>
                  </w:pPr>
                </w:p>
              </w:tc>
              <w:tc>
                <w:tcPr>
                  <w:tcW w:w="462" w:type="pct"/>
                  <w:tcBorders>
                    <w:tl2br w:val="nil"/>
                    <w:tr2bl w:val="nil"/>
                  </w:tcBorders>
                  <w:vAlign w:val="center"/>
                </w:tcPr>
                <w:p w14:paraId="4079E88A">
                  <w:pPr>
                    <w:adjustRightInd w:val="0"/>
                    <w:snapToGrid w:val="0"/>
                    <w:spacing w:line="240" w:lineRule="auto"/>
                    <w:jc w:val="center"/>
                    <w:rPr>
                      <w:color w:val="FF0000"/>
                      <w:szCs w:val="21"/>
                    </w:rPr>
                  </w:pPr>
                  <w:r>
                    <w:rPr>
                      <w:rFonts w:hint="eastAsia"/>
                      <w:color w:val="FF0000"/>
                      <w:szCs w:val="21"/>
                    </w:rPr>
                    <w:t>凉水河村</w:t>
                  </w:r>
                </w:p>
              </w:tc>
              <w:tc>
                <w:tcPr>
                  <w:tcW w:w="688" w:type="pct"/>
                  <w:tcBorders>
                    <w:tl2br w:val="nil"/>
                    <w:tr2bl w:val="nil"/>
                  </w:tcBorders>
                  <w:shd w:val="clear" w:color="auto" w:fill="auto"/>
                  <w:vAlign w:val="center"/>
                </w:tcPr>
                <w:p w14:paraId="1FDAC243">
                  <w:pPr>
                    <w:adjustRightInd w:val="0"/>
                    <w:snapToGrid w:val="0"/>
                    <w:spacing w:line="240" w:lineRule="auto"/>
                    <w:jc w:val="center"/>
                    <w:rPr>
                      <w:color w:val="FF0000"/>
                      <w:sz w:val="18"/>
                      <w:szCs w:val="18"/>
                    </w:rPr>
                  </w:pPr>
                  <w:r>
                    <w:rPr>
                      <w:color w:val="FF0000"/>
                      <w:sz w:val="18"/>
                      <w:szCs w:val="18"/>
                    </w:rPr>
                    <w:t>120°45′19.36″</w:t>
                  </w:r>
                </w:p>
              </w:tc>
              <w:tc>
                <w:tcPr>
                  <w:tcW w:w="680" w:type="pct"/>
                  <w:tcBorders>
                    <w:tl2br w:val="nil"/>
                    <w:tr2bl w:val="nil"/>
                  </w:tcBorders>
                  <w:shd w:val="clear" w:color="auto" w:fill="auto"/>
                  <w:vAlign w:val="center"/>
                </w:tcPr>
                <w:p w14:paraId="265B4CCC">
                  <w:pPr>
                    <w:adjustRightInd w:val="0"/>
                    <w:snapToGrid w:val="0"/>
                    <w:spacing w:line="240" w:lineRule="auto"/>
                    <w:jc w:val="center"/>
                    <w:rPr>
                      <w:color w:val="FF0000"/>
                      <w:sz w:val="18"/>
                      <w:szCs w:val="18"/>
                    </w:rPr>
                  </w:pPr>
                  <w:r>
                    <w:rPr>
                      <w:color w:val="FF0000"/>
                      <w:sz w:val="18"/>
                      <w:szCs w:val="18"/>
                    </w:rPr>
                    <w:t>41°46′34.01″</w:t>
                  </w:r>
                </w:p>
              </w:tc>
              <w:tc>
                <w:tcPr>
                  <w:tcW w:w="1033" w:type="pct"/>
                  <w:gridSpan w:val="3"/>
                  <w:tcBorders>
                    <w:tl2br w:val="nil"/>
                    <w:tr2bl w:val="nil"/>
                  </w:tcBorders>
                  <w:vAlign w:val="center"/>
                </w:tcPr>
                <w:p w14:paraId="424B5375">
                  <w:pPr>
                    <w:adjustRightInd w:val="0"/>
                    <w:snapToGrid w:val="0"/>
                    <w:spacing w:line="240" w:lineRule="auto"/>
                    <w:jc w:val="center"/>
                    <w:rPr>
                      <w:color w:val="FF0000"/>
                      <w:szCs w:val="21"/>
                    </w:rPr>
                  </w:pPr>
                  <w:r>
                    <w:rPr>
                      <w:rFonts w:hint="eastAsia"/>
                      <w:color w:val="FF0000"/>
                      <w:szCs w:val="21"/>
                      <w:lang w:val="en-US" w:eastAsia="zh-CN"/>
                    </w:rPr>
                    <w:t>分散式饮用水井</w:t>
                  </w:r>
                </w:p>
              </w:tc>
              <w:tc>
                <w:tcPr>
                  <w:tcW w:w="1265" w:type="pct"/>
                  <w:vMerge w:val="continue"/>
                  <w:tcBorders>
                    <w:tl2br w:val="nil"/>
                    <w:tr2bl w:val="nil"/>
                  </w:tcBorders>
                  <w:vAlign w:val="center"/>
                </w:tcPr>
                <w:p w14:paraId="5ECD86A5">
                  <w:pPr>
                    <w:adjustRightInd w:val="0"/>
                    <w:snapToGrid w:val="0"/>
                    <w:spacing w:line="240" w:lineRule="auto"/>
                    <w:jc w:val="center"/>
                    <w:rPr>
                      <w:color w:val="FF0000"/>
                      <w:szCs w:val="21"/>
                    </w:rPr>
                  </w:pPr>
                </w:p>
              </w:tc>
              <w:tc>
                <w:tcPr>
                  <w:tcW w:w="266" w:type="pct"/>
                  <w:tcBorders>
                    <w:tl2br w:val="nil"/>
                    <w:tr2bl w:val="nil"/>
                  </w:tcBorders>
                  <w:vAlign w:val="center"/>
                </w:tcPr>
                <w:p w14:paraId="0DB34B4D">
                  <w:pPr>
                    <w:adjustRightInd w:val="0"/>
                    <w:snapToGrid w:val="0"/>
                    <w:spacing w:line="240" w:lineRule="auto"/>
                    <w:jc w:val="center"/>
                    <w:rPr>
                      <w:color w:val="FF0000"/>
                      <w:szCs w:val="21"/>
                    </w:rPr>
                  </w:pPr>
                  <w:r>
                    <w:rPr>
                      <w:rFonts w:hint="eastAsia"/>
                      <w:color w:val="FF0000"/>
                      <w:szCs w:val="21"/>
                    </w:rPr>
                    <w:t>西南</w:t>
                  </w:r>
                </w:p>
              </w:tc>
              <w:tc>
                <w:tcPr>
                  <w:tcW w:w="336" w:type="pct"/>
                  <w:tcBorders>
                    <w:tl2br w:val="nil"/>
                    <w:tr2bl w:val="nil"/>
                  </w:tcBorders>
                  <w:vAlign w:val="center"/>
                </w:tcPr>
                <w:p w14:paraId="325C76E8">
                  <w:pPr>
                    <w:adjustRightInd w:val="0"/>
                    <w:snapToGrid w:val="0"/>
                    <w:spacing w:line="240" w:lineRule="auto"/>
                    <w:jc w:val="center"/>
                    <w:rPr>
                      <w:color w:val="FF0000"/>
                      <w:szCs w:val="21"/>
                    </w:rPr>
                  </w:pPr>
                  <w:r>
                    <w:rPr>
                      <w:rFonts w:hint="eastAsia"/>
                      <w:color w:val="FF0000"/>
                      <w:szCs w:val="21"/>
                    </w:rPr>
                    <w:t>340</w:t>
                  </w:r>
                </w:p>
              </w:tc>
            </w:tr>
            <w:tr w14:paraId="1949EC48">
              <w:tblPrEx>
                <w:tblBorders>
                  <w:top w:val="double" w:color="000000" w:sz="4" w:space="0"/>
                  <w:left w:val="none" w:color="auto" w:sz="0" w:space="0"/>
                  <w:bottom w:val="double" w:color="000000" w:sz="4" w:space="0"/>
                  <w:right w:val="none" w:color="auto" w:sz="0" w:space="0"/>
                  <w:insideH w:val="single" w:color="000000" w:sz="2" w:space="0"/>
                  <w:insideV w:val="single" w:color="000000" w:sz="2" w:space="0"/>
                </w:tblBorders>
                <w:tblCellMar>
                  <w:top w:w="0" w:type="dxa"/>
                  <w:left w:w="108" w:type="dxa"/>
                  <w:bottom w:w="0" w:type="dxa"/>
                  <w:right w:w="108" w:type="dxa"/>
                </w:tblCellMar>
              </w:tblPrEx>
              <w:trPr>
                <w:trHeight w:val="23" w:hRule="atLeast"/>
                <w:jc w:val="center"/>
              </w:trPr>
              <w:tc>
                <w:tcPr>
                  <w:tcW w:w="728" w:type="pct"/>
                  <w:gridSpan w:val="2"/>
                  <w:tcBorders>
                    <w:tl2br w:val="nil"/>
                    <w:tr2bl w:val="nil"/>
                  </w:tcBorders>
                  <w:vAlign w:val="center"/>
                </w:tcPr>
                <w:p w14:paraId="60C58E42">
                  <w:pPr>
                    <w:adjustRightInd w:val="0"/>
                    <w:snapToGrid w:val="0"/>
                    <w:spacing w:line="240" w:lineRule="auto"/>
                    <w:jc w:val="center"/>
                    <w:rPr>
                      <w:szCs w:val="21"/>
                    </w:rPr>
                  </w:pPr>
                  <w:r>
                    <w:rPr>
                      <w:szCs w:val="21"/>
                    </w:rPr>
                    <w:t>声环境</w:t>
                  </w:r>
                </w:p>
              </w:tc>
              <w:tc>
                <w:tcPr>
                  <w:tcW w:w="4271" w:type="pct"/>
                  <w:gridSpan w:val="8"/>
                  <w:tcBorders>
                    <w:tl2br w:val="nil"/>
                    <w:tr2bl w:val="nil"/>
                  </w:tcBorders>
                  <w:vAlign w:val="center"/>
                </w:tcPr>
                <w:p w14:paraId="15EF52D8">
                  <w:pPr>
                    <w:adjustRightInd w:val="0"/>
                    <w:snapToGrid w:val="0"/>
                    <w:spacing w:line="240" w:lineRule="auto"/>
                    <w:jc w:val="center"/>
                    <w:rPr>
                      <w:szCs w:val="21"/>
                    </w:rPr>
                  </w:pPr>
                  <w:r>
                    <w:rPr>
                      <w:szCs w:val="21"/>
                    </w:rPr>
                    <w:t>厂界外50m范围内无声环境保护目标</w:t>
                  </w:r>
                </w:p>
              </w:tc>
            </w:tr>
            <w:tr w14:paraId="40163EAA">
              <w:tblPrEx>
                <w:tblBorders>
                  <w:top w:val="double" w:color="000000" w:sz="4" w:space="0"/>
                  <w:left w:val="none" w:color="auto" w:sz="0" w:space="0"/>
                  <w:bottom w:val="double" w:color="000000" w:sz="4" w:space="0"/>
                  <w:right w:val="none" w:color="auto" w:sz="0" w:space="0"/>
                  <w:insideH w:val="single" w:color="000000" w:sz="2" w:space="0"/>
                  <w:insideV w:val="single" w:color="000000" w:sz="2" w:space="0"/>
                </w:tblBorders>
                <w:tblCellMar>
                  <w:top w:w="0" w:type="dxa"/>
                  <w:left w:w="108" w:type="dxa"/>
                  <w:bottom w:w="0" w:type="dxa"/>
                  <w:right w:w="108" w:type="dxa"/>
                </w:tblCellMar>
              </w:tblPrEx>
              <w:trPr>
                <w:trHeight w:val="23" w:hRule="atLeast"/>
                <w:jc w:val="center"/>
              </w:trPr>
              <w:tc>
                <w:tcPr>
                  <w:tcW w:w="728" w:type="pct"/>
                  <w:gridSpan w:val="2"/>
                  <w:tcBorders>
                    <w:tl2br w:val="nil"/>
                    <w:tr2bl w:val="nil"/>
                  </w:tcBorders>
                  <w:vAlign w:val="center"/>
                </w:tcPr>
                <w:p w14:paraId="3115AE63">
                  <w:pPr>
                    <w:adjustRightInd w:val="0"/>
                    <w:snapToGrid w:val="0"/>
                    <w:spacing w:line="240" w:lineRule="auto"/>
                    <w:jc w:val="center"/>
                    <w:rPr>
                      <w:rFonts w:hint="default" w:eastAsia="宋体"/>
                      <w:color w:val="FF0000"/>
                      <w:szCs w:val="21"/>
                      <w:lang w:val="en-US" w:eastAsia="zh-CN"/>
                    </w:rPr>
                  </w:pPr>
                  <w:r>
                    <w:rPr>
                      <w:rFonts w:hint="eastAsia"/>
                      <w:color w:val="FF0000"/>
                      <w:szCs w:val="21"/>
                      <w:lang w:val="en-US" w:eastAsia="zh-CN"/>
                    </w:rPr>
                    <w:t>土壤环境</w:t>
                  </w:r>
                </w:p>
              </w:tc>
              <w:tc>
                <w:tcPr>
                  <w:tcW w:w="4271" w:type="pct"/>
                  <w:gridSpan w:val="8"/>
                  <w:tcBorders>
                    <w:tl2br w:val="nil"/>
                    <w:tr2bl w:val="nil"/>
                  </w:tcBorders>
                  <w:vAlign w:val="center"/>
                </w:tcPr>
                <w:p w14:paraId="148E03A1">
                  <w:pPr>
                    <w:adjustRightInd w:val="0"/>
                    <w:snapToGrid w:val="0"/>
                    <w:spacing w:line="240" w:lineRule="auto"/>
                    <w:jc w:val="center"/>
                    <w:rPr>
                      <w:color w:val="FF0000"/>
                      <w:szCs w:val="21"/>
                    </w:rPr>
                  </w:pPr>
                  <w:r>
                    <w:rPr>
                      <w:rFonts w:hint="default"/>
                      <w:color w:val="FF0000"/>
                      <w:szCs w:val="21"/>
                      <w:lang w:val="en-US" w:eastAsia="zh-CN"/>
                    </w:rPr>
                    <w:t>厂界外50m范围内</w:t>
                  </w:r>
                  <w:r>
                    <w:rPr>
                      <w:rFonts w:hint="eastAsia"/>
                      <w:color w:val="FF0000"/>
                      <w:szCs w:val="21"/>
                      <w:lang w:val="en-US" w:eastAsia="zh-CN"/>
                    </w:rPr>
                    <w:t>无耕地等保护目标</w:t>
                  </w:r>
                </w:p>
              </w:tc>
            </w:tr>
            <w:tr w14:paraId="77E5E387">
              <w:tblPrEx>
                <w:tblBorders>
                  <w:top w:val="double" w:color="000000" w:sz="4" w:space="0"/>
                  <w:left w:val="none" w:color="auto" w:sz="0" w:space="0"/>
                  <w:bottom w:val="double" w:color="000000" w:sz="4" w:space="0"/>
                  <w:right w:val="none" w:color="auto" w:sz="0" w:space="0"/>
                  <w:insideH w:val="single" w:color="000000" w:sz="2" w:space="0"/>
                  <w:insideV w:val="single" w:color="000000" w:sz="2" w:space="0"/>
                </w:tblBorders>
                <w:tblCellMar>
                  <w:top w:w="0" w:type="dxa"/>
                  <w:left w:w="108" w:type="dxa"/>
                  <w:bottom w:w="0" w:type="dxa"/>
                  <w:right w:w="108" w:type="dxa"/>
                </w:tblCellMar>
              </w:tblPrEx>
              <w:trPr>
                <w:trHeight w:val="23" w:hRule="atLeast"/>
                <w:jc w:val="center"/>
              </w:trPr>
              <w:tc>
                <w:tcPr>
                  <w:tcW w:w="728" w:type="pct"/>
                  <w:gridSpan w:val="2"/>
                  <w:tcBorders>
                    <w:tl2br w:val="nil"/>
                    <w:tr2bl w:val="nil"/>
                  </w:tcBorders>
                  <w:vAlign w:val="center"/>
                </w:tcPr>
                <w:p w14:paraId="43FA4865">
                  <w:pPr>
                    <w:adjustRightInd w:val="0"/>
                    <w:snapToGrid w:val="0"/>
                    <w:spacing w:line="240" w:lineRule="auto"/>
                    <w:jc w:val="center"/>
                    <w:rPr>
                      <w:szCs w:val="21"/>
                    </w:rPr>
                  </w:pPr>
                  <w:r>
                    <w:rPr>
                      <w:rFonts w:hint="eastAsia"/>
                      <w:szCs w:val="21"/>
                    </w:rPr>
                    <w:t>生态环境</w:t>
                  </w:r>
                </w:p>
              </w:tc>
              <w:tc>
                <w:tcPr>
                  <w:tcW w:w="4271" w:type="pct"/>
                  <w:gridSpan w:val="8"/>
                  <w:tcBorders>
                    <w:tl2br w:val="nil"/>
                    <w:tr2bl w:val="nil"/>
                  </w:tcBorders>
                  <w:vAlign w:val="center"/>
                </w:tcPr>
                <w:p w14:paraId="73B8140B">
                  <w:pPr>
                    <w:adjustRightInd w:val="0"/>
                    <w:snapToGrid w:val="0"/>
                    <w:spacing w:line="240" w:lineRule="auto"/>
                    <w:jc w:val="center"/>
                    <w:rPr>
                      <w:szCs w:val="21"/>
                    </w:rPr>
                  </w:pPr>
                  <w:r>
                    <w:rPr>
                      <w:szCs w:val="21"/>
                    </w:rPr>
                    <w:t>项目厂界用地内无生态环境保护目标</w:t>
                  </w:r>
                </w:p>
              </w:tc>
            </w:tr>
          </w:tbl>
          <w:p w14:paraId="4956A3DC">
            <w:pPr>
              <w:adjustRightInd w:val="0"/>
              <w:snapToGrid w:val="0"/>
              <w:ind w:firstLine="480" w:firstLineChars="200"/>
              <w:rPr>
                <w:color w:val="000000" w:themeColor="text1"/>
                <w:sz w:val="24"/>
                <w:szCs w:val="32"/>
                <w14:textFill>
                  <w14:solidFill>
                    <w14:schemeClr w14:val="tx1"/>
                  </w14:solidFill>
                </w14:textFill>
              </w:rPr>
            </w:pPr>
          </w:p>
        </w:tc>
      </w:tr>
      <w:tr w14:paraId="3363284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772" w:hRule="atLeast"/>
          <w:jc w:val="center"/>
        </w:trPr>
        <w:tc>
          <w:tcPr>
            <w:tcW w:w="800" w:type="dxa"/>
            <w:tcMar>
              <w:left w:w="28" w:type="dxa"/>
              <w:right w:w="28" w:type="dxa"/>
            </w:tcMar>
            <w:vAlign w:val="center"/>
          </w:tcPr>
          <w:p w14:paraId="6FB37833">
            <w:pPr>
              <w:adjustRightInd w:val="0"/>
              <w:snapToGrid w:val="0"/>
              <w:jc w:val="center"/>
              <w:rPr>
                <w:rFonts w:hint="eastAsia" w:ascii="宋体" w:hAnsi="宋体" w:cs="宋体"/>
                <w:color w:val="000000" w:themeColor="text1"/>
                <w:kern w:val="0"/>
                <w:szCs w:val="21"/>
                <w14:textFill>
                  <w14:solidFill>
                    <w14:schemeClr w14:val="tx1"/>
                  </w14:solidFill>
                </w14:textFill>
              </w:rPr>
            </w:pPr>
            <w:r>
              <w:rPr>
                <w:rFonts w:hint="eastAsia" w:ascii="宋体" w:hAnsi="宋体" w:cs="宋体"/>
                <w:color w:val="000000" w:themeColor="text1"/>
                <w:kern w:val="0"/>
                <w:szCs w:val="21"/>
                <w14:textFill>
                  <w14:solidFill>
                    <w14:schemeClr w14:val="tx1"/>
                  </w14:solidFill>
                </w14:textFill>
              </w:rPr>
              <w:t>污染</w:t>
            </w:r>
          </w:p>
          <w:p w14:paraId="531731CA">
            <w:pPr>
              <w:adjustRightInd w:val="0"/>
              <w:snapToGrid w:val="0"/>
              <w:jc w:val="center"/>
              <w:rPr>
                <w:rFonts w:hint="eastAsia" w:ascii="宋体" w:hAnsi="宋体" w:cs="宋体"/>
                <w:color w:val="000000" w:themeColor="text1"/>
                <w:kern w:val="0"/>
                <w:szCs w:val="21"/>
                <w14:textFill>
                  <w14:solidFill>
                    <w14:schemeClr w14:val="tx1"/>
                  </w14:solidFill>
                </w14:textFill>
              </w:rPr>
            </w:pPr>
            <w:r>
              <w:rPr>
                <w:rFonts w:hint="eastAsia" w:ascii="宋体" w:hAnsi="宋体" w:cs="宋体"/>
                <w:color w:val="000000" w:themeColor="text1"/>
                <w:kern w:val="0"/>
                <w:szCs w:val="21"/>
                <w14:textFill>
                  <w14:solidFill>
                    <w14:schemeClr w14:val="tx1"/>
                  </w14:solidFill>
                </w14:textFill>
              </w:rPr>
              <w:t>物排</w:t>
            </w:r>
          </w:p>
          <w:p w14:paraId="3BDDF690">
            <w:pPr>
              <w:adjustRightInd w:val="0"/>
              <w:snapToGrid w:val="0"/>
              <w:jc w:val="center"/>
              <w:rPr>
                <w:rFonts w:hint="eastAsia" w:ascii="宋体" w:hAnsi="宋体" w:cs="宋体"/>
                <w:color w:val="000000" w:themeColor="text1"/>
                <w:kern w:val="0"/>
                <w:szCs w:val="21"/>
                <w14:textFill>
                  <w14:solidFill>
                    <w14:schemeClr w14:val="tx1"/>
                  </w14:solidFill>
                </w14:textFill>
              </w:rPr>
            </w:pPr>
            <w:r>
              <w:rPr>
                <w:rFonts w:hint="eastAsia" w:ascii="宋体" w:hAnsi="宋体" w:cs="宋体"/>
                <w:color w:val="000000" w:themeColor="text1"/>
                <w:kern w:val="0"/>
                <w:szCs w:val="21"/>
                <w14:textFill>
                  <w14:solidFill>
                    <w14:schemeClr w14:val="tx1"/>
                  </w14:solidFill>
                </w14:textFill>
              </w:rPr>
              <w:t>放控</w:t>
            </w:r>
          </w:p>
          <w:p w14:paraId="4D48C688">
            <w:pPr>
              <w:adjustRightInd w:val="0"/>
              <w:snapToGrid w:val="0"/>
              <w:jc w:val="center"/>
              <w:rPr>
                <w:rFonts w:hint="eastAsia" w:ascii="宋体" w:hAnsi="宋体" w:cs="宋体"/>
                <w:color w:val="000000" w:themeColor="text1"/>
                <w:kern w:val="0"/>
                <w:szCs w:val="21"/>
                <w14:textFill>
                  <w14:solidFill>
                    <w14:schemeClr w14:val="tx1"/>
                  </w14:solidFill>
                </w14:textFill>
              </w:rPr>
            </w:pPr>
            <w:r>
              <w:rPr>
                <w:rFonts w:hint="eastAsia" w:ascii="宋体" w:hAnsi="宋体" w:cs="宋体"/>
                <w:color w:val="000000" w:themeColor="text1"/>
                <w:kern w:val="0"/>
                <w:szCs w:val="21"/>
                <w14:textFill>
                  <w14:solidFill>
                    <w14:schemeClr w14:val="tx1"/>
                  </w14:solidFill>
                </w14:textFill>
              </w:rPr>
              <w:t>制标</w:t>
            </w:r>
          </w:p>
          <w:p w14:paraId="7BF52F89">
            <w:pPr>
              <w:adjustRightInd w:val="0"/>
              <w:snapToGrid w:val="0"/>
              <w:jc w:val="center"/>
              <w:rPr>
                <w:rFonts w:hint="eastAsia" w:ascii="宋体" w:hAnsi="宋体" w:cs="宋体"/>
                <w:color w:val="000000" w:themeColor="text1"/>
                <w:kern w:val="0"/>
                <w:szCs w:val="21"/>
                <w14:textFill>
                  <w14:solidFill>
                    <w14:schemeClr w14:val="tx1"/>
                  </w14:solidFill>
                </w14:textFill>
              </w:rPr>
            </w:pPr>
            <w:r>
              <w:rPr>
                <w:rFonts w:hint="eastAsia" w:ascii="宋体" w:hAnsi="宋体" w:cs="宋体"/>
                <w:color w:val="000000" w:themeColor="text1"/>
                <w:kern w:val="0"/>
                <w:szCs w:val="21"/>
                <w14:textFill>
                  <w14:solidFill>
                    <w14:schemeClr w14:val="tx1"/>
                  </w14:solidFill>
                </w14:textFill>
              </w:rPr>
              <w:t>准</w:t>
            </w:r>
          </w:p>
        </w:tc>
        <w:tc>
          <w:tcPr>
            <w:tcW w:w="8190" w:type="dxa"/>
            <w:vAlign w:val="center"/>
          </w:tcPr>
          <w:p w14:paraId="082D9CB3">
            <w:pPr>
              <w:pStyle w:val="84"/>
              <w:spacing w:line="360" w:lineRule="auto"/>
              <w:ind w:firstLine="482"/>
              <w:rPr>
                <w:b/>
                <w:color w:val="000000" w:themeColor="text1"/>
                <w14:textFill>
                  <w14:solidFill>
                    <w14:schemeClr w14:val="tx1"/>
                  </w14:solidFill>
                </w14:textFill>
              </w:rPr>
            </w:pPr>
            <w:r>
              <w:rPr>
                <w:rFonts w:hint="eastAsia"/>
                <w:b/>
                <w:color w:val="000000" w:themeColor="text1"/>
                <w14:textFill>
                  <w14:solidFill>
                    <w14:schemeClr w14:val="tx1"/>
                  </w14:solidFill>
                </w14:textFill>
              </w:rPr>
              <w:t>1.施工期：</w:t>
            </w:r>
          </w:p>
          <w:p w14:paraId="58E1314E">
            <w:pPr>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（1）施工期大气污染物</w:t>
            </w:r>
          </w:p>
          <w:p w14:paraId="522D529B">
            <w:pPr>
              <w:pStyle w:val="124"/>
              <w:spacing w:line="360" w:lineRule="auto"/>
              <w:rPr>
                <w:color w:val="000000" w:themeColor="text1"/>
                <w:sz w:val="24"/>
                <w14:textFill>
                  <w14:solidFill>
                    <w14:schemeClr w14:val="tx1"/>
                  </w14:solidFill>
                </w14:textFill>
              </w:rPr>
            </w:pPr>
            <w:r>
              <w:rPr>
                <w:color w:val="000000" w:themeColor="text1"/>
                <w:sz w:val="24"/>
                <w14:textFill>
                  <w14:solidFill>
                    <w14:schemeClr w14:val="tx1"/>
                  </w14:solidFill>
                </w14:textFill>
              </w:rPr>
              <w:t>本项目施工期扬尘执行《辽宁省施工及堆料场地扬尘排放标准》（DB21/2642-2016）中表1郊区及农村地区标准要求，详见表</w:t>
            </w:r>
            <w:r>
              <w:rPr>
                <w:rFonts w:hint="eastAsia"/>
                <w:color w:val="000000" w:themeColor="text1"/>
                <w:sz w:val="24"/>
                <w14:textFill>
                  <w14:solidFill>
                    <w14:schemeClr w14:val="tx1"/>
                  </w14:solidFill>
                </w14:textFill>
              </w:rPr>
              <w:t>3-1</w:t>
            </w:r>
            <w:r>
              <w:rPr>
                <w:rFonts w:hint="eastAsia"/>
                <w:color w:val="000000" w:themeColor="text1"/>
                <w:sz w:val="24"/>
                <w:lang w:val="en-US" w:eastAsia="zh-CN"/>
                <w14:textFill>
                  <w14:solidFill>
                    <w14:schemeClr w14:val="tx1"/>
                  </w14:solidFill>
                </w14:textFill>
              </w:rPr>
              <w:t>2</w:t>
            </w:r>
            <w:r>
              <w:rPr>
                <w:color w:val="000000" w:themeColor="text1"/>
                <w:sz w:val="24"/>
                <w14:textFill>
                  <w14:solidFill>
                    <w14:schemeClr w14:val="tx1"/>
                  </w14:solidFill>
                </w14:textFill>
              </w:rPr>
              <w:t>。</w:t>
            </w:r>
          </w:p>
          <w:p w14:paraId="2FC6D2E9">
            <w:pPr>
              <w:tabs>
                <w:tab w:val="left" w:pos="7892"/>
              </w:tabs>
              <w:adjustRightInd w:val="0"/>
              <w:snapToGrid w:val="0"/>
              <w:spacing w:before="120" w:beforeLines="50"/>
              <w:jc w:val="center"/>
              <w:rPr>
                <w:b/>
                <w:color w:val="000000" w:themeColor="text1"/>
                <w:szCs w:val="21"/>
                <w14:textFill>
                  <w14:solidFill>
                    <w14:schemeClr w14:val="tx1"/>
                  </w14:solidFill>
                </w14:textFill>
              </w:rPr>
            </w:pPr>
            <w:bookmarkStart w:id="9" w:name="_Ref485730096"/>
            <w:r>
              <w:rPr>
                <w:b/>
                <w:color w:val="000000" w:themeColor="text1"/>
                <w:szCs w:val="21"/>
                <w14:textFill>
                  <w14:solidFill>
                    <w14:schemeClr w14:val="tx1"/>
                  </w14:solidFill>
                </w14:textFill>
              </w:rPr>
              <w:t>表</w:t>
            </w:r>
            <w:bookmarkEnd w:id="9"/>
            <w:r>
              <w:rPr>
                <w:rFonts w:hint="eastAsia"/>
                <w:b/>
                <w:color w:val="000000" w:themeColor="text1"/>
                <w:szCs w:val="21"/>
                <w14:textFill>
                  <w14:solidFill>
                    <w14:schemeClr w14:val="tx1"/>
                  </w14:solidFill>
                </w14:textFill>
              </w:rPr>
              <w:t>3-1</w:t>
            </w:r>
            <w:r>
              <w:rPr>
                <w:rFonts w:hint="eastAsia"/>
                <w:b/>
                <w:color w:val="000000" w:themeColor="text1"/>
                <w:szCs w:val="21"/>
                <w:lang w:val="en-US" w:eastAsia="zh-CN"/>
                <w14:textFill>
                  <w14:solidFill>
                    <w14:schemeClr w14:val="tx1"/>
                  </w14:solidFill>
                </w14:textFill>
              </w:rPr>
              <w:t>2</w:t>
            </w:r>
            <w:r>
              <w:rPr>
                <w:b/>
                <w:color w:val="000000" w:themeColor="text1"/>
                <w:szCs w:val="21"/>
                <w14:textFill>
                  <w14:solidFill>
                    <w14:schemeClr w14:val="tx1"/>
                  </w14:solidFill>
                </w14:textFill>
              </w:rPr>
              <w:t xml:space="preserve">   辽宁省施工及堆料场地扬尘排放标准</w:t>
            </w:r>
          </w:p>
          <w:tbl>
            <w:tblPr>
              <w:tblStyle w:val="34"/>
              <w:tblW w:w="4999" w:type="pct"/>
              <w:jc w:val="center"/>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543"/>
              <w:gridCol w:w="2067"/>
              <w:gridCol w:w="3373"/>
            </w:tblGrid>
            <w:tr w14:paraId="2A95A43F">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592" w:type="pct"/>
                  <w:vAlign w:val="center"/>
                </w:tcPr>
                <w:p w14:paraId="7995FCDF">
                  <w:pPr>
                    <w:pStyle w:val="125"/>
                    <w:rPr>
                      <w:color w:val="000000" w:themeColor="text1"/>
                      <w14:textFill>
                        <w14:solidFill>
                          <w14:schemeClr w14:val="tx1"/>
                        </w14:solidFill>
                      </w14:textFill>
                    </w:rPr>
                  </w:pPr>
                  <w:r>
                    <w:rPr>
                      <w:color w:val="000000" w:themeColor="text1"/>
                      <w14:textFill>
                        <w14:solidFill>
                          <w14:schemeClr w14:val="tx1"/>
                        </w14:solidFill>
                      </w14:textFill>
                    </w:rPr>
                    <w:t>监测项目</w:t>
                  </w:r>
                </w:p>
              </w:tc>
              <w:tc>
                <w:tcPr>
                  <w:tcW w:w="1294" w:type="pct"/>
                  <w:vAlign w:val="center"/>
                </w:tcPr>
                <w:p w14:paraId="0A12FB1D">
                  <w:pPr>
                    <w:pStyle w:val="125"/>
                    <w:rPr>
                      <w:color w:val="000000" w:themeColor="text1"/>
                      <w14:textFill>
                        <w14:solidFill>
                          <w14:schemeClr w14:val="tx1"/>
                        </w14:solidFill>
                      </w14:textFill>
                    </w:rPr>
                  </w:pPr>
                  <w:r>
                    <w:rPr>
                      <w:color w:val="000000" w:themeColor="text1"/>
                      <w14:textFill>
                        <w14:solidFill>
                          <w14:schemeClr w14:val="tx1"/>
                        </w14:solidFill>
                      </w14:textFill>
                    </w:rPr>
                    <w:t>区域</w:t>
                  </w:r>
                </w:p>
              </w:tc>
              <w:tc>
                <w:tcPr>
                  <w:tcW w:w="2112" w:type="pct"/>
                  <w:vAlign w:val="center"/>
                </w:tcPr>
                <w:p w14:paraId="15384401">
                  <w:pPr>
                    <w:pStyle w:val="125"/>
                    <w:rPr>
                      <w:color w:val="000000" w:themeColor="text1"/>
                      <w14:textFill>
                        <w14:solidFill>
                          <w14:schemeClr w14:val="tx1"/>
                        </w14:solidFill>
                      </w14:textFill>
                    </w:rPr>
                  </w:pPr>
                  <w:r>
                    <w:rPr>
                      <w:color w:val="000000" w:themeColor="text1"/>
                      <w14:textFill>
                        <w14:solidFill>
                          <w14:schemeClr w14:val="tx1"/>
                        </w14:solidFill>
                      </w14:textFill>
                    </w:rPr>
                    <w:t>浓度限制（连续5min平均浓度）</w:t>
                  </w:r>
                </w:p>
              </w:tc>
            </w:tr>
            <w:tr w14:paraId="1CBA278F">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592" w:type="pct"/>
                  <w:vAlign w:val="center"/>
                </w:tcPr>
                <w:p w14:paraId="49CABC1C">
                  <w:pPr>
                    <w:pStyle w:val="125"/>
                    <w:rPr>
                      <w:color w:val="FF0000"/>
                    </w:rPr>
                  </w:pPr>
                  <w:r>
                    <w:rPr>
                      <w:color w:val="FF0000"/>
                    </w:rPr>
                    <w:t>颗粒物（TSP）</w:t>
                  </w:r>
                </w:p>
              </w:tc>
              <w:tc>
                <w:tcPr>
                  <w:tcW w:w="1294" w:type="pct"/>
                  <w:vAlign w:val="center"/>
                </w:tcPr>
                <w:p w14:paraId="019F52FF">
                  <w:pPr>
                    <w:pStyle w:val="125"/>
                    <w:rPr>
                      <w:color w:val="FF0000"/>
                    </w:rPr>
                  </w:pPr>
                  <w:r>
                    <w:rPr>
                      <w:color w:val="FF0000"/>
                    </w:rPr>
                    <w:t>城镇建成区</w:t>
                  </w:r>
                </w:p>
              </w:tc>
              <w:tc>
                <w:tcPr>
                  <w:tcW w:w="2112" w:type="pct"/>
                  <w:vAlign w:val="center"/>
                </w:tcPr>
                <w:p w14:paraId="583FA56D">
                  <w:pPr>
                    <w:pStyle w:val="125"/>
                    <w:rPr>
                      <w:color w:val="FF0000"/>
                    </w:rPr>
                  </w:pPr>
                  <w:r>
                    <w:rPr>
                      <w:rFonts w:hint="eastAsia"/>
                      <w:color w:val="FF0000"/>
                      <w:lang w:val="en-US" w:eastAsia="zh-CN"/>
                    </w:rPr>
                    <w:t xml:space="preserve">0.8 </w:t>
                  </w:r>
                  <w:r>
                    <w:rPr>
                      <w:color w:val="FF0000"/>
                    </w:rPr>
                    <w:t>mg/m</w:t>
                  </w:r>
                  <w:r>
                    <w:rPr>
                      <w:color w:val="FF0000"/>
                      <w:vertAlign w:val="superscript"/>
                    </w:rPr>
                    <w:t>3</w:t>
                  </w:r>
                </w:p>
              </w:tc>
            </w:tr>
          </w:tbl>
          <w:p w14:paraId="2C8C598A">
            <w:pPr>
              <w:pStyle w:val="84"/>
              <w:spacing w:line="360" w:lineRule="auto"/>
              <w:ind w:firstLine="482"/>
              <w:rPr>
                <w:color w:val="000000" w:themeColor="text1"/>
                <w14:textFill>
                  <w14:solidFill>
                    <w14:schemeClr w14:val="tx1"/>
                  </w14:solidFill>
                </w14:textFill>
              </w:rPr>
            </w:pPr>
            <w:r>
              <w:rPr>
                <w:rFonts w:hint="eastAsia"/>
                <w:b/>
                <w:color w:val="000000" w:themeColor="text1"/>
                <w14:textFill>
                  <w14:solidFill>
                    <w14:schemeClr w14:val="tx1"/>
                  </w14:solidFill>
                </w14:textFill>
              </w:rPr>
              <w:t>2.运营期：</w:t>
            </w:r>
          </w:p>
          <w:p w14:paraId="1F53CCA4">
            <w:pPr>
              <w:adjustRightInd w:val="0"/>
              <w:snapToGrid w:val="0"/>
              <w:spacing w:line="360" w:lineRule="auto"/>
              <w:ind w:firstLine="480" w:firstLineChars="200"/>
              <w:rPr>
                <w:color w:val="000000" w:themeColor="text1"/>
                <w:sz w:val="24"/>
                <w:szCs w:val="32"/>
                <w14:textFill>
                  <w14:solidFill>
                    <w14:schemeClr w14:val="tx1"/>
                  </w14:solidFill>
                </w14:textFill>
              </w:rPr>
            </w:pPr>
            <w:r>
              <w:rPr>
                <w:rFonts w:hint="eastAsia"/>
                <w:color w:val="000000" w:themeColor="text1"/>
                <w:sz w:val="24"/>
                <w:szCs w:val="32"/>
                <w14:textFill>
                  <w14:solidFill>
                    <w14:schemeClr w14:val="tx1"/>
                  </w14:solidFill>
                </w14:textFill>
              </w:rPr>
              <w:t>（1）废气排放标准</w:t>
            </w:r>
          </w:p>
          <w:p w14:paraId="6CDE6A52">
            <w:pPr>
              <w:adjustRightInd w:val="0"/>
              <w:snapToGrid w:val="0"/>
              <w:spacing w:line="360" w:lineRule="auto"/>
              <w:ind w:right="-96" w:firstLine="480" w:firstLineChars="200"/>
              <w:rPr>
                <w:bCs/>
                <w:color w:val="000000"/>
                <w:sz w:val="24"/>
              </w:rPr>
            </w:pPr>
            <w:r>
              <w:rPr>
                <w:bCs/>
                <w:color w:val="000000"/>
                <w:sz w:val="24"/>
              </w:rPr>
              <w:t>本项目营运期废气主要为废油液收集废气（G1）、制冷剂收集废气（G2）、废钢破碎粉尘（G3）</w:t>
            </w:r>
            <w:r>
              <w:rPr>
                <w:rFonts w:hint="eastAsia"/>
                <w:bCs/>
                <w:color w:val="000000"/>
                <w:sz w:val="24"/>
              </w:rPr>
              <w:t>、</w:t>
            </w:r>
            <w:r>
              <w:rPr>
                <w:bCs/>
                <w:color w:val="000000"/>
                <w:sz w:val="24"/>
              </w:rPr>
              <w:t>废钢打包粉尘（G4）</w:t>
            </w:r>
            <w:r>
              <w:rPr>
                <w:rFonts w:hint="eastAsia"/>
                <w:bCs/>
                <w:color w:val="000000"/>
                <w:sz w:val="24"/>
              </w:rPr>
              <w:t>、</w:t>
            </w:r>
            <w:r>
              <w:rPr>
                <w:bCs/>
                <w:color w:val="000000"/>
                <w:sz w:val="24"/>
              </w:rPr>
              <w:t>废橡胶破碎粉尘（G5）</w:t>
            </w:r>
            <w:r>
              <w:rPr>
                <w:rFonts w:hint="eastAsia"/>
                <w:bCs/>
                <w:color w:val="000000"/>
                <w:sz w:val="24"/>
                <w:lang w:eastAsia="zh-CN"/>
              </w:rPr>
              <w:t>、</w:t>
            </w:r>
            <w:r>
              <w:rPr>
                <w:rFonts w:hint="eastAsia"/>
                <w:bCs/>
                <w:color w:val="000000"/>
                <w:sz w:val="24"/>
                <w:lang w:val="en-US" w:eastAsia="zh-CN"/>
              </w:rPr>
              <w:t>污水处理站恶臭（G6）</w:t>
            </w:r>
            <w:r>
              <w:rPr>
                <w:bCs/>
                <w:color w:val="000000"/>
                <w:sz w:val="24"/>
              </w:rPr>
              <w:t>。</w:t>
            </w:r>
          </w:p>
          <w:p w14:paraId="2A69E555">
            <w:pPr>
              <w:pStyle w:val="63"/>
              <w:spacing w:after="0" w:line="360" w:lineRule="auto"/>
              <w:ind w:left="0" w:leftChars="0" w:firstLine="482"/>
              <w:rPr>
                <w:rFonts w:hint="eastAsia"/>
                <w:color w:val="000000"/>
                <w:sz w:val="24"/>
                <w:lang w:eastAsia="zh-CN"/>
              </w:rPr>
            </w:pPr>
            <w:r>
              <w:rPr>
                <w:bCs/>
                <w:color w:val="000000"/>
                <w:sz w:val="24"/>
              </w:rPr>
              <w:t>废钢破碎粉尘（G3）</w:t>
            </w:r>
            <w:r>
              <w:rPr>
                <w:rFonts w:hint="eastAsia"/>
                <w:bCs/>
                <w:color w:val="000000"/>
                <w:sz w:val="24"/>
              </w:rPr>
              <w:t>、</w:t>
            </w:r>
            <w:r>
              <w:rPr>
                <w:bCs/>
                <w:color w:val="000000"/>
                <w:sz w:val="24"/>
              </w:rPr>
              <w:t>废钢打包粉尘（G4）</w:t>
            </w:r>
            <w:r>
              <w:rPr>
                <w:rFonts w:hint="eastAsia"/>
                <w:bCs/>
                <w:color w:val="000000"/>
                <w:sz w:val="24"/>
              </w:rPr>
              <w:t>、</w:t>
            </w:r>
            <w:r>
              <w:rPr>
                <w:bCs/>
                <w:color w:val="000000"/>
                <w:sz w:val="24"/>
              </w:rPr>
              <w:t>废橡胶破碎粉尘（G5）</w:t>
            </w:r>
            <w:r>
              <w:rPr>
                <w:color w:val="000000"/>
                <w:sz w:val="24"/>
              </w:rPr>
              <w:t>中颗粒</w:t>
            </w:r>
            <w:r>
              <w:rPr>
                <w:rFonts w:hint="eastAsia"/>
                <w:color w:val="000000"/>
                <w:sz w:val="24"/>
              </w:rPr>
              <w:t>和</w:t>
            </w:r>
            <w:r>
              <w:rPr>
                <w:bCs/>
                <w:color w:val="000000"/>
                <w:sz w:val="24"/>
              </w:rPr>
              <w:t>废油液收集废气（G1）、制冷剂收集废气（G2）</w:t>
            </w:r>
            <w:r>
              <w:rPr>
                <w:rFonts w:hint="eastAsia"/>
                <w:bCs/>
                <w:color w:val="000000"/>
                <w:sz w:val="24"/>
              </w:rPr>
              <w:t>中的非甲烷总烃</w:t>
            </w:r>
            <w:r>
              <w:rPr>
                <w:color w:val="000000"/>
                <w:sz w:val="24"/>
              </w:rPr>
              <w:t>有组织排放执行《大气污染物综合排放标准》（GB16297-1996）表2中二级排放要求</w:t>
            </w:r>
            <w:r>
              <w:rPr>
                <w:rFonts w:hint="eastAsia"/>
                <w:color w:val="000000"/>
                <w:sz w:val="24"/>
                <w:lang w:eastAsia="zh-CN"/>
              </w:rPr>
              <w:t>。</w:t>
            </w:r>
          </w:p>
          <w:p w14:paraId="6D271F8C">
            <w:pPr>
              <w:pStyle w:val="63"/>
              <w:spacing w:after="0" w:line="360" w:lineRule="auto"/>
              <w:ind w:left="0" w:leftChars="0" w:firstLine="482"/>
              <w:rPr>
                <w:rFonts w:hint="eastAsia"/>
                <w:color w:val="FF0000"/>
                <w:kern w:val="2"/>
                <w:lang w:val="en-US" w:eastAsia="zh-CN"/>
              </w:rPr>
            </w:pPr>
            <w:r>
              <w:rPr>
                <w:rFonts w:hint="eastAsia"/>
                <w:color w:val="FF0000"/>
                <w:kern w:val="2"/>
                <w:lang w:val="en-US" w:eastAsia="zh-CN"/>
              </w:rPr>
              <w:t>本项目</w:t>
            </w:r>
            <w:r>
              <w:rPr>
                <w:rFonts w:hint="eastAsia" w:ascii="Times New Roman" w:hAnsi="Times New Roman" w:eastAsia="宋体" w:cs="Times New Roman"/>
                <w:color w:val="FF0000"/>
                <w:szCs w:val="21"/>
                <w:lang w:val="en-US" w:eastAsia="zh-CN"/>
              </w:rPr>
              <w:t>设置2根</w:t>
            </w:r>
            <w:r>
              <w:rPr>
                <w:rFonts w:hint="eastAsia"/>
                <w:color w:val="FF0000"/>
                <w:kern w:val="2"/>
                <w:lang w:val="en-US" w:eastAsia="zh-CN"/>
              </w:rPr>
              <w:t>排气筒，根据</w:t>
            </w:r>
            <w:r>
              <w:rPr>
                <w:rFonts w:hint="eastAsia"/>
                <w:color w:val="FF0000"/>
                <w:sz w:val="24"/>
                <w:szCs w:val="24"/>
              </w:rPr>
              <w:t>《大气污染物综合排放标准》（</w:t>
            </w:r>
            <w:r>
              <w:rPr>
                <w:rFonts w:ascii="Times New Roman" w:hAnsi="Times New Roman"/>
                <w:color w:val="FF0000"/>
                <w:sz w:val="24"/>
                <w:szCs w:val="24"/>
              </w:rPr>
              <w:t>GB16297-1996</w:t>
            </w:r>
            <w:r>
              <w:rPr>
                <w:rFonts w:hint="eastAsia"/>
                <w:color w:val="FF0000"/>
                <w:sz w:val="24"/>
                <w:szCs w:val="24"/>
              </w:rPr>
              <w:t>）</w:t>
            </w:r>
            <w:r>
              <w:rPr>
                <w:rFonts w:hint="eastAsia"/>
                <w:color w:val="FF0000"/>
                <w:kern w:val="2"/>
                <w:lang w:val="en-US" w:eastAsia="zh-CN"/>
              </w:rPr>
              <w:t>，排气筒高度应高出周围200m半径范围的建筑5m以上。经调查，排气筒周围200m范围</w:t>
            </w:r>
            <w:r>
              <w:rPr>
                <w:rFonts w:hint="eastAsia"/>
                <w:color w:val="FF0000"/>
                <w:sz w:val="24"/>
              </w:rPr>
              <w:t>北票市华运汽车销售维修有限公司</w:t>
            </w:r>
            <w:r>
              <w:rPr>
                <w:rFonts w:hint="eastAsia"/>
                <w:color w:val="FF0000"/>
                <w:kern w:val="2"/>
                <w:lang w:val="en-US" w:eastAsia="zh-CN"/>
              </w:rPr>
              <w:t>办公楼高度为21m，因此本项目DA001、DA002排气筒26m可满足要求。</w:t>
            </w:r>
          </w:p>
          <w:p w14:paraId="2BA1B537">
            <w:pPr>
              <w:adjustRightInd w:val="0"/>
              <w:snapToGrid w:val="0"/>
              <w:spacing w:line="360" w:lineRule="auto"/>
              <w:ind w:firstLine="480" w:firstLineChars="200"/>
              <w:rPr>
                <w:color w:val="FF0000"/>
                <w:sz w:val="24"/>
                <w:szCs w:val="32"/>
              </w:rPr>
            </w:pPr>
            <w:r>
              <w:rPr>
                <w:color w:val="FF0000"/>
                <w:sz w:val="24"/>
                <w:szCs w:val="32"/>
              </w:rPr>
              <w:t>具体见标准限值见下表。</w:t>
            </w:r>
          </w:p>
          <w:p w14:paraId="75B1C855">
            <w:pPr>
              <w:pStyle w:val="65"/>
              <w:spacing w:before="0" w:after="0" w:line="240" w:lineRule="auto"/>
              <w:ind w:right="0"/>
              <w:rPr>
                <w:rFonts w:ascii="Times New Roman" w:eastAsia="宋体"/>
                <w:b/>
                <w:bCs/>
                <w:color w:val="FF0000"/>
                <w:sz w:val="21"/>
                <w:szCs w:val="21"/>
                <w:highlight w:val="cyan"/>
              </w:rPr>
            </w:pPr>
            <w:r>
              <w:rPr>
                <w:rFonts w:ascii="Times New Roman" w:eastAsia="宋体"/>
                <w:b/>
                <w:bCs/>
                <w:color w:val="FF0000"/>
                <w:sz w:val="21"/>
                <w:szCs w:val="21"/>
              </w:rPr>
              <w:t>表</w:t>
            </w:r>
            <w:r>
              <w:rPr>
                <w:rFonts w:hint="eastAsia" w:ascii="Times New Roman" w:eastAsia="宋体"/>
                <w:b/>
                <w:bCs/>
                <w:color w:val="FF0000"/>
                <w:sz w:val="21"/>
                <w:szCs w:val="21"/>
              </w:rPr>
              <w:t>3-1</w:t>
            </w:r>
            <w:r>
              <w:rPr>
                <w:rFonts w:hint="eastAsia" w:ascii="Times New Roman" w:eastAsia="宋体"/>
                <w:b/>
                <w:bCs/>
                <w:color w:val="FF0000"/>
                <w:sz w:val="21"/>
                <w:szCs w:val="21"/>
                <w:lang w:val="en-US" w:eastAsia="zh-CN"/>
              </w:rPr>
              <w:t>3</w:t>
            </w:r>
            <w:r>
              <w:rPr>
                <w:rFonts w:hint="eastAsia" w:ascii="Times New Roman" w:eastAsia="宋体"/>
                <w:b/>
                <w:bCs/>
                <w:color w:val="FF0000"/>
                <w:sz w:val="21"/>
                <w:szCs w:val="21"/>
              </w:rPr>
              <w:t xml:space="preserve">    </w:t>
            </w:r>
            <w:r>
              <w:rPr>
                <w:rFonts w:ascii="Times New Roman" w:eastAsia="宋体"/>
                <w:b/>
                <w:bCs/>
                <w:color w:val="FF0000"/>
                <w:sz w:val="21"/>
                <w:szCs w:val="21"/>
              </w:rPr>
              <w:t>污染物排放标准</w:t>
            </w:r>
          </w:p>
          <w:tbl>
            <w:tblPr>
              <w:tblStyle w:val="34"/>
              <w:tblW w:w="4998" w:type="pct"/>
              <w:jc w:val="center"/>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autofit"/>
              <w:tblCellMar>
                <w:top w:w="0" w:type="dxa"/>
                <w:left w:w="0" w:type="dxa"/>
                <w:bottom w:w="0" w:type="dxa"/>
                <w:right w:w="0" w:type="dxa"/>
              </w:tblCellMar>
            </w:tblPr>
            <w:tblGrid>
              <w:gridCol w:w="1393"/>
              <w:gridCol w:w="1319"/>
              <w:gridCol w:w="1862"/>
              <w:gridCol w:w="1271"/>
              <w:gridCol w:w="2137"/>
            </w:tblGrid>
            <w:tr w14:paraId="6EE26182">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284" w:hRule="atLeast"/>
                <w:jc w:val="center"/>
              </w:trPr>
              <w:tc>
                <w:tcPr>
                  <w:tcW w:w="872" w:type="pct"/>
                  <w:vAlign w:val="center"/>
                </w:tcPr>
                <w:p w14:paraId="405F5E6A">
                  <w:pPr>
                    <w:adjustRightInd w:val="0"/>
                    <w:snapToGrid w:val="0"/>
                    <w:jc w:val="center"/>
                    <w:rPr>
                      <w:color w:val="FF0000"/>
                      <w:szCs w:val="21"/>
                    </w:rPr>
                  </w:pPr>
                  <w:r>
                    <w:rPr>
                      <w:color w:val="FF0000"/>
                      <w:szCs w:val="21"/>
                    </w:rPr>
                    <w:t>污染物</w:t>
                  </w:r>
                </w:p>
              </w:tc>
              <w:tc>
                <w:tcPr>
                  <w:tcW w:w="826" w:type="pct"/>
                  <w:vAlign w:val="center"/>
                </w:tcPr>
                <w:p w14:paraId="25B5D3F6">
                  <w:pPr>
                    <w:widowControl/>
                    <w:jc w:val="center"/>
                    <w:rPr>
                      <w:color w:val="FF0000"/>
                      <w:szCs w:val="21"/>
                    </w:rPr>
                  </w:pPr>
                  <w:r>
                    <w:rPr>
                      <w:rFonts w:hint="eastAsia"/>
                      <w:color w:val="FF0000"/>
                      <w:kern w:val="0"/>
                      <w:szCs w:val="21"/>
                    </w:rPr>
                    <w:t>排放浓度</w:t>
                  </w:r>
                  <w:r>
                    <w:rPr>
                      <w:color w:val="FF0000"/>
                      <w:szCs w:val="21"/>
                    </w:rPr>
                    <w:t>（mg/m</w:t>
                  </w:r>
                  <w:r>
                    <w:rPr>
                      <w:color w:val="FF0000"/>
                      <w:szCs w:val="21"/>
                      <w:vertAlign w:val="superscript"/>
                    </w:rPr>
                    <w:t>3</w:t>
                  </w:r>
                  <w:r>
                    <w:rPr>
                      <w:color w:val="FF0000"/>
                      <w:szCs w:val="21"/>
                    </w:rPr>
                    <w:t>）</w:t>
                  </w:r>
                </w:p>
              </w:tc>
              <w:tc>
                <w:tcPr>
                  <w:tcW w:w="1166" w:type="pct"/>
                  <w:vAlign w:val="center"/>
                </w:tcPr>
                <w:p w14:paraId="4B915AD6">
                  <w:pPr>
                    <w:widowControl/>
                    <w:jc w:val="center"/>
                    <w:rPr>
                      <w:color w:val="FF0000"/>
                      <w:kern w:val="0"/>
                      <w:szCs w:val="21"/>
                    </w:rPr>
                  </w:pPr>
                  <w:r>
                    <w:rPr>
                      <w:rFonts w:hint="eastAsia"/>
                      <w:color w:val="FF0000"/>
                      <w:kern w:val="0"/>
                      <w:szCs w:val="21"/>
                    </w:rPr>
                    <w:t>排放速率（</w:t>
                  </w:r>
                  <w:r>
                    <w:rPr>
                      <w:color w:val="FF0000"/>
                      <w:szCs w:val="21"/>
                    </w:rPr>
                    <w:t>kg/h</w:t>
                  </w:r>
                  <w:r>
                    <w:rPr>
                      <w:rFonts w:hint="eastAsia"/>
                      <w:color w:val="FF0000"/>
                      <w:kern w:val="0"/>
                      <w:szCs w:val="21"/>
                    </w:rPr>
                    <w:t>）</w:t>
                  </w:r>
                </w:p>
              </w:tc>
              <w:tc>
                <w:tcPr>
                  <w:tcW w:w="796" w:type="pct"/>
                  <w:vAlign w:val="center"/>
                </w:tcPr>
                <w:p w14:paraId="22568EBF">
                  <w:pPr>
                    <w:widowControl/>
                    <w:jc w:val="center"/>
                    <w:rPr>
                      <w:color w:val="FF0000"/>
                      <w:kern w:val="0"/>
                      <w:szCs w:val="21"/>
                    </w:rPr>
                  </w:pPr>
                  <w:r>
                    <w:rPr>
                      <w:rFonts w:hint="eastAsia"/>
                      <w:color w:val="FF0000"/>
                      <w:kern w:val="0"/>
                      <w:szCs w:val="21"/>
                    </w:rPr>
                    <w:t>排气筒高度（m）</w:t>
                  </w:r>
                </w:p>
              </w:tc>
              <w:tc>
                <w:tcPr>
                  <w:tcW w:w="1338" w:type="pct"/>
                  <w:vAlign w:val="center"/>
                </w:tcPr>
                <w:p w14:paraId="6DAF0868">
                  <w:pPr>
                    <w:adjustRightInd w:val="0"/>
                    <w:snapToGrid w:val="0"/>
                    <w:jc w:val="center"/>
                    <w:rPr>
                      <w:color w:val="FF0000"/>
                      <w:szCs w:val="21"/>
                    </w:rPr>
                  </w:pPr>
                  <w:r>
                    <w:rPr>
                      <w:color w:val="FF0000"/>
                      <w:szCs w:val="21"/>
                    </w:rPr>
                    <w:t>执行标准</w:t>
                  </w:r>
                </w:p>
              </w:tc>
            </w:tr>
            <w:tr w14:paraId="69C045A3">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552" w:hRule="atLeast"/>
                <w:jc w:val="center"/>
              </w:trPr>
              <w:tc>
                <w:tcPr>
                  <w:tcW w:w="872" w:type="pct"/>
                  <w:vAlign w:val="center"/>
                </w:tcPr>
                <w:p w14:paraId="7DC3AF6F">
                  <w:pPr>
                    <w:adjustRightInd w:val="0"/>
                    <w:snapToGrid w:val="0"/>
                    <w:jc w:val="center"/>
                    <w:rPr>
                      <w:color w:val="FF0000"/>
                      <w:szCs w:val="21"/>
                    </w:rPr>
                  </w:pPr>
                  <w:r>
                    <w:rPr>
                      <w:color w:val="FF0000"/>
                      <w:szCs w:val="21"/>
                    </w:rPr>
                    <w:t>颗粒物</w:t>
                  </w:r>
                </w:p>
              </w:tc>
              <w:tc>
                <w:tcPr>
                  <w:tcW w:w="826" w:type="pct"/>
                  <w:vAlign w:val="center"/>
                </w:tcPr>
                <w:p w14:paraId="572E353A">
                  <w:pPr>
                    <w:adjustRightInd w:val="0"/>
                    <w:snapToGrid w:val="0"/>
                    <w:jc w:val="center"/>
                    <w:rPr>
                      <w:color w:val="FF0000"/>
                      <w:szCs w:val="21"/>
                    </w:rPr>
                  </w:pPr>
                  <w:r>
                    <w:rPr>
                      <w:rFonts w:hint="eastAsia"/>
                      <w:color w:val="FF0000"/>
                      <w:szCs w:val="21"/>
                    </w:rPr>
                    <w:t>120</w:t>
                  </w:r>
                </w:p>
              </w:tc>
              <w:tc>
                <w:tcPr>
                  <w:tcW w:w="1166" w:type="pct"/>
                  <w:vAlign w:val="center"/>
                </w:tcPr>
                <w:p w14:paraId="22BCCE4F">
                  <w:pPr>
                    <w:adjustRightInd w:val="0"/>
                    <w:snapToGrid w:val="0"/>
                    <w:jc w:val="center"/>
                    <w:rPr>
                      <w:rFonts w:hint="default" w:eastAsia="宋体"/>
                      <w:color w:val="FF0000"/>
                      <w:szCs w:val="21"/>
                      <w:lang w:val="en-US" w:eastAsia="zh-CN"/>
                    </w:rPr>
                  </w:pPr>
                  <w:r>
                    <w:rPr>
                      <w:rFonts w:hint="eastAsia"/>
                      <w:color w:val="FF0000"/>
                      <w:szCs w:val="21"/>
                      <w:lang w:val="en-US" w:eastAsia="zh-CN"/>
                    </w:rPr>
                    <w:t>6.067</w:t>
                  </w:r>
                </w:p>
              </w:tc>
              <w:tc>
                <w:tcPr>
                  <w:tcW w:w="796" w:type="pct"/>
                  <w:vAlign w:val="center"/>
                </w:tcPr>
                <w:p w14:paraId="4043772E">
                  <w:pPr>
                    <w:adjustRightInd w:val="0"/>
                    <w:snapToGrid w:val="0"/>
                    <w:jc w:val="center"/>
                    <w:rPr>
                      <w:rFonts w:hint="default" w:eastAsia="宋体"/>
                      <w:color w:val="FF0000"/>
                      <w:szCs w:val="21"/>
                      <w:lang w:val="en-US" w:eastAsia="zh-CN"/>
                    </w:rPr>
                  </w:pPr>
                  <w:r>
                    <w:rPr>
                      <w:rFonts w:hint="eastAsia"/>
                      <w:color w:val="FF0000"/>
                      <w:szCs w:val="21"/>
                      <w:lang w:val="en-US" w:eastAsia="zh-CN"/>
                    </w:rPr>
                    <w:t>26</w:t>
                  </w:r>
                </w:p>
              </w:tc>
              <w:tc>
                <w:tcPr>
                  <w:tcW w:w="1338" w:type="pct"/>
                  <w:vMerge w:val="restart"/>
                  <w:vAlign w:val="center"/>
                </w:tcPr>
                <w:p w14:paraId="773FE850">
                  <w:pPr>
                    <w:adjustRightInd w:val="0"/>
                    <w:snapToGrid w:val="0"/>
                    <w:jc w:val="center"/>
                    <w:rPr>
                      <w:color w:val="FF0000"/>
                      <w:szCs w:val="21"/>
                    </w:rPr>
                  </w:pPr>
                  <w:r>
                    <w:rPr>
                      <w:color w:val="FF0000"/>
                      <w:szCs w:val="21"/>
                    </w:rPr>
                    <w:t>执行《大气污染物综合排放标准》GB16297-1996表2中标准</w:t>
                  </w:r>
                </w:p>
              </w:tc>
            </w:tr>
            <w:tr w14:paraId="39E6166C">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205" w:hRule="atLeast"/>
                <w:jc w:val="center"/>
              </w:trPr>
              <w:tc>
                <w:tcPr>
                  <w:tcW w:w="872" w:type="pct"/>
                  <w:vAlign w:val="center"/>
                </w:tcPr>
                <w:p w14:paraId="103C72BB">
                  <w:pPr>
                    <w:pStyle w:val="87"/>
                    <w:rPr>
                      <w:color w:val="FF0000"/>
                    </w:rPr>
                  </w:pPr>
                  <w:r>
                    <w:rPr>
                      <w:rFonts w:hint="eastAsia"/>
                      <w:color w:val="FF0000"/>
                    </w:rPr>
                    <w:t>非甲烷总烃</w:t>
                  </w:r>
                </w:p>
              </w:tc>
              <w:tc>
                <w:tcPr>
                  <w:tcW w:w="826" w:type="pct"/>
                  <w:vAlign w:val="center"/>
                </w:tcPr>
                <w:p w14:paraId="7A0A34B7">
                  <w:pPr>
                    <w:pStyle w:val="87"/>
                    <w:rPr>
                      <w:color w:val="FF0000"/>
                    </w:rPr>
                  </w:pPr>
                  <w:r>
                    <w:rPr>
                      <w:rFonts w:hint="eastAsia"/>
                      <w:color w:val="FF0000"/>
                    </w:rPr>
                    <w:t>120</w:t>
                  </w:r>
                </w:p>
              </w:tc>
              <w:tc>
                <w:tcPr>
                  <w:tcW w:w="1166" w:type="pct"/>
                  <w:vAlign w:val="center"/>
                </w:tcPr>
                <w:p w14:paraId="749546F0">
                  <w:pPr>
                    <w:pStyle w:val="87"/>
                    <w:rPr>
                      <w:rFonts w:hint="default" w:eastAsia="宋体"/>
                      <w:color w:val="FF0000"/>
                      <w:lang w:val="en-US" w:eastAsia="zh-CN"/>
                    </w:rPr>
                  </w:pPr>
                  <w:r>
                    <w:rPr>
                      <w:rFonts w:hint="eastAsia"/>
                      <w:color w:val="FF0000"/>
                    </w:rPr>
                    <w:t>1</w:t>
                  </w:r>
                  <w:r>
                    <w:rPr>
                      <w:rFonts w:hint="eastAsia"/>
                      <w:color w:val="FF0000"/>
                      <w:lang w:val="en-US" w:eastAsia="zh-CN"/>
                    </w:rPr>
                    <w:t>7.333</w:t>
                  </w:r>
                </w:p>
              </w:tc>
              <w:tc>
                <w:tcPr>
                  <w:tcW w:w="796" w:type="pct"/>
                  <w:vAlign w:val="center"/>
                </w:tcPr>
                <w:p w14:paraId="1DCF6C23">
                  <w:pPr>
                    <w:adjustRightInd w:val="0"/>
                    <w:snapToGrid w:val="0"/>
                    <w:jc w:val="center"/>
                    <w:rPr>
                      <w:rFonts w:hint="default" w:eastAsia="宋体"/>
                      <w:color w:val="FF0000"/>
                      <w:szCs w:val="21"/>
                      <w:lang w:val="en-US" w:eastAsia="zh-CN"/>
                    </w:rPr>
                  </w:pPr>
                  <w:r>
                    <w:rPr>
                      <w:rFonts w:hint="eastAsia"/>
                      <w:color w:val="FF0000"/>
                      <w:szCs w:val="21"/>
                      <w:lang w:val="en-US" w:eastAsia="zh-CN"/>
                    </w:rPr>
                    <w:t>26</w:t>
                  </w:r>
                </w:p>
              </w:tc>
              <w:tc>
                <w:tcPr>
                  <w:tcW w:w="1338" w:type="pct"/>
                  <w:vMerge w:val="continue"/>
                  <w:vAlign w:val="center"/>
                </w:tcPr>
                <w:p w14:paraId="39743370">
                  <w:pPr>
                    <w:adjustRightInd w:val="0"/>
                    <w:snapToGrid w:val="0"/>
                    <w:jc w:val="center"/>
                    <w:rPr>
                      <w:color w:val="FF0000"/>
                      <w:szCs w:val="21"/>
                    </w:rPr>
                  </w:pPr>
                </w:p>
              </w:tc>
            </w:tr>
          </w:tbl>
          <w:p w14:paraId="4AF6F2B1">
            <w:pPr>
              <w:pStyle w:val="84"/>
              <w:spacing w:line="360" w:lineRule="auto"/>
              <w:ind w:firstLine="480"/>
              <w:rPr>
                <w:rFonts w:hint="default" w:eastAsia="宋体"/>
                <w:b/>
                <w:color w:val="000000" w:themeColor="text1"/>
                <w:lang w:val="en-US" w:eastAsia="zh-CN"/>
                <w14:textFill>
                  <w14:solidFill>
                    <w14:schemeClr w14:val="tx1"/>
                  </w14:solidFill>
                </w14:textFill>
              </w:rPr>
            </w:pPr>
            <w:r>
              <w:rPr>
                <w:rFonts w:hint="eastAsia"/>
                <w:color w:val="000000" w:themeColor="text1"/>
                <w14:textFill>
                  <w14:solidFill>
                    <w14:schemeClr w14:val="tx1"/>
                  </w14:solidFill>
                </w14:textFill>
              </w:rPr>
              <w:t>未收集</w:t>
            </w:r>
            <w:r>
              <w:rPr>
                <w:color w:val="000000" w:themeColor="text1"/>
                <w14:textFill>
                  <w14:solidFill>
                    <w14:schemeClr w14:val="tx1"/>
                  </w14:solidFill>
                </w14:textFill>
              </w:rPr>
              <w:t>颗粒物、非甲烷总烃无组织排放执行《大气污染物综合排放标准》（GB16297 -1996）表2中厂界大气污染物监控点浓度限值；非甲烷总烃无组织排放厂区内执行《挥发性有机物无组织排放控制标准》（GB 37822-2019）附录A.1中无组织排放限值</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标准限值见下</w:t>
            </w:r>
            <w:r>
              <w:rPr>
                <w:rFonts w:hint="eastAsia"/>
                <w:color w:val="000000" w:themeColor="text1"/>
                <w:lang w:eastAsia="zh-CN"/>
                <w14:textFill>
                  <w14:solidFill>
                    <w14:schemeClr w14:val="tx1"/>
                  </w14:solidFill>
                </w14:textFill>
              </w:rPr>
              <w:t>；</w:t>
            </w:r>
            <w:r>
              <w:rPr>
                <w:rFonts w:hint="eastAsia"/>
                <w:color w:val="FF0000"/>
                <w:lang w:val="en-US" w:eastAsia="zh-CN"/>
              </w:rPr>
              <w:t>污水处理站恶臭执行《恶臭污染物排放标准》（GB14554-93）中厂界浓度限值。</w:t>
            </w:r>
          </w:p>
          <w:p w14:paraId="7EC958BF">
            <w:pPr>
              <w:pStyle w:val="65"/>
              <w:spacing w:before="0" w:after="0" w:line="240" w:lineRule="auto"/>
              <w:ind w:right="0"/>
              <w:rPr>
                <w:rFonts w:ascii="Times New Roman" w:eastAsia="宋体"/>
                <w:b/>
                <w:bCs/>
                <w:color w:val="000000" w:themeColor="text1"/>
                <w:sz w:val="21"/>
                <w:szCs w:val="21"/>
                <w14:textFill>
                  <w14:solidFill>
                    <w14:schemeClr w14:val="tx1"/>
                  </w14:solidFill>
                </w14:textFill>
              </w:rPr>
            </w:pPr>
            <w:r>
              <w:rPr>
                <w:rFonts w:ascii="Times New Roman" w:eastAsia="宋体"/>
                <w:b/>
                <w:bCs/>
                <w:color w:val="000000" w:themeColor="text1"/>
                <w:sz w:val="21"/>
                <w:szCs w:val="21"/>
                <w14:textFill>
                  <w14:solidFill>
                    <w14:schemeClr w14:val="tx1"/>
                  </w14:solidFill>
                </w14:textFill>
              </w:rPr>
              <w:t>表3-</w:t>
            </w:r>
            <w:r>
              <w:rPr>
                <w:rFonts w:hint="eastAsia" w:ascii="Times New Roman" w:eastAsia="宋体"/>
                <w:b/>
                <w:bCs/>
                <w:color w:val="000000" w:themeColor="text1"/>
                <w:sz w:val="21"/>
                <w:szCs w:val="21"/>
                <w14:textFill>
                  <w14:solidFill>
                    <w14:schemeClr w14:val="tx1"/>
                  </w14:solidFill>
                </w14:textFill>
              </w:rPr>
              <w:t>1</w:t>
            </w:r>
            <w:r>
              <w:rPr>
                <w:rFonts w:hint="eastAsia" w:ascii="Times New Roman" w:eastAsia="宋体"/>
                <w:b/>
                <w:bCs/>
                <w:color w:val="000000" w:themeColor="text1"/>
                <w:sz w:val="21"/>
                <w:szCs w:val="21"/>
                <w:lang w:val="en-US" w:eastAsia="zh-CN"/>
                <w14:textFill>
                  <w14:solidFill>
                    <w14:schemeClr w14:val="tx1"/>
                  </w14:solidFill>
                </w14:textFill>
              </w:rPr>
              <w:t>4</w:t>
            </w:r>
            <w:r>
              <w:rPr>
                <w:rFonts w:hint="eastAsia" w:ascii="Times New Roman" w:eastAsia="宋体"/>
                <w:b/>
                <w:bCs/>
                <w:color w:val="000000" w:themeColor="text1"/>
                <w:sz w:val="21"/>
                <w:szCs w:val="21"/>
                <w14:textFill>
                  <w14:solidFill>
                    <w14:schemeClr w14:val="tx1"/>
                  </w14:solidFill>
                </w14:textFill>
              </w:rPr>
              <w:t xml:space="preserve">    </w:t>
            </w:r>
            <w:r>
              <w:rPr>
                <w:rFonts w:ascii="Times New Roman" w:eastAsia="宋体"/>
                <w:b/>
                <w:bCs/>
                <w:color w:val="000000" w:themeColor="text1"/>
                <w:sz w:val="21"/>
                <w:szCs w:val="21"/>
                <w14:textFill>
                  <w14:solidFill>
                    <w14:schemeClr w14:val="tx1"/>
                  </w14:solidFill>
                </w14:textFill>
              </w:rPr>
              <w:t>污染物</w:t>
            </w:r>
            <w:r>
              <w:rPr>
                <w:rFonts w:hint="eastAsia" w:ascii="Times New Roman" w:eastAsia="宋体"/>
                <w:b/>
                <w:bCs/>
                <w:color w:val="000000" w:themeColor="text1"/>
                <w:sz w:val="21"/>
                <w:szCs w:val="21"/>
                <w14:textFill>
                  <w14:solidFill>
                    <w14:schemeClr w14:val="tx1"/>
                  </w14:solidFill>
                </w14:textFill>
              </w:rPr>
              <w:t>无组织</w:t>
            </w:r>
            <w:r>
              <w:rPr>
                <w:rFonts w:ascii="Times New Roman" w:eastAsia="宋体"/>
                <w:b/>
                <w:bCs/>
                <w:color w:val="000000" w:themeColor="text1"/>
                <w:sz w:val="21"/>
                <w:szCs w:val="21"/>
                <w14:textFill>
                  <w14:solidFill>
                    <w14:schemeClr w14:val="tx1"/>
                  </w14:solidFill>
                </w14:textFill>
              </w:rPr>
              <w:t>排放标准</w:t>
            </w:r>
          </w:p>
          <w:tbl>
            <w:tblPr>
              <w:tblStyle w:val="34"/>
              <w:tblW w:w="4998" w:type="pct"/>
              <w:jc w:val="center"/>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462"/>
              <w:gridCol w:w="3418"/>
              <w:gridCol w:w="2102"/>
            </w:tblGrid>
            <w:tr w14:paraId="50C8C8EF">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PrEx>
              <w:trPr>
                <w:cantSplit/>
                <w:trHeight w:val="340" w:hRule="atLeast"/>
                <w:jc w:val="center"/>
              </w:trPr>
              <w:tc>
                <w:tcPr>
                  <w:tcW w:w="1542" w:type="pct"/>
                  <w:tcBorders>
                    <w:tl2br w:val="nil"/>
                    <w:tr2bl w:val="nil"/>
                  </w:tcBorders>
                  <w:vAlign w:val="center"/>
                </w:tcPr>
                <w:p w14:paraId="0D5E9F89">
                  <w:pPr>
                    <w:pStyle w:val="86"/>
                    <w:rPr>
                      <w:color w:val="000000" w:themeColor="text1"/>
                      <w14:textFill>
                        <w14:solidFill>
                          <w14:schemeClr w14:val="tx1"/>
                        </w14:solidFill>
                      </w14:textFill>
                    </w:rPr>
                  </w:pPr>
                  <w:r>
                    <w:rPr>
                      <w:color w:val="000000" w:themeColor="text1"/>
                      <w14:textFill>
                        <w14:solidFill>
                          <w14:schemeClr w14:val="tx1"/>
                        </w14:solidFill>
                      </w14:textFill>
                    </w:rPr>
                    <w:t>污染物</w:t>
                  </w:r>
                </w:p>
              </w:tc>
              <w:tc>
                <w:tcPr>
                  <w:tcW w:w="2140" w:type="pct"/>
                  <w:tcBorders>
                    <w:tl2br w:val="nil"/>
                    <w:tr2bl w:val="nil"/>
                  </w:tcBorders>
                  <w:vAlign w:val="center"/>
                </w:tcPr>
                <w:p w14:paraId="021AFFE6">
                  <w:pPr>
                    <w:pStyle w:val="86"/>
                    <w:rPr>
                      <w:rFonts w:eastAsia="宋体"/>
                      <w:color w:val="000000" w:themeColor="text1"/>
                      <w14:textFill>
                        <w14:solidFill>
                          <w14:schemeClr w14:val="tx1"/>
                        </w14:solidFill>
                      </w14:textFill>
                    </w:rPr>
                  </w:pPr>
                  <w:r>
                    <w:rPr>
                      <w:color w:val="000000" w:themeColor="text1"/>
                      <w14:textFill>
                        <w14:solidFill>
                          <w14:schemeClr w14:val="tx1"/>
                        </w14:solidFill>
                      </w14:textFill>
                    </w:rPr>
                    <w:t>无组织排放监控浓度限值</w:t>
                  </w:r>
                  <w:r>
                    <w:rPr>
                      <w:rFonts w:hint="eastAsia" w:eastAsia="宋体"/>
                      <w:color w:val="000000" w:themeColor="text1"/>
                      <w14:textFill>
                        <w14:solidFill>
                          <w14:schemeClr w14:val="tx1"/>
                        </w14:solidFill>
                      </w14:textFill>
                    </w:rPr>
                    <w:t>（</w:t>
                  </w:r>
                  <w:r>
                    <w:rPr>
                      <w:color w:val="000000" w:themeColor="text1"/>
                      <w14:textFill>
                        <w14:solidFill>
                          <w14:schemeClr w14:val="tx1"/>
                        </w14:solidFill>
                      </w14:textFill>
                    </w:rPr>
                    <w:t>mg/m</w:t>
                  </w:r>
                  <w:r>
                    <w:rPr>
                      <w:color w:val="000000" w:themeColor="text1"/>
                      <w:vertAlign w:val="superscript"/>
                      <w14:textFill>
                        <w14:solidFill>
                          <w14:schemeClr w14:val="tx1"/>
                        </w14:solidFill>
                      </w14:textFill>
                    </w:rPr>
                    <w:t>3</w:t>
                  </w:r>
                  <w:r>
                    <w:rPr>
                      <w:rFonts w:hint="eastAsia" w:eastAsia="宋体"/>
                      <w:color w:val="000000" w:themeColor="text1"/>
                      <w14:textFill>
                        <w14:solidFill>
                          <w14:schemeClr w14:val="tx1"/>
                        </w14:solidFill>
                      </w14:textFill>
                    </w:rPr>
                    <w:t>）</w:t>
                  </w:r>
                </w:p>
              </w:tc>
              <w:tc>
                <w:tcPr>
                  <w:tcW w:w="1316" w:type="pct"/>
                  <w:tcBorders>
                    <w:tl2br w:val="nil"/>
                    <w:tr2bl w:val="nil"/>
                  </w:tcBorders>
                  <w:vAlign w:val="center"/>
                </w:tcPr>
                <w:p w14:paraId="60D7C5B6">
                  <w:pPr>
                    <w:pStyle w:val="86"/>
                    <w:rPr>
                      <w:rFonts w:eastAsia="宋体"/>
                      <w:color w:val="000000" w:themeColor="text1"/>
                      <w14:textFill>
                        <w14:solidFill>
                          <w14:schemeClr w14:val="tx1"/>
                        </w14:solidFill>
                      </w14:textFill>
                    </w:rPr>
                  </w:pPr>
                  <w:r>
                    <w:rPr>
                      <w:rFonts w:hint="eastAsia" w:eastAsia="宋体"/>
                      <w:color w:val="000000" w:themeColor="text1"/>
                      <w14:textFill>
                        <w14:solidFill>
                          <w14:schemeClr w14:val="tx1"/>
                        </w14:solidFill>
                      </w14:textFill>
                    </w:rPr>
                    <w:t>位置</w:t>
                  </w:r>
                </w:p>
              </w:tc>
            </w:tr>
            <w:tr w14:paraId="2210BE0C">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1542" w:type="pct"/>
                  <w:tcBorders>
                    <w:tl2br w:val="nil"/>
                    <w:tr2bl w:val="nil"/>
                  </w:tcBorders>
                  <w:vAlign w:val="center"/>
                </w:tcPr>
                <w:p w14:paraId="41D1664B">
                  <w:pPr>
                    <w:pStyle w:val="86"/>
                    <w:rPr>
                      <w:color w:val="000000" w:themeColor="text1"/>
                      <w14:textFill>
                        <w14:solidFill>
                          <w14:schemeClr w14:val="tx1"/>
                        </w14:solidFill>
                      </w14:textFill>
                    </w:rPr>
                  </w:pPr>
                  <w:r>
                    <w:rPr>
                      <w:color w:val="000000" w:themeColor="text1"/>
                      <w14:textFill>
                        <w14:solidFill>
                          <w14:schemeClr w14:val="tx1"/>
                        </w14:solidFill>
                      </w14:textFill>
                    </w:rPr>
                    <w:t>颗粒物</w:t>
                  </w:r>
                </w:p>
              </w:tc>
              <w:tc>
                <w:tcPr>
                  <w:tcW w:w="2140" w:type="pct"/>
                  <w:tcBorders>
                    <w:tl2br w:val="nil"/>
                    <w:tr2bl w:val="nil"/>
                  </w:tcBorders>
                  <w:vAlign w:val="center"/>
                </w:tcPr>
                <w:p w14:paraId="194E338D">
                  <w:pPr>
                    <w:pStyle w:val="86"/>
                    <w:rPr>
                      <w:color w:val="000000" w:themeColor="text1"/>
                      <w14:textFill>
                        <w14:solidFill>
                          <w14:schemeClr w14:val="tx1"/>
                        </w14:solidFill>
                      </w14:textFill>
                    </w:rPr>
                  </w:pPr>
                  <w:r>
                    <w:rPr>
                      <w:color w:val="000000" w:themeColor="text1"/>
                      <w14:textFill>
                        <w14:solidFill>
                          <w14:schemeClr w14:val="tx1"/>
                        </w14:solidFill>
                      </w14:textFill>
                    </w:rPr>
                    <w:t>1.0</w:t>
                  </w:r>
                </w:p>
              </w:tc>
              <w:tc>
                <w:tcPr>
                  <w:tcW w:w="1316" w:type="pct"/>
                  <w:tcBorders>
                    <w:tl2br w:val="nil"/>
                    <w:tr2bl w:val="nil"/>
                  </w:tcBorders>
                  <w:vAlign w:val="center"/>
                </w:tcPr>
                <w:p w14:paraId="681C55B4">
                  <w:pPr>
                    <w:pStyle w:val="86"/>
                    <w:rPr>
                      <w:rFonts w:eastAsia="宋体"/>
                      <w:color w:val="000000" w:themeColor="text1"/>
                      <w14:textFill>
                        <w14:solidFill>
                          <w14:schemeClr w14:val="tx1"/>
                        </w14:solidFill>
                      </w14:textFill>
                    </w:rPr>
                  </w:pPr>
                  <w:r>
                    <w:rPr>
                      <w:rFonts w:hint="eastAsia" w:eastAsia="宋体"/>
                      <w:color w:val="000000" w:themeColor="text1"/>
                      <w14:textFill>
                        <w14:solidFill>
                          <w14:schemeClr w14:val="tx1"/>
                        </w14:solidFill>
                      </w14:textFill>
                    </w:rPr>
                    <w:t>企业边界</w:t>
                  </w:r>
                </w:p>
              </w:tc>
            </w:tr>
            <w:tr w14:paraId="39A96548">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1542" w:type="pct"/>
                  <w:vMerge w:val="restart"/>
                  <w:tcBorders>
                    <w:tl2br w:val="nil"/>
                    <w:tr2bl w:val="nil"/>
                  </w:tcBorders>
                  <w:vAlign w:val="center"/>
                </w:tcPr>
                <w:p w14:paraId="77579C29">
                  <w:pPr>
                    <w:pStyle w:val="86"/>
                    <w:rPr>
                      <w:rFonts w:eastAsia="宋体"/>
                      <w:color w:val="000000" w:themeColor="text1"/>
                      <w14:textFill>
                        <w14:solidFill>
                          <w14:schemeClr w14:val="tx1"/>
                        </w14:solidFill>
                      </w14:textFill>
                    </w:rPr>
                  </w:pPr>
                  <w:r>
                    <w:rPr>
                      <w:rFonts w:hint="eastAsia" w:eastAsia="宋体"/>
                      <w:color w:val="000000" w:themeColor="text1"/>
                      <w14:textFill>
                        <w14:solidFill>
                          <w14:schemeClr w14:val="tx1"/>
                        </w14:solidFill>
                      </w14:textFill>
                    </w:rPr>
                    <w:t>非甲烷总烃</w:t>
                  </w:r>
                </w:p>
              </w:tc>
              <w:tc>
                <w:tcPr>
                  <w:tcW w:w="2140" w:type="pct"/>
                  <w:tcBorders>
                    <w:tl2br w:val="nil"/>
                    <w:tr2bl w:val="nil"/>
                  </w:tcBorders>
                  <w:vAlign w:val="center"/>
                </w:tcPr>
                <w:p w14:paraId="770ECDDF">
                  <w:pPr>
                    <w:pStyle w:val="86"/>
                    <w:rPr>
                      <w:rFonts w:eastAsia="宋体"/>
                      <w:color w:val="000000" w:themeColor="text1"/>
                      <w14:textFill>
                        <w14:solidFill>
                          <w14:schemeClr w14:val="tx1"/>
                        </w14:solidFill>
                      </w14:textFill>
                    </w:rPr>
                  </w:pPr>
                  <w:r>
                    <w:rPr>
                      <w:rFonts w:hint="eastAsia" w:eastAsia="宋体"/>
                      <w:color w:val="000000" w:themeColor="text1"/>
                      <w14:textFill>
                        <w14:solidFill>
                          <w14:schemeClr w14:val="tx1"/>
                        </w14:solidFill>
                      </w14:textFill>
                    </w:rPr>
                    <w:t>4.0</w:t>
                  </w:r>
                </w:p>
              </w:tc>
              <w:tc>
                <w:tcPr>
                  <w:tcW w:w="1316" w:type="pct"/>
                  <w:tcBorders>
                    <w:tl2br w:val="nil"/>
                    <w:tr2bl w:val="nil"/>
                  </w:tcBorders>
                  <w:vAlign w:val="center"/>
                </w:tcPr>
                <w:p w14:paraId="0DFCE351">
                  <w:pPr>
                    <w:pStyle w:val="86"/>
                    <w:rPr>
                      <w:rFonts w:eastAsia="宋体"/>
                      <w:color w:val="000000" w:themeColor="text1"/>
                      <w14:textFill>
                        <w14:solidFill>
                          <w14:schemeClr w14:val="tx1"/>
                        </w14:solidFill>
                      </w14:textFill>
                    </w:rPr>
                  </w:pPr>
                  <w:r>
                    <w:rPr>
                      <w:rFonts w:hint="eastAsia" w:eastAsia="宋体"/>
                      <w:color w:val="000000" w:themeColor="text1"/>
                      <w14:textFill>
                        <w14:solidFill>
                          <w14:schemeClr w14:val="tx1"/>
                        </w14:solidFill>
                      </w14:textFill>
                    </w:rPr>
                    <w:t>企业边界</w:t>
                  </w:r>
                </w:p>
              </w:tc>
            </w:tr>
            <w:tr w14:paraId="3E4B546A">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1542" w:type="pct"/>
                  <w:vMerge w:val="continue"/>
                  <w:tcBorders>
                    <w:tl2br w:val="nil"/>
                    <w:tr2bl w:val="nil"/>
                  </w:tcBorders>
                  <w:vAlign w:val="center"/>
                </w:tcPr>
                <w:p w14:paraId="329F403E">
                  <w:pPr>
                    <w:pStyle w:val="86"/>
                    <w:rPr>
                      <w:color w:val="000000" w:themeColor="text1"/>
                      <w14:textFill>
                        <w14:solidFill>
                          <w14:schemeClr w14:val="tx1"/>
                        </w14:solidFill>
                      </w14:textFill>
                    </w:rPr>
                  </w:pPr>
                </w:p>
              </w:tc>
              <w:tc>
                <w:tcPr>
                  <w:tcW w:w="2140" w:type="pct"/>
                  <w:tcBorders>
                    <w:tl2br w:val="nil"/>
                    <w:tr2bl w:val="nil"/>
                  </w:tcBorders>
                  <w:shd w:val="clear" w:color="auto" w:fill="auto"/>
                  <w:vAlign w:val="center"/>
                </w:tcPr>
                <w:p w14:paraId="22705022">
                  <w:pPr>
                    <w:jc w:val="center"/>
                    <w:rPr>
                      <w:color w:val="000000"/>
                      <w:szCs w:val="21"/>
                    </w:rPr>
                  </w:pPr>
                  <w:r>
                    <w:rPr>
                      <w:color w:val="000000"/>
                      <w:szCs w:val="21"/>
                    </w:rPr>
                    <w:t>监控点处1h平均浓度值6.0mg/m</w:t>
                  </w:r>
                  <w:r>
                    <w:rPr>
                      <w:color w:val="000000"/>
                      <w:szCs w:val="21"/>
                      <w:vertAlign w:val="superscript"/>
                    </w:rPr>
                    <w:t>3</w:t>
                  </w:r>
                </w:p>
              </w:tc>
              <w:tc>
                <w:tcPr>
                  <w:tcW w:w="1316" w:type="pct"/>
                  <w:vMerge w:val="restart"/>
                  <w:tcBorders>
                    <w:tl2br w:val="nil"/>
                    <w:tr2bl w:val="nil"/>
                  </w:tcBorders>
                  <w:vAlign w:val="center"/>
                </w:tcPr>
                <w:p w14:paraId="49BEF860">
                  <w:pPr>
                    <w:pStyle w:val="86"/>
                    <w:rPr>
                      <w:rFonts w:eastAsia="宋体"/>
                      <w:color w:val="000000" w:themeColor="text1"/>
                      <w14:textFill>
                        <w14:solidFill>
                          <w14:schemeClr w14:val="tx1"/>
                        </w14:solidFill>
                      </w14:textFill>
                    </w:rPr>
                  </w:pPr>
                  <w:r>
                    <w:rPr>
                      <w:rFonts w:hint="eastAsia" w:eastAsia="宋体"/>
                      <w:color w:val="000000" w:themeColor="text1"/>
                      <w14:textFill>
                        <w14:solidFill>
                          <w14:schemeClr w14:val="tx1"/>
                        </w14:solidFill>
                      </w14:textFill>
                    </w:rPr>
                    <w:t>厂房外</w:t>
                  </w:r>
                </w:p>
              </w:tc>
            </w:tr>
            <w:tr w14:paraId="4AC99B92">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1542" w:type="pct"/>
                  <w:vMerge w:val="continue"/>
                  <w:tcBorders>
                    <w:tl2br w:val="nil"/>
                    <w:tr2bl w:val="nil"/>
                  </w:tcBorders>
                  <w:vAlign w:val="center"/>
                </w:tcPr>
                <w:p w14:paraId="6AF242AB">
                  <w:pPr>
                    <w:pStyle w:val="86"/>
                    <w:rPr>
                      <w:color w:val="000000" w:themeColor="text1"/>
                      <w14:textFill>
                        <w14:solidFill>
                          <w14:schemeClr w14:val="tx1"/>
                        </w14:solidFill>
                      </w14:textFill>
                    </w:rPr>
                  </w:pPr>
                </w:p>
              </w:tc>
              <w:tc>
                <w:tcPr>
                  <w:tcW w:w="2140" w:type="pct"/>
                  <w:tcBorders>
                    <w:tl2br w:val="nil"/>
                    <w:tr2bl w:val="nil"/>
                  </w:tcBorders>
                  <w:shd w:val="clear" w:color="auto" w:fill="auto"/>
                  <w:vAlign w:val="center"/>
                </w:tcPr>
                <w:p w14:paraId="6AF483FE">
                  <w:pPr>
                    <w:jc w:val="center"/>
                    <w:rPr>
                      <w:color w:val="000000"/>
                      <w:szCs w:val="21"/>
                    </w:rPr>
                  </w:pPr>
                  <w:r>
                    <w:rPr>
                      <w:color w:val="000000"/>
                      <w:szCs w:val="21"/>
                    </w:rPr>
                    <w:t>监控点处任意一次浓度值20mg/m</w:t>
                  </w:r>
                  <w:r>
                    <w:rPr>
                      <w:color w:val="000000"/>
                      <w:szCs w:val="21"/>
                      <w:vertAlign w:val="superscript"/>
                    </w:rPr>
                    <w:t>3</w:t>
                  </w:r>
                </w:p>
              </w:tc>
              <w:tc>
                <w:tcPr>
                  <w:tcW w:w="1316" w:type="pct"/>
                  <w:vMerge w:val="continue"/>
                  <w:tcBorders>
                    <w:tl2br w:val="nil"/>
                    <w:tr2bl w:val="nil"/>
                  </w:tcBorders>
                  <w:vAlign w:val="center"/>
                </w:tcPr>
                <w:p w14:paraId="41789A70">
                  <w:pPr>
                    <w:pStyle w:val="86"/>
                    <w:rPr>
                      <w:rFonts w:eastAsia="宋体"/>
                      <w:color w:val="000000" w:themeColor="text1"/>
                      <w14:textFill>
                        <w14:solidFill>
                          <w14:schemeClr w14:val="tx1"/>
                        </w14:solidFill>
                      </w14:textFill>
                    </w:rPr>
                  </w:pPr>
                </w:p>
              </w:tc>
            </w:tr>
            <w:tr w14:paraId="5620174E">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1542" w:type="pct"/>
                  <w:tcBorders>
                    <w:tl2br w:val="nil"/>
                    <w:tr2bl w:val="nil"/>
                  </w:tcBorders>
                  <w:vAlign w:val="center"/>
                </w:tcPr>
                <w:p w14:paraId="300F1F82">
                  <w:pPr>
                    <w:jc w:val="center"/>
                    <w:rPr>
                      <w:rFonts w:ascii="Times New Roman" w:hAnsi="Times New Roman" w:eastAsia="宋体" w:cs="Times New Roman"/>
                      <w:color w:val="FF0000"/>
                      <w:szCs w:val="21"/>
                    </w:rPr>
                  </w:pPr>
                  <w:r>
                    <w:rPr>
                      <w:rFonts w:hint="eastAsia" w:ascii="Times New Roman" w:hAnsi="Times New Roman" w:eastAsia="宋体" w:cs="Times New Roman"/>
                      <w:color w:val="FF0000"/>
                      <w:szCs w:val="21"/>
                      <w:lang w:val="en-US" w:eastAsia="zh-CN"/>
                    </w:rPr>
                    <w:t>氨</w:t>
                  </w:r>
                </w:p>
              </w:tc>
              <w:tc>
                <w:tcPr>
                  <w:tcW w:w="2140" w:type="pct"/>
                  <w:tcBorders>
                    <w:tl2br w:val="nil"/>
                    <w:tr2bl w:val="nil"/>
                  </w:tcBorders>
                  <w:shd w:val="clear" w:color="auto" w:fill="auto"/>
                  <w:vAlign w:val="center"/>
                </w:tcPr>
                <w:p w14:paraId="0C2A8FC7">
                  <w:pPr>
                    <w:jc w:val="center"/>
                    <w:rPr>
                      <w:rFonts w:ascii="Times New Roman" w:hAnsi="Times New Roman" w:eastAsia="宋体" w:cs="Times New Roman"/>
                      <w:color w:val="FF0000"/>
                      <w:szCs w:val="21"/>
                    </w:rPr>
                  </w:pPr>
                  <w:r>
                    <w:rPr>
                      <w:rFonts w:hint="eastAsia" w:ascii="Times New Roman" w:hAnsi="Times New Roman" w:eastAsia="宋体" w:cs="Times New Roman"/>
                      <w:color w:val="FF0000"/>
                      <w:szCs w:val="21"/>
                      <w:lang w:val="en-US" w:eastAsia="zh-CN"/>
                    </w:rPr>
                    <w:t>1.5</w:t>
                  </w:r>
                </w:p>
              </w:tc>
              <w:tc>
                <w:tcPr>
                  <w:tcW w:w="1316" w:type="pct"/>
                  <w:tcBorders>
                    <w:tl2br w:val="nil"/>
                    <w:tr2bl w:val="nil"/>
                  </w:tcBorders>
                  <w:vAlign w:val="center"/>
                </w:tcPr>
                <w:p w14:paraId="326EBAFE">
                  <w:pPr>
                    <w:jc w:val="center"/>
                    <w:rPr>
                      <w:rFonts w:ascii="Times New Roman" w:hAnsi="Times New Roman" w:eastAsia="宋体" w:cs="Times New Roman"/>
                      <w:color w:val="FF0000"/>
                      <w:szCs w:val="21"/>
                    </w:rPr>
                  </w:pPr>
                  <w:r>
                    <w:rPr>
                      <w:rFonts w:hint="eastAsia" w:ascii="Times New Roman" w:hAnsi="Times New Roman" w:eastAsia="宋体" w:cs="Times New Roman"/>
                      <w:color w:val="FF0000"/>
                      <w:szCs w:val="21"/>
                    </w:rPr>
                    <w:t>企业边界</w:t>
                  </w:r>
                </w:p>
              </w:tc>
            </w:tr>
            <w:tr w14:paraId="30EA2688">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1542" w:type="pct"/>
                  <w:tcBorders>
                    <w:tl2br w:val="nil"/>
                    <w:tr2bl w:val="nil"/>
                  </w:tcBorders>
                  <w:vAlign w:val="center"/>
                </w:tcPr>
                <w:p w14:paraId="5A4DCA35">
                  <w:pPr>
                    <w:jc w:val="center"/>
                    <w:rPr>
                      <w:rFonts w:ascii="Times New Roman" w:hAnsi="Times New Roman" w:eastAsia="宋体" w:cs="Times New Roman"/>
                      <w:color w:val="FF0000"/>
                      <w:szCs w:val="21"/>
                    </w:rPr>
                  </w:pPr>
                  <w:r>
                    <w:rPr>
                      <w:rFonts w:hint="eastAsia" w:ascii="Times New Roman" w:hAnsi="Times New Roman" w:eastAsia="宋体" w:cs="Times New Roman"/>
                      <w:color w:val="FF0000"/>
                      <w:szCs w:val="21"/>
                      <w:lang w:val="en-US" w:eastAsia="zh-CN"/>
                    </w:rPr>
                    <w:t>硫化氢</w:t>
                  </w:r>
                </w:p>
              </w:tc>
              <w:tc>
                <w:tcPr>
                  <w:tcW w:w="2140" w:type="pct"/>
                  <w:tcBorders>
                    <w:tl2br w:val="nil"/>
                    <w:tr2bl w:val="nil"/>
                  </w:tcBorders>
                  <w:shd w:val="clear" w:color="auto" w:fill="auto"/>
                  <w:vAlign w:val="center"/>
                </w:tcPr>
                <w:p w14:paraId="2EF24B57">
                  <w:pPr>
                    <w:jc w:val="center"/>
                    <w:rPr>
                      <w:rFonts w:ascii="Times New Roman" w:hAnsi="Times New Roman" w:eastAsia="宋体" w:cs="Times New Roman"/>
                      <w:color w:val="FF0000"/>
                      <w:szCs w:val="21"/>
                    </w:rPr>
                  </w:pPr>
                  <w:r>
                    <w:rPr>
                      <w:rFonts w:hint="eastAsia" w:ascii="Times New Roman" w:hAnsi="Times New Roman" w:eastAsia="宋体" w:cs="Times New Roman"/>
                      <w:color w:val="FF0000"/>
                      <w:szCs w:val="21"/>
                      <w:lang w:val="en-US" w:eastAsia="zh-CN"/>
                    </w:rPr>
                    <w:t>0.06</w:t>
                  </w:r>
                </w:p>
              </w:tc>
              <w:tc>
                <w:tcPr>
                  <w:tcW w:w="1316" w:type="pct"/>
                  <w:tcBorders>
                    <w:tl2br w:val="nil"/>
                    <w:tr2bl w:val="nil"/>
                  </w:tcBorders>
                  <w:vAlign w:val="center"/>
                </w:tcPr>
                <w:p w14:paraId="364D05B9">
                  <w:pPr>
                    <w:jc w:val="center"/>
                    <w:rPr>
                      <w:rFonts w:ascii="Times New Roman" w:hAnsi="Times New Roman" w:eastAsia="宋体" w:cs="Times New Roman"/>
                      <w:color w:val="FF0000"/>
                      <w:szCs w:val="21"/>
                    </w:rPr>
                  </w:pPr>
                  <w:r>
                    <w:rPr>
                      <w:rFonts w:hint="eastAsia" w:ascii="Times New Roman" w:hAnsi="Times New Roman" w:eastAsia="宋体" w:cs="Times New Roman"/>
                      <w:color w:val="FF0000"/>
                      <w:szCs w:val="21"/>
                    </w:rPr>
                    <w:t>企业边界</w:t>
                  </w:r>
                </w:p>
              </w:tc>
            </w:tr>
            <w:tr w14:paraId="19D1750E">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1542" w:type="pct"/>
                  <w:tcBorders>
                    <w:tl2br w:val="nil"/>
                    <w:tr2bl w:val="nil"/>
                  </w:tcBorders>
                  <w:vAlign w:val="center"/>
                </w:tcPr>
                <w:p w14:paraId="6E8539F4">
                  <w:pPr>
                    <w:jc w:val="center"/>
                    <w:rPr>
                      <w:rFonts w:ascii="Times New Roman" w:hAnsi="Times New Roman" w:eastAsia="宋体" w:cs="Times New Roman"/>
                      <w:color w:val="FF0000"/>
                      <w:szCs w:val="21"/>
                    </w:rPr>
                  </w:pPr>
                  <w:r>
                    <w:rPr>
                      <w:rFonts w:hint="eastAsia" w:ascii="Times New Roman" w:hAnsi="Times New Roman" w:eastAsia="宋体" w:cs="Times New Roman"/>
                      <w:color w:val="FF0000"/>
                      <w:szCs w:val="21"/>
                      <w:lang w:val="en-US" w:eastAsia="zh-CN"/>
                    </w:rPr>
                    <w:t>臭气浓度</w:t>
                  </w:r>
                </w:p>
              </w:tc>
              <w:tc>
                <w:tcPr>
                  <w:tcW w:w="2140" w:type="pct"/>
                  <w:tcBorders>
                    <w:tl2br w:val="nil"/>
                    <w:tr2bl w:val="nil"/>
                  </w:tcBorders>
                  <w:shd w:val="clear" w:color="auto" w:fill="auto"/>
                  <w:vAlign w:val="center"/>
                </w:tcPr>
                <w:p w14:paraId="5FF59047">
                  <w:pPr>
                    <w:jc w:val="center"/>
                    <w:rPr>
                      <w:rFonts w:ascii="Times New Roman" w:hAnsi="Times New Roman" w:eastAsia="宋体" w:cs="Times New Roman"/>
                      <w:color w:val="FF0000"/>
                      <w:szCs w:val="21"/>
                    </w:rPr>
                  </w:pPr>
                  <w:r>
                    <w:rPr>
                      <w:rFonts w:hint="eastAsia" w:ascii="Times New Roman" w:hAnsi="Times New Roman" w:eastAsia="宋体" w:cs="Times New Roman"/>
                      <w:color w:val="FF0000"/>
                      <w:szCs w:val="21"/>
                      <w:lang w:val="en-US" w:eastAsia="zh-CN"/>
                    </w:rPr>
                    <w:t>20（无量纲）</w:t>
                  </w:r>
                </w:p>
              </w:tc>
              <w:tc>
                <w:tcPr>
                  <w:tcW w:w="1316" w:type="pct"/>
                  <w:tcBorders>
                    <w:tl2br w:val="nil"/>
                    <w:tr2bl w:val="nil"/>
                  </w:tcBorders>
                  <w:vAlign w:val="center"/>
                </w:tcPr>
                <w:p w14:paraId="68EBEE4F">
                  <w:pPr>
                    <w:jc w:val="center"/>
                    <w:rPr>
                      <w:rFonts w:ascii="Times New Roman" w:hAnsi="Times New Roman" w:eastAsia="宋体" w:cs="Times New Roman"/>
                      <w:color w:val="FF0000"/>
                      <w:szCs w:val="21"/>
                    </w:rPr>
                  </w:pPr>
                  <w:r>
                    <w:rPr>
                      <w:rFonts w:hint="eastAsia" w:ascii="Times New Roman" w:hAnsi="Times New Roman" w:eastAsia="宋体" w:cs="Times New Roman"/>
                      <w:color w:val="FF0000"/>
                      <w:szCs w:val="21"/>
                    </w:rPr>
                    <w:t>企业边界</w:t>
                  </w:r>
                </w:p>
              </w:tc>
            </w:tr>
          </w:tbl>
          <w:p w14:paraId="3362048F">
            <w:pPr>
              <w:pStyle w:val="84"/>
              <w:spacing w:line="240" w:lineRule="auto"/>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（2）</w:t>
            </w:r>
            <w:r>
              <w:rPr>
                <w:color w:val="000000" w:themeColor="text1"/>
                <w14:textFill>
                  <w14:solidFill>
                    <w14:schemeClr w14:val="tx1"/>
                  </w14:solidFill>
                </w14:textFill>
              </w:rPr>
              <w:t>噪声排放标准</w:t>
            </w:r>
          </w:p>
          <w:p w14:paraId="5255B797">
            <w:pPr>
              <w:spacing w:line="500" w:lineRule="exact"/>
              <w:ind w:firstLine="480" w:firstLineChars="200"/>
              <w:rPr>
                <w:color w:val="000000" w:themeColor="text1"/>
                <w:sz w:val="24"/>
                <w:highlight w:val="green"/>
                <w14:textFill>
                  <w14:solidFill>
                    <w14:schemeClr w14:val="tx1"/>
                  </w14:solidFill>
                </w14:textFill>
              </w:rPr>
            </w:pPr>
            <w:r>
              <w:rPr>
                <w:rFonts w:hint="eastAsia"/>
                <w:color w:val="000000" w:themeColor="text1"/>
                <w:kern w:val="0"/>
                <w:sz w:val="24"/>
                <w:lang w:bidi="ar"/>
                <w14:textFill>
                  <w14:solidFill>
                    <w14:schemeClr w14:val="tx1"/>
                  </w14:solidFill>
                </w14:textFill>
              </w:rPr>
              <w:t>根据</w:t>
            </w:r>
            <w:r>
              <w:rPr>
                <w:color w:val="000000" w:themeColor="text1"/>
                <w:kern w:val="0"/>
                <w:sz w:val="24"/>
                <w:lang w:bidi="ar"/>
                <w14:textFill>
                  <w14:solidFill>
                    <w14:schemeClr w14:val="tx1"/>
                  </w14:solidFill>
                </w14:textFill>
              </w:rPr>
              <w:t>《北票市城市声环境功能区划调整方案》北政发〔2022〕13号</w:t>
            </w:r>
            <w:r>
              <w:rPr>
                <w:rFonts w:hint="eastAsia"/>
                <w:color w:val="000000" w:themeColor="text1"/>
                <w:kern w:val="0"/>
                <w:sz w:val="24"/>
                <w:lang w:bidi="ar"/>
                <w14:textFill>
                  <w14:solidFill>
                    <w14:schemeClr w14:val="tx1"/>
                  </w14:solidFill>
                </w14:textFill>
              </w:rPr>
              <w:t>，</w:t>
            </w:r>
            <w:r>
              <w:rPr>
                <w:color w:val="000000" w:themeColor="text1"/>
                <w:sz w:val="24"/>
                <w14:textFill>
                  <w14:solidFill>
                    <w14:schemeClr w14:val="tx1"/>
                  </w14:solidFill>
                </w14:textFill>
              </w:rPr>
              <w:t>本项目所在地</w:t>
            </w:r>
            <w:r>
              <w:rPr>
                <w:rFonts w:hint="eastAsia"/>
                <w:sz w:val="24"/>
              </w:rPr>
              <w:t>属于2类声环境功能区中的BP-SHJ-2-004 凉水河组团规划片区</w:t>
            </w:r>
            <w:r>
              <w:rPr>
                <w:rFonts w:hint="eastAsia"/>
                <w:color w:val="000000" w:themeColor="text1"/>
                <w:sz w:val="24"/>
                <w14:textFill>
                  <w14:solidFill>
                    <w14:schemeClr w14:val="tx1"/>
                  </w14:solidFill>
                </w14:textFill>
              </w:rPr>
              <w:t>，厂区西南侧紧邻宝锦线，属于4a类声环境功能区中的北票市中心城区主要交通干线，</w:t>
            </w:r>
            <w:r>
              <w:rPr>
                <w:rFonts w:hint="eastAsia"/>
                <w:color w:val="FF0000"/>
                <w:sz w:val="24"/>
              </w:rPr>
              <w:t>所以</w:t>
            </w:r>
            <w:r>
              <w:rPr>
                <w:color w:val="FF0000"/>
                <w:kern w:val="0"/>
                <w:sz w:val="24"/>
                <w:lang w:bidi="ar"/>
              </w:rPr>
              <w:t>本项目</w:t>
            </w:r>
            <w:r>
              <w:rPr>
                <w:rFonts w:hint="eastAsia"/>
                <w:color w:val="FF0000"/>
                <w:kern w:val="0"/>
                <w:sz w:val="24"/>
                <w:lang w:bidi="ar"/>
              </w:rPr>
              <w:t>厂区西侧、北侧、东侧</w:t>
            </w:r>
            <w:r>
              <w:rPr>
                <w:color w:val="FF0000"/>
                <w:kern w:val="0"/>
                <w:sz w:val="24"/>
                <w:lang w:bidi="ar"/>
              </w:rPr>
              <w:t>噪声</w:t>
            </w:r>
            <w:r>
              <w:rPr>
                <w:rFonts w:hint="eastAsia"/>
                <w:color w:val="FF0000"/>
                <w:kern w:val="0"/>
                <w:sz w:val="24"/>
                <w:lang w:val="en-US" w:eastAsia="zh-CN" w:bidi="ar"/>
              </w:rPr>
              <w:t>排放</w:t>
            </w:r>
            <w:r>
              <w:rPr>
                <w:color w:val="FF0000"/>
                <w:kern w:val="0"/>
                <w:sz w:val="24"/>
                <w:lang w:bidi="ar"/>
              </w:rPr>
              <w:t>执行国家《工业企业厂界环境噪声排放标准》（GB12348-2008）</w:t>
            </w:r>
            <w:r>
              <w:rPr>
                <w:rFonts w:hint="eastAsia"/>
                <w:color w:val="FF0000"/>
                <w:kern w:val="0"/>
                <w:sz w:val="24"/>
                <w:lang w:bidi="ar"/>
              </w:rPr>
              <w:t>2</w:t>
            </w:r>
            <w:r>
              <w:rPr>
                <w:color w:val="FF0000"/>
                <w:kern w:val="0"/>
                <w:sz w:val="24"/>
                <w:lang w:bidi="ar"/>
              </w:rPr>
              <w:t>类标准</w:t>
            </w:r>
            <w:r>
              <w:rPr>
                <w:rFonts w:hint="eastAsia"/>
                <w:color w:val="FF0000"/>
                <w:kern w:val="0"/>
                <w:sz w:val="24"/>
                <w:lang w:bidi="ar"/>
              </w:rPr>
              <w:t>，南侧</w:t>
            </w:r>
            <w:r>
              <w:rPr>
                <w:color w:val="FF0000"/>
                <w:kern w:val="0"/>
                <w:sz w:val="24"/>
                <w:lang w:bidi="ar"/>
              </w:rPr>
              <w:t>噪声</w:t>
            </w:r>
            <w:r>
              <w:rPr>
                <w:rFonts w:hint="eastAsia"/>
                <w:color w:val="FF0000"/>
                <w:kern w:val="0"/>
                <w:sz w:val="24"/>
                <w:lang w:val="en-US" w:eastAsia="zh-CN" w:bidi="ar"/>
              </w:rPr>
              <w:t>排放</w:t>
            </w:r>
            <w:r>
              <w:rPr>
                <w:color w:val="FF0000"/>
                <w:kern w:val="0"/>
                <w:sz w:val="24"/>
                <w:lang w:bidi="ar"/>
              </w:rPr>
              <w:t>执行国家《工业企业厂界环境噪声排放标准》（GB12348-2008）</w:t>
            </w:r>
            <w:r>
              <w:rPr>
                <w:rFonts w:hint="eastAsia"/>
                <w:color w:val="FF0000"/>
                <w:kern w:val="0"/>
                <w:sz w:val="24"/>
                <w:lang w:bidi="ar"/>
              </w:rPr>
              <w:t>4</w:t>
            </w:r>
            <w:r>
              <w:rPr>
                <w:color w:val="FF0000"/>
                <w:kern w:val="0"/>
                <w:sz w:val="24"/>
                <w:lang w:bidi="ar"/>
              </w:rPr>
              <w:t>类标准</w:t>
            </w:r>
            <w:r>
              <w:rPr>
                <w:rFonts w:hint="eastAsia"/>
                <w:color w:val="FF0000"/>
                <w:kern w:val="0"/>
                <w:sz w:val="24"/>
                <w:lang w:bidi="ar"/>
              </w:rPr>
              <w:t>。</w:t>
            </w:r>
          </w:p>
          <w:p w14:paraId="3D710D4C">
            <w:pPr>
              <w:spacing w:line="500" w:lineRule="exact"/>
              <w:jc w:val="center"/>
              <w:rPr>
                <w:b/>
                <w:bCs/>
                <w:color w:val="FF0000"/>
                <w:szCs w:val="21"/>
              </w:rPr>
            </w:pPr>
            <w:r>
              <w:rPr>
                <w:b/>
                <w:bCs/>
                <w:color w:val="FF0000"/>
                <w:szCs w:val="21"/>
              </w:rPr>
              <w:t>表3-1</w:t>
            </w:r>
            <w:r>
              <w:rPr>
                <w:rFonts w:hint="eastAsia"/>
                <w:b/>
                <w:bCs/>
                <w:color w:val="FF0000"/>
                <w:szCs w:val="21"/>
                <w:lang w:val="en-US" w:eastAsia="zh-CN"/>
              </w:rPr>
              <w:t>5</w:t>
            </w:r>
            <w:r>
              <w:rPr>
                <w:b/>
                <w:bCs/>
                <w:color w:val="FF0000"/>
                <w:szCs w:val="21"/>
              </w:rPr>
              <w:t xml:space="preserve">  工业企业厂界环境噪声排放标准   单位：dB（A）</w:t>
            </w:r>
          </w:p>
          <w:tbl>
            <w:tblPr>
              <w:tblStyle w:val="35"/>
              <w:tblW w:w="7985" w:type="dxa"/>
              <w:tblInd w:w="0" w:type="dxa"/>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949"/>
              <w:gridCol w:w="1335"/>
              <w:gridCol w:w="2795"/>
              <w:gridCol w:w="2906"/>
            </w:tblGrid>
            <w:tr w14:paraId="23908454">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594" w:type="pct"/>
                  <w:vMerge w:val="restart"/>
                  <w:tcBorders>
                    <w:tl2br w:val="nil"/>
                    <w:tr2bl w:val="nil"/>
                  </w:tcBorders>
                  <w:vAlign w:val="center"/>
                </w:tcPr>
                <w:p w14:paraId="3517F699">
                  <w:pPr>
                    <w:pStyle w:val="86"/>
                    <w:rPr>
                      <w:color w:val="FF0000"/>
                    </w:rPr>
                  </w:pPr>
                  <w:r>
                    <w:rPr>
                      <w:rFonts w:hint="eastAsia"/>
                      <w:color w:val="FF0000"/>
                    </w:rPr>
                    <w:t>类别</w:t>
                  </w:r>
                </w:p>
              </w:tc>
              <w:tc>
                <w:tcPr>
                  <w:tcW w:w="836" w:type="pct"/>
                  <w:vMerge w:val="restart"/>
                  <w:tcBorders>
                    <w:tl2br w:val="nil"/>
                    <w:tr2bl w:val="nil"/>
                  </w:tcBorders>
                  <w:vAlign w:val="center"/>
                </w:tcPr>
                <w:p w14:paraId="735C2B30">
                  <w:pPr>
                    <w:pStyle w:val="86"/>
                    <w:rPr>
                      <w:color w:val="FF0000"/>
                    </w:rPr>
                  </w:pPr>
                  <w:r>
                    <w:rPr>
                      <w:rFonts w:hint="eastAsia"/>
                      <w:color w:val="FF0000"/>
                    </w:rPr>
                    <w:t>厂界</w:t>
                  </w:r>
                </w:p>
              </w:tc>
              <w:tc>
                <w:tcPr>
                  <w:tcW w:w="3569" w:type="pct"/>
                  <w:gridSpan w:val="2"/>
                  <w:tcBorders>
                    <w:tl2br w:val="nil"/>
                    <w:tr2bl w:val="nil"/>
                  </w:tcBorders>
                  <w:vAlign w:val="center"/>
                </w:tcPr>
                <w:p w14:paraId="31F1C7F3">
                  <w:pPr>
                    <w:pStyle w:val="86"/>
                    <w:rPr>
                      <w:color w:val="FF0000"/>
                    </w:rPr>
                  </w:pPr>
                  <w:r>
                    <w:rPr>
                      <w:rFonts w:hint="eastAsia"/>
                      <w:color w:val="FF0000"/>
                    </w:rPr>
                    <w:t>时段</w:t>
                  </w:r>
                </w:p>
              </w:tc>
            </w:tr>
            <w:tr w14:paraId="0C6F4325">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594" w:type="pct"/>
                  <w:vMerge w:val="continue"/>
                  <w:tcBorders>
                    <w:tl2br w:val="nil"/>
                    <w:tr2bl w:val="nil"/>
                  </w:tcBorders>
                  <w:vAlign w:val="center"/>
                </w:tcPr>
                <w:p w14:paraId="7A315631">
                  <w:pPr>
                    <w:pStyle w:val="86"/>
                    <w:rPr>
                      <w:color w:val="FF0000"/>
                    </w:rPr>
                  </w:pPr>
                </w:p>
              </w:tc>
              <w:tc>
                <w:tcPr>
                  <w:tcW w:w="836" w:type="pct"/>
                  <w:vMerge w:val="continue"/>
                  <w:tcBorders>
                    <w:tl2br w:val="nil"/>
                    <w:tr2bl w:val="nil"/>
                  </w:tcBorders>
                  <w:vAlign w:val="center"/>
                </w:tcPr>
                <w:p w14:paraId="51C4812C">
                  <w:pPr>
                    <w:pStyle w:val="86"/>
                    <w:rPr>
                      <w:color w:val="FF0000"/>
                    </w:rPr>
                  </w:pPr>
                </w:p>
              </w:tc>
              <w:tc>
                <w:tcPr>
                  <w:tcW w:w="1750" w:type="pct"/>
                  <w:tcBorders>
                    <w:tl2br w:val="nil"/>
                    <w:tr2bl w:val="nil"/>
                  </w:tcBorders>
                  <w:vAlign w:val="center"/>
                </w:tcPr>
                <w:p w14:paraId="7A9C5A0F">
                  <w:pPr>
                    <w:pStyle w:val="86"/>
                    <w:rPr>
                      <w:color w:val="FF0000"/>
                    </w:rPr>
                  </w:pPr>
                  <w:r>
                    <w:rPr>
                      <w:rFonts w:hint="eastAsia"/>
                      <w:color w:val="FF0000"/>
                    </w:rPr>
                    <w:t>昼间</w:t>
                  </w:r>
                </w:p>
              </w:tc>
              <w:tc>
                <w:tcPr>
                  <w:tcW w:w="1819" w:type="pct"/>
                  <w:tcBorders>
                    <w:tl2br w:val="nil"/>
                    <w:tr2bl w:val="nil"/>
                  </w:tcBorders>
                  <w:vAlign w:val="center"/>
                </w:tcPr>
                <w:p w14:paraId="5B37F2ED">
                  <w:pPr>
                    <w:pStyle w:val="86"/>
                    <w:rPr>
                      <w:color w:val="FF0000"/>
                    </w:rPr>
                  </w:pPr>
                  <w:r>
                    <w:rPr>
                      <w:rFonts w:hint="eastAsia"/>
                      <w:color w:val="FF0000"/>
                    </w:rPr>
                    <w:t>夜间</w:t>
                  </w:r>
                </w:p>
              </w:tc>
            </w:tr>
            <w:tr w14:paraId="54C5142E">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32" w:hRule="atLeast"/>
              </w:trPr>
              <w:tc>
                <w:tcPr>
                  <w:tcW w:w="594" w:type="pct"/>
                  <w:vMerge w:val="restart"/>
                  <w:tcBorders>
                    <w:tl2br w:val="nil"/>
                    <w:tr2bl w:val="nil"/>
                  </w:tcBorders>
                  <w:vAlign w:val="center"/>
                </w:tcPr>
                <w:p w14:paraId="236F9C23">
                  <w:pPr>
                    <w:pStyle w:val="86"/>
                    <w:rPr>
                      <w:color w:val="FF0000"/>
                    </w:rPr>
                  </w:pPr>
                  <w:r>
                    <w:rPr>
                      <w:rFonts w:hint="eastAsia"/>
                      <w:color w:val="FF0000"/>
                    </w:rPr>
                    <w:t>2类</w:t>
                  </w:r>
                </w:p>
              </w:tc>
              <w:tc>
                <w:tcPr>
                  <w:tcW w:w="836" w:type="pct"/>
                  <w:tcBorders>
                    <w:tl2br w:val="nil"/>
                    <w:tr2bl w:val="nil"/>
                  </w:tcBorders>
                  <w:vAlign w:val="center"/>
                </w:tcPr>
                <w:p w14:paraId="0BC5BF50">
                  <w:pPr>
                    <w:pStyle w:val="86"/>
                    <w:rPr>
                      <w:color w:val="FF0000"/>
                    </w:rPr>
                  </w:pPr>
                  <w:r>
                    <w:rPr>
                      <w:rFonts w:hint="eastAsia"/>
                      <w:color w:val="FF0000"/>
                    </w:rPr>
                    <w:t>西北</w:t>
                  </w:r>
                </w:p>
              </w:tc>
              <w:tc>
                <w:tcPr>
                  <w:tcW w:w="1750" w:type="pct"/>
                  <w:tcBorders>
                    <w:tl2br w:val="nil"/>
                    <w:tr2bl w:val="nil"/>
                  </w:tcBorders>
                  <w:vAlign w:val="center"/>
                </w:tcPr>
                <w:p w14:paraId="3C491650">
                  <w:pPr>
                    <w:pStyle w:val="86"/>
                    <w:rPr>
                      <w:color w:val="FF0000"/>
                    </w:rPr>
                  </w:pPr>
                  <w:r>
                    <w:rPr>
                      <w:rFonts w:hint="eastAsia"/>
                      <w:color w:val="FF0000"/>
                    </w:rPr>
                    <w:t>60</w:t>
                  </w:r>
                </w:p>
              </w:tc>
              <w:tc>
                <w:tcPr>
                  <w:tcW w:w="1819" w:type="pct"/>
                  <w:tcBorders>
                    <w:tl2br w:val="nil"/>
                    <w:tr2bl w:val="nil"/>
                  </w:tcBorders>
                  <w:vAlign w:val="center"/>
                </w:tcPr>
                <w:p w14:paraId="5AE9C205">
                  <w:pPr>
                    <w:pStyle w:val="86"/>
                    <w:rPr>
                      <w:color w:val="FF0000"/>
                    </w:rPr>
                  </w:pPr>
                  <w:r>
                    <w:rPr>
                      <w:rFonts w:hint="eastAsia"/>
                      <w:color w:val="FF0000"/>
                    </w:rPr>
                    <w:t>50</w:t>
                  </w:r>
                </w:p>
              </w:tc>
            </w:tr>
            <w:tr w14:paraId="113A5BE2">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594" w:type="pct"/>
                  <w:vMerge w:val="continue"/>
                  <w:tcBorders>
                    <w:tl2br w:val="nil"/>
                    <w:tr2bl w:val="nil"/>
                  </w:tcBorders>
                  <w:vAlign w:val="center"/>
                </w:tcPr>
                <w:p w14:paraId="27A404CD">
                  <w:pPr>
                    <w:pStyle w:val="86"/>
                    <w:rPr>
                      <w:color w:val="FF0000"/>
                    </w:rPr>
                  </w:pPr>
                </w:p>
              </w:tc>
              <w:tc>
                <w:tcPr>
                  <w:tcW w:w="836" w:type="pct"/>
                  <w:tcBorders>
                    <w:tl2br w:val="nil"/>
                    <w:tr2bl w:val="nil"/>
                  </w:tcBorders>
                  <w:vAlign w:val="center"/>
                </w:tcPr>
                <w:p w14:paraId="5A58E903">
                  <w:pPr>
                    <w:pStyle w:val="86"/>
                    <w:rPr>
                      <w:color w:val="FF0000"/>
                    </w:rPr>
                  </w:pPr>
                  <w:r>
                    <w:rPr>
                      <w:rFonts w:hint="eastAsia"/>
                      <w:color w:val="FF0000"/>
                    </w:rPr>
                    <w:t>东北</w:t>
                  </w:r>
                </w:p>
              </w:tc>
              <w:tc>
                <w:tcPr>
                  <w:tcW w:w="1750" w:type="pct"/>
                  <w:tcBorders>
                    <w:tl2br w:val="nil"/>
                    <w:tr2bl w:val="nil"/>
                  </w:tcBorders>
                  <w:vAlign w:val="center"/>
                </w:tcPr>
                <w:p w14:paraId="1FF00F4E">
                  <w:pPr>
                    <w:pStyle w:val="86"/>
                    <w:rPr>
                      <w:color w:val="FF0000"/>
                    </w:rPr>
                  </w:pPr>
                  <w:r>
                    <w:rPr>
                      <w:rFonts w:hint="eastAsia"/>
                      <w:color w:val="FF0000"/>
                    </w:rPr>
                    <w:t>60</w:t>
                  </w:r>
                </w:p>
              </w:tc>
              <w:tc>
                <w:tcPr>
                  <w:tcW w:w="1819" w:type="pct"/>
                  <w:tcBorders>
                    <w:tl2br w:val="nil"/>
                    <w:tr2bl w:val="nil"/>
                  </w:tcBorders>
                  <w:vAlign w:val="center"/>
                </w:tcPr>
                <w:p w14:paraId="5787D670">
                  <w:pPr>
                    <w:pStyle w:val="86"/>
                    <w:rPr>
                      <w:color w:val="FF0000"/>
                    </w:rPr>
                  </w:pPr>
                  <w:r>
                    <w:rPr>
                      <w:rFonts w:hint="eastAsia"/>
                      <w:color w:val="FF0000"/>
                    </w:rPr>
                    <w:t>50</w:t>
                  </w:r>
                </w:p>
              </w:tc>
            </w:tr>
            <w:tr w14:paraId="094841CA">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32" w:hRule="atLeast"/>
              </w:trPr>
              <w:tc>
                <w:tcPr>
                  <w:tcW w:w="594" w:type="pct"/>
                  <w:vMerge w:val="continue"/>
                  <w:tcBorders>
                    <w:tl2br w:val="nil"/>
                    <w:tr2bl w:val="nil"/>
                  </w:tcBorders>
                  <w:vAlign w:val="center"/>
                </w:tcPr>
                <w:p w14:paraId="06E3B4BD">
                  <w:pPr>
                    <w:pStyle w:val="86"/>
                    <w:rPr>
                      <w:color w:val="FF0000"/>
                    </w:rPr>
                  </w:pPr>
                </w:p>
              </w:tc>
              <w:tc>
                <w:tcPr>
                  <w:tcW w:w="836" w:type="pct"/>
                  <w:tcBorders>
                    <w:tl2br w:val="nil"/>
                    <w:tr2bl w:val="nil"/>
                  </w:tcBorders>
                  <w:vAlign w:val="center"/>
                </w:tcPr>
                <w:p w14:paraId="68995CA6">
                  <w:pPr>
                    <w:pStyle w:val="86"/>
                    <w:rPr>
                      <w:color w:val="FF0000"/>
                    </w:rPr>
                  </w:pPr>
                  <w:r>
                    <w:rPr>
                      <w:rFonts w:hint="eastAsia"/>
                      <w:color w:val="FF0000"/>
                    </w:rPr>
                    <w:t>东南</w:t>
                  </w:r>
                </w:p>
              </w:tc>
              <w:tc>
                <w:tcPr>
                  <w:tcW w:w="1750" w:type="pct"/>
                  <w:tcBorders>
                    <w:tl2br w:val="nil"/>
                    <w:tr2bl w:val="nil"/>
                  </w:tcBorders>
                  <w:vAlign w:val="center"/>
                </w:tcPr>
                <w:p w14:paraId="5E8429AA">
                  <w:pPr>
                    <w:pStyle w:val="86"/>
                    <w:rPr>
                      <w:color w:val="FF0000"/>
                    </w:rPr>
                  </w:pPr>
                  <w:r>
                    <w:rPr>
                      <w:rFonts w:hint="eastAsia"/>
                      <w:color w:val="FF0000"/>
                    </w:rPr>
                    <w:t>60</w:t>
                  </w:r>
                </w:p>
              </w:tc>
              <w:tc>
                <w:tcPr>
                  <w:tcW w:w="1819" w:type="pct"/>
                  <w:tcBorders>
                    <w:tl2br w:val="nil"/>
                    <w:tr2bl w:val="nil"/>
                  </w:tcBorders>
                  <w:vAlign w:val="center"/>
                </w:tcPr>
                <w:p w14:paraId="0F3F450A">
                  <w:pPr>
                    <w:pStyle w:val="86"/>
                    <w:rPr>
                      <w:color w:val="FF0000"/>
                    </w:rPr>
                  </w:pPr>
                  <w:r>
                    <w:rPr>
                      <w:rFonts w:hint="eastAsia"/>
                      <w:color w:val="FF0000"/>
                    </w:rPr>
                    <w:t>50</w:t>
                  </w:r>
                </w:p>
              </w:tc>
            </w:tr>
            <w:tr w14:paraId="29F058B3">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594" w:type="pct"/>
                  <w:tcBorders>
                    <w:tl2br w:val="nil"/>
                    <w:tr2bl w:val="nil"/>
                  </w:tcBorders>
                  <w:vAlign w:val="center"/>
                </w:tcPr>
                <w:p w14:paraId="34109BDB">
                  <w:pPr>
                    <w:pStyle w:val="86"/>
                    <w:rPr>
                      <w:color w:val="FF0000"/>
                    </w:rPr>
                  </w:pPr>
                  <w:r>
                    <w:rPr>
                      <w:rFonts w:hint="eastAsia"/>
                      <w:color w:val="FF0000"/>
                    </w:rPr>
                    <w:t>4类</w:t>
                  </w:r>
                </w:p>
              </w:tc>
              <w:tc>
                <w:tcPr>
                  <w:tcW w:w="836" w:type="pct"/>
                  <w:tcBorders>
                    <w:tl2br w:val="nil"/>
                    <w:tr2bl w:val="nil"/>
                  </w:tcBorders>
                  <w:vAlign w:val="center"/>
                </w:tcPr>
                <w:p w14:paraId="7C37E03F">
                  <w:pPr>
                    <w:pStyle w:val="86"/>
                    <w:rPr>
                      <w:color w:val="FF0000"/>
                    </w:rPr>
                  </w:pPr>
                  <w:r>
                    <w:rPr>
                      <w:rFonts w:hint="eastAsia"/>
                      <w:color w:val="FF0000"/>
                    </w:rPr>
                    <w:t>西南</w:t>
                  </w:r>
                </w:p>
              </w:tc>
              <w:tc>
                <w:tcPr>
                  <w:tcW w:w="1750" w:type="pct"/>
                  <w:tcBorders>
                    <w:tl2br w:val="nil"/>
                    <w:tr2bl w:val="nil"/>
                  </w:tcBorders>
                  <w:vAlign w:val="center"/>
                </w:tcPr>
                <w:p w14:paraId="06A2B9DD">
                  <w:pPr>
                    <w:pStyle w:val="86"/>
                    <w:rPr>
                      <w:color w:val="FF0000"/>
                    </w:rPr>
                  </w:pPr>
                  <w:r>
                    <w:rPr>
                      <w:rFonts w:hint="eastAsia"/>
                      <w:color w:val="FF0000"/>
                    </w:rPr>
                    <w:t>70</w:t>
                  </w:r>
                </w:p>
              </w:tc>
              <w:tc>
                <w:tcPr>
                  <w:tcW w:w="1819" w:type="pct"/>
                  <w:tcBorders>
                    <w:tl2br w:val="nil"/>
                    <w:tr2bl w:val="nil"/>
                  </w:tcBorders>
                  <w:vAlign w:val="center"/>
                </w:tcPr>
                <w:p w14:paraId="2BC11932">
                  <w:pPr>
                    <w:pStyle w:val="86"/>
                    <w:rPr>
                      <w:color w:val="FF0000"/>
                    </w:rPr>
                  </w:pPr>
                  <w:r>
                    <w:rPr>
                      <w:rFonts w:hint="eastAsia"/>
                      <w:color w:val="FF0000"/>
                    </w:rPr>
                    <w:t>55</w:t>
                  </w:r>
                </w:p>
              </w:tc>
            </w:tr>
          </w:tbl>
          <w:p w14:paraId="04879416">
            <w:pPr>
              <w:adjustRightInd w:val="0"/>
              <w:snapToGrid w:val="0"/>
              <w:spacing w:line="360" w:lineRule="auto"/>
              <w:ind w:firstLine="480" w:firstLineChars="200"/>
              <w:rPr>
                <w:color w:val="000000" w:themeColor="text1"/>
                <w:sz w:val="24"/>
                <w:szCs w:val="32"/>
                <w14:textFill>
                  <w14:solidFill>
                    <w14:schemeClr w14:val="tx1"/>
                  </w14:solidFill>
                </w14:textFill>
              </w:rPr>
            </w:pPr>
            <w:r>
              <w:rPr>
                <w:rFonts w:hint="eastAsia"/>
                <w:color w:val="000000" w:themeColor="text1"/>
                <w:sz w:val="24"/>
                <w:szCs w:val="32"/>
                <w14:textFill>
                  <w14:solidFill>
                    <w14:schemeClr w14:val="tx1"/>
                  </w14:solidFill>
                </w14:textFill>
              </w:rPr>
              <w:t>（3）</w:t>
            </w:r>
            <w:r>
              <w:rPr>
                <w:color w:val="000000" w:themeColor="text1"/>
                <w:sz w:val="24"/>
                <w:szCs w:val="32"/>
                <w14:textFill>
                  <w14:solidFill>
                    <w14:schemeClr w14:val="tx1"/>
                  </w14:solidFill>
                </w14:textFill>
              </w:rPr>
              <w:t>水污染物排放控制标准</w:t>
            </w:r>
          </w:p>
          <w:p w14:paraId="6048C74A">
            <w:pPr>
              <w:adjustRightInd w:val="0"/>
              <w:snapToGrid w:val="0"/>
              <w:spacing w:line="360" w:lineRule="auto"/>
              <w:ind w:firstLine="480" w:firstLineChars="200"/>
              <w:rPr>
                <w:color w:val="000000" w:themeColor="text1"/>
                <w:sz w:val="24"/>
                <w:szCs w:val="32"/>
                <w14:textFill>
                  <w14:solidFill>
                    <w14:schemeClr w14:val="tx1"/>
                  </w14:solidFill>
                </w14:textFill>
              </w:rPr>
            </w:pPr>
            <w:r>
              <w:rPr>
                <w:color w:val="000000" w:themeColor="text1"/>
                <w:sz w:val="24"/>
                <w:szCs w:val="32"/>
                <w14:textFill>
                  <w14:solidFill>
                    <w14:schemeClr w14:val="tx1"/>
                  </w14:solidFill>
                </w14:textFill>
              </w:rPr>
              <w:t>本项目排放废水主要为生活污水、汽车发动机清洗</w:t>
            </w:r>
            <w:r>
              <w:rPr>
                <w:rFonts w:hint="eastAsia"/>
                <w:color w:val="000000" w:themeColor="text1"/>
                <w:sz w:val="24"/>
                <w:szCs w:val="32"/>
                <w14:textFill>
                  <w14:solidFill>
                    <w14:schemeClr w14:val="tx1"/>
                  </w14:solidFill>
                </w14:textFill>
              </w:rPr>
              <w:t>废</w:t>
            </w:r>
            <w:r>
              <w:rPr>
                <w:color w:val="000000" w:themeColor="text1"/>
                <w:sz w:val="24"/>
                <w:szCs w:val="32"/>
                <w14:textFill>
                  <w14:solidFill>
                    <w14:schemeClr w14:val="tx1"/>
                  </w14:solidFill>
                </w14:textFill>
              </w:rPr>
              <w:t>水</w:t>
            </w:r>
            <w:r>
              <w:rPr>
                <w:rFonts w:hint="eastAsia"/>
                <w:color w:val="000000" w:themeColor="text1"/>
                <w:sz w:val="24"/>
                <w:szCs w:val="32"/>
                <w14:textFill>
                  <w14:solidFill>
                    <w14:schemeClr w14:val="tx1"/>
                  </w14:solidFill>
                </w14:textFill>
              </w:rPr>
              <w:t>、地面冲洗废水、初期雨水</w:t>
            </w:r>
            <w:r>
              <w:rPr>
                <w:color w:val="000000" w:themeColor="text1"/>
                <w:sz w:val="24"/>
                <w:szCs w:val="32"/>
                <w14:textFill>
                  <w14:solidFill>
                    <w14:schemeClr w14:val="tx1"/>
                  </w14:solidFill>
                </w14:textFill>
              </w:rPr>
              <w:t>经对应的</w:t>
            </w:r>
            <w:r>
              <w:rPr>
                <w:rFonts w:hint="eastAsia"/>
                <w:color w:val="000000" w:themeColor="text1"/>
                <w:sz w:val="24"/>
                <w:szCs w:val="32"/>
                <w14:textFill>
                  <w14:solidFill>
                    <w14:schemeClr w14:val="tx1"/>
                  </w14:solidFill>
                </w14:textFill>
              </w:rPr>
              <w:t>防渗化粪池和</w:t>
            </w:r>
            <w:r>
              <w:rPr>
                <w:color w:val="000000" w:themeColor="text1"/>
                <w:sz w:val="24"/>
                <w:szCs w:val="32"/>
                <w14:textFill>
                  <w14:solidFill>
                    <w14:schemeClr w14:val="tx1"/>
                  </w14:solidFill>
                </w14:textFill>
              </w:rPr>
              <w:t>污水处理站预处理后</w:t>
            </w:r>
            <w:r>
              <w:rPr>
                <w:rFonts w:hint="eastAsia"/>
                <w:color w:val="000000" w:themeColor="text1"/>
                <w:sz w:val="24"/>
                <w:szCs w:val="32"/>
                <w14:textFill>
                  <w14:solidFill>
                    <w14:schemeClr w14:val="tx1"/>
                  </w14:solidFill>
                </w14:textFill>
              </w:rPr>
              <w:t>通过管网排入北票市</w:t>
            </w:r>
            <w:r>
              <w:rPr>
                <w:color w:val="000000" w:themeColor="text1"/>
                <w:sz w:val="24"/>
                <w:szCs w:val="32"/>
                <w14:textFill>
                  <w14:solidFill>
                    <w14:schemeClr w14:val="tx1"/>
                  </w14:solidFill>
                </w14:textFill>
              </w:rPr>
              <w:t>污水处理厂。本项目废水排放执行</w:t>
            </w:r>
            <w:r>
              <w:rPr>
                <w:spacing w:val="14"/>
                <w:sz w:val="24"/>
              </w:rPr>
              <w:t>《辽宁省污水综合排放标准》</w:t>
            </w:r>
            <w:r>
              <w:rPr>
                <w:spacing w:val="-3"/>
                <w:sz w:val="24"/>
              </w:rPr>
              <w:t>（</w:t>
            </w:r>
            <w:r>
              <w:rPr>
                <w:rFonts w:eastAsia="Times New Roman"/>
                <w:spacing w:val="-3"/>
                <w:sz w:val="24"/>
              </w:rPr>
              <w:t>DB21/1627-2008</w:t>
            </w:r>
            <w:r>
              <w:rPr>
                <w:spacing w:val="-3"/>
                <w:sz w:val="24"/>
              </w:rPr>
              <w:t>）表</w:t>
            </w:r>
            <w:r>
              <w:rPr>
                <w:rFonts w:hint="eastAsia"/>
                <w:spacing w:val="-3"/>
                <w:sz w:val="24"/>
              </w:rPr>
              <w:t>2</w:t>
            </w:r>
            <w:r>
              <w:rPr>
                <w:spacing w:val="-3"/>
                <w:sz w:val="24"/>
              </w:rPr>
              <w:t>中排入污水处理厂标准限制要求，</w:t>
            </w:r>
            <w:r>
              <w:rPr>
                <w:rFonts w:eastAsia="Times New Roman"/>
                <w:spacing w:val="-3"/>
                <w:sz w:val="24"/>
              </w:rPr>
              <w:t>pH</w:t>
            </w:r>
            <w:r>
              <w:rPr>
                <w:spacing w:val="-3"/>
                <w:sz w:val="24"/>
              </w:rPr>
              <w:t>值执行《污水综</w:t>
            </w:r>
            <w:r>
              <w:rPr>
                <w:spacing w:val="-1"/>
                <w:sz w:val="24"/>
              </w:rPr>
              <w:t>合排放标准》（</w:t>
            </w:r>
            <w:r>
              <w:rPr>
                <w:rFonts w:eastAsia="Times New Roman"/>
                <w:spacing w:val="-1"/>
                <w:sz w:val="24"/>
              </w:rPr>
              <w:t>GB8978-1996</w:t>
            </w:r>
            <w:r>
              <w:rPr>
                <w:spacing w:val="-1"/>
                <w:sz w:val="24"/>
              </w:rPr>
              <w:t>）表</w:t>
            </w:r>
            <w:r>
              <w:rPr>
                <w:rFonts w:eastAsia="Times New Roman"/>
                <w:spacing w:val="-1"/>
                <w:sz w:val="24"/>
              </w:rPr>
              <w:t>2</w:t>
            </w:r>
            <w:r>
              <w:rPr>
                <w:spacing w:val="-1"/>
                <w:sz w:val="24"/>
              </w:rPr>
              <w:t>浓度要求</w:t>
            </w:r>
            <w:r>
              <w:rPr>
                <w:rFonts w:hint="eastAsia"/>
                <w:spacing w:val="-1"/>
                <w:sz w:val="24"/>
              </w:rPr>
              <w:t>，</w:t>
            </w:r>
            <w:r>
              <w:rPr>
                <w:color w:val="000000" w:themeColor="text1"/>
                <w:sz w:val="24"/>
                <w:szCs w:val="32"/>
                <w14:textFill>
                  <w14:solidFill>
                    <w14:schemeClr w14:val="tx1"/>
                  </w14:solidFill>
                </w14:textFill>
              </w:rPr>
              <w:t>具体指标见表3-</w:t>
            </w:r>
            <w:r>
              <w:rPr>
                <w:rFonts w:hint="eastAsia"/>
                <w:color w:val="000000" w:themeColor="text1"/>
                <w:sz w:val="24"/>
                <w:szCs w:val="32"/>
                <w14:textFill>
                  <w14:solidFill>
                    <w14:schemeClr w14:val="tx1"/>
                  </w14:solidFill>
                </w14:textFill>
              </w:rPr>
              <w:t>1</w:t>
            </w:r>
            <w:r>
              <w:rPr>
                <w:rFonts w:hint="eastAsia"/>
                <w:color w:val="000000" w:themeColor="text1"/>
                <w:sz w:val="24"/>
                <w:szCs w:val="32"/>
                <w:lang w:val="en-US" w:eastAsia="zh-CN"/>
                <w14:textFill>
                  <w14:solidFill>
                    <w14:schemeClr w14:val="tx1"/>
                  </w14:solidFill>
                </w14:textFill>
              </w:rPr>
              <w:t>6</w:t>
            </w:r>
            <w:r>
              <w:rPr>
                <w:color w:val="000000" w:themeColor="text1"/>
                <w:sz w:val="24"/>
                <w:szCs w:val="32"/>
                <w14:textFill>
                  <w14:solidFill>
                    <w14:schemeClr w14:val="tx1"/>
                  </w14:solidFill>
                </w14:textFill>
              </w:rPr>
              <w:t>。</w:t>
            </w:r>
          </w:p>
          <w:p w14:paraId="63123DAB">
            <w:pPr>
              <w:jc w:val="center"/>
              <w:rPr>
                <w:b/>
                <w:color w:val="000000"/>
                <w:szCs w:val="21"/>
              </w:rPr>
            </w:pPr>
            <w:r>
              <w:rPr>
                <w:b/>
                <w:color w:val="000000"/>
                <w:szCs w:val="21"/>
              </w:rPr>
              <w:t>表3-</w:t>
            </w:r>
            <w:r>
              <w:rPr>
                <w:rFonts w:hint="eastAsia"/>
                <w:b/>
                <w:color w:val="000000"/>
                <w:szCs w:val="21"/>
              </w:rPr>
              <w:t>1</w:t>
            </w:r>
            <w:r>
              <w:rPr>
                <w:rFonts w:hint="eastAsia"/>
                <w:b/>
                <w:color w:val="000000"/>
                <w:szCs w:val="21"/>
                <w:lang w:val="en-US" w:eastAsia="zh-CN"/>
              </w:rPr>
              <w:t>6</w:t>
            </w:r>
            <w:r>
              <w:rPr>
                <w:b/>
                <w:color w:val="000000"/>
                <w:szCs w:val="21"/>
              </w:rPr>
              <w:t xml:space="preserve">  废水排放标准</w:t>
            </w:r>
          </w:p>
          <w:tbl>
            <w:tblPr>
              <w:tblStyle w:val="34"/>
              <w:tblW w:w="4998" w:type="pct"/>
              <w:jc w:val="center"/>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875"/>
              <w:gridCol w:w="1464"/>
              <w:gridCol w:w="1249"/>
              <w:gridCol w:w="3010"/>
              <w:gridCol w:w="1384"/>
            </w:tblGrid>
            <w:tr w14:paraId="3E8D5AFD">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16" w:hRule="atLeast"/>
                <w:jc w:val="center"/>
              </w:trPr>
              <w:tc>
                <w:tcPr>
                  <w:tcW w:w="548" w:type="pct"/>
                  <w:tcBorders>
                    <w:tl2br w:val="nil"/>
                    <w:tr2bl w:val="nil"/>
                  </w:tcBorders>
                  <w:vAlign w:val="center"/>
                </w:tcPr>
                <w:p w14:paraId="4DD4B684">
                  <w:pPr>
                    <w:spacing w:line="360" w:lineRule="exact"/>
                    <w:jc w:val="center"/>
                    <w:rPr>
                      <w:b/>
                      <w:color w:val="000000"/>
                      <w:szCs w:val="21"/>
                    </w:rPr>
                  </w:pPr>
                  <w:r>
                    <w:rPr>
                      <w:b/>
                      <w:color w:val="000000"/>
                      <w:szCs w:val="21"/>
                    </w:rPr>
                    <w:t>序号</w:t>
                  </w:r>
                </w:p>
              </w:tc>
              <w:tc>
                <w:tcPr>
                  <w:tcW w:w="917" w:type="pct"/>
                  <w:tcBorders>
                    <w:tl2br w:val="nil"/>
                    <w:tr2bl w:val="nil"/>
                  </w:tcBorders>
                  <w:vAlign w:val="center"/>
                </w:tcPr>
                <w:p w14:paraId="746AC748">
                  <w:pPr>
                    <w:spacing w:line="360" w:lineRule="exact"/>
                    <w:jc w:val="center"/>
                    <w:rPr>
                      <w:b/>
                      <w:color w:val="000000"/>
                      <w:szCs w:val="21"/>
                    </w:rPr>
                  </w:pPr>
                  <w:r>
                    <w:rPr>
                      <w:b/>
                      <w:color w:val="000000"/>
                      <w:szCs w:val="21"/>
                    </w:rPr>
                    <w:t>污染物</w:t>
                  </w:r>
                </w:p>
                <w:p w14:paraId="3F6C137C">
                  <w:pPr>
                    <w:spacing w:line="360" w:lineRule="exact"/>
                    <w:jc w:val="center"/>
                    <w:rPr>
                      <w:b/>
                      <w:color w:val="000000"/>
                      <w:szCs w:val="21"/>
                    </w:rPr>
                  </w:pPr>
                  <w:r>
                    <w:rPr>
                      <w:b/>
                      <w:color w:val="000000"/>
                      <w:szCs w:val="21"/>
                    </w:rPr>
                    <w:t>项目</w:t>
                  </w:r>
                </w:p>
              </w:tc>
              <w:tc>
                <w:tcPr>
                  <w:tcW w:w="782" w:type="pct"/>
                  <w:tcBorders>
                    <w:tl2br w:val="nil"/>
                    <w:tr2bl w:val="nil"/>
                  </w:tcBorders>
                  <w:vAlign w:val="center"/>
                </w:tcPr>
                <w:p w14:paraId="30345F7A">
                  <w:pPr>
                    <w:spacing w:line="360" w:lineRule="exact"/>
                    <w:jc w:val="center"/>
                    <w:rPr>
                      <w:b/>
                      <w:color w:val="000000"/>
                      <w:szCs w:val="21"/>
                    </w:rPr>
                  </w:pPr>
                  <w:r>
                    <w:rPr>
                      <w:b/>
                      <w:color w:val="000000"/>
                      <w:szCs w:val="21"/>
                    </w:rPr>
                    <w:t>单位</w:t>
                  </w:r>
                </w:p>
              </w:tc>
              <w:tc>
                <w:tcPr>
                  <w:tcW w:w="1885" w:type="pct"/>
                  <w:tcBorders>
                    <w:tl2br w:val="nil"/>
                    <w:tr2bl w:val="nil"/>
                  </w:tcBorders>
                  <w:vAlign w:val="center"/>
                </w:tcPr>
                <w:p w14:paraId="643FA695">
                  <w:pPr>
                    <w:spacing w:line="360" w:lineRule="exact"/>
                    <w:jc w:val="center"/>
                    <w:rPr>
                      <w:b/>
                      <w:color w:val="000000"/>
                      <w:szCs w:val="21"/>
                    </w:rPr>
                  </w:pPr>
                  <w:r>
                    <w:rPr>
                      <w:b/>
                      <w:color w:val="000000"/>
                      <w:szCs w:val="21"/>
                    </w:rPr>
                    <w:t>排放标准</w:t>
                  </w:r>
                </w:p>
              </w:tc>
              <w:tc>
                <w:tcPr>
                  <w:tcW w:w="866" w:type="pct"/>
                  <w:tcBorders>
                    <w:tl2br w:val="nil"/>
                    <w:tr2bl w:val="nil"/>
                  </w:tcBorders>
                  <w:vAlign w:val="center"/>
                </w:tcPr>
                <w:p w14:paraId="78E6851B">
                  <w:pPr>
                    <w:spacing w:line="360" w:lineRule="exact"/>
                    <w:jc w:val="center"/>
                    <w:rPr>
                      <w:b/>
                      <w:color w:val="000000"/>
                      <w:szCs w:val="21"/>
                    </w:rPr>
                  </w:pPr>
                  <w:r>
                    <w:rPr>
                      <w:b/>
                      <w:color w:val="000000"/>
                      <w:szCs w:val="21"/>
                    </w:rPr>
                    <w:t>污染物排放监控浓度</w:t>
                  </w:r>
                </w:p>
              </w:tc>
            </w:tr>
            <w:tr w14:paraId="5E92495E">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48" w:type="pct"/>
                  <w:tcBorders>
                    <w:tl2br w:val="nil"/>
                    <w:tr2bl w:val="nil"/>
                  </w:tcBorders>
                  <w:vAlign w:val="center"/>
                </w:tcPr>
                <w:p w14:paraId="4FE87141">
                  <w:pPr>
                    <w:pStyle w:val="86"/>
                    <w:rPr>
                      <w:color w:val="000000" w:themeColor="text1"/>
                      <w14:textFill>
                        <w14:solidFill>
                          <w14:schemeClr w14:val="tx1"/>
                        </w14:solidFill>
                      </w14:textFill>
                    </w:rPr>
                  </w:pPr>
                  <w:r>
                    <w:rPr>
                      <w:color w:val="000000" w:themeColor="text1"/>
                      <w14:textFill>
                        <w14:solidFill>
                          <w14:schemeClr w14:val="tx1"/>
                        </w14:solidFill>
                      </w14:textFill>
                    </w:rPr>
                    <w:t>1</w:t>
                  </w:r>
                </w:p>
              </w:tc>
              <w:tc>
                <w:tcPr>
                  <w:tcW w:w="917" w:type="pct"/>
                  <w:tcBorders>
                    <w:tl2br w:val="nil"/>
                    <w:tr2bl w:val="nil"/>
                  </w:tcBorders>
                  <w:vAlign w:val="center"/>
                </w:tcPr>
                <w:p w14:paraId="234DA02F">
                  <w:pPr>
                    <w:pStyle w:val="86"/>
                    <w:rPr>
                      <w:color w:val="000000" w:themeColor="text1"/>
                      <w14:textFill>
                        <w14:solidFill>
                          <w14:schemeClr w14:val="tx1"/>
                        </w14:solidFill>
                      </w14:textFill>
                    </w:rPr>
                  </w:pPr>
                  <w:r>
                    <w:rPr>
                      <w:color w:val="000000" w:themeColor="text1"/>
                      <w14:textFill>
                        <w14:solidFill>
                          <w14:schemeClr w14:val="tx1"/>
                        </w14:solidFill>
                      </w14:textFill>
                    </w:rPr>
                    <w:t>pH</w:t>
                  </w:r>
                </w:p>
              </w:tc>
              <w:tc>
                <w:tcPr>
                  <w:tcW w:w="782" w:type="pct"/>
                  <w:tcBorders>
                    <w:tl2br w:val="nil"/>
                    <w:tr2bl w:val="nil"/>
                  </w:tcBorders>
                  <w:vAlign w:val="center"/>
                </w:tcPr>
                <w:p w14:paraId="7406EF2E">
                  <w:pPr>
                    <w:pStyle w:val="86"/>
                    <w:rPr>
                      <w:color w:val="000000" w:themeColor="text1"/>
                      <w14:textFill>
                        <w14:solidFill>
                          <w14:schemeClr w14:val="tx1"/>
                        </w14:solidFill>
                      </w14:textFill>
                    </w:rPr>
                  </w:pPr>
                  <w:r>
                    <w:rPr>
                      <w:color w:val="000000" w:themeColor="text1"/>
                      <w14:textFill>
                        <w14:solidFill>
                          <w14:schemeClr w14:val="tx1"/>
                        </w14:solidFill>
                      </w14:textFill>
                    </w:rPr>
                    <w:t>无量纲</w:t>
                  </w:r>
                </w:p>
              </w:tc>
              <w:tc>
                <w:tcPr>
                  <w:tcW w:w="1885" w:type="pct"/>
                  <w:tcBorders>
                    <w:tl2br w:val="nil"/>
                    <w:tr2bl w:val="nil"/>
                  </w:tcBorders>
                  <w:vAlign w:val="center"/>
                </w:tcPr>
                <w:p w14:paraId="4912BC2F">
                  <w:pPr>
                    <w:pStyle w:val="86"/>
                    <w:rPr>
                      <w:color w:val="000000" w:themeColor="text1"/>
                      <w14:textFill>
                        <w14:solidFill>
                          <w14:schemeClr w14:val="tx1"/>
                        </w14:solidFill>
                      </w14:textFill>
                    </w:rPr>
                  </w:pPr>
                  <w:r>
                    <w:rPr>
                      <w:color w:val="000000" w:themeColor="text1"/>
                      <w14:textFill>
                        <w14:solidFill>
                          <w14:schemeClr w14:val="tx1"/>
                        </w14:solidFill>
                      </w14:textFill>
                    </w:rPr>
                    <w:t>《污水综合排放标准》（GB8978-1996）</w:t>
                  </w:r>
                </w:p>
              </w:tc>
              <w:tc>
                <w:tcPr>
                  <w:tcW w:w="866" w:type="pct"/>
                  <w:tcBorders>
                    <w:tl2br w:val="nil"/>
                    <w:tr2bl w:val="nil"/>
                  </w:tcBorders>
                  <w:vAlign w:val="center"/>
                </w:tcPr>
                <w:p w14:paraId="6ECA364E">
                  <w:pPr>
                    <w:pStyle w:val="86"/>
                    <w:rPr>
                      <w:color w:val="000000" w:themeColor="text1"/>
                      <w14:textFill>
                        <w14:solidFill>
                          <w14:schemeClr w14:val="tx1"/>
                        </w14:solidFill>
                      </w14:textFill>
                    </w:rPr>
                  </w:pPr>
                  <w:r>
                    <w:rPr>
                      <w:color w:val="000000" w:themeColor="text1"/>
                      <w14:textFill>
                        <w14:solidFill>
                          <w14:schemeClr w14:val="tx1"/>
                        </w14:solidFill>
                      </w14:textFill>
                    </w:rPr>
                    <w:t>6～9</w:t>
                  </w:r>
                </w:p>
              </w:tc>
            </w:tr>
            <w:tr w14:paraId="71D38EF3">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48" w:type="pct"/>
                  <w:tcBorders>
                    <w:tl2br w:val="nil"/>
                    <w:tr2bl w:val="nil"/>
                  </w:tcBorders>
                  <w:vAlign w:val="center"/>
                </w:tcPr>
                <w:p w14:paraId="2D157EE1">
                  <w:pPr>
                    <w:pStyle w:val="86"/>
                    <w:rPr>
                      <w:color w:val="000000" w:themeColor="text1"/>
                      <w14:textFill>
                        <w14:solidFill>
                          <w14:schemeClr w14:val="tx1"/>
                        </w14:solidFill>
                      </w14:textFill>
                    </w:rPr>
                  </w:pPr>
                  <w:r>
                    <w:rPr>
                      <w:color w:val="000000" w:themeColor="text1"/>
                      <w14:textFill>
                        <w14:solidFill>
                          <w14:schemeClr w14:val="tx1"/>
                        </w14:solidFill>
                      </w14:textFill>
                    </w:rPr>
                    <w:t>2</w:t>
                  </w:r>
                </w:p>
              </w:tc>
              <w:tc>
                <w:tcPr>
                  <w:tcW w:w="917" w:type="pct"/>
                  <w:tcBorders>
                    <w:tl2br w:val="nil"/>
                    <w:tr2bl w:val="nil"/>
                  </w:tcBorders>
                  <w:vAlign w:val="center"/>
                </w:tcPr>
                <w:p w14:paraId="2CB14E83">
                  <w:pPr>
                    <w:pStyle w:val="86"/>
                    <w:rPr>
                      <w:color w:val="000000" w:themeColor="text1"/>
                      <w14:textFill>
                        <w14:solidFill>
                          <w14:schemeClr w14:val="tx1"/>
                        </w14:solidFill>
                      </w14:textFill>
                    </w:rPr>
                  </w:pPr>
                  <w:r>
                    <w:rPr>
                      <w:color w:val="000000" w:themeColor="text1"/>
                      <w14:textFill>
                        <w14:solidFill>
                          <w14:schemeClr w14:val="tx1"/>
                        </w14:solidFill>
                      </w14:textFill>
                    </w:rPr>
                    <w:t>COD</w:t>
                  </w:r>
                </w:p>
              </w:tc>
              <w:tc>
                <w:tcPr>
                  <w:tcW w:w="782" w:type="pct"/>
                  <w:tcBorders>
                    <w:tl2br w:val="nil"/>
                    <w:tr2bl w:val="nil"/>
                  </w:tcBorders>
                  <w:vAlign w:val="center"/>
                </w:tcPr>
                <w:p w14:paraId="291DCA16">
                  <w:pPr>
                    <w:pStyle w:val="86"/>
                    <w:rPr>
                      <w:color w:val="000000" w:themeColor="text1"/>
                      <w14:textFill>
                        <w14:solidFill>
                          <w14:schemeClr w14:val="tx1"/>
                        </w14:solidFill>
                      </w14:textFill>
                    </w:rPr>
                  </w:pPr>
                  <w:r>
                    <w:rPr>
                      <w:color w:val="000000" w:themeColor="text1"/>
                      <w14:textFill>
                        <w14:solidFill>
                          <w14:schemeClr w14:val="tx1"/>
                        </w14:solidFill>
                      </w14:textFill>
                    </w:rPr>
                    <w:t>mg/L</w:t>
                  </w:r>
                </w:p>
              </w:tc>
              <w:tc>
                <w:tcPr>
                  <w:tcW w:w="1885" w:type="pct"/>
                  <w:vMerge w:val="restart"/>
                  <w:tcBorders>
                    <w:tl2br w:val="nil"/>
                    <w:tr2bl w:val="nil"/>
                  </w:tcBorders>
                  <w:vAlign w:val="center"/>
                </w:tcPr>
                <w:p w14:paraId="76DE874E">
                  <w:pPr>
                    <w:pStyle w:val="86"/>
                    <w:rPr>
                      <w:color w:val="000000" w:themeColor="text1"/>
                      <w14:textFill>
                        <w14:solidFill>
                          <w14:schemeClr w14:val="tx1"/>
                        </w14:solidFill>
                      </w14:textFill>
                    </w:rPr>
                  </w:pPr>
                  <w:r>
                    <w:rPr>
                      <w:color w:val="000000" w:themeColor="text1"/>
                      <w14:textFill>
                        <w14:solidFill>
                          <w14:schemeClr w14:val="tx1"/>
                        </w14:solidFill>
                      </w14:textFill>
                    </w:rPr>
                    <w:t>《辽宁省污水综合排放标准》（DB21/1627-2008）</w:t>
                  </w:r>
                </w:p>
              </w:tc>
              <w:tc>
                <w:tcPr>
                  <w:tcW w:w="866" w:type="pct"/>
                  <w:tcBorders>
                    <w:tl2br w:val="nil"/>
                    <w:tr2bl w:val="nil"/>
                  </w:tcBorders>
                  <w:vAlign w:val="center"/>
                </w:tcPr>
                <w:p w14:paraId="51F9A8F5">
                  <w:pPr>
                    <w:pStyle w:val="86"/>
                    <w:rPr>
                      <w:color w:val="000000" w:themeColor="text1"/>
                      <w14:textFill>
                        <w14:solidFill>
                          <w14:schemeClr w14:val="tx1"/>
                        </w14:solidFill>
                      </w14:textFill>
                    </w:rPr>
                  </w:pPr>
                  <w:r>
                    <w:rPr>
                      <w:rFonts w:hint="eastAsia"/>
                      <w:color w:val="000000" w:themeColor="text1"/>
                      <w14:textFill>
                        <w14:solidFill>
                          <w14:schemeClr w14:val="tx1"/>
                        </w14:solidFill>
                      </w14:textFill>
                    </w:rPr>
                    <w:t>300</w:t>
                  </w:r>
                </w:p>
              </w:tc>
            </w:tr>
            <w:tr w14:paraId="54730FB0">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48" w:type="pct"/>
                  <w:tcBorders>
                    <w:tl2br w:val="nil"/>
                    <w:tr2bl w:val="nil"/>
                  </w:tcBorders>
                  <w:vAlign w:val="center"/>
                </w:tcPr>
                <w:p w14:paraId="5C1FF936">
                  <w:pPr>
                    <w:pStyle w:val="86"/>
                    <w:rPr>
                      <w:color w:val="000000" w:themeColor="text1"/>
                      <w14:textFill>
                        <w14:solidFill>
                          <w14:schemeClr w14:val="tx1"/>
                        </w14:solidFill>
                      </w14:textFill>
                    </w:rPr>
                  </w:pPr>
                  <w:r>
                    <w:rPr>
                      <w:color w:val="000000" w:themeColor="text1"/>
                      <w14:textFill>
                        <w14:solidFill>
                          <w14:schemeClr w14:val="tx1"/>
                        </w14:solidFill>
                      </w14:textFill>
                    </w:rPr>
                    <w:t>3</w:t>
                  </w:r>
                </w:p>
              </w:tc>
              <w:tc>
                <w:tcPr>
                  <w:tcW w:w="917" w:type="pct"/>
                  <w:tcBorders>
                    <w:tl2br w:val="nil"/>
                    <w:tr2bl w:val="nil"/>
                  </w:tcBorders>
                  <w:vAlign w:val="center"/>
                </w:tcPr>
                <w:p w14:paraId="51A86D0D">
                  <w:pPr>
                    <w:pStyle w:val="86"/>
                    <w:rPr>
                      <w:color w:val="000000" w:themeColor="text1"/>
                      <w14:textFill>
                        <w14:solidFill>
                          <w14:schemeClr w14:val="tx1"/>
                        </w14:solidFill>
                      </w14:textFill>
                    </w:rPr>
                  </w:pPr>
                  <w:r>
                    <w:rPr>
                      <w:color w:val="000000" w:themeColor="text1"/>
                      <w14:textFill>
                        <w14:solidFill>
                          <w14:schemeClr w14:val="tx1"/>
                        </w14:solidFill>
                      </w14:textFill>
                    </w:rPr>
                    <w:t>BOD</w:t>
                  </w:r>
                  <w:r>
                    <w:rPr>
                      <w:color w:val="000000" w:themeColor="text1"/>
                      <w:vertAlign w:val="subscript"/>
                      <w14:textFill>
                        <w14:solidFill>
                          <w14:schemeClr w14:val="tx1"/>
                        </w14:solidFill>
                      </w14:textFill>
                    </w:rPr>
                    <w:t>5</w:t>
                  </w:r>
                </w:p>
              </w:tc>
              <w:tc>
                <w:tcPr>
                  <w:tcW w:w="782" w:type="pct"/>
                  <w:tcBorders>
                    <w:tl2br w:val="nil"/>
                    <w:tr2bl w:val="nil"/>
                  </w:tcBorders>
                  <w:vAlign w:val="center"/>
                </w:tcPr>
                <w:p w14:paraId="456C5CCC">
                  <w:pPr>
                    <w:pStyle w:val="86"/>
                    <w:rPr>
                      <w:color w:val="000000" w:themeColor="text1"/>
                      <w14:textFill>
                        <w14:solidFill>
                          <w14:schemeClr w14:val="tx1"/>
                        </w14:solidFill>
                      </w14:textFill>
                    </w:rPr>
                  </w:pPr>
                  <w:r>
                    <w:rPr>
                      <w:color w:val="000000" w:themeColor="text1"/>
                      <w14:textFill>
                        <w14:solidFill>
                          <w14:schemeClr w14:val="tx1"/>
                        </w14:solidFill>
                      </w14:textFill>
                    </w:rPr>
                    <w:t>mg/L</w:t>
                  </w:r>
                </w:p>
              </w:tc>
              <w:tc>
                <w:tcPr>
                  <w:tcW w:w="1885" w:type="pct"/>
                  <w:vMerge w:val="continue"/>
                  <w:tcBorders>
                    <w:tl2br w:val="nil"/>
                    <w:tr2bl w:val="nil"/>
                  </w:tcBorders>
                  <w:vAlign w:val="center"/>
                </w:tcPr>
                <w:p w14:paraId="6930C61D">
                  <w:pPr>
                    <w:pStyle w:val="86"/>
                    <w:rPr>
                      <w:color w:val="000000" w:themeColor="text1"/>
                      <w14:textFill>
                        <w14:solidFill>
                          <w14:schemeClr w14:val="tx1"/>
                        </w14:solidFill>
                      </w14:textFill>
                    </w:rPr>
                  </w:pPr>
                </w:p>
              </w:tc>
              <w:tc>
                <w:tcPr>
                  <w:tcW w:w="866" w:type="pct"/>
                  <w:tcBorders>
                    <w:tl2br w:val="nil"/>
                    <w:tr2bl w:val="nil"/>
                  </w:tcBorders>
                  <w:vAlign w:val="center"/>
                </w:tcPr>
                <w:p w14:paraId="0F2D35BB">
                  <w:pPr>
                    <w:pStyle w:val="86"/>
                    <w:rPr>
                      <w:color w:val="000000" w:themeColor="text1"/>
                      <w14:textFill>
                        <w14:solidFill>
                          <w14:schemeClr w14:val="tx1"/>
                        </w14:solidFill>
                      </w14:textFill>
                    </w:rPr>
                  </w:pPr>
                  <w:r>
                    <w:rPr>
                      <w:rFonts w:hint="eastAsia"/>
                      <w:color w:val="000000" w:themeColor="text1"/>
                      <w14:textFill>
                        <w14:solidFill>
                          <w14:schemeClr w14:val="tx1"/>
                        </w14:solidFill>
                      </w14:textFill>
                    </w:rPr>
                    <w:t>250</w:t>
                  </w:r>
                </w:p>
              </w:tc>
            </w:tr>
            <w:tr w14:paraId="2614F85E">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48" w:type="pct"/>
                  <w:tcBorders>
                    <w:tl2br w:val="nil"/>
                    <w:tr2bl w:val="nil"/>
                  </w:tcBorders>
                  <w:vAlign w:val="center"/>
                </w:tcPr>
                <w:p w14:paraId="5D2DBB16">
                  <w:pPr>
                    <w:pStyle w:val="86"/>
                    <w:rPr>
                      <w:color w:val="000000" w:themeColor="text1"/>
                      <w14:textFill>
                        <w14:solidFill>
                          <w14:schemeClr w14:val="tx1"/>
                        </w14:solidFill>
                      </w14:textFill>
                    </w:rPr>
                  </w:pPr>
                  <w:r>
                    <w:rPr>
                      <w:color w:val="000000" w:themeColor="text1"/>
                      <w14:textFill>
                        <w14:solidFill>
                          <w14:schemeClr w14:val="tx1"/>
                        </w14:solidFill>
                      </w14:textFill>
                    </w:rPr>
                    <w:t>4</w:t>
                  </w:r>
                </w:p>
              </w:tc>
              <w:tc>
                <w:tcPr>
                  <w:tcW w:w="917" w:type="pct"/>
                  <w:tcBorders>
                    <w:tl2br w:val="nil"/>
                    <w:tr2bl w:val="nil"/>
                  </w:tcBorders>
                  <w:vAlign w:val="center"/>
                </w:tcPr>
                <w:p w14:paraId="3E6F2744">
                  <w:pPr>
                    <w:pStyle w:val="86"/>
                    <w:rPr>
                      <w:color w:val="000000" w:themeColor="text1"/>
                      <w14:textFill>
                        <w14:solidFill>
                          <w14:schemeClr w14:val="tx1"/>
                        </w14:solidFill>
                      </w14:textFill>
                    </w:rPr>
                  </w:pPr>
                  <w:r>
                    <w:rPr>
                      <w:color w:val="000000" w:themeColor="text1"/>
                      <w14:textFill>
                        <w14:solidFill>
                          <w14:schemeClr w14:val="tx1"/>
                        </w14:solidFill>
                      </w14:textFill>
                    </w:rPr>
                    <w:t>SS</w:t>
                  </w:r>
                </w:p>
              </w:tc>
              <w:tc>
                <w:tcPr>
                  <w:tcW w:w="782" w:type="pct"/>
                  <w:tcBorders>
                    <w:tl2br w:val="nil"/>
                    <w:tr2bl w:val="nil"/>
                  </w:tcBorders>
                  <w:vAlign w:val="center"/>
                </w:tcPr>
                <w:p w14:paraId="4942213D">
                  <w:pPr>
                    <w:pStyle w:val="86"/>
                    <w:rPr>
                      <w:color w:val="000000" w:themeColor="text1"/>
                      <w14:textFill>
                        <w14:solidFill>
                          <w14:schemeClr w14:val="tx1"/>
                        </w14:solidFill>
                      </w14:textFill>
                    </w:rPr>
                  </w:pPr>
                  <w:r>
                    <w:rPr>
                      <w:color w:val="000000" w:themeColor="text1"/>
                      <w14:textFill>
                        <w14:solidFill>
                          <w14:schemeClr w14:val="tx1"/>
                        </w14:solidFill>
                      </w14:textFill>
                    </w:rPr>
                    <w:t>mg/L</w:t>
                  </w:r>
                </w:p>
              </w:tc>
              <w:tc>
                <w:tcPr>
                  <w:tcW w:w="1885" w:type="pct"/>
                  <w:vMerge w:val="continue"/>
                  <w:tcBorders>
                    <w:tl2br w:val="nil"/>
                    <w:tr2bl w:val="nil"/>
                  </w:tcBorders>
                  <w:vAlign w:val="center"/>
                </w:tcPr>
                <w:p w14:paraId="0901EA38">
                  <w:pPr>
                    <w:pStyle w:val="86"/>
                    <w:rPr>
                      <w:color w:val="000000" w:themeColor="text1"/>
                      <w14:textFill>
                        <w14:solidFill>
                          <w14:schemeClr w14:val="tx1"/>
                        </w14:solidFill>
                      </w14:textFill>
                    </w:rPr>
                  </w:pPr>
                </w:p>
              </w:tc>
              <w:tc>
                <w:tcPr>
                  <w:tcW w:w="866" w:type="pct"/>
                  <w:tcBorders>
                    <w:tl2br w:val="nil"/>
                    <w:tr2bl w:val="nil"/>
                  </w:tcBorders>
                  <w:vAlign w:val="center"/>
                </w:tcPr>
                <w:p w14:paraId="29831DA4">
                  <w:pPr>
                    <w:pStyle w:val="86"/>
                    <w:rPr>
                      <w:color w:val="000000" w:themeColor="text1"/>
                      <w14:textFill>
                        <w14:solidFill>
                          <w14:schemeClr w14:val="tx1"/>
                        </w14:solidFill>
                      </w14:textFill>
                    </w:rPr>
                  </w:pPr>
                  <w:r>
                    <w:rPr>
                      <w:rFonts w:hint="eastAsia"/>
                      <w:color w:val="000000" w:themeColor="text1"/>
                      <w14:textFill>
                        <w14:solidFill>
                          <w14:schemeClr w14:val="tx1"/>
                        </w14:solidFill>
                      </w14:textFill>
                    </w:rPr>
                    <w:t>300</w:t>
                  </w:r>
                </w:p>
              </w:tc>
            </w:tr>
            <w:tr w14:paraId="35C88CB6">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48" w:type="pct"/>
                  <w:tcBorders>
                    <w:tl2br w:val="nil"/>
                    <w:tr2bl w:val="nil"/>
                  </w:tcBorders>
                  <w:vAlign w:val="center"/>
                </w:tcPr>
                <w:p w14:paraId="0D88F52F">
                  <w:pPr>
                    <w:pStyle w:val="86"/>
                    <w:rPr>
                      <w:color w:val="000000" w:themeColor="text1"/>
                      <w14:textFill>
                        <w14:solidFill>
                          <w14:schemeClr w14:val="tx1"/>
                        </w14:solidFill>
                      </w14:textFill>
                    </w:rPr>
                  </w:pPr>
                  <w:r>
                    <w:rPr>
                      <w:color w:val="000000" w:themeColor="text1"/>
                      <w14:textFill>
                        <w14:solidFill>
                          <w14:schemeClr w14:val="tx1"/>
                        </w14:solidFill>
                      </w14:textFill>
                    </w:rPr>
                    <w:t>5</w:t>
                  </w:r>
                </w:p>
              </w:tc>
              <w:tc>
                <w:tcPr>
                  <w:tcW w:w="917" w:type="pct"/>
                  <w:tcBorders>
                    <w:tl2br w:val="nil"/>
                    <w:tr2bl w:val="nil"/>
                  </w:tcBorders>
                  <w:vAlign w:val="center"/>
                </w:tcPr>
                <w:p w14:paraId="5A32C70B">
                  <w:pPr>
                    <w:pStyle w:val="86"/>
                    <w:rPr>
                      <w:color w:val="000000" w:themeColor="text1"/>
                      <w14:textFill>
                        <w14:solidFill>
                          <w14:schemeClr w14:val="tx1"/>
                        </w14:solidFill>
                      </w14:textFill>
                    </w:rPr>
                  </w:pPr>
                  <w:r>
                    <w:rPr>
                      <w:color w:val="000000" w:themeColor="text1"/>
                      <w14:textFill>
                        <w14:solidFill>
                          <w14:schemeClr w14:val="tx1"/>
                        </w14:solidFill>
                      </w14:textFill>
                    </w:rPr>
                    <w:t>NH</w:t>
                  </w:r>
                  <w:r>
                    <w:rPr>
                      <w:color w:val="000000" w:themeColor="text1"/>
                      <w:vertAlign w:val="subscript"/>
                      <w14:textFill>
                        <w14:solidFill>
                          <w14:schemeClr w14:val="tx1"/>
                        </w14:solidFill>
                      </w14:textFill>
                    </w:rPr>
                    <w:t>3</w:t>
                  </w:r>
                  <w:r>
                    <w:rPr>
                      <w:color w:val="000000" w:themeColor="text1"/>
                      <w14:textFill>
                        <w14:solidFill>
                          <w14:schemeClr w14:val="tx1"/>
                        </w14:solidFill>
                      </w14:textFill>
                    </w:rPr>
                    <w:t>-N</w:t>
                  </w:r>
                </w:p>
              </w:tc>
              <w:tc>
                <w:tcPr>
                  <w:tcW w:w="782" w:type="pct"/>
                  <w:tcBorders>
                    <w:tl2br w:val="nil"/>
                    <w:tr2bl w:val="nil"/>
                  </w:tcBorders>
                  <w:vAlign w:val="center"/>
                </w:tcPr>
                <w:p w14:paraId="690AC8F6">
                  <w:pPr>
                    <w:pStyle w:val="86"/>
                    <w:rPr>
                      <w:color w:val="000000" w:themeColor="text1"/>
                      <w14:textFill>
                        <w14:solidFill>
                          <w14:schemeClr w14:val="tx1"/>
                        </w14:solidFill>
                      </w14:textFill>
                    </w:rPr>
                  </w:pPr>
                  <w:r>
                    <w:rPr>
                      <w:color w:val="000000" w:themeColor="text1"/>
                      <w14:textFill>
                        <w14:solidFill>
                          <w14:schemeClr w14:val="tx1"/>
                        </w14:solidFill>
                      </w14:textFill>
                    </w:rPr>
                    <w:t>mg/L</w:t>
                  </w:r>
                </w:p>
              </w:tc>
              <w:tc>
                <w:tcPr>
                  <w:tcW w:w="1885" w:type="pct"/>
                  <w:vMerge w:val="continue"/>
                  <w:tcBorders>
                    <w:tl2br w:val="nil"/>
                    <w:tr2bl w:val="nil"/>
                  </w:tcBorders>
                  <w:vAlign w:val="center"/>
                </w:tcPr>
                <w:p w14:paraId="5DCC68A5">
                  <w:pPr>
                    <w:pStyle w:val="86"/>
                    <w:rPr>
                      <w:color w:val="000000" w:themeColor="text1"/>
                      <w14:textFill>
                        <w14:solidFill>
                          <w14:schemeClr w14:val="tx1"/>
                        </w14:solidFill>
                      </w14:textFill>
                    </w:rPr>
                  </w:pPr>
                </w:p>
              </w:tc>
              <w:tc>
                <w:tcPr>
                  <w:tcW w:w="866" w:type="pct"/>
                  <w:tcBorders>
                    <w:tl2br w:val="nil"/>
                    <w:tr2bl w:val="nil"/>
                  </w:tcBorders>
                  <w:vAlign w:val="center"/>
                </w:tcPr>
                <w:p w14:paraId="05D775A2">
                  <w:pPr>
                    <w:pStyle w:val="86"/>
                    <w:rPr>
                      <w:color w:val="000000" w:themeColor="text1"/>
                      <w14:textFill>
                        <w14:solidFill>
                          <w14:schemeClr w14:val="tx1"/>
                        </w14:solidFill>
                      </w14:textFill>
                    </w:rPr>
                  </w:pPr>
                  <w:r>
                    <w:rPr>
                      <w:rFonts w:hint="eastAsia"/>
                      <w:color w:val="000000" w:themeColor="text1"/>
                      <w14:textFill>
                        <w14:solidFill>
                          <w14:schemeClr w14:val="tx1"/>
                        </w14:solidFill>
                      </w14:textFill>
                    </w:rPr>
                    <w:t>30</w:t>
                  </w:r>
                </w:p>
              </w:tc>
            </w:tr>
            <w:tr w14:paraId="5E0D7748">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48" w:type="pct"/>
                  <w:tcBorders>
                    <w:tl2br w:val="nil"/>
                    <w:tr2bl w:val="nil"/>
                  </w:tcBorders>
                  <w:vAlign w:val="center"/>
                </w:tcPr>
                <w:p w14:paraId="69CAF92E">
                  <w:pPr>
                    <w:pStyle w:val="86"/>
                    <w:rPr>
                      <w:color w:val="000000" w:themeColor="text1"/>
                      <w14:textFill>
                        <w14:solidFill>
                          <w14:schemeClr w14:val="tx1"/>
                        </w14:solidFill>
                      </w14:textFill>
                    </w:rPr>
                  </w:pPr>
                  <w:r>
                    <w:rPr>
                      <w:rFonts w:hint="eastAsia"/>
                      <w:color w:val="000000" w:themeColor="text1"/>
                      <w14:textFill>
                        <w14:solidFill>
                          <w14:schemeClr w14:val="tx1"/>
                        </w14:solidFill>
                      </w14:textFill>
                    </w:rPr>
                    <w:t>6</w:t>
                  </w:r>
                </w:p>
              </w:tc>
              <w:tc>
                <w:tcPr>
                  <w:tcW w:w="917" w:type="pct"/>
                  <w:tcBorders>
                    <w:tl2br w:val="nil"/>
                    <w:tr2bl w:val="nil"/>
                  </w:tcBorders>
                  <w:vAlign w:val="center"/>
                </w:tcPr>
                <w:p w14:paraId="2AC65C76">
                  <w:pPr>
                    <w:pStyle w:val="86"/>
                    <w:rPr>
                      <w:color w:val="000000" w:themeColor="text1"/>
                      <w14:textFill>
                        <w14:solidFill>
                          <w14:schemeClr w14:val="tx1"/>
                        </w14:solidFill>
                      </w14:textFill>
                    </w:rPr>
                  </w:pPr>
                  <w:r>
                    <w:rPr>
                      <w:rFonts w:hint="eastAsia"/>
                      <w:color w:val="000000" w:themeColor="text1"/>
                      <w14:textFill>
                        <w14:solidFill>
                          <w14:schemeClr w14:val="tx1"/>
                        </w14:solidFill>
                      </w14:textFill>
                    </w:rPr>
                    <w:t>TP</w:t>
                  </w:r>
                </w:p>
              </w:tc>
              <w:tc>
                <w:tcPr>
                  <w:tcW w:w="782" w:type="pct"/>
                  <w:tcBorders>
                    <w:tl2br w:val="nil"/>
                    <w:tr2bl w:val="nil"/>
                  </w:tcBorders>
                  <w:vAlign w:val="center"/>
                </w:tcPr>
                <w:p w14:paraId="16D5F349">
                  <w:pPr>
                    <w:pStyle w:val="86"/>
                    <w:rPr>
                      <w:color w:val="000000" w:themeColor="text1"/>
                      <w14:textFill>
                        <w14:solidFill>
                          <w14:schemeClr w14:val="tx1"/>
                        </w14:solidFill>
                      </w14:textFill>
                    </w:rPr>
                  </w:pPr>
                  <w:r>
                    <w:rPr>
                      <w:color w:val="000000" w:themeColor="text1"/>
                      <w14:textFill>
                        <w14:solidFill>
                          <w14:schemeClr w14:val="tx1"/>
                        </w14:solidFill>
                      </w14:textFill>
                    </w:rPr>
                    <w:t>mg/L</w:t>
                  </w:r>
                </w:p>
              </w:tc>
              <w:tc>
                <w:tcPr>
                  <w:tcW w:w="1885" w:type="pct"/>
                  <w:vMerge w:val="continue"/>
                  <w:tcBorders>
                    <w:tl2br w:val="nil"/>
                    <w:tr2bl w:val="nil"/>
                  </w:tcBorders>
                  <w:vAlign w:val="center"/>
                </w:tcPr>
                <w:p w14:paraId="28E2F7E2">
                  <w:pPr>
                    <w:pStyle w:val="86"/>
                    <w:rPr>
                      <w:color w:val="000000" w:themeColor="text1"/>
                      <w14:textFill>
                        <w14:solidFill>
                          <w14:schemeClr w14:val="tx1"/>
                        </w14:solidFill>
                      </w14:textFill>
                    </w:rPr>
                  </w:pPr>
                </w:p>
              </w:tc>
              <w:tc>
                <w:tcPr>
                  <w:tcW w:w="866" w:type="pct"/>
                  <w:tcBorders>
                    <w:tl2br w:val="nil"/>
                    <w:tr2bl w:val="nil"/>
                  </w:tcBorders>
                  <w:vAlign w:val="center"/>
                </w:tcPr>
                <w:p w14:paraId="264C7411">
                  <w:pPr>
                    <w:pStyle w:val="86"/>
                    <w:rPr>
                      <w:color w:val="000000" w:themeColor="text1"/>
                      <w14:textFill>
                        <w14:solidFill>
                          <w14:schemeClr w14:val="tx1"/>
                        </w14:solidFill>
                      </w14:textFill>
                    </w:rPr>
                  </w:pPr>
                  <w:r>
                    <w:rPr>
                      <w:rFonts w:hint="eastAsia"/>
                      <w:color w:val="000000" w:themeColor="text1"/>
                      <w14:textFill>
                        <w14:solidFill>
                          <w14:schemeClr w14:val="tx1"/>
                        </w14:solidFill>
                      </w14:textFill>
                    </w:rPr>
                    <w:t>5</w:t>
                  </w:r>
                </w:p>
              </w:tc>
            </w:tr>
            <w:tr w14:paraId="0D1BFBE5">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48" w:type="pct"/>
                  <w:tcBorders>
                    <w:tl2br w:val="nil"/>
                    <w:tr2bl w:val="nil"/>
                  </w:tcBorders>
                  <w:vAlign w:val="center"/>
                </w:tcPr>
                <w:p w14:paraId="45A5ED75">
                  <w:pPr>
                    <w:pStyle w:val="86"/>
                    <w:rPr>
                      <w:color w:val="000000" w:themeColor="text1"/>
                      <w14:textFill>
                        <w14:solidFill>
                          <w14:schemeClr w14:val="tx1"/>
                        </w14:solidFill>
                      </w14:textFill>
                    </w:rPr>
                  </w:pPr>
                  <w:r>
                    <w:rPr>
                      <w:rFonts w:hint="eastAsia"/>
                      <w:color w:val="000000" w:themeColor="text1"/>
                      <w14:textFill>
                        <w14:solidFill>
                          <w14:schemeClr w14:val="tx1"/>
                        </w14:solidFill>
                      </w14:textFill>
                    </w:rPr>
                    <w:t>7</w:t>
                  </w:r>
                </w:p>
              </w:tc>
              <w:tc>
                <w:tcPr>
                  <w:tcW w:w="917" w:type="pct"/>
                  <w:tcBorders>
                    <w:tl2br w:val="nil"/>
                    <w:tr2bl w:val="nil"/>
                  </w:tcBorders>
                  <w:vAlign w:val="center"/>
                </w:tcPr>
                <w:p w14:paraId="0993755A">
                  <w:pPr>
                    <w:pStyle w:val="86"/>
                    <w:rPr>
                      <w:color w:val="000000" w:themeColor="text1"/>
                      <w14:textFill>
                        <w14:solidFill>
                          <w14:schemeClr w14:val="tx1"/>
                        </w14:solidFill>
                      </w14:textFill>
                    </w:rPr>
                  </w:pPr>
                  <w:r>
                    <w:rPr>
                      <w:rFonts w:hint="eastAsia"/>
                      <w:color w:val="000000" w:themeColor="text1"/>
                      <w14:textFill>
                        <w14:solidFill>
                          <w14:schemeClr w14:val="tx1"/>
                        </w14:solidFill>
                      </w14:textFill>
                    </w:rPr>
                    <w:t>TN</w:t>
                  </w:r>
                </w:p>
              </w:tc>
              <w:tc>
                <w:tcPr>
                  <w:tcW w:w="782" w:type="pct"/>
                  <w:tcBorders>
                    <w:tl2br w:val="nil"/>
                    <w:tr2bl w:val="nil"/>
                  </w:tcBorders>
                  <w:vAlign w:val="center"/>
                </w:tcPr>
                <w:p w14:paraId="7909BAFC">
                  <w:pPr>
                    <w:pStyle w:val="86"/>
                    <w:rPr>
                      <w:color w:val="000000" w:themeColor="text1"/>
                      <w14:textFill>
                        <w14:solidFill>
                          <w14:schemeClr w14:val="tx1"/>
                        </w14:solidFill>
                      </w14:textFill>
                    </w:rPr>
                  </w:pPr>
                  <w:r>
                    <w:rPr>
                      <w:color w:val="000000" w:themeColor="text1"/>
                      <w14:textFill>
                        <w14:solidFill>
                          <w14:schemeClr w14:val="tx1"/>
                        </w14:solidFill>
                      </w14:textFill>
                    </w:rPr>
                    <w:t>mg/L</w:t>
                  </w:r>
                </w:p>
              </w:tc>
              <w:tc>
                <w:tcPr>
                  <w:tcW w:w="1885" w:type="pct"/>
                  <w:vMerge w:val="continue"/>
                  <w:tcBorders>
                    <w:tl2br w:val="nil"/>
                    <w:tr2bl w:val="nil"/>
                  </w:tcBorders>
                  <w:vAlign w:val="center"/>
                </w:tcPr>
                <w:p w14:paraId="055745B8">
                  <w:pPr>
                    <w:pStyle w:val="86"/>
                    <w:rPr>
                      <w:color w:val="000000" w:themeColor="text1"/>
                      <w14:textFill>
                        <w14:solidFill>
                          <w14:schemeClr w14:val="tx1"/>
                        </w14:solidFill>
                      </w14:textFill>
                    </w:rPr>
                  </w:pPr>
                </w:p>
              </w:tc>
              <w:tc>
                <w:tcPr>
                  <w:tcW w:w="866" w:type="pct"/>
                  <w:tcBorders>
                    <w:tl2br w:val="nil"/>
                    <w:tr2bl w:val="nil"/>
                  </w:tcBorders>
                  <w:vAlign w:val="center"/>
                </w:tcPr>
                <w:p w14:paraId="001A542D">
                  <w:pPr>
                    <w:pStyle w:val="86"/>
                    <w:rPr>
                      <w:color w:val="000000" w:themeColor="text1"/>
                      <w14:textFill>
                        <w14:solidFill>
                          <w14:schemeClr w14:val="tx1"/>
                        </w14:solidFill>
                      </w14:textFill>
                    </w:rPr>
                  </w:pPr>
                  <w:r>
                    <w:rPr>
                      <w:rFonts w:hint="eastAsia"/>
                      <w:color w:val="000000" w:themeColor="text1"/>
                      <w14:textFill>
                        <w14:solidFill>
                          <w14:schemeClr w14:val="tx1"/>
                        </w14:solidFill>
                      </w14:textFill>
                    </w:rPr>
                    <w:t>50</w:t>
                  </w:r>
                </w:p>
              </w:tc>
            </w:tr>
            <w:tr w14:paraId="1D125F66">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48" w:type="pct"/>
                  <w:tcBorders>
                    <w:tl2br w:val="nil"/>
                    <w:tr2bl w:val="nil"/>
                  </w:tcBorders>
                  <w:vAlign w:val="center"/>
                </w:tcPr>
                <w:p w14:paraId="059B46DB">
                  <w:pPr>
                    <w:pStyle w:val="86"/>
                    <w:rPr>
                      <w:color w:val="000000" w:themeColor="text1"/>
                      <w14:textFill>
                        <w14:solidFill>
                          <w14:schemeClr w14:val="tx1"/>
                        </w14:solidFill>
                      </w14:textFill>
                    </w:rPr>
                  </w:pPr>
                  <w:r>
                    <w:rPr>
                      <w:rFonts w:hint="eastAsia"/>
                      <w:color w:val="000000" w:themeColor="text1"/>
                      <w14:textFill>
                        <w14:solidFill>
                          <w14:schemeClr w14:val="tx1"/>
                        </w14:solidFill>
                      </w14:textFill>
                    </w:rPr>
                    <w:t>8</w:t>
                  </w:r>
                </w:p>
              </w:tc>
              <w:tc>
                <w:tcPr>
                  <w:tcW w:w="917" w:type="pct"/>
                  <w:tcBorders>
                    <w:tl2br w:val="nil"/>
                    <w:tr2bl w:val="nil"/>
                  </w:tcBorders>
                  <w:vAlign w:val="center"/>
                </w:tcPr>
                <w:p w14:paraId="30F9E610">
                  <w:pPr>
                    <w:pStyle w:val="86"/>
                    <w:rPr>
                      <w:color w:val="000000" w:themeColor="text1"/>
                      <w14:textFill>
                        <w14:solidFill>
                          <w14:schemeClr w14:val="tx1"/>
                        </w14:solidFill>
                      </w14:textFill>
                    </w:rPr>
                  </w:pPr>
                  <w:r>
                    <w:rPr>
                      <w:color w:val="000000" w:themeColor="text1"/>
                      <w14:textFill>
                        <w14:solidFill>
                          <w14:schemeClr w14:val="tx1"/>
                        </w14:solidFill>
                      </w14:textFill>
                    </w:rPr>
                    <w:t>石油类</w:t>
                  </w:r>
                </w:p>
              </w:tc>
              <w:tc>
                <w:tcPr>
                  <w:tcW w:w="782" w:type="pct"/>
                  <w:tcBorders>
                    <w:tl2br w:val="nil"/>
                    <w:tr2bl w:val="nil"/>
                  </w:tcBorders>
                  <w:vAlign w:val="center"/>
                </w:tcPr>
                <w:p w14:paraId="7DFBCC54">
                  <w:pPr>
                    <w:pStyle w:val="86"/>
                    <w:rPr>
                      <w:color w:val="000000" w:themeColor="text1"/>
                      <w14:textFill>
                        <w14:solidFill>
                          <w14:schemeClr w14:val="tx1"/>
                        </w14:solidFill>
                      </w14:textFill>
                    </w:rPr>
                  </w:pPr>
                  <w:r>
                    <w:rPr>
                      <w:color w:val="000000" w:themeColor="text1"/>
                      <w14:textFill>
                        <w14:solidFill>
                          <w14:schemeClr w14:val="tx1"/>
                        </w14:solidFill>
                      </w14:textFill>
                    </w:rPr>
                    <w:t>mg/L</w:t>
                  </w:r>
                </w:p>
              </w:tc>
              <w:tc>
                <w:tcPr>
                  <w:tcW w:w="1885" w:type="pct"/>
                  <w:vMerge w:val="continue"/>
                  <w:tcBorders>
                    <w:tl2br w:val="nil"/>
                    <w:tr2bl w:val="nil"/>
                  </w:tcBorders>
                  <w:vAlign w:val="center"/>
                </w:tcPr>
                <w:p w14:paraId="3FDAA7A1">
                  <w:pPr>
                    <w:pStyle w:val="86"/>
                    <w:rPr>
                      <w:color w:val="000000" w:themeColor="text1"/>
                      <w14:textFill>
                        <w14:solidFill>
                          <w14:schemeClr w14:val="tx1"/>
                        </w14:solidFill>
                      </w14:textFill>
                    </w:rPr>
                  </w:pPr>
                </w:p>
              </w:tc>
              <w:tc>
                <w:tcPr>
                  <w:tcW w:w="866" w:type="pct"/>
                  <w:tcBorders>
                    <w:tl2br w:val="nil"/>
                    <w:tr2bl w:val="nil"/>
                  </w:tcBorders>
                  <w:vAlign w:val="center"/>
                </w:tcPr>
                <w:p w14:paraId="425DA1BB">
                  <w:pPr>
                    <w:pStyle w:val="86"/>
                    <w:rPr>
                      <w:color w:val="000000" w:themeColor="text1"/>
                      <w14:textFill>
                        <w14:solidFill>
                          <w14:schemeClr w14:val="tx1"/>
                        </w14:solidFill>
                      </w14:textFill>
                    </w:rPr>
                  </w:pPr>
                  <w:r>
                    <w:rPr>
                      <w:rFonts w:hint="eastAsia"/>
                      <w:color w:val="000000" w:themeColor="text1"/>
                      <w14:textFill>
                        <w14:solidFill>
                          <w14:schemeClr w14:val="tx1"/>
                        </w14:solidFill>
                      </w14:textFill>
                    </w:rPr>
                    <w:t>20</w:t>
                  </w:r>
                </w:p>
              </w:tc>
            </w:tr>
          </w:tbl>
          <w:p w14:paraId="64E28513">
            <w:pPr>
              <w:pStyle w:val="84"/>
              <w:spacing w:line="360" w:lineRule="auto"/>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（4）固废排放标准</w:t>
            </w:r>
          </w:p>
          <w:p w14:paraId="61180C82">
            <w:pPr>
              <w:adjustRightInd w:val="0"/>
              <w:snapToGrid w:val="0"/>
              <w:spacing w:line="360" w:lineRule="auto"/>
              <w:ind w:firstLine="480" w:firstLineChars="200"/>
              <w:rPr>
                <w:color w:val="000000" w:themeColor="text1"/>
                <w:kern w:val="0"/>
                <w:sz w:val="24"/>
                <w14:textFill>
                  <w14:solidFill>
                    <w14:schemeClr w14:val="tx1"/>
                  </w14:solidFill>
                </w14:textFill>
              </w:rPr>
            </w:pPr>
            <w:r>
              <w:rPr>
                <w:rFonts w:hAnsi="宋体"/>
                <w:color w:val="000000" w:themeColor="text1"/>
                <w:sz w:val="24"/>
                <w14:textFill>
                  <w14:solidFill>
                    <w14:schemeClr w14:val="tx1"/>
                  </w14:solidFill>
                </w14:textFill>
              </w:rPr>
              <w:t>一般</w:t>
            </w:r>
            <w:r>
              <w:rPr>
                <w:rFonts w:hint="eastAsia" w:hAnsi="宋体"/>
                <w:color w:val="000000" w:themeColor="text1"/>
                <w:sz w:val="24"/>
                <w14:textFill>
                  <w14:solidFill>
                    <w14:schemeClr w14:val="tx1"/>
                  </w14:solidFill>
                </w14:textFill>
              </w:rPr>
              <w:t>工业</w:t>
            </w:r>
            <w:r>
              <w:rPr>
                <w:rFonts w:hAnsi="宋体"/>
                <w:color w:val="000000" w:themeColor="text1"/>
                <w:sz w:val="24"/>
                <w14:textFill>
                  <w14:solidFill>
                    <w14:schemeClr w14:val="tx1"/>
                  </w14:solidFill>
                </w14:textFill>
              </w:rPr>
              <w:t>固体废物</w:t>
            </w:r>
            <w:r>
              <w:rPr>
                <w:rFonts w:hint="eastAsia" w:hAnsi="宋体"/>
                <w:color w:val="000000" w:themeColor="text1"/>
                <w:sz w:val="24"/>
                <w14:textFill>
                  <w14:solidFill>
                    <w14:schemeClr w14:val="tx1"/>
                  </w14:solidFill>
                </w14:textFill>
              </w:rPr>
              <w:t>执行《一般工业固体废物贮存和填埋污染控制标准》（GB18599-2020）</w:t>
            </w:r>
            <w:r>
              <w:rPr>
                <w:color w:val="000000" w:themeColor="text1"/>
                <w:kern w:val="0"/>
                <w:sz w:val="24"/>
                <w14:textFill>
                  <w14:solidFill>
                    <w14:schemeClr w14:val="tx1"/>
                  </w14:solidFill>
                </w14:textFill>
              </w:rPr>
              <w:t>。</w:t>
            </w:r>
          </w:p>
          <w:p w14:paraId="72A4B290">
            <w:pPr>
              <w:adjustRightInd w:val="0"/>
              <w:snapToGrid w:val="0"/>
              <w:spacing w:line="360" w:lineRule="auto"/>
              <w:ind w:firstLine="480" w:firstLineChars="200"/>
              <w:rPr>
                <w:rFonts w:hint="eastAsia" w:ascii="宋体" w:hAnsi="宋体" w:cs="宋体"/>
                <w:color w:val="000000" w:themeColor="text1"/>
                <w:kern w:val="0"/>
                <w:szCs w:val="21"/>
                <w14:textFill>
                  <w14:solidFill>
                    <w14:schemeClr w14:val="tx1"/>
                  </w14:solidFill>
                </w14:textFill>
              </w:rPr>
            </w:pPr>
            <w:r>
              <w:rPr>
                <w:rFonts w:hint="eastAsia" w:hAnsi="宋体"/>
                <w:color w:val="000000" w:themeColor="text1"/>
                <w:sz w:val="24"/>
                <w14:textFill>
                  <w14:solidFill>
                    <w14:schemeClr w14:val="tx1"/>
                  </w14:solidFill>
                </w14:textFill>
              </w:rPr>
              <w:t>危险废物执行</w:t>
            </w:r>
            <w:r>
              <w:rPr>
                <w:rFonts w:hint="eastAsia"/>
                <w:color w:val="000000" w:themeColor="text1"/>
                <w:kern w:val="0"/>
                <w:sz w:val="24"/>
                <w:szCs w:val="20"/>
                <w14:textFill>
                  <w14:solidFill>
                    <w14:schemeClr w14:val="tx1"/>
                  </w14:solidFill>
                </w14:textFill>
              </w:rPr>
              <w:t>《</w:t>
            </w:r>
            <w:r>
              <w:rPr>
                <w:color w:val="000000" w:themeColor="text1"/>
                <w:kern w:val="0"/>
                <w:sz w:val="24"/>
                <w:szCs w:val="20"/>
                <w14:textFill>
                  <w14:solidFill>
                    <w14:schemeClr w14:val="tx1"/>
                  </w14:solidFill>
                </w14:textFill>
              </w:rPr>
              <w:t>危险废物贮存污染控制标准</w:t>
            </w:r>
            <w:r>
              <w:rPr>
                <w:rFonts w:hint="eastAsia"/>
                <w:color w:val="000000" w:themeColor="text1"/>
                <w:kern w:val="0"/>
                <w:sz w:val="24"/>
                <w:szCs w:val="20"/>
                <w14:textFill>
                  <w14:solidFill>
                    <w14:schemeClr w14:val="tx1"/>
                  </w14:solidFill>
                </w14:textFill>
              </w:rPr>
              <w:t>》（</w:t>
            </w:r>
            <w:r>
              <w:rPr>
                <w:color w:val="000000" w:themeColor="text1"/>
                <w:kern w:val="0"/>
                <w:sz w:val="24"/>
                <w:szCs w:val="20"/>
                <w14:textFill>
                  <w14:solidFill>
                    <w14:schemeClr w14:val="tx1"/>
                  </w14:solidFill>
                </w14:textFill>
              </w:rPr>
              <w:t>GB18597-20</w:t>
            </w:r>
            <w:r>
              <w:rPr>
                <w:rFonts w:hint="eastAsia"/>
                <w:color w:val="000000" w:themeColor="text1"/>
                <w:kern w:val="0"/>
                <w:sz w:val="24"/>
                <w:szCs w:val="20"/>
                <w14:textFill>
                  <w14:solidFill>
                    <w14:schemeClr w14:val="tx1"/>
                  </w14:solidFill>
                </w14:textFill>
              </w:rPr>
              <w:t>23）</w:t>
            </w:r>
            <w:r>
              <w:rPr>
                <w:rFonts w:hint="eastAsia" w:hAnsi="宋体"/>
                <w:color w:val="000000" w:themeColor="text1"/>
                <w:sz w:val="24"/>
                <w14:textFill>
                  <w14:solidFill>
                    <w14:schemeClr w14:val="tx1"/>
                  </w14:solidFill>
                </w14:textFill>
              </w:rPr>
              <w:t>。</w:t>
            </w:r>
          </w:p>
        </w:tc>
      </w:tr>
      <w:tr w14:paraId="18E22DF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800" w:type="dxa"/>
            <w:vAlign w:val="center"/>
          </w:tcPr>
          <w:p w14:paraId="7E0C662E">
            <w:pPr>
              <w:adjustRightInd w:val="0"/>
              <w:snapToGrid w:val="0"/>
              <w:jc w:val="center"/>
              <w:rPr>
                <w:rFonts w:hint="eastAsia" w:ascii="宋体" w:hAnsi="宋体" w:cs="宋体"/>
                <w:color w:val="000000" w:themeColor="text1"/>
                <w:kern w:val="0"/>
                <w:szCs w:val="21"/>
                <w14:textFill>
                  <w14:solidFill>
                    <w14:schemeClr w14:val="tx1"/>
                  </w14:solidFill>
                </w14:textFill>
              </w:rPr>
            </w:pPr>
            <w:r>
              <w:rPr>
                <w:rFonts w:hint="eastAsia" w:ascii="宋体" w:hAnsi="宋体" w:cs="宋体"/>
                <w:color w:val="000000" w:themeColor="text1"/>
                <w:kern w:val="0"/>
                <w:szCs w:val="21"/>
                <w14:textFill>
                  <w14:solidFill>
                    <w14:schemeClr w14:val="tx1"/>
                  </w14:solidFill>
                </w14:textFill>
              </w:rPr>
              <w:t>总量</w:t>
            </w:r>
          </w:p>
          <w:p w14:paraId="3CB8FCBB">
            <w:pPr>
              <w:adjustRightInd w:val="0"/>
              <w:snapToGrid w:val="0"/>
              <w:jc w:val="center"/>
              <w:rPr>
                <w:rFonts w:hint="eastAsia" w:ascii="宋体" w:hAnsi="宋体" w:cs="宋体"/>
                <w:color w:val="000000" w:themeColor="text1"/>
                <w:kern w:val="0"/>
                <w:szCs w:val="21"/>
                <w14:textFill>
                  <w14:solidFill>
                    <w14:schemeClr w14:val="tx1"/>
                  </w14:solidFill>
                </w14:textFill>
              </w:rPr>
            </w:pPr>
            <w:r>
              <w:rPr>
                <w:rFonts w:hint="eastAsia" w:ascii="宋体" w:hAnsi="宋体" w:cs="宋体"/>
                <w:color w:val="000000" w:themeColor="text1"/>
                <w:kern w:val="0"/>
                <w:szCs w:val="21"/>
                <w14:textFill>
                  <w14:solidFill>
                    <w14:schemeClr w14:val="tx1"/>
                  </w14:solidFill>
                </w14:textFill>
              </w:rPr>
              <w:t>控制</w:t>
            </w:r>
          </w:p>
          <w:p w14:paraId="1FC45BE4">
            <w:pPr>
              <w:adjustRightInd w:val="0"/>
              <w:snapToGrid w:val="0"/>
              <w:jc w:val="center"/>
              <w:rPr>
                <w:rFonts w:hint="eastAsia" w:ascii="宋体" w:hAnsi="宋体" w:cs="宋体"/>
                <w:color w:val="000000" w:themeColor="text1"/>
                <w:kern w:val="0"/>
                <w:szCs w:val="21"/>
                <w14:textFill>
                  <w14:solidFill>
                    <w14:schemeClr w14:val="tx1"/>
                  </w14:solidFill>
                </w14:textFill>
              </w:rPr>
            </w:pPr>
            <w:r>
              <w:rPr>
                <w:rFonts w:hint="eastAsia" w:ascii="宋体" w:hAnsi="宋体" w:cs="宋体"/>
                <w:color w:val="000000" w:themeColor="text1"/>
                <w:kern w:val="0"/>
                <w:szCs w:val="21"/>
                <w14:textFill>
                  <w14:solidFill>
                    <w14:schemeClr w14:val="tx1"/>
                  </w14:solidFill>
                </w14:textFill>
              </w:rPr>
              <w:t>指标</w:t>
            </w:r>
          </w:p>
        </w:tc>
        <w:tc>
          <w:tcPr>
            <w:tcW w:w="8190" w:type="dxa"/>
            <w:vAlign w:val="center"/>
          </w:tcPr>
          <w:p w14:paraId="4B05F805">
            <w:pPr>
              <w:spacing w:line="360" w:lineRule="auto"/>
              <w:ind w:firstLine="480" w:firstLineChars="200"/>
              <w:rPr>
                <w:sz w:val="24"/>
              </w:rPr>
            </w:pPr>
            <w:r>
              <w:rPr>
                <w:sz w:val="24"/>
              </w:rPr>
              <w:t>根据环保部环发</w:t>
            </w:r>
            <w:r>
              <w:rPr>
                <w:rFonts w:hint="eastAsia"/>
                <w:sz w:val="24"/>
                <w:lang w:eastAsia="zh-CN"/>
              </w:rPr>
              <w:t>〔</w:t>
            </w:r>
            <w:r>
              <w:rPr>
                <w:sz w:val="24"/>
              </w:rPr>
              <w:t>2014</w:t>
            </w:r>
            <w:r>
              <w:rPr>
                <w:rFonts w:hint="eastAsia"/>
                <w:sz w:val="24"/>
                <w:lang w:eastAsia="zh-CN"/>
              </w:rPr>
              <w:t>〕</w:t>
            </w:r>
            <w:r>
              <w:rPr>
                <w:sz w:val="24"/>
              </w:rPr>
              <w:t>197号《建设项目主要污染物排放总量指标审核及管理暂行办法》和《辽宁省生态环境厅关于进一步加强建设项目主要污染物排放总量指标审核和管理的通知》(辽环综函</w:t>
            </w:r>
            <w:r>
              <w:rPr>
                <w:rFonts w:hint="eastAsia"/>
                <w:sz w:val="24"/>
                <w:lang w:eastAsia="zh-CN"/>
              </w:rPr>
              <w:t>〔</w:t>
            </w:r>
            <w:r>
              <w:rPr>
                <w:sz w:val="24"/>
              </w:rPr>
              <w:t>2020</w:t>
            </w:r>
            <w:r>
              <w:rPr>
                <w:rFonts w:hint="eastAsia"/>
                <w:sz w:val="24"/>
                <w:lang w:eastAsia="zh-CN"/>
              </w:rPr>
              <w:t>〕</w:t>
            </w:r>
            <w:r>
              <w:rPr>
                <w:sz w:val="24"/>
              </w:rPr>
              <w:t>380号)，辽宁省对化学需氧量、氨氮、挥发性有机物、氮氧化物四种主要污染物实行排放总量控制。</w:t>
            </w:r>
          </w:p>
          <w:p w14:paraId="2A045879">
            <w:pPr>
              <w:spacing w:line="360" w:lineRule="auto"/>
              <w:ind w:firstLine="480" w:firstLineChars="200"/>
              <w:rPr>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本项目污染物总量控制指标如下：</w:t>
            </w:r>
          </w:p>
          <w:p w14:paraId="03C2DE4C">
            <w:pPr>
              <w:spacing w:line="360" w:lineRule="auto"/>
              <w:ind w:firstLine="480" w:firstLineChars="200"/>
              <w:rPr>
                <w:sz w:val="24"/>
              </w:rPr>
            </w:pPr>
            <w:r>
              <w:rPr>
                <w:rFonts w:hint="eastAsia"/>
                <w:sz w:val="24"/>
              </w:rPr>
              <w:t>1.</w:t>
            </w:r>
            <w:r>
              <w:rPr>
                <w:sz w:val="24"/>
              </w:rPr>
              <w:t>废水总量控制指标</w:t>
            </w:r>
          </w:p>
          <w:p w14:paraId="65D6AFE5">
            <w:pPr>
              <w:tabs>
                <w:tab w:val="left" w:pos="4425"/>
              </w:tabs>
              <w:spacing w:line="360" w:lineRule="auto"/>
              <w:ind w:firstLine="480" w:firstLineChars="200"/>
              <w:rPr>
                <w:sz w:val="24"/>
              </w:rPr>
            </w:pPr>
            <w:r>
              <w:rPr>
                <w:sz w:val="24"/>
              </w:rPr>
              <w:t>废水排放总量为化学需氧量 0.000386t/a，氨氮 0.000012t/a。</w:t>
            </w:r>
          </w:p>
          <w:p w14:paraId="7826DD6C">
            <w:pPr>
              <w:spacing w:line="360" w:lineRule="auto"/>
              <w:ind w:firstLine="480" w:firstLineChars="200"/>
              <w:rPr>
                <w:sz w:val="24"/>
              </w:rPr>
            </w:pPr>
            <w:r>
              <w:rPr>
                <w:rFonts w:hint="eastAsia"/>
                <w:sz w:val="24"/>
                <w:lang w:val="en-US" w:eastAsia="zh-CN"/>
              </w:rPr>
              <w:t>2.</w:t>
            </w:r>
            <w:r>
              <w:rPr>
                <w:sz w:val="24"/>
              </w:rPr>
              <w:t>废气总量控制指标</w:t>
            </w:r>
          </w:p>
          <w:p w14:paraId="06097465">
            <w:pPr>
              <w:tabs>
                <w:tab w:val="left" w:pos="4425"/>
              </w:tabs>
              <w:spacing w:line="360" w:lineRule="auto"/>
              <w:ind w:firstLine="480" w:firstLineChars="200"/>
              <w:rPr>
                <w:sz w:val="24"/>
              </w:rPr>
            </w:pPr>
            <w:r>
              <w:rPr>
                <w:sz w:val="24"/>
              </w:rPr>
              <w:t>本项目废气总量控制指标为VOCs，不涉及NO</w:t>
            </w:r>
            <w:r>
              <w:rPr>
                <w:sz w:val="24"/>
                <w:vertAlign w:val="subscript"/>
              </w:rPr>
              <w:t>X</w:t>
            </w:r>
            <w:r>
              <w:rPr>
                <w:sz w:val="24"/>
              </w:rPr>
              <w:t>，废</w:t>
            </w:r>
            <w:r>
              <w:rPr>
                <w:rFonts w:hint="eastAsia"/>
                <w:sz w:val="24"/>
              </w:rPr>
              <w:t>气</w:t>
            </w:r>
            <w:r>
              <w:rPr>
                <w:sz w:val="24"/>
              </w:rPr>
              <w:t>排放总量为非甲烷总烃</w:t>
            </w:r>
            <w:r>
              <w:rPr>
                <w:rFonts w:hint="default"/>
                <w:sz w:val="24"/>
                <w:lang w:val="en-US" w:eastAsia="zh-CN"/>
              </w:rPr>
              <w:t>0.0694</w:t>
            </w:r>
            <w:r>
              <w:rPr>
                <w:sz w:val="24"/>
              </w:rPr>
              <w:t>t/a，氮氧化物 0t/a。</w:t>
            </w:r>
          </w:p>
          <w:p w14:paraId="33C2F96B">
            <w:pPr>
              <w:jc w:val="center"/>
              <w:rPr>
                <w:b/>
                <w:bCs/>
              </w:rPr>
            </w:pPr>
            <w:r>
              <w:rPr>
                <w:b/>
                <w:bCs/>
              </w:rPr>
              <w:t>表3-</w:t>
            </w:r>
            <w:r>
              <w:rPr>
                <w:rFonts w:hint="eastAsia"/>
                <w:b/>
                <w:bCs/>
              </w:rPr>
              <w:t>1</w:t>
            </w:r>
            <w:r>
              <w:rPr>
                <w:rFonts w:hint="eastAsia"/>
                <w:b/>
                <w:bCs/>
                <w:lang w:val="en-US" w:eastAsia="zh-CN"/>
              </w:rPr>
              <w:t>7</w:t>
            </w:r>
            <w:r>
              <w:rPr>
                <w:b/>
                <w:bCs/>
              </w:rPr>
              <w:t xml:space="preserve">    全厂总量申请表    单位：t/a</w:t>
            </w:r>
          </w:p>
          <w:tbl>
            <w:tblPr>
              <w:tblStyle w:val="35"/>
              <w:tblW w:w="4998" w:type="pct"/>
              <w:jc w:val="center"/>
              <w:tblBorders>
                <w:top w:val="double" w:color="auto" w:sz="4" w:space="0"/>
                <w:left w:val="none" w:color="auto" w:sz="0" w:space="0"/>
                <w:bottom w:val="double" w:color="auto" w:sz="4" w:space="0"/>
                <w:right w:val="none" w:color="auto" w:sz="0" w:space="0"/>
                <w:insideH w:val="single" w:color="auto" w:sz="2" w:space="0"/>
                <w:insideV w:val="single" w:color="auto" w:sz="4" w:space="0"/>
              </w:tblBorders>
              <w:tblLayout w:type="autofit"/>
              <w:tblCellMar>
                <w:top w:w="0" w:type="dxa"/>
                <w:left w:w="108" w:type="dxa"/>
                <w:bottom w:w="0" w:type="dxa"/>
                <w:right w:w="108" w:type="dxa"/>
              </w:tblCellMar>
            </w:tblPr>
            <w:tblGrid>
              <w:gridCol w:w="1797"/>
              <w:gridCol w:w="2004"/>
              <w:gridCol w:w="1979"/>
              <w:gridCol w:w="2202"/>
            </w:tblGrid>
            <w:tr w14:paraId="18D085C0">
              <w:tblPrEx>
                <w:tblBorders>
                  <w:top w:val="double" w:color="auto" w:sz="4" w:space="0"/>
                  <w:left w:val="none" w:color="auto" w:sz="0" w:space="0"/>
                  <w:bottom w:val="double" w:color="auto" w:sz="4" w:space="0"/>
                  <w:right w:val="none" w:color="auto" w:sz="0" w:space="0"/>
                  <w:insideH w:val="single" w:color="auto" w:sz="2" w:space="0"/>
                  <w:insideV w:val="single" w:color="auto" w:sz="4" w:space="0"/>
                </w:tblBorders>
                <w:tblCellMar>
                  <w:top w:w="0" w:type="dxa"/>
                  <w:left w:w="108" w:type="dxa"/>
                  <w:bottom w:w="0" w:type="dxa"/>
                  <w:right w:w="108" w:type="dxa"/>
                </w:tblCellMar>
              </w:tblPrEx>
              <w:trPr>
                <w:trHeight w:val="341" w:hRule="atLeast"/>
                <w:jc w:val="center"/>
              </w:trPr>
              <w:tc>
                <w:tcPr>
                  <w:tcW w:w="1125" w:type="pct"/>
                  <w:tcBorders>
                    <w:tl2br w:val="nil"/>
                    <w:tr2bl w:val="nil"/>
                  </w:tcBorders>
                  <w:vAlign w:val="center"/>
                </w:tcPr>
                <w:p w14:paraId="59E75696">
                  <w:pPr>
                    <w:pStyle w:val="49"/>
                    <w:tabs>
                      <w:tab w:val="left" w:pos="4665"/>
                      <w:tab w:val="left" w:pos="8970"/>
                    </w:tabs>
                    <w:jc w:val="center"/>
                    <w:rPr>
                      <w:rFonts w:ascii="Times New Roman" w:hAnsi="Times New Roman" w:eastAsia="宋体"/>
                      <w:b/>
                      <w:bCs/>
                      <w:sz w:val="21"/>
                      <w:szCs w:val="21"/>
                    </w:rPr>
                  </w:pPr>
                  <w:r>
                    <w:rPr>
                      <w:rFonts w:ascii="Times New Roman" w:hAnsi="Times New Roman" w:eastAsia="宋体"/>
                      <w:b/>
                      <w:bCs/>
                      <w:sz w:val="21"/>
                      <w:szCs w:val="21"/>
                    </w:rPr>
                    <w:t>污染物</w:t>
                  </w:r>
                </w:p>
              </w:tc>
              <w:tc>
                <w:tcPr>
                  <w:tcW w:w="1255" w:type="pct"/>
                  <w:tcBorders>
                    <w:tl2br w:val="nil"/>
                    <w:tr2bl w:val="nil"/>
                  </w:tcBorders>
                  <w:vAlign w:val="center"/>
                </w:tcPr>
                <w:p w14:paraId="1AF194BB">
                  <w:pPr>
                    <w:pStyle w:val="49"/>
                    <w:tabs>
                      <w:tab w:val="left" w:pos="4665"/>
                      <w:tab w:val="left" w:pos="8970"/>
                    </w:tabs>
                    <w:jc w:val="center"/>
                    <w:rPr>
                      <w:rFonts w:ascii="Times New Roman" w:hAnsi="Times New Roman" w:eastAsia="宋体"/>
                      <w:b/>
                      <w:bCs/>
                      <w:sz w:val="21"/>
                      <w:szCs w:val="21"/>
                    </w:rPr>
                  </w:pPr>
                  <w:r>
                    <w:rPr>
                      <w:rFonts w:ascii="Times New Roman" w:hAnsi="Times New Roman" w:eastAsia="宋体"/>
                      <w:b/>
                      <w:bCs/>
                      <w:sz w:val="21"/>
                      <w:szCs w:val="21"/>
                    </w:rPr>
                    <w:t>本目排放量</w:t>
                  </w:r>
                </w:p>
              </w:tc>
              <w:tc>
                <w:tcPr>
                  <w:tcW w:w="1239" w:type="pct"/>
                  <w:tcBorders>
                    <w:tl2br w:val="nil"/>
                    <w:tr2bl w:val="nil"/>
                  </w:tcBorders>
                  <w:vAlign w:val="center"/>
                </w:tcPr>
                <w:p w14:paraId="40E3946A">
                  <w:pPr>
                    <w:pStyle w:val="49"/>
                    <w:tabs>
                      <w:tab w:val="left" w:pos="4665"/>
                      <w:tab w:val="left" w:pos="8970"/>
                    </w:tabs>
                    <w:jc w:val="center"/>
                    <w:rPr>
                      <w:rFonts w:ascii="Times New Roman" w:hAnsi="Times New Roman" w:eastAsia="宋体"/>
                      <w:b/>
                      <w:bCs/>
                      <w:sz w:val="21"/>
                      <w:szCs w:val="21"/>
                    </w:rPr>
                  </w:pPr>
                  <w:r>
                    <w:rPr>
                      <w:rFonts w:ascii="Times New Roman" w:hAnsi="Times New Roman" w:eastAsia="宋体"/>
                      <w:b/>
                      <w:bCs/>
                      <w:sz w:val="21"/>
                      <w:szCs w:val="21"/>
                    </w:rPr>
                    <w:t>“区域削减”量</w:t>
                  </w:r>
                </w:p>
              </w:tc>
              <w:tc>
                <w:tcPr>
                  <w:tcW w:w="1379" w:type="pct"/>
                  <w:tcBorders>
                    <w:tl2br w:val="nil"/>
                    <w:tr2bl w:val="nil"/>
                  </w:tcBorders>
                  <w:vAlign w:val="center"/>
                </w:tcPr>
                <w:p w14:paraId="75C16F1C">
                  <w:pPr>
                    <w:pStyle w:val="49"/>
                    <w:tabs>
                      <w:tab w:val="left" w:pos="4665"/>
                      <w:tab w:val="left" w:pos="8970"/>
                    </w:tabs>
                    <w:jc w:val="center"/>
                    <w:rPr>
                      <w:rFonts w:ascii="Times New Roman" w:hAnsi="Times New Roman" w:eastAsia="宋体"/>
                      <w:b/>
                      <w:bCs/>
                      <w:sz w:val="21"/>
                      <w:szCs w:val="21"/>
                    </w:rPr>
                  </w:pPr>
                  <w:r>
                    <w:rPr>
                      <w:rFonts w:ascii="Times New Roman" w:hAnsi="Times New Roman" w:eastAsia="宋体"/>
                      <w:b/>
                      <w:bCs/>
                      <w:sz w:val="21"/>
                      <w:szCs w:val="21"/>
                    </w:rPr>
                    <w:t>拟申请总量</w:t>
                  </w:r>
                </w:p>
              </w:tc>
            </w:tr>
            <w:tr w14:paraId="69993D69">
              <w:tblPrEx>
                <w:tblBorders>
                  <w:top w:val="double" w:color="auto" w:sz="4" w:space="0"/>
                  <w:left w:val="none" w:color="auto" w:sz="0" w:space="0"/>
                  <w:bottom w:val="double" w:color="auto" w:sz="4" w:space="0"/>
                  <w:right w:val="none" w:color="auto" w:sz="0" w:space="0"/>
                  <w:insideH w:val="single" w:color="auto" w:sz="2" w:space="0"/>
                  <w:insideV w:val="single" w:color="auto" w:sz="4" w:space="0"/>
                </w:tblBorders>
                <w:tblCellMar>
                  <w:top w:w="0" w:type="dxa"/>
                  <w:left w:w="108" w:type="dxa"/>
                  <w:bottom w:w="0" w:type="dxa"/>
                  <w:right w:w="108" w:type="dxa"/>
                </w:tblCellMar>
              </w:tblPrEx>
              <w:trPr>
                <w:trHeight w:val="383" w:hRule="atLeast"/>
                <w:jc w:val="center"/>
              </w:trPr>
              <w:tc>
                <w:tcPr>
                  <w:tcW w:w="1125" w:type="pct"/>
                  <w:tcBorders>
                    <w:tl2br w:val="nil"/>
                    <w:tr2bl w:val="nil"/>
                  </w:tcBorders>
                  <w:vAlign w:val="center"/>
                </w:tcPr>
                <w:p w14:paraId="12A7E4E7">
                  <w:pPr>
                    <w:pStyle w:val="49"/>
                    <w:tabs>
                      <w:tab w:val="left" w:pos="4665"/>
                      <w:tab w:val="left" w:pos="8970"/>
                    </w:tabs>
                    <w:jc w:val="center"/>
                    <w:rPr>
                      <w:rFonts w:ascii="Times New Roman" w:hAnsi="Times New Roman" w:eastAsia="宋体"/>
                      <w:sz w:val="21"/>
                      <w:szCs w:val="21"/>
                    </w:rPr>
                  </w:pPr>
                  <w:r>
                    <w:rPr>
                      <w:rFonts w:ascii="Times New Roman" w:hAnsi="Times New Roman" w:eastAsia="宋体"/>
                      <w:sz w:val="21"/>
                      <w:szCs w:val="21"/>
                    </w:rPr>
                    <w:t>VOCs</w:t>
                  </w:r>
                </w:p>
              </w:tc>
              <w:tc>
                <w:tcPr>
                  <w:tcW w:w="1255" w:type="pct"/>
                  <w:tcBorders>
                    <w:tl2br w:val="nil"/>
                    <w:tr2bl w:val="nil"/>
                  </w:tcBorders>
                  <w:vAlign w:val="center"/>
                </w:tcPr>
                <w:p w14:paraId="4E0536B4">
                  <w:pPr>
                    <w:pStyle w:val="49"/>
                    <w:tabs>
                      <w:tab w:val="left" w:pos="4665"/>
                      <w:tab w:val="left" w:pos="8970"/>
                    </w:tabs>
                    <w:jc w:val="center"/>
                    <w:rPr>
                      <w:rFonts w:ascii="Times New Roman" w:hAnsi="Times New Roman" w:eastAsia="宋体"/>
                      <w:sz w:val="21"/>
                      <w:szCs w:val="21"/>
                    </w:rPr>
                  </w:pPr>
                  <w:r>
                    <w:rPr>
                      <w:rFonts w:hint="default" w:ascii="Times New Roman" w:hAnsi="Times New Roman" w:eastAsia="宋体"/>
                      <w:sz w:val="21"/>
                      <w:szCs w:val="21"/>
                      <w:lang w:val="en-US" w:eastAsia="zh-CN"/>
                    </w:rPr>
                    <w:t>0.0694</w:t>
                  </w:r>
                </w:p>
              </w:tc>
              <w:tc>
                <w:tcPr>
                  <w:tcW w:w="1239" w:type="pct"/>
                  <w:tcBorders>
                    <w:tl2br w:val="nil"/>
                    <w:tr2bl w:val="nil"/>
                  </w:tcBorders>
                  <w:vAlign w:val="center"/>
                </w:tcPr>
                <w:p w14:paraId="3910677D">
                  <w:pPr>
                    <w:jc w:val="center"/>
                    <w:rPr>
                      <w:szCs w:val="21"/>
                    </w:rPr>
                  </w:pPr>
                  <w:r>
                    <w:rPr>
                      <w:rFonts w:hint="eastAsia"/>
                      <w:szCs w:val="21"/>
                    </w:rPr>
                    <w:t>0</w:t>
                  </w:r>
                </w:p>
              </w:tc>
              <w:tc>
                <w:tcPr>
                  <w:tcW w:w="2222" w:type="dxa"/>
                  <w:tcBorders>
                    <w:tl2br w:val="nil"/>
                    <w:tr2bl w:val="nil"/>
                  </w:tcBorders>
                  <w:vAlign w:val="center"/>
                </w:tcPr>
                <w:p w14:paraId="455F06EB">
                  <w:pPr>
                    <w:pStyle w:val="49"/>
                    <w:tabs>
                      <w:tab w:val="left" w:pos="4665"/>
                      <w:tab w:val="left" w:pos="8970"/>
                    </w:tabs>
                    <w:jc w:val="center"/>
                    <w:rPr>
                      <w:rFonts w:ascii="Times New Roman" w:hAnsi="Times New Roman" w:eastAsia="宋体"/>
                      <w:sz w:val="21"/>
                      <w:szCs w:val="21"/>
                    </w:rPr>
                  </w:pPr>
                  <w:r>
                    <w:rPr>
                      <w:rFonts w:hint="default" w:ascii="Times New Roman" w:hAnsi="Times New Roman" w:eastAsia="宋体"/>
                      <w:sz w:val="21"/>
                      <w:szCs w:val="21"/>
                      <w:lang w:val="en-US" w:eastAsia="zh-CN"/>
                    </w:rPr>
                    <w:t>0.0694</w:t>
                  </w:r>
                </w:p>
              </w:tc>
            </w:tr>
            <w:tr w14:paraId="0DC4DC52">
              <w:tblPrEx>
                <w:tblBorders>
                  <w:top w:val="double" w:color="auto" w:sz="4" w:space="0"/>
                  <w:left w:val="none" w:color="auto" w:sz="0" w:space="0"/>
                  <w:bottom w:val="double" w:color="auto" w:sz="4" w:space="0"/>
                  <w:right w:val="none" w:color="auto" w:sz="0" w:space="0"/>
                  <w:insideH w:val="single" w:color="auto" w:sz="2" w:space="0"/>
                  <w:insideV w:val="single" w:color="auto" w:sz="4" w:space="0"/>
                </w:tblBorders>
                <w:tblCellMar>
                  <w:top w:w="0" w:type="dxa"/>
                  <w:left w:w="108" w:type="dxa"/>
                  <w:bottom w:w="0" w:type="dxa"/>
                  <w:right w:w="108" w:type="dxa"/>
                </w:tblCellMar>
              </w:tblPrEx>
              <w:trPr>
                <w:trHeight w:val="383" w:hRule="atLeast"/>
                <w:jc w:val="center"/>
              </w:trPr>
              <w:tc>
                <w:tcPr>
                  <w:tcW w:w="1125" w:type="pct"/>
                  <w:tcBorders>
                    <w:tl2br w:val="nil"/>
                    <w:tr2bl w:val="nil"/>
                  </w:tcBorders>
                  <w:vAlign w:val="center"/>
                </w:tcPr>
                <w:p w14:paraId="36D5CF65">
                  <w:pPr>
                    <w:pStyle w:val="49"/>
                    <w:tabs>
                      <w:tab w:val="left" w:pos="4665"/>
                      <w:tab w:val="left" w:pos="8970"/>
                    </w:tabs>
                    <w:jc w:val="center"/>
                    <w:rPr>
                      <w:rFonts w:ascii="Times New Roman" w:hAnsi="Times New Roman" w:eastAsia="宋体"/>
                      <w:sz w:val="21"/>
                      <w:szCs w:val="21"/>
                    </w:rPr>
                  </w:pPr>
                  <w:r>
                    <w:rPr>
                      <w:rFonts w:ascii="Times New Roman" w:hAnsi="Times New Roman"/>
                    </w:rPr>
                    <w:t>NOx</w:t>
                  </w:r>
                </w:p>
              </w:tc>
              <w:tc>
                <w:tcPr>
                  <w:tcW w:w="1255" w:type="pct"/>
                  <w:tcBorders>
                    <w:tl2br w:val="nil"/>
                    <w:tr2bl w:val="nil"/>
                  </w:tcBorders>
                  <w:vAlign w:val="center"/>
                </w:tcPr>
                <w:p w14:paraId="43821EE5">
                  <w:pPr>
                    <w:jc w:val="center"/>
                    <w:rPr>
                      <w:szCs w:val="21"/>
                    </w:rPr>
                  </w:pPr>
                  <w:r>
                    <w:rPr>
                      <w:szCs w:val="21"/>
                    </w:rPr>
                    <w:t>0</w:t>
                  </w:r>
                </w:p>
              </w:tc>
              <w:tc>
                <w:tcPr>
                  <w:tcW w:w="1239" w:type="pct"/>
                  <w:tcBorders>
                    <w:tl2br w:val="nil"/>
                    <w:tr2bl w:val="nil"/>
                  </w:tcBorders>
                  <w:vAlign w:val="center"/>
                </w:tcPr>
                <w:p w14:paraId="71E822C9">
                  <w:pPr>
                    <w:jc w:val="center"/>
                    <w:rPr>
                      <w:szCs w:val="21"/>
                    </w:rPr>
                  </w:pPr>
                  <w:r>
                    <w:rPr>
                      <w:szCs w:val="21"/>
                    </w:rPr>
                    <w:t>0</w:t>
                  </w:r>
                </w:p>
              </w:tc>
              <w:tc>
                <w:tcPr>
                  <w:tcW w:w="2222" w:type="dxa"/>
                  <w:tcBorders>
                    <w:tl2br w:val="nil"/>
                    <w:tr2bl w:val="nil"/>
                  </w:tcBorders>
                  <w:vAlign w:val="center"/>
                </w:tcPr>
                <w:p w14:paraId="718B72ED">
                  <w:pPr>
                    <w:jc w:val="center"/>
                    <w:rPr>
                      <w:szCs w:val="21"/>
                    </w:rPr>
                  </w:pPr>
                  <w:r>
                    <w:rPr>
                      <w:szCs w:val="21"/>
                    </w:rPr>
                    <w:t>0</w:t>
                  </w:r>
                </w:p>
              </w:tc>
            </w:tr>
            <w:tr w14:paraId="67C81BFB">
              <w:tblPrEx>
                <w:tblBorders>
                  <w:top w:val="double" w:color="auto" w:sz="4" w:space="0"/>
                  <w:left w:val="none" w:color="auto" w:sz="0" w:space="0"/>
                  <w:bottom w:val="double" w:color="auto" w:sz="4" w:space="0"/>
                  <w:right w:val="none" w:color="auto" w:sz="0" w:space="0"/>
                  <w:insideH w:val="single" w:color="auto" w:sz="2" w:space="0"/>
                  <w:insideV w:val="single" w:color="auto" w:sz="4" w:space="0"/>
                </w:tblBorders>
                <w:tblCellMar>
                  <w:top w:w="0" w:type="dxa"/>
                  <w:left w:w="108" w:type="dxa"/>
                  <w:bottom w:w="0" w:type="dxa"/>
                  <w:right w:w="108" w:type="dxa"/>
                </w:tblCellMar>
              </w:tblPrEx>
              <w:trPr>
                <w:trHeight w:val="398" w:hRule="atLeast"/>
                <w:jc w:val="center"/>
              </w:trPr>
              <w:tc>
                <w:tcPr>
                  <w:tcW w:w="1125" w:type="pct"/>
                  <w:tcBorders>
                    <w:tl2br w:val="nil"/>
                    <w:tr2bl w:val="nil"/>
                  </w:tcBorders>
                  <w:vAlign w:val="center"/>
                </w:tcPr>
                <w:p w14:paraId="5444F0C2">
                  <w:pPr>
                    <w:pStyle w:val="49"/>
                    <w:tabs>
                      <w:tab w:val="left" w:pos="4665"/>
                      <w:tab w:val="left" w:pos="8970"/>
                    </w:tabs>
                    <w:jc w:val="center"/>
                    <w:rPr>
                      <w:rFonts w:ascii="Times New Roman" w:hAnsi="Times New Roman" w:eastAsia="宋体"/>
                      <w:sz w:val="21"/>
                      <w:szCs w:val="21"/>
                    </w:rPr>
                  </w:pPr>
                  <w:r>
                    <w:rPr>
                      <w:rFonts w:ascii="Times New Roman" w:hAnsi="Times New Roman"/>
                    </w:rPr>
                    <w:t>COD</w:t>
                  </w:r>
                </w:p>
              </w:tc>
              <w:tc>
                <w:tcPr>
                  <w:tcW w:w="1255" w:type="pct"/>
                  <w:tcBorders>
                    <w:tl2br w:val="nil"/>
                    <w:tr2bl w:val="nil"/>
                  </w:tcBorders>
                  <w:vAlign w:val="center"/>
                </w:tcPr>
                <w:p w14:paraId="73D51A71">
                  <w:pPr>
                    <w:jc w:val="center"/>
                    <w:rPr>
                      <w:szCs w:val="21"/>
                    </w:rPr>
                  </w:pPr>
                  <w:r>
                    <w:rPr>
                      <w:szCs w:val="21"/>
                    </w:rPr>
                    <w:t>0.000386</w:t>
                  </w:r>
                </w:p>
              </w:tc>
              <w:tc>
                <w:tcPr>
                  <w:tcW w:w="1239" w:type="pct"/>
                  <w:tcBorders>
                    <w:tl2br w:val="nil"/>
                    <w:tr2bl w:val="nil"/>
                  </w:tcBorders>
                  <w:vAlign w:val="center"/>
                </w:tcPr>
                <w:p w14:paraId="51644454">
                  <w:pPr>
                    <w:jc w:val="center"/>
                    <w:rPr>
                      <w:szCs w:val="21"/>
                    </w:rPr>
                  </w:pPr>
                  <w:r>
                    <w:rPr>
                      <w:szCs w:val="21"/>
                    </w:rPr>
                    <w:t>0</w:t>
                  </w:r>
                </w:p>
              </w:tc>
              <w:tc>
                <w:tcPr>
                  <w:tcW w:w="2222" w:type="dxa"/>
                  <w:tcBorders>
                    <w:tl2br w:val="nil"/>
                    <w:tr2bl w:val="nil"/>
                  </w:tcBorders>
                  <w:vAlign w:val="center"/>
                </w:tcPr>
                <w:p w14:paraId="0E9E3E48">
                  <w:pPr>
                    <w:jc w:val="center"/>
                    <w:rPr>
                      <w:szCs w:val="21"/>
                    </w:rPr>
                  </w:pPr>
                  <w:r>
                    <w:rPr>
                      <w:szCs w:val="21"/>
                    </w:rPr>
                    <w:t>0.000386</w:t>
                  </w:r>
                </w:p>
              </w:tc>
            </w:tr>
            <w:tr w14:paraId="5B93B2DF">
              <w:tblPrEx>
                <w:tblBorders>
                  <w:top w:val="double" w:color="auto" w:sz="4" w:space="0"/>
                  <w:left w:val="none" w:color="auto" w:sz="0" w:space="0"/>
                  <w:bottom w:val="double" w:color="auto" w:sz="4" w:space="0"/>
                  <w:right w:val="none" w:color="auto" w:sz="0" w:space="0"/>
                  <w:insideH w:val="single" w:color="auto" w:sz="2" w:space="0"/>
                  <w:insideV w:val="single" w:color="auto" w:sz="4" w:space="0"/>
                </w:tblBorders>
                <w:tblCellMar>
                  <w:top w:w="0" w:type="dxa"/>
                  <w:left w:w="108" w:type="dxa"/>
                  <w:bottom w:w="0" w:type="dxa"/>
                  <w:right w:w="108" w:type="dxa"/>
                </w:tblCellMar>
              </w:tblPrEx>
              <w:trPr>
                <w:trHeight w:val="413" w:hRule="atLeast"/>
                <w:jc w:val="center"/>
              </w:trPr>
              <w:tc>
                <w:tcPr>
                  <w:tcW w:w="1125" w:type="pct"/>
                  <w:tcBorders>
                    <w:tl2br w:val="nil"/>
                    <w:tr2bl w:val="nil"/>
                  </w:tcBorders>
                  <w:vAlign w:val="center"/>
                </w:tcPr>
                <w:p w14:paraId="02E6657F">
                  <w:pPr>
                    <w:pStyle w:val="49"/>
                    <w:tabs>
                      <w:tab w:val="left" w:pos="4665"/>
                      <w:tab w:val="left" w:pos="8970"/>
                    </w:tabs>
                    <w:jc w:val="center"/>
                    <w:rPr>
                      <w:rFonts w:ascii="Times New Roman" w:hAnsi="Times New Roman" w:eastAsia="宋体"/>
                      <w:sz w:val="21"/>
                      <w:szCs w:val="21"/>
                    </w:rPr>
                  </w:pPr>
                  <w:r>
                    <w:rPr>
                      <w:rFonts w:ascii="Times New Roman" w:hAnsi="Times New Roman"/>
                    </w:rPr>
                    <w:t>NH</w:t>
                  </w:r>
                  <w:r>
                    <w:rPr>
                      <w:rFonts w:ascii="Times New Roman" w:hAnsi="Times New Roman"/>
                      <w:vertAlign w:val="subscript"/>
                    </w:rPr>
                    <w:t>3</w:t>
                  </w:r>
                  <w:r>
                    <w:rPr>
                      <w:rFonts w:ascii="Times New Roman" w:hAnsi="Times New Roman"/>
                    </w:rPr>
                    <w:t>-N</w:t>
                  </w:r>
                </w:p>
              </w:tc>
              <w:tc>
                <w:tcPr>
                  <w:tcW w:w="1255" w:type="pct"/>
                  <w:tcBorders>
                    <w:tl2br w:val="nil"/>
                    <w:tr2bl w:val="nil"/>
                  </w:tcBorders>
                  <w:vAlign w:val="center"/>
                </w:tcPr>
                <w:p w14:paraId="5BD06F89">
                  <w:pPr>
                    <w:jc w:val="center"/>
                    <w:rPr>
                      <w:szCs w:val="21"/>
                    </w:rPr>
                  </w:pPr>
                  <w:r>
                    <w:rPr>
                      <w:szCs w:val="21"/>
                    </w:rPr>
                    <w:t>0.000012</w:t>
                  </w:r>
                </w:p>
              </w:tc>
              <w:tc>
                <w:tcPr>
                  <w:tcW w:w="1239" w:type="pct"/>
                  <w:tcBorders>
                    <w:tl2br w:val="nil"/>
                    <w:tr2bl w:val="nil"/>
                  </w:tcBorders>
                  <w:vAlign w:val="center"/>
                </w:tcPr>
                <w:p w14:paraId="6653AFAA">
                  <w:pPr>
                    <w:jc w:val="center"/>
                    <w:rPr>
                      <w:szCs w:val="21"/>
                    </w:rPr>
                  </w:pPr>
                  <w:r>
                    <w:rPr>
                      <w:szCs w:val="21"/>
                    </w:rPr>
                    <w:t>0</w:t>
                  </w:r>
                </w:p>
              </w:tc>
              <w:tc>
                <w:tcPr>
                  <w:tcW w:w="2222" w:type="dxa"/>
                  <w:tcBorders>
                    <w:tl2br w:val="nil"/>
                    <w:tr2bl w:val="nil"/>
                  </w:tcBorders>
                  <w:vAlign w:val="center"/>
                </w:tcPr>
                <w:p w14:paraId="3386F5E2">
                  <w:pPr>
                    <w:jc w:val="center"/>
                    <w:rPr>
                      <w:szCs w:val="21"/>
                    </w:rPr>
                  </w:pPr>
                  <w:r>
                    <w:rPr>
                      <w:szCs w:val="21"/>
                    </w:rPr>
                    <w:t>0.000012</w:t>
                  </w:r>
                </w:p>
              </w:tc>
            </w:tr>
          </w:tbl>
          <w:p w14:paraId="4C41F1B3">
            <w:pPr>
              <w:pStyle w:val="77"/>
              <w:rPr>
                <w:rFonts w:hint="eastAsia" w:ascii="Times New Roman"/>
                <w:color w:val="000000" w:themeColor="text1"/>
                <w14:textFill>
                  <w14:solidFill>
                    <w14:schemeClr w14:val="tx1"/>
                  </w14:solidFill>
                </w14:textFill>
              </w:rPr>
            </w:pPr>
          </w:p>
        </w:tc>
      </w:tr>
    </w:tbl>
    <w:p w14:paraId="3809BFE2">
      <w:pPr>
        <w:pStyle w:val="30"/>
        <w:jc w:val="center"/>
        <w:outlineLvl w:val="0"/>
        <w:rPr>
          <w:rFonts w:hint="eastAsia" w:ascii="黑体" w:hAnsi="黑体" w:eastAsia="黑体"/>
          <w:snapToGrid w:val="0"/>
          <w:sz w:val="30"/>
          <w:szCs w:val="30"/>
        </w:rPr>
      </w:pPr>
      <w:r>
        <w:rPr>
          <w:rFonts w:ascii="黑体" w:hAnsi="黑体" w:eastAsia="黑体"/>
          <w:snapToGrid w:val="0"/>
          <w:sz w:val="36"/>
          <w:szCs w:val="36"/>
        </w:rPr>
        <w:br w:type="page"/>
      </w:r>
      <w:bookmarkStart w:id="10" w:name="_Toc24316"/>
      <w:r>
        <w:rPr>
          <w:rFonts w:hint="eastAsia" w:ascii="黑体" w:hAnsi="黑体" w:eastAsia="黑体"/>
          <w:snapToGrid w:val="0"/>
          <w:sz w:val="30"/>
          <w:szCs w:val="30"/>
        </w:rPr>
        <w:t>四、主要环境影响和保护措施</w:t>
      </w:r>
      <w:bookmarkEnd w:id="10"/>
    </w:p>
    <w:tbl>
      <w:tblPr>
        <w:tblStyle w:val="34"/>
        <w:tblW w:w="8981"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291"/>
        <w:gridCol w:w="8690"/>
      </w:tblGrid>
      <w:tr w14:paraId="45349C7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jc w:val="center"/>
        </w:trPr>
        <w:tc>
          <w:tcPr>
            <w:tcW w:w="291" w:type="dxa"/>
            <w:tcMar>
              <w:left w:w="28" w:type="dxa"/>
              <w:right w:w="28" w:type="dxa"/>
            </w:tcMar>
            <w:vAlign w:val="center"/>
          </w:tcPr>
          <w:p w14:paraId="69131D90">
            <w:pPr>
              <w:pStyle w:val="30"/>
              <w:adjustRightInd w:val="0"/>
              <w:snapToGrid w:val="0"/>
              <w:spacing w:before="0" w:beforeAutospacing="0" w:after="0" w:afterAutospacing="0"/>
              <w:jc w:val="center"/>
              <w:rPr>
                <w:rFonts w:hint="default" w:ascii="Times New Roman" w:hAnsi="Times New Roman" w:cs="Times New Roman"/>
                <w:kern w:val="2"/>
                <w:szCs w:val="24"/>
              </w:rPr>
            </w:pPr>
            <w:r>
              <w:rPr>
                <w:rFonts w:hint="default" w:ascii="Times New Roman" w:hAnsi="Times New Roman" w:cs="Times New Roman"/>
                <w:kern w:val="2"/>
                <w:szCs w:val="24"/>
              </w:rPr>
              <w:t>施工</w:t>
            </w:r>
          </w:p>
          <w:p w14:paraId="1D61FCB3">
            <w:pPr>
              <w:pStyle w:val="30"/>
              <w:adjustRightInd w:val="0"/>
              <w:snapToGrid w:val="0"/>
              <w:spacing w:before="0" w:beforeAutospacing="0" w:after="0" w:afterAutospacing="0"/>
              <w:jc w:val="center"/>
              <w:rPr>
                <w:rFonts w:hint="default" w:ascii="Times New Roman" w:hAnsi="Times New Roman" w:cs="Times New Roman"/>
                <w:kern w:val="2"/>
                <w:szCs w:val="24"/>
              </w:rPr>
            </w:pPr>
            <w:r>
              <w:rPr>
                <w:rFonts w:hint="default" w:ascii="Times New Roman" w:hAnsi="Times New Roman" w:cs="Times New Roman"/>
                <w:kern w:val="2"/>
                <w:szCs w:val="24"/>
              </w:rPr>
              <w:t>期环</w:t>
            </w:r>
          </w:p>
          <w:p w14:paraId="53281B45">
            <w:pPr>
              <w:pStyle w:val="30"/>
              <w:adjustRightInd w:val="0"/>
              <w:snapToGrid w:val="0"/>
              <w:spacing w:before="0" w:beforeAutospacing="0" w:after="0" w:afterAutospacing="0"/>
              <w:jc w:val="center"/>
              <w:rPr>
                <w:rFonts w:hint="default" w:ascii="Times New Roman" w:hAnsi="Times New Roman" w:cs="Times New Roman"/>
                <w:kern w:val="2"/>
                <w:szCs w:val="24"/>
              </w:rPr>
            </w:pPr>
            <w:r>
              <w:rPr>
                <w:rFonts w:hint="default" w:ascii="Times New Roman" w:hAnsi="Times New Roman" w:cs="Times New Roman"/>
                <w:kern w:val="2"/>
                <w:szCs w:val="24"/>
              </w:rPr>
              <w:t>境保</w:t>
            </w:r>
          </w:p>
          <w:p w14:paraId="44AB0167">
            <w:pPr>
              <w:pStyle w:val="30"/>
              <w:adjustRightInd w:val="0"/>
              <w:snapToGrid w:val="0"/>
              <w:spacing w:before="0" w:beforeAutospacing="0" w:after="0" w:afterAutospacing="0"/>
              <w:jc w:val="center"/>
              <w:rPr>
                <w:rFonts w:hint="default" w:ascii="Times New Roman" w:hAnsi="Times New Roman" w:cs="Times New Roman"/>
                <w:kern w:val="2"/>
                <w:szCs w:val="24"/>
              </w:rPr>
            </w:pPr>
            <w:r>
              <w:rPr>
                <w:rFonts w:hint="default" w:ascii="Times New Roman" w:hAnsi="Times New Roman" w:cs="Times New Roman"/>
                <w:kern w:val="2"/>
                <w:szCs w:val="24"/>
              </w:rPr>
              <w:t>护措</w:t>
            </w:r>
          </w:p>
          <w:p w14:paraId="6F61B65D">
            <w:pPr>
              <w:pStyle w:val="30"/>
              <w:adjustRightInd w:val="0"/>
              <w:snapToGrid w:val="0"/>
              <w:spacing w:before="0" w:beforeAutospacing="0" w:after="0" w:afterAutospacing="0"/>
              <w:jc w:val="center"/>
              <w:rPr>
                <w:rFonts w:hint="default" w:ascii="Times New Roman" w:hAnsi="Times New Roman" w:cs="Times New Roman"/>
                <w:bCs/>
                <w:kern w:val="2"/>
                <w:sz w:val="21"/>
                <w:szCs w:val="21"/>
              </w:rPr>
            </w:pPr>
            <w:r>
              <w:rPr>
                <w:rFonts w:hint="default" w:ascii="Times New Roman" w:hAnsi="Times New Roman" w:cs="Times New Roman"/>
                <w:kern w:val="2"/>
                <w:szCs w:val="24"/>
              </w:rPr>
              <w:t>施</w:t>
            </w:r>
          </w:p>
        </w:tc>
        <w:tc>
          <w:tcPr>
            <w:tcW w:w="8690" w:type="dxa"/>
            <w:vAlign w:val="center"/>
          </w:tcPr>
          <w:p w14:paraId="129E07D9">
            <w:pPr>
              <w:spacing w:line="360" w:lineRule="auto"/>
              <w:ind w:firstLine="482" w:firstLineChars="200"/>
              <w:jc w:val="left"/>
              <w:rPr>
                <w:rFonts w:hint="default" w:ascii="Times New Roman" w:hAnsi="Times New Roman" w:cs="Times New Roman"/>
                <w:b/>
                <w:bCs/>
                <w:sz w:val="24"/>
              </w:rPr>
            </w:pPr>
            <w:r>
              <w:rPr>
                <w:rFonts w:hint="default" w:ascii="Times New Roman" w:hAnsi="Times New Roman" w:cs="Times New Roman"/>
                <w:b/>
                <w:bCs/>
                <w:sz w:val="24"/>
              </w:rPr>
              <w:t>1.噪声环境</w:t>
            </w:r>
          </w:p>
          <w:p w14:paraId="539FBF43">
            <w:pPr>
              <w:pStyle w:val="9"/>
              <w:spacing w:line="360" w:lineRule="auto"/>
              <w:ind w:firstLine="480"/>
              <w:rPr>
                <w:rFonts w:hint="default" w:ascii="Times New Roman" w:hAnsi="Times New Roman" w:cs="Times New Roman"/>
                <w:sz w:val="24"/>
              </w:rPr>
            </w:pPr>
            <w:r>
              <w:rPr>
                <w:rFonts w:hint="default" w:ascii="Times New Roman" w:hAnsi="Times New Roman" w:cs="Times New Roman"/>
                <w:sz w:val="24"/>
              </w:rPr>
              <w:t>施工期噪声源主要是施工机械设备噪声和运输车辆噪声。本项目施工机械主要有挖掘机、推土机、装载机等，运输车辆包括各种卡车、自卸车等。施工机械设备运行时会产生较强烈的噪声，对附近声环境敏感点的生活环境产生不利影响。本项目合理安排施工时间，严禁夜间施工，选用低噪声设备，项目施工期噪声对附近声环境敏感点影响较小。</w:t>
            </w:r>
          </w:p>
          <w:p w14:paraId="3279465B">
            <w:pPr>
              <w:widowControl/>
              <w:adjustRightInd w:val="0"/>
              <w:snapToGrid w:val="0"/>
              <w:spacing w:line="360" w:lineRule="auto"/>
              <w:ind w:firstLine="480" w:firstLineChars="200"/>
              <w:rPr>
                <w:rFonts w:hint="default" w:ascii="Times New Roman" w:hAnsi="Times New Roman" w:cs="Times New Roman"/>
                <w:sz w:val="24"/>
              </w:rPr>
            </w:pPr>
            <w:r>
              <w:rPr>
                <w:rFonts w:hint="default" w:ascii="Times New Roman" w:hAnsi="Times New Roman" w:cs="Times New Roman"/>
                <w:sz w:val="24"/>
              </w:rPr>
              <w:t xml:space="preserve">本次评价采用《环境影响评价技术导则  声环境》（HJ2.4-2021）中推荐模式进行预测，工业声源中室外声源预测模式如下： </w:t>
            </w:r>
          </w:p>
          <w:p w14:paraId="718CE2CD">
            <w:pPr>
              <w:pStyle w:val="9"/>
              <w:ind w:firstLine="0" w:firstLineChars="0"/>
              <w:jc w:val="center"/>
              <w:rPr>
                <w:rFonts w:hint="default" w:ascii="Times New Roman" w:hAnsi="Times New Roman" w:cs="Times New Roman"/>
              </w:rPr>
            </w:pPr>
            <w:r>
              <w:rPr>
                <w:rFonts w:hint="default" w:ascii="Times New Roman" w:hAnsi="Times New Roman" w:cs="Times New Roman"/>
              </w:rPr>
              <w:drawing>
                <wp:inline distT="0" distB="0" distL="114300" distR="114300">
                  <wp:extent cx="1943100" cy="295275"/>
                  <wp:effectExtent l="0" t="0" r="0" b="9525"/>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pic:cNvPicPr>
                            <a:picLocks noChangeAspect="1"/>
                          </pic:cNvPicPr>
                        </pic:nvPicPr>
                        <pic:blipFill>
                          <a:blip r:embed="rId27"/>
                          <a:stretch>
                            <a:fillRect/>
                          </a:stretch>
                        </pic:blipFill>
                        <pic:spPr>
                          <a:xfrm>
                            <a:off x="0" y="0"/>
                            <a:ext cx="1943100" cy="295275"/>
                          </a:xfrm>
                          <a:prstGeom prst="rect">
                            <a:avLst/>
                          </a:prstGeom>
                          <a:noFill/>
                          <a:ln>
                            <a:noFill/>
                          </a:ln>
                        </pic:spPr>
                      </pic:pic>
                    </a:graphicData>
                  </a:graphic>
                </wp:inline>
              </w:drawing>
            </w:r>
          </w:p>
          <w:p w14:paraId="44E5D932">
            <w:pPr>
              <w:widowControl/>
              <w:adjustRightInd w:val="0"/>
              <w:snapToGrid w:val="0"/>
              <w:spacing w:line="360" w:lineRule="auto"/>
              <w:ind w:firstLine="480" w:firstLineChars="200"/>
              <w:rPr>
                <w:rFonts w:hint="default" w:ascii="Times New Roman" w:hAnsi="Times New Roman" w:cs="Times New Roman"/>
                <w:sz w:val="24"/>
              </w:rPr>
            </w:pPr>
            <w:r>
              <w:rPr>
                <w:rFonts w:hint="default" w:ascii="Times New Roman" w:hAnsi="Times New Roman" w:cs="Times New Roman"/>
                <w:sz w:val="24"/>
              </w:rPr>
              <w:t xml:space="preserve">式中：Lp(r) ——预测点处声压级，dB； </w:t>
            </w:r>
          </w:p>
          <w:p w14:paraId="40CA1D6B">
            <w:pPr>
              <w:widowControl/>
              <w:adjustRightInd w:val="0"/>
              <w:snapToGrid w:val="0"/>
              <w:spacing w:line="360" w:lineRule="auto"/>
              <w:ind w:firstLine="1200" w:firstLineChars="500"/>
              <w:rPr>
                <w:rFonts w:hint="default" w:ascii="Times New Roman" w:hAnsi="Times New Roman" w:cs="Times New Roman"/>
                <w:sz w:val="24"/>
              </w:rPr>
            </w:pPr>
            <w:r>
              <w:rPr>
                <w:rFonts w:hint="default" w:ascii="Times New Roman" w:hAnsi="Times New Roman" w:cs="Times New Roman"/>
                <w:sz w:val="24"/>
              </w:rPr>
              <w:t>Lp(r0) ——参考位置r</w:t>
            </w:r>
            <w:r>
              <w:rPr>
                <w:rFonts w:hint="default" w:ascii="Times New Roman" w:hAnsi="Times New Roman" w:cs="Times New Roman"/>
                <w:sz w:val="24"/>
                <w:vertAlign w:val="subscript"/>
              </w:rPr>
              <w:t>0</w:t>
            </w:r>
            <w:r>
              <w:rPr>
                <w:rFonts w:hint="default" w:ascii="Times New Roman" w:hAnsi="Times New Roman" w:cs="Times New Roman"/>
                <w:sz w:val="24"/>
              </w:rPr>
              <w:t>处的声压级，dB；</w:t>
            </w:r>
          </w:p>
          <w:p w14:paraId="24D76BF0">
            <w:pPr>
              <w:widowControl/>
              <w:adjustRightInd w:val="0"/>
              <w:snapToGrid w:val="0"/>
              <w:spacing w:line="360" w:lineRule="auto"/>
              <w:ind w:firstLine="1200" w:firstLineChars="500"/>
              <w:rPr>
                <w:rFonts w:hint="default" w:ascii="Times New Roman" w:hAnsi="Times New Roman" w:cs="Times New Roman"/>
                <w:sz w:val="24"/>
              </w:rPr>
            </w:pPr>
            <w:r>
              <w:rPr>
                <w:rFonts w:hint="default" w:ascii="Times New Roman" w:hAnsi="Times New Roman" w:cs="Times New Roman"/>
                <w:sz w:val="24"/>
              </w:rPr>
              <w:t>r——预测点距声源的距离；</w:t>
            </w:r>
          </w:p>
          <w:p w14:paraId="77549666">
            <w:pPr>
              <w:widowControl/>
              <w:adjustRightInd w:val="0"/>
              <w:snapToGrid w:val="0"/>
              <w:spacing w:line="360" w:lineRule="auto"/>
              <w:ind w:firstLine="1200" w:firstLineChars="500"/>
              <w:rPr>
                <w:rFonts w:hint="default" w:ascii="Times New Roman" w:hAnsi="Times New Roman" w:cs="Times New Roman"/>
                <w:sz w:val="24"/>
              </w:rPr>
            </w:pPr>
            <w:r>
              <w:rPr>
                <w:rFonts w:hint="default" w:ascii="Times New Roman" w:hAnsi="Times New Roman" w:cs="Times New Roman"/>
                <w:sz w:val="24"/>
              </w:rPr>
              <w:t>r</w:t>
            </w:r>
            <w:r>
              <w:rPr>
                <w:rFonts w:hint="default" w:ascii="Times New Roman" w:hAnsi="Times New Roman" w:cs="Times New Roman"/>
                <w:sz w:val="24"/>
                <w:vertAlign w:val="subscript"/>
              </w:rPr>
              <w:t>0</w:t>
            </w:r>
            <w:r>
              <w:rPr>
                <w:rFonts w:hint="default" w:ascii="Times New Roman" w:hAnsi="Times New Roman" w:cs="Times New Roman"/>
                <w:sz w:val="24"/>
              </w:rPr>
              <w:t>——参考位置距声源的距离。</w:t>
            </w:r>
          </w:p>
          <w:p w14:paraId="031ABA73">
            <w:pPr>
              <w:widowControl/>
              <w:adjustRightInd w:val="0"/>
              <w:snapToGrid w:val="0"/>
              <w:spacing w:line="360" w:lineRule="auto"/>
              <w:ind w:firstLine="480" w:firstLineChars="200"/>
              <w:rPr>
                <w:rFonts w:hint="default" w:ascii="Times New Roman" w:hAnsi="Times New Roman" w:cs="Times New Roman"/>
                <w:sz w:val="24"/>
              </w:rPr>
            </w:pPr>
            <w:r>
              <w:rPr>
                <w:rFonts w:hint="default" w:ascii="Times New Roman" w:hAnsi="Times New Roman" w:cs="Times New Roman"/>
                <w:sz w:val="24"/>
              </w:rPr>
              <w:t>如果声源处于半自由声场，则按下式等效：</w:t>
            </w:r>
          </w:p>
          <w:p w14:paraId="336F76C4">
            <w:pPr>
              <w:widowControl/>
              <w:adjustRightInd w:val="0"/>
              <w:snapToGrid w:val="0"/>
              <w:spacing w:line="360" w:lineRule="auto"/>
              <w:jc w:val="center"/>
              <w:rPr>
                <w:rFonts w:hint="default" w:ascii="Times New Roman" w:hAnsi="Times New Roman" w:cs="Times New Roman"/>
                <w:sz w:val="24"/>
              </w:rPr>
            </w:pPr>
            <m:oMathPara>
              <m:oMath>
                <m:r>
                  <m:rPr>
                    <m:nor/>
                    <m:sty m:val="p"/>
                  </m:rPr>
                  <w:rPr>
                    <w:rFonts w:hint="default" w:ascii="Times New Roman" w:hAnsi="Times New Roman" w:cs="Times New Roman"/>
                    <w:b w:val="0"/>
                    <w:i w:val="0"/>
                    <w:sz w:val="24"/>
                  </w:rPr>
                  <m:t>Lp</m:t>
                </m:r>
                <m:d>
                  <m:dPr>
                    <m:ctrlPr>
                      <w:rPr>
                        <w:rFonts w:hint="default" w:ascii="Cambria Math" w:hAnsi="Cambria Math" w:cs="Times New Roman"/>
                        <w:sz w:val="24"/>
                      </w:rPr>
                    </m:ctrlPr>
                  </m:dPr>
                  <m:e>
                    <m:r>
                      <m:rPr>
                        <m:nor/>
                        <m:sty m:val="p"/>
                      </m:rPr>
                      <w:rPr>
                        <w:rFonts w:hint="default" w:ascii="Times New Roman" w:hAnsi="Times New Roman" w:cs="Times New Roman"/>
                        <w:b w:val="0"/>
                        <w:i w:val="0"/>
                        <w:sz w:val="24"/>
                      </w:rPr>
                      <m:t>r</m:t>
                    </m:r>
                    <m:ctrlPr>
                      <w:rPr>
                        <w:rFonts w:hint="default" w:ascii="Cambria Math" w:hAnsi="Cambria Math" w:cs="Times New Roman"/>
                        <w:sz w:val="24"/>
                      </w:rPr>
                    </m:ctrlPr>
                  </m:e>
                </m:d>
                <m:r>
                  <m:rPr>
                    <m:nor/>
                    <m:sty m:val="p"/>
                  </m:rPr>
                  <w:rPr>
                    <w:rFonts w:hint="default" w:ascii="Times New Roman" w:hAnsi="Times New Roman" w:cs="Times New Roman"/>
                    <w:b w:val="0"/>
                    <w:i w:val="0"/>
                    <w:sz w:val="24"/>
                  </w:rPr>
                  <m:t>=Lw−20</m:t>
                </m:r>
                <m:func>
                  <m:funcPr>
                    <m:ctrlPr>
                      <w:rPr>
                        <w:rFonts w:hint="default" w:ascii="Cambria Math" w:hAnsi="Cambria Math" w:cs="Times New Roman"/>
                        <w:sz w:val="24"/>
                      </w:rPr>
                    </m:ctrlPr>
                  </m:funcPr>
                  <m:fName>
                    <m:r>
                      <m:rPr>
                        <m:nor/>
                        <m:sty m:val="p"/>
                      </m:rPr>
                      <w:rPr>
                        <w:rFonts w:hint="default" w:ascii="Times New Roman" w:hAnsi="Times New Roman" w:cs="Times New Roman"/>
                        <w:b w:val="0"/>
                        <w:i w:val="0"/>
                        <w:sz w:val="24"/>
                      </w:rPr>
                      <m:t>log</m:t>
                    </m:r>
                    <m:ctrlPr>
                      <w:rPr>
                        <w:rFonts w:hint="default" w:ascii="Cambria Math" w:hAnsi="Cambria Math" w:cs="Times New Roman"/>
                        <w:sz w:val="24"/>
                      </w:rPr>
                    </m:ctrlPr>
                  </m:fName>
                  <m:e>
                    <m:r>
                      <m:rPr>
                        <m:nor/>
                      </m:rPr>
                      <w:rPr>
                        <w:rFonts w:hint="default" w:ascii="Times New Roman" w:hAnsi="Times New Roman" w:cs="Times New Roman"/>
                        <w:i/>
                        <w:sz w:val="24"/>
                      </w:rPr>
                      <m:t>r</m:t>
                    </m:r>
                    <m:r>
                      <m:rPr>
                        <m:nor/>
                        <m:sty m:val="p"/>
                      </m:rPr>
                      <w:rPr>
                        <w:rFonts w:hint="default" w:ascii="Times New Roman" w:hAnsi="Times New Roman" w:cs="Times New Roman"/>
                        <w:b w:val="0"/>
                        <w:i w:val="0"/>
                        <w:sz w:val="24"/>
                      </w:rPr>
                      <m:t>−8</m:t>
                    </m:r>
                    <m:ctrlPr>
                      <w:rPr>
                        <w:rFonts w:hint="default" w:ascii="Cambria Math" w:hAnsi="Cambria Math" w:cs="Times New Roman"/>
                        <w:sz w:val="24"/>
                      </w:rPr>
                    </m:ctrlPr>
                  </m:e>
                </m:func>
              </m:oMath>
            </m:oMathPara>
          </w:p>
          <w:p w14:paraId="562BFE64">
            <w:pPr>
              <w:widowControl/>
              <w:adjustRightInd w:val="0"/>
              <w:snapToGrid w:val="0"/>
              <w:spacing w:line="360" w:lineRule="auto"/>
              <w:ind w:firstLine="480" w:firstLineChars="200"/>
              <w:rPr>
                <w:rFonts w:hint="default" w:ascii="Times New Roman" w:hAnsi="Times New Roman" w:cs="Times New Roman"/>
                <w:sz w:val="24"/>
              </w:rPr>
            </w:pPr>
            <w:r>
              <w:rPr>
                <w:rFonts w:hint="default" w:ascii="Times New Roman" w:hAnsi="Times New Roman" w:cs="Times New Roman"/>
                <w:sz w:val="24"/>
              </w:rPr>
              <w:t xml:space="preserve">式中：Lp(r) ——预测点处声压级，dB； </w:t>
            </w:r>
          </w:p>
          <w:p w14:paraId="70CB3437">
            <w:pPr>
              <w:widowControl/>
              <w:adjustRightInd w:val="0"/>
              <w:snapToGrid w:val="0"/>
              <w:spacing w:line="360" w:lineRule="auto"/>
              <w:ind w:firstLine="1200" w:firstLineChars="500"/>
              <w:rPr>
                <w:rFonts w:hint="default" w:ascii="Times New Roman" w:hAnsi="Times New Roman" w:cs="Times New Roman"/>
                <w:sz w:val="24"/>
              </w:rPr>
            </w:pPr>
            <w:r>
              <w:rPr>
                <w:rFonts w:hint="default" w:ascii="Times New Roman" w:hAnsi="Times New Roman" w:cs="Times New Roman"/>
                <w:sz w:val="24"/>
              </w:rPr>
              <w:t xml:space="preserve">Lw ——由点声源产生的倍频带声功率级，dB； </w:t>
            </w:r>
          </w:p>
          <w:p w14:paraId="3E9F25C8">
            <w:pPr>
              <w:widowControl/>
              <w:adjustRightInd w:val="0"/>
              <w:snapToGrid w:val="0"/>
              <w:spacing w:line="360" w:lineRule="auto"/>
              <w:ind w:firstLine="1200" w:firstLineChars="500"/>
              <w:rPr>
                <w:rFonts w:hint="default" w:ascii="Times New Roman" w:hAnsi="Times New Roman" w:cs="Times New Roman"/>
                <w:sz w:val="24"/>
              </w:rPr>
            </w:pPr>
            <w:r>
              <w:rPr>
                <w:rFonts w:hint="default" w:ascii="Times New Roman" w:hAnsi="Times New Roman" w:cs="Times New Roman"/>
                <w:sz w:val="24"/>
              </w:rPr>
              <w:t>r——预测点距声源的距离。</w:t>
            </w:r>
          </w:p>
          <w:p w14:paraId="7A79309C">
            <w:pPr>
              <w:widowControl/>
              <w:adjustRightInd w:val="0"/>
              <w:snapToGrid w:val="0"/>
              <w:spacing w:line="360" w:lineRule="auto"/>
              <w:ind w:firstLine="480" w:firstLineChars="200"/>
              <w:rPr>
                <w:rFonts w:hint="default" w:ascii="Times New Roman" w:hAnsi="Times New Roman" w:cs="Times New Roman"/>
                <w:sz w:val="24"/>
              </w:rPr>
            </w:pPr>
            <w:r>
              <w:rPr>
                <w:rFonts w:hint="default" w:ascii="Times New Roman" w:hAnsi="Times New Roman" w:cs="Times New Roman"/>
                <w:sz w:val="24"/>
              </w:rPr>
              <w:t>由各倍频带声压级合成计算出该声源产生的声级L</w:t>
            </w:r>
            <w:r>
              <w:rPr>
                <w:rFonts w:hint="default" w:ascii="Times New Roman" w:hAnsi="Times New Roman" w:cs="Times New Roman"/>
                <w:sz w:val="24"/>
                <w:vertAlign w:val="subscript"/>
              </w:rPr>
              <w:t>A</w:t>
            </w:r>
            <w:r>
              <w:rPr>
                <w:rFonts w:hint="default" w:ascii="Times New Roman" w:hAnsi="Times New Roman" w:cs="Times New Roman"/>
                <w:sz w:val="24"/>
              </w:rPr>
              <w:t>。通过上式计算出施工机械噪声对环境的影响范围，见表4-1。</w:t>
            </w:r>
          </w:p>
          <w:p w14:paraId="164AD167">
            <w:pPr>
              <w:tabs>
                <w:tab w:val="left" w:pos="7892"/>
              </w:tabs>
              <w:adjustRightInd w:val="0"/>
              <w:snapToGrid w:val="0"/>
              <w:spacing w:before="120" w:beforeLines="50"/>
              <w:jc w:val="center"/>
              <w:rPr>
                <w:rFonts w:hint="default" w:ascii="Times New Roman" w:hAnsi="Times New Roman" w:cs="Times New Roman"/>
                <w:b/>
                <w:szCs w:val="21"/>
              </w:rPr>
            </w:pPr>
            <w:r>
              <w:rPr>
                <w:rFonts w:hint="default" w:ascii="Times New Roman" w:hAnsi="Times New Roman" w:cs="Times New Roman"/>
                <w:b/>
                <w:szCs w:val="21"/>
              </w:rPr>
              <w:t>表4-1   施工机械噪声影响范围</w:t>
            </w:r>
          </w:p>
          <w:tbl>
            <w:tblPr>
              <w:tblStyle w:val="34"/>
              <w:tblW w:w="4997" w:type="pct"/>
              <w:tblInd w:w="5" w:type="dxa"/>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0" w:type="dxa"/>
                <w:bottom w:w="0" w:type="dxa"/>
                <w:right w:w="0" w:type="dxa"/>
              </w:tblCellMar>
            </w:tblPr>
            <w:tblGrid>
              <w:gridCol w:w="1292"/>
              <w:gridCol w:w="715"/>
              <w:gridCol w:w="715"/>
              <w:gridCol w:w="715"/>
              <w:gridCol w:w="715"/>
              <w:gridCol w:w="715"/>
              <w:gridCol w:w="657"/>
              <w:gridCol w:w="786"/>
              <w:gridCol w:w="717"/>
              <w:gridCol w:w="717"/>
              <w:gridCol w:w="725"/>
            </w:tblGrid>
            <w:tr w14:paraId="15953504">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90" w:hRule="atLeast"/>
              </w:trPr>
              <w:tc>
                <w:tcPr>
                  <w:tcW w:w="763" w:type="pct"/>
                  <w:vMerge w:val="restart"/>
                  <w:vAlign w:val="center"/>
                </w:tcPr>
                <w:p w14:paraId="4F50124A">
                  <w:pPr>
                    <w:pStyle w:val="9"/>
                    <w:snapToGrid w:val="0"/>
                    <w:ind w:firstLine="0" w:firstLineChars="0"/>
                    <w:jc w:val="center"/>
                    <w:rPr>
                      <w:rFonts w:hint="default" w:ascii="Times New Roman" w:hAnsi="Times New Roman" w:cs="Times New Roman"/>
                      <w:szCs w:val="21"/>
                    </w:rPr>
                  </w:pPr>
                  <w:r>
                    <w:rPr>
                      <w:rFonts w:hint="default" w:ascii="Times New Roman" w:hAnsi="Times New Roman" w:cs="Times New Roman"/>
                      <w:szCs w:val="21"/>
                    </w:rPr>
                    <w:t>施工机械</w:t>
                  </w:r>
                </w:p>
                <w:p w14:paraId="4DDA91B9">
                  <w:pPr>
                    <w:pStyle w:val="9"/>
                    <w:ind w:firstLine="0" w:firstLineChars="0"/>
                    <w:jc w:val="center"/>
                    <w:rPr>
                      <w:rFonts w:hint="default" w:ascii="Times New Roman" w:hAnsi="Times New Roman" w:cs="Times New Roman"/>
                      <w:szCs w:val="21"/>
                    </w:rPr>
                  </w:pPr>
                  <w:r>
                    <w:rPr>
                      <w:rFonts w:hint="default" w:ascii="Times New Roman" w:hAnsi="Times New Roman" w:cs="Times New Roman"/>
                      <w:szCs w:val="21"/>
                    </w:rPr>
                    <w:t>声级dB（A）</w:t>
                  </w:r>
                </w:p>
              </w:tc>
              <w:tc>
                <w:tcPr>
                  <w:tcW w:w="2498" w:type="pct"/>
                  <w:gridSpan w:val="6"/>
                  <w:vAlign w:val="center"/>
                </w:tcPr>
                <w:p w14:paraId="5515552D">
                  <w:pPr>
                    <w:pStyle w:val="9"/>
                    <w:ind w:firstLine="0" w:firstLineChars="0"/>
                    <w:jc w:val="center"/>
                    <w:rPr>
                      <w:rFonts w:hint="default" w:ascii="Times New Roman" w:hAnsi="Times New Roman" w:cs="Times New Roman"/>
                      <w:szCs w:val="21"/>
                    </w:rPr>
                  </w:pPr>
                  <w:r>
                    <w:rPr>
                      <w:rFonts w:hint="default" w:ascii="Times New Roman" w:hAnsi="Times New Roman" w:cs="Times New Roman"/>
                      <w:szCs w:val="21"/>
                    </w:rPr>
                    <w:t>距离（m）</w:t>
                  </w:r>
                </w:p>
              </w:tc>
              <w:tc>
                <w:tcPr>
                  <w:tcW w:w="887" w:type="pct"/>
                  <w:gridSpan w:val="2"/>
                  <w:vAlign w:val="center"/>
                </w:tcPr>
                <w:p w14:paraId="2E717990">
                  <w:pPr>
                    <w:pStyle w:val="9"/>
                    <w:ind w:firstLine="0" w:firstLineChars="0"/>
                    <w:jc w:val="center"/>
                    <w:rPr>
                      <w:rFonts w:hint="default" w:ascii="Times New Roman" w:hAnsi="Times New Roman" w:cs="Times New Roman"/>
                      <w:szCs w:val="21"/>
                    </w:rPr>
                  </w:pPr>
                  <w:r>
                    <w:rPr>
                      <w:rFonts w:hint="default" w:ascii="Times New Roman" w:hAnsi="Times New Roman" w:cs="Times New Roman"/>
                      <w:szCs w:val="21"/>
                    </w:rPr>
                    <w:t>标准值dB（A）</w:t>
                  </w:r>
                </w:p>
              </w:tc>
              <w:tc>
                <w:tcPr>
                  <w:tcW w:w="851" w:type="pct"/>
                  <w:gridSpan w:val="2"/>
                  <w:vAlign w:val="center"/>
                </w:tcPr>
                <w:p w14:paraId="52515776">
                  <w:pPr>
                    <w:pStyle w:val="9"/>
                    <w:ind w:firstLine="0" w:firstLineChars="0"/>
                    <w:jc w:val="center"/>
                    <w:rPr>
                      <w:rFonts w:hint="default" w:ascii="Times New Roman" w:hAnsi="Times New Roman" w:cs="Times New Roman"/>
                      <w:szCs w:val="21"/>
                    </w:rPr>
                  </w:pPr>
                  <w:r>
                    <w:rPr>
                      <w:rFonts w:hint="default" w:ascii="Times New Roman" w:hAnsi="Times New Roman" w:cs="Times New Roman"/>
                      <w:szCs w:val="21"/>
                    </w:rPr>
                    <w:t>达标距离（m）</w:t>
                  </w:r>
                </w:p>
              </w:tc>
            </w:tr>
            <w:tr w14:paraId="70CEF7F1">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90" w:hRule="atLeast"/>
              </w:trPr>
              <w:tc>
                <w:tcPr>
                  <w:tcW w:w="763" w:type="pct"/>
                  <w:vMerge w:val="continue"/>
                  <w:vAlign w:val="center"/>
                </w:tcPr>
                <w:p w14:paraId="181FAA8E">
                  <w:pPr>
                    <w:pStyle w:val="9"/>
                    <w:ind w:firstLine="0" w:firstLineChars="0"/>
                    <w:jc w:val="center"/>
                    <w:rPr>
                      <w:rFonts w:hint="default" w:ascii="Times New Roman" w:hAnsi="Times New Roman" w:cs="Times New Roman"/>
                      <w:szCs w:val="21"/>
                    </w:rPr>
                  </w:pPr>
                </w:p>
              </w:tc>
              <w:tc>
                <w:tcPr>
                  <w:tcW w:w="422" w:type="pct"/>
                  <w:vAlign w:val="center"/>
                </w:tcPr>
                <w:p w14:paraId="11DEC3BC">
                  <w:pPr>
                    <w:pStyle w:val="9"/>
                    <w:ind w:firstLine="0" w:firstLineChars="0"/>
                    <w:jc w:val="center"/>
                    <w:rPr>
                      <w:rFonts w:hint="default" w:ascii="Times New Roman" w:hAnsi="Times New Roman" w:cs="Times New Roman"/>
                      <w:szCs w:val="21"/>
                    </w:rPr>
                  </w:pPr>
                  <w:r>
                    <w:rPr>
                      <w:rFonts w:hint="default" w:ascii="Times New Roman" w:hAnsi="Times New Roman" w:cs="Times New Roman"/>
                      <w:szCs w:val="21"/>
                    </w:rPr>
                    <w:t>20</w:t>
                  </w:r>
                </w:p>
              </w:tc>
              <w:tc>
                <w:tcPr>
                  <w:tcW w:w="422" w:type="pct"/>
                  <w:vAlign w:val="center"/>
                </w:tcPr>
                <w:p w14:paraId="2A07B4FA">
                  <w:pPr>
                    <w:pStyle w:val="9"/>
                    <w:ind w:firstLine="0" w:firstLineChars="0"/>
                    <w:jc w:val="center"/>
                    <w:rPr>
                      <w:rFonts w:hint="default" w:ascii="Times New Roman" w:hAnsi="Times New Roman" w:cs="Times New Roman"/>
                      <w:szCs w:val="21"/>
                    </w:rPr>
                  </w:pPr>
                  <w:r>
                    <w:rPr>
                      <w:rFonts w:hint="default" w:ascii="Times New Roman" w:hAnsi="Times New Roman" w:cs="Times New Roman"/>
                      <w:szCs w:val="21"/>
                    </w:rPr>
                    <w:t>40</w:t>
                  </w:r>
                </w:p>
              </w:tc>
              <w:tc>
                <w:tcPr>
                  <w:tcW w:w="422" w:type="pct"/>
                  <w:vAlign w:val="center"/>
                </w:tcPr>
                <w:p w14:paraId="04B69EB6">
                  <w:pPr>
                    <w:pStyle w:val="9"/>
                    <w:ind w:firstLine="0" w:firstLineChars="0"/>
                    <w:jc w:val="center"/>
                    <w:rPr>
                      <w:rFonts w:hint="default" w:ascii="Times New Roman" w:hAnsi="Times New Roman" w:cs="Times New Roman"/>
                      <w:szCs w:val="21"/>
                    </w:rPr>
                  </w:pPr>
                  <w:r>
                    <w:rPr>
                      <w:rFonts w:hint="default" w:ascii="Times New Roman" w:hAnsi="Times New Roman" w:cs="Times New Roman"/>
                      <w:szCs w:val="21"/>
                    </w:rPr>
                    <w:t>60</w:t>
                  </w:r>
                </w:p>
              </w:tc>
              <w:tc>
                <w:tcPr>
                  <w:tcW w:w="422" w:type="pct"/>
                  <w:vAlign w:val="center"/>
                </w:tcPr>
                <w:p w14:paraId="6CF34EF5">
                  <w:pPr>
                    <w:pStyle w:val="9"/>
                    <w:ind w:firstLine="0" w:firstLineChars="0"/>
                    <w:jc w:val="center"/>
                    <w:rPr>
                      <w:rFonts w:hint="default" w:ascii="Times New Roman" w:hAnsi="Times New Roman" w:cs="Times New Roman"/>
                      <w:szCs w:val="21"/>
                    </w:rPr>
                  </w:pPr>
                  <w:r>
                    <w:rPr>
                      <w:rFonts w:hint="default" w:ascii="Times New Roman" w:hAnsi="Times New Roman" w:cs="Times New Roman"/>
                      <w:szCs w:val="21"/>
                    </w:rPr>
                    <w:t>80</w:t>
                  </w:r>
                </w:p>
              </w:tc>
              <w:tc>
                <w:tcPr>
                  <w:tcW w:w="422" w:type="pct"/>
                  <w:vAlign w:val="center"/>
                </w:tcPr>
                <w:p w14:paraId="4D28F89A">
                  <w:pPr>
                    <w:pStyle w:val="9"/>
                    <w:ind w:firstLine="0" w:firstLineChars="0"/>
                    <w:jc w:val="center"/>
                    <w:rPr>
                      <w:rFonts w:hint="default" w:ascii="Times New Roman" w:hAnsi="Times New Roman" w:cs="Times New Roman"/>
                      <w:szCs w:val="21"/>
                    </w:rPr>
                  </w:pPr>
                  <w:r>
                    <w:rPr>
                      <w:rFonts w:hint="default" w:ascii="Times New Roman" w:hAnsi="Times New Roman" w:cs="Times New Roman"/>
                      <w:szCs w:val="21"/>
                    </w:rPr>
                    <w:t>100</w:t>
                  </w:r>
                </w:p>
              </w:tc>
              <w:tc>
                <w:tcPr>
                  <w:tcW w:w="385" w:type="pct"/>
                  <w:vAlign w:val="center"/>
                </w:tcPr>
                <w:p w14:paraId="37D5FF7E">
                  <w:pPr>
                    <w:pStyle w:val="9"/>
                    <w:ind w:firstLine="0" w:firstLineChars="0"/>
                    <w:jc w:val="center"/>
                    <w:rPr>
                      <w:rFonts w:hint="default" w:ascii="Times New Roman" w:hAnsi="Times New Roman" w:cs="Times New Roman"/>
                      <w:szCs w:val="21"/>
                    </w:rPr>
                  </w:pPr>
                  <w:r>
                    <w:rPr>
                      <w:rFonts w:hint="default" w:ascii="Times New Roman" w:hAnsi="Times New Roman" w:cs="Times New Roman"/>
                      <w:szCs w:val="21"/>
                    </w:rPr>
                    <w:t>150</w:t>
                  </w:r>
                </w:p>
              </w:tc>
              <w:tc>
                <w:tcPr>
                  <w:tcW w:w="464" w:type="pct"/>
                  <w:vAlign w:val="center"/>
                </w:tcPr>
                <w:p w14:paraId="27B74C8E">
                  <w:pPr>
                    <w:pStyle w:val="9"/>
                    <w:ind w:firstLine="0" w:firstLineChars="0"/>
                    <w:jc w:val="center"/>
                    <w:rPr>
                      <w:rFonts w:hint="default" w:ascii="Times New Roman" w:hAnsi="Times New Roman" w:cs="Times New Roman"/>
                      <w:szCs w:val="21"/>
                    </w:rPr>
                  </w:pPr>
                  <w:r>
                    <w:rPr>
                      <w:rFonts w:hint="default" w:ascii="Times New Roman" w:hAnsi="Times New Roman" w:cs="Times New Roman"/>
                      <w:szCs w:val="21"/>
                    </w:rPr>
                    <w:t>昼间</w:t>
                  </w:r>
                </w:p>
              </w:tc>
              <w:tc>
                <w:tcPr>
                  <w:tcW w:w="422" w:type="pct"/>
                  <w:vAlign w:val="center"/>
                </w:tcPr>
                <w:p w14:paraId="3E00BDE0">
                  <w:pPr>
                    <w:pStyle w:val="9"/>
                    <w:ind w:firstLine="0" w:firstLineChars="0"/>
                    <w:jc w:val="center"/>
                    <w:rPr>
                      <w:rFonts w:hint="default" w:ascii="Times New Roman" w:hAnsi="Times New Roman" w:cs="Times New Roman"/>
                      <w:szCs w:val="21"/>
                    </w:rPr>
                  </w:pPr>
                  <w:r>
                    <w:rPr>
                      <w:rFonts w:hint="default" w:ascii="Times New Roman" w:hAnsi="Times New Roman" w:cs="Times New Roman"/>
                      <w:szCs w:val="21"/>
                    </w:rPr>
                    <w:t>夜间</w:t>
                  </w:r>
                </w:p>
              </w:tc>
              <w:tc>
                <w:tcPr>
                  <w:tcW w:w="423" w:type="pct"/>
                  <w:vAlign w:val="center"/>
                </w:tcPr>
                <w:p w14:paraId="3D810F7E">
                  <w:pPr>
                    <w:pStyle w:val="9"/>
                    <w:ind w:firstLine="0" w:firstLineChars="0"/>
                    <w:jc w:val="center"/>
                    <w:rPr>
                      <w:rFonts w:hint="default" w:ascii="Times New Roman" w:hAnsi="Times New Roman" w:cs="Times New Roman"/>
                      <w:szCs w:val="21"/>
                    </w:rPr>
                  </w:pPr>
                  <w:r>
                    <w:rPr>
                      <w:rFonts w:hint="default" w:ascii="Times New Roman" w:hAnsi="Times New Roman" w:cs="Times New Roman"/>
                      <w:szCs w:val="21"/>
                    </w:rPr>
                    <w:t>昼间</w:t>
                  </w:r>
                </w:p>
              </w:tc>
              <w:tc>
                <w:tcPr>
                  <w:tcW w:w="427" w:type="pct"/>
                  <w:vAlign w:val="center"/>
                </w:tcPr>
                <w:p w14:paraId="1B3C3BCD">
                  <w:pPr>
                    <w:pStyle w:val="9"/>
                    <w:ind w:firstLine="0" w:firstLineChars="0"/>
                    <w:jc w:val="center"/>
                    <w:rPr>
                      <w:rFonts w:hint="default" w:ascii="Times New Roman" w:hAnsi="Times New Roman" w:cs="Times New Roman"/>
                      <w:szCs w:val="21"/>
                    </w:rPr>
                  </w:pPr>
                  <w:r>
                    <w:rPr>
                      <w:rFonts w:hint="default" w:ascii="Times New Roman" w:hAnsi="Times New Roman" w:cs="Times New Roman"/>
                      <w:szCs w:val="21"/>
                    </w:rPr>
                    <w:t>夜间</w:t>
                  </w:r>
                </w:p>
              </w:tc>
            </w:tr>
            <w:tr w14:paraId="57654780">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c>
                <w:tcPr>
                  <w:tcW w:w="763" w:type="pct"/>
                  <w:vAlign w:val="center"/>
                </w:tcPr>
                <w:p w14:paraId="4F0ADBE6">
                  <w:pPr>
                    <w:pStyle w:val="9"/>
                    <w:ind w:firstLine="0" w:firstLineChars="0"/>
                    <w:jc w:val="center"/>
                    <w:rPr>
                      <w:rFonts w:hint="default" w:ascii="Times New Roman" w:hAnsi="Times New Roman" w:cs="Times New Roman"/>
                      <w:szCs w:val="21"/>
                    </w:rPr>
                  </w:pPr>
                  <w:r>
                    <w:rPr>
                      <w:rFonts w:hint="default" w:ascii="Times New Roman" w:hAnsi="Times New Roman" w:cs="Times New Roman"/>
                      <w:szCs w:val="21"/>
                    </w:rPr>
                    <w:t>装载机</w:t>
                  </w:r>
                </w:p>
              </w:tc>
              <w:tc>
                <w:tcPr>
                  <w:tcW w:w="422" w:type="pct"/>
                  <w:vAlign w:val="center"/>
                </w:tcPr>
                <w:p w14:paraId="6EA2F06D">
                  <w:pPr>
                    <w:pStyle w:val="9"/>
                    <w:ind w:firstLine="0" w:firstLineChars="0"/>
                    <w:jc w:val="center"/>
                    <w:rPr>
                      <w:rFonts w:hint="default" w:ascii="Times New Roman" w:hAnsi="Times New Roman" w:cs="Times New Roman"/>
                      <w:szCs w:val="21"/>
                    </w:rPr>
                  </w:pPr>
                  <w:r>
                    <w:rPr>
                      <w:rFonts w:hint="default" w:ascii="Times New Roman" w:hAnsi="Times New Roman" w:cs="Times New Roman"/>
                      <w:szCs w:val="21"/>
                    </w:rPr>
                    <w:t>78.0</w:t>
                  </w:r>
                </w:p>
              </w:tc>
              <w:tc>
                <w:tcPr>
                  <w:tcW w:w="422" w:type="pct"/>
                  <w:vAlign w:val="center"/>
                </w:tcPr>
                <w:p w14:paraId="7BEE78AF">
                  <w:pPr>
                    <w:pStyle w:val="9"/>
                    <w:ind w:firstLine="0" w:firstLineChars="0"/>
                    <w:jc w:val="center"/>
                    <w:rPr>
                      <w:rFonts w:hint="default" w:ascii="Times New Roman" w:hAnsi="Times New Roman" w:cs="Times New Roman"/>
                      <w:szCs w:val="21"/>
                    </w:rPr>
                  </w:pPr>
                  <w:r>
                    <w:rPr>
                      <w:rFonts w:hint="default" w:ascii="Times New Roman" w:hAnsi="Times New Roman" w:cs="Times New Roman"/>
                      <w:szCs w:val="21"/>
                    </w:rPr>
                    <w:t>72.0</w:t>
                  </w:r>
                </w:p>
              </w:tc>
              <w:tc>
                <w:tcPr>
                  <w:tcW w:w="422" w:type="pct"/>
                  <w:vAlign w:val="center"/>
                </w:tcPr>
                <w:p w14:paraId="0698D1C8">
                  <w:pPr>
                    <w:pStyle w:val="9"/>
                    <w:ind w:firstLine="0" w:firstLineChars="0"/>
                    <w:jc w:val="center"/>
                    <w:rPr>
                      <w:rFonts w:hint="default" w:ascii="Times New Roman" w:hAnsi="Times New Roman" w:cs="Times New Roman"/>
                      <w:szCs w:val="21"/>
                    </w:rPr>
                  </w:pPr>
                  <w:r>
                    <w:rPr>
                      <w:rFonts w:hint="default" w:ascii="Times New Roman" w:hAnsi="Times New Roman" w:cs="Times New Roman"/>
                      <w:szCs w:val="21"/>
                    </w:rPr>
                    <w:t>68.4</w:t>
                  </w:r>
                </w:p>
              </w:tc>
              <w:tc>
                <w:tcPr>
                  <w:tcW w:w="422" w:type="pct"/>
                  <w:vAlign w:val="center"/>
                </w:tcPr>
                <w:p w14:paraId="2FB4910B">
                  <w:pPr>
                    <w:pStyle w:val="9"/>
                    <w:ind w:firstLine="0" w:firstLineChars="0"/>
                    <w:jc w:val="center"/>
                    <w:rPr>
                      <w:rFonts w:hint="default" w:ascii="Times New Roman" w:hAnsi="Times New Roman" w:cs="Times New Roman"/>
                      <w:szCs w:val="21"/>
                    </w:rPr>
                  </w:pPr>
                  <w:r>
                    <w:rPr>
                      <w:rFonts w:hint="default" w:ascii="Times New Roman" w:hAnsi="Times New Roman" w:cs="Times New Roman"/>
                      <w:szCs w:val="21"/>
                    </w:rPr>
                    <w:t>66.0</w:t>
                  </w:r>
                </w:p>
              </w:tc>
              <w:tc>
                <w:tcPr>
                  <w:tcW w:w="422" w:type="pct"/>
                  <w:vAlign w:val="center"/>
                </w:tcPr>
                <w:p w14:paraId="3D2D0CFE">
                  <w:pPr>
                    <w:pStyle w:val="9"/>
                    <w:ind w:firstLine="0" w:firstLineChars="0"/>
                    <w:jc w:val="center"/>
                    <w:rPr>
                      <w:rFonts w:hint="default" w:ascii="Times New Roman" w:hAnsi="Times New Roman" w:cs="Times New Roman"/>
                      <w:szCs w:val="21"/>
                    </w:rPr>
                  </w:pPr>
                  <w:r>
                    <w:rPr>
                      <w:rFonts w:hint="default" w:ascii="Times New Roman" w:hAnsi="Times New Roman" w:cs="Times New Roman"/>
                      <w:szCs w:val="21"/>
                    </w:rPr>
                    <w:t>64.0</w:t>
                  </w:r>
                </w:p>
              </w:tc>
              <w:tc>
                <w:tcPr>
                  <w:tcW w:w="385" w:type="pct"/>
                  <w:vAlign w:val="center"/>
                </w:tcPr>
                <w:p w14:paraId="04583662">
                  <w:pPr>
                    <w:pStyle w:val="9"/>
                    <w:ind w:firstLine="0" w:firstLineChars="0"/>
                    <w:jc w:val="center"/>
                    <w:rPr>
                      <w:rFonts w:hint="default" w:ascii="Times New Roman" w:hAnsi="Times New Roman" w:cs="Times New Roman"/>
                      <w:szCs w:val="21"/>
                    </w:rPr>
                  </w:pPr>
                  <w:r>
                    <w:rPr>
                      <w:rFonts w:hint="default" w:ascii="Times New Roman" w:hAnsi="Times New Roman" w:cs="Times New Roman"/>
                      <w:szCs w:val="21"/>
                    </w:rPr>
                    <w:t>60.5</w:t>
                  </w:r>
                </w:p>
              </w:tc>
              <w:tc>
                <w:tcPr>
                  <w:tcW w:w="464" w:type="pct"/>
                  <w:vAlign w:val="center"/>
                </w:tcPr>
                <w:p w14:paraId="472AF35E">
                  <w:pPr>
                    <w:pStyle w:val="9"/>
                    <w:ind w:firstLine="0" w:firstLineChars="0"/>
                    <w:jc w:val="center"/>
                    <w:rPr>
                      <w:rFonts w:hint="default" w:ascii="Times New Roman" w:hAnsi="Times New Roman" w:cs="Times New Roman"/>
                      <w:szCs w:val="21"/>
                    </w:rPr>
                  </w:pPr>
                  <w:r>
                    <w:rPr>
                      <w:rFonts w:hint="default" w:ascii="Times New Roman" w:hAnsi="Times New Roman" w:cs="Times New Roman"/>
                      <w:szCs w:val="21"/>
                    </w:rPr>
                    <w:t>70</w:t>
                  </w:r>
                </w:p>
              </w:tc>
              <w:tc>
                <w:tcPr>
                  <w:tcW w:w="422" w:type="pct"/>
                  <w:vAlign w:val="center"/>
                </w:tcPr>
                <w:p w14:paraId="55C7259A">
                  <w:pPr>
                    <w:pStyle w:val="9"/>
                    <w:ind w:firstLine="0" w:firstLineChars="0"/>
                    <w:jc w:val="center"/>
                    <w:rPr>
                      <w:rFonts w:hint="default" w:ascii="Times New Roman" w:hAnsi="Times New Roman" w:cs="Times New Roman"/>
                      <w:szCs w:val="21"/>
                    </w:rPr>
                  </w:pPr>
                  <w:r>
                    <w:rPr>
                      <w:rFonts w:hint="default" w:ascii="Times New Roman" w:hAnsi="Times New Roman" w:cs="Times New Roman"/>
                      <w:szCs w:val="21"/>
                    </w:rPr>
                    <w:t>55</w:t>
                  </w:r>
                </w:p>
              </w:tc>
              <w:tc>
                <w:tcPr>
                  <w:tcW w:w="423" w:type="pct"/>
                  <w:vAlign w:val="center"/>
                </w:tcPr>
                <w:p w14:paraId="53FA7796">
                  <w:pPr>
                    <w:pStyle w:val="9"/>
                    <w:ind w:firstLine="0" w:firstLineChars="0"/>
                    <w:jc w:val="center"/>
                    <w:rPr>
                      <w:rFonts w:hint="default" w:ascii="Times New Roman" w:hAnsi="Times New Roman" w:cs="Times New Roman"/>
                      <w:szCs w:val="21"/>
                    </w:rPr>
                  </w:pPr>
                  <w:r>
                    <w:rPr>
                      <w:rFonts w:hint="default" w:ascii="Times New Roman" w:hAnsi="Times New Roman" w:cs="Times New Roman"/>
                      <w:szCs w:val="21"/>
                    </w:rPr>
                    <w:t>50</w:t>
                  </w:r>
                </w:p>
              </w:tc>
              <w:tc>
                <w:tcPr>
                  <w:tcW w:w="427" w:type="pct"/>
                  <w:vAlign w:val="center"/>
                </w:tcPr>
                <w:p w14:paraId="4ACA8BE2">
                  <w:pPr>
                    <w:pStyle w:val="9"/>
                    <w:ind w:firstLine="0" w:firstLineChars="0"/>
                    <w:jc w:val="center"/>
                    <w:rPr>
                      <w:rFonts w:hint="default" w:ascii="Times New Roman" w:hAnsi="Times New Roman" w:cs="Times New Roman"/>
                      <w:szCs w:val="21"/>
                    </w:rPr>
                  </w:pPr>
                  <w:r>
                    <w:rPr>
                      <w:rFonts w:hint="default" w:ascii="Times New Roman" w:hAnsi="Times New Roman" w:cs="Times New Roman"/>
                      <w:szCs w:val="21"/>
                    </w:rPr>
                    <w:t>282</w:t>
                  </w:r>
                </w:p>
              </w:tc>
            </w:tr>
            <w:tr w14:paraId="4B2CF481">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c>
                <w:tcPr>
                  <w:tcW w:w="763" w:type="pct"/>
                  <w:vAlign w:val="center"/>
                </w:tcPr>
                <w:p w14:paraId="6374D0A4">
                  <w:pPr>
                    <w:pStyle w:val="9"/>
                    <w:ind w:firstLine="0" w:firstLineChars="0"/>
                    <w:jc w:val="center"/>
                    <w:rPr>
                      <w:rFonts w:hint="default" w:ascii="Times New Roman" w:hAnsi="Times New Roman" w:cs="Times New Roman"/>
                      <w:szCs w:val="21"/>
                    </w:rPr>
                  </w:pPr>
                  <w:r>
                    <w:rPr>
                      <w:rFonts w:hint="default" w:ascii="Times New Roman" w:hAnsi="Times New Roman" w:cs="Times New Roman"/>
                      <w:szCs w:val="21"/>
                    </w:rPr>
                    <w:t>摊铺机</w:t>
                  </w:r>
                </w:p>
              </w:tc>
              <w:tc>
                <w:tcPr>
                  <w:tcW w:w="422" w:type="pct"/>
                  <w:vAlign w:val="center"/>
                </w:tcPr>
                <w:p w14:paraId="137506F0">
                  <w:pPr>
                    <w:pStyle w:val="9"/>
                    <w:ind w:firstLine="0" w:firstLineChars="0"/>
                    <w:jc w:val="center"/>
                    <w:rPr>
                      <w:rFonts w:hint="default" w:ascii="Times New Roman" w:hAnsi="Times New Roman" w:cs="Times New Roman"/>
                      <w:szCs w:val="21"/>
                    </w:rPr>
                  </w:pPr>
                  <w:r>
                    <w:rPr>
                      <w:rFonts w:hint="default" w:ascii="Times New Roman" w:hAnsi="Times New Roman" w:cs="Times New Roman"/>
                      <w:szCs w:val="21"/>
                    </w:rPr>
                    <w:t>75.0</w:t>
                  </w:r>
                </w:p>
              </w:tc>
              <w:tc>
                <w:tcPr>
                  <w:tcW w:w="422" w:type="pct"/>
                  <w:vAlign w:val="center"/>
                </w:tcPr>
                <w:p w14:paraId="0B97D31F">
                  <w:pPr>
                    <w:pStyle w:val="9"/>
                    <w:ind w:firstLine="0" w:firstLineChars="0"/>
                    <w:jc w:val="center"/>
                    <w:rPr>
                      <w:rFonts w:hint="default" w:ascii="Times New Roman" w:hAnsi="Times New Roman" w:cs="Times New Roman"/>
                      <w:szCs w:val="21"/>
                    </w:rPr>
                  </w:pPr>
                  <w:r>
                    <w:rPr>
                      <w:rFonts w:hint="default" w:ascii="Times New Roman" w:hAnsi="Times New Roman" w:cs="Times New Roman"/>
                      <w:szCs w:val="21"/>
                    </w:rPr>
                    <w:t>69.0</w:t>
                  </w:r>
                </w:p>
              </w:tc>
              <w:tc>
                <w:tcPr>
                  <w:tcW w:w="422" w:type="pct"/>
                  <w:vAlign w:val="center"/>
                </w:tcPr>
                <w:p w14:paraId="5A8B0D00">
                  <w:pPr>
                    <w:pStyle w:val="9"/>
                    <w:ind w:firstLine="0" w:firstLineChars="0"/>
                    <w:jc w:val="center"/>
                    <w:rPr>
                      <w:rFonts w:hint="default" w:ascii="Times New Roman" w:hAnsi="Times New Roman" w:cs="Times New Roman"/>
                      <w:szCs w:val="21"/>
                    </w:rPr>
                  </w:pPr>
                  <w:r>
                    <w:rPr>
                      <w:rFonts w:hint="default" w:ascii="Times New Roman" w:hAnsi="Times New Roman" w:cs="Times New Roman"/>
                      <w:szCs w:val="21"/>
                    </w:rPr>
                    <w:t>65.4</w:t>
                  </w:r>
                </w:p>
              </w:tc>
              <w:tc>
                <w:tcPr>
                  <w:tcW w:w="422" w:type="pct"/>
                  <w:vAlign w:val="center"/>
                </w:tcPr>
                <w:p w14:paraId="237E9072">
                  <w:pPr>
                    <w:pStyle w:val="9"/>
                    <w:ind w:firstLine="0" w:firstLineChars="0"/>
                    <w:jc w:val="center"/>
                    <w:rPr>
                      <w:rFonts w:hint="default" w:ascii="Times New Roman" w:hAnsi="Times New Roman" w:cs="Times New Roman"/>
                      <w:szCs w:val="21"/>
                    </w:rPr>
                  </w:pPr>
                  <w:r>
                    <w:rPr>
                      <w:rFonts w:hint="default" w:ascii="Times New Roman" w:hAnsi="Times New Roman" w:cs="Times New Roman"/>
                      <w:szCs w:val="21"/>
                    </w:rPr>
                    <w:t>63.0</w:t>
                  </w:r>
                </w:p>
              </w:tc>
              <w:tc>
                <w:tcPr>
                  <w:tcW w:w="422" w:type="pct"/>
                  <w:vAlign w:val="center"/>
                </w:tcPr>
                <w:p w14:paraId="497817EA">
                  <w:pPr>
                    <w:pStyle w:val="9"/>
                    <w:ind w:firstLine="0" w:firstLineChars="0"/>
                    <w:jc w:val="center"/>
                    <w:rPr>
                      <w:rFonts w:hint="default" w:ascii="Times New Roman" w:hAnsi="Times New Roman" w:cs="Times New Roman"/>
                      <w:szCs w:val="21"/>
                    </w:rPr>
                  </w:pPr>
                  <w:r>
                    <w:rPr>
                      <w:rFonts w:hint="default" w:ascii="Times New Roman" w:hAnsi="Times New Roman" w:cs="Times New Roman"/>
                      <w:szCs w:val="21"/>
                    </w:rPr>
                    <w:t>61.0</w:t>
                  </w:r>
                </w:p>
              </w:tc>
              <w:tc>
                <w:tcPr>
                  <w:tcW w:w="385" w:type="pct"/>
                  <w:vAlign w:val="center"/>
                </w:tcPr>
                <w:p w14:paraId="1F3A562F">
                  <w:pPr>
                    <w:pStyle w:val="9"/>
                    <w:ind w:firstLine="0" w:firstLineChars="0"/>
                    <w:jc w:val="center"/>
                    <w:rPr>
                      <w:rFonts w:hint="default" w:ascii="Times New Roman" w:hAnsi="Times New Roman" w:cs="Times New Roman"/>
                      <w:szCs w:val="21"/>
                    </w:rPr>
                  </w:pPr>
                  <w:r>
                    <w:rPr>
                      <w:rFonts w:hint="default" w:ascii="Times New Roman" w:hAnsi="Times New Roman" w:cs="Times New Roman"/>
                      <w:szCs w:val="21"/>
                    </w:rPr>
                    <w:t>57.5</w:t>
                  </w:r>
                </w:p>
              </w:tc>
              <w:tc>
                <w:tcPr>
                  <w:tcW w:w="464" w:type="pct"/>
                  <w:vAlign w:val="center"/>
                </w:tcPr>
                <w:p w14:paraId="1C090B50">
                  <w:pPr>
                    <w:pStyle w:val="9"/>
                    <w:ind w:firstLine="0" w:firstLineChars="0"/>
                    <w:jc w:val="center"/>
                    <w:rPr>
                      <w:rFonts w:hint="default" w:ascii="Times New Roman" w:hAnsi="Times New Roman" w:cs="Times New Roman"/>
                      <w:szCs w:val="21"/>
                    </w:rPr>
                  </w:pPr>
                  <w:r>
                    <w:rPr>
                      <w:rFonts w:hint="default" w:ascii="Times New Roman" w:hAnsi="Times New Roman" w:cs="Times New Roman"/>
                      <w:szCs w:val="21"/>
                    </w:rPr>
                    <w:t>70</w:t>
                  </w:r>
                </w:p>
              </w:tc>
              <w:tc>
                <w:tcPr>
                  <w:tcW w:w="422" w:type="pct"/>
                  <w:vAlign w:val="center"/>
                </w:tcPr>
                <w:p w14:paraId="2203C56B">
                  <w:pPr>
                    <w:pStyle w:val="9"/>
                    <w:ind w:firstLine="0" w:firstLineChars="0"/>
                    <w:jc w:val="center"/>
                    <w:rPr>
                      <w:rFonts w:hint="default" w:ascii="Times New Roman" w:hAnsi="Times New Roman" w:cs="Times New Roman"/>
                      <w:szCs w:val="21"/>
                    </w:rPr>
                  </w:pPr>
                  <w:r>
                    <w:rPr>
                      <w:rFonts w:hint="default" w:ascii="Times New Roman" w:hAnsi="Times New Roman" w:cs="Times New Roman"/>
                      <w:szCs w:val="21"/>
                    </w:rPr>
                    <w:t>55</w:t>
                  </w:r>
                </w:p>
              </w:tc>
              <w:tc>
                <w:tcPr>
                  <w:tcW w:w="423" w:type="pct"/>
                  <w:vAlign w:val="center"/>
                </w:tcPr>
                <w:p w14:paraId="05B96D0C">
                  <w:pPr>
                    <w:pStyle w:val="9"/>
                    <w:ind w:firstLine="0" w:firstLineChars="0"/>
                    <w:jc w:val="center"/>
                    <w:rPr>
                      <w:rFonts w:hint="default" w:ascii="Times New Roman" w:hAnsi="Times New Roman" w:cs="Times New Roman"/>
                      <w:szCs w:val="21"/>
                    </w:rPr>
                  </w:pPr>
                  <w:r>
                    <w:rPr>
                      <w:rFonts w:hint="default" w:ascii="Times New Roman" w:hAnsi="Times New Roman" w:cs="Times New Roman"/>
                      <w:szCs w:val="21"/>
                    </w:rPr>
                    <w:t>36</w:t>
                  </w:r>
                </w:p>
              </w:tc>
              <w:tc>
                <w:tcPr>
                  <w:tcW w:w="427" w:type="pct"/>
                  <w:vAlign w:val="center"/>
                </w:tcPr>
                <w:p w14:paraId="35990A4D">
                  <w:pPr>
                    <w:pStyle w:val="9"/>
                    <w:ind w:firstLine="0" w:firstLineChars="0"/>
                    <w:jc w:val="center"/>
                    <w:rPr>
                      <w:rFonts w:hint="default" w:ascii="Times New Roman" w:hAnsi="Times New Roman" w:cs="Times New Roman"/>
                      <w:szCs w:val="21"/>
                    </w:rPr>
                  </w:pPr>
                  <w:r>
                    <w:rPr>
                      <w:rFonts w:hint="default" w:ascii="Times New Roman" w:hAnsi="Times New Roman" w:cs="Times New Roman"/>
                      <w:szCs w:val="21"/>
                    </w:rPr>
                    <w:t>200</w:t>
                  </w:r>
                </w:p>
              </w:tc>
            </w:tr>
            <w:tr w14:paraId="68F5020A">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c>
                <w:tcPr>
                  <w:tcW w:w="763" w:type="pct"/>
                  <w:vAlign w:val="center"/>
                </w:tcPr>
                <w:p w14:paraId="16ACCC1D">
                  <w:pPr>
                    <w:pStyle w:val="9"/>
                    <w:ind w:firstLine="0" w:firstLineChars="0"/>
                    <w:jc w:val="center"/>
                    <w:rPr>
                      <w:rFonts w:hint="default" w:ascii="Times New Roman" w:hAnsi="Times New Roman" w:cs="Times New Roman"/>
                      <w:szCs w:val="21"/>
                    </w:rPr>
                  </w:pPr>
                  <w:r>
                    <w:rPr>
                      <w:rFonts w:hint="default" w:ascii="Times New Roman" w:hAnsi="Times New Roman" w:cs="Times New Roman"/>
                      <w:szCs w:val="21"/>
                    </w:rPr>
                    <w:t>推土机</w:t>
                  </w:r>
                </w:p>
              </w:tc>
              <w:tc>
                <w:tcPr>
                  <w:tcW w:w="422" w:type="pct"/>
                  <w:vAlign w:val="center"/>
                </w:tcPr>
                <w:p w14:paraId="7E1F2071">
                  <w:pPr>
                    <w:pStyle w:val="9"/>
                    <w:ind w:firstLine="0" w:firstLineChars="0"/>
                    <w:jc w:val="center"/>
                    <w:rPr>
                      <w:rFonts w:hint="default" w:ascii="Times New Roman" w:hAnsi="Times New Roman" w:cs="Times New Roman"/>
                      <w:szCs w:val="21"/>
                    </w:rPr>
                  </w:pPr>
                  <w:r>
                    <w:rPr>
                      <w:rFonts w:hint="default" w:ascii="Times New Roman" w:hAnsi="Times New Roman" w:cs="Times New Roman"/>
                      <w:szCs w:val="21"/>
                    </w:rPr>
                    <w:t>74.0</w:t>
                  </w:r>
                </w:p>
              </w:tc>
              <w:tc>
                <w:tcPr>
                  <w:tcW w:w="422" w:type="pct"/>
                  <w:vAlign w:val="center"/>
                </w:tcPr>
                <w:p w14:paraId="0B2C79D4">
                  <w:pPr>
                    <w:pStyle w:val="9"/>
                    <w:ind w:firstLine="0" w:firstLineChars="0"/>
                    <w:jc w:val="center"/>
                    <w:rPr>
                      <w:rFonts w:hint="default" w:ascii="Times New Roman" w:hAnsi="Times New Roman" w:cs="Times New Roman"/>
                      <w:szCs w:val="21"/>
                    </w:rPr>
                  </w:pPr>
                  <w:r>
                    <w:rPr>
                      <w:rFonts w:hint="default" w:ascii="Times New Roman" w:hAnsi="Times New Roman" w:cs="Times New Roman"/>
                      <w:szCs w:val="21"/>
                    </w:rPr>
                    <w:t>68.0</w:t>
                  </w:r>
                </w:p>
              </w:tc>
              <w:tc>
                <w:tcPr>
                  <w:tcW w:w="422" w:type="pct"/>
                  <w:vAlign w:val="center"/>
                </w:tcPr>
                <w:p w14:paraId="444A6759">
                  <w:pPr>
                    <w:pStyle w:val="9"/>
                    <w:ind w:firstLine="0" w:firstLineChars="0"/>
                    <w:jc w:val="center"/>
                    <w:rPr>
                      <w:rFonts w:hint="default" w:ascii="Times New Roman" w:hAnsi="Times New Roman" w:cs="Times New Roman"/>
                      <w:szCs w:val="21"/>
                    </w:rPr>
                  </w:pPr>
                  <w:r>
                    <w:rPr>
                      <w:rFonts w:hint="default" w:ascii="Times New Roman" w:hAnsi="Times New Roman" w:cs="Times New Roman"/>
                      <w:szCs w:val="21"/>
                    </w:rPr>
                    <w:t>64.4</w:t>
                  </w:r>
                </w:p>
              </w:tc>
              <w:tc>
                <w:tcPr>
                  <w:tcW w:w="422" w:type="pct"/>
                  <w:vAlign w:val="center"/>
                </w:tcPr>
                <w:p w14:paraId="756B970C">
                  <w:pPr>
                    <w:pStyle w:val="9"/>
                    <w:ind w:firstLine="0" w:firstLineChars="0"/>
                    <w:jc w:val="center"/>
                    <w:rPr>
                      <w:rFonts w:hint="default" w:ascii="Times New Roman" w:hAnsi="Times New Roman" w:cs="Times New Roman"/>
                      <w:szCs w:val="21"/>
                    </w:rPr>
                  </w:pPr>
                  <w:r>
                    <w:rPr>
                      <w:rFonts w:hint="default" w:ascii="Times New Roman" w:hAnsi="Times New Roman" w:cs="Times New Roman"/>
                      <w:szCs w:val="21"/>
                    </w:rPr>
                    <w:t>62.0</w:t>
                  </w:r>
                </w:p>
              </w:tc>
              <w:tc>
                <w:tcPr>
                  <w:tcW w:w="422" w:type="pct"/>
                  <w:vAlign w:val="center"/>
                </w:tcPr>
                <w:p w14:paraId="3B8E9FC5">
                  <w:pPr>
                    <w:pStyle w:val="9"/>
                    <w:ind w:firstLine="0" w:firstLineChars="0"/>
                    <w:jc w:val="center"/>
                    <w:rPr>
                      <w:rFonts w:hint="default" w:ascii="Times New Roman" w:hAnsi="Times New Roman" w:cs="Times New Roman"/>
                      <w:szCs w:val="21"/>
                    </w:rPr>
                  </w:pPr>
                  <w:r>
                    <w:rPr>
                      <w:rFonts w:hint="default" w:ascii="Times New Roman" w:hAnsi="Times New Roman" w:cs="Times New Roman"/>
                      <w:szCs w:val="21"/>
                    </w:rPr>
                    <w:t>60.0</w:t>
                  </w:r>
                </w:p>
              </w:tc>
              <w:tc>
                <w:tcPr>
                  <w:tcW w:w="385" w:type="pct"/>
                  <w:vAlign w:val="center"/>
                </w:tcPr>
                <w:p w14:paraId="69941E82">
                  <w:pPr>
                    <w:pStyle w:val="9"/>
                    <w:ind w:firstLine="0" w:firstLineChars="0"/>
                    <w:jc w:val="center"/>
                    <w:rPr>
                      <w:rFonts w:hint="default" w:ascii="Times New Roman" w:hAnsi="Times New Roman" w:cs="Times New Roman"/>
                      <w:szCs w:val="21"/>
                    </w:rPr>
                  </w:pPr>
                  <w:r>
                    <w:rPr>
                      <w:rFonts w:hint="default" w:ascii="Times New Roman" w:hAnsi="Times New Roman" w:cs="Times New Roman"/>
                      <w:szCs w:val="21"/>
                    </w:rPr>
                    <w:t>56.5</w:t>
                  </w:r>
                </w:p>
              </w:tc>
              <w:tc>
                <w:tcPr>
                  <w:tcW w:w="464" w:type="pct"/>
                  <w:vAlign w:val="center"/>
                </w:tcPr>
                <w:p w14:paraId="7263482D">
                  <w:pPr>
                    <w:pStyle w:val="9"/>
                    <w:ind w:firstLine="0" w:firstLineChars="0"/>
                    <w:jc w:val="center"/>
                    <w:rPr>
                      <w:rFonts w:hint="default" w:ascii="Times New Roman" w:hAnsi="Times New Roman" w:cs="Times New Roman"/>
                      <w:szCs w:val="21"/>
                    </w:rPr>
                  </w:pPr>
                  <w:r>
                    <w:rPr>
                      <w:rFonts w:hint="default" w:ascii="Times New Roman" w:hAnsi="Times New Roman" w:cs="Times New Roman"/>
                      <w:szCs w:val="21"/>
                    </w:rPr>
                    <w:t>70</w:t>
                  </w:r>
                </w:p>
              </w:tc>
              <w:tc>
                <w:tcPr>
                  <w:tcW w:w="422" w:type="pct"/>
                  <w:vAlign w:val="center"/>
                </w:tcPr>
                <w:p w14:paraId="65D4D637">
                  <w:pPr>
                    <w:pStyle w:val="9"/>
                    <w:ind w:firstLine="0" w:firstLineChars="0"/>
                    <w:jc w:val="center"/>
                    <w:rPr>
                      <w:rFonts w:hint="default" w:ascii="Times New Roman" w:hAnsi="Times New Roman" w:cs="Times New Roman"/>
                      <w:szCs w:val="21"/>
                    </w:rPr>
                  </w:pPr>
                  <w:r>
                    <w:rPr>
                      <w:rFonts w:hint="default" w:ascii="Times New Roman" w:hAnsi="Times New Roman" w:cs="Times New Roman"/>
                      <w:szCs w:val="21"/>
                    </w:rPr>
                    <w:t>55</w:t>
                  </w:r>
                </w:p>
              </w:tc>
              <w:tc>
                <w:tcPr>
                  <w:tcW w:w="423" w:type="pct"/>
                  <w:vAlign w:val="center"/>
                </w:tcPr>
                <w:p w14:paraId="312ADD2A">
                  <w:pPr>
                    <w:pStyle w:val="9"/>
                    <w:ind w:firstLine="0" w:firstLineChars="0"/>
                    <w:jc w:val="center"/>
                    <w:rPr>
                      <w:rFonts w:hint="default" w:ascii="Times New Roman" w:hAnsi="Times New Roman" w:cs="Times New Roman"/>
                      <w:szCs w:val="21"/>
                    </w:rPr>
                  </w:pPr>
                  <w:r>
                    <w:rPr>
                      <w:rFonts w:hint="default" w:ascii="Times New Roman" w:hAnsi="Times New Roman" w:cs="Times New Roman"/>
                      <w:szCs w:val="21"/>
                    </w:rPr>
                    <w:t>32</w:t>
                  </w:r>
                </w:p>
              </w:tc>
              <w:tc>
                <w:tcPr>
                  <w:tcW w:w="427" w:type="pct"/>
                  <w:vAlign w:val="center"/>
                </w:tcPr>
                <w:p w14:paraId="54735E49">
                  <w:pPr>
                    <w:pStyle w:val="9"/>
                    <w:ind w:firstLine="0" w:firstLineChars="0"/>
                    <w:jc w:val="center"/>
                    <w:rPr>
                      <w:rFonts w:hint="default" w:ascii="Times New Roman" w:hAnsi="Times New Roman" w:cs="Times New Roman"/>
                      <w:szCs w:val="21"/>
                    </w:rPr>
                  </w:pPr>
                  <w:r>
                    <w:rPr>
                      <w:rFonts w:hint="default" w:ascii="Times New Roman" w:hAnsi="Times New Roman" w:cs="Times New Roman"/>
                      <w:szCs w:val="21"/>
                    </w:rPr>
                    <w:t>178</w:t>
                  </w:r>
                </w:p>
              </w:tc>
            </w:tr>
            <w:tr w14:paraId="291745F6">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c>
                <w:tcPr>
                  <w:tcW w:w="763" w:type="pct"/>
                  <w:vAlign w:val="center"/>
                </w:tcPr>
                <w:p w14:paraId="1A5C2C93">
                  <w:pPr>
                    <w:pStyle w:val="9"/>
                    <w:ind w:firstLine="0" w:firstLineChars="0"/>
                    <w:jc w:val="center"/>
                    <w:rPr>
                      <w:rFonts w:hint="default" w:ascii="Times New Roman" w:hAnsi="Times New Roman" w:cs="Times New Roman"/>
                      <w:szCs w:val="21"/>
                    </w:rPr>
                  </w:pPr>
                  <w:r>
                    <w:rPr>
                      <w:rFonts w:hint="default" w:ascii="Times New Roman" w:hAnsi="Times New Roman" w:cs="Times New Roman"/>
                      <w:szCs w:val="21"/>
                    </w:rPr>
                    <w:t>挖掘机</w:t>
                  </w:r>
                </w:p>
              </w:tc>
              <w:tc>
                <w:tcPr>
                  <w:tcW w:w="422" w:type="pct"/>
                  <w:vAlign w:val="center"/>
                </w:tcPr>
                <w:p w14:paraId="5D26CF4E">
                  <w:pPr>
                    <w:pStyle w:val="9"/>
                    <w:ind w:firstLine="0" w:firstLineChars="0"/>
                    <w:jc w:val="center"/>
                    <w:rPr>
                      <w:rFonts w:hint="default" w:ascii="Times New Roman" w:hAnsi="Times New Roman" w:cs="Times New Roman"/>
                      <w:szCs w:val="21"/>
                    </w:rPr>
                  </w:pPr>
                  <w:r>
                    <w:rPr>
                      <w:rFonts w:hint="default" w:ascii="Times New Roman" w:hAnsi="Times New Roman" w:cs="Times New Roman"/>
                      <w:szCs w:val="21"/>
                    </w:rPr>
                    <w:t>72.0</w:t>
                  </w:r>
                </w:p>
              </w:tc>
              <w:tc>
                <w:tcPr>
                  <w:tcW w:w="422" w:type="pct"/>
                  <w:vAlign w:val="center"/>
                </w:tcPr>
                <w:p w14:paraId="34EBBD40">
                  <w:pPr>
                    <w:pStyle w:val="9"/>
                    <w:ind w:firstLine="0" w:firstLineChars="0"/>
                    <w:jc w:val="center"/>
                    <w:rPr>
                      <w:rFonts w:hint="default" w:ascii="Times New Roman" w:hAnsi="Times New Roman" w:cs="Times New Roman"/>
                      <w:szCs w:val="21"/>
                    </w:rPr>
                  </w:pPr>
                  <w:r>
                    <w:rPr>
                      <w:rFonts w:hint="default" w:ascii="Times New Roman" w:hAnsi="Times New Roman" w:cs="Times New Roman"/>
                      <w:szCs w:val="21"/>
                    </w:rPr>
                    <w:t>66.0</w:t>
                  </w:r>
                </w:p>
              </w:tc>
              <w:tc>
                <w:tcPr>
                  <w:tcW w:w="422" w:type="pct"/>
                  <w:vAlign w:val="center"/>
                </w:tcPr>
                <w:p w14:paraId="52C818E4">
                  <w:pPr>
                    <w:pStyle w:val="9"/>
                    <w:ind w:firstLine="0" w:firstLineChars="0"/>
                    <w:jc w:val="center"/>
                    <w:rPr>
                      <w:rFonts w:hint="default" w:ascii="Times New Roman" w:hAnsi="Times New Roman" w:cs="Times New Roman"/>
                      <w:szCs w:val="21"/>
                    </w:rPr>
                  </w:pPr>
                  <w:r>
                    <w:rPr>
                      <w:rFonts w:hint="default" w:ascii="Times New Roman" w:hAnsi="Times New Roman" w:cs="Times New Roman"/>
                      <w:szCs w:val="21"/>
                    </w:rPr>
                    <w:t>62.4</w:t>
                  </w:r>
                </w:p>
              </w:tc>
              <w:tc>
                <w:tcPr>
                  <w:tcW w:w="422" w:type="pct"/>
                  <w:vAlign w:val="center"/>
                </w:tcPr>
                <w:p w14:paraId="616FB818">
                  <w:pPr>
                    <w:pStyle w:val="9"/>
                    <w:ind w:firstLine="0" w:firstLineChars="0"/>
                    <w:jc w:val="center"/>
                    <w:rPr>
                      <w:rFonts w:hint="default" w:ascii="Times New Roman" w:hAnsi="Times New Roman" w:cs="Times New Roman"/>
                      <w:szCs w:val="21"/>
                    </w:rPr>
                  </w:pPr>
                  <w:r>
                    <w:rPr>
                      <w:rFonts w:hint="default" w:ascii="Times New Roman" w:hAnsi="Times New Roman" w:cs="Times New Roman"/>
                      <w:szCs w:val="21"/>
                    </w:rPr>
                    <w:t>60.0</w:t>
                  </w:r>
                </w:p>
              </w:tc>
              <w:tc>
                <w:tcPr>
                  <w:tcW w:w="422" w:type="pct"/>
                  <w:vAlign w:val="center"/>
                </w:tcPr>
                <w:p w14:paraId="15F665AF">
                  <w:pPr>
                    <w:pStyle w:val="9"/>
                    <w:ind w:firstLine="0" w:firstLineChars="0"/>
                    <w:jc w:val="center"/>
                    <w:rPr>
                      <w:rFonts w:hint="default" w:ascii="Times New Roman" w:hAnsi="Times New Roman" w:cs="Times New Roman"/>
                      <w:szCs w:val="21"/>
                    </w:rPr>
                  </w:pPr>
                  <w:r>
                    <w:rPr>
                      <w:rFonts w:hint="default" w:ascii="Times New Roman" w:hAnsi="Times New Roman" w:cs="Times New Roman"/>
                      <w:szCs w:val="21"/>
                    </w:rPr>
                    <w:t>58.0</w:t>
                  </w:r>
                </w:p>
              </w:tc>
              <w:tc>
                <w:tcPr>
                  <w:tcW w:w="385" w:type="pct"/>
                  <w:vAlign w:val="center"/>
                </w:tcPr>
                <w:p w14:paraId="28A7B2CF">
                  <w:pPr>
                    <w:pStyle w:val="9"/>
                    <w:ind w:firstLine="0" w:firstLineChars="0"/>
                    <w:jc w:val="center"/>
                    <w:rPr>
                      <w:rFonts w:hint="default" w:ascii="Times New Roman" w:hAnsi="Times New Roman" w:cs="Times New Roman"/>
                      <w:szCs w:val="21"/>
                    </w:rPr>
                  </w:pPr>
                  <w:r>
                    <w:rPr>
                      <w:rFonts w:hint="default" w:ascii="Times New Roman" w:hAnsi="Times New Roman" w:cs="Times New Roman"/>
                      <w:szCs w:val="21"/>
                    </w:rPr>
                    <w:t>54.5</w:t>
                  </w:r>
                </w:p>
              </w:tc>
              <w:tc>
                <w:tcPr>
                  <w:tcW w:w="464" w:type="pct"/>
                  <w:vAlign w:val="center"/>
                </w:tcPr>
                <w:p w14:paraId="44836692">
                  <w:pPr>
                    <w:pStyle w:val="9"/>
                    <w:ind w:firstLine="0" w:firstLineChars="0"/>
                    <w:jc w:val="center"/>
                    <w:rPr>
                      <w:rFonts w:hint="default" w:ascii="Times New Roman" w:hAnsi="Times New Roman" w:cs="Times New Roman"/>
                      <w:szCs w:val="21"/>
                    </w:rPr>
                  </w:pPr>
                  <w:r>
                    <w:rPr>
                      <w:rFonts w:hint="default" w:ascii="Times New Roman" w:hAnsi="Times New Roman" w:cs="Times New Roman"/>
                      <w:szCs w:val="21"/>
                    </w:rPr>
                    <w:t>70</w:t>
                  </w:r>
                </w:p>
              </w:tc>
              <w:tc>
                <w:tcPr>
                  <w:tcW w:w="422" w:type="pct"/>
                  <w:vAlign w:val="center"/>
                </w:tcPr>
                <w:p w14:paraId="0002D1CC">
                  <w:pPr>
                    <w:pStyle w:val="9"/>
                    <w:ind w:firstLine="0" w:firstLineChars="0"/>
                    <w:jc w:val="center"/>
                    <w:rPr>
                      <w:rFonts w:hint="default" w:ascii="Times New Roman" w:hAnsi="Times New Roman" w:cs="Times New Roman"/>
                      <w:szCs w:val="21"/>
                    </w:rPr>
                  </w:pPr>
                  <w:r>
                    <w:rPr>
                      <w:rFonts w:hint="default" w:ascii="Times New Roman" w:hAnsi="Times New Roman" w:cs="Times New Roman"/>
                      <w:szCs w:val="21"/>
                    </w:rPr>
                    <w:t>55</w:t>
                  </w:r>
                </w:p>
              </w:tc>
              <w:tc>
                <w:tcPr>
                  <w:tcW w:w="423" w:type="pct"/>
                  <w:vAlign w:val="center"/>
                </w:tcPr>
                <w:p w14:paraId="07374206">
                  <w:pPr>
                    <w:pStyle w:val="9"/>
                    <w:ind w:firstLine="0" w:firstLineChars="0"/>
                    <w:jc w:val="center"/>
                    <w:rPr>
                      <w:rFonts w:hint="default" w:ascii="Times New Roman" w:hAnsi="Times New Roman" w:cs="Times New Roman"/>
                      <w:szCs w:val="21"/>
                    </w:rPr>
                  </w:pPr>
                  <w:r>
                    <w:rPr>
                      <w:rFonts w:hint="default" w:ascii="Times New Roman" w:hAnsi="Times New Roman" w:cs="Times New Roman"/>
                      <w:szCs w:val="21"/>
                    </w:rPr>
                    <w:t>25</w:t>
                  </w:r>
                </w:p>
              </w:tc>
              <w:tc>
                <w:tcPr>
                  <w:tcW w:w="427" w:type="pct"/>
                  <w:vAlign w:val="center"/>
                </w:tcPr>
                <w:p w14:paraId="6DEC9B86">
                  <w:pPr>
                    <w:pStyle w:val="9"/>
                    <w:ind w:firstLine="0" w:firstLineChars="0"/>
                    <w:jc w:val="center"/>
                    <w:rPr>
                      <w:rFonts w:hint="default" w:ascii="Times New Roman" w:hAnsi="Times New Roman" w:cs="Times New Roman"/>
                      <w:szCs w:val="21"/>
                    </w:rPr>
                  </w:pPr>
                  <w:r>
                    <w:rPr>
                      <w:rFonts w:hint="default" w:ascii="Times New Roman" w:hAnsi="Times New Roman" w:cs="Times New Roman"/>
                      <w:szCs w:val="21"/>
                    </w:rPr>
                    <w:t>141</w:t>
                  </w:r>
                </w:p>
              </w:tc>
            </w:tr>
          </w:tbl>
          <w:p w14:paraId="7CE3A67C">
            <w:pPr>
              <w:pStyle w:val="9"/>
              <w:spacing w:line="360" w:lineRule="auto"/>
              <w:ind w:firstLine="480"/>
              <w:rPr>
                <w:rFonts w:hint="default" w:ascii="Times New Roman" w:hAnsi="Times New Roman" w:cs="Times New Roman"/>
                <w:sz w:val="24"/>
              </w:rPr>
            </w:pPr>
            <w:r>
              <w:rPr>
                <w:rFonts w:hint="default" w:ascii="Times New Roman" w:hAnsi="Times New Roman" w:cs="Times New Roman"/>
                <w:sz w:val="24"/>
              </w:rPr>
              <w:t>由上表可知，施工机械噪声在无遮挡情况下，如果使用单台机械，对环境的影响范围为白天50m，夜间282m。在此距离之外可满足《建筑施工场界环境噪声排放标准》（GB12523-2011）的要求。但在实际施工过程中，往往是多种机械同时使用，其噪声影响范围会更大。为了减轻施工期噪声对环境的影响，采取了如下措施：</w:t>
            </w:r>
          </w:p>
          <w:p w14:paraId="4476E51F">
            <w:pPr>
              <w:pStyle w:val="9"/>
              <w:spacing w:line="360" w:lineRule="auto"/>
              <w:ind w:firstLine="480"/>
              <w:rPr>
                <w:rFonts w:hint="default" w:ascii="Times New Roman" w:hAnsi="Times New Roman" w:cs="Times New Roman"/>
                <w:sz w:val="24"/>
              </w:rPr>
            </w:pPr>
            <w:r>
              <w:rPr>
                <w:rFonts w:hint="default" w:ascii="Times New Roman" w:hAnsi="Times New Roman" w:cs="Times New Roman"/>
                <w:sz w:val="24"/>
              </w:rPr>
              <w:t>（1）加强施工管理，合理安排施工作业时间。夜间不得进行施工作业。</w:t>
            </w:r>
          </w:p>
          <w:p w14:paraId="2040BCB1">
            <w:pPr>
              <w:pStyle w:val="9"/>
              <w:spacing w:line="360" w:lineRule="auto"/>
              <w:ind w:firstLine="480"/>
              <w:rPr>
                <w:rFonts w:hint="default" w:ascii="Times New Roman" w:hAnsi="Times New Roman" w:cs="Times New Roman"/>
                <w:sz w:val="24"/>
              </w:rPr>
            </w:pPr>
            <w:r>
              <w:rPr>
                <w:rFonts w:hint="default" w:ascii="Times New Roman" w:hAnsi="Times New Roman" w:cs="Times New Roman"/>
                <w:sz w:val="24"/>
              </w:rPr>
              <w:t>（2）选用低噪声施工机械，在高噪声设备周围必须设置掩蔽场，且尽量把施工机械安置在远离居民区，以减小对居民的影响。</w:t>
            </w:r>
          </w:p>
          <w:p w14:paraId="6E939163">
            <w:pPr>
              <w:pStyle w:val="9"/>
              <w:spacing w:line="360" w:lineRule="auto"/>
              <w:ind w:firstLine="480"/>
              <w:rPr>
                <w:rFonts w:hint="default" w:ascii="Times New Roman" w:hAnsi="Times New Roman" w:cs="Times New Roman"/>
                <w:sz w:val="24"/>
              </w:rPr>
            </w:pPr>
            <w:r>
              <w:rPr>
                <w:rFonts w:hint="default" w:ascii="Times New Roman" w:hAnsi="Times New Roman" w:cs="Times New Roman"/>
                <w:sz w:val="24"/>
              </w:rPr>
              <w:t>（3）合理压缩汽车数量及行车密度，控制汽车鸣笛。</w:t>
            </w:r>
          </w:p>
          <w:p w14:paraId="2E3D80EC">
            <w:pPr>
              <w:pStyle w:val="9"/>
              <w:spacing w:line="360" w:lineRule="auto"/>
              <w:ind w:firstLine="480"/>
              <w:rPr>
                <w:rFonts w:hint="default" w:ascii="Times New Roman" w:hAnsi="Times New Roman" w:cs="Times New Roman"/>
                <w:sz w:val="24"/>
              </w:rPr>
            </w:pPr>
            <w:r>
              <w:rPr>
                <w:rFonts w:hint="default" w:ascii="Times New Roman" w:hAnsi="Times New Roman" w:cs="Times New Roman"/>
                <w:sz w:val="24"/>
              </w:rPr>
              <w:t>本项目厂界距离西北侧最近的骆驼营子村为</w:t>
            </w:r>
            <w:r>
              <w:rPr>
                <w:rFonts w:hint="default" w:ascii="Times New Roman" w:hAnsi="Times New Roman" w:cs="Times New Roman"/>
                <w:szCs w:val="21"/>
              </w:rPr>
              <w:t>260</w:t>
            </w:r>
            <w:r>
              <w:rPr>
                <w:rFonts w:hint="default" w:ascii="Times New Roman" w:hAnsi="Times New Roman" w:cs="Times New Roman"/>
                <w:sz w:val="24"/>
              </w:rPr>
              <w:t>m，昼间对居民区的影响较小。因此本项目采取合理安排施工时间，夜间不允许施工，选用低噪声设备，降低施工期噪声对附近声环境敏感点影响，达到骆驼营子村时可满足《声环境质量标准》（GB3096-2008）2类标准的要求。</w:t>
            </w:r>
          </w:p>
          <w:p w14:paraId="08879E40">
            <w:pPr>
              <w:spacing w:line="360" w:lineRule="auto"/>
              <w:ind w:firstLine="482" w:firstLineChars="200"/>
              <w:jc w:val="left"/>
              <w:rPr>
                <w:rFonts w:hint="default" w:ascii="Times New Roman" w:hAnsi="Times New Roman" w:cs="Times New Roman"/>
                <w:b/>
                <w:bCs/>
                <w:sz w:val="24"/>
              </w:rPr>
            </w:pPr>
            <w:r>
              <w:rPr>
                <w:rFonts w:hint="default" w:ascii="Times New Roman" w:hAnsi="Times New Roman" w:cs="Times New Roman"/>
                <w:b/>
                <w:bCs/>
                <w:sz w:val="24"/>
              </w:rPr>
              <w:t>2.固体废物</w:t>
            </w:r>
          </w:p>
          <w:p w14:paraId="55CEBFC9">
            <w:pPr>
              <w:pStyle w:val="9"/>
              <w:spacing w:line="360" w:lineRule="auto"/>
              <w:ind w:firstLine="480"/>
              <w:rPr>
                <w:rFonts w:hint="default" w:ascii="Times New Roman" w:hAnsi="Times New Roman" w:cs="Times New Roman"/>
                <w:sz w:val="24"/>
              </w:rPr>
            </w:pPr>
            <w:r>
              <w:rPr>
                <w:rFonts w:hint="default" w:ascii="Times New Roman" w:hAnsi="Times New Roman" w:cs="Times New Roman"/>
                <w:sz w:val="24"/>
              </w:rPr>
              <w:t>本项目在施工期间产生的固体废弃物主要为建筑垃圾、施工人员生活垃圾。为了减轻施工期固废对环境的影响，采取了如下措施：</w:t>
            </w:r>
          </w:p>
          <w:p w14:paraId="77A0673F">
            <w:pPr>
              <w:pStyle w:val="9"/>
              <w:spacing w:line="360" w:lineRule="auto"/>
              <w:ind w:firstLine="480"/>
              <w:rPr>
                <w:rFonts w:hint="default" w:ascii="Times New Roman" w:hAnsi="Times New Roman" w:cs="Times New Roman"/>
                <w:sz w:val="24"/>
              </w:rPr>
            </w:pPr>
            <w:r>
              <w:rPr>
                <w:rFonts w:hint="default" w:ascii="Times New Roman" w:hAnsi="Times New Roman" w:cs="Times New Roman"/>
                <w:sz w:val="24"/>
              </w:rPr>
              <w:t>（1）建筑垃圾主要为施工过程的残余碎砖、废料等。这类垃圾基本不溶解、不飞扬、不腐烂变质，如果管理不当，随意丢弃，将会影响环境景观。对施工产生的弃土，应尽可能就地回填，对施工产生的建筑垃圾纳入所在城镇建筑垃圾系统处理，运送至市政指定地点存放。</w:t>
            </w:r>
          </w:p>
          <w:p w14:paraId="5FA5C4EF">
            <w:pPr>
              <w:pStyle w:val="9"/>
              <w:spacing w:line="360" w:lineRule="auto"/>
              <w:ind w:firstLine="480"/>
              <w:rPr>
                <w:rFonts w:hint="default" w:ascii="Times New Roman" w:hAnsi="Times New Roman" w:cs="Times New Roman"/>
                <w:sz w:val="24"/>
              </w:rPr>
            </w:pPr>
            <w:r>
              <w:rPr>
                <w:rFonts w:hint="default" w:ascii="Times New Roman" w:hAnsi="Times New Roman" w:cs="Times New Roman"/>
                <w:sz w:val="24"/>
              </w:rPr>
              <w:t>（2）生活垃圾集中收集后定期清理，委托环卫部门处理。</w:t>
            </w:r>
          </w:p>
          <w:p w14:paraId="7580F823">
            <w:pPr>
              <w:spacing w:line="360" w:lineRule="auto"/>
              <w:ind w:firstLine="482" w:firstLineChars="200"/>
              <w:jc w:val="left"/>
              <w:rPr>
                <w:rFonts w:hint="default" w:ascii="Times New Roman" w:hAnsi="Times New Roman" w:cs="Times New Roman"/>
                <w:b/>
                <w:bCs/>
                <w:sz w:val="24"/>
              </w:rPr>
            </w:pPr>
            <w:r>
              <w:rPr>
                <w:rFonts w:hint="default" w:ascii="Times New Roman" w:hAnsi="Times New Roman" w:cs="Times New Roman"/>
                <w:b/>
                <w:bCs/>
                <w:sz w:val="24"/>
              </w:rPr>
              <w:t>3.大气环境</w:t>
            </w:r>
          </w:p>
          <w:p w14:paraId="6FBC4575">
            <w:pPr>
              <w:pStyle w:val="9"/>
              <w:spacing w:line="360" w:lineRule="auto"/>
              <w:ind w:firstLine="480"/>
              <w:rPr>
                <w:rFonts w:hint="default" w:ascii="Times New Roman" w:hAnsi="Times New Roman" w:cs="Times New Roman"/>
                <w:sz w:val="24"/>
              </w:rPr>
            </w:pPr>
            <w:r>
              <w:rPr>
                <w:rFonts w:hint="default" w:ascii="Times New Roman" w:hAnsi="Times New Roman" w:cs="Times New Roman"/>
                <w:sz w:val="24"/>
              </w:rPr>
              <w:t>项目施工期废气主要为施工扬尘，施工扬尘包括施工现场扬尘、车辆通行扬尘、堆料场扬尘。以及以燃油为动力的施工机械、运输车辆排放的废气。</w:t>
            </w:r>
          </w:p>
          <w:p w14:paraId="24C18554">
            <w:pPr>
              <w:pStyle w:val="9"/>
              <w:spacing w:line="360" w:lineRule="auto"/>
              <w:ind w:firstLine="480"/>
              <w:rPr>
                <w:rFonts w:hint="default" w:ascii="Times New Roman" w:hAnsi="Times New Roman" w:cs="Times New Roman"/>
                <w:sz w:val="24"/>
              </w:rPr>
            </w:pPr>
            <w:r>
              <w:rPr>
                <w:rFonts w:hint="default" w:ascii="Times New Roman" w:hAnsi="Times New Roman" w:cs="Times New Roman"/>
                <w:sz w:val="24"/>
              </w:rPr>
              <w:t>（1）扬尘（粉尘）污染</w:t>
            </w:r>
          </w:p>
          <w:p w14:paraId="2F24A9AE">
            <w:pPr>
              <w:pStyle w:val="9"/>
              <w:spacing w:line="360" w:lineRule="auto"/>
              <w:ind w:firstLine="480"/>
              <w:rPr>
                <w:rFonts w:hint="default" w:ascii="Times New Roman" w:hAnsi="Times New Roman" w:cs="Times New Roman"/>
                <w:sz w:val="24"/>
              </w:rPr>
            </w:pPr>
            <w:r>
              <w:rPr>
                <w:rFonts w:hint="default" w:ascii="Times New Roman" w:hAnsi="Times New Roman" w:cs="Times New Roman"/>
                <w:sz w:val="24"/>
              </w:rPr>
              <w:t>①施工现场扬尘污染</w:t>
            </w:r>
          </w:p>
          <w:p w14:paraId="2C8E3A99">
            <w:pPr>
              <w:pStyle w:val="9"/>
              <w:spacing w:line="360" w:lineRule="auto"/>
              <w:ind w:firstLine="480"/>
              <w:rPr>
                <w:rFonts w:hint="default" w:ascii="Times New Roman" w:hAnsi="Times New Roman" w:cs="Times New Roman"/>
                <w:sz w:val="24"/>
              </w:rPr>
            </w:pPr>
            <w:r>
              <w:rPr>
                <w:rFonts w:hint="default" w:ascii="Times New Roman" w:hAnsi="Times New Roman" w:cs="Times New Roman"/>
                <w:sz w:val="24"/>
              </w:rPr>
              <w:t>生产间基础开挖、土方装卸等产生扬尘污染。施工时风速越大，颗粒越小，土沙的含水率越小，扬尘的产生量就越大。同时，距离不同，扬尘污染程度也不同。本项目施工避免大风天气、施工时定期洒水，施工现场扬尘对周围环境影响较小。</w:t>
            </w:r>
          </w:p>
          <w:p w14:paraId="676AD6DF">
            <w:pPr>
              <w:pStyle w:val="9"/>
              <w:spacing w:line="360" w:lineRule="auto"/>
              <w:ind w:firstLine="480"/>
              <w:rPr>
                <w:rFonts w:hint="default" w:ascii="Times New Roman" w:hAnsi="Times New Roman" w:cs="Times New Roman"/>
                <w:sz w:val="24"/>
              </w:rPr>
            </w:pPr>
            <w:r>
              <w:rPr>
                <w:rFonts w:hint="default" w:ascii="Times New Roman" w:hAnsi="Times New Roman" w:cs="Times New Roman"/>
                <w:sz w:val="24"/>
              </w:rPr>
              <w:t>②车辆通行扬尘</w:t>
            </w:r>
          </w:p>
          <w:p w14:paraId="08C21A4F">
            <w:pPr>
              <w:pStyle w:val="9"/>
              <w:spacing w:line="360" w:lineRule="auto"/>
              <w:ind w:firstLine="480"/>
              <w:rPr>
                <w:rFonts w:hint="default" w:ascii="Times New Roman" w:hAnsi="Times New Roman" w:cs="Times New Roman"/>
                <w:sz w:val="24"/>
              </w:rPr>
            </w:pPr>
            <w:r>
              <w:rPr>
                <w:rFonts w:hint="default" w:ascii="Times New Roman" w:hAnsi="Times New Roman" w:cs="Times New Roman"/>
                <w:sz w:val="24"/>
              </w:rPr>
              <w:t>施工期间运输车在路面上行驶会产生运输扬尘，尤其是在风速较大或装卸、汽车行驶速度较快情况下，扬尘的影响尤为严重。在采取慢速运输、避免风大时运输装卸、道路洒水降尘等措施后，车辆通行扬尘对周围大气环境影响较小。</w:t>
            </w:r>
          </w:p>
          <w:p w14:paraId="1977EE64">
            <w:pPr>
              <w:pStyle w:val="9"/>
              <w:spacing w:line="360" w:lineRule="auto"/>
              <w:ind w:firstLine="480"/>
              <w:rPr>
                <w:rFonts w:hint="default" w:ascii="Times New Roman" w:hAnsi="Times New Roman" w:cs="Times New Roman"/>
                <w:sz w:val="24"/>
              </w:rPr>
            </w:pPr>
            <w:r>
              <w:rPr>
                <w:rFonts w:hint="default" w:ascii="Times New Roman" w:hAnsi="Times New Roman" w:cs="Times New Roman"/>
                <w:sz w:val="24"/>
              </w:rPr>
              <w:t>③堆料场扬尘</w:t>
            </w:r>
          </w:p>
          <w:p w14:paraId="290133D1">
            <w:pPr>
              <w:pStyle w:val="9"/>
              <w:spacing w:line="360" w:lineRule="auto"/>
              <w:ind w:firstLine="480"/>
              <w:rPr>
                <w:rFonts w:hint="default" w:ascii="Times New Roman" w:hAnsi="Times New Roman" w:cs="Times New Roman"/>
                <w:sz w:val="24"/>
              </w:rPr>
            </w:pPr>
            <w:r>
              <w:rPr>
                <w:rFonts w:hint="default" w:ascii="Times New Roman" w:hAnsi="Times New Roman" w:cs="Times New Roman"/>
                <w:sz w:val="24"/>
              </w:rPr>
              <w:t>根据《辽宁省城区建筑施工扬尘排放量计算方法（试行）》要求，城区建筑施工工地扬尘排放量是按照物料衡算方法，根据建筑面积（市政工地按施工面积）、施工期和采取的扬尘污染控制措施，按基本排放量和可控排放量分别计算。本项目扬尘排放量计算公式：</w:t>
            </w:r>
          </w:p>
          <w:p w14:paraId="2E2DA953">
            <w:pPr>
              <w:spacing w:line="360" w:lineRule="auto"/>
              <w:jc w:val="center"/>
              <w:rPr>
                <w:rFonts w:hint="default" w:ascii="Times New Roman" w:hAnsi="Times New Roman" w:cs="Times New Roman"/>
                <w:sz w:val="24"/>
              </w:rPr>
            </w:pPr>
            <w:r>
              <w:rPr>
                <w:rFonts w:hint="default" w:ascii="Times New Roman" w:hAnsi="Times New Roman" w:cs="Times New Roman"/>
                <w:sz w:val="24"/>
              </w:rPr>
              <w:t>W=W</w:t>
            </w:r>
            <w:r>
              <w:rPr>
                <w:rFonts w:hint="default" w:ascii="Times New Roman" w:hAnsi="Times New Roman" w:cs="Times New Roman"/>
                <w:sz w:val="24"/>
                <w:vertAlign w:val="subscript"/>
              </w:rPr>
              <w:t>B</w:t>
            </w:r>
            <w:r>
              <w:rPr>
                <w:rFonts w:hint="default" w:ascii="Times New Roman" w:hAnsi="Times New Roman" w:cs="Times New Roman"/>
                <w:sz w:val="24"/>
              </w:rPr>
              <w:t>+W</w:t>
            </w:r>
            <w:r>
              <w:rPr>
                <w:rFonts w:hint="default" w:ascii="Times New Roman" w:hAnsi="Times New Roman" w:cs="Times New Roman"/>
                <w:sz w:val="24"/>
                <w:vertAlign w:val="subscript"/>
              </w:rPr>
              <w:t>K</w:t>
            </w:r>
          </w:p>
          <w:p w14:paraId="28C5AB2C">
            <w:pPr>
              <w:spacing w:line="360" w:lineRule="auto"/>
              <w:jc w:val="center"/>
              <w:rPr>
                <w:rFonts w:hint="default" w:ascii="Times New Roman" w:hAnsi="Times New Roman" w:cs="Times New Roman"/>
                <w:sz w:val="24"/>
              </w:rPr>
            </w:pPr>
            <w:r>
              <w:rPr>
                <w:rFonts w:hint="default" w:ascii="Times New Roman" w:hAnsi="Times New Roman" w:cs="Times New Roman"/>
                <w:sz w:val="24"/>
              </w:rPr>
              <w:t>W</w:t>
            </w:r>
            <w:r>
              <w:rPr>
                <w:rFonts w:hint="default" w:ascii="Times New Roman" w:hAnsi="Times New Roman" w:cs="Times New Roman"/>
                <w:sz w:val="24"/>
                <w:vertAlign w:val="subscript"/>
              </w:rPr>
              <w:t>B</w:t>
            </w:r>
            <w:r>
              <w:rPr>
                <w:rFonts w:hint="default" w:ascii="Times New Roman" w:hAnsi="Times New Roman" w:cs="Times New Roman"/>
                <w:sz w:val="24"/>
              </w:rPr>
              <w:t>=A×B×T</w:t>
            </w:r>
          </w:p>
          <w:p w14:paraId="42447E8B">
            <w:pPr>
              <w:spacing w:line="360" w:lineRule="auto"/>
              <w:jc w:val="center"/>
              <w:rPr>
                <w:rFonts w:hint="default" w:ascii="Times New Roman" w:hAnsi="Times New Roman" w:cs="Times New Roman"/>
                <w:sz w:val="24"/>
              </w:rPr>
            </w:pPr>
            <w:r>
              <w:rPr>
                <w:rFonts w:hint="default" w:ascii="Times New Roman" w:hAnsi="Times New Roman" w:cs="Times New Roman"/>
                <w:sz w:val="24"/>
              </w:rPr>
              <w:t>W</w:t>
            </w:r>
            <w:r>
              <w:rPr>
                <w:rFonts w:hint="default" w:ascii="Times New Roman" w:hAnsi="Times New Roman" w:cs="Times New Roman"/>
                <w:sz w:val="24"/>
                <w:vertAlign w:val="subscript"/>
              </w:rPr>
              <w:t>K</w:t>
            </w:r>
            <w:r>
              <w:rPr>
                <w:rFonts w:hint="default" w:ascii="Times New Roman" w:hAnsi="Times New Roman" w:cs="Times New Roman"/>
                <w:sz w:val="24"/>
              </w:rPr>
              <w:t>= A×（P</w:t>
            </w:r>
            <w:r>
              <w:rPr>
                <w:rFonts w:hint="default" w:ascii="Times New Roman" w:hAnsi="Times New Roman" w:cs="Times New Roman"/>
                <w:sz w:val="24"/>
                <w:vertAlign w:val="subscript"/>
              </w:rPr>
              <w:t>11</w:t>
            </w:r>
            <w:r>
              <w:rPr>
                <w:rFonts w:hint="default" w:ascii="Times New Roman" w:hAnsi="Times New Roman" w:cs="Times New Roman"/>
                <w:sz w:val="24"/>
              </w:rPr>
              <w:t>+ P</w:t>
            </w:r>
            <w:r>
              <w:rPr>
                <w:rFonts w:hint="default" w:ascii="Times New Roman" w:hAnsi="Times New Roman" w:cs="Times New Roman"/>
                <w:sz w:val="24"/>
                <w:vertAlign w:val="subscript"/>
              </w:rPr>
              <w:t>12</w:t>
            </w:r>
            <w:r>
              <w:rPr>
                <w:rFonts w:hint="default" w:ascii="Times New Roman" w:hAnsi="Times New Roman" w:cs="Times New Roman"/>
                <w:sz w:val="24"/>
              </w:rPr>
              <w:t>+ P</w:t>
            </w:r>
            <w:r>
              <w:rPr>
                <w:rFonts w:hint="default" w:ascii="Times New Roman" w:hAnsi="Times New Roman" w:cs="Times New Roman"/>
                <w:sz w:val="24"/>
                <w:vertAlign w:val="subscript"/>
              </w:rPr>
              <w:t>13</w:t>
            </w:r>
            <w:r>
              <w:rPr>
                <w:rFonts w:hint="default" w:ascii="Times New Roman" w:hAnsi="Times New Roman" w:cs="Times New Roman"/>
                <w:sz w:val="24"/>
              </w:rPr>
              <w:t>+ P</w:t>
            </w:r>
            <w:r>
              <w:rPr>
                <w:rFonts w:hint="default" w:ascii="Times New Roman" w:hAnsi="Times New Roman" w:cs="Times New Roman"/>
                <w:sz w:val="24"/>
                <w:vertAlign w:val="subscript"/>
              </w:rPr>
              <w:t>14</w:t>
            </w:r>
            <w:r>
              <w:rPr>
                <w:rFonts w:hint="default" w:ascii="Times New Roman" w:hAnsi="Times New Roman" w:cs="Times New Roman"/>
                <w:sz w:val="24"/>
              </w:rPr>
              <w:t>+ P</w:t>
            </w:r>
            <w:r>
              <w:rPr>
                <w:rFonts w:hint="default" w:ascii="Times New Roman" w:hAnsi="Times New Roman" w:cs="Times New Roman"/>
                <w:sz w:val="24"/>
                <w:vertAlign w:val="subscript"/>
              </w:rPr>
              <w:t>15</w:t>
            </w:r>
            <w:r>
              <w:rPr>
                <w:rFonts w:hint="default" w:ascii="Times New Roman" w:hAnsi="Times New Roman" w:cs="Times New Roman"/>
                <w:sz w:val="24"/>
              </w:rPr>
              <w:t>+ P</w:t>
            </w:r>
            <w:r>
              <w:rPr>
                <w:rFonts w:hint="default" w:ascii="Times New Roman" w:hAnsi="Times New Roman" w:cs="Times New Roman"/>
                <w:sz w:val="24"/>
                <w:vertAlign w:val="subscript"/>
              </w:rPr>
              <w:t>2</w:t>
            </w:r>
            <w:r>
              <w:rPr>
                <w:rFonts w:hint="default" w:ascii="Times New Roman" w:hAnsi="Times New Roman" w:cs="Times New Roman"/>
                <w:sz w:val="24"/>
              </w:rPr>
              <w:t>）×T</w:t>
            </w:r>
          </w:p>
          <w:p w14:paraId="58B75FE1">
            <w:pPr>
              <w:spacing w:line="360" w:lineRule="auto"/>
              <w:ind w:firstLine="480" w:firstLineChars="200"/>
              <w:jc w:val="left"/>
              <w:rPr>
                <w:rFonts w:hint="default" w:ascii="Times New Roman" w:hAnsi="Times New Roman" w:cs="Times New Roman"/>
                <w:sz w:val="24"/>
              </w:rPr>
            </w:pPr>
            <w:r>
              <w:rPr>
                <w:rFonts w:hint="default" w:ascii="Times New Roman" w:hAnsi="Times New Roman" w:cs="Times New Roman"/>
                <w:sz w:val="24"/>
              </w:rPr>
              <w:t>W：施工工地扬尘排放量（吨）；</w:t>
            </w:r>
          </w:p>
          <w:p w14:paraId="0DE61C39">
            <w:pPr>
              <w:spacing w:line="360" w:lineRule="auto"/>
              <w:ind w:firstLine="480" w:firstLineChars="200"/>
              <w:jc w:val="left"/>
              <w:rPr>
                <w:rFonts w:hint="default" w:ascii="Times New Roman" w:hAnsi="Times New Roman" w:cs="Times New Roman"/>
                <w:sz w:val="24"/>
              </w:rPr>
            </w:pPr>
            <w:r>
              <w:rPr>
                <w:rFonts w:hint="default" w:ascii="Times New Roman" w:hAnsi="Times New Roman" w:cs="Times New Roman"/>
                <w:sz w:val="24"/>
              </w:rPr>
              <w:t>W</w:t>
            </w:r>
            <w:r>
              <w:rPr>
                <w:rFonts w:hint="default" w:ascii="Times New Roman" w:hAnsi="Times New Roman" w:cs="Times New Roman"/>
                <w:sz w:val="24"/>
                <w:vertAlign w:val="subscript"/>
              </w:rPr>
              <w:t>B</w:t>
            </w:r>
            <w:r>
              <w:rPr>
                <w:rFonts w:hint="default" w:ascii="Times New Roman" w:hAnsi="Times New Roman" w:cs="Times New Roman"/>
                <w:sz w:val="24"/>
              </w:rPr>
              <w:t>：基本排放量（吨）；</w:t>
            </w:r>
          </w:p>
          <w:p w14:paraId="4FD5763F">
            <w:pPr>
              <w:spacing w:line="360" w:lineRule="auto"/>
              <w:ind w:firstLine="480" w:firstLineChars="200"/>
              <w:jc w:val="left"/>
              <w:rPr>
                <w:rFonts w:hint="default" w:ascii="Times New Roman" w:hAnsi="Times New Roman" w:cs="Times New Roman"/>
                <w:sz w:val="24"/>
              </w:rPr>
            </w:pPr>
            <w:r>
              <w:rPr>
                <w:rFonts w:hint="default" w:ascii="Times New Roman" w:hAnsi="Times New Roman" w:cs="Times New Roman"/>
                <w:sz w:val="24"/>
              </w:rPr>
              <w:t>W</w:t>
            </w:r>
            <w:r>
              <w:rPr>
                <w:rFonts w:hint="default" w:ascii="Times New Roman" w:hAnsi="Times New Roman" w:cs="Times New Roman"/>
                <w:sz w:val="24"/>
                <w:vertAlign w:val="subscript"/>
              </w:rPr>
              <w:t>K</w:t>
            </w:r>
            <w:r>
              <w:rPr>
                <w:rFonts w:hint="default" w:ascii="Times New Roman" w:hAnsi="Times New Roman" w:cs="Times New Roman"/>
                <w:sz w:val="24"/>
              </w:rPr>
              <w:t>：可控排放量（吨）；</w:t>
            </w:r>
          </w:p>
          <w:p w14:paraId="4B2629ED">
            <w:pPr>
              <w:spacing w:line="360" w:lineRule="auto"/>
              <w:ind w:firstLine="480" w:firstLineChars="200"/>
              <w:jc w:val="left"/>
              <w:rPr>
                <w:rFonts w:hint="default" w:ascii="Times New Roman" w:hAnsi="Times New Roman" w:cs="Times New Roman"/>
                <w:sz w:val="24"/>
              </w:rPr>
            </w:pPr>
            <w:r>
              <w:rPr>
                <w:rFonts w:hint="default" w:ascii="Times New Roman" w:hAnsi="Times New Roman" w:cs="Times New Roman"/>
                <w:sz w:val="24"/>
              </w:rPr>
              <w:t>A：施工面积（万平方米），本项目施工面积为0.4万m</w:t>
            </w:r>
            <w:r>
              <w:rPr>
                <w:rFonts w:hint="default" w:ascii="Times New Roman" w:hAnsi="Times New Roman" w:cs="Times New Roman"/>
                <w:sz w:val="24"/>
                <w:vertAlign w:val="superscript"/>
              </w:rPr>
              <w:t>2</w:t>
            </w:r>
            <w:r>
              <w:rPr>
                <w:rFonts w:hint="default" w:ascii="Times New Roman" w:hAnsi="Times New Roman" w:cs="Times New Roman"/>
                <w:sz w:val="24"/>
              </w:rPr>
              <w:t>。</w:t>
            </w:r>
          </w:p>
          <w:p w14:paraId="1223372D">
            <w:pPr>
              <w:spacing w:line="360" w:lineRule="auto"/>
              <w:ind w:firstLine="480" w:firstLineChars="200"/>
              <w:jc w:val="left"/>
              <w:rPr>
                <w:rFonts w:hint="default" w:ascii="Times New Roman" w:hAnsi="Times New Roman" w:cs="Times New Roman"/>
                <w:sz w:val="24"/>
              </w:rPr>
            </w:pPr>
            <w:r>
              <w:rPr>
                <w:rFonts w:hint="default" w:ascii="Times New Roman" w:hAnsi="Times New Roman" w:cs="Times New Roman"/>
                <w:sz w:val="24"/>
              </w:rPr>
              <w:t>B：基本排放量排放系数（吨/万平方米*月），市政工地取6.6；</w:t>
            </w:r>
          </w:p>
          <w:p w14:paraId="6C087729">
            <w:pPr>
              <w:pStyle w:val="63"/>
              <w:ind w:firstLine="480"/>
              <w:rPr>
                <w:rFonts w:hint="default" w:ascii="Times New Roman" w:hAnsi="Times New Roman" w:cs="Times New Roman"/>
                <w:szCs w:val="24"/>
              </w:rPr>
            </w:pPr>
            <w:r>
              <w:rPr>
                <w:rFonts w:hint="default" w:ascii="Times New Roman" w:hAnsi="Times New Roman" w:cs="Times New Roman"/>
              </w:rPr>
              <w:t>P</w:t>
            </w:r>
            <w:r>
              <w:rPr>
                <w:rFonts w:hint="default" w:ascii="Times New Roman" w:hAnsi="Times New Roman" w:cs="Times New Roman"/>
                <w:vertAlign w:val="subscript"/>
              </w:rPr>
              <w:t>11</w:t>
            </w:r>
            <w:r>
              <w:rPr>
                <w:rFonts w:hint="default" w:ascii="Times New Roman" w:hAnsi="Times New Roman" w:cs="Times New Roman"/>
              </w:rPr>
              <w:t>、P</w:t>
            </w:r>
            <w:r>
              <w:rPr>
                <w:rFonts w:hint="default" w:ascii="Times New Roman" w:hAnsi="Times New Roman" w:cs="Times New Roman"/>
                <w:vertAlign w:val="subscript"/>
              </w:rPr>
              <w:t>12</w:t>
            </w:r>
            <w:r>
              <w:rPr>
                <w:rFonts w:hint="default" w:ascii="Times New Roman" w:hAnsi="Times New Roman" w:cs="Times New Roman"/>
              </w:rPr>
              <w:t>、P</w:t>
            </w:r>
            <w:r>
              <w:rPr>
                <w:rFonts w:hint="default" w:ascii="Times New Roman" w:hAnsi="Times New Roman" w:cs="Times New Roman"/>
                <w:vertAlign w:val="subscript"/>
              </w:rPr>
              <w:t>13</w:t>
            </w:r>
            <w:r>
              <w:rPr>
                <w:rFonts w:hint="default" w:ascii="Times New Roman" w:hAnsi="Times New Roman" w:cs="Times New Roman"/>
              </w:rPr>
              <w:t>、P</w:t>
            </w:r>
            <w:r>
              <w:rPr>
                <w:rFonts w:hint="default" w:ascii="Times New Roman" w:hAnsi="Times New Roman" w:cs="Times New Roman"/>
                <w:vertAlign w:val="subscript"/>
              </w:rPr>
              <w:t>14</w:t>
            </w:r>
            <w:r>
              <w:rPr>
                <w:rFonts w:hint="default" w:ascii="Times New Roman" w:hAnsi="Times New Roman" w:cs="Times New Roman"/>
              </w:rPr>
              <w:t>、P</w:t>
            </w:r>
            <w:r>
              <w:rPr>
                <w:rFonts w:hint="default" w:ascii="Times New Roman" w:hAnsi="Times New Roman" w:cs="Times New Roman"/>
                <w:vertAlign w:val="subscript"/>
              </w:rPr>
              <w:t>15</w:t>
            </w:r>
            <w:r>
              <w:rPr>
                <w:rFonts w:hint="default" w:ascii="Times New Roman" w:hAnsi="Times New Roman" w:cs="Times New Roman"/>
              </w:rPr>
              <w:t>：各项控制扬尘措施所对应的一次扬尘可控排放量排污系</w:t>
            </w:r>
            <w:r>
              <w:rPr>
                <w:rFonts w:hint="default" w:ascii="Times New Roman" w:hAnsi="Times New Roman" w:cs="Times New Roman"/>
                <w:szCs w:val="24"/>
              </w:rPr>
              <w:t>数（吨/万平方米*月）；</w:t>
            </w:r>
          </w:p>
          <w:p w14:paraId="1BD05A7B">
            <w:pPr>
              <w:pStyle w:val="63"/>
              <w:ind w:firstLine="480"/>
              <w:rPr>
                <w:rFonts w:hint="default" w:ascii="Times New Roman" w:hAnsi="Times New Roman" w:cs="Times New Roman"/>
                <w:szCs w:val="24"/>
              </w:rPr>
            </w:pPr>
            <w:r>
              <w:rPr>
                <w:rFonts w:hint="default" w:ascii="Times New Roman" w:hAnsi="Times New Roman" w:cs="Times New Roman"/>
              </w:rPr>
              <w:t>P</w:t>
            </w:r>
            <w:r>
              <w:rPr>
                <w:rFonts w:hint="default" w:ascii="Times New Roman" w:hAnsi="Times New Roman" w:cs="Times New Roman"/>
                <w:vertAlign w:val="subscript"/>
              </w:rPr>
              <w:t>2</w:t>
            </w:r>
            <w:r>
              <w:rPr>
                <w:rFonts w:hint="default" w:ascii="Times New Roman" w:hAnsi="Times New Roman" w:cs="Times New Roman"/>
              </w:rPr>
              <w:t>：控制运输车辆扬尘所对应二次扬尘可控排放量系数</w:t>
            </w:r>
            <w:r>
              <w:rPr>
                <w:rFonts w:hint="default" w:ascii="Times New Roman" w:hAnsi="Times New Roman" w:cs="Times New Roman"/>
                <w:szCs w:val="24"/>
              </w:rPr>
              <w:t>（吨/万平方米*月）</w:t>
            </w:r>
            <w:r>
              <w:rPr>
                <w:rFonts w:hint="default" w:ascii="Times New Roman" w:hAnsi="Times New Roman" w:cs="Times New Roman"/>
              </w:rPr>
              <w:t>；</w:t>
            </w:r>
          </w:p>
          <w:p w14:paraId="232BDA75">
            <w:pPr>
              <w:pStyle w:val="63"/>
              <w:ind w:firstLine="480"/>
              <w:rPr>
                <w:rFonts w:hint="default" w:ascii="Times New Roman" w:hAnsi="Times New Roman" w:cs="Times New Roman"/>
              </w:rPr>
            </w:pPr>
            <w:r>
              <w:rPr>
                <w:rFonts w:hint="default" w:ascii="Times New Roman" w:hAnsi="Times New Roman" w:cs="Times New Roman"/>
              </w:rPr>
              <w:t>T：施工期（月），本项目施工期约为2个月。</w:t>
            </w:r>
          </w:p>
          <w:p w14:paraId="64686FB3">
            <w:pPr>
              <w:pStyle w:val="10"/>
              <w:adjustRightInd w:val="0"/>
              <w:snapToGrid w:val="0"/>
              <w:spacing w:before="120" w:beforeLines="50" w:line="240" w:lineRule="auto"/>
              <w:rPr>
                <w:rFonts w:hint="default" w:ascii="Times New Roman" w:hAnsi="Times New Roman" w:cs="Times New Roman"/>
                <w:b/>
                <w:bCs/>
                <w:sz w:val="21"/>
                <w:szCs w:val="21"/>
              </w:rPr>
            </w:pPr>
            <w:r>
              <w:rPr>
                <w:rFonts w:hint="default" w:ascii="Times New Roman" w:hAnsi="Times New Roman" w:cs="Times New Roman"/>
                <w:b/>
                <w:bCs/>
                <w:sz w:val="21"/>
                <w:szCs w:val="21"/>
              </w:rPr>
              <w:t>表4-2    施工工地扬尘可控排放系数</w:t>
            </w:r>
          </w:p>
          <w:tbl>
            <w:tblPr>
              <w:tblStyle w:val="34"/>
              <w:tblW w:w="4998" w:type="pct"/>
              <w:jc w:val="center"/>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0" w:type="dxa"/>
                <w:bottom w:w="0" w:type="dxa"/>
                <w:right w:w="0" w:type="dxa"/>
              </w:tblCellMar>
            </w:tblPr>
            <w:tblGrid>
              <w:gridCol w:w="536"/>
              <w:gridCol w:w="1654"/>
              <w:gridCol w:w="2218"/>
              <w:gridCol w:w="1424"/>
              <w:gridCol w:w="1224"/>
              <w:gridCol w:w="1415"/>
            </w:tblGrid>
            <w:tr w14:paraId="7F981D38">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71" w:hRule="atLeast"/>
                <w:jc w:val="center"/>
              </w:trPr>
              <w:tc>
                <w:tcPr>
                  <w:tcW w:w="316" w:type="pct"/>
                  <w:vMerge w:val="restart"/>
                  <w:vAlign w:val="center"/>
                </w:tcPr>
                <w:p w14:paraId="159224E2">
                  <w:pPr>
                    <w:widowControl/>
                    <w:snapToGrid w:val="0"/>
                    <w:spacing w:before="100" w:beforeAutospacing="1" w:after="100" w:afterAutospacing="1"/>
                    <w:jc w:val="center"/>
                    <w:rPr>
                      <w:rFonts w:hint="default" w:ascii="Times New Roman" w:hAnsi="Times New Roman" w:cs="Times New Roman"/>
                      <w:kern w:val="0"/>
                    </w:rPr>
                  </w:pPr>
                  <w:r>
                    <w:rPr>
                      <w:rFonts w:hint="default" w:ascii="Times New Roman" w:hAnsi="Times New Roman" w:cs="Times New Roman"/>
                      <w:kern w:val="0"/>
                    </w:rPr>
                    <w:t>工地类型</w:t>
                  </w:r>
                </w:p>
              </w:tc>
              <w:tc>
                <w:tcPr>
                  <w:tcW w:w="976" w:type="pct"/>
                  <w:vMerge w:val="restart"/>
                  <w:vAlign w:val="center"/>
                </w:tcPr>
                <w:p w14:paraId="229DB96F">
                  <w:pPr>
                    <w:widowControl/>
                    <w:snapToGrid w:val="0"/>
                    <w:spacing w:before="100" w:beforeAutospacing="1" w:after="100" w:afterAutospacing="1"/>
                    <w:jc w:val="center"/>
                    <w:rPr>
                      <w:rFonts w:hint="default" w:ascii="Times New Roman" w:hAnsi="Times New Roman" w:cs="Times New Roman"/>
                      <w:kern w:val="0"/>
                    </w:rPr>
                  </w:pPr>
                  <w:r>
                    <w:rPr>
                      <w:rFonts w:hint="default" w:ascii="Times New Roman" w:hAnsi="Times New Roman" w:cs="Times New Roman"/>
                      <w:kern w:val="0"/>
                    </w:rPr>
                    <w:t>扬尘类型</w:t>
                  </w:r>
                </w:p>
              </w:tc>
              <w:tc>
                <w:tcPr>
                  <w:tcW w:w="1309" w:type="pct"/>
                  <w:vMerge w:val="restart"/>
                  <w:vAlign w:val="center"/>
                </w:tcPr>
                <w:p w14:paraId="17DFAE2B">
                  <w:pPr>
                    <w:widowControl/>
                    <w:snapToGrid w:val="0"/>
                    <w:spacing w:before="100" w:beforeAutospacing="1" w:after="100" w:afterAutospacing="1"/>
                    <w:jc w:val="center"/>
                    <w:rPr>
                      <w:rFonts w:hint="default" w:ascii="Times New Roman" w:hAnsi="Times New Roman" w:cs="Times New Roman"/>
                      <w:kern w:val="0"/>
                    </w:rPr>
                  </w:pPr>
                  <w:r>
                    <w:rPr>
                      <w:rFonts w:hint="default" w:ascii="Times New Roman" w:hAnsi="Times New Roman" w:cs="Times New Roman"/>
                      <w:kern w:val="0"/>
                    </w:rPr>
                    <w:t>扬尘污染控制措施</w:t>
                  </w:r>
                </w:p>
              </w:tc>
              <w:tc>
                <w:tcPr>
                  <w:tcW w:w="2397" w:type="pct"/>
                  <w:gridSpan w:val="3"/>
                  <w:vAlign w:val="center"/>
                </w:tcPr>
                <w:p w14:paraId="7B296F19">
                  <w:pPr>
                    <w:widowControl/>
                    <w:snapToGrid w:val="0"/>
                    <w:jc w:val="center"/>
                    <w:rPr>
                      <w:rFonts w:hint="default" w:ascii="Times New Roman" w:hAnsi="Times New Roman" w:cs="Times New Roman"/>
                      <w:kern w:val="0"/>
                    </w:rPr>
                  </w:pPr>
                  <w:r>
                    <w:rPr>
                      <w:rFonts w:hint="default" w:ascii="Times New Roman" w:hAnsi="Times New Roman" w:cs="Times New Roman"/>
                      <w:kern w:val="0"/>
                    </w:rPr>
                    <w:t>可控排放量排放系数（吨/万平方米*月）</w:t>
                  </w:r>
                </w:p>
              </w:tc>
            </w:tr>
            <w:tr w14:paraId="5D54B225">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133" w:hRule="atLeast"/>
                <w:jc w:val="center"/>
              </w:trPr>
              <w:tc>
                <w:tcPr>
                  <w:tcW w:w="316" w:type="pct"/>
                  <w:vMerge w:val="continue"/>
                  <w:vAlign w:val="center"/>
                </w:tcPr>
                <w:p w14:paraId="09A5F963">
                  <w:pPr>
                    <w:widowControl/>
                    <w:snapToGrid w:val="0"/>
                    <w:spacing w:before="100" w:beforeAutospacing="1" w:after="100" w:afterAutospacing="1"/>
                    <w:jc w:val="center"/>
                    <w:rPr>
                      <w:rFonts w:hint="default" w:ascii="Times New Roman" w:hAnsi="Times New Roman" w:cs="Times New Roman"/>
                      <w:kern w:val="0"/>
                    </w:rPr>
                  </w:pPr>
                </w:p>
              </w:tc>
              <w:tc>
                <w:tcPr>
                  <w:tcW w:w="976" w:type="pct"/>
                  <w:vMerge w:val="continue"/>
                  <w:vAlign w:val="center"/>
                </w:tcPr>
                <w:p w14:paraId="3F5D112C">
                  <w:pPr>
                    <w:widowControl/>
                    <w:snapToGrid w:val="0"/>
                    <w:spacing w:before="100" w:beforeAutospacing="1" w:after="100" w:afterAutospacing="1"/>
                    <w:jc w:val="center"/>
                    <w:rPr>
                      <w:rFonts w:hint="default" w:ascii="Times New Roman" w:hAnsi="Times New Roman" w:cs="Times New Roman"/>
                      <w:kern w:val="0"/>
                    </w:rPr>
                  </w:pPr>
                </w:p>
              </w:tc>
              <w:tc>
                <w:tcPr>
                  <w:tcW w:w="1309" w:type="pct"/>
                  <w:vMerge w:val="continue"/>
                  <w:vAlign w:val="center"/>
                </w:tcPr>
                <w:p w14:paraId="7068A663">
                  <w:pPr>
                    <w:widowControl/>
                    <w:snapToGrid w:val="0"/>
                    <w:spacing w:before="100" w:beforeAutospacing="1" w:after="100" w:afterAutospacing="1"/>
                    <w:jc w:val="center"/>
                    <w:rPr>
                      <w:rFonts w:hint="default" w:ascii="Times New Roman" w:hAnsi="Times New Roman" w:cs="Times New Roman"/>
                      <w:kern w:val="0"/>
                    </w:rPr>
                  </w:pPr>
                </w:p>
              </w:tc>
              <w:tc>
                <w:tcPr>
                  <w:tcW w:w="840" w:type="pct"/>
                  <w:vMerge w:val="restart"/>
                  <w:vAlign w:val="center"/>
                </w:tcPr>
                <w:p w14:paraId="79C42942">
                  <w:pPr>
                    <w:widowControl/>
                    <w:snapToGrid w:val="0"/>
                    <w:spacing w:before="100" w:beforeAutospacing="1" w:after="100" w:afterAutospacing="1"/>
                    <w:jc w:val="center"/>
                    <w:rPr>
                      <w:rFonts w:hint="default" w:ascii="Times New Roman" w:hAnsi="Times New Roman" w:cs="Times New Roman"/>
                      <w:kern w:val="0"/>
                    </w:rPr>
                  </w:pPr>
                  <w:r>
                    <w:rPr>
                      <w:rFonts w:hint="default" w:ascii="Times New Roman" w:hAnsi="Times New Roman" w:cs="Times New Roman"/>
                      <w:kern w:val="0"/>
                    </w:rPr>
                    <w:t>代码</w:t>
                  </w:r>
                </w:p>
              </w:tc>
              <w:tc>
                <w:tcPr>
                  <w:tcW w:w="1557" w:type="pct"/>
                  <w:gridSpan w:val="2"/>
                  <w:vAlign w:val="center"/>
                </w:tcPr>
                <w:p w14:paraId="756FCE92">
                  <w:pPr>
                    <w:widowControl/>
                    <w:snapToGrid w:val="0"/>
                    <w:spacing w:before="100" w:beforeAutospacing="1" w:after="100" w:afterAutospacing="1"/>
                    <w:jc w:val="center"/>
                    <w:rPr>
                      <w:rFonts w:hint="default" w:ascii="Times New Roman" w:hAnsi="Times New Roman" w:cs="Times New Roman"/>
                      <w:kern w:val="0"/>
                    </w:rPr>
                  </w:pPr>
                  <w:r>
                    <w:rPr>
                      <w:rFonts w:hint="default" w:ascii="Times New Roman" w:hAnsi="Times New Roman" w:cs="Times New Roman"/>
                      <w:kern w:val="0"/>
                    </w:rPr>
                    <w:t>措施达标</w:t>
                  </w:r>
                </w:p>
              </w:tc>
            </w:tr>
            <w:tr w14:paraId="3E5D08BF">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133" w:hRule="atLeast"/>
                <w:jc w:val="center"/>
              </w:trPr>
              <w:tc>
                <w:tcPr>
                  <w:tcW w:w="316" w:type="pct"/>
                  <w:vMerge w:val="continue"/>
                  <w:vAlign w:val="center"/>
                </w:tcPr>
                <w:p w14:paraId="15432011">
                  <w:pPr>
                    <w:widowControl/>
                    <w:snapToGrid w:val="0"/>
                    <w:spacing w:before="100" w:beforeAutospacing="1" w:after="100" w:afterAutospacing="1"/>
                    <w:jc w:val="center"/>
                    <w:rPr>
                      <w:rFonts w:hint="default" w:ascii="Times New Roman" w:hAnsi="Times New Roman" w:cs="Times New Roman"/>
                      <w:kern w:val="0"/>
                    </w:rPr>
                  </w:pPr>
                </w:p>
              </w:tc>
              <w:tc>
                <w:tcPr>
                  <w:tcW w:w="976" w:type="pct"/>
                  <w:vMerge w:val="continue"/>
                  <w:vAlign w:val="center"/>
                </w:tcPr>
                <w:p w14:paraId="4B31F1DC">
                  <w:pPr>
                    <w:widowControl/>
                    <w:snapToGrid w:val="0"/>
                    <w:spacing w:before="100" w:beforeAutospacing="1" w:after="100" w:afterAutospacing="1"/>
                    <w:jc w:val="center"/>
                    <w:rPr>
                      <w:rFonts w:hint="default" w:ascii="Times New Roman" w:hAnsi="Times New Roman" w:cs="Times New Roman"/>
                      <w:kern w:val="0"/>
                    </w:rPr>
                  </w:pPr>
                </w:p>
              </w:tc>
              <w:tc>
                <w:tcPr>
                  <w:tcW w:w="1309" w:type="pct"/>
                  <w:vMerge w:val="continue"/>
                  <w:vAlign w:val="center"/>
                </w:tcPr>
                <w:p w14:paraId="56185BEA">
                  <w:pPr>
                    <w:widowControl/>
                    <w:snapToGrid w:val="0"/>
                    <w:spacing w:before="100" w:beforeAutospacing="1" w:after="100" w:afterAutospacing="1"/>
                    <w:jc w:val="center"/>
                    <w:rPr>
                      <w:rFonts w:hint="default" w:ascii="Times New Roman" w:hAnsi="Times New Roman" w:cs="Times New Roman"/>
                      <w:kern w:val="0"/>
                    </w:rPr>
                  </w:pPr>
                </w:p>
              </w:tc>
              <w:tc>
                <w:tcPr>
                  <w:tcW w:w="840" w:type="pct"/>
                  <w:vMerge w:val="continue"/>
                  <w:vAlign w:val="center"/>
                </w:tcPr>
                <w:p w14:paraId="7F8AF56C">
                  <w:pPr>
                    <w:widowControl/>
                    <w:snapToGrid w:val="0"/>
                    <w:spacing w:before="100" w:beforeAutospacing="1" w:after="100" w:afterAutospacing="1"/>
                    <w:jc w:val="center"/>
                    <w:rPr>
                      <w:rFonts w:hint="default" w:ascii="Times New Roman" w:hAnsi="Times New Roman" w:cs="Times New Roman"/>
                      <w:kern w:val="0"/>
                    </w:rPr>
                  </w:pPr>
                </w:p>
              </w:tc>
              <w:tc>
                <w:tcPr>
                  <w:tcW w:w="722" w:type="pct"/>
                  <w:vAlign w:val="center"/>
                </w:tcPr>
                <w:p w14:paraId="10F63323">
                  <w:pPr>
                    <w:widowControl/>
                    <w:snapToGrid w:val="0"/>
                    <w:spacing w:before="100" w:beforeAutospacing="1" w:after="100" w:afterAutospacing="1"/>
                    <w:jc w:val="center"/>
                    <w:rPr>
                      <w:rFonts w:hint="default" w:ascii="Times New Roman" w:hAnsi="Times New Roman" w:cs="Times New Roman"/>
                      <w:kern w:val="0"/>
                    </w:rPr>
                  </w:pPr>
                  <w:r>
                    <w:rPr>
                      <w:rFonts w:hint="default" w:ascii="Times New Roman" w:hAnsi="Times New Roman" w:cs="Times New Roman"/>
                      <w:kern w:val="0"/>
                    </w:rPr>
                    <w:t>是</w:t>
                  </w:r>
                </w:p>
              </w:tc>
              <w:tc>
                <w:tcPr>
                  <w:tcW w:w="834" w:type="pct"/>
                  <w:vAlign w:val="center"/>
                </w:tcPr>
                <w:p w14:paraId="501485C7">
                  <w:pPr>
                    <w:widowControl/>
                    <w:snapToGrid w:val="0"/>
                    <w:spacing w:before="100" w:beforeAutospacing="1" w:after="100" w:afterAutospacing="1"/>
                    <w:jc w:val="center"/>
                    <w:rPr>
                      <w:rFonts w:hint="default" w:ascii="Times New Roman" w:hAnsi="Times New Roman" w:cs="Times New Roman"/>
                      <w:kern w:val="0"/>
                    </w:rPr>
                  </w:pPr>
                  <w:r>
                    <w:rPr>
                      <w:rFonts w:hint="default" w:ascii="Times New Roman" w:hAnsi="Times New Roman" w:cs="Times New Roman"/>
                      <w:kern w:val="0"/>
                    </w:rPr>
                    <w:t>否</w:t>
                  </w:r>
                </w:p>
              </w:tc>
            </w:tr>
            <w:tr w14:paraId="01C469F5">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192" w:hRule="atLeast"/>
                <w:jc w:val="center"/>
              </w:trPr>
              <w:tc>
                <w:tcPr>
                  <w:tcW w:w="316" w:type="pct"/>
                  <w:vMerge w:val="restart"/>
                  <w:vAlign w:val="center"/>
                </w:tcPr>
                <w:p w14:paraId="12255EFB">
                  <w:pPr>
                    <w:widowControl/>
                    <w:snapToGrid w:val="0"/>
                    <w:spacing w:before="100" w:beforeAutospacing="1" w:after="100" w:afterAutospacing="1"/>
                    <w:jc w:val="center"/>
                    <w:rPr>
                      <w:rFonts w:hint="default" w:ascii="Times New Roman" w:hAnsi="Times New Roman" w:cs="Times New Roman"/>
                      <w:kern w:val="0"/>
                    </w:rPr>
                  </w:pPr>
                  <w:r>
                    <w:rPr>
                      <w:rFonts w:hint="default" w:ascii="Times New Roman" w:hAnsi="Times New Roman" w:cs="Times New Roman"/>
                      <w:kern w:val="0"/>
                    </w:rPr>
                    <w:t>工地</w:t>
                  </w:r>
                </w:p>
              </w:tc>
              <w:tc>
                <w:tcPr>
                  <w:tcW w:w="976" w:type="pct"/>
                  <w:vMerge w:val="restart"/>
                  <w:vAlign w:val="center"/>
                </w:tcPr>
                <w:p w14:paraId="3EB9839F">
                  <w:pPr>
                    <w:widowControl/>
                    <w:snapToGrid w:val="0"/>
                    <w:jc w:val="center"/>
                    <w:rPr>
                      <w:rFonts w:hint="default" w:ascii="Times New Roman" w:hAnsi="Times New Roman" w:cs="Times New Roman"/>
                      <w:kern w:val="0"/>
                    </w:rPr>
                  </w:pPr>
                  <w:r>
                    <w:rPr>
                      <w:rFonts w:hint="default" w:ascii="Times New Roman" w:hAnsi="Times New Roman" w:cs="Times New Roman"/>
                      <w:kern w:val="0"/>
                    </w:rPr>
                    <w:t>一次扬尘</w:t>
                  </w:r>
                </w:p>
                <w:p w14:paraId="6DFB4CB1">
                  <w:pPr>
                    <w:widowControl/>
                    <w:snapToGrid w:val="0"/>
                    <w:jc w:val="center"/>
                    <w:rPr>
                      <w:rFonts w:hint="default" w:ascii="Times New Roman" w:hAnsi="Times New Roman" w:cs="Times New Roman"/>
                      <w:kern w:val="0"/>
                    </w:rPr>
                  </w:pPr>
                  <w:r>
                    <w:rPr>
                      <w:rFonts w:hint="default" w:ascii="Times New Roman" w:hAnsi="Times New Roman" w:cs="Times New Roman"/>
                      <w:kern w:val="0"/>
                    </w:rPr>
                    <w:t>（累计计算）</w:t>
                  </w:r>
                </w:p>
              </w:tc>
              <w:tc>
                <w:tcPr>
                  <w:tcW w:w="1309" w:type="pct"/>
                  <w:vAlign w:val="center"/>
                </w:tcPr>
                <w:p w14:paraId="5CBA0BA6">
                  <w:pPr>
                    <w:widowControl/>
                    <w:snapToGrid w:val="0"/>
                    <w:spacing w:before="100" w:beforeAutospacing="1" w:after="100" w:afterAutospacing="1"/>
                    <w:jc w:val="center"/>
                    <w:rPr>
                      <w:rFonts w:hint="default" w:ascii="Times New Roman" w:hAnsi="Times New Roman" w:cs="Times New Roman"/>
                      <w:kern w:val="0"/>
                    </w:rPr>
                  </w:pPr>
                  <w:r>
                    <w:rPr>
                      <w:rFonts w:hint="default" w:ascii="Times New Roman" w:hAnsi="Times New Roman" w:cs="Times New Roman"/>
                      <w:kern w:val="0"/>
                    </w:rPr>
                    <w:t>道路硬化与管理</w:t>
                  </w:r>
                </w:p>
              </w:tc>
              <w:tc>
                <w:tcPr>
                  <w:tcW w:w="840" w:type="pct"/>
                  <w:vAlign w:val="center"/>
                </w:tcPr>
                <w:p w14:paraId="685DC821">
                  <w:pPr>
                    <w:widowControl/>
                    <w:snapToGrid w:val="0"/>
                    <w:spacing w:before="100" w:beforeAutospacing="1" w:after="100" w:afterAutospacing="1"/>
                    <w:jc w:val="center"/>
                    <w:rPr>
                      <w:rFonts w:hint="default" w:ascii="Times New Roman" w:hAnsi="Times New Roman" w:cs="Times New Roman"/>
                      <w:kern w:val="0"/>
                    </w:rPr>
                  </w:pPr>
                  <w:r>
                    <w:rPr>
                      <w:rFonts w:hint="default" w:ascii="Times New Roman" w:hAnsi="Times New Roman" w:cs="Times New Roman"/>
                      <w:kern w:val="0"/>
                    </w:rPr>
                    <w:t>P</w:t>
                  </w:r>
                  <w:r>
                    <w:rPr>
                      <w:rFonts w:hint="default" w:ascii="Times New Roman" w:hAnsi="Times New Roman" w:cs="Times New Roman"/>
                      <w:kern w:val="0"/>
                      <w:vertAlign w:val="subscript"/>
                    </w:rPr>
                    <w:t>11</w:t>
                  </w:r>
                </w:p>
              </w:tc>
              <w:tc>
                <w:tcPr>
                  <w:tcW w:w="722" w:type="pct"/>
                  <w:vAlign w:val="center"/>
                </w:tcPr>
                <w:p w14:paraId="70D3783F">
                  <w:pPr>
                    <w:widowControl/>
                    <w:snapToGrid w:val="0"/>
                    <w:spacing w:before="100" w:beforeAutospacing="1" w:after="100" w:afterAutospacing="1"/>
                    <w:jc w:val="center"/>
                    <w:rPr>
                      <w:rFonts w:hint="default" w:ascii="Times New Roman" w:hAnsi="Times New Roman" w:cs="Times New Roman"/>
                      <w:kern w:val="0"/>
                    </w:rPr>
                  </w:pPr>
                  <w:r>
                    <w:rPr>
                      <w:rFonts w:hint="default" w:ascii="Times New Roman" w:hAnsi="Times New Roman" w:cs="Times New Roman"/>
                      <w:kern w:val="0"/>
                    </w:rPr>
                    <w:t>0</w:t>
                  </w:r>
                </w:p>
              </w:tc>
              <w:tc>
                <w:tcPr>
                  <w:tcW w:w="834" w:type="pct"/>
                  <w:vAlign w:val="center"/>
                </w:tcPr>
                <w:p w14:paraId="7BB8F60E">
                  <w:pPr>
                    <w:widowControl/>
                    <w:snapToGrid w:val="0"/>
                    <w:spacing w:before="100" w:beforeAutospacing="1" w:after="100" w:afterAutospacing="1"/>
                    <w:jc w:val="center"/>
                    <w:rPr>
                      <w:rFonts w:hint="default" w:ascii="Times New Roman" w:hAnsi="Times New Roman" w:cs="Times New Roman"/>
                      <w:kern w:val="0"/>
                    </w:rPr>
                  </w:pPr>
                  <w:r>
                    <w:rPr>
                      <w:rFonts w:hint="default" w:ascii="Times New Roman" w:hAnsi="Times New Roman" w:cs="Times New Roman"/>
                      <w:kern w:val="0"/>
                    </w:rPr>
                    <w:t>1.02</w:t>
                  </w:r>
                </w:p>
              </w:tc>
            </w:tr>
            <w:tr w14:paraId="5BEE9699">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192" w:hRule="atLeast"/>
                <w:jc w:val="center"/>
              </w:trPr>
              <w:tc>
                <w:tcPr>
                  <w:tcW w:w="316" w:type="pct"/>
                  <w:vMerge w:val="continue"/>
                  <w:vAlign w:val="center"/>
                </w:tcPr>
                <w:p w14:paraId="67217AA6">
                  <w:pPr>
                    <w:widowControl/>
                    <w:jc w:val="left"/>
                    <w:rPr>
                      <w:rFonts w:hint="default" w:ascii="Times New Roman" w:hAnsi="Times New Roman" w:cs="Times New Roman"/>
                      <w:kern w:val="0"/>
                    </w:rPr>
                  </w:pPr>
                </w:p>
              </w:tc>
              <w:tc>
                <w:tcPr>
                  <w:tcW w:w="976" w:type="pct"/>
                  <w:vMerge w:val="continue"/>
                  <w:vAlign w:val="center"/>
                </w:tcPr>
                <w:p w14:paraId="0A6B1750">
                  <w:pPr>
                    <w:widowControl/>
                    <w:jc w:val="left"/>
                    <w:rPr>
                      <w:rFonts w:hint="default" w:ascii="Times New Roman" w:hAnsi="Times New Roman" w:cs="Times New Roman"/>
                      <w:kern w:val="0"/>
                    </w:rPr>
                  </w:pPr>
                </w:p>
              </w:tc>
              <w:tc>
                <w:tcPr>
                  <w:tcW w:w="1309" w:type="pct"/>
                  <w:vAlign w:val="center"/>
                </w:tcPr>
                <w:p w14:paraId="496A1CD9">
                  <w:pPr>
                    <w:widowControl/>
                    <w:snapToGrid w:val="0"/>
                    <w:spacing w:before="100" w:beforeAutospacing="1" w:after="100" w:afterAutospacing="1"/>
                    <w:jc w:val="center"/>
                    <w:rPr>
                      <w:rFonts w:hint="default" w:ascii="Times New Roman" w:hAnsi="Times New Roman" w:cs="Times New Roman"/>
                      <w:kern w:val="0"/>
                    </w:rPr>
                  </w:pPr>
                  <w:r>
                    <w:rPr>
                      <w:rFonts w:hint="default" w:ascii="Times New Roman" w:hAnsi="Times New Roman" w:cs="Times New Roman"/>
                      <w:kern w:val="0"/>
                    </w:rPr>
                    <w:t>边界围挡</w:t>
                  </w:r>
                </w:p>
              </w:tc>
              <w:tc>
                <w:tcPr>
                  <w:tcW w:w="840" w:type="pct"/>
                  <w:vAlign w:val="center"/>
                </w:tcPr>
                <w:p w14:paraId="06E180EF">
                  <w:pPr>
                    <w:widowControl/>
                    <w:snapToGrid w:val="0"/>
                    <w:spacing w:before="100" w:beforeAutospacing="1" w:after="100" w:afterAutospacing="1"/>
                    <w:jc w:val="center"/>
                    <w:rPr>
                      <w:rFonts w:hint="default" w:ascii="Times New Roman" w:hAnsi="Times New Roman" w:cs="Times New Roman"/>
                      <w:kern w:val="0"/>
                    </w:rPr>
                  </w:pPr>
                  <w:r>
                    <w:rPr>
                      <w:rFonts w:hint="default" w:ascii="Times New Roman" w:hAnsi="Times New Roman" w:cs="Times New Roman"/>
                      <w:kern w:val="0"/>
                    </w:rPr>
                    <w:t>P</w:t>
                  </w:r>
                  <w:r>
                    <w:rPr>
                      <w:rFonts w:hint="default" w:ascii="Times New Roman" w:hAnsi="Times New Roman" w:cs="Times New Roman"/>
                      <w:kern w:val="0"/>
                      <w:vertAlign w:val="subscript"/>
                    </w:rPr>
                    <w:t>12</w:t>
                  </w:r>
                </w:p>
              </w:tc>
              <w:tc>
                <w:tcPr>
                  <w:tcW w:w="722" w:type="pct"/>
                  <w:vAlign w:val="center"/>
                </w:tcPr>
                <w:p w14:paraId="141C0AF9">
                  <w:pPr>
                    <w:widowControl/>
                    <w:snapToGrid w:val="0"/>
                    <w:spacing w:before="100" w:beforeAutospacing="1" w:after="100" w:afterAutospacing="1"/>
                    <w:jc w:val="center"/>
                    <w:rPr>
                      <w:rFonts w:hint="default" w:ascii="Times New Roman" w:hAnsi="Times New Roman" w:cs="Times New Roman"/>
                      <w:kern w:val="0"/>
                    </w:rPr>
                  </w:pPr>
                  <w:r>
                    <w:rPr>
                      <w:rFonts w:hint="default" w:ascii="Times New Roman" w:hAnsi="Times New Roman" w:cs="Times New Roman"/>
                      <w:kern w:val="0"/>
                    </w:rPr>
                    <w:t>0</w:t>
                  </w:r>
                </w:p>
              </w:tc>
              <w:tc>
                <w:tcPr>
                  <w:tcW w:w="834" w:type="pct"/>
                  <w:vAlign w:val="center"/>
                </w:tcPr>
                <w:p w14:paraId="12DDA423">
                  <w:pPr>
                    <w:widowControl/>
                    <w:snapToGrid w:val="0"/>
                    <w:spacing w:before="100" w:beforeAutospacing="1" w:after="100" w:afterAutospacing="1"/>
                    <w:jc w:val="center"/>
                    <w:rPr>
                      <w:rFonts w:hint="default" w:ascii="Times New Roman" w:hAnsi="Times New Roman" w:cs="Times New Roman"/>
                      <w:kern w:val="0"/>
                    </w:rPr>
                  </w:pPr>
                  <w:r>
                    <w:rPr>
                      <w:rFonts w:hint="default" w:ascii="Times New Roman" w:hAnsi="Times New Roman" w:cs="Times New Roman"/>
                      <w:kern w:val="0"/>
                    </w:rPr>
                    <w:t>1.02</w:t>
                  </w:r>
                </w:p>
              </w:tc>
            </w:tr>
            <w:tr w14:paraId="27D33C96">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192" w:hRule="atLeast"/>
                <w:jc w:val="center"/>
              </w:trPr>
              <w:tc>
                <w:tcPr>
                  <w:tcW w:w="316" w:type="pct"/>
                  <w:vMerge w:val="continue"/>
                  <w:vAlign w:val="center"/>
                </w:tcPr>
                <w:p w14:paraId="6B145B26">
                  <w:pPr>
                    <w:widowControl/>
                    <w:jc w:val="left"/>
                    <w:rPr>
                      <w:rFonts w:hint="default" w:ascii="Times New Roman" w:hAnsi="Times New Roman" w:cs="Times New Roman"/>
                      <w:kern w:val="0"/>
                    </w:rPr>
                  </w:pPr>
                </w:p>
              </w:tc>
              <w:tc>
                <w:tcPr>
                  <w:tcW w:w="976" w:type="pct"/>
                  <w:vMerge w:val="continue"/>
                  <w:vAlign w:val="center"/>
                </w:tcPr>
                <w:p w14:paraId="06F9AC68">
                  <w:pPr>
                    <w:widowControl/>
                    <w:jc w:val="left"/>
                    <w:rPr>
                      <w:rFonts w:hint="default" w:ascii="Times New Roman" w:hAnsi="Times New Roman" w:cs="Times New Roman"/>
                      <w:kern w:val="0"/>
                    </w:rPr>
                  </w:pPr>
                </w:p>
              </w:tc>
              <w:tc>
                <w:tcPr>
                  <w:tcW w:w="1309" w:type="pct"/>
                  <w:vAlign w:val="center"/>
                </w:tcPr>
                <w:p w14:paraId="3357BEF7">
                  <w:pPr>
                    <w:widowControl/>
                    <w:snapToGrid w:val="0"/>
                    <w:spacing w:before="100" w:beforeAutospacing="1" w:after="100" w:afterAutospacing="1"/>
                    <w:jc w:val="center"/>
                    <w:rPr>
                      <w:rFonts w:hint="default" w:ascii="Times New Roman" w:hAnsi="Times New Roman" w:cs="Times New Roman"/>
                      <w:kern w:val="0"/>
                    </w:rPr>
                  </w:pPr>
                  <w:r>
                    <w:rPr>
                      <w:rFonts w:hint="default" w:ascii="Times New Roman" w:hAnsi="Times New Roman" w:cs="Times New Roman"/>
                      <w:kern w:val="0"/>
                    </w:rPr>
                    <w:t>易扬尘物料覆盖</w:t>
                  </w:r>
                </w:p>
              </w:tc>
              <w:tc>
                <w:tcPr>
                  <w:tcW w:w="840" w:type="pct"/>
                  <w:vAlign w:val="center"/>
                </w:tcPr>
                <w:p w14:paraId="4845D183">
                  <w:pPr>
                    <w:widowControl/>
                    <w:snapToGrid w:val="0"/>
                    <w:spacing w:before="100" w:beforeAutospacing="1" w:after="100" w:afterAutospacing="1"/>
                    <w:jc w:val="center"/>
                    <w:rPr>
                      <w:rFonts w:hint="default" w:ascii="Times New Roman" w:hAnsi="Times New Roman" w:cs="Times New Roman"/>
                      <w:kern w:val="0"/>
                    </w:rPr>
                  </w:pPr>
                  <w:r>
                    <w:rPr>
                      <w:rFonts w:hint="default" w:ascii="Times New Roman" w:hAnsi="Times New Roman" w:cs="Times New Roman"/>
                      <w:kern w:val="0"/>
                    </w:rPr>
                    <w:t>P</w:t>
                  </w:r>
                  <w:r>
                    <w:rPr>
                      <w:rFonts w:hint="default" w:ascii="Times New Roman" w:hAnsi="Times New Roman" w:cs="Times New Roman"/>
                      <w:kern w:val="0"/>
                      <w:vertAlign w:val="subscript"/>
                    </w:rPr>
                    <w:t>14</w:t>
                  </w:r>
                </w:p>
              </w:tc>
              <w:tc>
                <w:tcPr>
                  <w:tcW w:w="722" w:type="pct"/>
                  <w:vAlign w:val="center"/>
                </w:tcPr>
                <w:p w14:paraId="398368E1">
                  <w:pPr>
                    <w:widowControl/>
                    <w:snapToGrid w:val="0"/>
                    <w:spacing w:before="100" w:beforeAutospacing="1" w:after="100" w:afterAutospacing="1"/>
                    <w:jc w:val="center"/>
                    <w:rPr>
                      <w:rFonts w:hint="default" w:ascii="Times New Roman" w:hAnsi="Times New Roman" w:cs="Times New Roman"/>
                      <w:kern w:val="0"/>
                    </w:rPr>
                  </w:pPr>
                  <w:r>
                    <w:rPr>
                      <w:rFonts w:hint="default" w:ascii="Times New Roman" w:hAnsi="Times New Roman" w:cs="Times New Roman"/>
                      <w:kern w:val="0"/>
                    </w:rPr>
                    <w:t>0</w:t>
                  </w:r>
                </w:p>
              </w:tc>
              <w:tc>
                <w:tcPr>
                  <w:tcW w:w="834" w:type="pct"/>
                  <w:vAlign w:val="center"/>
                </w:tcPr>
                <w:p w14:paraId="015B54DC">
                  <w:pPr>
                    <w:widowControl/>
                    <w:snapToGrid w:val="0"/>
                    <w:spacing w:before="100" w:beforeAutospacing="1" w:after="100" w:afterAutospacing="1"/>
                    <w:jc w:val="center"/>
                    <w:rPr>
                      <w:rFonts w:hint="default" w:ascii="Times New Roman" w:hAnsi="Times New Roman" w:cs="Times New Roman"/>
                      <w:kern w:val="0"/>
                    </w:rPr>
                  </w:pPr>
                  <w:r>
                    <w:rPr>
                      <w:rFonts w:hint="default" w:ascii="Times New Roman" w:hAnsi="Times New Roman" w:cs="Times New Roman"/>
                      <w:kern w:val="0"/>
                    </w:rPr>
                    <w:t>0.66</w:t>
                  </w:r>
                </w:p>
              </w:tc>
            </w:tr>
            <w:tr w14:paraId="60EFAE4D">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178" w:hRule="atLeast"/>
                <w:jc w:val="center"/>
              </w:trPr>
              <w:tc>
                <w:tcPr>
                  <w:tcW w:w="316" w:type="pct"/>
                  <w:vMerge w:val="continue"/>
                  <w:vAlign w:val="center"/>
                </w:tcPr>
                <w:p w14:paraId="6DC816F7">
                  <w:pPr>
                    <w:widowControl/>
                    <w:jc w:val="left"/>
                    <w:rPr>
                      <w:rFonts w:hint="default" w:ascii="Times New Roman" w:hAnsi="Times New Roman" w:cs="Times New Roman"/>
                      <w:kern w:val="0"/>
                    </w:rPr>
                  </w:pPr>
                </w:p>
              </w:tc>
              <w:tc>
                <w:tcPr>
                  <w:tcW w:w="976" w:type="pct"/>
                  <w:vMerge w:val="continue"/>
                  <w:vAlign w:val="center"/>
                </w:tcPr>
                <w:p w14:paraId="3025EA38">
                  <w:pPr>
                    <w:widowControl/>
                    <w:jc w:val="left"/>
                    <w:rPr>
                      <w:rFonts w:hint="default" w:ascii="Times New Roman" w:hAnsi="Times New Roman" w:cs="Times New Roman"/>
                      <w:kern w:val="0"/>
                    </w:rPr>
                  </w:pPr>
                </w:p>
              </w:tc>
              <w:tc>
                <w:tcPr>
                  <w:tcW w:w="1309" w:type="pct"/>
                  <w:vAlign w:val="center"/>
                </w:tcPr>
                <w:p w14:paraId="3997388A">
                  <w:pPr>
                    <w:widowControl/>
                    <w:snapToGrid w:val="0"/>
                    <w:spacing w:before="100" w:beforeAutospacing="1" w:after="100" w:afterAutospacing="1"/>
                    <w:jc w:val="center"/>
                    <w:rPr>
                      <w:rFonts w:hint="default" w:ascii="Times New Roman" w:hAnsi="Times New Roman" w:cs="Times New Roman"/>
                      <w:kern w:val="0"/>
                    </w:rPr>
                  </w:pPr>
                  <w:r>
                    <w:rPr>
                      <w:rFonts w:hint="default" w:ascii="Times New Roman" w:hAnsi="Times New Roman" w:cs="Times New Roman"/>
                      <w:kern w:val="0"/>
                    </w:rPr>
                    <w:t>定期喷洒抑制剂</w:t>
                  </w:r>
                </w:p>
              </w:tc>
              <w:tc>
                <w:tcPr>
                  <w:tcW w:w="840" w:type="pct"/>
                  <w:vAlign w:val="center"/>
                </w:tcPr>
                <w:p w14:paraId="7960E9EF">
                  <w:pPr>
                    <w:widowControl/>
                    <w:snapToGrid w:val="0"/>
                    <w:spacing w:before="100" w:beforeAutospacing="1" w:after="100" w:afterAutospacing="1"/>
                    <w:jc w:val="center"/>
                    <w:rPr>
                      <w:rFonts w:hint="default" w:ascii="Times New Roman" w:hAnsi="Times New Roman" w:cs="Times New Roman"/>
                      <w:kern w:val="0"/>
                    </w:rPr>
                  </w:pPr>
                  <w:r>
                    <w:rPr>
                      <w:rFonts w:hint="default" w:ascii="Times New Roman" w:hAnsi="Times New Roman" w:cs="Times New Roman"/>
                      <w:kern w:val="0"/>
                    </w:rPr>
                    <w:t>P</w:t>
                  </w:r>
                  <w:r>
                    <w:rPr>
                      <w:rFonts w:hint="default" w:ascii="Times New Roman" w:hAnsi="Times New Roman" w:cs="Times New Roman"/>
                      <w:kern w:val="0"/>
                      <w:vertAlign w:val="subscript"/>
                    </w:rPr>
                    <w:t>15</w:t>
                  </w:r>
                </w:p>
              </w:tc>
              <w:tc>
                <w:tcPr>
                  <w:tcW w:w="722" w:type="pct"/>
                  <w:vAlign w:val="center"/>
                </w:tcPr>
                <w:p w14:paraId="15FB73EE">
                  <w:pPr>
                    <w:widowControl/>
                    <w:snapToGrid w:val="0"/>
                    <w:spacing w:before="100" w:beforeAutospacing="1" w:after="100" w:afterAutospacing="1"/>
                    <w:jc w:val="center"/>
                    <w:rPr>
                      <w:rFonts w:hint="default" w:ascii="Times New Roman" w:hAnsi="Times New Roman" w:cs="Times New Roman"/>
                      <w:kern w:val="0"/>
                    </w:rPr>
                  </w:pPr>
                  <w:r>
                    <w:rPr>
                      <w:rFonts w:hint="default" w:ascii="Times New Roman" w:hAnsi="Times New Roman" w:cs="Times New Roman"/>
                      <w:kern w:val="0"/>
                    </w:rPr>
                    <w:t>0</w:t>
                  </w:r>
                </w:p>
              </w:tc>
              <w:tc>
                <w:tcPr>
                  <w:tcW w:w="834" w:type="pct"/>
                  <w:vAlign w:val="center"/>
                </w:tcPr>
                <w:p w14:paraId="6A9B3FE9">
                  <w:pPr>
                    <w:widowControl/>
                    <w:snapToGrid w:val="0"/>
                    <w:spacing w:before="100" w:beforeAutospacing="1" w:after="100" w:afterAutospacing="1"/>
                    <w:jc w:val="center"/>
                    <w:rPr>
                      <w:rFonts w:hint="default" w:ascii="Times New Roman" w:hAnsi="Times New Roman" w:cs="Times New Roman"/>
                      <w:kern w:val="0"/>
                    </w:rPr>
                  </w:pPr>
                  <w:r>
                    <w:rPr>
                      <w:rFonts w:hint="default" w:ascii="Times New Roman" w:hAnsi="Times New Roman" w:cs="Times New Roman"/>
                      <w:kern w:val="0"/>
                    </w:rPr>
                    <w:t>0.3</w:t>
                  </w:r>
                </w:p>
              </w:tc>
            </w:tr>
            <w:tr w14:paraId="0B229096">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90" w:hRule="atLeast"/>
                <w:jc w:val="center"/>
              </w:trPr>
              <w:tc>
                <w:tcPr>
                  <w:tcW w:w="316" w:type="pct"/>
                  <w:vMerge w:val="continue"/>
                  <w:vAlign w:val="center"/>
                </w:tcPr>
                <w:p w14:paraId="65FEA5F3">
                  <w:pPr>
                    <w:widowControl/>
                    <w:jc w:val="left"/>
                    <w:rPr>
                      <w:rFonts w:hint="default" w:ascii="Times New Roman" w:hAnsi="Times New Roman" w:cs="Times New Roman"/>
                      <w:kern w:val="0"/>
                    </w:rPr>
                  </w:pPr>
                </w:p>
              </w:tc>
              <w:tc>
                <w:tcPr>
                  <w:tcW w:w="976" w:type="pct"/>
                  <w:vAlign w:val="center"/>
                </w:tcPr>
                <w:p w14:paraId="75313D48">
                  <w:pPr>
                    <w:widowControl/>
                    <w:snapToGrid w:val="0"/>
                    <w:jc w:val="center"/>
                    <w:rPr>
                      <w:rFonts w:hint="default" w:ascii="Times New Roman" w:hAnsi="Times New Roman" w:cs="Times New Roman"/>
                      <w:kern w:val="0"/>
                    </w:rPr>
                  </w:pPr>
                  <w:r>
                    <w:rPr>
                      <w:rFonts w:hint="default" w:ascii="Times New Roman" w:hAnsi="Times New Roman" w:cs="Times New Roman"/>
                      <w:kern w:val="0"/>
                    </w:rPr>
                    <w:t>二次扬尘</w:t>
                  </w:r>
                </w:p>
                <w:p w14:paraId="7D08E378">
                  <w:pPr>
                    <w:widowControl/>
                    <w:snapToGrid w:val="0"/>
                    <w:jc w:val="center"/>
                    <w:rPr>
                      <w:rFonts w:hint="default" w:ascii="Times New Roman" w:hAnsi="Times New Roman" w:cs="Times New Roman"/>
                      <w:kern w:val="0"/>
                    </w:rPr>
                  </w:pPr>
                  <w:r>
                    <w:rPr>
                      <w:rFonts w:hint="default" w:ascii="Times New Roman" w:hAnsi="Times New Roman" w:cs="Times New Roman"/>
                      <w:kern w:val="0"/>
                    </w:rPr>
                    <w:t>（不累计计算）</w:t>
                  </w:r>
                </w:p>
              </w:tc>
              <w:tc>
                <w:tcPr>
                  <w:tcW w:w="1309" w:type="pct"/>
                  <w:vAlign w:val="center"/>
                </w:tcPr>
                <w:p w14:paraId="590B7D96">
                  <w:pPr>
                    <w:widowControl/>
                    <w:snapToGrid w:val="0"/>
                    <w:spacing w:before="100" w:beforeAutospacing="1" w:after="100" w:afterAutospacing="1"/>
                    <w:jc w:val="center"/>
                    <w:rPr>
                      <w:rFonts w:hint="default" w:ascii="Times New Roman" w:hAnsi="Times New Roman" w:cs="Times New Roman"/>
                      <w:kern w:val="0"/>
                    </w:rPr>
                  </w:pPr>
                  <w:r>
                    <w:rPr>
                      <w:rFonts w:hint="default" w:ascii="Times New Roman" w:hAnsi="Times New Roman" w:cs="Times New Roman"/>
                      <w:kern w:val="0"/>
                    </w:rPr>
                    <w:t>运输车辆简易冲</w:t>
                  </w:r>
                  <w:r>
                    <w:rPr>
                      <w:rFonts w:hint="default" w:ascii="Times New Roman" w:hAnsi="Times New Roman" w:cs="Times New Roman"/>
                      <w:kern w:val="0"/>
                    </w:rPr>
                    <w:cr/>
                  </w:r>
                  <w:r>
                    <w:rPr>
                      <w:rFonts w:hint="default" w:ascii="Times New Roman" w:hAnsi="Times New Roman" w:cs="Times New Roman"/>
                      <w:kern w:val="0"/>
                    </w:rPr>
                    <w:t>装置</w:t>
                  </w:r>
                </w:p>
              </w:tc>
              <w:tc>
                <w:tcPr>
                  <w:tcW w:w="840" w:type="pct"/>
                  <w:vAlign w:val="center"/>
                </w:tcPr>
                <w:p w14:paraId="28DDBB3C">
                  <w:pPr>
                    <w:widowControl/>
                    <w:snapToGrid w:val="0"/>
                    <w:spacing w:before="100" w:beforeAutospacing="1" w:after="100" w:afterAutospacing="1"/>
                    <w:jc w:val="center"/>
                    <w:rPr>
                      <w:rFonts w:hint="default" w:ascii="Times New Roman" w:hAnsi="Times New Roman" w:cs="Times New Roman"/>
                      <w:kern w:val="0"/>
                    </w:rPr>
                  </w:pPr>
                  <w:r>
                    <w:rPr>
                      <w:rFonts w:hint="default" w:ascii="Times New Roman" w:hAnsi="Times New Roman" w:cs="Times New Roman"/>
                      <w:kern w:val="0"/>
                    </w:rPr>
                    <w:t>P</w:t>
                  </w:r>
                  <w:r>
                    <w:rPr>
                      <w:rFonts w:hint="default" w:ascii="Times New Roman" w:hAnsi="Times New Roman" w:cs="Times New Roman"/>
                      <w:kern w:val="0"/>
                      <w:vertAlign w:val="subscript"/>
                    </w:rPr>
                    <w:t>2</w:t>
                  </w:r>
                </w:p>
              </w:tc>
              <w:tc>
                <w:tcPr>
                  <w:tcW w:w="722" w:type="pct"/>
                  <w:vAlign w:val="center"/>
                </w:tcPr>
                <w:p w14:paraId="5D64BB2C">
                  <w:pPr>
                    <w:widowControl/>
                    <w:snapToGrid w:val="0"/>
                    <w:spacing w:before="100" w:beforeAutospacing="1" w:after="100" w:afterAutospacing="1"/>
                    <w:jc w:val="center"/>
                    <w:rPr>
                      <w:rFonts w:hint="default" w:ascii="Times New Roman" w:hAnsi="Times New Roman" w:cs="Times New Roman"/>
                      <w:kern w:val="0"/>
                    </w:rPr>
                  </w:pPr>
                  <w:r>
                    <w:rPr>
                      <w:rFonts w:hint="default" w:ascii="Times New Roman" w:hAnsi="Times New Roman" w:cs="Times New Roman"/>
                      <w:kern w:val="0"/>
                    </w:rPr>
                    <w:t>3.4</w:t>
                  </w:r>
                </w:p>
              </w:tc>
              <w:tc>
                <w:tcPr>
                  <w:tcW w:w="834" w:type="pct"/>
                  <w:vAlign w:val="center"/>
                </w:tcPr>
                <w:p w14:paraId="7C6D60AC">
                  <w:pPr>
                    <w:widowControl/>
                    <w:snapToGrid w:val="0"/>
                    <w:spacing w:before="100" w:beforeAutospacing="1" w:after="100" w:afterAutospacing="1"/>
                    <w:jc w:val="center"/>
                    <w:rPr>
                      <w:rFonts w:hint="default" w:ascii="Times New Roman" w:hAnsi="Times New Roman" w:cs="Times New Roman"/>
                      <w:kern w:val="0"/>
                    </w:rPr>
                  </w:pPr>
                  <w:r>
                    <w:rPr>
                      <w:rFonts w:hint="default" w:ascii="Times New Roman" w:hAnsi="Times New Roman" w:cs="Times New Roman"/>
                      <w:kern w:val="0"/>
                    </w:rPr>
                    <w:t>6.8</w:t>
                  </w:r>
                </w:p>
              </w:tc>
            </w:tr>
          </w:tbl>
          <w:p w14:paraId="481185C3">
            <w:pPr>
              <w:pStyle w:val="10"/>
              <w:adjustRightInd w:val="0"/>
              <w:snapToGrid w:val="0"/>
              <w:spacing w:before="120" w:beforeLines="50" w:line="240" w:lineRule="auto"/>
              <w:rPr>
                <w:rFonts w:hint="default" w:ascii="Times New Roman" w:hAnsi="Times New Roman" w:cs="Times New Roman"/>
                <w:b/>
                <w:bCs/>
                <w:sz w:val="21"/>
                <w:szCs w:val="21"/>
              </w:rPr>
            </w:pPr>
            <w:r>
              <w:rPr>
                <w:rFonts w:hint="default" w:ascii="Times New Roman" w:hAnsi="Times New Roman" w:cs="Times New Roman"/>
                <w:b/>
                <w:bCs/>
                <w:sz w:val="21"/>
                <w:szCs w:val="21"/>
              </w:rPr>
              <w:t>表4-3    施工工地扬尘控制措施达标标准</w:t>
            </w:r>
          </w:p>
          <w:tbl>
            <w:tblPr>
              <w:tblStyle w:val="34"/>
              <w:tblW w:w="4999" w:type="pct"/>
              <w:jc w:val="center"/>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0" w:type="dxa"/>
                <w:bottom w:w="0" w:type="dxa"/>
                <w:right w:w="0" w:type="dxa"/>
              </w:tblCellMar>
            </w:tblPr>
            <w:tblGrid>
              <w:gridCol w:w="1411"/>
              <w:gridCol w:w="7061"/>
            </w:tblGrid>
            <w:tr w14:paraId="33570688">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atLeast"/>
                <w:tblHeader/>
                <w:jc w:val="center"/>
              </w:trPr>
              <w:tc>
                <w:tcPr>
                  <w:tcW w:w="833" w:type="pct"/>
                  <w:vAlign w:val="center"/>
                </w:tcPr>
                <w:p w14:paraId="63455750">
                  <w:pPr>
                    <w:widowControl/>
                    <w:jc w:val="center"/>
                    <w:rPr>
                      <w:rFonts w:hint="default" w:ascii="Times New Roman" w:hAnsi="Times New Roman" w:cs="Times New Roman"/>
                      <w:kern w:val="0"/>
                      <w:szCs w:val="21"/>
                    </w:rPr>
                  </w:pPr>
                  <w:r>
                    <w:rPr>
                      <w:rFonts w:hint="default" w:ascii="Times New Roman" w:hAnsi="Times New Roman" w:cs="Times New Roman"/>
                      <w:kern w:val="0"/>
                      <w:szCs w:val="21"/>
                    </w:rPr>
                    <w:t>控制措施</w:t>
                  </w:r>
                </w:p>
              </w:tc>
              <w:tc>
                <w:tcPr>
                  <w:tcW w:w="4166" w:type="pct"/>
                  <w:vAlign w:val="center"/>
                </w:tcPr>
                <w:p w14:paraId="76339138">
                  <w:pPr>
                    <w:widowControl/>
                    <w:jc w:val="center"/>
                    <w:rPr>
                      <w:rFonts w:hint="default" w:ascii="Times New Roman" w:hAnsi="Times New Roman" w:cs="Times New Roman"/>
                      <w:kern w:val="0"/>
                      <w:szCs w:val="21"/>
                    </w:rPr>
                  </w:pPr>
                  <w:r>
                    <w:rPr>
                      <w:rFonts w:hint="default" w:ascii="Times New Roman" w:hAnsi="Times New Roman" w:cs="Times New Roman"/>
                      <w:kern w:val="0"/>
                      <w:szCs w:val="21"/>
                    </w:rPr>
                    <w:t>基本要求</w:t>
                  </w:r>
                </w:p>
              </w:tc>
            </w:tr>
            <w:tr w14:paraId="5B9D4AD3">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833" w:type="pct"/>
                  <w:vMerge w:val="restart"/>
                  <w:vAlign w:val="center"/>
                </w:tcPr>
                <w:p w14:paraId="2CA26C8B">
                  <w:pPr>
                    <w:widowControl/>
                    <w:jc w:val="center"/>
                    <w:rPr>
                      <w:rFonts w:hint="default" w:ascii="Times New Roman" w:hAnsi="Times New Roman" w:cs="Times New Roman"/>
                      <w:kern w:val="0"/>
                      <w:szCs w:val="21"/>
                    </w:rPr>
                  </w:pPr>
                  <w:r>
                    <w:rPr>
                      <w:rFonts w:hint="default" w:ascii="Times New Roman" w:hAnsi="Times New Roman" w:cs="Times New Roman"/>
                      <w:kern w:val="0"/>
                      <w:szCs w:val="21"/>
                    </w:rPr>
                    <w:t>道路硬化</w:t>
                  </w:r>
                </w:p>
                <w:p w14:paraId="6E2AE1DE">
                  <w:pPr>
                    <w:widowControl/>
                    <w:jc w:val="center"/>
                    <w:rPr>
                      <w:rFonts w:hint="default" w:ascii="Times New Roman" w:hAnsi="Times New Roman" w:cs="Times New Roman"/>
                      <w:kern w:val="0"/>
                      <w:szCs w:val="21"/>
                    </w:rPr>
                  </w:pPr>
                  <w:r>
                    <w:rPr>
                      <w:rFonts w:hint="default" w:ascii="Times New Roman" w:hAnsi="Times New Roman" w:cs="Times New Roman"/>
                      <w:kern w:val="0"/>
                      <w:szCs w:val="21"/>
                    </w:rPr>
                    <w:t>与管理</w:t>
                  </w:r>
                </w:p>
              </w:tc>
              <w:tc>
                <w:tcPr>
                  <w:tcW w:w="4166" w:type="pct"/>
                  <w:vAlign w:val="center"/>
                </w:tcPr>
                <w:p w14:paraId="7E27E586">
                  <w:pPr>
                    <w:widowControl/>
                    <w:ind w:firstLine="105" w:firstLineChars="50"/>
                    <w:jc w:val="left"/>
                    <w:rPr>
                      <w:rFonts w:hint="default" w:ascii="Times New Roman" w:hAnsi="Times New Roman" w:cs="Times New Roman"/>
                      <w:kern w:val="0"/>
                      <w:szCs w:val="21"/>
                    </w:rPr>
                  </w:pPr>
                  <w:r>
                    <w:rPr>
                      <w:rFonts w:hint="default" w:ascii="Times New Roman" w:hAnsi="Times New Roman" w:cs="Times New Roman"/>
                      <w:kern w:val="0"/>
                      <w:szCs w:val="21"/>
                    </w:rPr>
                    <w:t>1、施工场所内80%（按面积计）以上的车行道路都必须硬化；</w:t>
                  </w:r>
                </w:p>
              </w:tc>
            </w:tr>
            <w:tr w14:paraId="78114049">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833" w:type="pct"/>
                  <w:vMerge w:val="continue"/>
                  <w:vAlign w:val="center"/>
                </w:tcPr>
                <w:p w14:paraId="3C4C7850">
                  <w:pPr>
                    <w:widowControl/>
                    <w:jc w:val="center"/>
                    <w:rPr>
                      <w:rFonts w:hint="default" w:ascii="Times New Roman" w:hAnsi="Times New Roman" w:cs="Times New Roman"/>
                      <w:kern w:val="0"/>
                      <w:szCs w:val="21"/>
                    </w:rPr>
                  </w:pPr>
                </w:p>
              </w:tc>
              <w:tc>
                <w:tcPr>
                  <w:tcW w:w="4166" w:type="pct"/>
                  <w:vAlign w:val="center"/>
                </w:tcPr>
                <w:p w14:paraId="5CB071F9">
                  <w:pPr>
                    <w:widowControl/>
                    <w:ind w:firstLine="105" w:firstLineChars="50"/>
                    <w:jc w:val="left"/>
                    <w:rPr>
                      <w:rFonts w:hint="default" w:ascii="Times New Roman" w:hAnsi="Times New Roman" w:cs="Times New Roman"/>
                      <w:kern w:val="0"/>
                      <w:szCs w:val="21"/>
                    </w:rPr>
                  </w:pPr>
                  <w:r>
                    <w:rPr>
                      <w:rFonts w:hint="default" w:ascii="Times New Roman" w:hAnsi="Times New Roman" w:cs="Times New Roman"/>
                      <w:kern w:val="0"/>
                      <w:szCs w:val="21"/>
                    </w:rPr>
                    <w:t>2、任何时候车行道路上都不能有明显的尘土；</w:t>
                  </w:r>
                </w:p>
              </w:tc>
            </w:tr>
            <w:tr w14:paraId="51260828">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833" w:type="pct"/>
                  <w:vMerge w:val="continue"/>
                  <w:vAlign w:val="center"/>
                </w:tcPr>
                <w:p w14:paraId="48DC20C3">
                  <w:pPr>
                    <w:widowControl/>
                    <w:jc w:val="center"/>
                    <w:rPr>
                      <w:rFonts w:hint="default" w:ascii="Times New Roman" w:hAnsi="Times New Roman" w:cs="Times New Roman"/>
                      <w:kern w:val="0"/>
                      <w:szCs w:val="21"/>
                    </w:rPr>
                  </w:pPr>
                </w:p>
              </w:tc>
              <w:tc>
                <w:tcPr>
                  <w:tcW w:w="4166" w:type="pct"/>
                  <w:vAlign w:val="center"/>
                </w:tcPr>
                <w:p w14:paraId="3FE1B693">
                  <w:pPr>
                    <w:widowControl/>
                    <w:ind w:firstLine="105" w:firstLineChars="50"/>
                    <w:jc w:val="left"/>
                    <w:rPr>
                      <w:rFonts w:hint="default" w:ascii="Times New Roman" w:hAnsi="Times New Roman" w:cs="Times New Roman"/>
                      <w:kern w:val="0"/>
                      <w:szCs w:val="21"/>
                    </w:rPr>
                  </w:pPr>
                  <w:r>
                    <w:rPr>
                      <w:rFonts w:hint="default" w:ascii="Times New Roman" w:hAnsi="Times New Roman" w:cs="Times New Roman"/>
                      <w:kern w:val="0"/>
                      <w:szCs w:val="21"/>
                    </w:rPr>
                    <w:t>3、道路清扫时必须采取洒水措施。</w:t>
                  </w:r>
                </w:p>
              </w:tc>
            </w:tr>
            <w:tr w14:paraId="6BE6EFF0">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833" w:type="pct"/>
                  <w:vMerge w:val="restart"/>
                  <w:vAlign w:val="center"/>
                </w:tcPr>
                <w:p w14:paraId="3B13CFCE">
                  <w:pPr>
                    <w:widowControl/>
                    <w:jc w:val="center"/>
                    <w:rPr>
                      <w:rFonts w:hint="default" w:ascii="Times New Roman" w:hAnsi="Times New Roman" w:cs="Times New Roman"/>
                      <w:kern w:val="0"/>
                      <w:szCs w:val="21"/>
                    </w:rPr>
                  </w:pPr>
                  <w:r>
                    <w:rPr>
                      <w:rFonts w:hint="default" w:ascii="Times New Roman" w:hAnsi="Times New Roman" w:cs="Times New Roman"/>
                      <w:kern w:val="0"/>
                      <w:szCs w:val="21"/>
                    </w:rPr>
                    <w:t>边界围挡</w:t>
                  </w:r>
                </w:p>
              </w:tc>
              <w:tc>
                <w:tcPr>
                  <w:tcW w:w="4166" w:type="pct"/>
                  <w:vAlign w:val="center"/>
                </w:tcPr>
                <w:p w14:paraId="0217F38C">
                  <w:pPr>
                    <w:widowControl/>
                    <w:jc w:val="left"/>
                    <w:rPr>
                      <w:rFonts w:hint="default" w:ascii="Times New Roman" w:hAnsi="Times New Roman" w:cs="Times New Roman"/>
                      <w:kern w:val="0"/>
                      <w:szCs w:val="21"/>
                    </w:rPr>
                  </w:pPr>
                  <w:r>
                    <w:rPr>
                      <w:rFonts w:hint="default" w:ascii="Times New Roman" w:hAnsi="Times New Roman" w:cs="Times New Roman"/>
                      <w:kern w:val="0"/>
                      <w:szCs w:val="21"/>
                    </w:rPr>
                    <w:t xml:space="preserve"> 1、围挡下方设不低于20cm的防溢座以防粉尘流失；</w:t>
                  </w:r>
                </w:p>
              </w:tc>
            </w:tr>
            <w:tr w14:paraId="353BFFD9">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833" w:type="pct"/>
                  <w:vMerge w:val="continue"/>
                  <w:vAlign w:val="center"/>
                </w:tcPr>
                <w:p w14:paraId="158FBF3B">
                  <w:pPr>
                    <w:widowControl/>
                    <w:jc w:val="center"/>
                    <w:rPr>
                      <w:rFonts w:hint="default" w:ascii="Times New Roman" w:hAnsi="Times New Roman" w:cs="Times New Roman"/>
                      <w:kern w:val="0"/>
                      <w:szCs w:val="21"/>
                    </w:rPr>
                  </w:pPr>
                </w:p>
              </w:tc>
              <w:tc>
                <w:tcPr>
                  <w:tcW w:w="4166" w:type="pct"/>
                  <w:vAlign w:val="center"/>
                </w:tcPr>
                <w:p w14:paraId="46A7FA59">
                  <w:pPr>
                    <w:widowControl/>
                    <w:ind w:firstLine="105" w:firstLineChars="50"/>
                    <w:jc w:val="left"/>
                    <w:rPr>
                      <w:rFonts w:hint="default" w:ascii="Times New Roman" w:hAnsi="Times New Roman" w:cs="Times New Roman"/>
                      <w:kern w:val="0"/>
                      <w:szCs w:val="21"/>
                    </w:rPr>
                  </w:pPr>
                  <w:r>
                    <w:rPr>
                      <w:rFonts w:hint="default" w:ascii="Times New Roman" w:hAnsi="Times New Roman" w:cs="Times New Roman"/>
                      <w:kern w:val="0"/>
                      <w:szCs w:val="21"/>
                    </w:rPr>
                    <w:t>2、围挡必须是由金属、混凝土、塑料等硬质材料制作；</w:t>
                  </w:r>
                </w:p>
              </w:tc>
            </w:tr>
            <w:tr w14:paraId="3611F02D">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833" w:type="pct"/>
                  <w:vMerge w:val="continue"/>
                  <w:vAlign w:val="center"/>
                </w:tcPr>
                <w:p w14:paraId="59D307AA">
                  <w:pPr>
                    <w:widowControl/>
                    <w:jc w:val="center"/>
                    <w:rPr>
                      <w:rFonts w:hint="default" w:ascii="Times New Roman" w:hAnsi="Times New Roman" w:cs="Times New Roman"/>
                      <w:kern w:val="0"/>
                      <w:szCs w:val="21"/>
                    </w:rPr>
                  </w:pPr>
                </w:p>
              </w:tc>
              <w:tc>
                <w:tcPr>
                  <w:tcW w:w="4166" w:type="pct"/>
                  <w:vAlign w:val="center"/>
                </w:tcPr>
                <w:p w14:paraId="0FD9EAD0">
                  <w:pPr>
                    <w:widowControl/>
                    <w:ind w:firstLine="105" w:firstLineChars="50"/>
                    <w:jc w:val="left"/>
                    <w:rPr>
                      <w:rFonts w:hint="default" w:ascii="Times New Roman" w:hAnsi="Times New Roman" w:cs="Times New Roman"/>
                      <w:kern w:val="0"/>
                      <w:szCs w:val="21"/>
                    </w:rPr>
                  </w:pPr>
                  <w:r>
                    <w:rPr>
                      <w:rFonts w:hint="default" w:ascii="Times New Roman" w:hAnsi="Times New Roman" w:cs="Times New Roman"/>
                      <w:kern w:val="0"/>
                      <w:szCs w:val="21"/>
                    </w:rPr>
                    <w:t>3、任意两块围挡以及围挡与防溢座的拼接处都不能有大于0.5cm的缝隙，围挡不得有明显破损的漏洞。</w:t>
                  </w:r>
                </w:p>
              </w:tc>
            </w:tr>
            <w:tr w14:paraId="2CA96E5D">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833" w:type="pct"/>
                  <w:vMerge w:val="restart"/>
                  <w:vAlign w:val="center"/>
                </w:tcPr>
                <w:p w14:paraId="6937B42E">
                  <w:pPr>
                    <w:widowControl/>
                    <w:jc w:val="center"/>
                    <w:rPr>
                      <w:rFonts w:hint="default" w:ascii="Times New Roman" w:hAnsi="Times New Roman" w:cs="Times New Roman"/>
                      <w:kern w:val="0"/>
                      <w:szCs w:val="21"/>
                    </w:rPr>
                  </w:pPr>
                  <w:r>
                    <w:rPr>
                      <w:rFonts w:hint="default" w:ascii="Times New Roman" w:hAnsi="Times New Roman" w:cs="Times New Roman"/>
                      <w:kern w:val="0"/>
                      <w:szCs w:val="21"/>
                    </w:rPr>
                    <w:t>裸露地面</w:t>
                  </w:r>
                </w:p>
                <w:p w14:paraId="19082DA4">
                  <w:pPr>
                    <w:widowControl/>
                    <w:jc w:val="center"/>
                    <w:rPr>
                      <w:rFonts w:hint="default" w:ascii="Times New Roman" w:hAnsi="Times New Roman" w:cs="Times New Roman"/>
                      <w:kern w:val="0"/>
                      <w:szCs w:val="21"/>
                    </w:rPr>
                  </w:pPr>
                  <w:r>
                    <w:rPr>
                      <w:rFonts w:hint="default" w:ascii="Times New Roman" w:hAnsi="Times New Roman" w:cs="Times New Roman"/>
                      <w:kern w:val="0"/>
                      <w:szCs w:val="21"/>
                    </w:rPr>
                    <w:t>（含土方）</w:t>
                  </w:r>
                </w:p>
                <w:p w14:paraId="69CBB9C1">
                  <w:pPr>
                    <w:widowControl/>
                    <w:jc w:val="center"/>
                    <w:rPr>
                      <w:rFonts w:hint="default" w:ascii="Times New Roman" w:hAnsi="Times New Roman" w:cs="Times New Roman"/>
                      <w:kern w:val="0"/>
                      <w:szCs w:val="21"/>
                    </w:rPr>
                  </w:pPr>
                  <w:r>
                    <w:rPr>
                      <w:rFonts w:hint="default" w:ascii="Times New Roman" w:hAnsi="Times New Roman" w:cs="Times New Roman"/>
                      <w:kern w:val="0"/>
                      <w:szCs w:val="21"/>
                    </w:rPr>
                    <w:t>覆盖</w:t>
                  </w:r>
                </w:p>
              </w:tc>
              <w:tc>
                <w:tcPr>
                  <w:tcW w:w="4166" w:type="pct"/>
                  <w:vAlign w:val="center"/>
                </w:tcPr>
                <w:p w14:paraId="47A1FE66">
                  <w:pPr>
                    <w:widowControl/>
                    <w:ind w:firstLine="105" w:firstLineChars="50"/>
                    <w:jc w:val="left"/>
                    <w:rPr>
                      <w:rFonts w:hint="default" w:ascii="Times New Roman" w:hAnsi="Times New Roman" w:cs="Times New Roman"/>
                      <w:kern w:val="0"/>
                      <w:szCs w:val="21"/>
                    </w:rPr>
                  </w:pPr>
                  <w:r>
                    <w:rPr>
                      <w:rFonts w:hint="default" w:ascii="Times New Roman" w:hAnsi="Times New Roman" w:cs="Times New Roman"/>
                      <w:kern w:val="0"/>
                      <w:szCs w:val="21"/>
                    </w:rPr>
                    <w:t>1、每一块独立裸露地面80%以上的面积都应采取覆盖措施；</w:t>
                  </w:r>
                </w:p>
              </w:tc>
            </w:tr>
            <w:tr w14:paraId="30F10F07">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833" w:type="pct"/>
                  <w:vMerge w:val="continue"/>
                  <w:vAlign w:val="center"/>
                </w:tcPr>
                <w:p w14:paraId="7AFBC16B">
                  <w:pPr>
                    <w:widowControl/>
                    <w:jc w:val="center"/>
                    <w:rPr>
                      <w:rFonts w:hint="default" w:ascii="Times New Roman" w:hAnsi="Times New Roman" w:cs="Times New Roman"/>
                      <w:kern w:val="0"/>
                      <w:szCs w:val="21"/>
                    </w:rPr>
                  </w:pPr>
                </w:p>
              </w:tc>
              <w:tc>
                <w:tcPr>
                  <w:tcW w:w="4166" w:type="pct"/>
                  <w:vAlign w:val="center"/>
                </w:tcPr>
                <w:p w14:paraId="27382BB2">
                  <w:pPr>
                    <w:widowControl/>
                    <w:ind w:firstLine="105" w:firstLineChars="50"/>
                    <w:jc w:val="left"/>
                    <w:rPr>
                      <w:rFonts w:hint="default" w:ascii="Times New Roman" w:hAnsi="Times New Roman" w:cs="Times New Roman"/>
                      <w:kern w:val="0"/>
                      <w:szCs w:val="21"/>
                    </w:rPr>
                  </w:pPr>
                  <w:r>
                    <w:rPr>
                      <w:rFonts w:hint="default" w:ascii="Times New Roman" w:hAnsi="Times New Roman" w:cs="Times New Roman"/>
                      <w:kern w:val="0"/>
                      <w:szCs w:val="21"/>
                    </w:rPr>
                    <w:t>2、覆盖措施的完好率必须在90%以上；</w:t>
                  </w:r>
                </w:p>
              </w:tc>
            </w:tr>
            <w:tr w14:paraId="4814C24A">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833" w:type="pct"/>
                  <w:vMerge w:val="continue"/>
                  <w:vAlign w:val="center"/>
                </w:tcPr>
                <w:p w14:paraId="2ADA3E56">
                  <w:pPr>
                    <w:widowControl/>
                    <w:jc w:val="center"/>
                    <w:rPr>
                      <w:rFonts w:hint="default" w:ascii="Times New Roman" w:hAnsi="Times New Roman" w:cs="Times New Roman"/>
                      <w:kern w:val="0"/>
                      <w:szCs w:val="21"/>
                    </w:rPr>
                  </w:pPr>
                </w:p>
              </w:tc>
              <w:tc>
                <w:tcPr>
                  <w:tcW w:w="4166" w:type="pct"/>
                  <w:vAlign w:val="center"/>
                </w:tcPr>
                <w:p w14:paraId="119624F7">
                  <w:pPr>
                    <w:widowControl/>
                    <w:jc w:val="left"/>
                    <w:rPr>
                      <w:rFonts w:hint="default" w:ascii="Times New Roman" w:hAnsi="Times New Roman" w:cs="Times New Roman"/>
                      <w:kern w:val="0"/>
                      <w:szCs w:val="21"/>
                    </w:rPr>
                  </w:pPr>
                  <w:r>
                    <w:rPr>
                      <w:rFonts w:hint="default" w:ascii="Times New Roman" w:hAnsi="Times New Roman" w:cs="Times New Roman"/>
                      <w:kern w:val="0"/>
                      <w:szCs w:val="21"/>
                    </w:rPr>
                    <w:t xml:space="preserve"> 3、覆盖措施包括：钢板、粗级配、防尘网（布）、绿化、化学抑尘剂，或达到同等效率的覆盖措施。</w:t>
                  </w:r>
                </w:p>
              </w:tc>
            </w:tr>
            <w:tr w14:paraId="3B6C6B0F">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833" w:type="pct"/>
                  <w:vMerge w:val="restart"/>
                  <w:vAlign w:val="center"/>
                </w:tcPr>
                <w:p w14:paraId="5F6E7150">
                  <w:pPr>
                    <w:widowControl/>
                    <w:jc w:val="center"/>
                    <w:rPr>
                      <w:rFonts w:hint="default" w:ascii="Times New Roman" w:hAnsi="Times New Roman" w:cs="Times New Roman"/>
                      <w:kern w:val="0"/>
                      <w:szCs w:val="21"/>
                    </w:rPr>
                  </w:pPr>
                  <w:r>
                    <w:rPr>
                      <w:rFonts w:hint="default" w:ascii="Times New Roman" w:hAnsi="Times New Roman" w:cs="Times New Roman"/>
                      <w:kern w:val="0"/>
                      <w:szCs w:val="21"/>
                    </w:rPr>
                    <w:t>易扬尘</w:t>
                  </w:r>
                </w:p>
                <w:p w14:paraId="2AFE0180">
                  <w:pPr>
                    <w:widowControl/>
                    <w:jc w:val="center"/>
                    <w:rPr>
                      <w:rFonts w:hint="default" w:ascii="Times New Roman" w:hAnsi="Times New Roman" w:cs="Times New Roman"/>
                      <w:kern w:val="0"/>
                      <w:szCs w:val="21"/>
                    </w:rPr>
                  </w:pPr>
                  <w:r>
                    <w:rPr>
                      <w:rFonts w:hint="default" w:ascii="Times New Roman" w:hAnsi="Times New Roman" w:cs="Times New Roman"/>
                      <w:kern w:val="0"/>
                      <w:szCs w:val="21"/>
                    </w:rPr>
                    <w:t>物料覆盖</w:t>
                  </w:r>
                </w:p>
              </w:tc>
              <w:tc>
                <w:tcPr>
                  <w:tcW w:w="4166" w:type="pct"/>
                  <w:vAlign w:val="center"/>
                </w:tcPr>
                <w:p w14:paraId="6D8C5381">
                  <w:pPr>
                    <w:widowControl/>
                    <w:jc w:val="left"/>
                    <w:rPr>
                      <w:rFonts w:hint="default" w:ascii="Times New Roman" w:hAnsi="Times New Roman" w:cs="Times New Roman"/>
                      <w:kern w:val="0"/>
                      <w:szCs w:val="21"/>
                    </w:rPr>
                  </w:pPr>
                  <w:r>
                    <w:rPr>
                      <w:rFonts w:hint="default" w:ascii="Times New Roman" w:hAnsi="Times New Roman" w:cs="Times New Roman"/>
                      <w:kern w:val="0"/>
                      <w:szCs w:val="21"/>
                    </w:rPr>
                    <w:t xml:space="preserve"> 1、所有水泥、石灰、粉煤灰等易扬尘物料都必须以不透水的隔尘布完全覆盖或放置在顶部和四周均由遮蔽的范围内；</w:t>
                  </w:r>
                </w:p>
              </w:tc>
            </w:tr>
            <w:tr w14:paraId="6190D1E7">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833" w:type="pct"/>
                  <w:vMerge w:val="continue"/>
                  <w:vAlign w:val="center"/>
                </w:tcPr>
                <w:p w14:paraId="4953E734">
                  <w:pPr>
                    <w:widowControl/>
                    <w:jc w:val="center"/>
                    <w:rPr>
                      <w:rFonts w:hint="default" w:ascii="Times New Roman" w:hAnsi="Times New Roman" w:cs="Times New Roman"/>
                      <w:kern w:val="0"/>
                      <w:szCs w:val="21"/>
                    </w:rPr>
                  </w:pPr>
                </w:p>
              </w:tc>
              <w:tc>
                <w:tcPr>
                  <w:tcW w:w="4166" w:type="pct"/>
                  <w:vAlign w:val="center"/>
                </w:tcPr>
                <w:p w14:paraId="32D99E0B">
                  <w:pPr>
                    <w:widowControl/>
                    <w:ind w:firstLine="105" w:firstLineChars="50"/>
                    <w:jc w:val="left"/>
                    <w:rPr>
                      <w:rFonts w:hint="default" w:ascii="Times New Roman" w:hAnsi="Times New Roman" w:cs="Times New Roman"/>
                      <w:kern w:val="0"/>
                      <w:szCs w:val="21"/>
                    </w:rPr>
                  </w:pPr>
                  <w:r>
                    <w:rPr>
                      <w:rFonts w:hint="default" w:ascii="Times New Roman" w:hAnsi="Times New Roman" w:cs="Times New Roman"/>
                      <w:kern w:val="0"/>
                      <w:szCs w:val="21"/>
                    </w:rPr>
                    <w:t>2、防尘布或遮蔽装置的完好率必须大于95%；</w:t>
                  </w:r>
                </w:p>
              </w:tc>
            </w:tr>
            <w:tr w14:paraId="7BA792D7">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833" w:type="pct"/>
                  <w:vMerge w:val="continue"/>
                  <w:vAlign w:val="center"/>
                </w:tcPr>
                <w:p w14:paraId="0BD176D1">
                  <w:pPr>
                    <w:widowControl/>
                    <w:jc w:val="center"/>
                    <w:rPr>
                      <w:rFonts w:hint="default" w:ascii="Times New Roman" w:hAnsi="Times New Roman" w:cs="Times New Roman"/>
                      <w:kern w:val="0"/>
                      <w:szCs w:val="21"/>
                    </w:rPr>
                  </w:pPr>
                </w:p>
              </w:tc>
              <w:tc>
                <w:tcPr>
                  <w:tcW w:w="4166" w:type="pct"/>
                  <w:vAlign w:val="center"/>
                </w:tcPr>
                <w:p w14:paraId="7DC7F8FA">
                  <w:pPr>
                    <w:widowControl/>
                    <w:ind w:firstLine="105" w:firstLineChars="50"/>
                    <w:jc w:val="left"/>
                    <w:rPr>
                      <w:rFonts w:hint="default" w:ascii="Times New Roman" w:hAnsi="Times New Roman" w:cs="Times New Roman"/>
                      <w:kern w:val="0"/>
                      <w:szCs w:val="21"/>
                    </w:rPr>
                  </w:pPr>
                  <w:r>
                    <w:rPr>
                      <w:rFonts w:hint="default" w:ascii="Times New Roman" w:hAnsi="Times New Roman" w:cs="Times New Roman"/>
                      <w:kern w:val="0"/>
                      <w:szCs w:val="21"/>
                    </w:rPr>
                    <w:t>3、小批量且在8小时之内投入使用的情况除外。</w:t>
                  </w:r>
                </w:p>
              </w:tc>
            </w:tr>
            <w:tr w14:paraId="56E564B6">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833" w:type="pct"/>
                  <w:vAlign w:val="center"/>
                </w:tcPr>
                <w:p w14:paraId="66B94467">
                  <w:pPr>
                    <w:widowControl/>
                    <w:ind w:firstLine="105" w:firstLineChars="50"/>
                    <w:jc w:val="center"/>
                    <w:rPr>
                      <w:rFonts w:hint="default" w:ascii="Times New Roman" w:hAnsi="Times New Roman" w:cs="Times New Roman"/>
                      <w:kern w:val="0"/>
                      <w:szCs w:val="21"/>
                    </w:rPr>
                  </w:pPr>
                  <w:r>
                    <w:rPr>
                      <w:rFonts w:hint="default" w:ascii="Times New Roman" w:hAnsi="Times New Roman" w:cs="Times New Roman"/>
                      <w:kern w:val="0"/>
                      <w:szCs w:val="21"/>
                    </w:rPr>
                    <w:t>定期喷洒抑制剂</w:t>
                  </w:r>
                </w:p>
              </w:tc>
              <w:tc>
                <w:tcPr>
                  <w:tcW w:w="4166" w:type="pct"/>
                  <w:vAlign w:val="center"/>
                </w:tcPr>
                <w:p w14:paraId="6C821ED3">
                  <w:pPr>
                    <w:widowControl/>
                    <w:ind w:firstLine="105" w:firstLineChars="50"/>
                    <w:jc w:val="left"/>
                    <w:rPr>
                      <w:rFonts w:hint="default" w:ascii="Times New Roman" w:hAnsi="Times New Roman" w:cs="Times New Roman"/>
                      <w:kern w:val="0"/>
                      <w:szCs w:val="21"/>
                    </w:rPr>
                  </w:pPr>
                  <w:r>
                    <w:rPr>
                      <w:rFonts w:hint="default" w:ascii="Times New Roman" w:hAnsi="Times New Roman" w:cs="Times New Roman"/>
                      <w:kern w:val="0"/>
                      <w:szCs w:val="21"/>
                    </w:rPr>
                    <w:t>施工现场定期喷洒，保证地面湿润，不起尘。</w:t>
                  </w:r>
                </w:p>
              </w:tc>
            </w:tr>
            <w:tr w14:paraId="66199998">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833" w:type="pct"/>
                  <w:vMerge w:val="restart"/>
                  <w:vAlign w:val="center"/>
                </w:tcPr>
                <w:p w14:paraId="39556EDD">
                  <w:pPr>
                    <w:widowControl/>
                    <w:jc w:val="center"/>
                    <w:rPr>
                      <w:rFonts w:hint="default" w:ascii="Times New Roman" w:hAnsi="Times New Roman" w:cs="Times New Roman"/>
                      <w:kern w:val="0"/>
                      <w:szCs w:val="21"/>
                    </w:rPr>
                  </w:pPr>
                  <w:r>
                    <w:rPr>
                      <w:rFonts w:hint="default" w:ascii="Times New Roman" w:hAnsi="Times New Roman" w:cs="Times New Roman"/>
                      <w:kern w:val="0"/>
                      <w:szCs w:val="21"/>
                    </w:rPr>
                    <w:t>运输车辆</w:t>
                  </w:r>
                </w:p>
                <w:p w14:paraId="1D8AD879">
                  <w:pPr>
                    <w:widowControl/>
                    <w:jc w:val="center"/>
                    <w:rPr>
                      <w:rFonts w:hint="default" w:ascii="Times New Roman" w:hAnsi="Times New Roman" w:cs="Times New Roman"/>
                      <w:kern w:val="0"/>
                      <w:szCs w:val="21"/>
                    </w:rPr>
                  </w:pPr>
                  <w:r>
                    <w:rPr>
                      <w:rFonts w:hint="default" w:ascii="Times New Roman" w:hAnsi="Times New Roman" w:cs="Times New Roman"/>
                      <w:kern w:val="0"/>
                      <w:szCs w:val="21"/>
                    </w:rPr>
                    <w:t>简易冲洗装置</w:t>
                  </w:r>
                </w:p>
              </w:tc>
              <w:tc>
                <w:tcPr>
                  <w:tcW w:w="4166" w:type="pct"/>
                  <w:vAlign w:val="center"/>
                </w:tcPr>
                <w:p w14:paraId="729F58AB">
                  <w:pPr>
                    <w:widowControl/>
                    <w:jc w:val="left"/>
                    <w:rPr>
                      <w:rFonts w:hint="default" w:ascii="Times New Roman" w:hAnsi="Times New Roman" w:cs="Times New Roman"/>
                      <w:kern w:val="0"/>
                      <w:szCs w:val="21"/>
                    </w:rPr>
                  </w:pPr>
                  <w:r>
                    <w:rPr>
                      <w:rFonts w:hint="default" w:ascii="Times New Roman" w:hAnsi="Times New Roman" w:cs="Times New Roman"/>
                      <w:kern w:val="0"/>
                      <w:szCs w:val="21"/>
                    </w:rPr>
                    <w:t xml:space="preserve"> 1、运输车辆驶出工地前，应对车轮、车身、车槽帮等部位进行清理或清洗以保证车辆清洁上路；</w:t>
                  </w:r>
                </w:p>
              </w:tc>
            </w:tr>
            <w:tr w14:paraId="7C2860D1">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833" w:type="pct"/>
                  <w:vMerge w:val="continue"/>
                  <w:vAlign w:val="center"/>
                </w:tcPr>
                <w:p w14:paraId="7F26579F">
                  <w:pPr>
                    <w:widowControl/>
                    <w:jc w:val="center"/>
                    <w:rPr>
                      <w:rFonts w:hint="default" w:ascii="Times New Roman" w:hAnsi="Times New Roman" w:cs="Times New Roman"/>
                      <w:kern w:val="0"/>
                      <w:szCs w:val="21"/>
                    </w:rPr>
                  </w:pPr>
                </w:p>
              </w:tc>
              <w:tc>
                <w:tcPr>
                  <w:tcW w:w="4166" w:type="pct"/>
                  <w:vAlign w:val="center"/>
                </w:tcPr>
                <w:p w14:paraId="7CFC752E">
                  <w:pPr>
                    <w:widowControl/>
                    <w:jc w:val="left"/>
                    <w:rPr>
                      <w:rFonts w:hint="default" w:ascii="Times New Roman" w:hAnsi="Times New Roman" w:cs="Times New Roman"/>
                      <w:kern w:val="0"/>
                      <w:szCs w:val="21"/>
                    </w:rPr>
                  </w:pPr>
                  <w:r>
                    <w:rPr>
                      <w:rFonts w:hint="default" w:ascii="Times New Roman" w:hAnsi="Times New Roman" w:cs="Times New Roman"/>
                      <w:kern w:val="0"/>
                      <w:szCs w:val="21"/>
                    </w:rPr>
                    <w:t xml:space="preserve"> 2、施工场所车辆入口和出口30m以内部分的路面上不应有明显的泥印，以及粉土、泥土等易扬尘物料；</w:t>
                  </w:r>
                </w:p>
              </w:tc>
            </w:tr>
            <w:tr w14:paraId="58780524">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833" w:type="pct"/>
                  <w:vMerge w:val="continue"/>
                  <w:vAlign w:val="center"/>
                </w:tcPr>
                <w:p w14:paraId="34171C8D">
                  <w:pPr>
                    <w:widowControl/>
                    <w:jc w:val="center"/>
                    <w:rPr>
                      <w:rFonts w:hint="default" w:ascii="Times New Roman" w:hAnsi="Times New Roman" w:cs="Times New Roman"/>
                      <w:kern w:val="0"/>
                      <w:szCs w:val="21"/>
                    </w:rPr>
                  </w:pPr>
                </w:p>
              </w:tc>
              <w:tc>
                <w:tcPr>
                  <w:tcW w:w="4166" w:type="pct"/>
                  <w:vAlign w:val="center"/>
                </w:tcPr>
                <w:p w14:paraId="75AF12FA">
                  <w:pPr>
                    <w:widowControl/>
                    <w:ind w:firstLine="105" w:firstLineChars="50"/>
                    <w:jc w:val="left"/>
                    <w:rPr>
                      <w:rFonts w:hint="default" w:ascii="Times New Roman" w:hAnsi="Times New Roman" w:cs="Times New Roman"/>
                      <w:kern w:val="0"/>
                      <w:szCs w:val="21"/>
                    </w:rPr>
                  </w:pPr>
                  <w:r>
                    <w:rPr>
                      <w:rFonts w:hint="default" w:ascii="Times New Roman" w:hAnsi="Times New Roman" w:cs="Times New Roman"/>
                      <w:kern w:val="0"/>
                      <w:szCs w:val="21"/>
                    </w:rPr>
                    <w:t>3、污水处理产生的油泥，应设有妥善的处置措施；</w:t>
                  </w:r>
                </w:p>
              </w:tc>
            </w:tr>
            <w:tr w14:paraId="0335FFA8">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833" w:type="pct"/>
                  <w:vMerge w:val="continue"/>
                  <w:vAlign w:val="center"/>
                </w:tcPr>
                <w:p w14:paraId="0F6A2DE4">
                  <w:pPr>
                    <w:widowControl/>
                    <w:jc w:val="center"/>
                    <w:rPr>
                      <w:rFonts w:hint="default" w:ascii="Times New Roman" w:hAnsi="Times New Roman" w:cs="Times New Roman"/>
                      <w:kern w:val="0"/>
                      <w:szCs w:val="21"/>
                    </w:rPr>
                  </w:pPr>
                </w:p>
              </w:tc>
              <w:tc>
                <w:tcPr>
                  <w:tcW w:w="4166" w:type="pct"/>
                  <w:vAlign w:val="center"/>
                </w:tcPr>
                <w:p w14:paraId="776F484F">
                  <w:pPr>
                    <w:widowControl/>
                    <w:jc w:val="left"/>
                    <w:rPr>
                      <w:rFonts w:hint="default" w:ascii="Times New Roman" w:hAnsi="Times New Roman" w:cs="Times New Roman"/>
                      <w:kern w:val="0"/>
                      <w:szCs w:val="21"/>
                    </w:rPr>
                  </w:pPr>
                  <w:r>
                    <w:rPr>
                      <w:rFonts w:hint="default" w:ascii="Times New Roman" w:hAnsi="Times New Roman" w:cs="Times New Roman"/>
                      <w:kern w:val="0"/>
                      <w:szCs w:val="21"/>
                    </w:rPr>
                    <w:t xml:space="preserve"> 4、接纳洗车污水的水体和市政下水系统不得有明显的因洗车污水排放造成的淤塞现象。</w:t>
                  </w:r>
                </w:p>
              </w:tc>
            </w:tr>
            <w:tr w14:paraId="11065109">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833" w:type="pct"/>
                  <w:vMerge w:val="restart"/>
                  <w:vAlign w:val="center"/>
                </w:tcPr>
                <w:p w14:paraId="499D745F">
                  <w:pPr>
                    <w:widowControl/>
                    <w:jc w:val="center"/>
                    <w:rPr>
                      <w:rFonts w:hint="default" w:ascii="Times New Roman" w:hAnsi="Times New Roman" w:cs="Times New Roman"/>
                      <w:kern w:val="0"/>
                      <w:szCs w:val="21"/>
                    </w:rPr>
                  </w:pPr>
                  <w:r>
                    <w:rPr>
                      <w:rFonts w:hint="default" w:ascii="Times New Roman" w:hAnsi="Times New Roman" w:cs="Times New Roman"/>
                      <w:kern w:val="0"/>
                      <w:szCs w:val="21"/>
                    </w:rPr>
                    <w:t>运输车辆机械冲洗装置</w:t>
                  </w:r>
                </w:p>
              </w:tc>
              <w:tc>
                <w:tcPr>
                  <w:tcW w:w="4166" w:type="pct"/>
                  <w:vAlign w:val="center"/>
                </w:tcPr>
                <w:p w14:paraId="38863E06">
                  <w:pPr>
                    <w:widowControl/>
                    <w:ind w:firstLine="105" w:firstLineChars="50"/>
                    <w:jc w:val="left"/>
                    <w:rPr>
                      <w:rFonts w:hint="default" w:ascii="Times New Roman" w:hAnsi="Times New Roman" w:cs="Times New Roman"/>
                      <w:kern w:val="0"/>
                      <w:szCs w:val="21"/>
                    </w:rPr>
                  </w:pPr>
                  <w:r>
                    <w:rPr>
                      <w:rFonts w:hint="default" w:ascii="Times New Roman" w:hAnsi="Times New Roman" w:cs="Times New Roman"/>
                      <w:kern w:val="0"/>
                      <w:szCs w:val="21"/>
                    </w:rPr>
                    <w:t>1、运输车辆驶出工地前，应对车轮、车身、车槽帮等部位进行清理或清洗以保证车辆清洁上路；</w:t>
                  </w:r>
                </w:p>
              </w:tc>
            </w:tr>
            <w:tr w14:paraId="68F18F81">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833" w:type="pct"/>
                  <w:vMerge w:val="continue"/>
                  <w:vAlign w:val="center"/>
                </w:tcPr>
                <w:p w14:paraId="3A5F8C7A">
                  <w:pPr>
                    <w:widowControl/>
                    <w:jc w:val="center"/>
                    <w:rPr>
                      <w:rFonts w:hint="default" w:ascii="Times New Roman" w:hAnsi="Times New Roman" w:cs="Times New Roman"/>
                      <w:kern w:val="0"/>
                      <w:szCs w:val="21"/>
                    </w:rPr>
                  </w:pPr>
                </w:p>
              </w:tc>
              <w:tc>
                <w:tcPr>
                  <w:tcW w:w="4166" w:type="pct"/>
                  <w:vAlign w:val="center"/>
                </w:tcPr>
                <w:p w14:paraId="7E9D05B9">
                  <w:pPr>
                    <w:widowControl/>
                    <w:ind w:firstLine="105" w:firstLineChars="50"/>
                    <w:jc w:val="left"/>
                    <w:rPr>
                      <w:rFonts w:hint="default" w:ascii="Times New Roman" w:hAnsi="Times New Roman" w:cs="Times New Roman"/>
                      <w:kern w:val="0"/>
                      <w:szCs w:val="21"/>
                    </w:rPr>
                  </w:pPr>
                  <w:r>
                    <w:rPr>
                      <w:rFonts w:hint="default" w:ascii="Times New Roman" w:hAnsi="Times New Roman" w:cs="Times New Roman"/>
                      <w:kern w:val="0"/>
                      <w:szCs w:val="21"/>
                    </w:rPr>
                    <w:t>2、洗车喷嘴静水压不低于0.5Mpa；</w:t>
                  </w:r>
                </w:p>
              </w:tc>
            </w:tr>
            <w:tr w14:paraId="661DAF54">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833" w:type="pct"/>
                  <w:vMerge w:val="continue"/>
                  <w:vAlign w:val="center"/>
                </w:tcPr>
                <w:p w14:paraId="161B271A">
                  <w:pPr>
                    <w:widowControl/>
                    <w:jc w:val="center"/>
                    <w:rPr>
                      <w:rFonts w:hint="default" w:ascii="Times New Roman" w:hAnsi="Times New Roman" w:cs="Times New Roman"/>
                      <w:kern w:val="0"/>
                      <w:szCs w:val="21"/>
                    </w:rPr>
                  </w:pPr>
                </w:p>
              </w:tc>
              <w:tc>
                <w:tcPr>
                  <w:tcW w:w="4166" w:type="pct"/>
                  <w:vAlign w:val="center"/>
                </w:tcPr>
                <w:p w14:paraId="2AB7BEC1">
                  <w:pPr>
                    <w:widowControl/>
                    <w:jc w:val="left"/>
                    <w:rPr>
                      <w:rFonts w:hint="default" w:ascii="Times New Roman" w:hAnsi="Times New Roman" w:cs="Times New Roman"/>
                      <w:kern w:val="0"/>
                      <w:szCs w:val="21"/>
                    </w:rPr>
                  </w:pPr>
                  <w:r>
                    <w:rPr>
                      <w:rFonts w:hint="default" w:ascii="Times New Roman" w:hAnsi="Times New Roman" w:cs="Times New Roman"/>
                      <w:kern w:val="0"/>
                      <w:szCs w:val="21"/>
                    </w:rPr>
                    <w:t xml:space="preserve"> 3、洗车污水经处理后重复使用，回用率不得低于90%，回用水水质良好，悬浮物浓度不应大于150mg/L；</w:t>
                  </w:r>
                </w:p>
              </w:tc>
            </w:tr>
            <w:tr w14:paraId="3A5529E9">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833" w:type="pct"/>
                  <w:vMerge w:val="continue"/>
                  <w:vAlign w:val="center"/>
                </w:tcPr>
                <w:p w14:paraId="1BDC12B8">
                  <w:pPr>
                    <w:widowControl/>
                    <w:jc w:val="center"/>
                    <w:rPr>
                      <w:rFonts w:hint="default" w:ascii="Times New Roman" w:hAnsi="Times New Roman" w:cs="Times New Roman"/>
                      <w:kern w:val="0"/>
                      <w:szCs w:val="21"/>
                    </w:rPr>
                  </w:pPr>
                </w:p>
              </w:tc>
              <w:tc>
                <w:tcPr>
                  <w:tcW w:w="4166" w:type="pct"/>
                  <w:vAlign w:val="center"/>
                </w:tcPr>
                <w:p w14:paraId="64C6D137">
                  <w:pPr>
                    <w:widowControl/>
                    <w:jc w:val="left"/>
                    <w:rPr>
                      <w:rFonts w:hint="default" w:ascii="Times New Roman" w:hAnsi="Times New Roman" w:cs="Times New Roman"/>
                      <w:kern w:val="0"/>
                      <w:szCs w:val="21"/>
                    </w:rPr>
                  </w:pPr>
                  <w:r>
                    <w:rPr>
                      <w:rFonts w:hint="default" w:ascii="Times New Roman" w:hAnsi="Times New Roman" w:cs="Times New Roman"/>
                      <w:kern w:val="0"/>
                      <w:szCs w:val="21"/>
                    </w:rPr>
                    <w:t xml:space="preserve"> 4、施工场所车辆入口和出口30m以内部分的路面上不应有可以辨别的泥印，以及粉土、泥土等易扬尘物料；</w:t>
                  </w:r>
                </w:p>
              </w:tc>
            </w:tr>
            <w:tr w14:paraId="173F7813">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833" w:type="pct"/>
                  <w:vMerge w:val="continue"/>
                  <w:vAlign w:val="center"/>
                </w:tcPr>
                <w:p w14:paraId="70359DF1">
                  <w:pPr>
                    <w:widowControl/>
                    <w:jc w:val="center"/>
                    <w:rPr>
                      <w:rFonts w:hint="default" w:ascii="Times New Roman" w:hAnsi="Times New Roman" w:cs="Times New Roman"/>
                      <w:kern w:val="0"/>
                      <w:szCs w:val="21"/>
                    </w:rPr>
                  </w:pPr>
                </w:p>
              </w:tc>
              <w:tc>
                <w:tcPr>
                  <w:tcW w:w="4166" w:type="pct"/>
                  <w:vAlign w:val="center"/>
                </w:tcPr>
                <w:p w14:paraId="53F91FA2">
                  <w:pPr>
                    <w:widowControl/>
                    <w:ind w:firstLine="105" w:firstLineChars="50"/>
                    <w:jc w:val="left"/>
                    <w:rPr>
                      <w:rFonts w:hint="default" w:ascii="Times New Roman" w:hAnsi="Times New Roman" w:cs="Times New Roman"/>
                      <w:kern w:val="0"/>
                      <w:szCs w:val="21"/>
                    </w:rPr>
                  </w:pPr>
                  <w:r>
                    <w:rPr>
                      <w:rFonts w:hint="default" w:ascii="Times New Roman" w:hAnsi="Times New Roman" w:cs="Times New Roman"/>
                      <w:kern w:val="0"/>
                      <w:szCs w:val="21"/>
                    </w:rPr>
                    <w:t>5、污水处理产生的油泥，应设有专门的处置系统；</w:t>
                  </w:r>
                </w:p>
              </w:tc>
            </w:tr>
            <w:tr w14:paraId="4844AD49">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833" w:type="pct"/>
                  <w:vMerge w:val="continue"/>
                  <w:vAlign w:val="center"/>
                </w:tcPr>
                <w:p w14:paraId="78EE2BCB">
                  <w:pPr>
                    <w:widowControl/>
                    <w:jc w:val="center"/>
                    <w:rPr>
                      <w:rFonts w:hint="default" w:ascii="Times New Roman" w:hAnsi="Times New Roman" w:cs="Times New Roman"/>
                      <w:kern w:val="0"/>
                      <w:szCs w:val="21"/>
                    </w:rPr>
                  </w:pPr>
                </w:p>
              </w:tc>
              <w:tc>
                <w:tcPr>
                  <w:tcW w:w="4166" w:type="pct"/>
                  <w:vAlign w:val="center"/>
                </w:tcPr>
                <w:p w14:paraId="6413021B">
                  <w:pPr>
                    <w:widowControl/>
                    <w:ind w:firstLine="105" w:firstLineChars="50"/>
                    <w:jc w:val="left"/>
                    <w:rPr>
                      <w:rFonts w:hint="default" w:ascii="Times New Roman" w:hAnsi="Times New Roman" w:cs="Times New Roman"/>
                      <w:kern w:val="0"/>
                      <w:szCs w:val="21"/>
                    </w:rPr>
                  </w:pPr>
                  <w:r>
                    <w:rPr>
                      <w:rFonts w:hint="default" w:ascii="Times New Roman" w:hAnsi="Times New Roman" w:cs="Times New Roman"/>
                      <w:kern w:val="0"/>
                      <w:szCs w:val="21"/>
                    </w:rPr>
                    <w:t>6、无法达到相关排放标准的洗车污水不得直接排入环境、接纳水体或市政下水系统；</w:t>
                  </w:r>
                </w:p>
              </w:tc>
            </w:tr>
            <w:tr w14:paraId="12510EC0">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833" w:type="pct"/>
                  <w:vMerge w:val="continue"/>
                  <w:vAlign w:val="center"/>
                </w:tcPr>
                <w:p w14:paraId="0DB89D71">
                  <w:pPr>
                    <w:widowControl/>
                    <w:jc w:val="center"/>
                    <w:rPr>
                      <w:rFonts w:hint="default" w:ascii="Times New Roman" w:hAnsi="Times New Roman" w:cs="Times New Roman"/>
                      <w:kern w:val="0"/>
                      <w:szCs w:val="21"/>
                    </w:rPr>
                  </w:pPr>
                </w:p>
              </w:tc>
              <w:tc>
                <w:tcPr>
                  <w:tcW w:w="4166" w:type="pct"/>
                  <w:vAlign w:val="center"/>
                </w:tcPr>
                <w:p w14:paraId="7E7CBC4F">
                  <w:pPr>
                    <w:widowControl/>
                    <w:jc w:val="left"/>
                    <w:rPr>
                      <w:rFonts w:hint="default" w:ascii="Times New Roman" w:hAnsi="Times New Roman" w:cs="Times New Roman"/>
                      <w:kern w:val="0"/>
                      <w:szCs w:val="21"/>
                    </w:rPr>
                  </w:pPr>
                  <w:r>
                    <w:rPr>
                      <w:rFonts w:hint="default" w:ascii="Times New Roman" w:hAnsi="Times New Roman" w:cs="Times New Roman"/>
                      <w:kern w:val="0"/>
                      <w:szCs w:val="21"/>
                    </w:rPr>
                    <w:t xml:space="preserve"> 7、接纳洗车污水的水体和市政下水系统不得有任何因洗车污水排放造成的淤塞现象。</w:t>
                  </w:r>
                </w:p>
              </w:tc>
            </w:tr>
            <w:tr w14:paraId="4BAEFA66">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5000" w:type="pct"/>
                  <w:gridSpan w:val="2"/>
                  <w:vAlign w:val="center"/>
                </w:tcPr>
                <w:p w14:paraId="4AAF8C87">
                  <w:pPr>
                    <w:pStyle w:val="13"/>
                    <w:spacing w:after="0"/>
                    <w:ind w:left="0" w:leftChars="0"/>
                    <w:rPr>
                      <w:rFonts w:hint="default" w:ascii="Times New Roman" w:hAnsi="Times New Roman" w:cs="Times New Roman"/>
                      <w:sz w:val="21"/>
                      <w:szCs w:val="21"/>
                    </w:rPr>
                  </w:pPr>
                  <w:r>
                    <w:rPr>
                      <w:rFonts w:hint="default" w:ascii="Times New Roman" w:hAnsi="Times New Roman" w:cs="Times New Roman"/>
                      <w:sz w:val="21"/>
                      <w:szCs w:val="21"/>
                    </w:rPr>
                    <w:t>注*：“措施是否达标”根据基本要求来判定，每项控制措施的任意一项基本要求不达标，则控制措施视为不达标。</w:t>
                  </w:r>
                </w:p>
              </w:tc>
            </w:tr>
          </w:tbl>
          <w:p w14:paraId="12C8EF5A">
            <w:pPr>
              <w:pStyle w:val="13"/>
              <w:spacing w:after="0" w:line="360" w:lineRule="auto"/>
              <w:ind w:left="0" w:leftChars="0" w:firstLine="480"/>
              <w:rPr>
                <w:rFonts w:hint="default" w:ascii="Times New Roman" w:hAnsi="Times New Roman" w:cs="Times New Roman"/>
              </w:rPr>
            </w:pPr>
            <w:r>
              <w:rPr>
                <w:rFonts w:hint="default" w:ascii="Times New Roman" w:hAnsi="Times New Roman" w:cs="Times New Roman"/>
              </w:rPr>
              <w:t>根据本项目具体情况，按照上述指标进行核算：</w:t>
            </w:r>
          </w:p>
          <w:p w14:paraId="4193106F">
            <w:pPr>
              <w:pStyle w:val="13"/>
              <w:spacing w:after="0" w:line="360" w:lineRule="auto"/>
              <w:ind w:left="0" w:leftChars="0" w:firstLine="480"/>
              <w:rPr>
                <w:rFonts w:hint="default" w:ascii="Times New Roman" w:hAnsi="Times New Roman" w:cs="Times New Roman"/>
              </w:rPr>
            </w:pPr>
            <w:r>
              <w:rPr>
                <w:rFonts w:hint="default" w:ascii="Times New Roman" w:hAnsi="Times New Roman" w:cs="Times New Roman"/>
              </w:rPr>
              <w:t>基本排放量W</w:t>
            </w:r>
            <w:r>
              <w:rPr>
                <w:rFonts w:hint="default" w:ascii="Times New Roman" w:hAnsi="Times New Roman" w:cs="Times New Roman"/>
                <w:vertAlign w:val="subscript"/>
              </w:rPr>
              <w:t>B</w:t>
            </w:r>
            <w:r>
              <w:rPr>
                <w:rFonts w:hint="default" w:ascii="Times New Roman" w:hAnsi="Times New Roman" w:cs="Times New Roman"/>
              </w:rPr>
              <w:t>=A×B×T=0.4×6.6×2.0=5.28t</w:t>
            </w:r>
          </w:p>
          <w:p w14:paraId="41EA49C4">
            <w:pPr>
              <w:pStyle w:val="13"/>
              <w:spacing w:after="0" w:line="360" w:lineRule="auto"/>
              <w:ind w:left="0" w:leftChars="0" w:firstLine="480"/>
              <w:rPr>
                <w:rFonts w:hint="default" w:ascii="Times New Roman" w:hAnsi="Times New Roman" w:cs="Times New Roman"/>
              </w:rPr>
            </w:pPr>
            <w:r>
              <w:rPr>
                <w:rFonts w:hint="default" w:ascii="Times New Roman" w:hAnsi="Times New Roman" w:cs="Times New Roman"/>
              </w:rPr>
              <w:t>可控排放量W</w:t>
            </w:r>
            <w:r>
              <w:rPr>
                <w:rFonts w:hint="default" w:ascii="Times New Roman" w:hAnsi="Times New Roman" w:cs="Times New Roman"/>
                <w:vertAlign w:val="subscript"/>
              </w:rPr>
              <w:t>K</w:t>
            </w:r>
            <w:r>
              <w:rPr>
                <w:rFonts w:hint="default" w:ascii="Times New Roman" w:hAnsi="Times New Roman" w:cs="Times New Roman"/>
              </w:rPr>
              <w:t>= A×（P</w:t>
            </w:r>
            <w:r>
              <w:rPr>
                <w:rFonts w:hint="default" w:ascii="Times New Roman" w:hAnsi="Times New Roman" w:cs="Times New Roman"/>
                <w:vertAlign w:val="subscript"/>
              </w:rPr>
              <w:t>11</w:t>
            </w:r>
            <w:r>
              <w:rPr>
                <w:rFonts w:hint="default" w:ascii="Times New Roman" w:hAnsi="Times New Roman" w:cs="Times New Roman"/>
              </w:rPr>
              <w:t>+ P</w:t>
            </w:r>
            <w:r>
              <w:rPr>
                <w:rFonts w:hint="default" w:ascii="Times New Roman" w:hAnsi="Times New Roman" w:cs="Times New Roman"/>
                <w:vertAlign w:val="subscript"/>
              </w:rPr>
              <w:t>12</w:t>
            </w:r>
            <w:r>
              <w:rPr>
                <w:rFonts w:hint="default" w:ascii="Times New Roman" w:hAnsi="Times New Roman" w:cs="Times New Roman"/>
              </w:rPr>
              <w:t>+ P</w:t>
            </w:r>
            <w:r>
              <w:rPr>
                <w:rFonts w:hint="default" w:ascii="Times New Roman" w:hAnsi="Times New Roman" w:cs="Times New Roman"/>
                <w:vertAlign w:val="subscript"/>
              </w:rPr>
              <w:t>13</w:t>
            </w:r>
            <w:r>
              <w:rPr>
                <w:rFonts w:hint="default" w:ascii="Times New Roman" w:hAnsi="Times New Roman" w:cs="Times New Roman"/>
              </w:rPr>
              <w:t>+ P</w:t>
            </w:r>
            <w:r>
              <w:rPr>
                <w:rFonts w:hint="default" w:ascii="Times New Roman" w:hAnsi="Times New Roman" w:cs="Times New Roman"/>
                <w:vertAlign w:val="subscript"/>
              </w:rPr>
              <w:t>14</w:t>
            </w:r>
            <w:r>
              <w:rPr>
                <w:rFonts w:hint="default" w:ascii="Times New Roman" w:hAnsi="Times New Roman" w:cs="Times New Roman"/>
              </w:rPr>
              <w:t>+ P</w:t>
            </w:r>
            <w:r>
              <w:rPr>
                <w:rFonts w:hint="default" w:ascii="Times New Roman" w:hAnsi="Times New Roman" w:cs="Times New Roman"/>
                <w:vertAlign w:val="subscript"/>
              </w:rPr>
              <w:t>2</w:t>
            </w:r>
            <w:r>
              <w:rPr>
                <w:rFonts w:hint="default" w:ascii="Times New Roman" w:hAnsi="Times New Roman" w:cs="Times New Roman"/>
              </w:rPr>
              <w:t>）×T</w:t>
            </w:r>
          </w:p>
          <w:p w14:paraId="541CBD11">
            <w:pPr>
              <w:pStyle w:val="13"/>
              <w:spacing w:after="0" w:line="360" w:lineRule="auto"/>
              <w:ind w:left="0" w:leftChars="0" w:firstLine="480"/>
              <w:rPr>
                <w:rFonts w:hint="default" w:ascii="Times New Roman" w:hAnsi="Times New Roman" w:cs="Times New Roman"/>
              </w:rPr>
            </w:pPr>
            <w:r>
              <w:rPr>
                <w:rFonts w:hint="default" w:ascii="Times New Roman" w:hAnsi="Times New Roman" w:cs="Times New Roman"/>
              </w:rPr>
              <w:t xml:space="preserve">             =0.4×（0+0+0+0+3.4）×2.0</w:t>
            </w:r>
          </w:p>
          <w:p w14:paraId="6D8E1F59">
            <w:pPr>
              <w:pStyle w:val="13"/>
              <w:spacing w:after="0" w:line="360" w:lineRule="auto"/>
              <w:ind w:left="0" w:leftChars="0" w:firstLine="480"/>
              <w:rPr>
                <w:rFonts w:hint="default" w:ascii="Times New Roman" w:hAnsi="Times New Roman" w:cs="Times New Roman"/>
              </w:rPr>
            </w:pPr>
            <w:r>
              <w:rPr>
                <w:rFonts w:hint="default" w:ascii="Times New Roman" w:hAnsi="Times New Roman" w:cs="Times New Roman"/>
              </w:rPr>
              <w:t xml:space="preserve">             =2.72t</w:t>
            </w:r>
          </w:p>
          <w:p w14:paraId="005581F0">
            <w:pPr>
              <w:adjustRightInd w:val="0"/>
              <w:snapToGrid w:val="0"/>
              <w:spacing w:line="360" w:lineRule="auto"/>
              <w:ind w:firstLine="482"/>
              <w:rPr>
                <w:rFonts w:hint="default" w:ascii="Times New Roman" w:hAnsi="Times New Roman" w:cs="Times New Roman"/>
                <w:sz w:val="24"/>
              </w:rPr>
            </w:pPr>
            <w:r>
              <w:rPr>
                <w:rFonts w:hint="default" w:ascii="Times New Roman" w:hAnsi="Times New Roman" w:cs="Times New Roman"/>
                <w:sz w:val="24"/>
              </w:rPr>
              <w:t>建设项目施工工地扬尘排放量W=W</w:t>
            </w:r>
            <w:r>
              <w:rPr>
                <w:rFonts w:hint="default" w:ascii="Times New Roman" w:hAnsi="Times New Roman" w:cs="Times New Roman"/>
                <w:sz w:val="24"/>
                <w:vertAlign w:val="subscript"/>
              </w:rPr>
              <w:t>B</w:t>
            </w:r>
            <w:r>
              <w:rPr>
                <w:rFonts w:hint="default" w:ascii="Times New Roman" w:hAnsi="Times New Roman" w:cs="Times New Roman"/>
                <w:sz w:val="24"/>
              </w:rPr>
              <w:t>+W</w:t>
            </w:r>
            <w:r>
              <w:rPr>
                <w:rFonts w:hint="default" w:ascii="Times New Roman" w:hAnsi="Times New Roman" w:cs="Times New Roman"/>
                <w:sz w:val="24"/>
                <w:vertAlign w:val="subscript"/>
              </w:rPr>
              <w:t>K</w:t>
            </w:r>
            <w:r>
              <w:rPr>
                <w:rFonts w:hint="default" w:ascii="Times New Roman" w:hAnsi="Times New Roman" w:cs="Times New Roman"/>
                <w:sz w:val="24"/>
              </w:rPr>
              <w:t>=5.28+2.72=8t</w:t>
            </w:r>
          </w:p>
          <w:p w14:paraId="6B66772D">
            <w:pPr>
              <w:adjustRightInd w:val="0"/>
              <w:snapToGrid w:val="0"/>
              <w:spacing w:line="360" w:lineRule="auto"/>
              <w:ind w:firstLine="482"/>
              <w:rPr>
                <w:rFonts w:hint="default" w:ascii="Times New Roman" w:hAnsi="Times New Roman" w:cs="Times New Roman"/>
                <w:sz w:val="24"/>
              </w:rPr>
            </w:pPr>
            <w:r>
              <w:rPr>
                <w:rFonts w:hint="default" w:ascii="Times New Roman" w:hAnsi="Times New Roman" w:cs="Times New Roman"/>
                <w:sz w:val="24"/>
              </w:rPr>
              <w:t>根据有关试验表明：通过对施工地面设置遮挡并进行洒水抑尘，可有效地抑制扬尘的散发量，对比试验，结果见表4-4。</w:t>
            </w:r>
          </w:p>
          <w:p w14:paraId="54F6F2E2">
            <w:pPr>
              <w:pStyle w:val="10"/>
              <w:adjustRightInd w:val="0"/>
              <w:snapToGrid w:val="0"/>
              <w:spacing w:before="120" w:beforeLines="50" w:line="240" w:lineRule="auto"/>
              <w:rPr>
                <w:rFonts w:hint="default" w:ascii="Times New Roman" w:hAnsi="Times New Roman" w:cs="Times New Roman"/>
                <w:b/>
                <w:bCs/>
                <w:sz w:val="21"/>
                <w:szCs w:val="21"/>
              </w:rPr>
            </w:pPr>
            <w:r>
              <w:rPr>
                <w:rFonts w:hint="default" w:ascii="Times New Roman" w:hAnsi="Times New Roman" w:cs="Times New Roman"/>
                <w:b/>
                <w:bCs/>
                <w:sz w:val="21"/>
                <w:szCs w:val="21"/>
              </w:rPr>
              <w:t>表4-4  施工期扬尘类比监测结果</w:t>
            </w:r>
          </w:p>
          <w:tbl>
            <w:tblPr>
              <w:tblStyle w:val="34"/>
              <w:tblW w:w="0" w:type="auto"/>
              <w:jc w:val="center"/>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626"/>
              <w:gridCol w:w="1342"/>
              <w:gridCol w:w="888"/>
              <w:gridCol w:w="888"/>
              <w:gridCol w:w="888"/>
              <w:gridCol w:w="888"/>
              <w:gridCol w:w="888"/>
            </w:tblGrid>
            <w:tr w14:paraId="1F1E78AD">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85" w:hRule="atLeast"/>
                <w:jc w:val="center"/>
              </w:trPr>
              <w:tc>
                <w:tcPr>
                  <w:tcW w:w="3968" w:type="dxa"/>
                  <w:gridSpan w:val="2"/>
                  <w:vAlign w:val="center"/>
                </w:tcPr>
                <w:p w14:paraId="20D0A1CB">
                  <w:pPr>
                    <w:pStyle w:val="90"/>
                    <w:rPr>
                      <w:rFonts w:hint="default" w:ascii="Times New Roman" w:hAnsi="Times New Roman" w:cs="Times New Roman"/>
                    </w:rPr>
                  </w:pPr>
                  <w:r>
                    <w:rPr>
                      <w:rFonts w:hint="default" w:ascii="Times New Roman" w:hAnsi="Times New Roman" w:cs="Times New Roman"/>
                    </w:rPr>
                    <w:t>与管线距离</w:t>
                  </w:r>
                </w:p>
              </w:tc>
              <w:tc>
                <w:tcPr>
                  <w:tcW w:w="888" w:type="dxa"/>
                  <w:vAlign w:val="center"/>
                </w:tcPr>
                <w:p w14:paraId="7EDBAC7A">
                  <w:pPr>
                    <w:pStyle w:val="90"/>
                    <w:rPr>
                      <w:rFonts w:hint="default" w:ascii="Times New Roman" w:hAnsi="Times New Roman" w:cs="Times New Roman"/>
                    </w:rPr>
                  </w:pPr>
                  <w:r>
                    <w:rPr>
                      <w:rFonts w:hint="default" w:ascii="Times New Roman" w:hAnsi="Times New Roman" w:cs="Times New Roman"/>
                    </w:rPr>
                    <w:t>0</w:t>
                  </w:r>
                </w:p>
              </w:tc>
              <w:tc>
                <w:tcPr>
                  <w:tcW w:w="888" w:type="dxa"/>
                  <w:vAlign w:val="center"/>
                </w:tcPr>
                <w:p w14:paraId="4C74CC51">
                  <w:pPr>
                    <w:pStyle w:val="90"/>
                    <w:rPr>
                      <w:rFonts w:hint="default" w:ascii="Times New Roman" w:hAnsi="Times New Roman" w:cs="Times New Roman"/>
                    </w:rPr>
                  </w:pPr>
                  <w:r>
                    <w:rPr>
                      <w:rFonts w:hint="default" w:ascii="Times New Roman" w:hAnsi="Times New Roman" w:cs="Times New Roman"/>
                    </w:rPr>
                    <w:t>20</w:t>
                  </w:r>
                </w:p>
              </w:tc>
              <w:tc>
                <w:tcPr>
                  <w:tcW w:w="888" w:type="dxa"/>
                  <w:vAlign w:val="center"/>
                </w:tcPr>
                <w:p w14:paraId="37CF0CFA">
                  <w:pPr>
                    <w:pStyle w:val="90"/>
                    <w:rPr>
                      <w:rFonts w:hint="default" w:ascii="Times New Roman" w:hAnsi="Times New Roman" w:cs="Times New Roman"/>
                    </w:rPr>
                  </w:pPr>
                  <w:r>
                    <w:rPr>
                      <w:rFonts w:hint="default" w:ascii="Times New Roman" w:hAnsi="Times New Roman" w:cs="Times New Roman"/>
                    </w:rPr>
                    <w:t>50</w:t>
                  </w:r>
                </w:p>
              </w:tc>
              <w:tc>
                <w:tcPr>
                  <w:tcW w:w="888" w:type="dxa"/>
                  <w:vAlign w:val="center"/>
                </w:tcPr>
                <w:p w14:paraId="1D31AC96">
                  <w:pPr>
                    <w:pStyle w:val="90"/>
                    <w:rPr>
                      <w:rFonts w:hint="default" w:ascii="Times New Roman" w:hAnsi="Times New Roman" w:cs="Times New Roman"/>
                    </w:rPr>
                  </w:pPr>
                  <w:r>
                    <w:rPr>
                      <w:rFonts w:hint="default" w:ascii="Times New Roman" w:hAnsi="Times New Roman" w:cs="Times New Roman"/>
                    </w:rPr>
                    <w:t>100</w:t>
                  </w:r>
                </w:p>
              </w:tc>
              <w:tc>
                <w:tcPr>
                  <w:tcW w:w="888" w:type="dxa"/>
                  <w:vAlign w:val="center"/>
                </w:tcPr>
                <w:p w14:paraId="15B6C133">
                  <w:pPr>
                    <w:pStyle w:val="90"/>
                    <w:rPr>
                      <w:rFonts w:hint="default" w:ascii="Times New Roman" w:hAnsi="Times New Roman" w:cs="Times New Roman"/>
                    </w:rPr>
                  </w:pPr>
                  <w:r>
                    <w:rPr>
                      <w:rFonts w:hint="default" w:ascii="Times New Roman" w:hAnsi="Times New Roman" w:cs="Times New Roman"/>
                    </w:rPr>
                    <w:t>200</w:t>
                  </w:r>
                </w:p>
              </w:tc>
            </w:tr>
            <w:tr w14:paraId="39D8B3F6">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5" w:hRule="atLeast"/>
                <w:jc w:val="center"/>
              </w:trPr>
              <w:tc>
                <w:tcPr>
                  <w:tcW w:w="2626" w:type="dxa"/>
                  <w:vMerge w:val="restart"/>
                  <w:vAlign w:val="center"/>
                </w:tcPr>
                <w:p w14:paraId="6F0852B2">
                  <w:pPr>
                    <w:pStyle w:val="90"/>
                    <w:rPr>
                      <w:rFonts w:hint="default" w:ascii="Times New Roman" w:hAnsi="Times New Roman" w:cs="Times New Roman"/>
                    </w:rPr>
                  </w:pPr>
                  <w:r>
                    <w:rPr>
                      <w:rFonts w:hint="default" w:ascii="Times New Roman" w:hAnsi="Times New Roman" w:cs="Times New Roman"/>
                    </w:rPr>
                    <w:t>TSP(mg/m</w:t>
                  </w:r>
                  <w:r>
                    <w:rPr>
                      <w:rFonts w:hint="default" w:ascii="Times New Roman" w:hAnsi="Times New Roman" w:cs="Times New Roman"/>
                      <w:vertAlign w:val="superscript"/>
                    </w:rPr>
                    <w:t>3</w:t>
                  </w:r>
                  <w:r>
                    <w:rPr>
                      <w:rFonts w:hint="default" w:ascii="Times New Roman" w:hAnsi="Times New Roman" w:cs="Times New Roman"/>
                    </w:rPr>
                    <w:t>)</w:t>
                  </w:r>
                </w:p>
              </w:tc>
              <w:tc>
                <w:tcPr>
                  <w:tcW w:w="1342" w:type="dxa"/>
                  <w:vAlign w:val="center"/>
                </w:tcPr>
                <w:p w14:paraId="2D596C4E">
                  <w:pPr>
                    <w:pStyle w:val="90"/>
                    <w:rPr>
                      <w:rFonts w:hint="default" w:ascii="Times New Roman" w:hAnsi="Times New Roman" w:cs="Times New Roman"/>
                    </w:rPr>
                  </w:pPr>
                  <w:r>
                    <w:rPr>
                      <w:rFonts w:hint="default" w:ascii="Times New Roman" w:hAnsi="Times New Roman" w:cs="Times New Roman"/>
                    </w:rPr>
                    <w:t>不洒水</w:t>
                  </w:r>
                </w:p>
              </w:tc>
              <w:tc>
                <w:tcPr>
                  <w:tcW w:w="888" w:type="dxa"/>
                  <w:vAlign w:val="center"/>
                </w:tcPr>
                <w:p w14:paraId="5A9CA6B4">
                  <w:pPr>
                    <w:pStyle w:val="90"/>
                    <w:rPr>
                      <w:rFonts w:hint="default" w:ascii="Times New Roman" w:hAnsi="Times New Roman" w:cs="Times New Roman"/>
                    </w:rPr>
                  </w:pPr>
                  <w:r>
                    <w:rPr>
                      <w:rFonts w:hint="default" w:ascii="Times New Roman" w:hAnsi="Times New Roman" w:cs="Times New Roman"/>
                    </w:rPr>
                    <w:t>11.03</w:t>
                  </w:r>
                </w:p>
              </w:tc>
              <w:tc>
                <w:tcPr>
                  <w:tcW w:w="888" w:type="dxa"/>
                  <w:vAlign w:val="center"/>
                </w:tcPr>
                <w:p w14:paraId="46B43456">
                  <w:pPr>
                    <w:pStyle w:val="90"/>
                    <w:rPr>
                      <w:rFonts w:hint="default" w:ascii="Times New Roman" w:hAnsi="Times New Roman" w:cs="Times New Roman"/>
                    </w:rPr>
                  </w:pPr>
                  <w:r>
                    <w:rPr>
                      <w:rFonts w:hint="default" w:ascii="Times New Roman" w:hAnsi="Times New Roman" w:cs="Times New Roman"/>
                    </w:rPr>
                    <w:t>2.89</w:t>
                  </w:r>
                </w:p>
              </w:tc>
              <w:tc>
                <w:tcPr>
                  <w:tcW w:w="888" w:type="dxa"/>
                  <w:vAlign w:val="center"/>
                </w:tcPr>
                <w:p w14:paraId="0A48A522">
                  <w:pPr>
                    <w:pStyle w:val="90"/>
                    <w:rPr>
                      <w:rFonts w:hint="default" w:ascii="Times New Roman" w:hAnsi="Times New Roman" w:cs="Times New Roman"/>
                    </w:rPr>
                  </w:pPr>
                  <w:r>
                    <w:rPr>
                      <w:rFonts w:hint="default" w:ascii="Times New Roman" w:hAnsi="Times New Roman" w:cs="Times New Roman"/>
                    </w:rPr>
                    <w:t>1.15</w:t>
                  </w:r>
                </w:p>
              </w:tc>
              <w:tc>
                <w:tcPr>
                  <w:tcW w:w="888" w:type="dxa"/>
                  <w:vAlign w:val="center"/>
                </w:tcPr>
                <w:p w14:paraId="1FF3AD52">
                  <w:pPr>
                    <w:pStyle w:val="90"/>
                    <w:rPr>
                      <w:rFonts w:hint="default" w:ascii="Times New Roman" w:hAnsi="Times New Roman" w:cs="Times New Roman"/>
                    </w:rPr>
                  </w:pPr>
                  <w:r>
                    <w:rPr>
                      <w:rFonts w:hint="default" w:ascii="Times New Roman" w:hAnsi="Times New Roman" w:cs="Times New Roman"/>
                    </w:rPr>
                    <w:t>0.86</w:t>
                  </w:r>
                </w:p>
              </w:tc>
              <w:tc>
                <w:tcPr>
                  <w:tcW w:w="888" w:type="dxa"/>
                  <w:vAlign w:val="center"/>
                </w:tcPr>
                <w:p w14:paraId="624CDD75">
                  <w:pPr>
                    <w:pStyle w:val="90"/>
                    <w:rPr>
                      <w:rFonts w:hint="default" w:ascii="Times New Roman" w:hAnsi="Times New Roman" w:cs="Times New Roman"/>
                    </w:rPr>
                  </w:pPr>
                  <w:r>
                    <w:rPr>
                      <w:rFonts w:hint="default" w:ascii="Times New Roman" w:hAnsi="Times New Roman" w:cs="Times New Roman"/>
                    </w:rPr>
                    <w:t>0.56</w:t>
                  </w:r>
                </w:p>
              </w:tc>
            </w:tr>
            <w:tr w14:paraId="4B340185">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5" w:hRule="atLeast"/>
                <w:jc w:val="center"/>
              </w:trPr>
              <w:tc>
                <w:tcPr>
                  <w:tcW w:w="2626" w:type="dxa"/>
                  <w:vMerge w:val="continue"/>
                  <w:vAlign w:val="center"/>
                </w:tcPr>
                <w:p w14:paraId="497CB1C5">
                  <w:pPr>
                    <w:pStyle w:val="90"/>
                    <w:rPr>
                      <w:rFonts w:hint="default" w:ascii="Times New Roman" w:hAnsi="Times New Roman" w:cs="Times New Roman"/>
                    </w:rPr>
                  </w:pPr>
                </w:p>
              </w:tc>
              <w:tc>
                <w:tcPr>
                  <w:tcW w:w="1342" w:type="dxa"/>
                  <w:vAlign w:val="center"/>
                </w:tcPr>
                <w:p w14:paraId="4FBC9E65">
                  <w:pPr>
                    <w:pStyle w:val="90"/>
                    <w:rPr>
                      <w:rFonts w:hint="default" w:ascii="Times New Roman" w:hAnsi="Times New Roman" w:cs="Times New Roman"/>
                    </w:rPr>
                  </w:pPr>
                  <w:r>
                    <w:rPr>
                      <w:rFonts w:hint="default" w:ascii="Times New Roman" w:hAnsi="Times New Roman" w:cs="Times New Roman"/>
                    </w:rPr>
                    <w:t>洒水</w:t>
                  </w:r>
                </w:p>
              </w:tc>
              <w:tc>
                <w:tcPr>
                  <w:tcW w:w="888" w:type="dxa"/>
                  <w:vAlign w:val="center"/>
                </w:tcPr>
                <w:p w14:paraId="12155BA4">
                  <w:pPr>
                    <w:pStyle w:val="90"/>
                    <w:rPr>
                      <w:rFonts w:hint="default" w:ascii="Times New Roman" w:hAnsi="Times New Roman" w:cs="Times New Roman"/>
                    </w:rPr>
                  </w:pPr>
                  <w:r>
                    <w:rPr>
                      <w:rFonts w:hint="default" w:ascii="Times New Roman" w:hAnsi="Times New Roman" w:cs="Times New Roman"/>
                    </w:rPr>
                    <w:t>1.81</w:t>
                  </w:r>
                </w:p>
              </w:tc>
              <w:tc>
                <w:tcPr>
                  <w:tcW w:w="888" w:type="dxa"/>
                  <w:vAlign w:val="center"/>
                </w:tcPr>
                <w:p w14:paraId="586958FA">
                  <w:pPr>
                    <w:pStyle w:val="90"/>
                    <w:rPr>
                      <w:rFonts w:hint="default" w:ascii="Times New Roman" w:hAnsi="Times New Roman" w:cs="Times New Roman"/>
                    </w:rPr>
                  </w:pPr>
                  <w:r>
                    <w:rPr>
                      <w:rFonts w:hint="default" w:ascii="Times New Roman" w:hAnsi="Times New Roman" w:cs="Times New Roman"/>
                    </w:rPr>
                    <w:t>0.76</w:t>
                  </w:r>
                </w:p>
              </w:tc>
              <w:tc>
                <w:tcPr>
                  <w:tcW w:w="888" w:type="dxa"/>
                  <w:vAlign w:val="center"/>
                </w:tcPr>
                <w:p w14:paraId="5C8743B6">
                  <w:pPr>
                    <w:pStyle w:val="90"/>
                    <w:rPr>
                      <w:rFonts w:hint="default" w:ascii="Times New Roman" w:hAnsi="Times New Roman" w:cs="Times New Roman"/>
                    </w:rPr>
                  </w:pPr>
                  <w:r>
                    <w:rPr>
                      <w:rFonts w:hint="default" w:ascii="Times New Roman" w:hAnsi="Times New Roman" w:cs="Times New Roman"/>
                    </w:rPr>
                    <w:t>0.68</w:t>
                  </w:r>
                </w:p>
              </w:tc>
              <w:tc>
                <w:tcPr>
                  <w:tcW w:w="888" w:type="dxa"/>
                  <w:vAlign w:val="center"/>
                </w:tcPr>
                <w:p w14:paraId="4C3D959A">
                  <w:pPr>
                    <w:pStyle w:val="90"/>
                    <w:rPr>
                      <w:rFonts w:hint="default" w:ascii="Times New Roman" w:hAnsi="Times New Roman" w:cs="Times New Roman"/>
                    </w:rPr>
                  </w:pPr>
                  <w:r>
                    <w:rPr>
                      <w:rFonts w:hint="default" w:ascii="Times New Roman" w:hAnsi="Times New Roman" w:cs="Times New Roman"/>
                    </w:rPr>
                    <w:t>0.60</w:t>
                  </w:r>
                </w:p>
              </w:tc>
              <w:tc>
                <w:tcPr>
                  <w:tcW w:w="888" w:type="dxa"/>
                  <w:vAlign w:val="center"/>
                </w:tcPr>
                <w:p w14:paraId="71A111C7">
                  <w:pPr>
                    <w:pStyle w:val="90"/>
                    <w:rPr>
                      <w:rFonts w:hint="default" w:ascii="Times New Roman" w:hAnsi="Times New Roman" w:cs="Times New Roman"/>
                    </w:rPr>
                  </w:pPr>
                  <w:r>
                    <w:rPr>
                      <w:rFonts w:hint="default" w:ascii="Times New Roman" w:hAnsi="Times New Roman" w:cs="Times New Roman"/>
                    </w:rPr>
                    <w:t>0.29</w:t>
                  </w:r>
                </w:p>
              </w:tc>
            </w:tr>
          </w:tbl>
          <w:p w14:paraId="252B1978">
            <w:pPr>
              <w:adjustRightInd w:val="0"/>
              <w:snapToGrid w:val="0"/>
              <w:spacing w:line="360" w:lineRule="auto"/>
              <w:ind w:firstLine="482"/>
              <w:rPr>
                <w:rFonts w:hint="default" w:ascii="Times New Roman" w:hAnsi="Times New Roman" w:cs="Times New Roman"/>
                <w:sz w:val="24"/>
              </w:rPr>
            </w:pPr>
            <w:r>
              <w:rPr>
                <w:rFonts w:hint="default" w:ascii="Times New Roman" w:hAnsi="Times New Roman" w:cs="Times New Roman"/>
                <w:sz w:val="24"/>
              </w:rPr>
              <w:t>通过洒水抑尘等措施，确保施工期扬尘满足《施工及堆料场地扬尘排放标准》（DB21 2642-2016）的要求。</w:t>
            </w:r>
          </w:p>
          <w:p w14:paraId="017CD562">
            <w:pPr>
              <w:adjustRightInd w:val="0"/>
              <w:snapToGrid w:val="0"/>
              <w:spacing w:line="360" w:lineRule="auto"/>
              <w:ind w:firstLine="482"/>
              <w:rPr>
                <w:rFonts w:hint="default" w:ascii="Times New Roman" w:hAnsi="Times New Roman" w:cs="Times New Roman"/>
                <w:sz w:val="24"/>
              </w:rPr>
            </w:pPr>
            <w:r>
              <w:rPr>
                <w:rFonts w:hint="default" w:ascii="Times New Roman" w:hAnsi="Times New Roman" w:cs="Times New Roman"/>
                <w:sz w:val="24"/>
              </w:rPr>
              <w:t>（2）施工机械、运输车辆废气</w:t>
            </w:r>
          </w:p>
          <w:p w14:paraId="2D12BA57">
            <w:pPr>
              <w:adjustRightInd w:val="0"/>
              <w:snapToGrid w:val="0"/>
              <w:spacing w:line="360" w:lineRule="auto"/>
              <w:ind w:firstLine="482"/>
              <w:rPr>
                <w:rFonts w:hint="default" w:ascii="Times New Roman" w:hAnsi="Times New Roman" w:cs="Times New Roman"/>
                <w:sz w:val="24"/>
              </w:rPr>
            </w:pPr>
            <w:r>
              <w:rPr>
                <w:rFonts w:hint="default" w:ascii="Times New Roman" w:hAnsi="Times New Roman" w:cs="Times New Roman"/>
                <w:sz w:val="24"/>
              </w:rPr>
              <w:t>施工期间内机动车辆行驶和燃油施工机械运行将排放一定量的CO、NOx以及THC等，其特点是排放量小，属间断性排放。本项目施工场地开阔，扩散条件良好，因此施工机械废气对环境影响较小。</w:t>
            </w:r>
          </w:p>
          <w:p w14:paraId="428355C0">
            <w:pPr>
              <w:adjustRightInd w:val="0"/>
              <w:snapToGrid w:val="0"/>
              <w:spacing w:line="360" w:lineRule="auto"/>
              <w:ind w:firstLine="482"/>
              <w:rPr>
                <w:rFonts w:hint="default" w:ascii="Times New Roman" w:hAnsi="Times New Roman" w:cs="Times New Roman"/>
                <w:sz w:val="24"/>
              </w:rPr>
            </w:pPr>
            <w:r>
              <w:rPr>
                <w:rFonts w:hint="default" w:ascii="Times New Roman" w:hAnsi="Times New Roman" w:cs="Times New Roman"/>
                <w:sz w:val="24"/>
              </w:rPr>
              <w:t>本工程施工过程会对周围大气环境产生轻微影响，只要在施工时加强管理，采取必要的防治措施，如避免在大风天气下施工、对容易起尘的施工地面喷洒适量的水等，可以大大减少施工扬尘对周围环境空气和周围环境敏感点的影响。</w:t>
            </w:r>
          </w:p>
          <w:p w14:paraId="437D8A4B">
            <w:pPr>
              <w:spacing w:line="360" w:lineRule="auto"/>
              <w:ind w:firstLine="482" w:firstLineChars="200"/>
              <w:jc w:val="left"/>
              <w:rPr>
                <w:rFonts w:hint="default" w:ascii="Times New Roman" w:hAnsi="Times New Roman" w:cs="Times New Roman"/>
                <w:b/>
                <w:bCs/>
                <w:sz w:val="24"/>
              </w:rPr>
            </w:pPr>
            <w:r>
              <w:rPr>
                <w:rFonts w:hint="default" w:ascii="Times New Roman" w:hAnsi="Times New Roman" w:cs="Times New Roman"/>
                <w:b/>
                <w:bCs/>
                <w:sz w:val="24"/>
              </w:rPr>
              <w:t>4.水环境</w:t>
            </w:r>
          </w:p>
          <w:p w14:paraId="422F31D1">
            <w:pPr>
              <w:pStyle w:val="126"/>
              <w:spacing w:line="360" w:lineRule="auto"/>
              <w:ind w:firstLine="480"/>
              <w:rPr>
                <w:rFonts w:hint="default" w:ascii="Times New Roman" w:hAnsi="Times New Roman" w:cs="Times New Roman"/>
                <w:sz w:val="24"/>
              </w:rPr>
            </w:pPr>
            <w:r>
              <w:rPr>
                <w:rFonts w:hint="default" w:ascii="Times New Roman" w:hAnsi="Times New Roman" w:cs="Times New Roman"/>
                <w:sz w:val="24"/>
              </w:rPr>
              <w:t>施工期废水主要有施工人员生活污水和施工废水。为了减轻施工期废水对环境的影响，采取了如下措施：</w:t>
            </w:r>
          </w:p>
          <w:p w14:paraId="2796FF36">
            <w:pPr>
              <w:pStyle w:val="126"/>
              <w:spacing w:line="360" w:lineRule="auto"/>
              <w:ind w:left="420" w:leftChars="200" w:firstLine="0" w:firstLineChars="0"/>
              <w:rPr>
                <w:rFonts w:hint="default" w:ascii="Times New Roman" w:hAnsi="Times New Roman" w:cs="Times New Roman"/>
                <w:sz w:val="24"/>
              </w:rPr>
            </w:pPr>
            <w:r>
              <w:rPr>
                <w:rFonts w:hint="default" w:ascii="Times New Roman" w:hAnsi="Times New Roman" w:cs="Times New Roman"/>
                <w:sz w:val="24"/>
              </w:rPr>
              <w:t>（1）施工人员生活污水</w:t>
            </w:r>
          </w:p>
          <w:p w14:paraId="66C97DC0">
            <w:pPr>
              <w:pStyle w:val="126"/>
              <w:spacing w:line="360" w:lineRule="auto"/>
              <w:ind w:firstLine="480"/>
              <w:rPr>
                <w:rFonts w:hint="default" w:ascii="Times New Roman" w:hAnsi="Times New Roman" w:cs="Times New Roman"/>
                <w:sz w:val="24"/>
              </w:rPr>
            </w:pPr>
            <w:r>
              <w:rPr>
                <w:rFonts w:hint="default" w:ascii="Times New Roman" w:hAnsi="Times New Roman" w:cs="Times New Roman"/>
                <w:sz w:val="24"/>
              </w:rPr>
              <w:t>施工人员生活污水主要为清洗废水，水质简单，可用于厂区地面抑尘，对地表水环境影响较小。</w:t>
            </w:r>
          </w:p>
          <w:p w14:paraId="5AEA255C">
            <w:pPr>
              <w:pStyle w:val="126"/>
              <w:spacing w:line="360" w:lineRule="auto"/>
              <w:ind w:firstLine="480"/>
              <w:rPr>
                <w:rFonts w:hint="default" w:ascii="Times New Roman" w:hAnsi="Times New Roman" w:cs="Times New Roman"/>
                <w:sz w:val="24"/>
              </w:rPr>
            </w:pPr>
            <w:r>
              <w:rPr>
                <w:rFonts w:hint="default" w:ascii="Times New Roman" w:hAnsi="Times New Roman" w:cs="Times New Roman"/>
                <w:sz w:val="24"/>
              </w:rPr>
              <w:t>（2）施工废水</w:t>
            </w:r>
          </w:p>
          <w:p w14:paraId="63A828DD">
            <w:pPr>
              <w:pStyle w:val="18"/>
              <w:spacing w:line="360" w:lineRule="auto"/>
              <w:ind w:left="0" w:leftChars="0" w:firstLine="480" w:firstLineChars="200"/>
              <w:rPr>
                <w:rFonts w:hint="default" w:ascii="Times New Roman" w:hAnsi="Times New Roman" w:cs="Times New Roman"/>
              </w:rPr>
            </w:pPr>
            <w:r>
              <w:rPr>
                <w:rFonts w:hint="default" w:ascii="Times New Roman" w:hAnsi="Times New Roman" w:cs="Times New Roman"/>
                <w:sz w:val="24"/>
              </w:rPr>
              <w:t>施工废水包括施工生产废水及车辆、机械检修清洗水。施工生产废水主要为施工材料被雨水冲刷形成的污水以及施工机械跑、冒、滴、漏的油污随地表径流形成的污水。施工生产废水主要含悬浮物，施工现场设立了临时沉淀池，施工废水流入沉淀池当中，经沉淀后将上清液循环使用于施工生产，既可减少新鲜水的用量，又可降低施工成本，同时避免对当地土壤和地下水环境产生不利影响。</w:t>
            </w:r>
          </w:p>
        </w:tc>
      </w:tr>
      <w:tr w14:paraId="5DE9652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62" w:hRule="atLeast"/>
          <w:jc w:val="center"/>
        </w:trPr>
        <w:tc>
          <w:tcPr>
            <w:tcW w:w="291" w:type="dxa"/>
            <w:tcMar>
              <w:left w:w="28" w:type="dxa"/>
              <w:right w:w="28" w:type="dxa"/>
            </w:tcMar>
            <w:vAlign w:val="center"/>
          </w:tcPr>
          <w:p w14:paraId="0E62AC6A">
            <w:pPr>
              <w:adjustRightInd w:val="0"/>
              <w:snapToGrid w:val="0"/>
              <w:jc w:val="center"/>
              <w:rPr>
                <w:rFonts w:hint="default" w:ascii="Times New Roman" w:hAnsi="Times New Roman" w:cs="Times New Roman"/>
                <w:bCs/>
                <w:sz w:val="24"/>
              </w:rPr>
            </w:pPr>
            <w:r>
              <w:rPr>
                <w:rFonts w:hint="default" w:ascii="Times New Roman" w:hAnsi="Times New Roman" w:cs="Times New Roman"/>
                <w:bCs/>
                <w:sz w:val="24"/>
              </w:rPr>
              <w:t>运营</w:t>
            </w:r>
          </w:p>
          <w:p w14:paraId="7A7D20AB">
            <w:pPr>
              <w:adjustRightInd w:val="0"/>
              <w:snapToGrid w:val="0"/>
              <w:jc w:val="center"/>
              <w:rPr>
                <w:rFonts w:hint="default" w:ascii="Times New Roman" w:hAnsi="Times New Roman" w:cs="Times New Roman"/>
                <w:bCs/>
                <w:sz w:val="24"/>
              </w:rPr>
            </w:pPr>
            <w:r>
              <w:rPr>
                <w:rFonts w:hint="default" w:ascii="Times New Roman" w:hAnsi="Times New Roman" w:cs="Times New Roman"/>
                <w:bCs/>
                <w:sz w:val="24"/>
              </w:rPr>
              <w:t>期环</w:t>
            </w:r>
          </w:p>
          <w:p w14:paraId="2D5B28DF">
            <w:pPr>
              <w:adjustRightInd w:val="0"/>
              <w:snapToGrid w:val="0"/>
              <w:jc w:val="center"/>
              <w:rPr>
                <w:rFonts w:hint="default" w:ascii="Times New Roman" w:hAnsi="Times New Roman" w:cs="Times New Roman"/>
                <w:bCs/>
                <w:sz w:val="24"/>
              </w:rPr>
            </w:pPr>
            <w:r>
              <w:rPr>
                <w:rFonts w:hint="default" w:ascii="Times New Roman" w:hAnsi="Times New Roman" w:cs="Times New Roman"/>
                <w:bCs/>
                <w:sz w:val="24"/>
              </w:rPr>
              <w:t>境影</w:t>
            </w:r>
          </w:p>
          <w:p w14:paraId="1D3BCA75">
            <w:pPr>
              <w:adjustRightInd w:val="0"/>
              <w:snapToGrid w:val="0"/>
              <w:jc w:val="center"/>
              <w:rPr>
                <w:rFonts w:hint="default" w:ascii="Times New Roman" w:hAnsi="Times New Roman" w:cs="Times New Roman"/>
                <w:bCs/>
                <w:sz w:val="24"/>
              </w:rPr>
            </w:pPr>
            <w:r>
              <w:rPr>
                <w:rFonts w:hint="default" w:ascii="Times New Roman" w:hAnsi="Times New Roman" w:cs="Times New Roman"/>
                <w:bCs/>
                <w:sz w:val="24"/>
              </w:rPr>
              <w:t>响和</w:t>
            </w:r>
          </w:p>
          <w:p w14:paraId="19D29D02">
            <w:pPr>
              <w:adjustRightInd w:val="0"/>
              <w:snapToGrid w:val="0"/>
              <w:jc w:val="center"/>
              <w:rPr>
                <w:rFonts w:hint="default" w:ascii="Times New Roman" w:hAnsi="Times New Roman" w:cs="Times New Roman"/>
                <w:bCs/>
                <w:sz w:val="24"/>
              </w:rPr>
            </w:pPr>
            <w:r>
              <w:rPr>
                <w:rFonts w:hint="default" w:ascii="Times New Roman" w:hAnsi="Times New Roman" w:cs="Times New Roman"/>
                <w:bCs/>
                <w:sz w:val="24"/>
              </w:rPr>
              <w:t>保护</w:t>
            </w:r>
          </w:p>
          <w:p w14:paraId="3FDE1989">
            <w:pPr>
              <w:adjustRightInd w:val="0"/>
              <w:snapToGrid w:val="0"/>
              <w:jc w:val="center"/>
              <w:rPr>
                <w:rFonts w:hint="default" w:ascii="Times New Roman" w:hAnsi="Times New Roman" w:cs="Times New Roman"/>
                <w:bCs/>
                <w:szCs w:val="21"/>
              </w:rPr>
            </w:pPr>
            <w:r>
              <w:rPr>
                <w:rFonts w:hint="default" w:ascii="Times New Roman" w:hAnsi="Times New Roman" w:cs="Times New Roman"/>
                <w:bCs/>
                <w:sz w:val="24"/>
              </w:rPr>
              <w:t>措施</w:t>
            </w:r>
          </w:p>
        </w:tc>
        <w:tc>
          <w:tcPr>
            <w:tcW w:w="8690" w:type="dxa"/>
            <w:vAlign w:val="center"/>
          </w:tcPr>
          <w:p w14:paraId="4686855F">
            <w:pPr>
              <w:adjustRightInd w:val="0"/>
              <w:snapToGrid w:val="0"/>
              <w:spacing w:line="360" w:lineRule="auto"/>
              <w:rPr>
                <w:rFonts w:hint="default" w:ascii="Times New Roman" w:hAnsi="Times New Roman" w:cs="Times New Roman"/>
                <w:b/>
                <w:spacing w:val="-10"/>
                <w:sz w:val="24"/>
              </w:rPr>
            </w:pPr>
            <w:r>
              <w:rPr>
                <w:rFonts w:hint="default" w:ascii="Times New Roman" w:hAnsi="Times New Roman" w:cs="Times New Roman"/>
                <w:b/>
                <w:spacing w:val="-10"/>
                <w:sz w:val="24"/>
              </w:rPr>
              <w:t>一、废气</w:t>
            </w:r>
          </w:p>
          <w:p w14:paraId="31B756DE">
            <w:pPr>
              <w:autoSpaceDE w:val="0"/>
              <w:autoSpaceDN w:val="0"/>
              <w:adjustRightInd w:val="0"/>
              <w:snapToGrid w:val="0"/>
              <w:spacing w:line="360" w:lineRule="auto"/>
              <w:ind w:firstLine="482" w:firstLineChars="200"/>
              <w:rPr>
                <w:rFonts w:hint="default" w:ascii="Times New Roman" w:hAnsi="Times New Roman" w:cs="Times New Roman"/>
                <w:b/>
                <w:bCs/>
                <w:sz w:val="24"/>
              </w:rPr>
            </w:pPr>
            <w:r>
              <w:rPr>
                <w:rFonts w:hint="default" w:ascii="Times New Roman" w:hAnsi="Times New Roman" w:cs="Times New Roman"/>
                <w:b/>
                <w:bCs/>
                <w:sz w:val="24"/>
              </w:rPr>
              <w:t>1.污染源强计算</w:t>
            </w:r>
          </w:p>
          <w:p w14:paraId="618C55D1">
            <w:pPr>
              <w:spacing w:line="360" w:lineRule="auto"/>
              <w:ind w:firstLine="480"/>
              <w:jc w:val="left"/>
              <w:rPr>
                <w:rFonts w:hint="default" w:ascii="Times New Roman" w:hAnsi="Times New Roman" w:cs="Times New Roman"/>
              </w:rPr>
            </w:pPr>
            <w:r>
              <w:rPr>
                <w:rFonts w:hint="default" w:ascii="Times New Roman" w:hAnsi="Times New Roman" w:cs="Times New Roman"/>
                <w:color w:val="000000"/>
                <w:sz w:val="24"/>
              </w:rPr>
              <w:t>项目营运期废气污染源主要有：废油液抽取及精细拆解过程中挥发的有机废气（G1）、空调制冷剂抽取过程中挥发的有机废气（G2）、汽车拆解过程中产生的废钢破碎粉尘（G3）、汽车拆解过程中产生的废钢打包粉尘（G4）、废橡胶破碎烟尘（G5）</w:t>
            </w:r>
            <w:r>
              <w:rPr>
                <w:rFonts w:hint="default" w:ascii="Times New Roman" w:hAnsi="Times New Roman" w:cs="Times New Roman"/>
                <w:color w:val="000000"/>
                <w:sz w:val="24"/>
                <w:lang w:eastAsia="zh-CN"/>
              </w:rPr>
              <w:t>、</w:t>
            </w:r>
            <w:r>
              <w:rPr>
                <w:rFonts w:hint="default" w:ascii="Times New Roman" w:hAnsi="Times New Roman" w:cs="Times New Roman"/>
                <w:bCs/>
                <w:color w:val="000000"/>
                <w:sz w:val="24"/>
                <w:lang w:val="en-US" w:eastAsia="zh-CN"/>
              </w:rPr>
              <w:t>污水处理站恶臭（G6）</w:t>
            </w:r>
            <w:r>
              <w:rPr>
                <w:rFonts w:hint="default" w:ascii="Times New Roman" w:hAnsi="Times New Roman" w:cs="Times New Roman"/>
                <w:color w:val="000000"/>
                <w:sz w:val="24"/>
              </w:rPr>
              <w:t>。</w:t>
            </w:r>
          </w:p>
          <w:p w14:paraId="5FC52497">
            <w:pPr>
              <w:pStyle w:val="84"/>
              <w:spacing w:line="360" w:lineRule="auto"/>
              <w:ind w:firstLine="480"/>
              <w:rPr>
                <w:rFonts w:hint="default" w:ascii="Times New Roman" w:hAnsi="Times New Roman" w:cs="Times New Roman"/>
              </w:rPr>
            </w:pPr>
            <w:r>
              <w:rPr>
                <w:rFonts w:hint="default" w:ascii="Times New Roman" w:hAnsi="Times New Roman" w:cs="Times New Roman"/>
              </w:rPr>
              <w:t>废气源强核算计算过程如下：</w:t>
            </w:r>
          </w:p>
          <w:p w14:paraId="2919A3C0">
            <w:pPr>
              <w:adjustRightInd w:val="0"/>
              <w:snapToGrid w:val="0"/>
              <w:spacing w:line="360" w:lineRule="auto"/>
              <w:ind w:firstLine="482" w:firstLineChars="200"/>
              <w:jc w:val="left"/>
              <w:rPr>
                <w:rFonts w:hint="default" w:ascii="Times New Roman" w:hAnsi="Times New Roman" w:cs="Times New Roman"/>
                <w:b/>
                <w:bCs/>
                <w:color w:val="FF0000"/>
                <w:sz w:val="24"/>
              </w:rPr>
            </w:pPr>
            <w:r>
              <w:rPr>
                <w:rFonts w:hint="default" w:ascii="Times New Roman" w:hAnsi="Times New Roman" w:cs="Times New Roman"/>
                <w:b/>
                <w:bCs/>
                <w:color w:val="FF0000"/>
                <w:sz w:val="24"/>
              </w:rPr>
              <w:t>（1）废油液收集废气（G1）</w:t>
            </w:r>
          </w:p>
          <w:p w14:paraId="57ABCFFF">
            <w:pPr>
              <w:spacing w:line="360" w:lineRule="auto"/>
              <w:ind w:firstLine="480" w:firstLineChars="200"/>
              <w:rPr>
                <w:rFonts w:hint="default" w:ascii="Times New Roman" w:hAnsi="Times New Roman" w:cs="Times New Roman"/>
                <w:color w:val="FF0000"/>
                <w:sz w:val="24"/>
                <w:szCs w:val="32"/>
              </w:rPr>
            </w:pPr>
            <w:r>
              <w:rPr>
                <w:rFonts w:hint="default" w:ascii="Times New Roman" w:hAnsi="Times New Roman" w:cs="Times New Roman"/>
                <w:color w:val="FF0000"/>
                <w:sz w:val="24"/>
                <w:szCs w:val="32"/>
              </w:rPr>
              <w:t>①油液抽取过程排放</w:t>
            </w:r>
          </w:p>
          <w:p w14:paraId="75573BE8">
            <w:pPr>
              <w:spacing w:line="360" w:lineRule="auto"/>
              <w:ind w:firstLine="480" w:firstLineChars="200"/>
              <w:rPr>
                <w:rFonts w:hint="default" w:ascii="Times New Roman" w:hAnsi="Times New Roman" w:cs="Times New Roman"/>
                <w:color w:val="FF0000"/>
                <w:sz w:val="24"/>
                <w:szCs w:val="32"/>
              </w:rPr>
            </w:pPr>
            <w:r>
              <w:rPr>
                <w:rFonts w:hint="default" w:ascii="Times New Roman" w:hAnsi="Times New Roman" w:cs="Times New Roman"/>
                <w:color w:val="FF0000"/>
                <w:sz w:val="24"/>
                <w:szCs w:val="32"/>
              </w:rPr>
              <w:t>本项目拆解过程中可能产生的有机废气主要为废油液抽取和残留于油箱内的燃料挥发产生的含C</w:t>
            </w:r>
            <w:r>
              <w:rPr>
                <w:rFonts w:hint="default" w:ascii="Times New Roman" w:hAnsi="Times New Roman" w:cs="Times New Roman"/>
                <w:color w:val="FF0000"/>
                <w:sz w:val="24"/>
                <w:szCs w:val="32"/>
                <w:vertAlign w:val="subscript"/>
              </w:rPr>
              <w:t>4</w:t>
            </w:r>
            <w:r>
              <w:rPr>
                <w:rFonts w:hint="default" w:ascii="Times New Roman" w:hAnsi="Times New Roman" w:cs="Times New Roman"/>
                <w:color w:val="FF0000"/>
                <w:sz w:val="24"/>
                <w:szCs w:val="32"/>
              </w:rPr>
              <w:t>~C</w:t>
            </w:r>
            <w:r>
              <w:rPr>
                <w:rFonts w:hint="default" w:ascii="Times New Roman" w:hAnsi="Times New Roman" w:cs="Times New Roman"/>
                <w:color w:val="FF0000"/>
                <w:sz w:val="24"/>
                <w:szCs w:val="32"/>
                <w:vertAlign w:val="subscript"/>
              </w:rPr>
              <w:t>10</w:t>
            </w:r>
            <w:r>
              <w:rPr>
                <w:rFonts w:hint="default" w:ascii="Times New Roman" w:hAnsi="Times New Roman" w:cs="Times New Roman"/>
                <w:color w:val="FF0000"/>
                <w:sz w:val="24"/>
                <w:szCs w:val="32"/>
              </w:rPr>
              <w:t>各族烃类组成的有机废气（以非甲烷总烃计）。项目在拆解过程中，首先对各类废油、液进行封闭抽取，抽取后采用封闭罐体进行储存，储油罐在灌注、储存、出油过程中会有少量有机物（非甲烷总烃）通过管线、阀门等挥发而释放到环境空气中。根据国内对汽油损耗调查结果表明：开放式流程损耗约为1.4%~2.0%，密闭式流程损耗在0.3%~0.5%以下。另外参照《散装液态石油产品损耗》（GB11085-89）中灌桶（0.18%）和零售加注时（0.29%）的两部分损失率，按总体0.5%的损失率进行计算。根据《表2-4项目报废机动车拆解产生物料组成分析一览表》的物料衡算，本项目拆解汽车中回收燃油（汽油、柴油）</w:t>
            </w:r>
            <w:r>
              <w:rPr>
                <w:rFonts w:hint="default" w:ascii="Times New Roman" w:hAnsi="Times New Roman" w:cs="Times New Roman"/>
                <w:color w:val="FF0000"/>
                <w:sz w:val="24"/>
                <w:szCs w:val="32"/>
                <w:lang w:val="en-US" w:eastAsia="zh-CN"/>
              </w:rPr>
              <w:t>33.95</w:t>
            </w:r>
            <w:r>
              <w:rPr>
                <w:rFonts w:hint="default" w:ascii="Times New Roman" w:hAnsi="Times New Roman" w:cs="Times New Roman"/>
                <w:color w:val="FF0000"/>
                <w:sz w:val="24"/>
                <w:szCs w:val="32"/>
              </w:rPr>
              <w:t>t/a，其他矿物油（润滑油、变速箱油、制动液等）</w:t>
            </w:r>
            <w:r>
              <w:rPr>
                <w:rFonts w:hint="default" w:ascii="Times New Roman" w:hAnsi="Times New Roman" w:cs="Times New Roman"/>
                <w:color w:val="FF0000"/>
                <w:sz w:val="24"/>
                <w:szCs w:val="32"/>
                <w:lang w:val="en-US" w:eastAsia="zh-CN"/>
              </w:rPr>
              <w:t>33.95</w:t>
            </w:r>
            <w:r>
              <w:rPr>
                <w:rFonts w:hint="default" w:ascii="Times New Roman" w:hAnsi="Times New Roman" w:cs="Times New Roman"/>
                <w:color w:val="FF0000"/>
                <w:sz w:val="24"/>
                <w:szCs w:val="32"/>
              </w:rPr>
              <w:t>t/a，则非甲烷总烃产生量约为0.</w:t>
            </w:r>
            <w:r>
              <w:rPr>
                <w:rFonts w:hint="default" w:ascii="Times New Roman" w:hAnsi="Times New Roman" w:cs="Times New Roman"/>
                <w:color w:val="FF0000"/>
                <w:sz w:val="24"/>
                <w:szCs w:val="32"/>
                <w:lang w:val="en-US" w:eastAsia="zh-CN"/>
              </w:rPr>
              <w:t>339</w:t>
            </w:r>
            <w:r>
              <w:rPr>
                <w:rFonts w:hint="default" w:ascii="Times New Roman" w:hAnsi="Times New Roman" w:cs="Times New Roman"/>
                <w:color w:val="FF0000"/>
                <w:sz w:val="24"/>
                <w:szCs w:val="32"/>
              </w:rPr>
              <w:t>t/a。</w:t>
            </w:r>
          </w:p>
          <w:p w14:paraId="2EA21E0E">
            <w:pPr>
              <w:spacing w:line="360" w:lineRule="auto"/>
              <w:ind w:firstLine="480" w:firstLineChars="200"/>
              <w:rPr>
                <w:rFonts w:hint="default" w:ascii="Times New Roman" w:hAnsi="Times New Roman" w:cs="Times New Roman"/>
                <w:color w:val="FF0000"/>
                <w:sz w:val="24"/>
                <w:szCs w:val="32"/>
              </w:rPr>
            </w:pPr>
            <w:bookmarkStart w:id="11" w:name="bookmark422"/>
            <w:bookmarkEnd w:id="11"/>
            <w:r>
              <w:rPr>
                <w:rFonts w:hint="default" w:ascii="Times New Roman" w:hAnsi="Times New Roman" w:cs="Times New Roman"/>
                <w:color w:val="FF0000"/>
                <w:sz w:val="24"/>
                <w:szCs w:val="32"/>
              </w:rPr>
              <w:t>②精细拆解过程排放</w:t>
            </w:r>
          </w:p>
          <w:p w14:paraId="1C67D2C9">
            <w:pPr>
              <w:spacing w:line="360" w:lineRule="auto"/>
              <w:ind w:firstLine="480" w:firstLineChars="200"/>
              <w:rPr>
                <w:rFonts w:hint="default" w:ascii="Times New Roman" w:hAnsi="Times New Roman" w:cs="Times New Roman"/>
                <w:color w:val="FF0000"/>
                <w:sz w:val="24"/>
                <w:szCs w:val="32"/>
              </w:rPr>
            </w:pPr>
            <w:r>
              <w:rPr>
                <w:rFonts w:hint="default" w:ascii="Times New Roman" w:hAnsi="Times New Roman" w:cs="Times New Roman"/>
                <w:color w:val="FF0000"/>
                <w:sz w:val="24"/>
                <w:szCs w:val="32"/>
              </w:rPr>
              <w:t>项目在预处理过程中排空报废汽车中的各种废液（发动机油、动力转向油、变速箱油、差速器油、制动液等）时，未能达到100%的排空率，残留在报废汽车油箱中的各种废液在拆解过程中会泄漏到车间地面上，并挥发产生有机废气。根据 GB22128-2019《报废机动车回收拆解企业技术规范》要求：“存留在报废汽车中的各种废液应抽空并分类回收，各种废液的排空率应不低于90%”。本项目采取真空吸油技术，油液排空率可达99%，满足GB22128-2019《报废机动车回收拆解企业技术规范》的要求。以真空吸油机抽取残余汽、柴油的量99%计，则项目残留泄漏到车间地面上燃油量、其他矿物油量</w:t>
            </w:r>
            <w:r>
              <w:rPr>
                <w:rFonts w:hint="default" w:ascii="Times New Roman" w:hAnsi="Times New Roman" w:cs="Times New Roman"/>
                <w:color w:val="FF0000"/>
                <w:sz w:val="24"/>
                <w:szCs w:val="32"/>
                <w:lang w:val="en-US" w:eastAsia="zh-CN"/>
              </w:rPr>
              <w:t>合计</w:t>
            </w:r>
            <w:r>
              <w:rPr>
                <w:rFonts w:hint="default" w:ascii="Times New Roman" w:hAnsi="Times New Roman" w:cs="Times New Roman"/>
                <w:color w:val="FF0000"/>
                <w:sz w:val="24"/>
                <w:szCs w:val="32"/>
              </w:rPr>
              <w:t>为</w:t>
            </w:r>
            <w:r>
              <w:rPr>
                <w:rFonts w:hint="default" w:ascii="Times New Roman" w:hAnsi="Times New Roman" w:cs="Times New Roman"/>
                <w:color w:val="FF0000"/>
                <w:sz w:val="24"/>
                <w:szCs w:val="32"/>
                <w:lang w:val="en-US" w:eastAsia="zh-CN"/>
              </w:rPr>
              <w:t>0.679</w:t>
            </w:r>
            <w:r>
              <w:rPr>
                <w:rFonts w:hint="default" w:ascii="Times New Roman" w:hAnsi="Times New Roman" w:cs="Times New Roman"/>
                <w:color w:val="FF0000"/>
                <w:sz w:val="24"/>
                <w:szCs w:val="32"/>
              </w:rPr>
              <w:t>t/a。精细拆解非甲烷总烃的挥发量按照残留废液量的1%计，为0.0</w:t>
            </w:r>
            <w:r>
              <w:rPr>
                <w:rFonts w:hint="default" w:ascii="Times New Roman" w:hAnsi="Times New Roman" w:cs="Times New Roman"/>
                <w:color w:val="FF0000"/>
                <w:sz w:val="24"/>
                <w:szCs w:val="32"/>
                <w:lang w:val="en-US" w:eastAsia="zh-CN"/>
              </w:rPr>
              <w:t>07</w:t>
            </w:r>
            <w:r>
              <w:rPr>
                <w:rFonts w:hint="default" w:ascii="Times New Roman" w:hAnsi="Times New Roman" w:cs="Times New Roman"/>
                <w:color w:val="FF0000"/>
                <w:sz w:val="24"/>
                <w:szCs w:val="32"/>
              </w:rPr>
              <w:t>t/a。</w:t>
            </w:r>
          </w:p>
          <w:p w14:paraId="560E1860">
            <w:pPr>
              <w:spacing w:line="360" w:lineRule="auto"/>
              <w:ind w:firstLine="480" w:firstLineChars="200"/>
              <w:rPr>
                <w:rFonts w:hint="default" w:ascii="Times New Roman" w:hAnsi="Times New Roman" w:cs="Times New Roman"/>
                <w:color w:val="0070C0"/>
                <w:sz w:val="24"/>
                <w:szCs w:val="32"/>
              </w:rPr>
            </w:pPr>
            <w:r>
              <w:rPr>
                <w:rFonts w:hint="default" w:ascii="Times New Roman" w:hAnsi="Times New Roman" w:cs="Times New Roman"/>
                <w:color w:val="0070C0"/>
                <w:sz w:val="24"/>
                <w:szCs w:val="32"/>
              </w:rPr>
              <w:t>③排放核算</w:t>
            </w:r>
          </w:p>
          <w:p w14:paraId="75C9ECEB">
            <w:pPr>
              <w:spacing w:line="360" w:lineRule="auto"/>
              <w:ind w:firstLine="480" w:firstLineChars="200"/>
              <w:rPr>
                <w:rFonts w:hint="default" w:ascii="Times New Roman" w:hAnsi="Times New Roman" w:cs="Times New Roman"/>
                <w:color w:val="0070C0"/>
                <w:sz w:val="24"/>
              </w:rPr>
            </w:pPr>
            <w:r>
              <w:rPr>
                <w:rFonts w:hint="default" w:ascii="Times New Roman" w:hAnsi="Times New Roman" w:cs="Times New Roman"/>
                <w:color w:val="0070C0"/>
                <w:sz w:val="24"/>
              </w:rPr>
              <w:t>根据《排污许可证申请与核发技术规范 废弃资源加工工业》（HJ1034-2019） 中推荐可行技术，本项目废油液抽取、与精细拆解排放位于同1个工位，工位上方0.8m处设1个集气罩，非甲烷总烃经集气罩收集至两级活性炭吸附装置（TA001）处理后通过一根</w:t>
            </w:r>
            <w:r>
              <w:rPr>
                <w:rFonts w:hint="default" w:ascii="Times New Roman" w:hAnsi="Times New Roman" w:cs="Times New Roman"/>
                <w:color w:val="0070C0"/>
                <w:sz w:val="24"/>
                <w:lang w:eastAsia="zh-CN"/>
              </w:rPr>
              <w:t>26m高</w:t>
            </w:r>
            <w:r>
              <w:rPr>
                <w:rFonts w:hint="default" w:ascii="Times New Roman" w:hAnsi="Times New Roman" w:cs="Times New Roman"/>
                <w:color w:val="0070C0"/>
                <w:sz w:val="24"/>
              </w:rPr>
              <w:t>的排气筒（DA001）排放，设计收集效率为80%，处理效率80%，项目设置顶吸式集气罩，集气罩三面设围挡，风量计算方法根据《大气污染控制工程》中的控制风速法计算。计算公式如下：</w:t>
            </w:r>
          </w:p>
          <w:p w14:paraId="5E92EF9A">
            <w:pPr>
              <w:spacing w:line="360" w:lineRule="auto"/>
              <w:jc w:val="center"/>
              <w:rPr>
                <w:rFonts w:hint="default" w:ascii="Times New Roman" w:hAnsi="Times New Roman" w:cs="Times New Roman"/>
                <w:color w:val="0070C0"/>
                <w:sz w:val="24"/>
              </w:rPr>
            </w:pPr>
            <w:r>
              <w:rPr>
                <w:rFonts w:hint="default" w:ascii="Times New Roman" w:hAnsi="Times New Roman" w:cs="Times New Roman"/>
                <w:color w:val="0070C0"/>
                <w:sz w:val="24"/>
              </w:rPr>
              <w:t>Q=3600×KPHV</w:t>
            </w:r>
            <w:r>
              <w:rPr>
                <w:rFonts w:hint="default" w:ascii="Times New Roman" w:hAnsi="Times New Roman" w:cs="Times New Roman"/>
                <w:color w:val="0070C0"/>
                <w:sz w:val="24"/>
                <w:vertAlign w:val="subscript"/>
              </w:rPr>
              <w:t>X</w:t>
            </w:r>
          </w:p>
          <w:p w14:paraId="45FEC714">
            <w:pPr>
              <w:spacing w:line="360" w:lineRule="auto"/>
              <w:ind w:firstLine="480" w:firstLineChars="200"/>
              <w:rPr>
                <w:rFonts w:hint="default" w:ascii="Times New Roman" w:hAnsi="Times New Roman" w:cs="Times New Roman"/>
                <w:color w:val="0070C0"/>
                <w:sz w:val="24"/>
              </w:rPr>
            </w:pPr>
            <w:r>
              <w:rPr>
                <w:rFonts w:hint="default" w:ascii="Times New Roman" w:hAnsi="Times New Roman" w:cs="Times New Roman"/>
                <w:color w:val="0070C0"/>
                <w:sz w:val="24"/>
              </w:rPr>
              <w:t>其中，Q：风量，m</w:t>
            </w:r>
            <w:r>
              <w:rPr>
                <w:rFonts w:hint="default" w:ascii="Times New Roman" w:hAnsi="Times New Roman" w:cs="Times New Roman"/>
                <w:color w:val="0070C0"/>
                <w:sz w:val="24"/>
                <w:vertAlign w:val="superscript"/>
              </w:rPr>
              <w:t>3</w:t>
            </w:r>
            <w:r>
              <w:rPr>
                <w:rFonts w:hint="default" w:ascii="Times New Roman" w:hAnsi="Times New Roman" w:cs="Times New Roman"/>
                <w:color w:val="0070C0"/>
                <w:sz w:val="24"/>
              </w:rPr>
              <w:t>/h；</w:t>
            </w:r>
          </w:p>
          <w:p w14:paraId="5A2825D4">
            <w:pPr>
              <w:spacing w:line="360" w:lineRule="auto"/>
              <w:ind w:firstLine="480" w:firstLineChars="200"/>
              <w:rPr>
                <w:rFonts w:hint="default" w:ascii="Times New Roman" w:hAnsi="Times New Roman" w:cs="Times New Roman"/>
                <w:color w:val="0070C0"/>
                <w:sz w:val="24"/>
              </w:rPr>
            </w:pPr>
            <w:r>
              <w:rPr>
                <w:rFonts w:hint="default" w:ascii="Times New Roman" w:hAnsi="Times New Roman" w:cs="Times New Roman"/>
                <w:color w:val="0070C0"/>
                <w:sz w:val="24"/>
              </w:rPr>
              <w:t>K：考虑沿高度速度不均匀的安全系数，通常取1.4；</w:t>
            </w:r>
          </w:p>
          <w:p w14:paraId="51400E81">
            <w:pPr>
              <w:spacing w:line="360" w:lineRule="auto"/>
              <w:ind w:firstLine="480" w:firstLineChars="200"/>
              <w:rPr>
                <w:rFonts w:hint="default" w:ascii="Times New Roman" w:hAnsi="Times New Roman" w:cs="Times New Roman"/>
                <w:color w:val="0070C0"/>
                <w:sz w:val="24"/>
              </w:rPr>
            </w:pPr>
            <w:r>
              <w:rPr>
                <w:rFonts w:hint="default" w:ascii="Times New Roman" w:hAnsi="Times New Roman" w:cs="Times New Roman"/>
                <w:color w:val="0070C0"/>
                <w:sz w:val="24"/>
              </w:rPr>
              <w:t>P：罩口周长，m；</w:t>
            </w:r>
          </w:p>
          <w:p w14:paraId="2179588F">
            <w:pPr>
              <w:spacing w:line="360" w:lineRule="auto"/>
              <w:ind w:firstLine="480" w:firstLineChars="200"/>
              <w:rPr>
                <w:rFonts w:hint="default" w:ascii="Times New Roman" w:hAnsi="Times New Roman" w:cs="Times New Roman"/>
                <w:color w:val="0070C0"/>
                <w:sz w:val="24"/>
              </w:rPr>
            </w:pPr>
            <w:r>
              <w:rPr>
                <w:rFonts w:hint="default" w:ascii="Times New Roman" w:hAnsi="Times New Roman" w:cs="Times New Roman"/>
                <w:color w:val="0070C0"/>
                <w:sz w:val="24"/>
              </w:rPr>
              <w:t>H：罩口至污染源的距离，m；</w:t>
            </w:r>
          </w:p>
          <w:p w14:paraId="47473CCA">
            <w:pPr>
              <w:spacing w:line="360" w:lineRule="auto"/>
              <w:ind w:firstLine="480" w:firstLineChars="200"/>
              <w:rPr>
                <w:rFonts w:hint="default" w:ascii="Times New Roman" w:hAnsi="Times New Roman" w:cs="Times New Roman"/>
                <w:color w:val="0070C0"/>
                <w:sz w:val="24"/>
              </w:rPr>
            </w:pPr>
            <w:r>
              <w:rPr>
                <w:rFonts w:hint="default" w:ascii="Times New Roman" w:hAnsi="Times New Roman" w:cs="Times New Roman"/>
                <w:color w:val="0070C0"/>
                <w:sz w:val="24"/>
              </w:rPr>
              <w:t>V</w:t>
            </w:r>
            <w:r>
              <w:rPr>
                <w:rFonts w:hint="default" w:ascii="Times New Roman" w:hAnsi="Times New Roman" w:cs="Times New Roman"/>
                <w:color w:val="0070C0"/>
                <w:sz w:val="24"/>
                <w:vertAlign w:val="subscript"/>
              </w:rPr>
              <w:t>X</w:t>
            </w:r>
            <w:r>
              <w:rPr>
                <w:rFonts w:hint="default" w:ascii="Times New Roman" w:hAnsi="Times New Roman" w:cs="Times New Roman"/>
                <w:color w:val="0070C0"/>
                <w:sz w:val="24"/>
              </w:rPr>
              <w:t>：污染源控制速度，m/s；</w:t>
            </w:r>
          </w:p>
          <w:p w14:paraId="12F3FF3B">
            <w:pPr>
              <w:spacing w:line="360" w:lineRule="auto"/>
              <w:ind w:firstLine="480" w:firstLineChars="200"/>
              <w:rPr>
                <w:rFonts w:hint="default" w:ascii="Times New Roman" w:hAnsi="Times New Roman" w:cs="Times New Roman"/>
                <w:color w:val="0070C0"/>
                <w:sz w:val="24"/>
              </w:rPr>
            </w:pPr>
            <w:r>
              <w:rPr>
                <w:rFonts w:hint="default" w:ascii="Times New Roman" w:hAnsi="Times New Roman" w:cs="Times New Roman"/>
                <w:color w:val="0070C0"/>
                <w:sz w:val="24"/>
              </w:rPr>
              <w:t>项目污染源产生于油液抽取、拆解、制冷剂抽取工序，根据《大气污染控制工程》可得，当污染源从轻微速度发散到相对平静的空气中时，污染源控制速度在0.25~0.5m/s，本项目取0.5m/s，即V</w:t>
            </w:r>
            <w:r>
              <w:rPr>
                <w:rFonts w:hint="default" w:ascii="Times New Roman" w:hAnsi="Times New Roman" w:cs="Times New Roman"/>
                <w:color w:val="0070C0"/>
                <w:sz w:val="24"/>
                <w:vertAlign w:val="subscript"/>
              </w:rPr>
              <w:t>X</w:t>
            </w:r>
            <w:r>
              <w:rPr>
                <w:rFonts w:hint="default" w:ascii="Times New Roman" w:hAnsi="Times New Roman" w:cs="Times New Roman"/>
                <w:color w:val="0070C0"/>
                <w:sz w:val="24"/>
              </w:rPr>
              <w:t>=0.5m/s。</w:t>
            </w:r>
          </w:p>
          <w:p w14:paraId="359338DA">
            <w:pPr>
              <w:spacing w:line="360" w:lineRule="auto"/>
              <w:ind w:firstLine="480" w:firstLineChars="200"/>
              <w:rPr>
                <w:rFonts w:hint="default" w:ascii="Times New Roman" w:hAnsi="Times New Roman" w:cs="Times New Roman"/>
                <w:color w:val="0070C0"/>
                <w:sz w:val="24"/>
              </w:rPr>
            </w:pPr>
            <w:r>
              <w:rPr>
                <w:rFonts w:hint="default" w:ascii="Times New Roman" w:hAnsi="Times New Roman" w:cs="Times New Roman"/>
                <w:color w:val="0070C0"/>
                <w:sz w:val="24"/>
              </w:rPr>
              <w:t>本项目</w:t>
            </w:r>
            <w:r>
              <w:rPr>
                <w:rFonts w:hint="default" w:ascii="Times New Roman" w:hAnsi="Times New Roman" w:cs="Times New Roman"/>
                <w:color w:val="0070C0"/>
                <w:sz w:val="24"/>
                <w:szCs w:val="32"/>
              </w:rPr>
              <w:t>精细拆解区、制冷剂抽取工位</w:t>
            </w:r>
            <w:r>
              <w:rPr>
                <w:rFonts w:hint="default" w:ascii="Times New Roman" w:hAnsi="Times New Roman" w:cs="Times New Roman"/>
                <w:color w:val="0070C0"/>
                <w:sz w:val="24"/>
              </w:rPr>
              <w:t>集气罩设置尺寸为2m×1m，即P=6m，为避免横向气流的干扰，本项目设计罩口至污染源的距离为0.8m，即H=0.8m。</w:t>
            </w:r>
          </w:p>
          <w:p w14:paraId="6BF8C26F">
            <w:pPr>
              <w:spacing w:line="360" w:lineRule="auto"/>
              <w:ind w:firstLine="480" w:firstLineChars="200"/>
              <w:jc w:val="left"/>
              <w:rPr>
                <w:rFonts w:hint="default" w:ascii="Times New Roman" w:hAnsi="Times New Roman" w:eastAsia="宋体" w:cs="Times New Roman"/>
                <w:color w:val="0070C0"/>
                <w:sz w:val="24"/>
                <w:lang w:val="en-US" w:eastAsia="zh-CN"/>
              </w:rPr>
            </w:pPr>
            <w:r>
              <w:rPr>
                <w:rFonts w:hint="default" w:ascii="Times New Roman" w:hAnsi="Times New Roman" w:cs="Times New Roman"/>
                <w:color w:val="0070C0"/>
                <w:sz w:val="24"/>
              </w:rPr>
              <w:t>Q=3600×1.4×6×0.8×0.5=12096m</w:t>
            </w:r>
            <w:r>
              <w:rPr>
                <w:rFonts w:hint="default" w:ascii="Times New Roman" w:hAnsi="Times New Roman" w:cs="Times New Roman"/>
                <w:color w:val="0070C0"/>
                <w:sz w:val="24"/>
                <w:vertAlign w:val="superscript"/>
              </w:rPr>
              <w:t>3</w:t>
            </w:r>
            <w:r>
              <w:rPr>
                <w:rFonts w:hint="default" w:ascii="Times New Roman" w:hAnsi="Times New Roman" w:cs="Times New Roman"/>
                <w:color w:val="0070C0"/>
                <w:sz w:val="24"/>
              </w:rPr>
              <w:t>/h，同时考虑风损等因素，本项目风量合计取整13000m</w:t>
            </w:r>
            <w:r>
              <w:rPr>
                <w:rFonts w:hint="default" w:ascii="Times New Roman" w:hAnsi="Times New Roman" w:cs="Times New Roman"/>
                <w:color w:val="0070C0"/>
                <w:sz w:val="24"/>
                <w:vertAlign w:val="superscript"/>
              </w:rPr>
              <w:t>3</w:t>
            </w:r>
            <w:r>
              <w:rPr>
                <w:rFonts w:hint="default" w:ascii="Times New Roman" w:hAnsi="Times New Roman" w:cs="Times New Roman"/>
                <w:color w:val="0070C0"/>
                <w:sz w:val="24"/>
              </w:rPr>
              <w:t>/h。</w:t>
            </w:r>
          </w:p>
          <w:p w14:paraId="414801DA">
            <w:pPr>
              <w:spacing w:line="360" w:lineRule="auto"/>
              <w:ind w:firstLine="480" w:firstLineChars="200"/>
              <w:rPr>
                <w:rFonts w:hint="default" w:ascii="Times New Roman" w:hAnsi="Times New Roman" w:cs="Times New Roman"/>
                <w:color w:val="FF0000"/>
                <w:sz w:val="24"/>
                <w:szCs w:val="32"/>
              </w:rPr>
            </w:pPr>
            <w:r>
              <w:rPr>
                <w:rFonts w:hint="default" w:ascii="Times New Roman" w:hAnsi="Times New Roman" w:cs="Times New Roman"/>
                <w:color w:val="FF0000"/>
                <w:sz w:val="24"/>
                <w:szCs w:val="32"/>
              </w:rPr>
              <w:t>则</w:t>
            </w:r>
            <w:r>
              <w:rPr>
                <w:rFonts w:hint="default" w:ascii="Times New Roman" w:hAnsi="Times New Roman" w:cs="Times New Roman"/>
                <w:color w:val="FF0000"/>
                <w:sz w:val="24"/>
              </w:rPr>
              <w:t>该工序</w:t>
            </w:r>
            <w:r>
              <w:rPr>
                <w:rFonts w:hint="default" w:ascii="Times New Roman" w:hAnsi="Times New Roman" w:cs="Times New Roman"/>
                <w:color w:val="FF0000"/>
                <w:sz w:val="24"/>
                <w:szCs w:val="32"/>
              </w:rPr>
              <w:t>有组织非甲烷总烃产生量</w:t>
            </w:r>
            <w:r>
              <w:rPr>
                <w:rFonts w:hint="default" w:ascii="Times New Roman" w:hAnsi="Times New Roman" w:cs="Times New Roman"/>
                <w:color w:val="FF0000"/>
                <w:sz w:val="24"/>
                <w:szCs w:val="32"/>
                <w:lang w:eastAsia="zh-CN"/>
              </w:rPr>
              <w:t>0.277</w:t>
            </w:r>
            <w:r>
              <w:rPr>
                <w:rFonts w:hint="default" w:ascii="Times New Roman" w:hAnsi="Times New Roman" w:cs="Times New Roman"/>
                <w:color w:val="FF0000"/>
                <w:sz w:val="24"/>
                <w:szCs w:val="32"/>
              </w:rPr>
              <w:t>t/a，</w:t>
            </w:r>
            <w:r>
              <w:rPr>
                <w:rFonts w:hint="default" w:ascii="Times New Roman" w:hAnsi="Times New Roman" w:cs="Times New Roman"/>
                <w:color w:val="FF0000"/>
                <w:sz w:val="24"/>
                <w:szCs w:val="32"/>
                <w:lang w:eastAsia="zh-CN"/>
              </w:rPr>
              <w:t>0.115</w:t>
            </w:r>
            <w:r>
              <w:rPr>
                <w:rFonts w:hint="default" w:ascii="Times New Roman" w:hAnsi="Times New Roman" w:cs="Times New Roman"/>
                <w:color w:val="FF0000"/>
                <w:sz w:val="24"/>
                <w:szCs w:val="32"/>
              </w:rPr>
              <w:t>kg/h，产生浓度</w:t>
            </w:r>
            <w:r>
              <w:rPr>
                <w:rFonts w:hint="default" w:ascii="Times New Roman" w:hAnsi="Times New Roman" w:cs="Times New Roman"/>
                <w:color w:val="FF0000"/>
                <w:sz w:val="24"/>
                <w:szCs w:val="32"/>
                <w:lang w:eastAsia="zh-CN"/>
              </w:rPr>
              <w:t>8.878</w:t>
            </w:r>
            <w:r>
              <w:rPr>
                <w:rFonts w:hint="default" w:ascii="Times New Roman" w:hAnsi="Times New Roman" w:cs="Times New Roman"/>
                <w:color w:val="FF0000"/>
                <w:sz w:val="24"/>
                <w:szCs w:val="32"/>
              </w:rPr>
              <w:t>mg/m</w:t>
            </w:r>
            <w:r>
              <w:rPr>
                <w:rFonts w:hint="default" w:ascii="Times New Roman" w:hAnsi="Times New Roman" w:cs="Times New Roman"/>
                <w:color w:val="FF0000"/>
                <w:sz w:val="24"/>
                <w:szCs w:val="32"/>
                <w:vertAlign w:val="superscript"/>
              </w:rPr>
              <w:t>3</w:t>
            </w:r>
            <w:r>
              <w:rPr>
                <w:rFonts w:hint="default" w:ascii="Times New Roman" w:hAnsi="Times New Roman" w:cs="Times New Roman"/>
                <w:color w:val="FF0000"/>
                <w:sz w:val="24"/>
                <w:szCs w:val="32"/>
              </w:rPr>
              <w:t>；有组织排放量约</w:t>
            </w:r>
            <w:r>
              <w:rPr>
                <w:rFonts w:hint="default" w:ascii="Times New Roman" w:hAnsi="Times New Roman" w:cs="Times New Roman"/>
                <w:color w:val="FF0000"/>
                <w:sz w:val="24"/>
                <w:szCs w:val="32"/>
                <w:lang w:eastAsia="zh-CN"/>
              </w:rPr>
              <w:t>0.029</w:t>
            </w:r>
            <w:r>
              <w:rPr>
                <w:rFonts w:hint="default" w:ascii="Times New Roman" w:hAnsi="Times New Roman" w:cs="Times New Roman"/>
                <w:color w:val="FF0000"/>
                <w:sz w:val="24"/>
                <w:szCs w:val="32"/>
              </w:rPr>
              <w:t>t/a，</w:t>
            </w:r>
            <w:r>
              <w:rPr>
                <w:rFonts w:hint="default" w:ascii="Times New Roman" w:hAnsi="Times New Roman" w:cs="Times New Roman"/>
                <w:color w:val="FF0000"/>
                <w:sz w:val="24"/>
                <w:szCs w:val="32"/>
                <w:lang w:eastAsia="zh-CN"/>
              </w:rPr>
              <w:t>0.023</w:t>
            </w:r>
            <w:r>
              <w:rPr>
                <w:rFonts w:hint="default" w:ascii="Times New Roman" w:hAnsi="Times New Roman" w:cs="Times New Roman"/>
                <w:color w:val="FF0000"/>
                <w:sz w:val="24"/>
                <w:szCs w:val="32"/>
              </w:rPr>
              <w:t>kg/h，排放浓度</w:t>
            </w:r>
            <w:r>
              <w:rPr>
                <w:rFonts w:hint="default" w:ascii="Times New Roman" w:hAnsi="Times New Roman" w:cs="Times New Roman"/>
                <w:color w:val="FF0000"/>
                <w:sz w:val="24"/>
                <w:szCs w:val="32"/>
                <w:lang w:eastAsia="zh-CN"/>
              </w:rPr>
              <w:t>1.776</w:t>
            </w:r>
            <w:r>
              <w:rPr>
                <w:rFonts w:hint="default" w:ascii="Times New Roman" w:hAnsi="Times New Roman" w:cs="Times New Roman"/>
                <w:color w:val="FF0000"/>
                <w:sz w:val="24"/>
                <w:szCs w:val="32"/>
              </w:rPr>
              <w:t>mg/m</w:t>
            </w:r>
            <w:r>
              <w:rPr>
                <w:rFonts w:hint="default" w:ascii="Times New Roman" w:hAnsi="Times New Roman" w:cs="Times New Roman"/>
                <w:color w:val="FF0000"/>
                <w:sz w:val="24"/>
                <w:szCs w:val="32"/>
                <w:vertAlign w:val="superscript"/>
              </w:rPr>
              <w:t>3</w:t>
            </w:r>
            <w:r>
              <w:rPr>
                <w:rFonts w:hint="default" w:ascii="Times New Roman" w:hAnsi="Times New Roman" w:cs="Times New Roman"/>
                <w:color w:val="FF0000"/>
                <w:sz w:val="24"/>
                <w:szCs w:val="32"/>
              </w:rPr>
              <w:t>。</w:t>
            </w:r>
          </w:p>
          <w:p w14:paraId="027BE6D5">
            <w:pPr>
              <w:spacing w:line="360" w:lineRule="auto"/>
              <w:ind w:firstLine="480"/>
              <w:jc w:val="left"/>
              <w:rPr>
                <w:rFonts w:hint="default" w:ascii="Times New Roman" w:hAnsi="Times New Roman" w:cs="Times New Roman"/>
                <w:bCs/>
                <w:color w:val="FF0000"/>
                <w:sz w:val="24"/>
              </w:rPr>
            </w:pPr>
            <w:r>
              <w:rPr>
                <w:rFonts w:hint="default" w:ascii="Times New Roman" w:hAnsi="Times New Roman" w:cs="Times New Roman"/>
                <w:color w:val="FF0000"/>
                <w:sz w:val="24"/>
              </w:rPr>
              <w:t>该工序未捕集的废油液抽取及精细拆解过程中挥发的有机废气在生产车间中呈无组织排放。经核算，非甲烷总烃无组织排放量约为</w:t>
            </w:r>
            <w:r>
              <w:rPr>
                <w:rFonts w:hint="default" w:ascii="Times New Roman" w:hAnsi="Times New Roman" w:cs="Times New Roman"/>
                <w:color w:val="FF0000"/>
                <w:sz w:val="24"/>
                <w:lang w:eastAsia="zh-CN"/>
              </w:rPr>
              <w:t>0.069</w:t>
            </w:r>
            <w:r>
              <w:rPr>
                <w:rFonts w:hint="default" w:ascii="Times New Roman" w:hAnsi="Times New Roman" w:cs="Times New Roman"/>
                <w:color w:val="FF0000"/>
                <w:sz w:val="24"/>
              </w:rPr>
              <w:t>t/a，排放速率约为</w:t>
            </w:r>
            <w:r>
              <w:rPr>
                <w:rFonts w:hint="default" w:ascii="Times New Roman" w:hAnsi="Times New Roman" w:cs="Times New Roman"/>
                <w:color w:val="FF0000"/>
                <w:sz w:val="24"/>
                <w:lang w:eastAsia="zh-CN"/>
              </w:rPr>
              <w:t>0.029</w:t>
            </w:r>
            <w:r>
              <w:rPr>
                <w:rFonts w:hint="default" w:ascii="Times New Roman" w:hAnsi="Times New Roman" w:cs="Times New Roman"/>
                <w:color w:val="FF0000"/>
                <w:sz w:val="24"/>
              </w:rPr>
              <w:t>kg/h（全年工作时间按2400h计）。</w:t>
            </w:r>
          </w:p>
          <w:p w14:paraId="66533CAA">
            <w:pPr>
              <w:pStyle w:val="84"/>
              <w:spacing w:line="360" w:lineRule="auto"/>
              <w:ind w:firstLine="482"/>
              <w:rPr>
                <w:rFonts w:hint="default" w:ascii="Times New Roman" w:hAnsi="Times New Roman" w:cs="Times New Roman"/>
                <w:b/>
                <w:bCs/>
                <w:color w:val="FF0000"/>
              </w:rPr>
            </w:pPr>
            <w:r>
              <w:rPr>
                <w:rFonts w:hint="default" w:ascii="Times New Roman" w:hAnsi="Times New Roman" w:cs="Times New Roman"/>
                <w:b/>
                <w:bCs/>
                <w:color w:val="FF0000"/>
              </w:rPr>
              <w:t>（2）制冷剂收集废气（G2）</w:t>
            </w:r>
          </w:p>
          <w:p w14:paraId="224B23F2">
            <w:pPr>
              <w:spacing w:line="360" w:lineRule="auto"/>
              <w:ind w:firstLine="480" w:firstLineChars="200"/>
              <w:rPr>
                <w:rFonts w:hint="default" w:ascii="Times New Roman" w:hAnsi="Times New Roman" w:cs="Times New Roman"/>
                <w:color w:val="FF0000"/>
                <w:sz w:val="24"/>
              </w:rPr>
            </w:pPr>
            <w:r>
              <w:rPr>
                <w:rFonts w:hint="default" w:ascii="Times New Roman" w:hAnsi="Times New Roman" w:cs="Times New Roman"/>
                <w:color w:val="FF0000"/>
                <w:sz w:val="24"/>
              </w:rPr>
              <w:t>汽车在正式拆解前，用专用的汽车空调系统制冷剂收集装置收集到密闭的容器中进行储存，操作过程中会有氟化物泄漏到空气中。根据《蒙特利尔议定书》规定，我国于2010年1月1日起全面禁用氟利昂物质，在汽车生产、制造、维护行业中，氟利昂将随着其更新换代而被淘汰。项目报废汽车空调系统所用的制冷剂主要为R134a（CH</w:t>
            </w:r>
            <w:r>
              <w:rPr>
                <w:rFonts w:hint="default" w:ascii="Times New Roman" w:hAnsi="Times New Roman" w:cs="Times New Roman"/>
                <w:color w:val="FF0000"/>
                <w:sz w:val="24"/>
                <w:vertAlign w:val="subscript"/>
              </w:rPr>
              <w:t>2</w:t>
            </w:r>
            <w:r>
              <w:rPr>
                <w:rFonts w:hint="default" w:ascii="Times New Roman" w:hAnsi="Times New Roman" w:cs="Times New Roman"/>
                <w:color w:val="FF0000"/>
                <w:sz w:val="24"/>
              </w:rPr>
              <w:t>FCF</w:t>
            </w:r>
            <w:r>
              <w:rPr>
                <w:rFonts w:hint="default" w:ascii="Times New Roman" w:hAnsi="Times New Roman" w:cs="Times New Roman"/>
                <w:color w:val="FF0000"/>
                <w:sz w:val="24"/>
                <w:vertAlign w:val="subscript"/>
              </w:rPr>
              <w:t>3</w:t>
            </w:r>
            <w:r>
              <w:rPr>
                <w:rFonts w:hint="default" w:ascii="Times New Roman" w:hAnsi="Times New Roman" w:cs="Times New Roman"/>
                <w:color w:val="FF0000"/>
                <w:sz w:val="24"/>
              </w:rPr>
              <w:t>）,氟利昂R12（CF</w:t>
            </w:r>
            <w:r>
              <w:rPr>
                <w:rFonts w:hint="default" w:ascii="Times New Roman" w:hAnsi="Times New Roman" w:cs="Times New Roman"/>
                <w:color w:val="FF0000"/>
                <w:sz w:val="24"/>
                <w:vertAlign w:val="subscript"/>
              </w:rPr>
              <w:t>2</w:t>
            </w:r>
            <w:r>
              <w:rPr>
                <w:rFonts w:hint="default" w:ascii="Times New Roman" w:hAnsi="Times New Roman" w:cs="Times New Roman"/>
                <w:color w:val="FF0000"/>
                <w:sz w:val="24"/>
              </w:rPr>
              <w:t>CI</w:t>
            </w:r>
            <w:r>
              <w:rPr>
                <w:rFonts w:hint="default" w:ascii="Times New Roman" w:hAnsi="Times New Roman" w:cs="Times New Roman"/>
                <w:color w:val="FF0000"/>
                <w:sz w:val="24"/>
                <w:vertAlign w:val="subscript"/>
              </w:rPr>
              <w:t>2</w:t>
            </w:r>
            <w:r>
              <w:rPr>
                <w:rFonts w:hint="default" w:ascii="Times New Roman" w:hAnsi="Times New Roman" w:cs="Times New Roman"/>
                <w:color w:val="FF0000"/>
                <w:sz w:val="24"/>
              </w:rPr>
              <w:t>）较少。建设单位拟采用专门的制冷剂回收装置对制冷剂进行回收，收集到密闭的容器中进行储存。使用时，将回收罐连接在回收装置的气阀上并把回收罐的液阀连接在制冷系统的液体一侧，当降低回收罐的压力时，回收装置会把被回收设备中的液态制冷剂</w:t>
            </w:r>
            <w:r>
              <w:rPr>
                <w:rFonts w:hint="default" w:ascii="Times New Roman" w:hAnsi="Times New Roman" w:cs="Times New Roman"/>
                <w:color w:val="FF0000"/>
                <w:sz w:val="24"/>
                <w:lang w:val="zh-CN"/>
              </w:rPr>
              <w:t>“拉出”来。</w:t>
            </w:r>
            <w:r>
              <w:rPr>
                <w:rFonts w:hint="default" w:ascii="Times New Roman" w:hAnsi="Times New Roman" w:cs="Times New Roman"/>
                <w:color w:val="FF0000"/>
                <w:sz w:val="24"/>
              </w:rPr>
              <w:t>从回收罐抽出蒸汽，又会藉回收装置的运行，把它排到（推回）被回收设备的蒸汽入口处。在制冷剂的收集过程中，仅在连接、储存过程中会有少量制冷剂通过管线、阀门等以无组织形式释放到环境空气中。</w:t>
            </w:r>
            <w:r>
              <w:rPr>
                <w:rFonts w:hint="default" w:ascii="Times New Roman" w:hAnsi="Times New Roman" w:cs="Times New Roman"/>
                <w:color w:val="FF0000"/>
                <w:sz w:val="24"/>
                <w:szCs w:val="32"/>
              </w:rPr>
              <w:t>根据《表2-4项目报废机动车拆解产生物料组成分析一览表》的物料衡算</w:t>
            </w:r>
            <w:r>
              <w:rPr>
                <w:rFonts w:hint="default" w:ascii="Times New Roman" w:hAnsi="Times New Roman" w:cs="Times New Roman"/>
                <w:color w:val="FF0000"/>
                <w:sz w:val="24"/>
              </w:rPr>
              <w:t>，本项目可收集废制冷剂为</w:t>
            </w:r>
            <w:r>
              <w:rPr>
                <w:rFonts w:hint="default" w:ascii="Times New Roman" w:hAnsi="Times New Roman" w:cs="Times New Roman"/>
                <w:color w:val="FF0000"/>
                <w:sz w:val="24"/>
                <w:lang w:val="en-US" w:eastAsia="zh-CN"/>
              </w:rPr>
              <w:t>2.78</w:t>
            </w:r>
            <w:r>
              <w:rPr>
                <w:rFonts w:hint="default" w:ascii="Times New Roman" w:hAnsi="Times New Roman" w:cs="Times New Roman"/>
                <w:color w:val="FF0000"/>
                <w:sz w:val="24"/>
              </w:rPr>
              <w:t>t/a，</w:t>
            </w:r>
            <w:r>
              <w:rPr>
                <w:rFonts w:hint="default" w:ascii="Times New Roman" w:hAnsi="Times New Roman" w:cs="Times New Roman"/>
                <w:color w:val="FF0000"/>
                <w:sz w:val="24"/>
                <w:szCs w:val="32"/>
              </w:rPr>
              <w:t>根据 GB22128-2019《报废机动车回收拆解企业技术规范》要求：“存留在报废汽车中的各种废液应抽空并分类回收，各种废液的排空率应不低于90%”。本项目采取真空抽取技术，制冷剂排空率可达99%，满足GB22128-2019《报废机动车回收拆解企业技术规范》的要求。以真空抽取制冷剂的量99%计，则项目残留制冷剂量为0.</w:t>
            </w:r>
            <w:r>
              <w:rPr>
                <w:rFonts w:hint="default" w:ascii="Times New Roman" w:hAnsi="Times New Roman" w:cs="Times New Roman"/>
                <w:color w:val="FF0000"/>
                <w:sz w:val="24"/>
                <w:szCs w:val="32"/>
                <w:lang w:val="en-US" w:eastAsia="zh-CN"/>
              </w:rPr>
              <w:t>028</w:t>
            </w:r>
            <w:r>
              <w:rPr>
                <w:rFonts w:hint="default" w:ascii="Times New Roman" w:hAnsi="Times New Roman" w:cs="Times New Roman"/>
                <w:color w:val="FF0000"/>
                <w:sz w:val="24"/>
                <w:szCs w:val="32"/>
              </w:rPr>
              <w:t>t/a。根据《华源报废汽车拆解验收报告》内容制冷剂残留量中挥发部分的非甲</w:t>
            </w:r>
            <w:r>
              <w:rPr>
                <w:rFonts w:hint="default" w:ascii="Times New Roman" w:hAnsi="Times New Roman" w:cs="Times New Roman"/>
                <w:color w:val="FF0000"/>
                <w:sz w:val="24"/>
              </w:rPr>
              <w:t>烷总烃（NMHC）产生量占残留量的比例约为6.14%，类比该项目则非甲烷总烃产生量为0.00</w:t>
            </w:r>
            <w:r>
              <w:rPr>
                <w:rFonts w:hint="default" w:ascii="Times New Roman" w:hAnsi="Times New Roman" w:cs="Times New Roman"/>
                <w:color w:val="FF0000"/>
                <w:sz w:val="24"/>
                <w:lang w:val="en-US" w:eastAsia="zh-CN"/>
              </w:rPr>
              <w:t>2</w:t>
            </w:r>
            <w:r>
              <w:rPr>
                <w:rFonts w:hint="default" w:ascii="Times New Roman" w:hAnsi="Times New Roman" w:cs="Times New Roman"/>
                <w:color w:val="FF0000"/>
                <w:sz w:val="24"/>
              </w:rPr>
              <w:t>t/a。</w:t>
            </w:r>
          </w:p>
          <w:p w14:paraId="37AED1C2">
            <w:pPr>
              <w:spacing w:line="360" w:lineRule="auto"/>
              <w:ind w:firstLine="480" w:firstLineChars="200"/>
              <w:rPr>
                <w:rFonts w:hint="eastAsia" w:ascii="Times New Roman" w:hAnsi="Times New Roman" w:eastAsia="宋体" w:cs="Times New Roman"/>
                <w:color w:val="0070C0"/>
                <w:sz w:val="24"/>
                <w:lang w:eastAsia="zh-CN"/>
              </w:rPr>
            </w:pPr>
            <w:r>
              <w:rPr>
                <w:rFonts w:hint="default" w:ascii="Times New Roman" w:hAnsi="Times New Roman" w:cs="Times New Roman"/>
                <w:color w:val="0070C0"/>
                <w:sz w:val="24"/>
              </w:rPr>
              <w:t>制冷剂抽取与废油液抽取位于同一工位，工位上方0.8m处设1个集气罩，非甲烷总烃经集气罩收集至两级活性炭吸附装置（TA001）处理后通过一根</w:t>
            </w:r>
            <w:r>
              <w:rPr>
                <w:rFonts w:hint="default" w:ascii="Times New Roman" w:hAnsi="Times New Roman" w:cs="Times New Roman"/>
                <w:color w:val="0070C0"/>
                <w:sz w:val="24"/>
                <w:lang w:eastAsia="zh-CN"/>
              </w:rPr>
              <w:t>26m高</w:t>
            </w:r>
            <w:r>
              <w:rPr>
                <w:rFonts w:hint="default" w:ascii="Times New Roman" w:hAnsi="Times New Roman" w:cs="Times New Roman"/>
                <w:color w:val="0070C0"/>
                <w:sz w:val="24"/>
              </w:rPr>
              <w:t>的排气筒（DA001）排放，设计收集效率为80%，处理效率80%，项目设置顶吸式集气罩，集气罩三面设围挡，经上述计算风量设计为13000m</w:t>
            </w:r>
            <w:r>
              <w:rPr>
                <w:rFonts w:hint="default" w:ascii="Times New Roman" w:hAnsi="Times New Roman" w:cs="Times New Roman"/>
                <w:color w:val="0070C0"/>
                <w:sz w:val="24"/>
                <w:vertAlign w:val="superscript"/>
              </w:rPr>
              <w:t>3</w:t>
            </w:r>
            <w:r>
              <w:rPr>
                <w:rFonts w:hint="default" w:ascii="Times New Roman" w:hAnsi="Times New Roman" w:cs="Times New Roman"/>
                <w:color w:val="0070C0"/>
                <w:sz w:val="24"/>
              </w:rPr>
              <w:t>/h</w:t>
            </w:r>
            <w:r>
              <w:rPr>
                <w:rFonts w:hint="eastAsia" w:ascii="Times New Roman" w:hAnsi="Times New Roman" w:cs="Times New Roman"/>
                <w:color w:val="0070C0"/>
                <w:sz w:val="24"/>
                <w:lang w:eastAsia="zh-CN"/>
              </w:rPr>
              <w:t>。</w:t>
            </w:r>
          </w:p>
          <w:p w14:paraId="48B1C6F5">
            <w:pPr>
              <w:spacing w:line="360" w:lineRule="auto"/>
              <w:ind w:firstLine="480" w:firstLineChars="200"/>
              <w:rPr>
                <w:rFonts w:hint="default" w:ascii="Times New Roman" w:hAnsi="Times New Roman" w:cs="Times New Roman"/>
                <w:color w:val="FF0000"/>
                <w:sz w:val="24"/>
              </w:rPr>
            </w:pPr>
            <w:r>
              <w:rPr>
                <w:rFonts w:hint="default" w:ascii="Times New Roman" w:hAnsi="Times New Roman" w:cs="Times New Roman"/>
                <w:color w:val="FF0000"/>
                <w:sz w:val="24"/>
              </w:rPr>
              <w:t>则该工序有组织非甲烷总烃产生量0.00</w:t>
            </w:r>
            <w:r>
              <w:rPr>
                <w:rFonts w:hint="default" w:ascii="Times New Roman" w:hAnsi="Times New Roman" w:cs="Times New Roman"/>
                <w:color w:val="FF0000"/>
                <w:sz w:val="24"/>
                <w:lang w:val="en-US" w:eastAsia="zh-CN"/>
              </w:rPr>
              <w:t>16</w:t>
            </w:r>
            <w:r>
              <w:rPr>
                <w:rFonts w:hint="default" w:ascii="Times New Roman" w:hAnsi="Times New Roman" w:cs="Times New Roman"/>
                <w:color w:val="FF0000"/>
                <w:sz w:val="24"/>
              </w:rPr>
              <w:t>t/a，0.00</w:t>
            </w:r>
            <w:r>
              <w:rPr>
                <w:rFonts w:hint="default" w:ascii="Times New Roman" w:hAnsi="Times New Roman" w:cs="Times New Roman"/>
                <w:color w:val="FF0000"/>
                <w:sz w:val="24"/>
                <w:lang w:val="en-US" w:eastAsia="zh-CN"/>
              </w:rPr>
              <w:t>07</w:t>
            </w:r>
            <w:r>
              <w:rPr>
                <w:rFonts w:hint="default" w:ascii="Times New Roman" w:hAnsi="Times New Roman" w:cs="Times New Roman"/>
                <w:color w:val="FF0000"/>
                <w:sz w:val="24"/>
              </w:rPr>
              <w:t>kg/h，产生浓度0.</w:t>
            </w:r>
            <w:r>
              <w:rPr>
                <w:rFonts w:hint="default" w:ascii="Times New Roman" w:hAnsi="Times New Roman" w:cs="Times New Roman"/>
                <w:color w:val="FF0000"/>
                <w:sz w:val="24"/>
                <w:lang w:val="en-US" w:eastAsia="zh-CN"/>
              </w:rPr>
              <w:t>054</w:t>
            </w:r>
            <w:r>
              <w:rPr>
                <w:rFonts w:hint="default" w:ascii="Times New Roman" w:hAnsi="Times New Roman" w:cs="Times New Roman"/>
                <w:color w:val="FF0000"/>
                <w:sz w:val="24"/>
              </w:rPr>
              <w:t>mg/m</w:t>
            </w:r>
            <w:r>
              <w:rPr>
                <w:rFonts w:hint="default" w:ascii="Times New Roman" w:hAnsi="Times New Roman" w:cs="Times New Roman"/>
                <w:color w:val="FF0000"/>
                <w:sz w:val="24"/>
                <w:vertAlign w:val="superscript"/>
              </w:rPr>
              <w:t>3</w:t>
            </w:r>
            <w:r>
              <w:rPr>
                <w:rFonts w:hint="default" w:ascii="Times New Roman" w:hAnsi="Times New Roman" w:cs="Times New Roman"/>
                <w:color w:val="FF0000"/>
                <w:sz w:val="24"/>
              </w:rPr>
              <w:t>；有组织排放量约0.00</w:t>
            </w:r>
            <w:r>
              <w:rPr>
                <w:rFonts w:hint="default" w:ascii="Times New Roman" w:hAnsi="Times New Roman" w:cs="Times New Roman"/>
                <w:color w:val="FF0000"/>
                <w:sz w:val="24"/>
                <w:lang w:val="en-US" w:eastAsia="zh-CN"/>
              </w:rPr>
              <w:t>03</w:t>
            </w:r>
            <w:r>
              <w:rPr>
                <w:rFonts w:hint="default" w:ascii="Times New Roman" w:hAnsi="Times New Roman" w:cs="Times New Roman"/>
                <w:color w:val="FF0000"/>
                <w:sz w:val="24"/>
              </w:rPr>
              <w:t>t/a，0.00</w:t>
            </w:r>
            <w:r>
              <w:rPr>
                <w:rFonts w:hint="default" w:ascii="Times New Roman" w:hAnsi="Times New Roman" w:cs="Times New Roman"/>
                <w:color w:val="FF0000"/>
                <w:sz w:val="24"/>
                <w:lang w:val="en-US" w:eastAsia="zh-CN"/>
              </w:rPr>
              <w:t>01</w:t>
            </w:r>
            <w:r>
              <w:rPr>
                <w:rFonts w:hint="default" w:ascii="Times New Roman" w:hAnsi="Times New Roman" w:cs="Times New Roman"/>
                <w:color w:val="FF0000"/>
                <w:sz w:val="24"/>
              </w:rPr>
              <w:t>kg/h，排放浓度0.0</w:t>
            </w:r>
            <w:r>
              <w:rPr>
                <w:rFonts w:hint="default" w:ascii="Times New Roman" w:hAnsi="Times New Roman" w:cs="Times New Roman"/>
                <w:color w:val="FF0000"/>
                <w:sz w:val="24"/>
                <w:lang w:val="en-US" w:eastAsia="zh-CN"/>
              </w:rPr>
              <w:t>09</w:t>
            </w:r>
            <w:r>
              <w:rPr>
                <w:rFonts w:hint="default" w:ascii="Times New Roman" w:hAnsi="Times New Roman" w:cs="Times New Roman"/>
                <w:color w:val="FF0000"/>
                <w:sz w:val="24"/>
              </w:rPr>
              <w:t>mg/m</w:t>
            </w:r>
            <w:r>
              <w:rPr>
                <w:rFonts w:hint="default" w:ascii="Times New Roman" w:hAnsi="Times New Roman" w:cs="Times New Roman"/>
                <w:color w:val="FF0000"/>
                <w:sz w:val="24"/>
                <w:vertAlign w:val="superscript"/>
              </w:rPr>
              <w:t>3</w:t>
            </w:r>
            <w:r>
              <w:rPr>
                <w:rFonts w:hint="default" w:ascii="Times New Roman" w:hAnsi="Times New Roman" w:cs="Times New Roman"/>
                <w:color w:val="FF0000"/>
                <w:sz w:val="24"/>
              </w:rPr>
              <w:t>。</w:t>
            </w:r>
          </w:p>
          <w:p w14:paraId="672A89C8">
            <w:pPr>
              <w:spacing w:line="360" w:lineRule="auto"/>
              <w:ind w:firstLine="480" w:firstLineChars="200"/>
              <w:rPr>
                <w:rFonts w:hint="default" w:ascii="Times New Roman" w:hAnsi="Times New Roman" w:cs="Times New Roman"/>
                <w:color w:val="FF0000"/>
                <w:sz w:val="24"/>
              </w:rPr>
            </w:pPr>
            <w:r>
              <w:rPr>
                <w:rFonts w:hint="default" w:ascii="Times New Roman" w:hAnsi="Times New Roman" w:cs="Times New Roman"/>
                <w:color w:val="FF0000"/>
                <w:sz w:val="24"/>
              </w:rPr>
              <w:t>该工序未捕集的有机废气在生产车间中呈无组织排放。经核算，非甲烷总烃无组织排放量约为0.00</w:t>
            </w:r>
            <w:r>
              <w:rPr>
                <w:rFonts w:hint="default" w:ascii="Times New Roman" w:hAnsi="Times New Roman" w:cs="Times New Roman"/>
                <w:color w:val="FF0000"/>
                <w:sz w:val="24"/>
                <w:lang w:val="en-US" w:eastAsia="zh-CN"/>
              </w:rPr>
              <w:t>04</w:t>
            </w:r>
            <w:r>
              <w:rPr>
                <w:rFonts w:hint="default" w:ascii="Times New Roman" w:hAnsi="Times New Roman" w:cs="Times New Roman"/>
                <w:color w:val="FF0000"/>
                <w:sz w:val="24"/>
              </w:rPr>
              <w:t>t/a，排放速率约为0.0</w:t>
            </w:r>
            <w:r>
              <w:rPr>
                <w:rFonts w:hint="default" w:ascii="Times New Roman" w:hAnsi="Times New Roman" w:cs="Times New Roman"/>
                <w:color w:val="FF0000"/>
                <w:sz w:val="24"/>
                <w:lang w:val="en-US" w:eastAsia="zh-CN"/>
              </w:rPr>
              <w:t>0</w:t>
            </w:r>
            <w:r>
              <w:rPr>
                <w:rFonts w:hint="default" w:ascii="Times New Roman" w:hAnsi="Times New Roman" w:cs="Times New Roman"/>
                <w:color w:val="FF0000"/>
                <w:sz w:val="24"/>
              </w:rPr>
              <w:t>01kg/h（全年工作时间按2400h计）。</w:t>
            </w:r>
          </w:p>
          <w:p w14:paraId="65F4A342">
            <w:pPr>
              <w:pStyle w:val="19"/>
              <w:spacing w:after="0" w:line="360" w:lineRule="auto"/>
              <w:ind w:left="0" w:leftChars="0" w:firstLine="482"/>
              <w:rPr>
                <w:rFonts w:hint="default" w:ascii="Times New Roman" w:hAnsi="Times New Roman" w:cs="Times New Roman"/>
                <w:b/>
                <w:bCs/>
                <w:sz w:val="24"/>
                <w:szCs w:val="22"/>
              </w:rPr>
            </w:pPr>
            <w:r>
              <w:rPr>
                <w:rFonts w:hint="default" w:ascii="Times New Roman" w:hAnsi="Times New Roman" w:cs="Times New Roman"/>
                <w:b/>
                <w:bCs/>
                <w:sz w:val="24"/>
                <w:szCs w:val="22"/>
              </w:rPr>
              <w:t>（3）</w:t>
            </w:r>
            <w:r>
              <w:rPr>
                <w:rFonts w:hint="default" w:ascii="Times New Roman" w:hAnsi="Times New Roman" w:cs="Times New Roman"/>
                <w:b/>
                <w:bCs/>
                <w:color w:val="000000"/>
                <w:sz w:val="24"/>
              </w:rPr>
              <w:t>汽车拆解过程中产生的废钢破碎粉尘（G3）、废钢打包粉尘（G4）、废橡胶破碎粉尘（G5）</w:t>
            </w:r>
          </w:p>
          <w:p w14:paraId="75280080">
            <w:pPr>
              <w:spacing w:line="360" w:lineRule="auto"/>
              <w:ind w:firstLine="480" w:firstLineChars="200"/>
              <w:rPr>
                <w:rFonts w:hint="default" w:ascii="Times New Roman" w:hAnsi="Times New Roman" w:cs="Times New Roman"/>
                <w:bCs/>
                <w:color w:val="000000"/>
                <w:sz w:val="24"/>
              </w:rPr>
            </w:pPr>
            <w:r>
              <w:rPr>
                <w:rFonts w:hint="default" w:ascii="Times New Roman" w:hAnsi="Times New Roman" w:cs="Times New Roman"/>
                <w:color w:val="000000"/>
                <w:sz w:val="24"/>
              </w:rPr>
              <w:t>本项目废钢铁破碎、打包过程、废橡胶破碎过程中会产生污染物颗粒物。破碎废气中主要污染物颗粒物产污系数</w:t>
            </w:r>
            <w:r>
              <w:rPr>
                <w:rFonts w:hint="default" w:ascii="Times New Roman" w:hAnsi="Times New Roman" w:cs="Times New Roman"/>
                <w:bCs/>
                <w:color w:val="000000"/>
                <w:sz w:val="24"/>
              </w:rPr>
              <w:t>参照</w:t>
            </w:r>
            <w:r>
              <w:rPr>
                <w:rFonts w:hint="default" w:ascii="Times New Roman" w:hAnsi="Times New Roman" w:cs="Times New Roman"/>
                <w:bCs/>
                <w:color w:val="000000" w:themeColor="text1"/>
                <w:sz w:val="24"/>
                <w14:textFill>
                  <w14:solidFill>
                    <w14:schemeClr w14:val="tx1"/>
                  </w14:solidFill>
                </w14:textFill>
              </w:rPr>
              <w:t>《排放源统计调查产排污核算方法和系数手册》中</w:t>
            </w:r>
            <w:r>
              <w:rPr>
                <w:rFonts w:hint="default" w:ascii="Times New Roman" w:hAnsi="Times New Roman" w:cs="Times New Roman"/>
                <w:color w:val="000000" w:themeColor="text1"/>
                <w:sz w:val="24"/>
                <w:szCs w:val="28"/>
                <w14:textFill>
                  <w14:solidFill>
                    <w14:schemeClr w14:val="tx1"/>
                  </w14:solidFill>
                </w14:textFill>
              </w:rPr>
              <w:t>《废弃资源综合利用行业系数手册》</w:t>
            </w:r>
            <w:r>
              <w:rPr>
                <w:rFonts w:hint="default" w:ascii="Times New Roman" w:hAnsi="Times New Roman" w:cs="Times New Roman"/>
                <w:color w:val="000000"/>
                <w:sz w:val="24"/>
                <w:szCs w:val="28"/>
              </w:rPr>
              <w:t>，采用破碎工艺生产钢铁废碎料时产污系数为360g/t原料，</w:t>
            </w:r>
            <w:r>
              <w:rPr>
                <w:rFonts w:hint="default" w:ascii="Times New Roman" w:hAnsi="Times New Roman" w:cs="Times New Roman"/>
                <w:color w:val="000000"/>
                <w:sz w:val="24"/>
              </w:rPr>
              <w:t>打包粉尘按</w:t>
            </w:r>
            <w:r>
              <w:rPr>
                <w:rFonts w:hint="default" w:ascii="Times New Roman" w:hAnsi="Times New Roman" w:cs="Times New Roman"/>
                <w:color w:val="000000"/>
                <w:sz w:val="24"/>
                <w:lang w:bidi="en-US"/>
              </w:rPr>
              <w:t>0.5g/t</w:t>
            </w:r>
            <w:r>
              <w:rPr>
                <w:rFonts w:hint="default" w:ascii="Times New Roman" w:hAnsi="Times New Roman" w:cs="Times New Roman"/>
                <w:color w:val="000000"/>
                <w:sz w:val="24"/>
              </w:rPr>
              <w:t>原料计，</w:t>
            </w:r>
            <w:r>
              <w:rPr>
                <w:rFonts w:hint="default" w:ascii="Times New Roman" w:hAnsi="Times New Roman" w:cs="Times New Roman"/>
                <w:color w:val="000000" w:themeColor="text1"/>
                <w:sz w:val="24"/>
                <w:szCs w:val="28"/>
                <w14:textFill>
                  <w14:solidFill>
                    <w14:schemeClr w14:val="tx1"/>
                  </w14:solidFill>
                </w14:textFill>
              </w:rPr>
              <w:t>废轮胎废碎料时产污系数为194g/t原料</w:t>
            </w:r>
            <w:r>
              <w:rPr>
                <w:rFonts w:hint="default" w:ascii="Times New Roman" w:hAnsi="Times New Roman" w:cs="Times New Roman"/>
                <w:color w:val="000000" w:themeColor="text1"/>
                <w:sz w:val="24"/>
                <w14:textFill>
                  <w14:solidFill>
                    <w14:schemeClr w14:val="tx1"/>
                  </w14:solidFill>
                </w14:textFill>
              </w:rPr>
              <w:t>，</w:t>
            </w:r>
            <w:r>
              <w:rPr>
                <w:rFonts w:hint="default" w:ascii="Times New Roman" w:hAnsi="Times New Roman" w:cs="Times New Roman"/>
                <w:color w:val="000000" w:themeColor="text1"/>
                <w:sz w:val="24"/>
                <w:szCs w:val="32"/>
                <w14:textFill>
                  <w14:solidFill>
                    <w14:schemeClr w14:val="tx1"/>
                  </w14:solidFill>
                </w14:textFill>
              </w:rPr>
              <w:t>根据《表2-4项目报废机动车拆解产生物</w:t>
            </w:r>
            <w:r>
              <w:rPr>
                <w:rFonts w:hint="default" w:ascii="Times New Roman" w:hAnsi="Times New Roman" w:cs="Times New Roman"/>
                <w:color w:val="000000"/>
                <w:sz w:val="24"/>
                <w:szCs w:val="32"/>
              </w:rPr>
              <w:t>料组成分析一览表》的物料衡算，</w:t>
            </w:r>
            <w:r>
              <w:rPr>
                <w:rFonts w:hint="default" w:ascii="Times New Roman" w:hAnsi="Times New Roman" w:cs="Times New Roman"/>
                <w:color w:val="000000"/>
                <w:sz w:val="24"/>
                <w:szCs w:val="28"/>
              </w:rPr>
              <w:t>项目年</w:t>
            </w:r>
            <w:r>
              <w:rPr>
                <w:rFonts w:hint="default" w:ascii="Times New Roman" w:hAnsi="Times New Roman" w:cs="Times New Roman"/>
                <w:color w:val="000000"/>
                <w:sz w:val="24"/>
              </w:rPr>
              <w:t>废钢铁</w:t>
            </w:r>
            <w:r>
              <w:rPr>
                <w:rFonts w:hint="default" w:ascii="Times New Roman" w:hAnsi="Times New Roman" w:cs="Times New Roman"/>
                <w:color w:val="000000"/>
                <w:sz w:val="24"/>
                <w:szCs w:val="28"/>
              </w:rPr>
              <w:t>破碎、打包的物料量约为</w:t>
            </w:r>
            <w:r>
              <w:rPr>
                <w:rFonts w:hint="default" w:ascii="Times New Roman" w:hAnsi="Times New Roman" w:cs="Times New Roman"/>
                <w:color w:val="000000"/>
                <w:sz w:val="24"/>
                <w:szCs w:val="28"/>
                <w:lang w:eastAsia="zh-CN"/>
              </w:rPr>
              <w:t>63243.79</w:t>
            </w:r>
            <w:r>
              <w:rPr>
                <w:rFonts w:hint="default" w:ascii="Times New Roman" w:hAnsi="Times New Roman" w:cs="Times New Roman"/>
                <w:color w:val="000000"/>
                <w:sz w:val="24"/>
                <w:szCs w:val="28"/>
              </w:rPr>
              <w:t>t，</w:t>
            </w:r>
            <w:r>
              <w:rPr>
                <w:rFonts w:hint="default" w:ascii="Times New Roman" w:hAnsi="Times New Roman" w:cs="Times New Roman"/>
                <w:color w:val="000000"/>
                <w:sz w:val="24"/>
              </w:rPr>
              <w:t>废橡胶</w:t>
            </w:r>
            <w:r>
              <w:rPr>
                <w:rFonts w:hint="default" w:ascii="Times New Roman" w:hAnsi="Times New Roman" w:cs="Times New Roman"/>
                <w:color w:val="000000"/>
                <w:sz w:val="24"/>
                <w:szCs w:val="28"/>
              </w:rPr>
              <w:t>破碎的物料量约为</w:t>
            </w:r>
            <w:r>
              <w:rPr>
                <w:rFonts w:hint="default" w:ascii="Times New Roman" w:hAnsi="Times New Roman" w:cs="Times New Roman"/>
                <w:color w:val="000000"/>
                <w:sz w:val="24"/>
                <w:szCs w:val="28"/>
                <w:lang w:eastAsia="zh-CN"/>
              </w:rPr>
              <w:t>2090.92</w:t>
            </w:r>
            <w:r>
              <w:rPr>
                <w:rFonts w:hint="default" w:ascii="Times New Roman" w:hAnsi="Times New Roman" w:cs="Times New Roman"/>
                <w:color w:val="000000"/>
                <w:sz w:val="24"/>
                <w:szCs w:val="28"/>
              </w:rPr>
              <w:t>t，则颗粒物产生量合计为</w:t>
            </w:r>
            <w:r>
              <w:rPr>
                <w:rFonts w:hint="default" w:ascii="Times New Roman" w:hAnsi="Times New Roman" w:cs="Times New Roman"/>
                <w:color w:val="000000"/>
                <w:sz w:val="24"/>
                <w:szCs w:val="28"/>
                <w:lang w:val="en-US" w:eastAsia="zh-CN"/>
              </w:rPr>
              <w:t>22.768+0.032+0.406=23.206t</w:t>
            </w:r>
            <w:r>
              <w:rPr>
                <w:rFonts w:hint="default" w:ascii="Times New Roman" w:hAnsi="Times New Roman" w:cs="Times New Roman"/>
                <w:color w:val="000000"/>
                <w:sz w:val="24"/>
                <w:szCs w:val="28"/>
              </w:rPr>
              <w:t>。</w:t>
            </w:r>
          </w:p>
          <w:p w14:paraId="1AA8336D">
            <w:pPr>
              <w:spacing w:line="360" w:lineRule="auto"/>
              <w:ind w:firstLine="480" w:firstLineChars="200"/>
              <w:rPr>
                <w:rFonts w:hint="default" w:ascii="Times New Roman" w:hAnsi="Times New Roman" w:cs="Times New Roman"/>
                <w:color w:val="000000"/>
                <w:sz w:val="24"/>
              </w:rPr>
            </w:pPr>
            <w:r>
              <w:rPr>
                <w:rFonts w:hint="default" w:ascii="Times New Roman" w:hAnsi="Times New Roman" w:cs="Times New Roman"/>
                <w:color w:val="000000"/>
                <w:sz w:val="24"/>
              </w:rPr>
              <w:t>本项目车间内设有</w:t>
            </w:r>
            <w:r>
              <w:rPr>
                <w:rFonts w:hint="default" w:ascii="Times New Roman" w:hAnsi="Times New Roman" w:cs="Times New Roman"/>
                <w:color w:val="000000"/>
                <w:sz w:val="24"/>
                <w:lang w:val="en-US" w:eastAsia="zh-CN"/>
              </w:rPr>
              <w:t>2</w:t>
            </w:r>
            <w:r>
              <w:rPr>
                <w:rFonts w:hint="default" w:ascii="Times New Roman" w:hAnsi="Times New Roman" w:cs="Times New Roman"/>
                <w:color w:val="000000"/>
                <w:sz w:val="24"/>
              </w:rPr>
              <w:t>台破碎机</w:t>
            </w:r>
            <w:r>
              <w:rPr>
                <w:rFonts w:hint="default" w:ascii="Times New Roman" w:hAnsi="Times New Roman" w:cs="Times New Roman"/>
                <w:color w:val="000000"/>
                <w:sz w:val="24"/>
                <w:lang w:val="en-US" w:eastAsia="zh-CN"/>
              </w:rPr>
              <w:t>进行破碎</w:t>
            </w:r>
            <w:r>
              <w:rPr>
                <w:rFonts w:hint="default" w:ascii="Times New Roman" w:hAnsi="Times New Roman" w:cs="Times New Roman"/>
                <w:color w:val="000000"/>
                <w:sz w:val="24"/>
              </w:rPr>
              <w:t>，设有2台打包机对废金属进行打包，年工作约为2400h。在破碎机、打包机上分别设置集气罩收集破碎废气、打包废气，颗粒物经集气罩收集至袋式除尘器TA002处理后通过一根2</w:t>
            </w:r>
            <w:r>
              <w:rPr>
                <w:rFonts w:hint="default" w:ascii="Times New Roman" w:hAnsi="Times New Roman" w:cs="Times New Roman"/>
                <w:color w:val="000000"/>
                <w:sz w:val="24"/>
                <w:lang w:val="en-US" w:eastAsia="zh-CN"/>
              </w:rPr>
              <w:t>6</w:t>
            </w:r>
            <w:r>
              <w:rPr>
                <w:rFonts w:hint="default" w:ascii="Times New Roman" w:hAnsi="Times New Roman" w:cs="Times New Roman"/>
                <w:color w:val="000000"/>
                <w:sz w:val="24"/>
              </w:rPr>
              <w:t>m高的排气筒（DA002）排放，</w:t>
            </w:r>
            <w:r>
              <w:rPr>
                <w:rFonts w:hint="default" w:ascii="Times New Roman" w:hAnsi="Times New Roman" w:cs="Times New Roman"/>
                <w:color w:val="000000"/>
                <w:sz w:val="24"/>
                <w:lang w:val="en-US" w:eastAsia="zh-CN"/>
              </w:rPr>
              <w:t>集气罩设计</w:t>
            </w:r>
            <w:r>
              <w:rPr>
                <w:rFonts w:hint="default" w:ascii="Times New Roman" w:hAnsi="Times New Roman" w:cs="Times New Roman"/>
                <w:color w:val="000000"/>
                <w:sz w:val="24"/>
              </w:rPr>
              <w:t>收集效率为</w:t>
            </w:r>
            <w:r>
              <w:rPr>
                <w:rFonts w:hint="default" w:ascii="Times New Roman" w:hAnsi="Times New Roman" w:cs="Times New Roman"/>
                <w:color w:val="000000"/>
                <w:sz w:val="24"/>
                <w:lang w:val="en-US" w:eastAsia="zh-CN"/>
              </w:rPr>
              <w:t>80</w:t>
            </w:r>
            <w:r>
              <w:rPr>
                <w:rFonts w:hint="default" w:ascii="Times New Roman" w:hAnsi="Times New Roman" w:cs="Times New Roman"/>
                <w:color w:val="000000"/>
                <w:sz w:val="24"/>
              </w:rPr>
              <w:t>%，处理效率99%，项目设置顶吸式集气罩，集气罩3面设围挡，风量计算方法根据《大气污染控制工程》中的控制风速法计算。计算公式如下：</w:t>
            </w:r>
          </w:p>
          <w:p w14:paraId="41C99911">
            <w:pPr>
              <w:spacing w:line="360" w:lineRule="auto"/>
              <w:jc w:val="center"/>
              <w:rPr>
                <w:rFonts w:hint="default" w:ascii="Times New Roman" w:hAnsi="Times New Roman" w:cs="Times New Roman"/>
                <w:color w:val="000000"/>
                <w:sz w:val="24"/>
              </w:rPr>
            </w:pPr>
            <w:r>
              <w:rPr>
                <w:rFonts w:hint="default" w:ascii="Times New Roman" w:hAnsi="Times New Roman" w:cs="Times New Roman"/>
                <w:color w:val="000000"/>
                <w:sz w:val="24"/>
              </w:rPr>
              <w:t>Q=3600×KPHV</w:t>
            </w:r>
            <w:r>
              <w:rPr>
                <w:rFonts w:hint="default" w:ascii="Times New Roman" w:hAnsi="Times New Roman" w:cs="Times New Roman"/>
                <w:color w:val="000000"/>
                <w:sz w:val="24"/>
                <w:vertAlign w:val="subscript"/>
              </w:rPr>
              <w:t>X</w:t>
            </w:r>
          </w:p>
          <w:p w14:paraId="6E01EB0D">
            <w:pPr>
              <w:spacing w:line="360" w:lineRule="auto"/>
              <w:ind w:firstLine="480" w:firstLineChars="200"/>
              <w:rPr>
                <w:rFonts w:hint="default" w:ascii="Times New Roman" w:hAnsi="Times New Roman" w:cs="Times New Roman"/>
                <w:color w:val="000000"/>
                <w:sz w:val="24"/>
              </w:rPr>
            </w:pPr>
            <w:r>
              <w:rPr>
                <w:rFonts w:hint="default" w:ascii="Times New Roman" w:hAnsi="Times New Roman" w:cs="Times New Roman"/>
                <w:color w:val="000000"/>
                <w:sz w:val="24"/>
              </w:rPr>
              <w:t>其中，Q：风量，m</w:t>
            </w:r>
            <w:r>
              <w:rPr>
                <w:rFonts w:hint="default" w:ascii="Times New Roman" w:hAnsi="Times New Roman" w:cs="Times New Roman"/>
                <w:color w:val="000000"/>
                <w:sz w:val="24"/>
                <w:vertAlign w:val="superscript"/>
              </w:rPr>
              <w:t>3</w:t>
            </w:r>
            <w:r>
              <w:rPr>
                <w:rFonts w:hint="default" w:ascii="Times New Roman" w:hAnsi="Times New Roman" w:cs="Times New Roman"/>
                <w:color w:val="000000"/>
                <w:sz w:val="24"/>
              </w:rPr>
              <w:t>/h；</w:t>
            </w:r>
          </w:p>
          <w:p w14:paraId="5AA355AC">
            <w:pPr>
              <w:spacing w:line="360" w:lineRule="auto"/>
              <w:ind w:firstLine="480" w:firstLineChars="200"/>
              <w:rPr>
                <w:rFonts w:hint="default" w:ascii="Times New Roman" w:hAnsi="Times New Roman" w:cs="Times New Roman"/>
                <w:color w:val="000000"/>
                <w:sz w:val="24"/>
              </w:rPr>
            </w:pPr>
            <w:r>
              <w:rPr>
                <w:rFonts w:hint="default" w:ascii="Times New Roman" w:hAnsi="Times New Roman" w:cs="Times New Roman"/>
                <w:color w:val="000000"/>
                <w:sz w:val="24"/>
              </w:rPr>
              <w:t>K：考虑沿高度速度不均匀的安全系数，通常取1.4；</w:t>
            </w:r>
          </w:p>
          <w:p w14:paraId="471A7C61">
            <w:pPr>
              <w:spacing w:line="360" w:lineRule="auto"/>
              <w:ind w:firstLine="480" w:firstLineChars="200"/>
              <w:rPr>
                <w:rFonts w:hint="default" w:ascii="Times New Roman" w:hAnsi="Times New Roman" w:cs="Times New Roman"/>
                <w:color w:val="000000"/>
                <w:sz w:val="24"/>
              </w:rPr>
            </w:pPr>
            <w:r>
              <w:rPr>
                <w:rFonts w:hint="default" w:ascii="Times New Roman" w:hAnsi="Times New Roman" w:cs="Times New Roman"/>
                <w:color w:val="000000"/>
                <w:sz w:val="24"/>
              </w:rPr>
              <w:t>P：罩口周长，m；</w:t>
            </w:r>
          </w:p>
          <w:p w14:paraId="5E22675C">
            <w:pPr>
              <w:spacing w:line="360" w:lineRule="auto"/>
              <w:ind w:firstLine="480" w:firstLineChars="200"/>
              <w:rPr>
                <w:rFonts w:hint="default" w:ascii="Times New Roman" w:hAnsi="Times New Roman" w:cs="Times New Roman"/>
                <w:color w:val="000000"/>
                <w:sz w:val="24"/>
              </w:rPr>
            </w:pPr>
            <w:r>
              <w:rPr>
                <w:rFonts w:hint="default" w:ascii="Times New Roman" w:hAnsi="Times New Roman" w:cs="Times New Roman"/>
                <w:color w:val="000000"/>
                <w:sz w:val="24"/>
              </w:rPr>
              <w:t>H：罩口至污染源的距离，m；</w:t>
            </w:r>
          </w:p>
          <w:p w14:paraId="68E41141">
            <w:pPr>
              <w:spacing w:line="360" w:lineRule="auto"/>
              <w:ind w:firstLine="480" w:firstLineChars="200"/>
              <w:rPr>
                <w:rFonts w:hint="default" w:ascii="Times New Roman" w:hAnsi="Times New Roman" w:cs="Times New Roman"/>
                <w:color w:val="000000"/>
                <w:sz w:val="24"/>
              </w:rPr>
            </w:pPr>
            <w:r>
              <w:rPr>
                <w:rFonts w:hint="default" w:ascii="Times New Roman" w:hAnsi="Times New Roman" w:cs="Times New Roman"/>
                <w:color w:val="000000"/>
                <w:sz w:val="24"/>
              </w:rPr>
              <w:t>V</w:t>
            </w:r>
            <w:r>
              <w:rPr>
                <w:rFonts w:hint="default" w:ascii="Times New Roman" w:hAnsi="Times New Roman" w:cs="Times New Roman"/>
                <w:color w:val="000000"/>
                <w:sz w:val="24"/>
                <w:vertAlign w:val="subscript"/>
              </w:rPr>
              <w:t>X</w:t>
            </w:r>
            <w:r>
              <w:rPr>
                <w:rFonts w:hint="default" w:ascii="Times New Roman" w:hAnsi="Times New Roman" w:cs="Times New Roman"/>
                <w:color w:val="000000"/>
                <w:sz w:val="24"/>
              </w:rPr>
              <w:t>：污染源控制速度，m/s；</w:t>
            </w:r>
          </w:p>
          <w:p w14:paraId="1076ECD8">
            <w:pPr>
              <w:spacing w:line="360" w:lineRule="auto"/>
              <w:ind w:firstLine="480" w:firstLineChars="200"/>
              <w:rPr>
                <w:rFonts w:hint="default" w:ascii="Times New Roman" w:hAnsi="Times New Roman" w:cs="Times New Roman"/>
                <w:color w:val="000000"/>
                <w:sz w:val="24"/>
              </w:rPr>
            </w:pPr>
            <w:r>
              <w:rPr>
                <w:rFonts w:hint="default" w:ascii="Times New Roman" w:hAnsi="Times New Roman" w:cs="Times New Roman"/>
                <w:color w:val="000000"/>
                <w:sz w:val="24"/>
              </w:rPr>
              <w:t>项目污染源产生于废金属破碎、打包工序，根据《大气污染控制工程》可得，当污染源从轻微速度发散到相对平静的空气中时，污染源控制速度在0.25~0.5m/s，本项目取0.5m/s，即V</w:t>
            </w:r>
            <w:r>
              <w:rPr>
                <w:rFonts w:hint="default" w:ascii="Times New Roman" w:hAnsi="Times New Roman" w:cs="Times New Roman"/>
                <w:color w:val="000000"/>
                <w:sz w:val="24"/>
                <w:vertAlign w:val="subscript"/>
              </w:rPr>
              <w:t>X</w:t>
            </w:r>
            <w:r>
              <w:rPr>
                <w:rFonts w:hint="default" w:ascii="Times New Roman" w:hAnsi="Times New Roman" w:cs="Times New Roman"/>
                <w:color w:val="000000"/>
                <w:sz w:val="24"/>
              </w:rPr>
              <w:t>=0.5m/s。</w:t>
            </w:r>
          </w:p>
          <w:p w14:paraId="3D68C21B">
            <w:pPr>
              <w:spacing w:line="360" w:lineRule="auto"/>
              <w:ind w:firstLine="480" w:firstLineChars="200"/>
              <w:rPr>
                <w:rFonts w:hint="default" w:ascii="Times New Roman" w:hAnsi="Times New Roman" w:cs="Times New Roman"/>
                <w:color w:val="FF0000"/>
                <w:sz w:val="24"/>
              </w:rPr>
            </w:pPr>
            <w:r>
              <w:rPr>
                <w:rFonts w:hint="default" w:ascii="Times New Roman" w:hAnsi="Times New Roman" w:cs="Times New Roman"/>
                <w:color w:val="000000"/>
                <w:sz w:val="24"/>
              </w:rPr>
              <w:t>本项目金属破碎、打包、废橡胶破碎共有1台金属破碎机、2台打包机、1台橡胶破碎机，</w:t>
            </w:r>
            <w:r>
              <w:rPr>
                <w:rFonts w:hint="default" w:ascii="Times New Roman" w:hAnsi="Times New Roman" w:cs="Times New Roman"/>
                <w:color w:val="FF0000"/>
                <w:sz w:val="24"/>
              </w:rPr>
              <w:t>破碎机集气罩设置尺寸为2m×2m，打包机集气罩设置尺寸为8m×6m，即P=8m、28m，为避免横向气流的干扰，本项目设计罩口至污染源的距离为0.4m，即H=0.4m。</w:t>
            </w:r>
          </w:p>
          <w:p w14:paraId="76EB6304">
            <w:pPr>
              <w:spacing w:line="360" w:lineRule="auto"/>
              <w:ind w:firstLine="480" w:firstLineChars="200"/>
              <w:jc w:val="left"/>
              <w:rPr>
                <w:rFonts w:hint="default" w:ascii="Times New Roman" w:hAnsi="Times New Roman" w:cs="Times New Roman"/>
                <w:color w:val="000000"/>
                <w:sz w:val="24"/>
              </w:rPr>
            </w:pPr>
            <w:r>
              <w:rPr>
                <w:rFonts w:hint="default" w:ascii="Times New Roman" w:hAnsi="Times New Roman" w:cs="Times New Roman"/>
                <w:color w:val="000000"/>
                <w:sz w:val="24"/>
              </w:rPr>
              <w:t>Q=3600×1.4×72×0.8×0.4=72576m</w:t>
            </w:r>
            <w:r>
              <w:rPr>
                <w:rFonts w:hint="default" w:ascii="Times New Roman" w:hAnsi="Times New Roman" w:cs="Times New Roman"/>
                <w:color w:val="000000"/>
                <w:sz w:val="24"/>
                <w:vertAlign w:val="superscript"/>
              </w:rPr>
              <w:t>3</w:t>
            </w:r>
            <w:r>
              <w:rPr>
                <w:rFonts w:hint="default" w:ascii="Times New Roman" w:hAnsi="Times New Roman" w:cs="Times New Roman"/>
                <w:color w:val="000000"/>
                <w:sz w:val="24"/>
              </w:rPr>
              <w:t>/h，同时考虑风损等因素，本项目风量合计取整75000m</w:t>
            </w:r>
            <w:r>
              <w:rPr>
                <w:rFonts w:hint="default" w:ascii="Times New Roman" w:hAnsi="Times New Roman" w:cs="Times New Roman"/>
                <w:color w:val="000000"/>
                <w:sz w:val="24"/>
                <w:vertAlign w:val="superscript"/>
              </w:rPr>
              <w:t>3</w:t>
            </w:r>
            <w:r>
              <w:rPr>
                <w:rFonts w:hint="default" w:ascii="Times New Roman" w:hAnsi="Times New Roman" w:cs="Times New Roman"/>
                <w:color w:val="000000"/>
                <w:sz w:val="24"/>
              </w:rPr>
              <w:t>/h。</w:t>
            </w:r>
          </w:p>
          <w:p w14:paraId="3F428F28">
            <w:pPr>
              <w:spacing w:line="360" w:lineRule="auto"/>
              <w:ind w:firstLine="480" w:firstLineChars="200"/>
              <w:rPr>
                <w:rFonts w:hint="default" w:ascii="Times New Roman" w:hAnsi="Times New Roman" w:cs="Times New Roman"/>
                <w:color w:val="000000"/>
                <w:sz w:val="24"/>
              </w:rPr>
            </w:pPr>
            <w:r>
              <w:rPr>
                <w:rFonts w:hint="default" w:ascii="Times New Roman" w:hAnsi="Times New Roman" w:cs="Times New Roman"/>
                <w:color w:val="000000"/>
                <w:sz w:val="24"/>
              </w:rPr>
              <w:t>则该工序有组织颗粒物产生量</w:t>
            </w:r>
            <w:r>
              <w:rPr>
                <w:rFonts w:hint="default" w:ascii="Times New Roman" w:hAnsi="Times New Roman" w:cs="Times New Roman"/>
                <w:color w:val="000000"/>
                <w:sz w:val="24"/>
                <w:lang w:eastAsia="zh-CN"/>
              </w:rPr>
              <w:t>18.565</w:t>
            </w:r>
            <w:r>
              <w:rPr>
                <w:rFonts w:hint="default" w:ascii="Times New Roman" w:hAnsi="Times New Roman" w:cs="Times New Roman"/>
                <w:color w:val="000000"/>
                <w:sz w:val="24"/>
              </w:rPr>
              <w:t>t/a，</w:t>
            </w:r>
            <w:r>
              <w:rPr>
                <w:rFonts w:hint="default" w:ascii="Times New Roman" w:hAnsi="Times New Roman" w:cs="Times New Roman"/>
                <w:color w:val="000000"/>
                <w:sz w:val="24"/>
                <w:lang w:val="en-US" w:eastAsia="zh-CN"/>
              </w:rPr>
              <w:t>7.735</w:t>
            </w:r>
            <w:r>
              <w:rPr>
                <w:rFonts w:hint="default" w:ascii="Times New Roman" w:hAnsi="Times New Roman" w:cs="Times New Roman"/>
                <w:color w:val="000000"/>
                <w:sz w:val="24"/>
              </w:rPr>
              <w:t>kg/h，产生浓度</w:t>
            </w:r>
            <w:r>
              <w:rPr>
                <w:rFonts w:hint="default" w:ascii="Times New Roman" w:hAnsi="Times New Roman" w:cs="Times New Roman"/>
                <w:color w:val="000000"/>
                <w:sz w:val="24"/>
                <w:lang w:eastAsia="zh-CN"/>
              </w:rPr>
              <w:t>103.139</w:t>
            </w:r>
            <w:r>
              <w:rPr>
                <w:rFonts w:hint="default" w:ascii="Times New Roman" w:hAnsi="Times New Roman" w:cs="Times New Roman"/>
                <w:color w:val="000000"/>
                <w:sz w:val="24"/>
              </w:rPr>
              <w:t>mg/m</w:t>
            </w:r>
            <w:r>
              <w:rPr>
                <w:rFonts w:hint="default" w:ascii="Times New Roman" w:hAnsi="Times New Roman" w:cs="Times New Roman"/>
                <w:color w:val="000000"/>
                <w:sz w:val="24"/>
                <w:vertAlign w:val="superscript"/>
              </w:rPr>
              <w:t>3</w:t>
            </w:r>
            <w:r>
              <w:rPr>
                <w:rFonts w:hint="default" w:ascii="Times New Roman" w:hAnsi="Times New Roman" w:cs="Times New Roman"/>
                <w:color w:val="000000"/>
                <w:sz w:val="24"/>
              </w:rPr>
              <w:t>；有组织排放量约</w:t>
            </w:r>
            <w:r>
              <w:rPr>
                <w:rFonts w:hint="default" w:ascii="Times New Roman" w:hAnsi="Times New Roman" w:cs="Times New Roman"/>
                <w:color w:val="000000"/>
                <w:sz w:val="24"/>
                <w:lang w:eastAsia="zh-CN"/>
              </w:rPr>
              <w:t>0.186</w:t>
            </w:r>
            <w:r>
              <w:rPr>
                <w:rFonts w:hint="default" w:ascii="Times New Roman" w:hAnsi="Times New Roman" w:cs="Times New Roman"/>
                <w:color w:val="000000"/>
                <w:sz w:val="24"/>
              </w:rPr>
              <w:t>t/a，0.0</w:t>
            </w:r>
            <w:r>
              <w:rPr>
                <w:rFonts w:hint="default" w:ascii="Times New Roman" w:hAnsi="Times New Roman" w:cs="Times New Roman"/>
                <w:color w:val="000000"/>
                <w:sz w:val="24"/>
                <w:lang w:val="en-US" w:eastAsia="zh-CN"/>
              </w:rPr>
              <w:t>77</w:t>
            </w:r>
            <w:r>
              <w:rPr>
                <w:rFonts w:hint="default" w:ascii="Times New Roman" w:hAnsi="Times New Roman" w:cs="Times New Roman"/>
                <w:color w:val="000000"/>
                <w:sz w:val="24"/>
              </w:rPr>
              <w:t>kg/h，排放浓度</w:t>
            </w:r>
            <w:r>
              <w:rPr>
                <w:rFonts w:hint="default" w:ascii="Times New Roman" w:hAnsi="Times New Roman" w:cs="Times New Roman"/>
                <w:color w:val="000000"/>
                <w:sz w:val="24"/>
                <w:lang w:eastAsia="zh-CN"/>
              </w:rPr>
              <w:t>1.026</w:t>
            </w:r>
            <w:r>
              <w:rPr>
                <w:rFonts w:hint="default" w:ascii="Times New Roman" w:hAnsi="Times New Roman" w:cs="Times New Roman"/>
                <w:color w:val="000000"/>
                <w:sz w:val="24"/>
              </w:rPr>
              <w:t>mg/m</w:t>
            </w:r>
            <w:r>
              <w:rPr>
                <w:rFonts w:hint="default" w:ascii="Times New Roman" w:hAnsi="Times New Roman" w:cs="Times New Roman"/>
                <w:color w:val="000000"/>
                <w:sz w:val="24"/>
                <w:vertAlign w:val="superscript"/>
              </w:rPr>
              <w:t>3</w:t>
            </w:r>
            <w:r>
              <w:rPr>
                <w:rFonts w:hint="default" w:ascii="Times New Roman" w:hAnsi="Times New Roman" w:cs="Times New Roman"/>
                <w:color w:val="000000"/>
                <w:sz w:val="24"/>
              </w:rPr>
              <w:t>。</w:t>
            </w:r>
          </w:p>
          <w:p w14:paraId="777AD15D">
            <w:pPr>
              <w:spacing w:line="360" w:lineRule="auto"/>
              <w:ind w:firstLine="480" w:firstLineChars="200"/>
              <w:rPr>
                <w:rFonts w:hint="default" w:ascii="Times New Roman" w:hAnsi="Times New Roman" w:cs="Times New Roman"/>
                <w:color w:val="000000"/>
                <w:sz w:val="24"/>
              </w:rPr>
            </w:pPr>
            <w:r>
              <w:rPr>
                <w:rFonts w:hint="default" w:ascii="Times New Roman" w:hAnsi="Times New Roman" w:cs="Times New Roman"/>
                <w:color w:val="000000"/>
                <w:sz w:val="24"/>
              </w:rPr>
              <w:t>该工序未捕集的颗粒物为</w:t>
            </w:r>
            <w:r>
              <w:rPr>
                <w:rFonts w:hint="default" w:ascii="Times New Roman" w:hAnsi="Times New Roman" w:cs="Times New Roman"/>
                <w:color w:val="000000"/>
                <w:sz w:val="24"/>
                <w:lang w:val="en-US" w:eastAsia="zh-CN"/>
              </w:rPr>
              <w:t>4.641</w:t>
            </w:r>
            <w:r>
              <w:rPr>
                <w:rFonts w:hint="default" w:ascii="Times New Roman" w:hAnsi="Times New Roman" w:cs="Times New Roman"/>
                <w:color w:val="000000"/>
                <w:sz w:val="24"/>
              </w:rPr>
              <w:t>t/a，在生产车间中经自由沉降后无组织排放，密闭车间沉降效率90%，经核算，颗粒物无组织排放量约为0.253t/a，排放速率约为0.105kg/h（全年工作时间按2400h计）。</w:t>
            </w:r>
          </w:p>
          <w:p w14:paraId="64B65039">
            <w:pPr>
              <w:pStyle w:val="19"/>
              <w:spacing w:after="0" w:line="360" w:lineRule="auto"/>
              <w:ind w:firstLine="0" w:firstLineChars="0"/>
              <w:rPr>
                <w:rFonts w:hint="default" w:ascii="Times New Roman" w:hAnsi="Times New Roman" w:cs="Times New Roman"/>
                <w:b/>
                <w:bCs/>
                <w:sz w:val="24"/>
                <w:szCs w:val="22"/>
                <w:lang w:val="en-US" w:eastAsia="zh-CN"/>
              </w:rPr>
            </w:pPr>
            <w:r>
              <w:rPr>
                <w:rFonts w:hint="default" w:ascii="Times New Roman" w:hAnsi="Times New Roman" w:cs="Times New Roman"/>
                <w:b/>
                <w:bCs/>
                <w:sz w:val="24"/>
                <w:szCs w:val="22"/>
                <w:lang w:val="en-US" w:eastAsia="zh-CN"/>
              </w:rPr>
              <w:t>（4）污水处理站恶臭（G6）</w:t>
            </w:r>
          </w:p>
          <w:p w14:paraId="295D8385">
            <w:pPr>
              <w:pStyle w:val="144"/>
              <w:keepNext w:val="0"/>
              <w:keepLines w:val="0"/>
              <w:pageBreakBefore w:val="0"/>
              <w:widowControl w:val="0"/>
              <w:kinsoku/>
              <w:wordWrap/>
              <w:overflowPunct/>
              <w:topLinePunct w:val="0"/>
              <w:autoSpaceDE/>
              <w:autoSpaceDN/>
              <w:bidi w:val="0"/>
              <w:adjustRightInd w:val="0"/>
              <w:snapToGrid w:val="0"/>
              <w:spacing w:beforeAutospacing="0" w:afterAutospacing="0" w:line="360" w:lineRule="auto"/>
              <w:ind w:left="0" w:leftChars="0" w:right="0" w:rightChars="0"/>
              <w:jc w:val="both"/>
              <w:textAlignment w:val="baseline"/>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rPr>
              <w:t>参</w:t>
            </w:r>
            <w:r>
              <w:rPr>
                <w:rFonts w:hint="default" w:ascii="Times New Roman" w:hAnsi="Times New Roman" w:eastAsia="宋体" w:cs="Times New Roman"/>
                <w:color w:val="auto"/>
                <w:highlight w:val="none"/>
                <w:lang w:val="en-US" w:eastAsia="zh-CN"/>
              </w:rPr>
              <w:t>考</w:t>
            </w:r>
            <w:r>
              <w:rPr>
                <w:rFonts w:hint="default" w:ascii="Times New Roman" w:hAnsi="Times New Roman" w:eastAsia="宋体" w:cs="Times New Roman"/>
                <w:color w:val="auto"/>
                <w:highlight w:val="none"/>
              </w:rPr>
              <w:t>《污水处理厂恶臭防治对策及环境影响评价的研究》（薛松，和慧，邓莉蕊，孙晶晶）及《城市污水处理厂恶臭影响及对策分析》（王喜红，黑龙江环境通报，2011年9月），</w:t>
            </w:r>
            <w:r>
              <w:rPr>
                <w:rFonts w:hint="default" w:ascii="Times New Roman" w:hAnsi="Times New Roman" w:eastAsia="宋体" w:cs="Times New Roman"/>
                <w:color w:val="auto"/>
                <w:highlight w:val="none"/>
                <w:lang w:val="en-US" w:eastAsia="zh-CN"/>
              </w:rPr>
              <w:t>本项目采用“</w:t>
            </w:r>
            <w:r>
              <w:rPr>
                <w:rFonts w:hint="default" w:ascii="Times New Roman" w:hAnsi="Times New Roman" w:cs="Times New Roman"/>
                <w:color w:val="000000"/>
                <w:sz w:val="24"/>
              </w:rPr>
              <w:t>均质+隔油+气浮+沉淀+过滤</w:t>
            </w:r>
            <w:r>
              <w:rPr>
                <w:rFonts w:hint="default" w:ascii="Times New Roman" w:hAnsi="Times New Roman" w:eastAsia="宋体" w:cs="Times New Roman"/>
                <w:color w:val="auto"/>
                <w:highlight w:val="none"/>
                <w:lang w:val="en-US" w:eastAsia="zh-CN"/>
              </w:rPr>
              <w:t>”处理工艺，</w:t>
            </w:r>
            <w:r>
              <w:rPr>
                <w:rFonts w:hint="default" w:ascii="Times New Roman" w:hAnsi="Times New Roman" w:cs="Times New Roman"/>
                <w:color w:val="auto"/>
                <w:highlight w:val="none"/>
                <w:lang w:val="en-US" w:eastAsia="zh-CN"/>
              </w:rPr>
              <w:t>本项目污水处理设施预处理</w:t>
            </w:r>
            <w:r>
              <w:rPr>
                <w:rFonts w:hint="default" w:ascii="Times New Roman" w:hAnsi="Times New Roman" w:eastAsia="宋体" w:cs="Times New Roman"/>
                <w:color w:val="auto"/>
                <w:highlight w:val="none"/>
                <w:lang w:val="en-US" w:eastAsia="zh-CN"/>
              </w:rPr>
              <w:t>处理工艺原理与参考文件中的工艺原理相同，因此可进行参考。</w:t>
            </w:r>
          </w:p>
          <w:p w14:paraId="74893001">
            <w:pPr>
              <w:pStyle w:val="144"/>
              <w:keepNext w:val="0"/>
              <w:keepLines w:val="0"/>
              <w:pageBreakBefore w:val="0"/>
              <w:widowControl w:val="0"/>
              <w:kinsoku/>
              <w:wordWrap/>
              <w:overflowPunct/>
              <w:topLinePunct w:val="0"/>
              <w:autoSpaceDE/>
              <w:autoSpaceDN/>
              <w:bidi w:val="0"/>
              <w:adjustRightInd w:val="0"/>
              <w:snapToGrid w:val="0"/>
              <w:spacing w:beforeAutospacing="0" w:afterAutospacing="0" w:line="360" w:lineRule="auto"/>
              <w:ind w:left="0" w:leftChars="0" w:right="0" w:rightChars="0"/>
              <w:jc w:val="both"/>
              <w:textAlignment w:val="baseline"/>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lang w:eastAsia="zh-CN"/>
              </w:rPr>
              <w:t>污水处理站产生的废气污染物主要为</w:t>
            </w:r>
            <w:r>
              <w:rPr>
                <w:rFonts w:hint="default" w:ascii="Times New Roman" w:hAnsi="Times New Roman" w:eastAsia="宋体" w:cs="Times New Roman"/>
                <w:color w:val="auto"/>
                <w:highlight w:val="none"/>
              </w:rPr>
              <w:t>NH</w:t>
            </w:r>
            <w:r>
              <w:rPr>
                <w:rFonts w:hint="default" w:ascii="Times New Roman" w:hAnsi="Times New Roman" w:eastAsia="宋体" w:cs="Times New Roman"/>
                <w:color w:val="auto"/>
                <w:highlight w:val="none"/>
                <w:vertAlign w:val="subscript"/>
              </w:rPr>
              <w:t>3</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H</w:t>
            </w:r>
            <w:r>
              <w:rPr>
                <w:rFonts w:hint="default" w:ascii="Times New Roman" w:hAnsi="Times New Roman" w:eastAsia="宋体" w:cs="Times New Roman"/>
                <w:color w:val="auto"/>
                <w:highlight w:val="none"/>
                <w:vertAlign w:val="subscript"/>
              </w:rPr>
              <w:t>2</w:t>
            </w:r>
            <w:r>
              <w:rPr>
                <w:rFonts w:hint="default" w:ascii="Times New Roman" w:hAnsi="Times New Roman" w:eastAsia="宋体" w:cs="Times New Roman"/>
                <w:color w:val="auto"/>
                <w:highlight w:val="none"/>
              </w:rPr>
              <w:t>S</w:t>
            </w:r>
            <w:r>
              <w:rPr>
                <w:rFonts w:hint="default" w:ascii="Times New Roman" w:hAnsi="Times New Roman" w:eastAsia="宋体" w:cs="Times New Roman"/>
                <w:color w:val="auto"/>
                <w:highlight w:val="none"/>
                <w:lang w:eastAsia="zh-CN"/>
              </w:rPr>
              <w:t>和臭气浓度，其中</w:t>
            </w:r>
            <w:r>
              <w:rPr>
                <w:rFonts w:hint="default" w:ascii="Times New Roman" w:hAnsi="Times New Roman" w:eastAsia="宋体" w:cs="Times New Roman"/>
                <w:color w:val="auto"/>
                <w:highlight w:val="none"/>
              </w:rPr>
              <w:t>NH</w:t>
            </w:r>
            <w:r>
              <w:rPr>
                <w:rFonts w:hint="default" w:ascii="Times New Roman" w:hAnsi="Times New Roman" w:eastAsia="宋体" w:cs="Times New Roman"/>
                <w:color w:val="auto"/>
                <w:highlight w:val="none"/>
                <w:vertAlign w:val="subscript"/>
              </w:rPr>
              <w:t>3</w:t>
            </w:r>
            <w:r>
              <w:rPr>
                <w:rFonts w:hint="default" w:ascii="Times New Roman" w:hAnsi="Times New Roman" w:eastAsia="宋体" w:cs="Times New Roman"/>
                <w:color w:val="auto"/>
                <w:highlight w:val="none"/>
              </w:rPr>
              <w:t>和H</w:t>
            </w:r>
            <w:r>
              <w:rPr>
                <w:rFonts w:hint="default" w:ascii="Times New Roman" w:hAnsi="Times New Roman" w:eastAsia="宋体" w:cs="Times New Roman"/>
                <w:color w:val="auto"/>
                <w:highlight w:val="none"/>
                <w:vertAlign w:val="subscript"/>
              </w:rPr>
              <w:t>2</w:t>
            </w:r>
            <w:r>
              <w:rPr>
                <w:rFonts w:hint="default" w:ascii="Times New Roman" w:hAnsi="Times New Roman" w:eastAsia="宋体" w:cs="Times New Roman"/>
                <w:color w:val="auto"/>
                <w:highlight w:val="none"/>
              </w:rPr>
              <w:t>S</w:t>
            </w:r>
            <w:r>
              <w:rPr>
                <w:rFonts w:hint="default" w:ascii="Times New Roman" w:hAnsi="Times New Roman" w:eastAsia="宋体" w:cs="Times New Roman"/>
                <w:color w:val="auto"/>
                <w:highlight w:val="none"/>
                <w:lang w:eastAsia="zh-CN"/>
              </w:rPr>
              <w:t>定量计算，臭气浓度源强难以定量计算，仅做定性分析；</w:t>
            </w:r>
            <w:r>
              <w:rPr>
                <w:rFonts w:hint="default" w:ascii="Times New Roman" w:hAnsi="Times New Roman" w:eastAsia="宋体" w:cs="Times New Roman"/>
                <w:color w:val="auto"/>
                <w:highlight w:val="none"/>
              </w:rPr>
              <w:t>本项目根据设计的构筑物表面积对拟建项目主要臭气产生单元NH</w:t>
            </w:r>
            <w:r>
              <w:rPr>
                <w:rFonts w:hint="default" w:ascii="Times New Roman" w:hAnsi="Times New Roman" w:eastAsia="宋体" w:cs="Times New Roman"/>
                <w:color w:val="auto"/>
                <w:highlight w:val="none"/>
                <w:vertAlign w:val="subscript"/>
              </w:rPr>
              <w:t>3</w:t>
            </w:r>
            <w:r>
              <w:rPr>
                <w:rFonts w:hint="default" w:ascii="Times New Roman" w:hAnsi="Times New Roman" w:eastAsia="宋体" w:cs="Times New Roman"/>
                <w:color w:val="auto"/>
                <w:highlight w:val="none"/>
              </w:rPr>
              <w:t>和H</w:t>
            </w:r>
            <w:r>
              <w:rPr>
                <w:rFonts w:hint="default" w:ascii="Times New Roman" w:hAnsi="Times New Roman" w:eastAsia="宋体" w:cs="Times New Roman"/>
                <w:color w:val="auto"/>
                <w:highlight w:val="none"/>
                <w:vertAlign w:val="subscript"/>
              </w:rPr>
              <w:t>2</w:t>
            </w:r>
            <w:r>
              <w:rPr>
                <w:rFonts w:hint="default" w:ascii="Times New Roman" w:hAnsi="Times New Roman" w:eastAsia="宋体" w:cs="Times New Roman"/>
                <w:color w:val="auto"/>
                <w:highlight w:val="none"/>
              </w:rPr>
              <w:t>S的产生量进行估算，项目各处理单元产生的NH</w:t>
            </w:r>
            <w:r>
              <w:rPr>
                <w:rFonts w:hint="default" w:ascii="Times New Roman" w:hAnsi="Times New Roman" w:eastAsia="宋体" w:cs="Times New Roman"/>
                <w:color w:val="auto"/>
                <w:highlight w:val="none"/>
                <w:vertAlign w:val="subscript"/>
                <w:lang w:val="en-US" w:eastAsia="zh-CN"/>
              </w:rPr>
              <w:t>3</w:t>
            </w:r>
            <w:r>
              <w:rPr>
                <w:rFonts w:hint="default" w:ascii="Times New Roman" w:hAnsi="Times New Roman" w:eastAsia="宋体" w:cs="Times New Roman"/>
                <w:color w:val="auto"/>
                <w:highlight w:val="none"/>
              </w:rPr>
              <w:t>和H</w:t>
            </w:r>
            <w:r>
              <w:rPr>
                <w:rFonts w:hint="default" w:ascii="Times New Roman" w:hAnsi="Times New Roman" w:eastAsia="宋体" w:cs="Times New Roman"/>
                <w:color w:val="auto"/>
                <w:highlight w:val="none"/>
                <w:vertAlign w:val="subscript"/>
              </w:rPr>
              <w:t>2</w:t>
            </w:r>
            <w:r>
              <w:rPr>
                <w:rFonts w:hint="default" w:ascii="Times New Roman" w:hAnsi="Times New Roman" w:eastAsia="宋体" w:cs="Times New Roman"/>
                <w:color w:val="auto"/>
                <w:highlight w:val="none"/>
              </w:rPr>
              <w:t>S产生情况见下</w:t>
            </w:r>
            <w:r>
              <w:rPr>
                <w:rFonts w:hint="default" w:ascii="Times New Roman" w:hAnsi="Times New Roman" w:eastAsia="宋体" w:cs="Times New Roman"/>
                <w:color w:val="auto"/>
                <w:highlight w:val="none"/>
                <w:lang w:val="en-US" w:eastAsia="zh-CN"/>
              </w:rPr>
              <w:t>表</w:t>
            </w:r>
            <w:r>
              <w:rPr>
                <w:rFonts w:hint="default" w:ascii="Times New Roman" w:hAnsi="Times New Roman" w:eastAsia="宋体" w:cs="Times New Roman"/>
                <w:color w:val="auto"/>
                <w:highlight w:val="none"/>
              </w:rPr>
              <w:t>。</w:t>
            </w:r>
          </w:p>
          <w:p w14:paraId="4E307D82">
            <w:pPr>
              <w:keepNext w:val="0"/>
              <w:keepLines w:val="0"/>
              <w:pageBreakBefore w:val="0"/>
              <w:widowControl w:val="0"/>
              <w:shd w:val="clear" w:color="auto" w:fill="auto"/>
              <w:kinsoku/>
              <w:wordWrap/>
              <w:overflowPunct/>
              <w:topLinePunct w:val="0"/>
              <w:autoSpaceDE/>
              <w:autoSpaceDN/>
              <w:bidi w:val="0"/>
              <w:adjustRightInd/>
              <w:spacing w:line="240" w:lineRule="auto"/>
              <w:jc w:val="center"/>
              <w:textAlignment w:val="auto"/>
              <w:rPr>
                <w:rFonts w:hint="default" w:ascii="Times New Roman" w:hAnsi="Times New Roman" w:eastAsia="宋体" w:cs="Times New Roman"/>
                <w:b/>
                <w:bCs/>
                <w:color w:val="auto"/>
                <w:sz w:val="21"/>
                <w:szCs w:val="21"/>
                <w:highlight w:val="none"/>
                <w:shd w:val="clear" w:color="auto" w:fill="auto"/>
                <w:lang w:val="pt-BR" w:eastAsia="zh-CN"/>
              </w:rPr>
            </w:pPr>
            <w:r>
              <w:rPr>
                <w:rFonts w:hint="default" w:ascii="Times New Roman" w:hAnsi="Times New Roman" w:eastAsia="宋体" w:cs="Times New Roman"/>
                <w:b/>
                <w:bCs/>
                <w:color w:val="auto"/>
                <w:sz w:val="21"/>
                <w:szCs w:val="21"/>
                <w:highlight w:val="none"/>
                <w:shd w:val="clear" w:color="auto" w:fill="auto"/>
                <w:lang w:val="pt-BR" w:eastAsia="zh-CN"/>
              </w:rPr>
              <w:t>表</w:t>
            </w:r>
            <w:r>
              <w:rPr>
                <w:rFonts w:hint="default" w:ascii="Times New Roman" w:hAnsi="Times New Roman" w:eastAsia="宋体" w:cs="Times New Roman"/>
                <w:b/>
                <w:bCs/>
                <w:color w:val="auto"/>
                <w:sz w:val="21"/>
                <w:szCs w:val="21"/>
                <w:highlight w:val="none"/>
                <w:shd w:val="clear" w:color="auto" w:fill="auto"/>
                <w:lang w:val="en-US" w:eastAsia="zh-CN"/>
              </w:rPr>
              <w:t>4-</w:t>
            </w:r>
            <w:r>
              <w:rPr>
                <w:rFonts w:hint="eastAsia" w:cs="Times New Roman"/>
                <w:b/>
                <w:bCs/>
                <w:color w:val="auto"/>
                <w:sz w:val="21"/>
                <w:szCs w:val="21"/>
                <w:highlight w:val="none"/>
                <w:shd w:val="clear" w:color="auto" w:fill="auto"/>
                <w:lang w:val="en-US" w:eastAsia="zh-CN"/>
              </w:rPr>
              <w:t>5</w:t>
            </w:r>
            <w:r>
              <w:rPr>
                <w:rFonts w:hint="default" w:ascii="Times New Roman" w:hAnsi="Times New Roman" w:cs="Times New Roman"/>
                <w:b/>
                <w:bCs/>
                <w:color w:val="auto"/>
                <w:sz w:val="21"/>
                <w:szCs w:val="21"/>
                <w:highlight w:val="none"/>
                <w:shd w:val="clear" w:color="auto" w:fill="auto"/>
                <w:lang w:val="en-US" w:eastAsia="zh-CN"/>
              </w:rPr>
              <w:t xml:space="preserve">  </w:t>
            </w:r>
            <w:r>
              <w:rPr>
                <w:rFonts w:hint="default" w:ascii="Times New Roman" w:hAnsi="Times New Roman" w:eastAsia="宋体" w:cs="Times New Roman"/>
                <w:b/>
                <w:bCs/>
                <w:color w:val="auto"/>
                <w:sz w:val="21"/>
                <w:szCs w:val="21"/>
                <w:highlight w:val="none"/>
                <w:shd w:val="clear" w:color="auto" w:fill="auto"/>
                <w:lang w:val="en-US" w:eastAsia="zh-CN"/>
              </w:rPr>
              <w:t xml:space="preserve">  </w:t>
            </w:r>
            <w:r>
              <w:rPr>
                <w:rFonts w:hint="default" w:ascii="Times New Roman" w:hAnsi="Times New Roman" w:eastAsia="宋体" w:cs="Times New Roman"/>
                <w:b/>
                <w:bCs/>
                <w:color w:val="auto"/>
                <w:sz w:val="21"/>
                <w:szCs w:val="21"/>
                <w:highlight w:val="none"/>
                <w:shd w:val="clear" w:color="auto" w:fill="auto"/>
                <w:lang w:val="pt-BR" w:eastAsia="zh-CN"/>
              </w:rPr>
              <w:t>污水处理构筑物单位面积恶臭污染物产生源强</w:t>
            </w:r>
          </w:p>
          <w:tbl>
            <w:tblPr>
              <w:tblStyle w:val="80"/>
              <w:tblW w:w="4998" w:type="pct"/>
              <w:jc w:val="center"/>
              <w:tblBorders>
                <w:top w:val="double" w:color="000000" w:sz="4" w:space="0"/>
                <w:left w:val="none" w:color="auto" w:sz="0" w:space="0"/>
                <w:bottom w:val="double" w:color="000000" w:sz="4" w:space="0"/>
                <w:right w:val="none" w:color="auto" w:sz="0" w:space="0"/>
                <w:insideH w:val="single" w:color="000000" w:sz="2" w:space="0"/>
                <w:insideV w:val="single" w:color="000000" w:sz="2" w:space="0"/>
              </w:tblBorders>
              <w:tblLayout w:type="fixed"/>
              <w:tblCellMar>
                <w:top w:w="0" w:type="dxa"/>
                <w:left w:w="0" w:type="dxa"/>
                <w:bottom w:w="0" w:type="dxa"/>
                <w:right w:w="0" w:type="dxa"/>
              </w:tblCellMar>
            </w:tblPr>
            <w:tblGrid>
              <w:gridCol w:w="2824"/>
              <w:gridCol w:w="2822"/>
              <w:gridCol w:w="2825"/>
            </w:tblGrid>
            <w:tr w14:paraId="31BACA46">
              <w:tblPrEx>
                <w:tblBorders>
                  <w:top w:val="double" w:color="000000" w:sz="4" w:space="0"/>
                  <w:left w:val="none" w:color="auto" w:sz="0" w:space="0"/>
                  <w:bottom w:val="double" w:color="000000" w:sz="4" w:space="0"/>
                  <w:right w:val="none" w:color="auto" w:sz="0" w:space="0"/>
                  <w:insideH w:val="single" w:color="000000" w:sz="2" w:space="0"/>
                  <w:insideV w:val="single" w:color="000000" w:sz="2" w:space="0"/>
                </w:tblBorders>
              </w:tblPrEx>
              <w:trPr>
                <w:trHeight w:val="397" w:hRule="atLeast"/>
                <w:jc w:val="center"/>
              </w:trPr>
              <w:tc>
                <w:tcPr>
                  <w:tcW w:w="1666" w:type="pct"/>
                  <w:tcBorders>
                    <w:tl2br w:val="nil"/>
                    <w:tr2bl w:val="nil"/>
                  </w:tcBorders>
                  <w:noWrap w:val="0"/>
                  <w:vAlign w:val="center"/>
                </w:tcPr>
                <w:p w14:paraId="78C014DA">
                  <w:pPr>
                    <w:autoSpaceDE w:val="0"/>
                    <w:autoSpaceDN w:val="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构筑物名称</w:t>
                  </w:r>
                </w:p>
              </w:tc>
              <w:tc>
                <w:tcPr>
                  <w:tcW w:w="1665" w:type="pct"/>
                  <w:tcBorders>
                    <w:tl2br w:val="nil"/>
                    <w:tr2bl w:val="nil"/>
                  </w:tcBorders>
                  <w:noWrap w:val="0"/>
                  <w:vAlign w:val="center"/>
                </w:tcPr>
                <w:p w14:paraId="775B1B23">
                  <w:pPr>
                    <w:autoSpaceDE w:val="0"/>
                    <w:autoSpaceDN w:val="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NH</w:t>
                  </w:r>
                  <w:r>
                    <w:rPr>
                      <w:rFonts w:hint="default" w:ascii="Times New Roman" w:hAnsi="Times New Roman" w:eastAsia="宋体" w:cs="Times New Roman"/>
                      <w:b/>
                      <w:bCs/>
                      <w:color w:val="auto"/>
                      <w:sz w:val="21"/>
                      <w:szCs w:val="21"/>
                      <w:vertAlign w:val="subscript"/>
                    </w:rPr>
                    <w:t>3</w:t>
                  </w:r>
                  <w:r>
                    <w:rPr>
                      <w:rFonts w:hint="default" w:ascii="Times New Roman" w:hAnsi="Times New Roman" w:eastAsia="宋体" w:cs="Times New Roman"/>
                      <w:b/>
                      <w:bCs/>
                      <w:color w:val="auto"/>
                      <w:sz w:val="21"/>
                      <w:szCs w:val="21"/>
                    </w:rPr>
                    <w:t>（mg/s·m</w:t>
                  </w:r>
                  <w:r>
                    <w:rPr>
                      <w:rFonts w:hint="default" w:ascii="Times New Roman" w:hAnsi="Times New Roman" w:eastAsia="宋体" w:cs="Times New Roman"/>
                      <w:b/>
                      <w:bCs/>
                      <w:color w:val="auto"/>
                      <w:sz w:val="21"/>
                      <w:szCs w:val="21"/>
                      <w:vertAlign w:val="superscript"/>
                    </w:rPr>
                    <w:t>2</w:t>
                  </w:r>
                  <w:r>
                    <w:rPr>
                      <w:rFonts w:hint="default" w:ascii="Times New Roman" w:hAnsi="Times New Roman" w:eastAsia="宋体" w:cs="Times New Roman"/>
                      <w:b/>
                      <w:bCs/>
                      <w:color w:val="auto"/>
                      <w:sz w:val="21"/>
                      <w:szCs w:val="21"/>
                    </w:rPr>
                    <w:t>）</w:t>
                  </w:r>
                </w:p>
              </w:tc>
              <w:tc>
                <w:tcPr>
                  <w:tcW w:w="1667" w:type="pct"/>
                  <w:tcBorders>
                    <w:tl2br w:val="nil"/>
                    <w:tr2bl w:val="nil"/>
                  </w:tcBorders>
                  <w:noWrap w:val="0"/>
                  <w:vAlign w:val="center"/>
                </w:tcPr>
                <w:p w14:paraId="41D774CD">
                  <w:pPr>
                    <w:autoSpaceDE w:val="0"/>
                    <w:autoSpaceDN w:val="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H</w:t>
                  </w:r>
                  <w:r>
                    <w:rPr>
                      <w:rFonts w:hint="default" w:ascii="Times New Roman" w:hAnsi="Times New Roman" w:eastAsia="宋体" w:cs="Times New Roman"/>
                      <w:b/>
                      <w:bCs/>
                      <w:color w:val="auto"/>
                      <w:sz w:val="21"/>
                      <w:szCs w:val="21"/>
                      <w:vertAlign w:val="subscript"/>
                    </w:rPr>
                    <w:t>2</w:t>
                  </w:r>
                  <w:r>
                    <w:rPr>
                      <w:rFonts w:hint="default" w:ascii="Times New Roman" w:hAnsi="Times New Roman" w:eastAsia="宋体" w:cs="Times New Roman"/>
                      <w:b/>
                      <w:bCs/>
                      <w:color w:val="auto"/>
                      <w:sz w:val="21"/>
                      <w:szCs w:val="21"/>
                    </w:rPr>
                    <w:t>S（mg/s·m</w:t>
                  </w:r>
                  <w:r>
                    <w:rPr>
                      <w:rFonts w:hint="default" w:ascii="Times New Roman" w:hAnsi="Times New Roman" w:eastAsia="宋体" w:cs="Times New Roman"/>
                      <w:b/>
                      <w:bCs/>
                      <w:color w:val="auto"/>
                      <w:sz w:val="21"/>
                      <w:szCs w:val="21"/>
                      <w:vertAlign w:val="superscript"/>
                    </w:rPr>
                    <w:t>2</w:t>
                  </w:r>
                  <w:r>
                    <w:rPr>
                      <w:rFonts w:hint="default" w:ascii="Times New Roman" w:hAnsi="Times New Roman" w:eastAsia="宋体" w:cs="Times New Roman"/>
                      <w:b/>
                      <w:bCs/>
                      <w:color w:val="auto"/>
                      <w:sz w:val="21"/>
                      <w:szCs w:val="21"/>
                    </w:rPr>
                    <w:t>）</w:t>
                  </w:r>
                </w:p>
              </w:tc>
            </w:tr>
            <w:tr w14:paraId="3958BC05">
              <w:tblPrEx>
                <w:tblBorders>
                  <w:top w:val="double" w:color="000000" w:sz="4" w:space="0"/>
                  <w:left w:val="none" w:color="auto" w:sz="0" w:space="0"/>
                  <w:bottom w:val="double" w:color="000000" w:sz="4"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97" w:hRule="atLeast"/>
                <w:jc w:val="center"/>
              </w:trPr>
              <w:tc>
                <w:tcPr>
                  <w:tcW w:w="1666" w:type="pct"/>
                  <w:tcBorders>
                    <w:tl2br w:val="nil"/>
                    <w:tr2bl w:val="nil"/>
                  </w:tcBorders>
                  <w:noWrap w:val="0"/>
                  <w:vAlign w:val="center"/>
                </w:tcPr>
                <w:p w14:paraId="4BA71A39">
                  <w:pPr>
                    <w:autoSpaceDE w:val="0"/>
                    <w:autoSpaceDN w:val="0"/>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一体化污水处理设施</w:t>
                  </w:r>
                </w:p>
              </w:tc>
              <w:tc>
                <w:tcPr>
                  <w:tcW w:w="1665" w:type="pct"/>
                  <w:tcBorders>
                    <w:tl2br w:val="nil"/>
                    <w:tr2bl w:val="nil"/>
                  </w:tcBorders>
                  <w:noWrap w:val="0"/>
                  <w:vAlign w:val="center"/>
                </w:tcPr>
                <w:p w14:paraId="1006EFCD">
                  <w:pPr>
                    <w:autoSpaceDE w:val="0"/>
                    <w:autoSpaceDN w:val="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0.092</w:t>
                  </w:r>
                </w:p>
              </w:tc>
              <w:tc>
                <w:tcPr>
                  <w:tcW w:w="1667" w:type="pct"/>
                  <w:tcBorders>
                    <w:tl2br w:val="nil"/>
                    <w:tr2bl w:val="nil"/>
                  </w:tcBorders>
                  <w:noWrap w:val="0"/>
                  <w:vAlign w:val="center"/>
                </w:tcPr>
                <w:p w14:paraId="5059DDE2">
                  <w:pPr>
                    <w:autoSpaceDE w:val="0"/>
                    <w:autoSpaceDN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1.068</w:t>
                  </w:r>
                  <w:r>
                    <w:rPr>
                      <w:rFonts w:hint="default" w:ascii="Times New Roman" w:hAnsi="Times New Roman" w:eastAsia="宋体" w:cs="Times New Roman"/>
                      <w:color w:val="auto"/>
                      <w:sz w:val="21"/>
                      <w:szCs w:val="21"/>
                    </w:rPr>
                    <w:t>×10</w:t>
                  </w:r>
                  <w:r>
                    <w:rPr>
                      <w:rFonts w:hint="default" w:ascii="Times New Roman" w:hAnsi="Times New Roman" w:eastAsia="宋体" w:cs="Times New Roman"/>
                      <w:color w:val="auto"/>
                      <w:sz w:val="21"/>
                      <w:szCs w:val="21"/>
                      <w:vertAlign w:val="superscript"/>
                    </w:rPr>
                    <w:t>-3</w:t>
                  </w:r>
                </w:p>
              </w:tc>
            </w:tr>
          </w:tbl>
          <w:p w14:paraId="384D67A5">
            <w:pPr>
              <w:pStyle w:val="144"/>
              <w:keepNext w:val="0"/>
              <w:keepLines w:val="0"/>
              <w:pageBreakBefore w:val="0"/>
              <w:widowControl w:val="0"/>
              <w:kinsoku/>
              <w:wordWrap/>
              <w:overflowPunct/>
              <w:topLinePunct w:val="0"/>
              <w:autoSpaceDE/>
              <w:autoSpaceDN/>
              <w:bidi w:val="0"/>
              <w:adjustRightInd w:val="0"/>
              <w:snapToGrid w:val="0"/>
              <w:spacing w:beforeAutospacing="0" w:afterAutospacing="0" w:line="360" w:lineRule="auto"/>
              <w:ind w:left="0" w:leftChars="0" w:right="0" w:rightChars="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lang w:val="en-US" w:eastAsia="zh-CN"/>
              </w:rPr>
              <w:t>本项目参照上述恶臭产生系数进行核算。根据本项目各污水处理构筑物表面积计算污染物产生量，</w:t>
            </w:r>
            <w:r>
              <w:rPr>
                <w:rFonts w:hint="default" w:ascii="Times New Roman" w:hAnsi="Times New Roman" w:cs="Times New Roman"/>
                <w:color w:val="auto"/>
                <w:highlight w:val="none"/>
                <w:lang w:val="en-US" w:eastAsia="zh-CN"/>
              </w:rPr>
              <w:t>污水处理站年生产2400h，</w:t>
            </w:r>
            <w:r>
              <w:rPr>
                <w:rFonts w:hint="default" w:ascii="Times New Roman" w:hAnsi="Times New Roman" w:eastAsia="宋体" w:cs="Times New Roman"/>
                <w:color w:val="auto"/>
                <w:highlight w:val="none"/>
                <w:lang w:val="en-US" w:eastAsia="zh-CN"/>
              </w:rPr>
              <w:t>经计算后本项目运营期氨气、硫化氢产生量见下表</w:t>
            </w:r>
            <w:r>
              <w:rPr>
                <w:rFonts w:hint="default" w:ascii="Times New Roman" w:hAnsi="Times New Roman" w:eastAsia="宋体" w:cs="Times New Roman"/>
                <w:color w:val="auto"/>
                <w:highlight w:val="none"/>
              </w:rPr>
              <w:t>。</w:t>
            </w:r>
          </w:p>
          <w:p w14:paraId="4AB180FB">
            <w:pPr>
              <w:keepNext w:val="0"/>
              <w:keepLines w:val="0"/>
              <w:pageBreakBefore w:val="0"/>
              <w:widowControl w:val="0"/>
              <w:shd w:val="clear" w:color="auto" w:fill="auto"/>
              <w:kinsoku/>
              <w:wordWrap/>
              <w:overflowPunct/>
              <w:topLinePunct w:val="0"/>
              <w:autoSpaceDE/>
              <w:autoSpaceDN/>
              <w:bidi w:val="0"/>
              <w:adjustRightInd/>
              <w:spacing w:line="240" w:lineRule="auto"/>
              <w:jc w:val="center"/>
              <w:textAlignment w:val="auto"/>
              <w:rPr>
                <w:rFonts w:hint="default" w:ascii="Times New Roman" w:hAnsi="Times New Roman" w:eastAsia="宋体" w:cs="Times New Roman"/>
                <w:b/>
                <w:bCs/>
                <w:color w:val="auto"/>
                <w:sz w:val="21"/>
                <w:szCs w:val="21"/>
                <w:highlight w:val="none"/>
                <w:shd w:val="clear" w:color="auto" w:fill="auto"/>
                <w:lang w:val="pt-BR" w:eastAsia="zh-CN"/>
              </w:rPr>
            </w:pPr>
            <w:r>
              <w:rPr>
                <w:rFonts w:hint="default" w:ascii="Times New Roman" w:hAnsi="Times New Roman" w:eastAsia="宋体" w:cs="Times New Roman"/>
                <w:b/>
                <w:bCs/>
                <w:color w:val="auto"/>
                <w:sz w:val="21"/>
                <w:szCs w:val="21"/>
                <w:highlight w:val="none"/>
                <w:shd w:val="clear" w:color="auto" w:fill="auto"/>
                <w:lang w:val="pt-BR" w:eastAsia="zh-CN"/>
              </w:rPr>
              <w:t>表</w:t>
            </w:r>
            <w:r>
              <w:rPr>
                <w:rFonts w:hint="default" w:ascii="Times New Roman" w:hAnsi="Times New Roman" w:eastAsia="宋体" w:cs="Times New Roman"/>
                <w:b/>
                <w:bCs/>
                <w:color w:val="auto"/>
                <w:sz w:val="21"/>
                <w:szCs w:val="21"/>
                <w:highlight w:val="none"/>
                <w:shd w:val="clear" w:color="auto" w:fill="auto"/>
                <w:lang w:val="en-US" w:eastAsia="zh-CN"/>
              </w:rPr>
              <w:t>4-</w:t>
            </w:r>
            <w:r>
              <w:rPr>
                <w:rFonts w:hint="eastAsia" w:cs="Times New Roman"/>
                <w:b/>
                <w:bCs/>
                <w:color w:val="auto"/>
                <w:sz w:val="21"/>
                <w:szCs w:val="21"/>
                <w:highlight w:val="none"/>
                <w:shd w:val="clear" w:color="auto" w:fill="auto"/>
                <w:lang w:val="en-US" w:eastAsia="zh-CN"/>
              </w:rPr>
              <w:t>6</w:t>
            </w:r>
            <w:r>
              <w:rPr>
                <w:rFonts w:hint="default" w:ascii="Times New Roman" w:hAnsi="Times New Roman" w:eastAsia="宋体" w:cs="Times New Roman"/>
                <w:b/>
                <w:bCs/>
                <w:color w:val="auto"/>
                <w:sz w:val="21"/>
                <w:szCs w:val="21"/>
                <w:highlight w:val="none"/>
                <w:shd w:val="clear" w:color="auto" w:fill="auto"/>
                <w:lang w:val="en-US" w:eastAsia="zh-CN"/>
              </w:rPr>
              <w:t xml:space="preserve">   </w:t>
            </w:r>
            <w:r>
              <w:rPr>
                <w:rFonts w:hint="default" w:ascii="Times New Roman" w:hAnsi="Times New Roman" w:eastAsia="宋体" w:cs="Times New Roman"/>
                <w:b/>
                <w:bCs/>
                <w:color w:val="auto"/>
                <w:sz w:val="21"/>
                <w:szCs w:val="21"/>
                <w:highlight w:val="none"/>
                <w:shd w:val="clear" w:color="auto" w:fill="auto"/>
                <w:lang w:val="pt-BR" w:eastAsia="zh-CN"/>
              </w:rPr>
              <w:t>废气产生情况</w:t>
            </w:r>
          </w:p>
          <w:tbl>
            <w:tblPr>
              <w:tblStyle w:val="80"/>
              <w:tblW w:w="4998" w:type="pct"/>
              <w:jc w:val="center"/>
              <w:tblBorders>
                <w:top w:val="double" w:color="000000" w:sz="4" w:space="0"/>
                <w:left w:val="none" w:color="auto" w:sz="0" w:space="0"/>
                <w:bottom w:val="double" w:color="000000" w:sz="4" w:space="0"/>
                <w:right w:val="none" w:color="auto" w:sz="0" w:space="0"/>
                <w:insideH w:val="single" w:color="000000" w:sz="2" w:space="0"/>
                <w:insideV w:val="single" w:color="000000" w:sz="2" w:space="0"/>
              </w:tblBorders>
              <w:tblLayout w:type="fixed"/>
              <w:tblCellMar>
                <w:top w:w="0" w:type="dxa"/>
                <w:left w:w="0" w:type="dxa"/>
                <w:bottom w:w="0" w:type="dxa"/>
                <w:right w:w="0" w:type="dxa"/>
              </w:tblCellMar>
            </w:tblPr>
            <w:tblGrid>
              <w:gridCol w:w="2217"/>
              <w:gridCol w:w="2017"/>
              <w:gridCol w:w="2117"/>
              <w:gridCol w:w="2120"/>
            </w:tblGrid>
            <w:tr w14:paraId="5C8BC6E9">
              <w:tblPrEx>
                <w:tblBorders>
                  <w:top w:val="double" w:color="000000" w:sz="4" w:space="0"/>
                  <w:left w:val="none" w:color="auto" w:sz="0" w:space="0"/>
                  <w:bottom w:val="double" w:color="000000" w:sz="4"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97" w:hRule="atLeast"/>
                <w:jc w:val="center"/>
              </w:trPr>
              <w:tc>
                <w:tcPr>
                  <w:tcW w:w="1309" w:type="pct"/>
                  <w:tcBorders>
                    <w:tl2br w:val="nil"/>
                    <w:tr2bl w:val="nil"/>
                  </w:tcBorders>
                  <w:noWrap w:val="0"/>
                  <w:vAlign w:val="center"/>
                </w:tcPr>
                <w:p w14:paraId="42AA6C17">
                  <w:pPr>
                    <w:autoSpaceDE w:val="0"/>
                    <w:autoSpaceDN w:val="0"/>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构筑物名称</w:t>
                  </w:r>
                </w:p>
              </w:tc>
              <w:tc>
                <w:tcPr>
                  <w:tcW w:w="1189" w:type="pct"/>
                  <w:tcBorders>
                    <w:tl2br w:val="nil"/>
                    <w:tr2bl w:val="nil"/>
                  </w:tcBorders>
                  <w:noWrap w:val="0"/>
                  <w:vAlign w:val="center"/>
                </w:tcPr>
                <w:p w14:paraId="5625891B">
                  <w:pPr>
                    <w:autoSpaceDE w:val="0"/>
                    <w:autoSpaceDN w:val="0"/>
                    <w:jc w:val="center"/>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面积m</w:t>
                  </w:r>
                  <w:r>
                    <w:rPr>
                      <w:rFonts w:hint="default" w:ascii="Times New Roman" w:hAnsi="Times New Roman" w:eastAsia="宋体" w:cs="Times New Roman"/>
                      <w:b/>
                      <w:bCs/>
                      <w:color w:val="auto"/>
                      <w:sz w:val="21"/>
                      <w:szCs w:val="21"/>
                      <w:highlight w:val="none"/>
                      <w:vertAlign w:val="superscript"/>
                      <w:lang w:val="en-US" w:eastAsia="zh-CN"/>
                    </w:rPr>
                    <w:t>2</w:t>
                  </w:r>
                </w:p>
              </w:tc>
              <w:tc>
                <w:tcPr>
                  <w:tcW w:w="1249" w:type="pct"/>
                  <w:tcBorders>
                    <w:tl2br w:val="nil"/>
                    <w:tr2bl w:val="nil"/>
                  </w:tcBorders>
                  <w:noWrap w:val="0"/>
                  <w:vAlign w:val="center"/>
                </w:tcPr>
                <w:p w14:paraId="69858D1A">
                  <w:pPr>
                    <w:autoSpaceDE w:val="0"/>
                    <w:autoSpaceDN w:val="0"/>
                    <w:jc w:val="center"/>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rPr>
                    <w:t>NH</w:t>
                  </w:r>
                  <w:r>
                    <w:rPr>
                      <w:rFonts w:hint="default" w:ascii="Times New Roman" w:hAnsi="Times New Roman" w:eastAsia="宋体" w:cs="Times New Roman"/>
                      <w:b/>
                      <w:bCs/>
                      <w:color w:val="auto"/>
                      <w:sz w:val="21"/>
                      <w:szCs w:val="21"/>
                      <w:highlight w:val="none"/>
                      <w:vertAlign w:val="subscript"/>
                    </w:rPr>
                    <w:t>3</w:t>
                  </w:r>
                  <w:r>
                    <w:rPr>
                      <w:rFonts w:hint="default" w:ascii="Times New Roman" w:hAnsi="Times New Roman" w:eastAsia="宋体" w:cs="Times New Roman"/>
                      <w:b/>
                      <w:bCs/>
                      <w:color w:val="auto"/>
                      <w:sz w:val="21"/>
                      <w:szCs w:val="21"/>
                      <w:highlight w:val="none"/>
                      <w:lang w:val="en-US" w:eastAsia="zh-CN"/>
                    </w:rPr>
                    <w:t>产生量kg/h</w:t>
                  </w:r>
                </w:p>
              </w:tc>
              <w:tc>
                <w:tcPr>
                  <w:tcW w:w="1251" w:type="pct"/>
                  <w:tcBorders>
                    <w:tl2br w:val="nil"/>
                    <w:tr2bl w:val="nil"/>
                  </w:tcBorders>
                  <w:noWrap w:val="0"/>
                  <w:vAlign w:val="center"/>
                </w:tcPr>
                <w:p w14:paraId="0C609DE4">
                  <w:pPr>
                    <w:autoSpaceDE w:val="0"/>
                    <w:autoSpaceDN w:val="0"/>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H</w:t>
                  </w:r>
                  <w:r>
                    <w:rPr>
                      <w:rFonts w:hint="default" w:ascii="Times New Roman" w:hAnsi="Times New Roman" w:eastAsia="宋体" w:cs="Times New Roman"/>
                      <w:b/>
                      <w:bCs/>
                      <w:color w:val="auto"/>
                      <w:sz w:val="21"/>
                      <w:szCs w:val="21"/>
                      <w:highlight w:val="none"/>
                      <w:vertAlign w:val="subscript"/>
                    </w:rPr>
                    <w:t>2</w:t>
                  </w:r>
                  <w:r>
                    <w:rPr>
                      <w:rFonts w:hint="default" w:ascii="Times New Roman" w:hAnsi="Times New Roman" w:eastAsia="宋体" w:cs="Times New Roman"/>
                      <w:b/>
                      <w:bCs/>
                      <w:color w:val="auto"/>
                      <w:sz w:val="21"/>
                      <w:szCs w:val="21"/>
                      <w:highlight w:val="none"/>
                    </w:rPr>
                    <w:t>S</w:t>
                  </w:r>
                  <w:r>
                    <w:rPr>
                      <w:rFonts w:hint="default" w:ascii="Times New Roman" w:hAnsi="Times New Roman" w:eastAsia="宋体" w:cs="Times New Roman"/>
                      <w:b/>
                      <w:bCs/>
                      <w:color w:val="auto"/>
                      <w:sz w:val="21"/>
                      <w:szCs w:val="21"/>
                      <w:highlight w:val="none"/>
                      <w:lang w:val="en-US" w:eastAsia="zh-CN"/>
                    </w:rPr>
                    <w:t>产生量kg/h</w:t>
                  </w:r>
                </w:p>
              </w:tc>
            </w:tr>
            <w:tr w14:paraId="314FDE91">
              <w:tblPrEx>
                <w:tblBorders>
                  <w:top w:val="double" w:color="000000" w:sz="4" w:space="0"/>
                  <w:left w:val="none" w:color="auto" w:sz="0" w:space="0"/>
                  <w:bottom w:val="double" w:color="000000" w:sz="4"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97" w:hRule="atLeast"/>
                <w:jc w:val="center"/>
              </w:trPr>
              <w:tc>
                <w:tcPr>
                  <w:tcW w:w="1309" w:type="pct"/>
                  <w:tcBorders>
                    <w:tl2br w:val="nil"/>
                    <w:tr2bl w:val="nil"/>
                  </w:tcBorders>
                  <w:noWrap w:val="0"/>
                  <w:vAlign w:val="center"/>
                </w:tcPr>
                <w:p w14:paraId="52D63521">
                  <w:pPr>
                    <w:autoSpaceDE w:val="0"/>
                    <w:autoSpaceDN w:val="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预处理单元（</w:t>
                  </w:r>
                  <w:r>
                    <w:rPr>
                      <w:rFonts w:hint="default" w:ascii="Times New Roman" w:hAnsi="Times New Roman" w:cs="Times New Roman"/>
                      <w:color w:val="auto"/>
                      <w:sz w:val="21"/>
                      <w:szCs w:val="21"/>
                      <w:lang w:val="en-US" w:eastAsia="zh-CN"/>
                    </w:rPr>
                    <w:t>隔油池</w:t>
                  </w:r>
                  <w:r>
                    <w:rPr>
                      <w:rFonts w:hint="default" w:ascii="Times New Roman" w:hAnsi="Times New Roman" w:eastAsia="宋体" w:cs="Times New Roman"/>
                      <w:color w:val="auto"/>
                      <w:sz w:val="21"/>
                      <w:szCs w:val="21"/>
                      <w:lang w:val="en-US" w:eastAsia="zh-CN"/>
                    </w:rPr>
                    <w:t>）</w:t>
                  </w:r>
                </w:p>
              </w:tc>
              <w:tc>
                <w:tcPr>
                  <w:tcW w:w="1189" w:type="pct"/>
                  <w:tcBorders>
                    <w:tl2br w:val="nil"/>
                    <w:tr2bl w:val="nil"/>
                  </w:tcBorders>
                  <w:noWrap w:val="0"/>
                  <w:vAlign w:val="center"/>
                </w:tcPr>
                <w:p w14:paraId="533E1B71">
                  <w:pPr>
                    <w:autoSpaceDE w:val="0"/>
                    <w:autoSpaceDN w:val="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2.0</w:t>
                  </w:r>
                </w:p>
              </w:tc>
              <w:tc>
                <w:tcPr>
                  <w:tcW w:w="1249" w:type="pct"/>
                  <w:tcBorders>
                    <w:tl2br w:val="nil"/>
                    <w:tr2bl w:val="nil"/>
                  </w:tcBorders>
                  <w:noWrap w:val="0"/>
                  <w:vAlign w:val="center"/>
                </w:tcPr>
                <w:p w14:paraId="26692BB9">
                  <w:pPr>
                    <w:autoSpaceDE w:val="0"/>
                    <w:autoSpaceDN w:val="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0.000662</w:t>
                  </w:r>
                </w:p>
              </w:tc>
              <w:tc>
                <w:tcPr>
                  <w:tcW w:w="1251" w:type="pct"/>
                  <w:tcBorders>
                    <w:tl2br w:val="nil"/>
                    <w:tr2bl w:val="nil"/>
                  </w:tcBorders>
                  <w:noWrap w:val="0"/>
                  <w:vAlign w:val="center"/>
                </w:tcPr>
                <w:p w14:paraId="09EFB3C9">
                  <w:pPr>
                    <w:autoSpaceDE w:val="0"/>
                    <w:autoSpaceDN w:val="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0.000007</w:t>
                  </w:r>
                </w:p>
              </w:tc>
            </w:tr>
            <w:tr w14:paraId="2C4D00AC">
              <w:tblPrEx>
                <w:tblBorders>
                  <w:top w:val="double" w:color="000000" w:sz="4" w:space="0"/>
                  <w:left w:val="none" w:color="auto" w:sz="0" w:space="0"/>
                  <w:bottom w:val="double" w:color="000000" w:sz="4" w:space="0"/>
                  <w:right w:val="none" w:color="auto" w:sz="0" w:space="0"/>
                  <w:insideH w:val="single" w:color="000000" w:sz="2" w:space="0"/>
                  <w:insideV w:val="single" w:color="000000" w:sz="2" w:space="0"/>
                </w:tblBorders>
              </w:tblPrEx>
              <w:trPr>
                <w:trHeight w:val="90" w:hRule="atLeast"/>
                <w:jc w:val="center"/>
              </w:trPr>
              <w:tc>
                <w:tcPr>
                  <w:tcW w:w="1309" w:type="pct"/>
                  <w:tcBorders>
                    <w:tl2br w:val="nil"/>
                    <w:tr2bl w:val="nil"/>
                  </w:tcBorders>
                  <w:noWrap w:val="0"/>
                  <w:vAlign w:val="center"/>
                </w:tcPr>
                <w:p w14:paraId="3E9BC7FA">
                  <w:pPr>
                    <w:autoSpaceDE w:val="0"/>
                    <w:autoSpaceDN w:val="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预处理单元（</w:t>
                  </w:r>
                  <w:r>
                    <w:rPr>
                      <w:rFonts w:hint="default" w:ascii="Times New Roman" w:hAnsi="Times New Roman" w:cs="Times New Roman"/>
                      <w:color w:val="auto"/>
                      <w:sz w:val="21"/>
                      <w:szCs w:val="21"/>
                      <w:lang w:val="en-US" w:eastAsia="zh-CN"/>
                    </w:rPr>
                    <w:t>均质调节池</w:t>
                  </w:r>
                  <w:r>
                    <w:rPr>
                      <w:rFonts w:hint="default" w:ascii="Times New Roman" w:hAnsi="Times New Roman" w:eastAsia="宋体" w:cs="Times New Roman"/>
                      <w:color w:val="auto"/>
                      <w:sz w:val="21"/>
                      <w:szCs w:val="21"/>
                      <w:lang w:val="en-US" w:eastAsia="zh-CN"/>
                    </w:rPr>
                    <w:t>）</w:t>
                  </w:r>
                </w:p>
              </w:tc>
              <w:tc>
                <w:tcPr>
                  <w:tcW w:w="1189" w:type="pct"/>
                  <w:tcBorders>
                    <w:tl2br w:val="nil"/>
                    <w:tr2bl w:val="nil"/>
                  </w:tcBorders>
                  <w:noWrap w:val="0"/>
                  <w:vAlign w:val="center"/>
                </w:tcPr>
                <w:p w14:paraId="32CEC81A">
                  <w:pPr>
                    <w:autoSpaceDE w:val="0"/>
                    <w:autoSpaceDN w:val="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4.5</w:t>
                  </w:r>
                </w:p>
              </w:tc>
              <w:tc>
                <w:tcPr>
                  <w:tcW w:w="1249" w:type="pct"/>
                  <w:tcBorders>
                    <w:tl2br w:val="nil"/>
                    <w:tr2bl w:val="nil"/>
                  </w:tcBorders>
                  <w:noWrap w:val="0"/>
                  <w:vAlign w:val="center"/>
                </w:tcPr>
                <w:p w14:paraId="7B94BD27">
                  <w:pPr>
                    <w:autoSpaceDE w:val="0"/>
                    <w:autoSpaceDN w:val="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0.001490</w:t>
                  </w:r>
                </w:p>
              </w:tc>
              <w:tc>
                <w:tcPr>
                  <w:tcW w:w="1251" w:type="pct"/>
                  <w:tcBorders>
                    <w:tl2br w:val="nil"/>
                    <w:tr2bl w:val="nil"/>
                  </w:tcBorders>
                  <w:noWrap w:val="0"/>
                  <w:vAlign w:val="center"/>
                </w:tcPr>
                <w:p w14:paraId="14E83FB7">
                  <w:pPr>
                    <w:autoSpaceDE w:val="0"/>
                    <w:autoSpaceDN w:val="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0.000017</w:t>
                  </w:r>
                </w:p>
              </w:tc>
            </w:tr>
            <w:tr w14:paraId="5E44FB80">
              <w:tblPrEx>
                <w:tblBorders>
                  <w:top w:val="double" w:color="000000" w:sz="4" w:space="0"/>
                  <w:left w:val="none" w:color="auto" w:sz="0" w:space="0"/>
                  <w:bottom w:val="double" w:color="000000" w:sz="4"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97" w:hRule="atLeast"/>
                <w:jc w:val="center"/>
              </w:trPr>
              <w:tc>
                <w:tcPr>
                  <w:tcW w:w="2499" w:type="pct"/>
                  <w:gridSpan w:val="2"/>
                  <w:tcBorders>
                    <w:tl2br w:val="nil"/>
                    <w:tr2bl w:val="nil"/>
                  </w:tcBorders>
                  <w:noWrap w:val="0"/>
                  <w:vAlign w:val="center"/>
                </w:tcPr>
                <w:p w14:paraId="015BEC88">
                  <w:pPr>
                    <w:autoSpaceDE w:val="0"/>
                    <w:autoSpaceDN w:val="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合计</w:t>
                  </w:r>
                </w:p>
              </w:tc>
              <w:tc>
                <w:tcPr>
                  <w:tcW w:w="1249" w:type="pct"/>
                  <w:tcBorders>
                    <w:tl2br w:val="nil"/>
                    <w:tr2bl w:val="nil"/>
                  </w:tcBorders>
                  <w:noWrap w:val="0"/>
                  <w:vAlign w:val="center"/>
                </w:tcPr>
                <w:p w14:paraId="24E73F81">
                  <w:pPr>
                    <w:autoSpaceDE w:val="0"/>
                    <w:autoSpaceDN w:val="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0.002150</w:t>
                  </w:r>
                </w:p>
              </w:tc>
              <w:tc>
                <w:tcPr>
                  <w:tcW w:w="1251" w:type="pct"/>
                  <w:tcBorders>
                    <w:tl2br w:val="nil"/>
                    <w:tr2bl w:val="nil"/>
                  </w:tcBorders>
                  <w:noWrap w:val="0"/>
                  <w:vAlign w:val="center"/>
                </w:tcPr>
                <w:p w14:paraId="730918DB">
                  <w:pPr>
                    <w:autoSpaceDE w:val="0"/>
                    <w:autoSpaceDN w:val="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0.000024</w:t>
                  </w:r>
                </w:p>
              </w:tc>
            </w:tr>
          </w:tbl>
          <w:p w14:paraId="66BD0D64">
            <w:pPr>
              <w:pStyle w:val="2"/>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color w:val="auto"/>
                <w:vertAlign w:val="baseline"/>
                <w:lang w:val="en-US" w:eastAsia="zh-CN"/>
              </w:rPr>
            </w:pPr>
            <w:r>
              <w:rPr>
                <w:rFonts w:hint="default" w:ascii="Times New Roman" w:hAnsi="Times New Roman" w:cs="Times New Roman"/>
                <w:color w:val="auto"/>
                <w:sz w:val="24"/>
                <w:szCs w:val="24"/>
                <w:highlight w:val="none"/>
              </w:rPr>
              <w:t>本项目自建的污水处理站为</w:t>
            </w:r>
            <w:r>
              <w:rPr>
                <w:rFonts w:hint="default" w:ascii="Times New Roman" w:hAnsi="Times New Roman" w:cs="Times New Roman"/>
                <w:color w:val="auto"/>
                <w:sz w:val="24"/>
                <w:szCs w:val="24"/>
                <w:highlight w:val="none"/>
                <w:lang w:val="en-US" w:eastAsia="zh-CN"/>
              </w:rPr>
              <w:t>地埋式一体化</w:t>
            </w:r>
            <w:r>
              <w:rPr>
                <w:rFonts w:hint="default" w:ascii="Times New Roman" w:hAnsi="Times New Roman" w:cs="Times New Roman"/>
                <w:color w:val="auto"/>
                <w:sz w:val="24"/>
                <w:szCs w:val="24"/>
                <w:highlight w:val="none"/>
                <w:lang w:eastAsia="zh-CN"/>
              </w:rPr>
              <w:t>污水处理站，</w:t>
            </w:r>
            <w:r>
              <w:rPr>
                <w:rFonts w:hint="default" w:ascii="Times New Roman" w:hAnsi="Times New Roman" w:eastAsia="宋体" w:cs="Times New Roman"/>
                <w:color w:val="auto"/>
                <w:sz w:val="24"/>
                <w:szCs w:val="24"/>
                <w:highlight w:val="none"/>
                <w:lang w:val="en-US" w:eastAsia="zh-CN"/>
              </w:rPr>
              <w:t>为防止污水处理站在运营过程中产生恶臭气体散逸，</w:t>
            </w:r>
            <w:r>
              <w:rPr>
                <w:rFonts w:hint="default" w:ascii="Times New Roman" w:hAnsi="Times New Roman" w:eastAsia="宋体" w:cs="Times New Roman"/>
                <w:color w:val="auto"/>
                <w:sz w:val="24"/>
                <w:highlight w:val="none"/>
                <w:lang w:val="en-US" w:eastAsia="zh-CN"/>
              </w:rPr>
              <w:t>污水处理站</w:t>
            </w:r>
            <w:r>
              <w:rPr>
                <w:rFonts w:hint="default" w:ascii="Times New Roman" w:hAnsi="Times New Roman" w:cs="Times New Roman"/>
                <w:color w:val="auto"/>
                <w:sz w:val="24"/>
                <w:highlight w:val="none"/>
                <w:lang w:val="en-US" w:eastAsia="zh-CN"/>
              </w:rPr>
              <w:t>采用密闭形式，</w:t>
            </w:r>
            <w:r>
              <w:rPr>
                <w:rFonts w:hint="default" w:ascii="Times New Roman" w:hAnsi="Times New Roman" w:cs="Times New Roman"/>
                <w:b w:val="0"/>
                <w:bCs w:val="0"/>
                <w:color w:val="auto"/>
                <w:sz w:val="24"/>
                <w:szCs w:val="28"/>
                <w:highlight w:val="none"/>
                <w:lang w:val="en-US" w:eastAsia="zh-CN"/>
              </w:rPr>
              <w:t>定期喷洒生物除臭剂（</w:t>
            </w:r>
            <w:r>
              <w:rPr>
                <w:rFonts w:hint="default" w:ascii="Times New Roman" w:hAnsi="Times New Roman" w:cs="Times New Roman"/>
                <w:b w:val="0"/>
                <w:bCs/>
                <w:color w:val="auto"/>
                <w:sz w:val="24"/>
                <w:highlight w:val="none"/>
                <w:lang w:val="en-US" w:eastAsia="zh-CN"/>
              </w:rPr>
              <w:t>本项目每天喷洒2次</w:t>
            </w:r>
            <w:r>
              <w:rPr>
                <w:rFonts w:hint="default" w:ascii="Times New Roman" w:hAnsi="Times New Roman" w:cs="Times New Roman"/>
                <w:b w:val="0"/>
                <w:bCs w:val="0"/>
                <w:color w:val="auto"/>
                <w:sz w:val="24"/>
                <w:szCs w:val="28"/>
                <w:highlight w:val="none"/>
                <w:lang w:val="en-US" w:eastAsia="zh-CN"/>
              </w:rPr>
              <w:t>），可有效抑制恶臭气体无组织排放</w:t>
            </w:r>
            <w:r>
              <w:rPr>
                <w:rFonts w:hint="default" w:ascii="Times New Roman" w:hAnsi="Times New Roman" w:cs="Times New Roman"/>
                <w:color w:val="auto"/>
                <w:sz w:val="24"/>
                <w:highlight w:val="none"/>
                <w:lang w:val="en-US" w:eastAsia="zh-CN"/>
              </w:rPr>
              <w:t>（根据《微生物除臭剂研究进展》（现代化农业，总第383期，作者：赵晓锋，隋文志），对国内外生物除臭剂处理效率的研究，生物除臭剂对恶臭气体的效率约为46.91%~90%，按最不利原则，本项目污水处理站内每天喷洒除臭剂，除臭效率取46.91%</w:t>
            </w:r>
            <w:r>
              <w:rPr>
                <w:rFonts w:hint="default" w:ascii="Times New Roman" w:hAnsi="Times New Roman" w:cs="Times New Roman"/>
                <w:color w:val="auto"/>
                <w:sz w:val="24"/>
                <w:szCs w:val="24"/>
                <w:highlight w:val="none"/>
                <w:lang w:val="en-US" w:eastAsia="zh-CN"/>
              </w:rPr>
              <w:t>。废气产生量为</w:t>
            </w:r>
            <w:r>
              <w:rPr>
                <w:rFonts w:hint="default" w:ascii="Times New Roman" w:hAnsi="Times New Roman" w:eastAsia="宋体" w:cs="Times New Roman"/>
                <w:b w:val="0"/>
                <w:bCs w:val="0"/>
                <w:color w:val="auto"/>
                <w:sz w:val="24"/>
                <w:szCs w:val="24"/>
                <w:highlight w:val="none"/>
              </w:rPr>
              <w:t>NH</w:t>
            </w:r>
            <w:r>
              <w:rPr>
                <w:rFonts w:hint="default" w:ascii="Times New Roman" w:hAnsi="Times New Roman" w:eastAsia="宋体" w:cs="Times New Roman"/>
                <w:b w:val="0"/>
                <w:bCs w:val="0"/>
                <w:color w:val="auto"/>
                <w:sz w:val="24"/>
                <w:szCs w:val="24"/>
                <w:highlight w:val="none"/>
                <w:vertAlign w:val="subscript"/>
              </w:rPr>
              <w:t>3</w:t>
            </w:r>
            <w:r>
              <w:rPr>
                <w:rFonts w:hint="default" w:ascii="Times New Roman" w:hAnsi="Times New Roman" w:cs="Times New Roman"/>
                <w:b w:val="0"/>
                <w:bCs w:val="0"/>
                <w:color w:val="auto"/>
                <w:sz w:val="24"/>
                <w:szCs w:val="24"/>
                <w:highlight w:val="none"/>
                <w:vertAlign w:val="subscript"/>
                <w:lang w:val="en-US" w:eastAsia="zh-CN"/>
              </w:rPr>
              <w:t xml:space="preserve"> </w:t>
            </w:r>
            <w:r>
              <w:rPr>
                <w:rFonts w:hint="default" w:ascii="Times New Roman" w:hAnsi="Times New Roman" w:cs="Times New Roman"/>
                <w:b w:val="0"/>
                <w:bCs w:val="0"/>
                <w:color w:val="auto"/>
                <w:sz w:val="24"/>
                <w:szCs w:val="24"/>
                <w:highlight w:val="none"/>
                <w:vertAlign w:val="baseline"/>
                <w:lang w:val="en-US" w:eastAsia="zh-CN"/>
              </w:rPr>
              <w:t>5.16kg</w:t>
            </w:r>
            <w:r>
              <w:rPr>
                <w:rFonts w:hint="default" w:ascii="Times New Roman" w:hAnsi="Times New Roman" w:eastAsia="宋体" w:cs="Times New Roman"/>
                <w:b w:val="0"/>
                <w:bCs w:val="0"/>
                <w:color w:val="auto"/>
                <w:sz w:val="24"/>
                <w:szCs w:val="24"/>
                <w:highlight w:val="none"/>
                <w:vertAlign w:val="baseline"/>
                <w:lang w:val="en-US" w:eastAsia="zh-CN"/>
              </w:rPr>
              <w:t>/a、</w:t>
            </w:r>
            <w:r>
              <w:rPr>
                <w:rFonts w:hint="default" w:ascii="Times New Roman" w:hAnsi="Times New Roman" w:eastAsia="宋体" w:cs="Times New Roman"/>
                <w:b w:val="0"/>
                <w:bCs w:val="0"/>
                <w:color w:val="auto"/>
                <w:sz w:val="24"/>
                <w:szCs w:val="24"/>
                <w:highlight w:val="none"/>
              </w:rPr>
              <w:t>H</w:t>
            </w:r>
            <w:r>
              <w:rPr>
                <w:rFonts w:hint="default" w:ascii="Times New Roman" w:hAnsi="Times New Roman" w:eastAsia="宋体" w:cs="Times New Roman"/>
                <w:b w:val="0"/>
                <w:bCs w:val="0"/>
                <w:color w:val="auto"/>
                <w:sz w:val="24"/>
                <w:szCs w:val="24"/>
                <w:highlight w:val="none"/>
                <w:vertAlign w:val="subscript"/>
              </w:rPr>
              <w:t>2</w:t>
            </w:r>
            <w:r>
              <w:rPr>
                <w:rFonts w:hint="default" w:ascii="Times New Roman" w:hAnsi="Times New Roman" w:eastAsia="宋体" w:cs="Times New Roman"/>
                <w:b w:val="0"/>
                <w:bCs w:val="0"/>
                <w:color w:val="auto"/>
                <w:sz w:val="24"/>
                <w:szCs w:val="24"/>
                <w:highlight w:val="none"/>
              </w:rPr>
              <w:t>S</w:t>
            </w:r>
            <w:r>
              <w:rPr>
                <w:rFonts w:hint="default" w:ascii="Times New Roman" w:hAnsi="Times New Roman" w:cs="Times New Roman"/>
                <w:b w:val="0"/>
                <w:bCs w:val="0"/>
                <w:color w:val="auto"/>
                <w:sz w:val="24"/>
                <w:szCs w:val="24"/>
                <w:highlight w:val="none"/>
                <w:lang w:val="en-US" w:eastAsia="zh-CN"/>
              </w:rPr>
              <w:t xml:space="preserve"> 0.0576kg</w:t>
            </w:r>
            <w:r>
              <w:rPr>
                <w:rFonts w:hint="default" w:ascii="Times New Roman" w:hAnsi="Times New Roman" w:eastAsia="宋体" w:cs="Times New Roman"/>
                <w:b w:val="0"/>
                <w:bCs w:val="0"/>
                <w:color w:val="auto"/>
                <w:sz w:val="24"/>
                <w:szCs w:val="24"/>
                <w:highlight w:val="none"/>
                <w:lang w:val="en-US" w:eastAsia="zh-CN"/>
              </w:rPr>
              <w:t>/a，</w:t>
            </w:r>
            <w:r>
              <w:rPr>
                <w:rFonts w:hint="default" w:ascii="Times New Roman" w:hAnsi="Times New Roman" w:cs="Times New Roman"/>
                <w:color w:val="auto"/>
                <w:sz w:val="24"/>
                <w:szCs w:val="24"/>
                <w:highlight w:val="none"/>
                <w:lang w:val="en-US" w:eastAsia="zh-CN"/>
              </w:rPr>
              <w:t>处理后废气排放量为</w:t>
            </w:r>
            <w:r>
              <w:rPr>
                <w:rFonts w:hint="default" w:ascii="Times New Roman" w:hAnsi="Times New Roman" w:eastAsia="宋体" w:cs="Times New Roman"/>
                <w:b w:val="0"/>
                <w:bCs w:val="0"/>
                <w:color w:val="auto"/>
                <w:sz w:val="24"/>
                <w:szCs w:val="24"/>
                <w:highlight w:val="none"/>
              </w:rPr>
              <w:t>NH</w:t>
            </w:r>
            <w:r>
              <w:rPr>
                <w:rFonts w:hint="default" w:ascii="Times New Roman" w:hAnsi="Times New Roman" w:eastAsia="宋体" w:cs="Times New Roman"/>
                <w:b w:val="0"/>
                <w:bCs w:val="0"/>
                <w:color w:val="auto"/>
                <w:sz w:val="24"/>
                <w:szCs w:val="24"/>
                <w:highlight w:val="none"/>
                <w:vertAlign w:val="subscript"/>
              </w:rPr>
              <w:t>3</w:t>
            </w:r>
            <w:r>
              <w:rPr>
                <w:rFonts w:hint="default" w:ascii="Times New Roman" w:hAnsi="Times New Roman" w:cs="Times New Roman"/>
                <w:b w:val="0"/>
                <w:bCs w:val="0"/>
                <w:color w:val="auto"/>
                <w:sz w:val="24"/>
                <w:szCs w:val="24"/>
                <w:highlight w:val="none"/>
                <w:vertAlign w:val="subscript"/>
                <w:lang w:val="en-US" w:eastAsia="zh-CN"/>
              </w:rPr>
              <w:t xml:space="preserve"> </w:t>
            </w:r>
            <w:r>
              <w:rPr>
                <w:rFonts w:hint="default" w:ascii="Times New Roman" w:hAnsi="Times New Roman" w:cs="Times New Roman"/>
                <w:b w:val="0"/>
                <w:bCs w:val="0"/>
                <w:color w:val="auto"/>
                <w:sz w:val="24"/>
                <w:szCs w:val="24"/>
                <w:highlight w:val="none"/>
                <w:vertAlign w:val="baseline"/>
                <w:lang w:val="en-US" w:eastAsia="zh-CN"/>
              </w:rPr>
              <w:t>2.739kg</w:t>
            </w:r>
            <w:r>
              <w:rPr>
                <w:rFonts w:hint="default" w:ascii="Times New Roman" w:hAnsi="Times New Roman" w:eastAsia="宋体" w:cs="Times New Roman"/>
                <w:b w:val="0"/>
                <w:bCs w:val="0"/>
                <w:color w:val="auto"/>
                <w:sz w:val="24"/>
                <w:szCs w:val="24"/>
                <w:highlight w:val="none"/>
                <w:vertAlign w:val="baseline"/>
                <w:lang w:val="en-US" w:eastAsia="zh-CN"/>
              </w:rPr>
              <w:t>/a、</w:t>
            </w:r>
            <w:r>
              <w:rPr>
                <w:rFonts w:hint="default" w:ascii="Times New Roman" w:hAnsi="Times New Roman" w:eastAsia="宋体" w:cs="Times New Roman"/>
                <w:b w:val="0"/>
                <w:bCs w:val="0"/>
                <w:color w:val="auto"/>
                <w:sz w:val="24"/>
                <w:szCs w:val="24"/>
                <w:highlight w:val="none"/>
              </w:rPr>
              <w:t>H</w:t>
            </w:r>
            <w:r>
              <w:rPr>
                <w:rFonts w:hint="default" w:ascii="Times New Roman" w:hAnsi="Times New Roman" w:eastAsia="宋体" w:cs="Times New Roman"/>
                <w:b w:val="0"/>
                <w:bCs w:val="0"/>
                <w:color w:val="auto"/>
                <w:sz w:val="24"/>
                <w:szCs w:val="24"/>
                <w:highlight w:val="none"/>
                <w:vertAlign w:val="subscript"/>
              </w:rPr>
              <w:t>2</w:t>
            </w:r>
            <w:r>
              <w:rPr>
                <w:rFonts w:hint="default" w:ascii="Times New Roman" w:hAnsi="Times New Roman" w:eastAsia="宋体" w:cs="Times New Roman"/>
                <w:b w:val="0"/>
                <w:bCs w:val="0"/>
                <w:color w:val="auto"/>
                <w:sz w:val="24"/>
                <w:szCs w:val="24"/>
                <w:highlight w:val="none"/>
              </w:rPr>
              <w:t>S</w:t>
            </w:r>
            <w:r>
              <w:rPr>
                <w:rFonts w:hint="default" w:ascii="Times New Roman" w:hAnsi="Times New Roman" w:cs="Times New Roman"/>
                <w:b w:val="0"/>
                <w:bCs w:val="0"/>
                <w:color w:val="auto"/>
                <w:sz w:val="24"/>
                <w:szCs w:val="24"/>
                <w:highlight w:val="none"/>
                <w:lang w:val="en-US" w:eastAsia="zh-CN"/>
              </w:rPr>
              <w:t xml:space="preserve"> 0.031kg</w:t>
            </w:r>
            <w:r>
              <w:rPr>
                <w:rFonts w:hint="default" w:ascii="Times New Roman" w:hAnsi="Times New Roman" w:eastAsia="宋体" w:cs="Times New Roman"/>
                <w:b w:val="0"/>
                <w:bCs w:val="0"/>
                <w:color w:val="auto"/>
                <w:sz w:val="24"/>
                <w:szCs w:val="24"/>
                <w:highlight w:val="none"/>
                <w:lang w:val="en-US" w:eastAsia="zh-CN"/>
              </w:rPr>
              <w:t>/a，臭气浓度低于10（无量纲）。</w:t>
            </w:r>
          </w:p>
          <w:p w14:paraId="7C26CF9D">
            <w:pPr>
              <w:pStyle w:val="19"/>
              <w:spacing w:after="0" w:line="360" w:lineRule="auto"/>
              <w:ind w:firstLine="0" w:firstLineChars="0"/>
              <w:rPr>
                <w:rFonts w:hint="default" w:ascii="Times New Roman" w:hAnsi="Times New Roman" w:cs="Times New Roman"/>
                <w:b/>
                <w:bCs/>
                <w:color w:val="FF0000"/>
                <w:sz w:val="24"/>
                <w:szCs w:val="22"/>
              </w:rPr>
            </w:pPr>
            <w:r>
              <w:rPr>
                <w:rFonts w:hint="default" w:ascii="Times New Roman" w:hAnsi="Times New Roman" w:cs="Times New Roman"/>
                <w:b/>
                <w:bCs/>
                <w:color w:val="FF0000"/>
                <w:sz w:val="24"/>
                <w:szCs w:val="22"/>
              </w:rPr>
              <w:t>2.</w:t>
            </w:r>
            <w:r>
              <w:rPr>
                <w:rFonts w:hint="default" w:ascii="Times New Roman" w:hAnsi="Times New Roman" w:cs="Times New Roman"/>
                <w:b/>
                <w:bCs/>
                <w:color w:val="FF0000"/>
                <w:sz w:val="24"/>
                <w:szCs w:val="32"/>
              </w:rPr>
              <w:t>废气污染物产、排情况</w:t>
            </w:r>
          </w:p>
          <w:p w14:paraId="77F7BCDB">
            <w:pPr>
              <w:jc w:val="center"/>
              <w:rPr>
                <w:rFonts w:hint="default" w:ascii="Times New Roman" w:hAnsi="Times New Roman" w:cs="Times New Roman"/>
                <w:b/>
                <w:bCs/>
                <w:color w:val="FF0000"/>
                <w:highlight w:val="yellow"/>
              </w:rPr>
            </w:pPr>
            <w:r>
              <w:rPr>
                <w:rFonts w:hint="default" w:ascii="Times New Roman" w:hAnsi="Times New Roman" w:cs="Times New Roman"/>
                <w:b/>
                <w:bCs/>
                <w:color w:val="FF0000"/>
              </w:rPr>
              <w:t>表4-</w:t>
            </w:r>
            <w:r>
              <w:rPr>
                <w:rFonts w:hint="eastAsia" w:cs="Times New Roman"/>
                <w:b/>
                <w:bCs/>
                <w:color w:val="FF0000"/>
                <w:lang w:val="en-US" w:eastAsia="zh-CN"/>
              </w:rPr>
              <w:t xml:space="preserve">6  </w:t>
            </w:r>
            <w:r>
              <w:rPr>
                <w:rFonts w:hint="default" w:ascii="Times New Roman" w:hAnsi="Times New Roman" w:cs="Times New Roman"/>
                <w:b/>
                <w:bCs/>
                <w:color w:val="FF0000"/>
              </w:rPr>
              <w:t xml:space="preserve"> 废气污染物产生情况</w:t>
            </w:r>
          </w:p>
          <w:tbl>
            <w:tblPr>
              <w:tblStyle w:val="34"/>
              <w:tblW w:w="4998" w:type="pct"/>
              <w:jc w:val="center"/>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332"/>
              <w:gridCol w:w="1493"/>
              <w:gridCol w:w="1625"/>
              <w:gridCol w:w="2010"/>
              <w:gridCol w:w="2011"/>
            </w:tblGrid>
            <w:tr w14:paraId="7696BAFD">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86" w:type="pct"/>
                  <w:tcBorders>
                    <w:tl2br w:val="nil"/>
                    <w:tr2bl w:val="nil"/>
                  </w:tcBorders>
                  <w:vAlign w:val="center"/>
                </w:tcPr>
                <w:p w14:paraId="76152374">
                  <w:pPr>
                    <w:widowControl/>
                    <w:jc w:val="center"/>
                    <w:rPr>
                      <w:rFonts w:hint="default" w:ascii="Times New Roman" w:hAnsi="Times New Roman" w:cs="Times New Roman"/>
                      <w:color w:val="FF0000"/>
                      <w:kern w:val="0"/>
                      <w:szCs w:val="21"/>
                      <w:lang w:bidi="ar"/>
                    </w:rPr>
                  </w:pPr>
                  <w:r>
                    <w:rPr>
                      <w:rFonts w:hint="default" w:ascii="Times New Roman" w:hAnsi="Times New Roman" w:cs="Times New Roman"/>
                      <w:color w:val="FF0000"/>
                      <w:kern w:val="0"/>
                      <w:szCs w:val="21"/>
                      <w:lang w:bidi="ar"/>
                    </w:rPr>
                    <w:t>产污环节</w:t>
                  </w:r>
                </w:p>
              </w:tc>
              <w:tc>
                <w:tcPr>
                  <w:tcW w:w="881" w:type="pct"/>
                  <w:tcBorders>
                    <w:tl2br w:val="nil"/>
                    <w:tr2bl w:val="nil"/>
                  </w:tcBorders>
                  <w:vAlign w:val="center"/>
                </w:tcPr>
                <w:p w14:paraId="23FE09C3">
                  <w:pPr>
                    <w:widowControl/>
                    <w:jc w:val="center"/>
                    <w:rPr>
                      <w:rFonts w:hint="default" w:ascii="Times New Roman" w:hAnsi="Times New Roman" w:cs="Times New Roman"/>
                      <w:color w:val="FF0000"/>
                      <w:kern w:val="0"/>
                      <w:szCs w:val="21"/>
                      <w:lang w:bidi="ar"/>
                    </w:rPr>
                  </w:pPr>
                  <w:r>
                    <w:rPr>
                      <w:rFonts w:hint="default" w:ascii="Times New Roman" w:hAnsi="Times New Roman" w:cs="Times New Roman"/>
                      <w:color w:val="FF0000"/>
                      <w:kern w:val="0"/>
                      <w:szCs w:val="21"/>
                      <w:lang w:bidi="ar"/>
                    </w:rPr>
                    <w:t>污染物种类</w:t>
                  </w:r>
                </w:p>
              </w:tc>
              <w:tc>
                <w:tcPr>
                  <w:tcW w:w="959" w:type="pct"/>
                  <w:tcBorders>
                    <w:tl2br w:val="nil"/>
                    <w:tr2bl w:val="nil"/>
                  </w:tcBorders>
                  <w:vAlign w:val="center"/>
                </w:tcPr>
                <w:p w14:paraId="63C9319D">
                  <w:pPr>
                    <w:widowControl/>
                    <w:jc w:val="center"/>
                    <w:rPr>
                      <w:rFonts w:hint="default" w:ascii="Times New Roman" w:hAnsi="Times New Roman" w:cs="Times New Roman"/>
                      <w:color w:val="FF0000"/>
                      <w:kern w:val="0"/>
                      <w:szCs w:val="21"/>
                      <w:lang w:bidi="ar"/>
                    </w:rPr>
                  </w:pPr>
                  <w:r>
                    <w:rPr>
                      <w:rFonts w:hint="default" w:ascii="Times New Roman" w:hAnsi="Times New Roman" w:cs="Times New Roman"/>
                      <w:color w:val="FF0000"/>
                      <w:kern w:val="0"/>
                      <w:szCs w:val="21"/>
                      <w:lang w:bidi="ar"/>
                    </w:rPr>
                    <w:t>污染物产生量（t/a）</w:t>
                  </w:r>
                </w:p>
              </w:tc>
              <w:tc>
                <w:tcPr>
                  <w:tcW w:w="1186" w:type="pct"/>
                  <w:tcBorders>
                    <w:tl2br w:val="nil"/>
                    <w:tr2bl w:val="nil"/>
                  </w:tcBorders>
                  <w:vAlign w:val="center"/>
                </w:tcPr>
                <w:p w14:paraId="38814195">
                  <w:pPr>
                    <w:widowControl/>
                    <w:jc w:val="center"/>
                    <w:rPr>
                      <w:rFonts w:hint="default" w:ascii="Times New Roman" w:hAnsi="Times New Roman" w:cs="Times New Roman"/>
                      <w:color w:val="FF0000"/>
                      <w:kern w:val="0"/>
                      <w:szCs w:val="21"/>
                      <w:lang w:bidi="ar"/>
                    </w:rPr>
                  </w:pPr>
                  <w:r>
                    <w:rPr>
                      <w:rFonts w:hint="default" w:ascii="Times New Roman" w:hAnsi="Times New Roman" w:cs="Times New Roman"/>
                      <w:color w:val="FF0000"/>
                      <w:kern w:val="0"/>
                      <w:szCs w:val="21"/>
                      <w:lang w:bidi="ar"/>
                    </w:rPr>
                    <w:t>污染物产生速率（</w:t>
                  </w:r>
                  <w:r>
                    <w:rPr>
                      <w:rFonts w:hint="default" w:ascii="Times New Roman" w:hAnsi="Times New Roman" w:cs="Times New Roman"/>
                      <w:color w:val="FF0000"/>
                      <w:sz w:val="24"/>
                      <w:szCs w:val="28"/>
                    </w:rPr>
                    <w:t>kg/h</w:t>
                  </w:r>
                  <w:r>
                    <w:rPr>
                      <w:rFonts w:hint="default" w:ascii="Times New Roman" w:hAnsi="Times New Roman" w:cs="Times New Roman"/>
                      <w:color w:val="FF0000"/>
                      <w:kern w:val="0"/>
                      <w:szCs w:val="21"/>
                      <w:lang w:bidi="ar"/>
                    </w:rPr>
                    <w:t>）</w:t>
                  </w:r>
                </w:p>
              </w:tc>
              <w:tc>
                <w:tcPr>
                  <w:tcW w:w="1186" w:type="pct"/>
                  <w:tcBorders>
                    <w:tl2br w:val="nil"/>
                    <w:tr2bl w:val="nil"/>
                  </w:tcBorders>
                  <w:vAlign w:val="center"/>
                </w:tcPr>
                <w:p w14:paraId="51BDBA09">
                  <w:pPr>
                    <w:widowControl/>
                    <w:jc w:val="center"/>
                    <w:rPr>
                      <w:rFonts w:hint="default" w:ascii="Times New Roman" w:hAnsi="Times New Roman" w:cs="Times New Roman"/>
                      <w:color w:val="FF0000"/>
                      <w:kern w:val="0"/>
                      <w:szCs w:val="21"/>
                      <w:lang w:bidi="ar"/>
                    </w:rPr>
                  </w:pPr>
                  <w:r>
                    <w:rPr>
                      <w:rFonts w:hint="default" w:ascii="Times New Roman" w:hAnsi="Times New Roman" w:cs="Times New Roman"/>
                      <w:color w:val="FF0000"/>
                      <w:kern w:val="0"/>
                      <w:szCs w:val="21"/>
                      <w:lang w:bidi="ar"/>
                    </w:rPr>
                    <w:t>污染物产生浓度（mg/m</w:t>
                  </w:r>
                  <w:r>
                    <w:rPr>
                      <w:rFonts w:hint="default" w:ascii="Times New Roman" w:hAnsi="Times New Roman" w:cs="Times New Roman"/>
                      <w:color w:val="FF0000"/>
                      <w:kern w:val="0"/>
                      <w:szCs w:val="21"/>
                      <w:vertAlign w:val="superscript"/>
                      <w:lang w:bidi="ar"/>
                    </w:rPr>
                    <w:t>3</w:t>
                  </w:r>
                  <w:r>
                    <w:rPr>
                      <w:rFonts w:hint="default" w:ascii="Times New Roman" w:hAnsi="Times New Roman" w:cs="Times New Roman"/>
                      <w:color w:val="FF0000"/>
                      <w:kern w:val="0"/>
                      <w:szCs w:val="21"/>
                      <w:lang w:bidi="ar"/>
                    </w:rPr>
                    <w:t>）</w:t>
                  </w:r>
                </w:p>
              </w:tc>
            </w:tr>
            <w:tr w14:paraId="16F16A5F">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86" w:type="pct"/>
                  <w:tcBorders>
                    <w:tl2br w:val="nil"/>
                    <w:tr2bl w:val="nil"/>
                  </w:tcBorders>
                  <w:vAlign w:val="center"/>
                </w:tcPr>
                <w:p w14:paraId="0F90864E">
                  <w:pPr>
                    <w:widowControl/>
                    <w:jc w:val="center"/>
                    <w:rPr>
                      <w:rFonts w:hint="default" w:ascii="Times New Roman" w:hAnsi="Times New Roman" w:cs="Times New Roman"/>
                      <w:color w:val="FF0000"/>
                      <w:kern w:val="0"/>
                      <w:szCs w:val="21"/>
                      <w:lang w:bidi="ar"/>
                    </w:rPr>
                  </w:pPr>
                  <w:r>
                    <w:rPr>
                      <w:rFonts w:hint="default" w:ascii="Times New Roman" w:hAnsi="Times New Roman" w:cs="Times New Roman"/>
                      <w:color w:val="FF0000"/>
                      <w:kern w:val="0"/>
                      <w:szCs w:val="21"/>
                      <w:lang w:bidi="ar"/>
                    </w:rPr>
                    <w:t>废油液收集废气（G1）</w:t>
                  </w:r>
                </w:p>
              </w:tc>
              <w:tc>
                <w:tcPr>
                  <w:tcW w:w="881" w:type="pct"/>
                  <w:tcBorders>
                    <w:tl2br w:val="nil"/>
                    <w:tr2bl w:val="nil"/>
                  </w:tcBorders>
                  <w:vAlign w:val="center"/>
                </w:tcPr>
                <w:p w14:paraId="367D24B2">
                  <w:pPr>
                    <w:widowControl/>
                    <w:jc w:val="center"/>
                    <w:textAlignment w:val="center"/>
                    <w:rPr>
                      <w:rFonts w:hint="default" w:ascii="Times New Roman" w:hAnsi="Times New Roman" w:cs="Times New Roman"/>
                      <w:color w:val="FF0000"/>
                      <w:kern w:val="0"/>
                      <w:szCs w:val="21"/>
                      <w:lang w:bidi="ar"/>
                    </w:rPr>
                  </w:pPr>
                  <w:r>
                    <w:rPr>
                      <w:rFonts w:hint="default" w:ascii="Times New Roman" w:hAnsi="Times New Roman" w:cs="Times New Roman"/>
                      <w:color w:val="FF0000"/>
                      <w:kern w:val="0"/>
                      <w:szCs w:val="21"/>
                      <w:lang w:bidi="ar"/>
                    </w:rPr>
                    <w:t>非甲烷总烃</w:t>
                  </w:r>
                </w:p>
              </w:tc>
              <w:tc>
                <w:tcPr>
                  <w:tcW w:w="959" w:type="pct"/>
                  <w:tcBorders>
                    <w:tl2br w:val="nil"/>
                    <w:tr2bl w:val="nil"/>
                  </w:tcBorders>
                  <w:vAlign w:val="center"/>
                </w:tcPr>
                <w:p w14:paraId="79F589A4">
                  <w:pPr>
                    <w:widowControl/>
                    <w:jc w:val="center"/>
                    <w:textAlignment w:val="center"/>
                    <w:rPr>
                      <w:rFonts w:hint="default" w:ascii="Times New Roman" w:hAnsi="Times New Roman" w:eastAsia="宋体" w:cs="Times New Roman"/>
                      <w:color w:val="FF0000"/>
                      <w:kern w:val="0"/>
                      <w:szCs w:val="21"/>
                      <w:lang w:eastAsia="zh-CN" w:bidi="ar"/>
                    </w:rPr>
                  </w:pPr>
                  <w:r>
                    <w:rPr>
                      <w:rFonts w:hint="default" w:ascii="Times New Roman" w:hAnsi="Times New Roman" w:cs="Times New Roman"/>
                      <w:color w:val="FF0000"/>
                      <w:kern w:val="0"/>
                      <w:szCs w:val="21"/>
                      <w:lang w:eastAsia="zh-CN" w:bidi="ar"/>
                    </w:rPr>
                    <w:t>0.277</w:t>
                  </w:r>
                </w:p>
              </w:tc>
              <w:tc>
                <w:tcPr>
                  <w:tcW w:w="1186" w:type="pct"/>
                  <w:tcBorders>
                    <w:tl2br w:val="nil"/>
                    <w:tr2bl w:val="nil"/>
                  </w:tcBorders>
                  <w:vAlign w:val="center"/>
                </w:tcPr>
                <w:p w14:paraId="5BAE55A2">
                  <w:pPr>
                    <w:widowControl/>
                    <w:jc w:val="center"/>
                    <w:textAlignment w:val="center"/>
                    <w:rPr>
                      <w:rFonts w:hint="default" w:ascii="Times New Roman" w:hAnsi="Times New Roman" w:eastAsia="宋体" w:cs="Times New Roman"/>
                      <w:color w:val="FF0000"/>
                      <w:kern w:val="0"/>
                      <w:szCs w:val="21"/>
                      <w:lang w:eastAsia="zh-CN" w:bidi="ar"/>
                    </w:rPr>
                  </w:pPr>
                  <w:r>
                    <w:rPr>
                      <w:rFonts w:hint="default" w:ascii="Times New Roman" w:hAnsi="Times New Roman" w:cs="Times New Roman"/>
                      <w:color w:val="FF0000"/>
                      <w:kern w:val="0"/>
                      <w:szCs w:val="21"/>
                      <w:lang w:eastAsia="zh-CN" w:bidi="ar"/>
                    </w:rPr>
                    <w:t>0.115</w:t>
                  </w:r>
                </w:p>
              </w:tc>
              <w:tc>
                <w:tcPr>
                  <w:tcW w:w="1186" w:type="pct"/>
                  <w:tcBorders>
                    <w:tl2br w:val="nil"/>
                    <w:tr2bl w:val="nil"/>
                  </w:tcBorders>
                  <w:vAlign w:val="center"/>
                </w:tcPr>
                <w:p w14:paraId="4A1807D6">
                  <w:pPr>
                    <w:widowControl/>
                    <w:jc w:val="center"/>
                    <w:textAlignment w:val="center"/>
                    <w:rPr>
                      <w:rFonts w:hint="default" w:ascii="Times New Roman" w:hAnsi="Times New Roman" w:eastAsia="宋体" w:cs="Times New Roman"/>
                      <w:color w:val="FF0000"/>
                      <w:kern w:val="0"/>
                      <w:szCs w:val="21"/>
                      <w:lang w:eastAsia="zh-CN" w:bidi="ar"/>
                    </w:rPr>
                  </w:pPr>
                  <w:r>
                    <w:rPr>
                      <w:rFonts w:hint="default" w:ascii="Times New Roman" w:hAnsi="Times New Roman" w:cs="Times New Roman"/>
                      <w:color w:val="FF0000"/>
                      <w:kern w:val="0"/>
                      <w:szCs w:val="21"/>
                      <w:lang w:eastAsia="zh-CN" w:bidi="ar"/>
                    </w:rPr>
                    <w:t>8.878</w:t>
                  </w:r>
                </w:p>
              </w:tc>
            </w:tr>
            <w:tr w14:paraId="12F3539F">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2" w:hRule="atLeast"/>
                <w:jc w:val="center"/>
              </w:trPr>
              <w:tc>
                <w:tcPr>
                  <w:tcW w:w="786" w:type="pct"/>
                  <w:tcBorders>
                    <w:tl2br w:val="nil"/>
                    <w:tr2bl w:val="nil"/>
                  </w:tcBorders>
                  <w:vAlign w:val="center"/>
                </w:tcPr>
                <w:p w14:paraId="468A78E1">
                  <w:pPr>
                    <w:widowControl/>
                    <w:jc w:val="center"/>
                    <w:rPr>
                      <w:rFonts w:hint="default" w:ascii="Times New Roman" w:hAnsi="Times New Roman" w:cs="Times New Roman"/>
                      <w:color w:val="FF0000"/>
                      <w:kern w:val="0"/>
                      <w:szCs w:val="21"/>
                      <w:lang w:bidi="ar"/>
                    </w:rPr>
                  </w:pPr>
                  <w:r>
                    <w:rPr>
                      <w:rFonts w:hint="default" w:ascii="Times New Roman" w:hAnsi="Times New Roman" w:cs="Times New Roman"/>
                      <w:color w:val="FF0000"/>
                      <w:kern w:val="0"/>
                      <w:szCs w:val="21"/>
                      <w:lang w:bidi="ar"/>
                    </w:rPr>
                    <w:t>制冷剂收集废气（G2）</w:t>
                  </w:r>
                </w:p>
              </w:tc>
              <w:tc>
                <w:tcPr>
                  <w:tcW w:w="881" w:type="pct"/>
                  <w:tcBorders>
                    <w:tl2br w:val="nil"/>
                    <w:tr2bl w:val="nil"/>
                  </w:tcBorders>
                  <w:vAlign w:val="center"/>
                </w:tcPr>
                <w:p w14:paraId="494C3CAF">
                  <w:pPr>
                    <w:widowControl/>
                    <w:jc w:val="center"/>
                    <w:rPr>
                      <w:rFonts w:hint="default" w:ascii="Times New Roman" w:hAnsi="Times New Roman" w:cs="Times New Roman"/>
                      <w:color w:val="FF0000"/>
                      <w:kern w:val="0"/>
                      <w:szCs w:val="21"/>
                      <w:lang w:bidi="ar"/>
                    </w:rPr>
                  </w:pPr>
                  <w:r>
                    <w:rPr>
                      <w:rFonts w:hint="default" w:ascii="Times New Roman" w:hAnsi="Times New Roman" w:cs="Times New Roman"/>
                      <w:color w:val="FF0000"/>
                      <w:kern w:val="0"/>
                      <w:szCs w:val="21"/>
                      <w:lang w:bidi="ar"/>
                    </w:rPr>
                    <w:t>非甲烷总烃</w:t>
                  </w:r>
                </w:p>
              </w:tc>
              <w:tc>
                <w:tcPr>
                  <w:tcW w:w="959" w:type="pct"/>
                  <w:tcBorders>
                    <w:tl2br w:val="nil"/>
                    <w:tr2bl w:val="nil"/>
                  </w:tcBorders>
                  <w:vAlign w:val="center"/>
                </w:tcPr>
                <w:p w14:paraId="0CC0E376">
                  <w:pPr>
                    <w:widowControl/>
                    <w:jc w:val="center"/>
                    <w:textAlignment w:val="center"/>
                    <w:rPr>
                      <w:rFonts w:hint="default" w:ascii="Times New Roman" w:hAnsi="Times New Roman" w:eastAsia="宋体" w:cs="Times New Roman"/>
                      <w:color w:val="FF0000"/>
                      <w:kern w:val="0"/>
                      <w:szCs w:val="21"/>
                      <w:lang w:val="en-US" w:eastAsia="zh-CN" w:bidi="ar"/>
                    </w:rPr>
                  </w:pPr>
                  <w:r>
                    <w:rPr>
                      <w:rFonts w:hint="default" w:ascii="Times New Roman" w:hAnsi="Times New Roman" w:cs="Times New Roman"/>
                      <w:color w:val="FF0000"/>
                      <w:kern w:val="0"/>
                      <w:szCs w:val="21"/>
                      <w:lang w:bidi="ar"/>
                    </w:rPr>
                    <w:t>0.00</w:t>
                  </w:r>
                  <w:r>
                    <w:rPr>
                      <w:rFonts w:hint="default" w:ascii="Times New Roman" w:hAnsi="Times New Roman" w:cs="Times New Roman"/>
                      <w:color w:val="FF0000"/>
                      <w:kern w:val="0"/>
                      <w:szCs w:val="21"/>
                      <w:lang w:val="en-US" w:eastAsia="zh-CN" w:bidi="ar"/>
                    </w:rPr>
                    <w:t>16</w:t>
                  </w:r>
                </w:p>
              </w:tc>
              <w:tc>
                <w:tcPr>
                  <w:tcW w:w="1186" w:type="pct"/>
                  <w:tcBorders>
                    <w:tl2br w:val="nil"/>
                    <w:tr2bl w:val="nil"/>
                  </w:tcBorders>
                  <w:vAlign w:val="center"/>
                </w:tcPr>
                <w:p w14:paraId="5EE2F032">
                  <w:pPr>
                    <w:widowControl/>
                    <w:jc w:val="center"/>
                    <w:textAlignment w:val="center"/>
                    <w:rPr>
                      <w:rFonts w:hint="default" w:ascii="Times New Roman" w:hAnsi="Times New Roman" w:eastAsia="宋体" w:cs="Times New Roman"/>
                      <w:color w:val="FF0000"/>
                      <w:kern w:val="0"/>
                      <w:szCs w:val="21"/>
                      <w:lang w:val="en-US" w:eastAsia="zh-CN" w:bidi="ar"/>
                    </w:rPr>
                  </w:pPr>
                  <w:r>
                    <w:rPr>
                      <w:rFonts w:hint="default" w:ascii="Times New Roman" w:hAnsi="Times New Roman" w:cs="Times New Roman"/>
                      <w:color w:val="FF0000"/>
                      <w:kern w:val="0"/>
                      <w:szCs w:val="21"/>
                      <w:lang w:bidi="ar"/>
                    </w:rPr>
                    <w:t>0.00</w:t>
                  </w:r>
                  <w:r>
                    <w:rPr>
                      <w:rFonts w:hint="default" w:ascii="Times New Roman" w:hAnsi="Times New Roman" w:cs="Times New Roman"/>
                      <w:color w:val="FF0000"/>
                      <w:kern w:val="0"/>
                      <w:szCs w:val="21"/>
                      <w:lang w:val="en-US" w:eastAsia="zh-CN" w:bidi="ar"/>
                    </w:rPr>
                    <w:t>07</w:t>
                  </w:r>
                </w:p>
              </w:tc>
              <w:tc>
                <w:tcPr>
                  <w:tcW w:w="1186" w:type="pct"/>
                  <w:tcBorders>
                    <w:tl2br w:val="nil"/>
                    <w:tr2bl w:val="nil"/>
                  </w:tcBorders>
                  <w:vAlign w:val="center"/>
                </w:tcPr>
                <w:p w14:paraId="43258F32">
                  <w:pPr>
                    <w:widowControl/>
                    <w:jc w:val="center"/>
                    <w:textAlignment w:val="center"/>
                    <w:rPr>
                      <w:rFonts w:hint="default" w:ascii="Times New Roman" w:hAnsi="Times New Roman" w:cs="Times New Roman"/>
                      <w:color w:val="FF0000"/>
                      <w:kern w:val="0"/>
                      <w:szCs w:val="21"/>
                      <w:lang w:bidi="ar"/>
                    </w:rPr>
                  </w:pPr>
                  <w:r>
                    <w:rPr>
                      <w:rFonts w:hint="default" w:ascii="Times New Roman" w:hAnsi="Times New Roman" w:cs="Times New Roman"/>
                      <w:color w:val="FF0000"/>
                      <w:kern w:val="0"/>
                      <w:szCs w:val="21"/>
                      <w:lang w:bidi="ar"/>
                    </w:rPr>
                    <w:t>0.</w:t>
                  </w:r>
                  <w:r>
                    <w:rPr>
                      <w:rFonts w:hint="default" w:ascii="Times New Roman" w:hAnsi="Times New Roman" w:cs="Times New Roman"/>
                      <w:color w:val="FF0000"/>
                      <w:kern w:val="0"/>
                      <w:szCs w:val="21"/>
                      <w:lang w:val="en-US" w:eastAsia="zh-CN" w:bidi="ar"/>
                    </w:rPr>
                    <w:t>0</w:t>
                  </w:r>
                  <w:r>
                    <w:rPr>
                      <w:rFonts w:hint="default" w:ascii="Times New Roman" w:hAnsi="Times New Roman" w:cs="Times New Roman"/>
                      <w:color w:val="FF0000"/>
                      <w:kern w:val="0"/>
                      <w:szCs w:val="21"/>
                      <w:lang w:bidi="ar"/>
                    </w:rPr>
                    <w:t>54</w:t>
                  </w:r>
                </w:p>
              </w:tc>
            </w:tr>
            <w:tr w14:paraId="32B06CB2">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34" w:hRule="atLeast"/>
                <w:jc w:val="center"/>
              </w:trPr>
              <w:tc>
                <w:tcPr>
                  <w:tcW w:w="786" w:type="pct"/>
                  <w:tcBorders>
                    <w:tl2br w:val="nil"/>
                    <w:tr2bl w:val="nil"/>
                  </w:tcBorders>
                  <w:vAlign w:val="center"/>
                </w:tcPr>
                <w:p w14:paraId="1BDBC82A">
                  <w:pPr>
                    <w:widowControl/>
                    <w:jc w:val="center"/>
                    <w:rPr>
                      <w:rFonts w:hint="default" w:ascii="Times New Roman" w:hAnsi="Times New Roman" w:cs="Times New Roman"/>
                      <w:color w:val="FF0000"/>
                      <w:kern w:val="0"/>
                      <w:szCs w:val="21"/>
                      <w:lang w:bidi="ar"/>
                    </w:rPr>
                  </w:pPr>
                  <w:r>
                    <w:rPr>
                      <w:rFonts w:hint="default" w:ascii="Times New Roman" w:hAnsi="Times New Roman" w:cs="Times New Roman"/>
                      <w:color w:val="FF0000"/>
                      <w:kern w:val="0"/>
                      <w:szCs w:val="21"/>
                      <w:lang w:bidi="ar"/>
                    </w:rPr>
                    <w:t>废钢破碎粉尘（G3）</w:t>
                  </w:r>
                </w:p>
                <w:p w14:paraId="599ABF16">
                  <w:pPr>
                    <w:widowControl/>
                    <w:jc w:val="center"/>
                    <w:rPr>
                      <w:rFonts w:hint="default" w:ascii="Times New Roman" w:hAnsi="Times New Roman" w:cs="Times New Roman"/>
                      <w:color w:val="FF0000"/>
                      <w:kern w:val="0"/>
                      <w:szCs w:val="21"/>
                      <w:lang w:bidi="ar"/>
                    </w:rPr>
                  </w:pPr>
                  <w:r>
                    <w:rPr>
                      <w:rFonts w:hint="default" w:ascii="Times New Roman" w:hAnsi="Times New Roman" w:cs="Times New Roman"/>
                      <w:color w:val="FF0000"/>
                      <w:kern w:val="0"/>
                      <w:szCs w:val="21"/>
                      <w:lang w:bidi="ar"/>
                    </w:rPr>
                    <w:t>废钢打包粉尘（G4）</w:t>
                  </w:r>
                </w:p>
                <w:p w14:paraId="20A181F1">
                  <w:pPr>
                    <w:widowControl/>
                    <w:jc w:val="center"/>
                    <w:rPr>
                      <w:rFonts w:hint="default" w:ascii="Times New Roman" w:hAnsi="Times New Roman" w:cs="Times New Roman"/>
                      <w:color w:val="FF0000"/>
                      <w:kern w:val="0"/>
                      <w:szCs w:val="21"/>
                      <w:lang w:bidi="ar"/>
                    </w:rPr>
                  </w:pPr>
                  <w:r>
                    <w:rPr>
                      <w:rFonts w:hint="default" w:ascii="Times New Roman" w:hAnsi="Times New Roman" w:cs="Times New Roman"/>
                      <w:color w:val="FF0000"/>
                      <w:kern w:val="0"/>
                      <w:szCs w:val="21"/>
                      <w:lang w:bidi="ar"/>
                    </w:rPr>
                    <w:t>废橡胶破碎粉尘（G5）</w:t>
                  </w:r>
                </w:p>
              </w:tc>
              <w:tc>
                <w:tcPr>
                  <w:tcW w:w="881" w:type="pct"/>
                  <w:tcBorders>
                    <w:tl2br w:val="nil"/>
                    <w:tr2bl w:val="nil"/>
                  </w:tcBorders>
                  <w:vAlign w:val="center"/>
                </w:tcPr>
                <w:p w14:paraId="6F02B0F2">
                  <w:pPr>
                    <w:widowControl/>
                    <w:jc w:val="center"/>
                    <w:rPr>
                      <w:rFonts w:hint="default" w:ascii="Times New Roman" w:hAnsi="Times New Roman" w:cs="Times New Roman"/>
                      <w:color w:val="FF0000"/>
                      <w:kern w:val="0"/>
                      <w:szCs w:val="21"/>
                      <w:lang w:bidi="ar"/>
                    </w:rPr>
                  </w:pPr>
                  <w:r>
                    <w:rPr>
                      <w:rFonts w:hint="default" w:ascii="Times New Roman" w:hAnsi="Times New Roman" w:cs="Times New Roman"/>
                      <w:color w:val="FF0000"/>
                      <w:kern w:val="0"/>
                      <w:szCs w:val="21"/>
                      <w:lang w:bidi="ar"/>
                    </w:rPr>
                    <w:t>颗粒物</w:t>
                  </w:r>
                </w:p>
              </w:tc>
              <w:tc>
                <w:tcPr>
                  <w:tcW w:w="959" w:type="pct"/>
                  <w:tcBorders>
                    <w:tl2br w:val="nil"/>
                    <w:tr2bl w:val="nil"/>
                  </w:tcBorders>
                  <w:vAlign w:val="center"/>
                </w:tcPr>
                <w:p w14:paraId="554B2F2C">
                  <w:pPr>
                    <w:widowControl/>
                    <w:jc w:val="center"/>
                    <w:textAlignment w:val="center"/>
                    <w:rPr>
                      <w:rFonts w:hint="default" w:ascii="Times New Roman" w:hAnsi="Times New Roman" w:eastAsia="宋体" w:cs="Times New Roman"/>
                      <w:color w:val="FF0000"/>
                      <w:kern w:val="0"/>
                      <w:szCs w:val="21"/>
                      <w:lang w:eastAsia="zh-CN" w:bidi="ar"/>
                    </w:rPr>
                  </w:pPr>
                  <w:r>
                    <w:rPr>
                      <w:rFonts w:hint="default" w:ascii="Times New Roman" w:hAnsi="Times New Roman" w:cs="Times New Roman"/>
                      <w:color w:val="FF0000"/>
                      <w:kern w:val="0"/>
                      <w:szCs w:val="21"/>
                      <w:lang w:eastAsia="zh-CN" w:bidi="ar"/>
                    </w:rPr>
                    <w:t>18.565</w:t>
                  </w:r>
                </w:p>
              </w:tc>
              <w:tc>
                <w:tcPr>
                  <w:tcW w:w="1186" w:type="pct"/>
                  <w:tcBorders>
                    <w:tl2br w:val="nil"/>
                    <w:tr2bl w:val="nil"/>
                  </w:tcBorders>
                  <w:vAlign w:val="center"/>
                </w:tcPr>
                <w:p w14:paraId="405D7D2E">
                  <w:pPr>
                    <w:widowControl/>
                    <w:jc w:val="center"/>
                    <w:textAlignment w:val="center"/>
                    <w:rPr>
                      <w:rFonts w:hint="default" w:ascii="Times New Roman" w:hAnsi="Times New Roman" w:eastAsia="宋体" w:cs="Times New Roman"/>
                      <w:color w:val="FF0000"/>
                      <w:kern w:val="0"/>
                      <w:szCs w:val="21"/>
                      <w:lang w:val="en-US" w:eastAsia="zh-CN" w:bidi="ar"/>
                    </w:rPr>
                  </w:pPr>
                  <w:r>
                    <w:rPr>
                      <w:rFonts w:hint="default" w:ascii="Times New Roman" w:hAnsi="Times New Roman" w:cs="Times New Roman"/>
                      <w:color w:val="FF0000"/>
                      <w:kern w:val="0"/>
                      <w:szCs w:val="21"/>
                      <w:lang w:val="en-US" w:eastAsia="zh-CN" w:bidi="ar"/>
                    </w:rPr>
                    <w:t>7.735</w:t>
                  </w:r>
                </w:p>
              </w:tc>
              <w:tc>
                <w:tcPr>
                  <w:tcW w:w="1186" w:type="pct"/>
                  <w:tcBorders>
                    <w:tl2br w:val="nil"/>
                    <w:tr2bl w:val="nil"/>
                  </w:tcBorders>
                  <w:vAlign w:val="center"/>
                </w:tcPr>
                <w:p w14:paraId="5D983184">
                  <w:pPr>
                    <w:widowControl/>
                    <w:jc w:val="center"/>
                    <w:textAlignment w:val="center"/>
                    <w:rPr>
                      <w:rFonts w:hint="default" w:ascii="Times New Roman" w:hAnsi="Times New Roman" w:eastAsia="宋体" w:cs="Times New Roman"/>
                      <w:color w:val="FF0000"/>
                      <w:kern w:val="0"/>
                      <w:szCs w:val="21"/>
                      <w:lang w:eastAsia="zh-CN" w:bidi="ar"/>
                    </w:rPr>
                  </w:pPr>
                  <w:r>
                    <w:rPr>
                      <w:rFonts w:hint="default" w:ascii="Times New Roman" w:hAnsi="Times New Roman" w:cs="Times New Roman"/>
                      <w:color w:val="FF0000"/>
                      <w:kern w:val="0"/>
                      <w:szCs w:val="21"/>
                      <w:lang w:eastAsia="zh-CN" w:bidi="ar"/>
                    </w:rPr>
                    <w:t>103.139</w:t>
                  </w:r>
                </w:p>
              </w:tc>
            </w:tr>
          </w:tbl>
          <w:p w14:paraId="2762FF37">
            <w:pPr>
              <w:pStyle w:val="19"/>
              <w:spacing w:after="0"/>
              <w:ind w:left="0" w:leftChars="0" w:firstLine="422"/>
              <w:jc w:val="center"/>
              <w:rPr>
                <w:rFonts w:hint="default" w:ascii="Times New Roman" w:hAnsi="Times New Roman" w:cs="Times New Roman"/>
                <w:b/>
                <w:bCs/>
                <w:color w:val="FF0000"/>
              </w:rPr>
            </w:pPr>
            <w:r>
              <w:rPr>
                <w:rFonts w:hint="default" w:ascii="Times New Roman" w:hAnsi="Times New Roman" w:cs="Times New Roman"/>
                <w:b/>
                <w:bCs/>
                <w:color w:val="FF0000"/>
              </w:rPr>
              <w:t>表4-</w:t>
            </w:r>
            <w:r>
              <w:rPr>
                <w:rFonts w:hint="eastAsia" w:cs="Times New Roman"/>
                <w:b/>
                <w:bCs/>
                <w:color w:val="FF0000"/>
                <w:lang w:val="en-US" w:eastAsia="zh-CN"/>
              </w:rPr>
              <w:t>7</w:t>
            </w:r>
            <w:r>
              <w:rPr>
                <w:rFonts w:hint="default" w:ascii="Times New Roman" w:hAnsi="Times New Roman" w:cs="Times New Roman"/>
                <w:b/>
                <w:bCs/>
                <w:color w:val="FF0000"/>
              </w:rPr>
              <w:t xml:space="preserve">  废气污染物排放情况</w:t>
            </w:r>
          </w:p>
          <w:tbl>
            <w:tblPr>
              <w:tblStyle w:val="34"/>
              <w:tblW w:w="4997" w:type="pct"/>
              <w:jc w:val="center"/>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893"/>
              <w:gridCol w:w="758"/>
              <w:gridCol w:w="769"/>
              <w:gridCol w:w="2688"/>
              <w:gridCol w:w="1156"/>
              <w:gridCol w:w="1010"/>
              <w:gridCol w:w="1195"/>
            </w:tblGrid>
            <w:tr w14:paraId="5AC72E9E">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81" w:hRule="atLeast"/>
                <w:jc w:val="center"/>
              </w:trPr>
              <w:tc>
                <w:tcPr>
                  <w:tcW w:w="527" w:type="pct"/>
                  <w:tcBorders>
                    <w:tl2br w:val="nil"/>
                    <w:tr2bl w:val="nil"/>
                  </w:tcBorders>
                  <w:vAlign w:val="center"/>
                </w:tcPr>
                <w:p w14:paraId="1BE597C1">
                  <w:pPr>
                    <w:pStyle w:val="19"/>
                    <w:spacing w:after="0"/>
                    <w:ind w:left="0" w:leftChars="0" w:firstLine="0" w:firstLineChars="0"/>
                    <w:jc w:val="center"/>
                    <w:rPr>
                      <w:rFonts w:hint="default" w:ascii="Times New Roman" w:hAnsi="Times New Roman" w:cs="Times New Roman"/>
                      <w:color w:val="FF0000"/>
                    </w:rPr>
                  </w:pPr>
                  <w:r>
                    <w:rPr>
                      <w:rFonts w:hint="default" w:ascii="Times New Roman" w:hAnsi="Times New Roman" w:cs="Times New Roman"/>
                      <w:color w:val="FF0000"/>
                    </w:rPr>
                    <w:t>产污环节</w:t>
                  </w:r>
                </w:p>
              </w:tc>
              <w:tc>
                <w:tcPr>
                  <w:tcW w:w="447" w:type="pct"/>
                  <w:tcBorders>
                    <w:tl2br w:val="nil"/>
                    <w:tr2bl w:val="nil"/>
                  </w:tcBorders>
                  <w:vAlign w:val="center"/>
                </w:tcPr>
                <w:p w14:paraId="51FB987C">
                  <w:pPr>
                    <w:pStyle w:val="19"/>
                    <w:spacing w:after="0"/>
                    <w:ind w:left="0" w:leftChars="0" w:firstLine="0" w:firstLineChars="0"/>
                    <w:jc w:val="center"/>
                    <w:rPr>
                      <w:rFonts w:hint="default" w:ascii="Times New Roman" w:hAnsi="Times New Roman" w:cs="Times New Roman"/>
                      <w:color w:val="FF0000"/>
                    </w:rPr>
                  </w:pPr>
                  <w:r>
                    <w:rPr>
                      <w:rFonts w:hint="default" w:ascii="Times New Roman" w:hAnsi="Times New Roman" w:cs="Times New Roman"/>
                      <w:color w:val="FF0000"/>
                    </w:rPr>
                    <w:t>污染物种类</w:t>
                  </w:r>
                </w:p>
              </w:tc>
              <w:tc>
                <w:tcPr>
                  <w:tcW w:w="454" w:type="pct"/>
                  <w:tcBorders>
                    <w:tl2br w:val="nil"/>
                    <w:tr2bl w:val="nil"/>
                  </w:tcBorders>
                  <w:vAlign w:val="center"/>
                </w:tcPr>
                <w:p w14:paraId="3C15B0ED">
                  <w:pPr>
                    <w:pStyle w:val="19"/>
                    <w:spacing w:after="0"/>
                    <w:ind w:left="0" w:leftChars="0" w:firstLine="0" w:firstLineChars="0"/>
                    <w:jc w:val="center"/>
                    <w:rPr>
                      <w:rFonts w:hint="default" w:ascii="Times New Roman" w:hAnsi="Times New Roman" w:cs="Times New Roman"/>
                      <w:color w:val="FF0000"/>
                    </w:rPr>
                  </w:pPr>
                  <w:r>
                    <w:rPr>
                      <w:rFonts w:hint="default" w:ascii="Times New Roman" w:hAnsi="Times New Roman" w:cs="Times New Roman"/>
                      <w:color w:val="FF0000"/>
                    </w:rPr>
                    <w:t>排放形式</w:t>
                  </w:r>
                </w:p>
              </w:tc>
              <w:tc>
                <w:tcPr>
                  <w:tcW w:w="1586" w:type="pct"/>
                  <w:tcBorders>
                    <w:tl2br w:val="nil"/>
                    <w:tr2bl w:val="nil"/>
                  </w:tcBorders>
                  <w:vAlign w:val="center"/>
                </w:tcPr>
                <w:p w14:paraId="273152CF">
                  <w:pPr>
                    <w:pStyle w:val="19"/>
                    <w:spacing w:after="0"/>
                    <w:ind w:left="0" w:leftChars="0"/>
                    <w:jc w:val="center"/>
                    <w:rPr>
                      <w:rFonts w:hint="default" w:ascii="Times New Roman" w:hAnsi="Times New Roman" w:cs="Times New Roman"/>
                      <w:color w:val="FF0000"/>
                    </w:rPr>
                  </w:pPr>
                  <w:r>
                    <w:rPr>
                      <w:rFonts w:hint="default" w:ascii="Times New Roman" w:hAnsi="Times New Roman" w:cs="Times New Roman"/>
                      <w:color w:val="FF0000"/>
                    </w:rPr>
                    <w:t>治理措施：</w:t>
                  </w:r>
                </w:p>
              </w:tc>
              <w:tc>
                <w:tcPr>
                  <w:tcW w:w="682" w:type="pct"/>
                  <w:tcBorders>
                    <w:tl2br w:val="nil"/>
                    <w:tr2bl w:val="nil"/>
                  </w:tcBorders>
                  <w:vAlign w:val="center"/>
                </w:tcPr>
                <w:p w14:paraId="2A429974">
                  <w:pPr>
                    <w:pStyle w:val="19"/>
                    <w:spacing w:after="0"/>
                    <w:ind w:left="0" w:leftChars="0" w:firstLine="0" w:firstLineChars="0"/>
                    <w:jc w:val="center"/>
                    <w:rPr>
                      <w:rFonts w:hint="default" w:ascii="Times New Roman" w:hAnsi="Times New Roman" w:eastAsia="宋体" w:cs="Times New Roman"/>
                      <w:color w:val="FF0000"/>
                      <w:lang w:eastAsia="zh-CN"/>
                    </w:rPr>
                  </w:pPr>
                  <w:r>
                    <w:rPr>
                      <w:rFonts w:hint="default" w:ascii="Times New Roman" w:hAnsi="Times New Roman" w:cs="Times New Roman"/>
                      <w:color w:val="FF0000"/>
                    </w:rPr>
                    <w:t>污染物排放量（t/a</w:t>
                  </w:r>
                  <w:r>
                    <w:rPr>
                      <w:rFonts w:hint="default" w:ascii="Times New Roman" w:hAnsi="Times New Roman" w:cs="Times New Roman"/>
                      <w:color w:val="FF0000"/>
                      <w:lang w:eastAsia="zh-CN"/>
                    </w:rPr>
                    <w:t>）</w:t>
                  </w:r>
                </w:p>
              </w:tc>
              <w:tc>
                <w:tcPr>
                  <w:tcW w:w="596" w:type="pct"/>
                  <w:tcBorders>
                    <w:tl2br w:val="nil"/>
                    <w:tr2bl w:val="nil"/>
                  </w:tcBorders>
                  <w:vAlign w:val="center"/>
                </w:tcPr>
                <w:p w14:paraId="5805D134">
                  <w:pPr>
                    <w:pStyle w:val="19"/>
                    <w:spacing w:after="0"/>
                    <w:ind w:left="0" w:leftChars="0" w:firstLine="0" w:firstLineChars="0"/>
                    <w:jc w:val="center"/>
                    <w:rPr>
                      <w:rFonts w:hint="default" w:ascii="Times New Roman" w:hAnsi="Times New Roman" w:cs="Times New Roman"/>
                      <w:color w:val="FF0000"/>
                    </w:rPr>
                  </w:pPr>
                  <w:r>
                    <w:rPr>
                      <w:rFonts w:hint="default" w:ascii="Times New Roman" w:hAnsi="Times New Roman" w:cs="Times New Roman"/>
                      <w:color w:val="FF0000"/>
                    </w:rPr>
                    <w:t>排放速率（kg/h）</w:t>
                  </w:r>
                </w:p>
              </w:tc>
              <w:tc>
                <w:tcPr>
                  <w:tcW w:w="705" w:type="pct"/>
                  <w:tcBorders>
                    <w:tl2br w:val="nil"/>
                    <w:tr2bl w:val="nil"/>
                  </w:tcBorders>
                  <w:vAlign w:val="center"/>
                </w:tcPr>
                <w:p w14:paraId="72379E77">
                  <w:pPr>
                    <w:pStyle w:val="19"/>
                    <w:spacing w:after="0"/>
                    <w:ind w:left="0" w:leftChars="0" w:firstLine="0" w:firstLineChars="0"/>
                    <w:jc w:val="center"/>
                    <w:rPr>
                      <w:rFonts w:hint="default" w:ascii="Times New Roman" w:hAnsi="Times New Roman" w:cs="Times New Roman"/>
                      <w:color w:val="FF0000"/>
                    </w:rPr>
                  </w:pPr>
                  <w:r>
                    <w:rPr>
                      <w:rFonts w:hint="default" w:ascii="Times New Roman" w:hAnsi="Times New Roman" w:cs="Times New Roman"/>
                      <w:color w:val="FF0000"/>
                    </w:rPr>
                    <w:t>排放浓度（mg/m</w:t>
                  </w:r>
                  <w:r>
                    <w:rPr>
                      <w:rFonts w:hint="default" w:ascii="Times New Roman" w:hAnsi="Times New Roman" w:cs="Times New Roman"/>
                      <w:color w:val="FF0000"/>
                      <w:vertAlign w:val="superscript"/>
                    </w:rPr>
                    <w:t>3</w:t>
                  </w:r>
                  <w:r>
                    <w:rPr>
                      <w:rFonts w:hint="default" w:ascii="Times New Roman" w:hAnsi="Times New Roman" w:cs="Times New Roman"/>
                      <w:color w:val="FF0000"/>
                    </w:rPr>
                    <w:t>）</w:t>
                  </w:r>
                </w:p>
              </w:tc>
            </w:tr>
            <w:tr w14:paraId="740C0D8B">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03" w:hRule="atLeast"/>
                <w:jc w:val="center"/>
              </w:trPr>
              <w:tc>
                <w:tcPr>
                  <w:tcW w:w="527" w:type="pct"/>
                  <w:vMerge w:val="restart"/>
                  <w:tcBorders>
                    <w:tl2br w:val="nil"/>
                    <w:tr2bl w:val="nil"/>
                  </w:tcBorders>
                  <w:shd w:val="clear" w:color="auto" w:fill="auto"/>
                  <w:vAlign w:val="center"/>
                </w:tcPr>
                <w:p w14:paraId="2654591D">
                  <w:pPr>
                    <w:widowControl/>
                    <w:jc w:val="center"/>
                    <w:rPr>
                      <w:rFonts w:hint="default" w:ascii="Times New Roman" w:hAnsi="Times New Roman" w:cs="Times New Roman"/>
                      <w:color w:val="FF0000"/>
                      <w:kern w:val="0"/>
                      <w:szCs w:val="21"/>
                      <w:lang w:bidi="ar"/>
                    </w:rPr>
                  </w:pPr>
                  <w:r>
                    <w:rPr>
                      <w:rFonts w:hint="default" w:ascii="Times New Roman" w:hAnsi="Times New Roman" w:cs="Times New Roman"/>
                      <w:color w:val="FF0000"/>
                      <w:kern w:val="0"/>
                      <w:szCs w:val="21"/>
                      <w:lang w:bidi="ar"/>
                    </w:rPr>
                    <w:t>废油液收集废气（G1）</w:t>
                  </w:r>
                </w:p>
              </w:tc>
              <w:tc>
                <w:tcPr>
                  <w:tcW w:w="447" w:type="pct"/>
                  <w:vMerge w:val="restart"/>
                  <w:tcBorders>
                    <w:tl2br w:val="nil"/>
                    <w:tr2bl w:val="nil"/>
                  </w:tcBorders>
                  <w:vAlign w:val="center"/>
                </w:tcPr>
                <w:p w14:paraId="0CEB6EBA">
                  <w:pPr>
                    <w:pStyle w:val="19"/>
                    <w:spacing w:after="0"/>
                    <w:ind w:left="0" w:leftChars="0" w:firstLine="0" w:firstLineChars="0"/>
                    <w:jc w:val="center"/>
                    <w:rPr>
                      <w:rFonts w:hint="default" w:ascii="Times New Roman" w:hAnsi="Times New Roman" w:cs="Times New Roman"/>
                      <w:color w:val="FF0000"/>
                    </w:rPr>
                  </w:pPr>
                  <w:r>
                    <w:rPr>
                      <w:rFonts w:hint="default" w:ascii="Times New Roman" w:hAnsi="Times New Roman" w:cs="Times New Roman"/>
                      <w:color w:val="FF0000"/>
                      <w:kern w:val="0"/>
                      <w:szCs w:val="21"/>
                      <w:lang w:bidi="ar"/>
                    </w:rPr>
                    <w:t>非甲烷总烃</w:t>
                  </w:r>
                </w:p>
              </w:tc>
              <w:tc>
                <w:tcPr>
                  <w:tcW w:w="454" w:type="pct"/>
                  <w:tcBorders>
                    <w:tl2br w:val="nil"/>
                    <w:tr2bl w:val="nil"/>
                  </w:tcBorders>
                  <w:vAlign w:val="center"/>
                </w:tcPr>
                <w:p w14:paraId="3F038A18">
                  <w:pPr>
                    <w:widowControl/>
                    <w:jc w:val="center"/>
                    <w:rPr>
                      <w:rFonts w:hint="default" w:ascii="Times New Roman" w:hAnsi="Times New Roman" w:cs="Times New Roman"/>
                      <w:color w:val="FF0000"/>
                      <w:kern w:val="0"/>
                      <w:szCs w:val="21"/>
                      <w:lang w:bidi="ar"/>
                    </w:rPr>
                  </w:pPr>
                  <w:r>
                    <w:rPr>
                      <w:rFonts w:hint="default" w:ascii="Times New Roman" w:hAnsi="Times New Roman" w:cs="Times New Roman"/>
                      <w:color w:val="FF0000"/>
                      <w:kern w:val="0"/>
                      <w:szCs w:val="21"/>
                      <w:lang w:bidi="ar"/>
                    </w:rPr>
                    <w:t>有组织</w:t>
                  </w:r>
                </w:p>
              </w:tc>
              <w:tc>
                <w:tcPr>
                  <w:tcW w:w="1586" w:type="pct"/>
                  <w:tcBorders>
                    <w:tl2br w:val="nil"/>
                    <w:tr2bl w:val="nil"/>
                  </w:tcBorders>
                  <w:vAlign w:val="center"/>
                </w:tcPr>
                <w:p w14:paraId="05D5A139">
                  <w:pPr>
                    <w:widowControl/>
                    <w:jc w:val="center"/>
                    <w:rPr>
                      <w:rFonts w:hint="default" w:ascii="Times New Roman" w:hAnsi="Times New Roman" w:cs="Times New Roman"/>
                      <w:color w:val="FF0000"/>
                      <w:kern w:val="0"/>
                      <w:szCs w:val="21"/>
                      <w:lang w:bidi="ar"/>
                    </w:rPr>
                  </w:pPr>
                  <w:r>
                    <w:rPr>
                      <w:rFonts w:hint="default" w:ascii="Times New Roman" w:hAnsi="Times New Roman" w:cs="Times New Roman"/>
                      <w:color w:val="FF0000"/>
                      <w:kern w:val="0"/>
                      <w:szCs w:val="21"/>
                      <w:lang w:bidi="ar"/>
                    </w:rPr>
                    <w:t>集气罩80%+二级活性炭吸附80%（TA001）+</w:t>
                  </w:r>
                  <w:r>
                    <w:rPr>
                      <w:rFonts w:hint="default" w:ascii="Times New Roman" w:hAnsi="Times New Roman" w:cs="Times New Roman"/>
                      <w:color w:val="FF0000"/>
                      <w:kern w:val="0"/>
                      <w:szCs w:val="21"/>
                      <w:lang w:eastAsia="zh-CN" w:bidi="ar"/>
                    </w:rPr>
                    <w:t>26m排气筒</w:t>
                  </w:r>
                  <w:r>
                    <w:rPr>
                      <w:rFonts w:hint="default" w:ascii="Times New Roman" w:hAnsi="Times New Roman" w:cs="Times New Roman"/>
                      <w:color w:val="FF0000"/>
                      <w:kern w:val="0"/>
                      <w:szCs w:val="21"/>
                      <w:lang w:bidi="ar"/>
                    </w:rPr>
                    <w:t>DA001</w:t>
                  </w:r>
                </w:p>
              </w:tc>
              <w:tc>
                <w:tcPr>
                  <w:tcW w:w="682" w:type="pct"/>
                  <w:tcBorders>
                    <w:tl2br w:val="nil"/>
                    <w:tr2bl w:val="nil"/>
                  </w:tcBorders>
                  <w:vAlign w:val="center"/>
                </w:tcPr>
                <w:p w14:paraId="6F96CDC3">
                  <w:pPr>
                    <w:widowControl/>
                    <w:jc w:val="center"/>
                    <w:rPr>
                      <w:rFonts w:hint="default" w:ascii="Times New Roman" w:hAnsi="Times New Roman" w:eastAsia="宋体" w:cs="Times New Roman"/>
                      <w:color w:val="FF0000"/>
                      <w:kern w:val="0"/>
                      <w:szCs w:val="21"/>
                      <w:lang w:eastAsia="zh-CN" w:bidi="ar"/>
                    </w:rPr>
                  </w:pPr>
                  <w:r>
                    <w:rPr>
                      <w:rFonts w:hint="default" w:ascii="Times New Roman" w:hAnsi="Times New Roman" w:cs="Times New Roman"/>
                      <w:color w:val="FF0000"/>
                      <w:kern w:val="0"/>
                      <w:szCs w:val="21"/>
                      <w:lang w:eastAsia="zh-CN" w:bidi="ar"/>
                    </w:rPr>
                    <w:t>0.029</w:t>
                  </w:r>
                </w:p>
              </w:tc>
              <w:tc>
                <w:tcPr>
                  <w:tcW w:w="596" w:type="pct"/>
                  <w:tcBorders>
                    <w:tl2br w:val="nil"/>
                    <w:tr2bl w:val="nil"/>
                  </w:tcBorders>
                  <w:vAlign w:val="center"/>
                </w:tcPr>
                <w:p w14:paraId="0760ABAD">
                  <w:pPr>
                    <w:widowControl/>
                    <w:jc w:val="center"/>
                    <w:rPr>
                      <w:rFonts w:hint="default" w:ascii="Times New Roman" w:hAnsi="Times New Roman" w:eastAsia="宋体" w:cs="Times New Roman"/>
                      <w:color w:val="FF0000"/>
                      <w:kern w:val="0"/>
                      <w:szCs w:val="21"/>
                      <w:lang w:eastAsia="zh-CN" w:bidi="ar"/>
                    </w:rPr>
                  </w:pPr>
                  <w:r>
                    <w:rPr>
                      <w:rFonts w:hint="default" w:ascii="Times New Roman" w:hAnsi="Times New Roman" w:cs="Times New Roman"/>
                      <w:color w:val="FF0000"/>
                      <w:kern w:val="0"/>
                      <w:szCs w:val="21"/>
                      <w:lang w:eastAsia="zh-CN" w:bidi="ar"/>
                    </w:rPr>
                    <w:t>0.023</w:t>
                  </w:r>
                </w:p>
              </w:tc>
              <w:tc>
                <w:tcPr>
                  <w:tcW w:w="705" w:type="pct"/>
                  <w:tcBorders>
                    <w:tl2br w:val="nil"/>
                    <w:tr2bl w:val="nil"/>
                  </w:tcBorders>
                  <w:vAlign w:val="center"/>
                </w:tcPr>
                <w:p w14:paraId="22A6CCD0">
                  <w:pPr>
                    <w:widowControl/>
                    <w:jc w:val="center"/>
                    <w:rPr>
                      <w:rFonts w:hint="default" w:ascii="Times New Roman" w:hAnsi="Times New Roman" w:eastAsia="宋体" w:cs="Times New Roman"/>
                      <w:color w:val="FF0000"/>
                      <w:kern w:val="0"/>
                      <w:szCs w:val="21"/>
                      <w:lang w:eastAsia="zh-CN" w:bidi="ar"/>
                    </w:rPr>
                  </w:pPr>
                  <w:r>
                    <w:rPr>
                      <w:rFonts w:hint="default" w:ascii="Times New Roman" w:hAnsi="Times New Roman" w:cs="Times New Roman"/>
                      <w:color w:val="FF0000"/>
                      <w:kern w:val="0"/>
                      <w:szCs w:val="21"/>
                      <w:lang w:eastAsia="zh-CN" w:bidi="ar"/>
                    </w:rPr>
                    <w:t>1.776</w:t>
                  </w:r>
                </w:p>
              </w:tc>
            </w:tr>
            <w:tr w14:paraId="7E948DEE">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03" w:hRule="atLeast"/>
                <w:jc w:val="center"/>
              </w:trPr>
              <w:tc>
                <w:tcPr>
                  <w:tcW w:w="527" w:type="pct"/>
                  <w:vMerge w:val="continue"/>
                  <w:tcBorders>
                    <w:tl2br w:val="nil"/>
                    <w:tr2bl w:val="nil"/>
                  </w:tcBorders>
                  <w:shd w:val="clear" w:color="auto" w:fill="auto"/>
                  <w:vAlign w:val="center"/>
                </w:tcPr>
                <w:p w14:paraId="0D70805D">
                  <w:pPr>
                    <w:pStyle w:val="19"/>
                    <w:spacing w:after="0"/>
                    <w:ind w:left="0" w:leftChars="0" w:firstLine="0" w:firstLineChars="0"/>
                    <w:jc w:val="center"/>
                    <w:rPr>
                      <w:rFonts w:hint="default" w:ascii="Times New Roman" w:hAnsi="Times New Roman" w:cs="Times New Roman"/>
                      <w:color w:val="FF0000"/>
                    </w:rPr>
                  </w:pPr>
                </w:p>
              </w:tc>
              <w:tc>
                <w:tcPr>
                  <w:tcW w:w="447" w:type="pct"/>
                  <w:vMerge w:val="continue"/>
                  <w:tcBorders>
                    <w:tl2br w:val="nil"/>
                    <w:tr2bl w:val="nil"/>
                  </w:tcBorders>
                  <w:vAlign w:val="center"/>
                </w:tcPr>
                <w:p w14:paraId="2FF934CC">
                  <w:pPr>
                    <w:pStyle w:val="19"/>
                    <w:spacing w:after="0"/>
                    <w:ind w:left="0" w:leftChars="0" w:firstLine="0" w:firstLineChars="0"/>
                    <w:jc w:val="center"/>
                    <w:rPr>
                      <w:rFonts w:hint="default" w:ascii="Times New Roman" w:hAnsi="Times New Roman" w:cs="Times New Roman"/>
                      <w:color w:val="FF0000"/>
                    </w:rPr>
                  </w:pPr>
                </w:p>
              </w:tc>
              <w:tc>
                <w:tcPr>
                  <w:tcW w:w="454" w:type="pct"/>
                  <w:tcBorders>
                    <w:tl2br w:val="nil"/>
                    <w:tr2bl w:val="nil"/>
                  </w:tcBorders>
                  <w:vAlign w:val="center"/>
                </w:tcPr>
                <w:p w14:paraId="066B34C1">
                  <w:pPr>
                    <w:widowControl/>
                    <w:jc w:val="center"/>
                    <w:rPr>
                      <w:rFonts w:hint="default" w:ascii="Times New Roman" w:hAnsi="Times New Roman" w:cs="Times New Roman"/>
                      <w:color w:val="FF0000"/>
                      <w:kern w:val="0"/>
                      <w:szCs w:val="21"/>
                      <w:lang w:bidi="ar"/>
                    </w:rPr>
                  </w:pPr>
                  <w:r>
                    <w:rPr>
                      <w:rFonts w:hint="default" w:ascii="Times New Roman" w:hAnsi="Times New Roman" w:cs="Times New Roman"/>
                      <w:color w:val="FF0000"/>
                      <w:kern w:val="0"/>
                      <w:szCs w:val="21"/>
                      <w:lang w:bidi="ar"/>
                    </w:rPr>
                    <w:t>无组织</w:t>
                  </w:r>
                </w:p>
              </w:tc>
              <w:tc>
                <w:tcPr>
                  <w:tcW w:w="1586" w:type="pct"/>
                  <w:tcBorders>
                    <w:tl2br w:val="nil"/>
                    <w:tr2bl w:val="nil"/>
                  </w:tcBorders>
                  <w:vAlign w:val="center"/>
                </w:tcPr>
                <w:p w14:paraId="59D37DE5">
                  <w:pPr>
                    <w:widowControl/>
                    <w:jc w:val="center"/>
                    <w:rPr>
                      <w:rFonts w:hint="default" w:ascii="Times New Roman" w:hAnsi="Times New Roman" w:cs="Times New Roman"/>
                      <w:color w:val="FF0000"/>
                      <w:kern w:val="0"/>
                      <w:szCs w:val="21"/>
                      <w:lang w:bidi="ar"/>
                    </w:rPr>
                  </w:pPr>
                  <w:r>
                    <w:rPr>
                      <w:rFonts w:hint="default" w:ascii="Times New Roman" w:hAnsi="Times New Roman" w:cs="Times New Roman"/>
                      <w:color w:val="FF0000"/>
                      <w:kern w:val="0"/>
                      <w:szCs w:val="21"/>
                      <w:lang w:bidi="ar"/>
                    </w:rPr>
                    <w:t>/</w:t>
                  </w:r>
                </w:p>
              </w:tc>
              <w:tc>
                <w:tcPr>
                  <w:tcW w:w="682" w:type="pct"/>
                  <w:tcBorders>
                    <w:tl2br w:val="nil"/>
                    <w:tr2bl w:val="nil"/>
                  </w:tcBorders>
                  <w:vAlign w:val="center"/>
                </w:tcPr>
                <w:p w14:paraId="2191935C">
                  <w:pPr>
                    <w:widowControl/>
                    <w:jc w:val="center"/>
                    <w:rPr>
                      <w:rFonts w:hint="default" w:ascii="Times New Roman" w:hAnsi="Times New Roman" w:eastAsia="宋体" w:cs="Times New Roman"/>
                      <w:color w:val="FF0000"/>
                      <w:kern w:val="0"/>
                      <w:szCs w:val="21"/>
                      <w:lang w:eastAsia="zh-CN" w:bidi="ar"/>
                    </w:rPr>
                  </w:pPr>
                  <w:r>
                    <w:rPr>
                      <w:rFonts w:hint="default" w:ascii="Times New Roman" w:hAnsi="Times New Roman" w:cs="Times New Roman"/>
                      <w:color w:val="FF0000"/>
                      <w:kern w:val="0"/>
                      <w:szCs w:val="21"/>
                      <w:lang w:eastAsia="zh-CN" w:bidi="ar"/>
                    </w:rPr>
                    <w:t>0.069</w:t>
                  </w:r>
                </w:p>
              </w:tc>
              <w:tc>
                <w:tcPr>
                  <w:tcW w:w="596" w:type="pct"/>
                  <w:tcBorders>
                    <w:tl2br w:val="nil"/>
                    <w:tr2bl w:val="nil"/>
                  </w:tcBorders>
                  <w:vAlign w:val="center"/>
                </w:tcPr>
                <w:p w14:paraId="68CEE9BD">
                  <w:pPr>
                    <w:widowControl/>
                    <w:jc w:val="center"/>
                    <w:rPr>
                      <w:rFonts w:hint="default" w:ascii="Times New Roman" w:hAnsi="Times New Roman" w:eastAsia="宋体" w:cs="Times New Roman"/>
                      <w:color w:val="FF0000"/>
                      <w:kern w:val="0"/>
                      <w:szCs w:val="21"/>
                      <w:lang w:eastAsia="zh-CN" w:bidi="ar"/>
                    </w:rPr>
                  </w:pPr>
                  <w:r>
                    <w:rPr>
                      <w:rFonts w:hint="default" w:ascii="Times New Roman" w:hAnsi="Times New Roman" w:cs="Times New Roman"/>
                      <w:color w:val="FF0000"/>
                      <w:kern w:val="0"/>
                      <w:szCs w:val="21"/>
                      <w:lang w:eastAsia="zh-CN" w:bidi="ar"/>
                    </w:rPr>
                    <w:t>0.029</w:t>
                  </w:r>
                </w:p>
              </w:tc>
              <w:tc>
                <w:tcPr>
                  <w:tcW w:w="705" w:type="pct"/>
                  <w:tcBorders>
                    <w:tl2br w:val="nil"/>
                    <w:tr2bl w:val="nil"/>
                  </w:tcBorders>
                  <w:vAlign w:val="center"/>
                </w:tcPr>
                <w:p w14:paraId="64E9F623">
                  <w:pPr>
                    <w:widowControl/>
                    <w:jc w:val="center"/>
                    <w:rPr>
                      <w:rFonts w:hint="default" w:ascii="Times New Roman" w:hAnsi="Times New Roman" w:cs="Times New Roman"/>
                      <w:color w:val="FF0000"/>
                      <w:kern w:val="0"/>
                      <w:szCs w:val="21"/>
                      <w:lang w:bidi="ar"/>
                    </w:rPr>
                  </w:pPr>
                  <w:r>
                    <w:rPr>
                      <w:rFonts w:hint="default" w:ascii="Times New Roman" w:hAnsi="Times New Roman" w:cs="Times New Roman"/>
                      <w:color w:val="FF0000"/>
                      <w:kern w:val="0"/>
                      <w:szCs w:val="21"/>
                      <w:lang w:bidi="ar"/>
                    </w:rPr>
                    <w:t>/</w:t>
                  </w:r>
                </w:p>
              </w:tc>
            </w:tr>
            <w:tr w14:paraId="6B754391">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03" w:hRule="atLeast"/>
                <w:jc w:val="center"/>
              </w:trPr>
              <w:tc>
                <w:tcPr>
                  <w:tcW w:w="527" w:type="pct"/>
                  <w:vMerge w:val="restart"/>
                  <w:tcBorders>
                    <w:tl2br w:val="nil"/>
                    <w:tr2bl w:val="nil"/>
                  </w:tcBorders>
                  <w:shd w:val="clear" w:color="auto" w:fill="auto"/>
                  <w:vAlign w:val="center"/>
                </w:tcPr>
                <w:p w14:paraId="2415CEE9">
                  <w:pPr>
                    <w:widowControl/>
                    <w:jc w:val="center"/>
                    <w:rPr>
                      <w:rFonts w:hint="default" w:ascii="Times New Roman" w:hAnsi="Times New Roman" w:cs="Times New Roman"/>
                      <w:color w:val="FF0000"/>
                      <w:kern w:val="0"/>
                      <w:szCs w:val="21"/>
                      <w:lang w:bidi="ar"/>
                    </w:rPr>
                  </w:pPr>
                  <w:r>
                    <w:rPr>
                      <w:rFonts w:hint="default" w:ascii="Times New Roman" w:hAnsi="Times New Roman" w:cs="Times New Roman"/>
                      <w:color w:val="FF0000"/>
                      <w:kern w:val="0"/>
                      <w:szCs w:val="21"/>
                      <w:lang w:bidi="ar"/>
                    </w:rPr>
                    <w:t>制冷剂收集废气（G2）</w:t>
                  </w:r>
                </w:p>
              </w:tc>
              <w:tc>
                <w:tcPr>
                  <w:tcW w:w="447" w:type="pct"/>
                  <w:vMerge w:val="restart"/>
                  <w:tcBorders>
                    <w:tl2br w:val="nil"/>
                    <w:tr2bl w:val="nil"/>
                  </w:tcBorders>
                  <w:vAlign w:val="center"/>
                </w:tcPr>
                <w:p w14:paraId="73AF8666">
                  <w:pPr>
                    <w:pStyle w:val="19"/>
                    <w:spacing w:after="0"/>
                    <w:ind w:left="0" w:leftChars="0" w:firstLine="0" w:firstLineChars="0"/>
                    <w:jc w:val="center"/>
                    <w:rPr>
                      <w:rFonts w:hint="default" w:ascii="Times New Roman" w:hAnsi="Times New Roman" w:cs="Times New Roman"/>
                      <w:color w:val="FF0000"/>
                    </w:rPr>
                  </w:pPr>
                  <w:r>
                    <w:rPr>
                      <w:rFonts w:hint="default" w:ascii="Times New Roman" w:hAnsi="Times New Roman" w:cs="Times New Roman"/>
                      <w:color w:val="FF0000"/>
                      <w:kern w:val="0"/>
                      <w:szCs w:val="21"/>
                      <w:lang w:bidi="ar"/>
                    </w:rPr>
                    <w:t>非甲烷总烃</w:t>
                  </w:r>
                </w:p>
              </w:tc>
              <w:tc>
                <w:tcPr>
                  <w:tcW w:w="454" w:type="pct"/>
                  <w:tcBorders>
                    <w:tl2br w:val="nil"/>
                    <w:tr2bl w:val="nil"/>
                  </w:tcBorders>
                  <w:shd w:val="clear" w:color="auto" w:fill="auto"/>
                  <w:vAlign w:val="center"/>
                </w:tcPr>
                <w:p w14:paraId="2FC3FB61">
                  <w:pPr>
                    <w:widowControl/>
                    <w:jc w:val="center"/>
                    <w:rPr>
                      <w:rFonts w:hint="default" w:ascii="Times New Roman" w:hAnsi="Times New Roman" w:cs="Times New Roman"/>
                      <w:color w:val="FF0000"/>
                      <w:kern w:val="0"/>
                      <w:szCs w:val="21"/>
                      <w:lang w:bidi="ar"/>
                    </w:rPr>
                  </w:pPr>
                  <w:r>
                    <w:rPr>
                      <w:rFonts w:hint="default" w:ascii="Times New Roman" w:hAnsi="Times New Roman" w:cs="Times New Roman"/>
                      <w:color w:val="FF0000"/>
                      <w:kern w:val="0"/>
                      <w:szCs w:val="21"/>
                      <w:lang w:bidi="ar"/>
                    </w:rPr>
                    <w:t>有组织</w:t>
                  </w:r>
                </w:p>
              </w:tc>
              <w:tc>
                <w:tcPr>
                  <w:tcW w:w="1586" w:type="pct"/>
                  <w:tcBorders>
                    <w:tl2br w:val="nil"/>
                    <w:tr2bl w:val="nil"/>
                  </w:tcBorders>
                  <w:vAlign w:val="center"/>
                </w:tcPr>
                <w:p w14:paraId="0C8F89B0">
                  <w:pPr>
                    <w:widowControl/>
                    <w:jc w:val="center"/>
                    <w:rPr>
                      <w:rFonts w:hint="default" w:ascii="Times New Roman" w:hAnsi="Times New Roman" w:cs="Times New Roman"/>
                      <w:color w:val="FF0000"/>
                      <w:kern w:val="0"/>
                      <w:szCs w:val="21"/>
                      <w:lang w:bidi="ar"/>
                    </w:rPr>
                  </w:pPr>
                  <w:r>
                    <w:rPr>
                      <w:rFonts w:hint="default" w:ascii="Times New Roman" w:hAnsi="Times New Roman" w:cs="Times New Roman"/>
                      <w:color w:val="FF0000"/>
                      <w:kern w:val="0"/>
                      <w:szCs w:val="21"/>
                      <w:lang w:bidi="ar"/>
                    </w:rPr>
                    <w:t>集气罩80%+二级活性炭吸附80%（TA001）+</w:t>
                  </w:r>
                  <w:r>
                    <w:rPr>
                      <w:rFonts w:hint="default" w:ascii="Times New Roman" w:hAnsi="Times New Roman" w:cs="Times New Roman"/>
                      <w:color w:val="FF0000"/>
                      <w:kern w:val="0"/>
                      <w:szCs w:val="21"/>
                      <w:lang w:eastAsia="zh-CN" w:bidi="ar"/>
                    </w:rPr>
                    <w:t>26m排气筒</w:t>
                  </w:r>
                  <w:r>
                    <w:rPr>
                      <w:rFonts w:hint="default" w:ascii="Times New Roman" w:hAnsi="Times New Roman" w:cs="Times New Roman"/>
                      <w:color w:val="FF0000"/>
                      <w:kern w:val="0"/>
                      <w:szCs w:val="21"/>
                      <w:lang w:bidi="ar"/>
                    </w:rPr>
                    <w:t>DA001</w:t>
                  </w:r>
                </w:p>
              </w:tc>
              <w:tc>
                <w:tcPr>
                  <w:tcW w:w="682" w:type="pct"/>
                  <w:tcBorders>
                    <w:tl2br w:val="nil"/>
                    <w:tr2bl w:val="nil"/>
                  </w:tcBorders>
                  <w:vAlign w:val="center"/>
                </w:tcPr>
                <w:p w14:paraId="79A1E96B">
                  <w:pPr>
                    <w:widowControl/>
                    <w:jc w:val="center"/>
                    <w:rPr>
                      <w:rFonts w:hint="default" w:ascii="Times New Roman" w:hAnsi="Times New Roman" w:eastAsia="宋体" w:cs="Times New Roman"/>
                      <w:color w:val="FF0000"/>
                      <w:kern w:val="0"/>
                      <w:szCs w:val="21"/>
                      <w:lang w:val="en-US" w:eastAsia="zh-CN" w:bidi="ar"/>
                    </w:rPr>
                  </w:pPr>
                  <w:r>
                    <w:rPr>
                      <w:rFonts w:hint="default" w:ascii="Times New Roman" w:hAnsi="Times New Roman" w:cs="Times New Roman"/>
                      <w:color w:val="FF0000"/>
                      <w:kern w:val="0"/>
                      <w:szCs w:val="21"/>
                      <w:lang w:bidi="ar"/>
                    </w:rPr>
                    <w:t>0.00</w:t>
                  </w:r>
                  <w:r>
                    <w:rPr>
                      <w:rFonts w:hint="default" w:ascii="Times New Roman" w:hAnsi="Times New Roman" w:cs="Times New Roman"/>
                      <w:color w:val="FF0000"/>
                      <w:kern w:val="0"/>
                      <w:szCs w:val="21"/>
                      <w:lang w:val="en-US" w:eastAsia="zh-CN" w:bidi="ar"/>
                    </w:rPr>
                    <w:t>03</w:t>
                  </w:r>
                </w:p>
              </w:tc>
              <w:tc>
                <w:tcPr>
                  <w:tcW w:w="596" w:type="pct"/>
                  <w:tcBorders>
                    <w:tl2br w:val="nil"/>
                    <w:tr2bl w:val="nil"/>
                  </w:tcBorders>
                  <w:vAlign w:val="center"/>
                </w:tcPr>
                <w:p w14:paraId="5384AED2">
                  <w:pPr>
                    <w:widowControl/>
                    <w:jc w:val="center"/>
                    <w:rPr>
                      <w:rFonts w:hint="default" w:ascii="Times New Roman" w:hAnsi="Times New Roman" w:cs="Times New Roman"/>
                      <w:color w:val="FF0000"/>
                      <w:kern w:val="0"/>
                      <w:szCs w:val="21"/>
                      <w:lang w:bidi="ar"/>
                    </w:rPr>
                  </w:pPr>
                  <w:r>
                    <w:rPr>
                      <w:rFonts w:hint="default" w:ascii="Times New Roman" w:hAnsi="Times New Roman" w:cs="Times New Roman"/>
                      <w:color w:val="FF0000"/>
                      <w:kern w:val="0"/>
                      <w:szCs w:val="21"/>
                      <w:lang w:bidi="ar"/>
                    </w:rPr>
                    <w:t>0.00</w:t>
                  </w:r>
                  <w:r>
                    <w:rPr>
                      <w:rFonts w:hint="default" w:ascii="Times New Roman" w:hAnsi="Times New Roman" w:cs="Times New Roman"/>
                      <w:color w:val="FF0000"/>
                      <w:kern w:val="0"/>
                      <w:szCs w:val="21"/>
                      <w:lang w:val="en-US" w:eastAsia="zh-CN" w:bidi="ar"/>
                    </w:rPr>
                    <w:t>0</w:t>
                  </w:r>
                  <w:r>
                    <w:rPr>
                      <w:rFonts w:hint="default" w:ascii="Times New Roman" w:hAnsi="Times New Roman" w:cs="Times New Roman"/>
                      <w:color w:val="FF0000"/>
                      <w:kern w:val="0"/>
                      <w:szCs w:val="21"/>
                      <w:lang w:bidi="ar"/>
                    </w:rPr>
                    <w:t>1</w:t>
                  </w:r>
                </w:p>
              </w:tc>
              <w:tc>
                <w:tcPr>
                  <w:tcW w:w="705" w:type="pct"/>
                  <w:tcBorders>
                    <w:tl2br w:val="nil"/>
                    <w:tr2bl w:val="nil"/>
                  </w:tcBorders>
                  <w:vAlign w:val="center"/>
                </w:tcPr>
                <w:p w14:paraId="24339F5C">
                  <w:pPr>
                    <w:widowControl/>
                    <w:jc w:val="center"/>
                    <w:rPr>
                      <w:rFonts w:hint="default" w:ascii="Times New Roman" w:hAnsi="Times New Roman" w:eastAsia="宋体" w:cs="Times New Roman"/>
                      <w:color w:val="FF0000"/>
                      <w:kern w:val="0"/>
                      <w:szCs w:val="21"/>
                      <w:lang w:val="en-US" w:eastAsia="zh-CN" w:bidi="ar"/>
                    </w:rPr>
                  </w:pPr>
                  <w:r>
                    <w:rPr>
                      <w:rFonts w:hint="default" w:ascii="Times New Roman" w:hAnsi="Times New Roman" w:cs="Times New Roman"/>
                      <w:color w:val="FF0000"/>
                      <w:kern w:val="0"/>
                      <w:szCs w:val="21"/>
                      <w:lang w:bidi="ar"/>
                    </w:rPr>
                    <w:t>0.0</w:t>
                  </w:r>
                  <w:r>
                    <w:rPr>
                      <w:rFonts w:hint="default" w:ascii="Times New Roman" w:hAnsi="Times New Roman" w:cs="Times New Roman"/>
                      <w:color w:val="FF0000"/>
                      <w:kern w:val="0"/>
                      <w:szCs w:val="21"/>
                      <w:lang w:val="en-US" w:eastAsia="zh-CN" w:bidi="ar"/>
                    </w:rPr>
                    <w:t>09</w:t>
                  </w:r>
                </w:p>
              </w:tc>
            </w:tr>
            <w:tr w14:paraId="2684C079">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03" w:hRule="atLeast"/>
                <w:jc w:val="center"/>
              </w:trPr>
              <w:tc>
                <w:tcPr>
                  <w:tcW w:w="527" w:type="pct"/>
                  <w:vMerge w:val="continue"/>
                  <w:tcBorders>
                    <w:tl2br w:val="nil"/>
                    <w:tr2bl w:val="nil"/>
                  </w:tcBorders>
                  <w:shd w:val="clear" w:color="auto" w:fill="auto"/>
                  <w:vAlign w:val="center"/>
                </w:tcPr>
                <w:p w14:paraId="0CAE05E5">
                  <w:pPr>
                    <w:pStyle w:val="19"/>
                    <w:spacing w:after="0"/>
                    <w:ind w:left="0" w:leftChars="0" w:firstLine="0" w:firstLineChars="0"/>
                    <w:jc w:val="center"/>
                    <w:rPr>
                      <w:rFonts w:hint="default" w:ascii="Times New Roman" w:hAnsi="Times New Roman" w:cs="Times New Roman"/>
                      <w:color w:val="FF0000"/>
                    </w:rPr>
                  </w:pPr>
                </w:p>
              </w:tc>
              <w:tc>
                <w:tcPr>
                  <w:tcW w:w="447" w:type="pct"/>
                  <w:vMerge w:val="continue"/>
                  <w:tcBorders>
                    <w:tl2br w:val="nil"/>
                    <w:tr2bl w:val="nil"/>
                  </w:tcBorders>
                  <w:vAlign w:val="center"/>
                </w:tcPr>
                <w:p w14:paraId="0B24CB2E">
                  <w:pPr>
                    <w:pStyle w:val="19"/>
                    <w:spacing w:after="0"/>
                    <w:ind w:left="0" w:leftChars="0" w:firstLine="0" w:firstLineChars="0"/>
                    <w:jc w:val="center"/>
                    <w:rPr>
                      <w:rFonts w:hint="default" w:ascii="Times New Roman" w:hAnsi="Times New Roman" w:cs="Times New Roman"/>
                      <w:color w:val="FF0000"/>
                    </w:rPr>
                  </w:pPr>
                </w:p>
              </w:tc>
              <w:tc>
                <w:tcPr>
                  <w:tcW w:w="454" w:type="pct"/>
                  <w:tcBorders>
                    <w:tl2br w:val="nil"/>
                    <w:tr2bl w:val="nil"/>
                  </w:tcBorders>
                  <w:shd w:val="clear" w:color="auto" w:fill="auto"/>
                  <w:vAlign w:val="center"/>
                </w:tcPr>
                <w:p w14:paraId="1D9364E7">
                  <w:pPr>
                    <w:pStyle w:val="19"/>
                    <w:spacing w:after="0"/>
                    <w:ind w:left="0" w:leftChars="0" w:firstLine="0" w:firstLineChars="0"/>
                    <w:jc w:val="center"/>
                    <w:rPr>
                      <w:rFonts w:hint="default" w:ascii="Times New Roman" w:hAnsi="Times New Roman" w:cs="Times New Roman"/>
                      <w:color w:val="FF0000"/>
                    </w:rPr>
                  </w:pPr>
                  <w:r>
                    <w:rPr>
                      <w:rFonts w:hint="default" w:ascii="Times New Roman" w:hAnsi="Times New Roman" w:cs="Times New Roman"/>
                      <w:color w:val="FF0000"/>
                    </w:rPr>
                    <w:t>无组织</w:t>
                  </w:r>
                </w:p>
              </w:tc>
              <w:tc>
                <w:tcPr>
                  <w:tcW w:w="1586" w:type="pct"/>
                  <w:tcBorders>
                    <w:tl2br w:val="nil"/>
                    <w:tr2bl w:val="nil"/>
                  </w:tcBorders>
                  <w:vAlign w:val="center"/>
                </w:tcPr>
                <w:p w14:paraId="3A92A672">
                  <w:pPr>
                    <w:pStyle w:val="19"/>
                    <w:spacing w:after="0"/>
                    <w:ind w:left="0" w:leftChars="0" w:firstLine="0" w:firstLineChars="0"/>
                    <w:jc w:val="center"/>
                    <w:rPr>
                      <w:rFonts w:hint="default" w:ascii="Times New Roman" w:hAnsi="Times New Roman" w:cs="Times New Roman"/>
                      <w:color w:val="FF0000"/>
                    </w:rPr>
                  </w:pPr>
                  <w:r>
                    <w:rPr>
                      <w:rFonts w:hint="default" w:ascii="Times New Roman" w:hAnsi="Times New Roman" w:cs="Times New Roman"/>
                      <w:color w:val="FF0000"/>
                    </w:rPr>
                    <w:t>/</w:t>
                  </w:r>
                </w:p>
              </w:tc>
              <w:tc>
                <w:tcPr>
                  <w:tcW w:w="682" w:type="pct"/>
                  <w:tcBorders>
                    <w:tl2br w:val="nil"/>
                    <w:tr2bl w:val="nil"/>
                  </w:tcBorders>
                  <w:vAlign w:val="center"/>
                </w:tcPr>
                <w:p w14:paraId="2708238E">
                  <w:pPr>
                    <w:pStyle w:val="19"/>
                    <w:spacing w:after="0"/>
                    <w:ind w:left="0" w:leftChars="0" w:firstLine="0" w:firstLineChars="0"/>
                    <w:jc w:val="center"/>
                    <w:rPr>
                      <w:rFonts w:hint="default" w:ascii="Times New Roman" w:hAnsi="Times New Roman" w:eastAsia="宋体" w:cs="Times New Roman"/>
                      <w:color w:val="FF0000"/>
                      <w:lang w:val="en-US" w:eastAsia="zh-CN"/>
                    </w:rPr>
                  </w:pPr>
                  <w:r>
                    <w:rPr>
                      <w:rFonts w:hint="default" w:ascii="Times New Roman" w:hAnsi="Times New Roman" w:cs="Times New Roman"/>
                      <w:color w:val="FF0000"/>
                    </w:rPr>
                    <w:t>0.00</w:t>
                  </w:r>
                  <w:r>
                    <w:rPr>
                      <w:rFonts w:hint="default" w:ascii="Times New Roman" w:hAnsi="Times New Roman" w:cs="Times New Roman"/>
                      <w:color w:val="FF0000"/>
                      <w:lang w:val="en-US" w:eastAsia="zh-CN"/>
                    </w:rPr>
                    <w:t>04</w:t>
                  </w:r>
                </w:p>
              </w:tc>
              <w:tc>
                <w:tcPr>
                  <w:tcW w:w="596" w:type="pct"/>
                  <w:tcBorders>
                    <w:tl2br w:val="nil"/>
                    <w:tr2bl w:val="nil"/>
                  </w:tcBorders>
                  <w:vAlign w:val="center"/>
                </w:tcPr>
                <w:p w14:paraId="7E48C4A4">
                  <w:pPr>
                    <w:pStyle w:val="19"/>
                    <w:spacing w:after="0"/>
                    <w:ind w:left="0" w:leftChars="0" w:firstLine="0" w:firstLineChars="0"/>
                    <w:jc w:val="center"/>
                    <w:rPr>
                      <w:rFonts w:hint="default" w:ascii="Times New Roman" w:hAnsi="Times New Roman" w:cs="Times New Roman"/>
                      <w:color w:val="FF0000"/>
                    </w:rPr>
                  </w:pPr>
                  <w:r>
                    <w:rPr>
                      <w:rFonts w:hint="default" w:ascii="Times New Roman" w:hAnsi="Times New Roman" w:cs="Times New Roman"/>
                      <w:color w:val="FF0000"/>
                    </w:rPr>
                    <w:t>0.00</w:t>
                  </w:r>
                  <w:r>
                    <w:rPr>
                      <w:rFonts w:hint="default" w:ascii="Times New Roman" w:hAnsi="Times New Roman" w:cs="Times New Roman"/>
                      <w:color w:val="FF0000"/>
                      <w:lang w:val="en-US" w:eastAsia="zh-CN"/>
                    </w:rPr>
                    <w:t>0</w:t>
                  </w:r>
                  <w:r>
                    <w:rPr>
                      <w:rFonts w:hint="default" w:ascii="Times New Roman" w:hAnsi="Times New Roman" w:cs="Times New Roman"/>
                      <w:color w:val="FF0000"/>
                    </w:rPr>
                    <w:t>1</w:t>
                  </w:r>
                </w:p>
              </w:tc>
              <w:tc>
                <w:tcPr>
                  <w:tcW w:w="705" w:type="pct"/>
                  <w:tcBorders>
                    <w:tl2br w:val="nil"/>
                    <w:tr2bl w:val="nil"/>
                  </w:tcBorders>
                  <w:vAlign w:val="center"/>
                </w:tcPr>
                <w:p w14:paraId="48ACC169">
                  <w:pPr>
                    <w:pStyle w:val="19"/>
                    <w:spacing w:after="0"/>
                    <w:ind w:left="0" w:leftChars="0" w:firstLine="0" w:firstLineChars="0"/>
                    <w:jc w:val="center"/>
                    <w:rPr>
                      <w:rFonts w:hint="default" w:ascii="Times New Roman" w:hAnsi="Times New Roman" w:cs="Times New Roman"/>
                      <w:color w:val="FF0000"/>
                    </w:rPr>
                  </w:pPr>
                  <w:r>
                    <w:rPr>
                      <w:rFonts w:hint="default" w:ascii="Times New Roman" w:hAnsi="Times New Roman" w:cs="Times New Roman"/>
                      <w:color w:val="FF0000"/>
                    </w:rPr>
                    <w:t>/</w:t>
                  </w:r>
                </w:p>
              </w:tc>
            </w:tr>
            <w:tr w14:paraId="18B07D74">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197" w:hRule="atLeast"/>
                <w:jc w:val="center"/>
              </w:trPr>
              <w:tc>
                <w:tcPr>
                  <w:tcW w:w="527" w:type="pct"/>
                  <w:vMerge w:val="restart"/>
                  <w:tcBorders>
                    <w:tl2br w:val="nil"/>
                    <w:tr2bl w:val="nil"/>
                  </w:tcBorders>
                  <w:shd w:val="clear" w:color="auto" w:fill="auto"/>
                  <w:vAlign w:val="center"/>
                </w:tcPr>
                <w:p w14:paraId="4DD8A7F1">
                  <w:pPr>
                    <w:widowControl/>
                    <w:jc w:val="center"/>
                    <w:rPr>
                      <w:rFonts w:hint="default" w:ascii="Times New Roman" w:hAnsi="Times New Roman" w:cs="Times New Roman"/>
                      <w:color w:val="FF0000"/>
                      <w:kern w:val="0"/>
                      <w:szCs w:val="21"/>
                      <w:lang w:bidi="ar"/>
                    </w:rPr>
                  </w:pPr>
                  <w:r>
                    <w:rPr>
                      <w:rFonts w:hint="default" w:ascii="Times New Roman" w:hAnsi="Times New Roman" w:cs="Times New Roman"/>
                      <w:color w:val="FF0000"/>
                      <w:kern w:val="0"/>
                      <w:szCs w:val="21"/>
                      <w:lang w:bidi="ar"/>
                    </w:rPr>
                    <w:t>废钢破碎粉尘（G3）</w:t>
                  </w:r>
                </w:p>
                <w:p w14:paraId="0BAF950E">
                  <w:pPr>
                    <w:widowControl/>
                    <w:jc w:val="center"/>
                    <w:rPr>
                      <w:rFonts w:hint="default" w:ascii="Times New Roman" w:hAnsi="Times New Roman" w:cs="Times New Roman"/>
                      <w:color w:val="FF0000"/>
                      <w:kern w:val="0"/>
                      <w:szCs w:val="21"/>
                      <w:lang w:bidi="ar"/>
                    </w:rPr>
                  </w:pPr>
                  <w:r>
                    <w:rPr>
                      <w:rFonts w:hint="default" w:ascii="Times New Roman" w:hAnsi="Times New Roman" w:cs="Times New Roman"/>
                      <w:color w:val="FF0000"/>
                      <w:kern w:val="0"/>
                      <w:szCs w:val="21"/>
                      <w:lang w:bidi="ar"/>
                    </w:rPr>
                    <w:t>废钢打包粉尘（G4）</w:t>
                  </w:r>
                </w:p>
                <w:p w14:paraId="69F5FF05">
                  <w:pPr>
                    <w:widowControl/>
                    <w:jc w:val="center"/>
                    <w:rPr>
                      <w:rFonts w:hint="default" w:ascii="Times New Roman" w:hAnsi="Times New Roman" w:cs="Times New Roman"/>
                      <w:color w:val="FF0000"/>
                      <w:kern w:val="0"/>
                      <w:szCs w:val="21"/>
                      <w:lang w:bidi="ar"/>
                    </w:rPr>
                  </w:pPr>
                  <w:r>
                    <w:rPr>
                      <w:rFonts w:hint="default" w:ascii="Times New Roman" w:hAnsi="Times New Roman" w:cs="Times New Roman"/>
                      <w:color w:val="FF0000"/>
                      <w:kern w:val="0"/>
                      <w:szCs w:val="21"/>
                      <w:lang w:bidi="ar"/>
                    </w:rPr>
                    <w:t>废橡胶破碎粉尘（G5）</w:t>
                  </w:r>
                </w:p>
              </w:tc>
              <w:tc>
                <w:tcPr>
                  <w:tcW w:w="447" w:type="pct"/>
                  <w:vMerge w:val="restart"/>
                  <w:tcBorders>
                    <w:tl2br w:val="nil"/>
                    <w:tr2bl w:val="nil"/>
                  </w:tcBorders>
                  <w:vAlign w:val="center"/>
                </w:tcPr>
                <w:p w14:paraId="1D4540DB">
                  <w:pPr>
                    <w:pStyle w:val="19"/>
                    <w:spacing w:after="0"/>
                    <w:ind w:left="0" w:leftChars="0" w:firstLine="0" w:firstLineChars="0"/>
                    <w:jc w:val="center"/>
                    <w:rPr>
                      <w:rFonts w:hint="default" w:ascii="Times New Roman" w:hAnsi="Times New Roman" w:cs="Times New Roman"/>
                      <w:color w:val="FF0000"/>
                    </w:rPr>
                  </w:pPr>
                  <w:r>
                    <w:rPr>
                      <w:rFonts w:hint="default" w:ascii="Times New Roman" w:hAnsi="Times New Roman" w:cs="Times New Roman"/>
                      <w:color w:val="FF0000"/>
                      <w:kern w:val="0"/>
                      <w:szCs w:val="21"/>
                      <w:lang w:bidi="ar"/>
                    </w:rPr>
                    <w:t>颗粒物</w:t>
                  </w:r>
                </w:p>
              </w:tc>
              <w:tc>
                <w:tcPr>
                  <w:tcW w:w="454" w:type="pct"/>
                  <w:tcBorders>
                    <w:tl2br w:val="nil"/>
                    <w:tr2bl w:val="nil"/>
                  </w:tcBorders>
                  <w:vAlign w:val="center"/>
                </w:tcPr>
                <w:p w14:paraId="04D5C377">
                  <w:pPr>
                    <w:widowControl/>
                    <w:jc w:val="center"/>
                    <w:rPr>
                      <w:rFonts w:hint="default" w:ascii="Times New Roman" w:hAnsi="Times New Roman" w:cs="Times New Roman"/>
                      <w:color w:val="FF0000"/>
                      <w:kern w:val="0"/>
                      <w:szCs w:val="21"/>
                      <w:lang w:bidi="ar"/>
                    </w:rPr>
                  </w:pPr>
                  <w:r>
                    <w:rPr>
                      <w:rFonts w:hint="default" w:ascii="Times New Roman" w:hAnsi="Times New Roman" w:cs="Times New Roman"/>
                      <w:color w:val="FF0000"/>
                      <w:kern w:val="0"/>
                      <w:szCs w:val="21"/>
                      <w:lang w:bidi="ar"/>
                    </w:rPr>
                    <w:t>有组织</w:t>
                  </w:r>
                </w:p>
              </w:tc>
              <w:tc>
                <w:tcPr>
                  <w:tcW w:w="1586" w:type="pct"/>
                  <w:tcBorders>
                    <w:tl2br w:val="nil"/>
                    <w:tr2bl w:val="nil"/>
                  </w:tcBorders>
                  <w:vAlign w:val="center"/>
                </w:tcPr>
                <w:p w14:paraId="17B85EA9">
                  <w:pPr>
                    <w:widowControl/>
                    <w:jc w:val="center"/>
                    <w:textAlignment w:val="center"/>
                    <w:rPr>
                      <w:rFonts w:hint="default" w:ascii="Times New Roman" w:hAnsi="Times New Roman" w:cs="Times New Roman"/>
                      <w:color w:val="FF0000"/>
                      <w:kern w:val="0"/>
                      <w:szCs w:val="21"/>
                      <w:lang w:bidi="ar"/>
                    </w:rPr>
                  </w:pPr>
                  <w:r>
                    <w:rPr>
                      <w:rFonts w:hint="default" w:ascii="Times New Roman" w:hAnsi="Times New Roman" w:cs="Times New Roman"/>
                      <w:color w:val="FF0000"/>
                      <w:kern w:val="0"/>
                      <w:szCs w:val="21"/>
                      <w:lang w:bidi="ar"/>
                    </w:rPr>
                    <w:t>集气罩</w:t>
                  </w:r>
                  <w:r>
                    <w:rPr>
                      <w:rFonts w:hint="default" w:ascii="Times New Roman" w:hAnsi="Times New Roman" w:cs="Times New Roman"/>
                      <w:color w:val="FF0000"/>
                      <w:kern w:val="0"/>
                      <w:szCs w:val="21"/>
                      <w:lang w:val="en-US" w:eastAsia="zh-CN" w:bidi="ar"/>
                    </w:rPr>
                    <w:t>80</w:t>
                  </w:r>
                  <w:r>
                    <w:rPr>
                      <w:rFonts w:hint="default" w:ascii="Times New Roman" w:hAnsi="Times New Roman" w:cs="Times New Roman"/>
                      <w:color w:val="FF0000"/>
                      <w:kern w:val="0"/>
                      <w:szCs w:val="21"/>
                      <w:lang w:bidi="ar"/>
                    </w:rPr>
                    <w:t>%+袋式除尘器99%（TA002）+</w:t>
                  </w:r>
                  <w:r>
                    <w:rPr>
                      <w:rFonts w:hint="default" w:ascii="Times New Roman" w:hAnsi="Times New Roman" w:cs="Times New Roman"/>
                      <w:color w:val="FF0000"/>
                      <w:kern w:val="0"/>
                      <w:szCs w:val="21"/>
                      <w:lang w:eastAsia="zh-CN" w:bidi="ar"/>
                    </w:rPr>
                    <w:t>26m排气筒</w:t>
                  </w:r>
                  <w:r>
                    <w:rPr>
                      <w:rFonts w:hint="default" w:ascii="Times New Roman" w:hAnsi="Times New Roman" w:cs="Times New Roman"/>
                      <w:color w:val="FF0000"/>
                      <w:kern w:val="0"/>
                      <w:szCs w:val="21"/>
                      <w:lang w:bidi="ar"/>
                    </w:rPr>
                    <w:t>（DA002）</w:t>
                  </w:r>
                </w:p>
              </w:tc>
              <w:tc>
                <w:tcPr>
                  <w:tcW w:w="682" w:type="pct"/>
                  <w:tcBorders>
                    <w:right w:val="single" w:color="000000" w:sz="4" w:space="0"/>
                    <w:tl2br w:val="nil"/>
                    <w:tr2bl w:val="nil"/>
                  </w:tcBorders>
                  <w:vAlign w:val="center"/>
                </w:tcPr>
                <w:p w14:paraId="1714363D">
                  <w:pPr>
                    <w:widowControl/>
                    <w:jc w:val="center"/>
                    <w:textAlignment w:val="center"/>
                    <w:rPr>
                      <w:rFonts w:hint="default" w:ascii="Times New Roman" w:hAnsi="Times New Roman" w:eastAsia="宋体" w:cs="Times New Roman"/>
                      <w:color w:val="FF0000"/>
                      <w:kern w:val="0"/>
                      <w:szCs w:val="21"/>
                      <w:lang w:eastAsia="zh-CN" w:bidi="ar"/>
                    </w:rPr>
                  </w:pPr>
                  <w:r>
                    <w:rPr>
                      <w:rFonts w:hint="default" w:ascii="Times New Roman" w:hAnsi="Times New Roman" w:cs="Times New Roman"/>
                      <w:color w:val="FF0000"/>
                      <w:kern w:val="0"/>
                      <w:szCs w:val="21"/>
                      <w:lang w:eastAsia="zh-CN" w:bidi="ar"/>
                    </w:rPr>
                    <w:t>0.186</w:t>
                  </w:r>
                </w:p>
              </w:tc>
              <w:tc>
                <w:tcPr>
                  <w:tcW w:w="596" w:type="pct"/>
                  <w:tcBorders>
                    <w:left w:val="single" w:color="000000" w:sz="4" w:space="0"/>
                    <w:tl2br w:val="nil"/>
                    <w:tr2bl w:val="nil"/>
                  </w:tcBorders>
                  <w:vAlign w:val="center"/>
                </w:tcPr>
                <w:p w14:paraId="7D718884">
                  <w:pPr>
                    <w:widowControl/>
                    <w:jc w:val="center"/>
                    <w:textAlignment w:val="center"/>
                    <w:rPr>
                      <w:rFonts w:hint="default" w:ascii="Times New Roman" w:hAnsi="Times New Roman" w:eastAsia="宋体" w:cs="Times New Roman"/>
                      <w:color w:val="FF0000"/>
                      <w:kern w:val="0"/>
                      <w:szCs w:val="21"/>
                      <w:lang w:val="en-US" w:eastAsia="zh-CN" w:bidi="ar"/>
                    </w:rPr>
                  </w:pPr>
                  <w:r>
                    <w:rPr>
                      <w:rFonts w:hint="default" w:ascii="Times New Roman" w:hAnsi="Times New Roman" w:cs="Times New Roman"/>
                      <w:color w:val="FF0000"/>
                      <w:kern w:val="0"/>
                      <w:szCs w:val="21"/>
                      <w:lang w:eastAsia="en-US" w:bidi="ar"/>
                    </w:rPr>
                    <w:t>0.0</w:t>
                  </w:r>
                  <w:r>
                    <w:rPr>
                      <w:rFonts w:hint="default" w:ascii="Times New Roman" w:hAnsi="Times New Roman" w:cs="Times New Roman"/>
                      <w:color w:val="FF0000"/>
                      <w:kern w:val="0"/>
                      <w:szCs w:val="21"/>
                      <w:lang w:val="en-US" w:eastAsia="zh-CN" w:bidi="ar"/>
                    </w:rPr>
                    <w:t>77</w:t>
                  </w:r>
                </w:p>
              </w:tc>
              <w:tc>
                <w:tcPr>
                  <w:tcW w:w="705" w:type="pct"/>
                  <w:tcBorders>
                    <w:tl2br w:val="nil"/>
                    <w:tr2bl w:val="nil"/>
                  </w:tcBorders>
                  <w:vAlign w:val="center"/>
                </w:tcPr>
                <w:p w14:paraId="078F1F4D">
                  <w:pPr>
                    <w:widowControl/>
                    <w:jc w:val="center"/>
                    <w:textAlignment w:val="center"/>
                    <w:rPr>
                      <w:rFonts w:hint="default" w:ascii="Times New Roman" w:hAnsi="Times New Roman" w:eastAsia="宋体" w:cs="Times New Roman"/>
                      <w:color w:val="FF0000"/>
                      <w:kern w:val="0"/>
                      <w:szCs w:val="21"/>
                      <w:lang w:eastAsia="zh-CN" w:bidi="ar"/>
                    </w:rPr>
                  </w:pPr>
                  <w:r>
                    <w:rPr>
                      <w:rFonts w:hint="default" w:ascii="Times New Roman" w:hAnsi="Times New Roman" w:cs="Times New Roman"/>
                      <w:color w:val="FF0000"/>
                      <w:kern w:val="0"/>
                      <w:szCs w:val="21"/>
                      <w:lang w:eastAsia="zh-CN" w:bidi="ar"/>
                    </w:rPr>
                    <w:t>1.026</w:t>
                  </w:r>
                </w:p>
              </w:tc>
            </w:tr>
            <w:tr w14:paraId="2B2FFD0A">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3" w:hRule="atLeast"/>
                <w:jc w:val="center"/>
              </w:trPr>
              <w:tc>
                <w:tcPr>
                  <w:tcW w:w="527" w:type="pct"/>
                  <w:vMerge w:val="continue"/>
                  <w:tcBorders>
                    <w:tl2br w:val="nil"/>
                    <w:tr2bl w:val="nil"/>
                  </w:tcBorders>
                  <w:shd w:val="clear" w:color="auto" w:fill="auto"/>
                  <w:vAlign w:val="center"/>
                </w:tcPr>
                <w:p w14:paraId="45C9929F">
                  <w:pPr>
                    <w:widowControl/>
                    <w:jc w:val="center"/>
                    <w:rPr>
                      <w:rFonts w:hint="default" w:ascii="Times New Roman" w:hAnsi="Times New Roman" w:cs="Times New Roman"/>
                      <w:color w:val="FF0000"/>
                      <w:kern w:val="0"/>
                      <w:szCs w:val="21"/>
                      <w:lang w:bidi="ar"/>
                    </w:rPr>
                  </w:pPr>
                </w:p>
              </w:tc>
              <w:tc>
                <w:tcPr>
                  <w:tcW w:w="447" w:type="pct"/>
                  <w:vMerge w:val="continue"/>
                  <w:tcBorders>
                    <w:tl2br w:val="nil"/>
                    <w:tr2bl w:val="nil"/>
                  </w:tcBorders>
                  <w:vAlign w:val="center"/>
                </w:tcPr>
                <w:p w14:paraId="610AC28A">
                  <w:pPr>
                    <w:pStyle w:val="19"/>
                    <w:spacing w:after="0"/>
                    <w:ind w:left="0" w:leftChars="0" w:firstLine="0" w:firstLineChars="0"/>
                    <w:jc w:val="center"/>
                    <w:rPr>
                      <w:rFonts w:hint="default" w:ascii="Times New Roman" w:hAnsi="Times New Roman" w:cs="Times New Roman"/>
                      <w:color w:val="FF0000"/>
                    </w:rPr>
                  </w:pPr>
                </w:p>
              </w:tc>
              <w:tc>
                <w:tcPr>
                  <w:tcW w:w="454" w:type="pct"/>
                  <w:tcBorders>
                    <w:tl2br w:val="nil"/>
                    <w:tr2bl w:val="nil"/>
                  </w:tcBorders>
                  <w:vAlign w:val="center"/>
                </w:tcPr>
                <w:p w14:paraId="74D60DBC">
                  <w:pPr>
                    <w:widowControl/>
                    <w:jc w:val="center"/>
                    <w:rPr>
                      <w:rFonts w:hint="default" w:ascii="Times New Roman" w:hAnsi="Times New Roman" w:cs="Times New Roman"/>
                      <w:color w:val="FF0000"/>
                      <w:kern w:val="0"/>
                      <w:szCs w:val="21"/>
                      <w:lang w:bidi="ar"/>
                    </w:rPr>
                  </w:pPr>
                  <w:r>
                    <w:rPr>
                      <w:rFonts w:hint="default" w:ascii="Times New Roman" w:hAnsi="Times New Roman" w:cs="Times New Roman"/>
                      <w:color w:val="FF0000"/>
                      <w:kern w:val="0"/>
                      <w:szCs w:val="21"/>
                      <w:lang w:bidi="ar"/>
                    </w:rPr>
                    <w:t>无组织</w:t>
                  </w:r>
                </w:p>
              </w:tc>
              <w:tc>
                <w:tcPr>
                  <w:tcW w:w="1586" w:type="pct"/>
                  <w:tcBorders>
                    <w:tl2br w:val="nil"/>
                    <w:tr2bl w:val="nil"/>
                  </w:tcBorders>
                  <w:vAlign w:val="center"/>
                </w:tcPr>
                <w:p w14:paraId="52D9CAD3">
                  <w:pPr>
                    <w:widowControl/>
                    <w:jc w:val="center"/>
                    <w:textAlignment w:val="center"/>
                    <w:rPr>
                      <w:rFonts w:hint="default" w:ascii="Times New Roman" w:hAnsi="Times New Roman" w:cs="Times New Roman"/>
                      <w:color w:val="FF0000"/>
                      <w:kern w:val="0"/>
                      <w:szCs w:val="21"/>
                      <w:lang w:bidi="ar"/>
                    </w:rPr>
                  </w:pPr>
                  <w:r>
                    <w:rPr>
                      <w:rFonts w:hint="default" w:ascii="Times New Roman" w:hAnsi="Times New Roman" w:cs="Times New Roman"/>
                      <w:color w:val="FF0000"/>
                      <w:kern w:val="0"/>
                      <w:szCs w:val="21"/>
                      <w:lang w:bidi="ar"/>
                    </w:rPr>
                    <w:t>/</w:t>
                  </w:r>
                </w:p>
              </w:tc>
              <w:tc>
                <w:tcPr>
                  <w:tcW w:w="682" w:type="pct"/>
                  <w:tcBorders>
                    <w:right w:val="single" w:color="000000" w:sz="4" w:space="0"/>
                    <w:tl2br w:val="nil"/>
                    <w:tr2bl w:val="nil"/>
                  </w:tcBorders>
                  <w:vAlign w:val="center"/>
                </w:tcPr>
                <w:p w14:paraId="0846DF4A">
                  <w:pPr>
                    <w:widowControl/>
                    <w:jc w:val="center"/>
                    <w:textAlignment w:val="center"/>
                    <w:rPr>
                      <w:rFonts w:hint="default" w:ascii="Times New Roman" w:hAnsi="Times New Roman" w:cs="Times New Roman"/>
                      <w:color w:val="FF0000"/>
                      <w:kern w:val="0"/>
                      <w:szCs w:val="21"/>
                      <w:lang w:bidi="ar"/>
                    </w:rPr>
                  </w:pPr>
                  <w:r>
                    <w:rPr>
                      <w:rFonts w:hint="default" w:ascii="Times New Roman" w:hAnsi="Times New Roman" w:cs="Times New Roman"/>
                      <w:color w:val="FF0000"/>
                      <w:kern w:val="0"/>
                      <w:szCs w:val="21"/>
                      <w:lang w:bidi="ar"/>
                    </w:rPr>
                    <w:t>0.253</w:t>
                  </w:r>
                </w:p>
              </w:tc>
              <w:tc>
                <w:tcPr>
                  <w:tcW w:w="596" w:type="pct"/>
                  <w:tcBorders>
                    <w:left w:val="single" w:color="000000" w:sz="4" w:space="0"/>
                    <w:tl2br w:val="nil"/>
                    <w:tr2bl w:val="nil"/>
                  </w:tcBorders>
                  <w:vAlign w:val="center"/>
                </w:tcPr>
                <w:p w14:paraId="21F0DD2C">
                  <w:pPr>
                    <w:widowControl/>
                    <w:jc w:val="center"/>
                    <w:textAlignment w:val="center"/>
                    <w:rPr>
                      <w:rFonts w:hint="default" w:ascii="Times New Roman" w:hAnsi="Times New Roman" w:cs="Times New Roman"/>
                      <w:color w:val="FF0000"/>
                      <w:kern w:val="0"/>
                      <w:szCs w:val="21"/>
                      <w:lang w:bidi="ar"/>
                    </w:rPr>
                  </w:pPr>
                  <w:r>
                    <w:rPr>
                      <w:rFonts w:hint="default" w:ascii="Times New Roman" w:hAnsi="Times New Roman" w:cs="Times New Roman"/>
                      <w:color w:val="FF0000"/>
                      <w:kern w:val="0"/>
                      <w:szCs w:val="21"/>
                      <w:lang w:bidi="ar"/>
                    </w:rPr>
                    <w:t>0.105</w:t>
                  </w:r>
                </w:p>
              </w:tc>
              <w:tc>
                <w:tcPr>
                  <w:tcW w:w="705" w:type="pct"/>
                  <w:tcBorders>
                    <w:tl2br w:val="nil"/>
                    <w:tr2bl w:val="nil"/>
                  </w:tcBorders>
                  <w:vAlign w:val="center"/>
                </w:tcPr>
                <w:p w14:paraId="306198CF">
                  <w:pPr>
                    <w:widowControl/>
                    <w:jc w:val="center"/>
                    <w:textAlignment w:val="center"/>
                    <w:rPr>
                      <w:rFonts w:hint="default" w:ascii="Times New Roman" w:hAnsi="Times New Roman" w:cs="Times New Roman"/>
                      <w:color w:val="FF0000"/>
                      <w:kern w:val="0"/>
                      <w:szCs w:val="21"/>
                      <w:lang w:bidi="ar"/>
                    </w:rPr>
                  </w:pPr>
                  <w:r>
                    <w:rPr>
                      <w:rFonts w:hint="default" w:ascii="Times New Roman" w:hAnsi="Times New Roman" w:cs="Times New Roman"/>
                      <w:color w:val="FF0000"/>
                      <w:kern w:val="0"/>
                      <w:szCs w:val="21"/>
                      <w:lang w:bidi="ar"/>
                    </w:rPr>
                    <w:t>/</w:t>
                  </w:r>
                </w:p>
              </w:tc>
            </w:tr>
            <w:tr w14:paraId="493A120D">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08" w:hRule="atLeast"/>
                <w:jc w:val="center"/>
              </w:trPr>
              <w:tc>
                <w:tcPr>
                  <w:tcW w:w="527" w:type="pct"/>
                  <w:vMerge w:val="restart"/>
                  <w:tcBorders>
                    <w:tl2br w:val="nil"/>
                    <w:tr2bl w:val="nil"/>
                  </w:tcBorders>
                  <w:shd w:val="clear" w:color="auto" w:fill="auto"/>
                  <w:vAlign w:val="center"/>
                </w:tcPr>
                <w:p w14:paraId="505F4BAD">
                  <w:pPr>
                    <w:widowControl/>
                    <w:jc w:val="center"/>
                    <w:rPr>
                      <w:rFonts w:hint="default" w:ascii="Times New Roman" w:hAnsi="Times New Roman" w:cs="Times New Roman"/>
                      <w:color w:val="FF0000"/>
                      <w:kern w:val="0"/>
                      <w:szCs w:val="21"/>
                      <w:lang w:bidi="ar"/>
                    </w:rPr>
                  </w:pPr>
                  <w:r>
                    <w:rPr>
                      <w:rFonts w:hint="default" w:ascii="Times New Roman" w:hAnsi="Times New Roman" w:cs="Times New Roman"/>
                      <w:color w:val="FF0000"/>
                      <w:kern w:val="0"/>
                      <w:szCs w:val="21"/>
                      <w:lang w:val="en-US" w:eastAsia="zh-CN" w:bidi="ar"/>
                    </w:rPr>
                    <w:t>污水处理站恶臭（G6）</w:t>
                  </w:r>
                </w:p>
              </w:tc>
              <w:tc>
                <w:tcPr>
                  <w:tcW w:w="447" w:type="pct"/>
                  <w:tcBorders>
                    <w:tl2br w:val="nil"/>
                    <w:tr2bl w:val="nil"/>
                  </w:tcBorders>
                  <w:vAlign w:val="center"/>
                </w:tcPr>
                <w:p w14:paraId="785CF757">
                  <w:pPr>
                    <w:widowControl/>
                    <w:jc w:val="center"/>
                    <w:textAlignment w:val="center"/>
                    <w:rPr>
                      <w:rFonts w:hint="default" w:ascii="Times New Roman" w:hAnsi="Times New Roman" w:eastAsia="宋体" w:cs="Times New Roman"/>
                      <w:color w:val="FF0000"/>
                      <w:kern w:val="0"/>
                      <w:szCs w:val="21"/>
                      <w:lang w:val="en-US" w:eastAsia="zh-CN" w:bidi="ar"/>
                    </w:rPr>
                  </w:pPr>
                  <w:r>
                    <w:rPr>
                      <w:rFonts w:hint="default" w:ascii="Times New Roman" w:hAnsi="Times New Roman" w:eastAsia="宋体" w:cs="Times New Roman"/>
                      <w:color w:val="FF0000"/>
                      <w:kern w:val="0"/>
                      <w:szCs w:val="21"/>
                      <w:lang w:val="en-US" w:eastAsia="zh-CN" w:bidi="ar"/>
                    </w:rPr>
                    <w:t>NH</w:t>
                  </w:r>
                  <w:r>
                    <w:rPr>
                      <w:rFonts w:hint="default" w:ascii="Times New Roman" w:hAnsi="Times New Roman" w:eastAsia="宋体" w:cs="Times New Roman"/>
                      <w:color w:val="FF0000"/>
                      <w:kern w:val="0"/>
                      <w:szCs w:val="21"/>
                      <w:vertAlign w:val="subscript"/>
                      <w:lang w:val="en-US" w:eastAsia="zh-CN" w:bidi="ar"/>
                    </w:rPr>
                    <w:t>3</w:t>
                  </w:r>
                </w:p>
              </w:tc>
              <w:tc>
                <w:tcPr>
                  <w:tcW w:w="454" w:type="pct"/>
                  <w:tcBorders>
                    <w:tl2br w:val="nil"/>
                    <w:tr2bl w:val="nil"/>
                  </w:tcBorders>
                  <w:vAlign w:val="center"/>
                </w:tcPr>
                <w:p w14:paraId="74E31045">
                  <w:pPr>
                    <w:widowControl/>
                    <w:jc w:val="center"/>
                    <w:rPr>
                      <w:rFonts w:hint="default" w:ascii="Times New Roman" w:hAnsi="Times New Roman" w:cs="Times New Roman"/>
                      <w:color w:val="FF0000"/>
                      <w:kern w:val="0"/>
                      <w:szCs w:val="21"/>
                      <w:lang w:bidi="ar"/>
                    </w:rPr>
                  </w:pPr>
                  <w:r>
                    <w:rPr>
                      <w:rFonts w:hint="default" w:ascii="Times New Roman" w:hAnsi="Times New Roman" w:cs="Times New Roman"/>
                      <w:color w:val="FF0000"/>
                      <w:kern w:val="0"/>
                      <w:szCs w:val="21"/>
                      <w:lang w:bidi="ar"/>
                    </w:rPr>
                    <w:t>无组织</w:t>
                  </w:r>
                </w:p>
              </w:tc>
              <w:tc>
                <w:tcPr>
                  <w:tcW w:w="1586" w:type="pct"/>
                  <w:vMerge w:val="restart"/>
                  <w:tcBorders>
                    <w:tl2br w:val="nil"/>
                    <w:tr2bl w:val="nil"/>
                  </w:tcBorders>
                  <w:vAlign w:val="center"/>
                </w:tcPr>
                <w:p w14:paraId="6AAC0A20">
                  <w:pPr>
                    <w:widowControl/>
                    <w:jc w:val="center"/>
                    <w:textAlignment w:val="center"/>
                    <w:rPr>
                      <w:rFonts w:hint="default" w:ascii="Times New Roman" w:hAnsi="Times New Roman" w:cs="Times New Roman"/>
                      <w:color w:val="FF0000"/>
                      <w:kern w:val="0"/>
                      <w:szCs w:val="21"/>
                      <w:lang w:bidi="ar"/>
                    </w:rPr>
                  </w:pPr>
                  <w:r>
                    <w:rPr>
                      <w:rFonts w:hint="default" w:ascii="Times New Roman" w:hAnsi="Times New Roman" w:eastAsia="宋体" w:cs="Times New Roman"/>
                      <w:color w:val="FF0000"/>
                      <w:kern w:val="0"/>
                      <w:szCs w:val="21"/>
                      <w:lang w:val="en-US" w:eastAsia="zh-CN" w:bidi="ar"/>
                    </w:rPr>
                    <w:t>定期喷洒生物除臭剂，除臭效率取46.91%</w:t>
                  </w:r>
                </w:p>
              </w:tc>
              <w:tc>
                <w:tcPr>
                  <w:tcW w:w="682" w:type="pct"/>
                  <w:tcBorders>
                    <w:right w:val="single" w:color="000000" w:sz="4" w:space="0"/>
                    <w:tl2br w:val="nil"/>
                    <w:tr2bl w:val="nil"/>
                  </w:tcBorders>
                  <w:vAlign w:val="center"/>
                </w:tcPr>
                <w:p w14:paraId="6630B5B3">
                  <w:pPr>
                    <w:widowControl/>
                    <w:jc w:val="center"/>
                    <w:textAlignment w:val="center"/>
                    <w:rPr>
                      <w:rFonts w:hint="default" w:ascii="Times New Roman" w:hAnsi="Times New Roman" w:eastAsia="宋体" w:cs="Times New Roman"/>
                      <w:color w:val="FF0000"/>
                      <w:kern w:val="0"/>
                      <w:szCs w:val="21"/>
                      <w:lang w:val="en-US" w:eastAsia="zh-CN" w:bidi="ar"/>
                    </w:rPr>
                  </w:pPr>
                  <w:r>
                    <w:rPr>
                      <w:rFonts w:hint="default" w:ascii="Times New Roman" w:hAnsi="Times New Roman" w:cs="Times New Roman"/>
                      <w:color w:val="FF0000"/>
                      <w:kern w:val="0"/>
                      <w:szCs w:val="21"/>
                      <w:lang w:val="en-US" w:eastAsia="zh-CN" w:bidi="ar"/>
                    </w:rPr>
                    <w:t>0.00273</w:t>
                  </w:r>
                </w:p>
              </w:tc>
              <w:tc>
                <w:tcPr>
                  <w:tcW w:w="596" w:type="pct"/>
                  <w:tcBorders>
                    <w:left w:val="single" w:color="000000" w:sz="4" w:space="0"/>
                    <w:tl2br w:val="nil"/>
                    <w:tr2bl w:val="nil"/>
                  </w:tcBorders>
                  <w:vAlign w:val="center"/>
                </w:tcPr>
                <w:p w14:paraId="63233B90">
                  <w:pPr>
                    <w:widowControl/>
                    <w:jc w:val="center"/>
                    <w:textAlignment w:val="center"/>
                    <w:rPr>
                      <w:rFonts w:hint="default" w:ascii="Times New Roman" w:hAnsi="Times New Roman" w:eastAsia="宋体" w:cs="Times New Roman"/>
                      <w:color w:val="FF0000"/>
                      <w:kern w:val="0"/>
                      <w:szCs w:val="21"/>
                      <w:lang w:val="en-US" w:eastAsia="zh-CN" w:bidi="ar"/>
                    </w:rPr>
                  </w:pPr>
                  <w:r>
                    <w:rPr>
                      <w:rFonts w:hint="default" w:ascii="Times New Roman" w:hAnsi="Times New Roman" w:cs="Times New Roman"/>
                      <w:color w:val="FF0000"/>
                      <w:kern w:val="0"/>
                      <w:szCs w:val="21"/>
                      <w:lang w:val="en-US" w:eastAsia="zh-CN" w:bidi="ar"/>
                    </w:rPr>
                    <w:t>0.00114</w:t>
                  </w:r>
                </w:p>
              </w:tc>
              <w:tc>
                <w:tcPr>
                  <w:tcW w:w="705" w:type="pct"/>
                  <w:tcBorders>
                    <w:tl2br w:val="nil"/>
                    <w:tr2bl w:val="nil"/>
                  </w:tcBorders>
                  <w:vAlign w:val="center"/>
                </w:tcPr>
                <w:p w14:paraId="6B93103B">
                  <w:pPr>
                    <w:widowControl/>
                    <w:jc w:val="center"/>
                    <w:textAlignment w:val="center"/>
                    <w:rPr>
                      <w:rFonts w:hint="default" w:ascii="Times New Roman" w:hAnsi="Times New Roman" w:cs="Times New Roman"/>
                      <w:color w:val="FF0000"/>
                      <w:kern w:val="0"/>
                      <w:szCs w:val="21"/>
                      <w:lang w:bidi="ar"/>
                    </w:rPr>
                  </w:pPr>
                  <w:r>
                    <w:rPr>
                      <w:rFonts w:hint="default" w:ascii="Times New Roman" w:hAnsi="Times New Roman" w:cs="Times New Roman"/>
                      <w:color w:val="FF0000"/>
                      <w:kern w:val="0"/>
                      <w:szCs w:val="21"/>
                      <w:lang w:bidi="ar"/>
                    </w:rPr>
                    <w:t>/</w:t>
                  </w:r>
                </w:p>
              </w:tc>
            </w:tr>
            <w:tr w14:paraId="2AAA3890">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08" w:hRule="atLeast"/>
                <w:jc w:val="center"/>
              </w:trPr>
              <w:tc>
                <w:tcPr>
                  <w:tcW w:w="527" w:type="pct"/>
                  <w:vMerge w:val="continue"/>
                  <w:tcBorders>
                    <w:tl2br w:val="nil"/>
                    <w:tr2bl w:val="nil"/>
                  </w:tcBorders>
                  <w:shd w:val="clear" w:color="auto" w:fill="auto"/>
                  <w:vAlign w:val="center"/>
                </w:tcPr>
                <w:p w14:paraId="50B9984A">
                  <w:pPr>
                    <w:widowControl/>
                    <w:jc w:val="center"/>
                    <w:textAlignment w:val="center"/>
                    <w:rPr>
                      <w:rFonts w:hint="default" w:ascii="Times New Roman" w:hAnsi="Times New Roman" w:cs="Times New Roman"/>
                      <w:color w:val="FF0000"/>
                    </w:rPr>
                  </w:pPr>
                </w:p>
              </w:tc>
              <w:tc>
                <w:tcPr>
                  <w:tcW w:w="447" w:type="pct"/>
                  <w:tcBorders>
                    <w:tl2br w:val="nil"/>
                    <w:tr2bl w:val="nil"/>
                  </w:tcBorders>
                  <w:vAlign w:val="center"/>
                </w:tcPr>
                <w:p w14:paraId="288C337B">
                  <w:pPr>
                    <w:widowControl/>
                    <w:jc w:val="center"/>
                    <w:textAlignment w:val="center"/>
                    <w:rPr>
                      <w:rFonts w:hint="default" w:ascii="Times New Roman" w:hAnsi="Times New Roman" w:eastAsia="宋体" w:cs="Times New Roman"/>
                      <w:color w:val="FF0000"/>
                      <w:kern w:val="0"/>
                      <w:szCs w:val="21"/>
                      <w:lang w:val="en-US" w:eastAsia="zh-CN" w:bidi="ar"/>
                    </w:rPr>
                  </w:pPr>
                  <w:r>
                    <w:rPr>
                      <w:rFonts w:hint="default" w:ascii="Times New Roman" w:hAnsi="Times New Roman" w:eastAsia="宋体" w:cs="Times New Roman"/>
                      <w:color w:val="FF0000"/>
                      <w:kern w:val="0"/>
                      <w:szCs w:val="21"/>
                      <w:lang w:val="en-US" w:eastAsia="zh-CN" w:bidi="ar"/>
                    </w:rPr>
                    <w:t>H</w:t>
                  </w:r>
                  <w:r>
                    <w:rPr>
                      <w:rFonts w:hint="default" w:ascii="Times New Roman" w:hAnsi="Times New Roman" w:eastAsia="宋体" w:cs="Times New Roman"/>
                      <w:color w:val="FF0000"/>
                      <w:kern w:val="0"/>
                      <w:szCs w:val="21"/>
                      <w:vertAlign w:val="subscript"/>
                      <w:lang w:val="en-US" w:eastAsia="zh-CN" w:bidi="ar"/>
                    </w:rPr>
                    <w:t>2</w:t>
                  </w:r>
                  <w:r>
                    <w:rPr>
                      <w:rFonts w:hint="default" w:ascii="Times New Roman" w:hAnsi="Times New Roman" w:eastAsia="宋体" w:cs="Times New Roman"/>
                      <w:color w:val="FF0000"/>
                      <w:kern w:val="0"/>
                      <w:szCs w:val="21"/>
                      <w:lang w:val="en-US" w:eastAsia="zh-CN" w:bidi="ar"/>
                    </w:rPr>
                    <w:t>S</w:t>
                  </w:r>
                </w:p>
              </w:tc>
              <w:tc>
                <w:tcPr>
                  <w:tcW w:w="454" w:type="pct"/>
                  <w:tcBorders>
                    <w:tl2br w:val="nil"/>
                    <w:tr2bl w:val="nil"/>
                  </w:tcBorders>
                  <w:vAlign w:val="center"/>
                </w:tcPr>
                <w:p w14:paraId="024628C7">
                  <w:pPr>
                    <w:widowControl/>
                    <w:jc w:val="center"/>
                    <w:textAlignment w:val="center"/>
                    <w:rPr>
                      <w:rFonts w:hint="default" w:ascii="Times New Roman" w:hAnsi="Times New Roman" w:cs="Times New Roman"/>
                      <w:color w:val="FF0000"/>
                    </w:rPr>
                  </w:pPr>
                  <w:r>
                    <w:rPr>
                      <w:rFonts w:hint="default" w:ascii="Times New Roman" w:hAnsi="Times New Roman" w:cs="Times New Roman"/>
                      <w:color w:val="FF0000"/>
                      <w:kern w:val="0"/>
                      <w:szCs w:val="21"/>
                      <w:lang w:bidi="ar"/>
                    </w:rPr>
                    <w:t>无组织</w:t>
                  </w:r>
                </w:p>
              </w:tc>
              <w:tc>
                <w:tcPr>
                  <w:tcW w:w="1586" w:type="pct"/>
                  <w:vMerge w:val="continue"/>
                  <w:tcBorders>
                    <w:tl2br w:val="nil"/>
                    <w:tr2bl w:val="nil"/>
                  </w:tcBorders>
                  <w:vAlign w:val="center"/>
                </w:tcPr>
                <w:p w14:paraId="38DDB386">
                  <w:pPr>
                    <w:widowControl/>
                    <w:jc w:val="center"/>
                    <w:textAlignment w:val="center"/>
                    <w:rPr>
                      <w:rFonts w:hint="default" w:ascii="Times New Roman" w:hAnsi="Times New Roman" w:cs="Times New Roman"/>
                      <w:color w:val="FF0000"/>
                    </w:rPr>
                  </w:pPr>
                </w:p>
              </w:tc>
              <w:tc>
                <w:tcPr>
                  <w:tcW w:w="682" w:type="pct"/>
                  <w:tcBorders>
                    <w:right w:val="single" w:color="000000" w:sz="4" w:space="0"/>
                    <w:tl2br w:val="nil"/>
                    <w:tr2bl w:val="nil"/>
                  </w:tcBorders>
                  <w:vAlign w:val="center"/>
                </w:tcPr>
                <w:p w14:paraId="02A30DF3">
                  <w:pPr>
                    <w:widowControl/>
                    <w:jc w:val="center"/>
                    <w:textAlignment w:val="center"/>
                    <w:rPr>
                      <w:rFonts w:hint="default" w:ascii="Times New Roman" w:hAnsi="Times New Roman" w:cs="Times New Roman"/>
                      <w:color w:val="FF0000"/>
                      <w:lang w:val="en-US"/>
                    </w:rPr>
                  </w:pPr>
                  <w:r>
                    <w:rPr>
                      <w:rFonts w:hint="default" w:ascii="Times New Roman" w:hAnsi="Times New Roman" w:cs="Times New Roman"/>
                      <w:color w:val="FF0000"/>
                      <w:lang w:val="en-US" w:eastAsia="zh-CN"/>
                    </w:rPr>
                    <w:t>0.00003</w:t>
                  </w:r>
                </w:p>
              </w:tc>
              <w:tc>
                <w:tcPr>
                  <w:tcW w:w="596" w:type="pct"/>
                  <w:tcBorders>
                    <w:left w:val="single" w:color="000000" w:sz="4" w:space="0"/>
                    <w:tl2br w:val="nil"/>
                    <w:tr2bl w:val="nil"/>
                  </w:tcBorders>
                  <w:vAlign w:val="center"/>
                </w:tcPr>
                <w:p w14:paraId="6EEFF603">
                  <w:pPr>
                    <w:widowControl/>
                    <w:jc w:val="center"/>
                    <w:textAlignment w:val="center"/>
                    <w:rPr>
                      <w:rFonts w:hint="default" w:ascii="Times New Roman" w:hAnsi="Times New Roman" w:eastAsia="宋体" w:cs="Times New Roman"/>
                      <w:color w:val="FF0000"/>
                      <w:lang w:val="en-US" w:eastAsia="zh-CN"/>
                    </w:rPr>
                  </w:pPr>
                  <w:r>
                    <w:rPr>
                      <w:rFonts w:hint="default" w:ascii="Times New Roman" w:hAnsi="Times New Roman" w:cs="Times New Roman"/>
                      <w:color w:val="FF0000"/>
                      <w:lang w:val="en-US" w:eastAsia="zh-CN"/>
                    </w:rPr>
                    <w:t>0.00001</w:t>
                  </w:r>
                </w:p>
              </w:tc>
              <w:tc>
                <w:tcPr>
                  <w:tcW w:w="705" w:type="pct"/>
                  <w:tcBorders>
                    <w:tl2br w:val="nil"/>
                    <w:tr2bl w:val="nil"/>
                  </w:tcBorders>
                  <w:vAlign w:val="center"/>
                </w:tcPr>
                <w:p w14:paraId="56ED3CEB">
                  <w:pPr>
                    <w:widowControl/>
                    <w:jc w:val="center"/>
                    <w:textAlignment w:val="center"/>
                    <w:rPr>
                      <w:rFonts w:hint="default" w:ascii="Times New Roman" w:hAnsi="Times New Roman" w:cs="Times New Roman"/>
                      <w:color w:val="FF0000"/>
                    </w:rPr>
                  </w:pPr>
                  <w:r>
                    <w:rPr>
                      <w:rFonts w:hint="default" w:ascii="Times New Roman" w:hAnsi="Times New Roman" w:cs="Times New Roman"/>
                      <w:color w:val="FF0000"/>
                      <w:kern w:val="0"/>
                      <w:szCs w:val="21"/>
                      <w:lang w:bidi="ar"/>
                    </w:rPr>
                    <w:t>/</w:t>
                  </w:r>
                </w:p>
              </w:tc>
            </w:tr>
          </w:tbl>
          <w:p w14:paraId="0055FCF9">
            <w:pPr>
              <w:pStyle w:val="19"/>
              <w:spacing w:after="0"/>
              <w:ind w:left="0" w:leftChars="0" w:firstLine="422"/>
              <w:jc w:val="center"/>
              <w:rPr>
                <w:rFonts w:hint="default" w:ascii="Times New Roman" w:hAnsi="Times New Roman" w:cs="Times New Roman"/>
                <w:b/>
                <w:bCs/>
                <w:color w:val="FF0000"/>
                <w:highlight w:val="yellow"/>
              </w:rPr>
            </w:pPr>
            <w:r>
              <w:rPr>
                <w:rFonts w:hint="default" w:ascii="Times New Roman" w:hAnsi="Times New Roman" w:cs="Times New Roman"/>
                <w:b/>
                <w:bCs/>
                <w:color w:val="FF0000"/>
              </w:rPr>
              <w:t>表4-</w:t>
            </w:r>
            <w:r>
              <w:rPr>
                <w:rFonts w:hint="eastAsia" w:cs="Times New Roman"/>
                <w:b/>
                <w:bCs/>
                <w:color w:val="FF0000"/>
                <w:lang w:val="en-US" w:eastAsia="zh-CN"/>
              </w:rPr>
              <w:t>8</w:t>
            </w:r>
            <w:r>
              <w:rPr>
                <w:rFonts w:hint="default" w:ascii="Times New Roman" w:hAnsi="Times New Roman" w:cs="Times New Roman"/>
                <w:b/>
                <w:bCs/>
                <w:color w:val="FF0000"/>
              </w:rPr>
              <w:t xml:space="preserve">  排污口基本情况</w:t>
            </w:r>
          </w:p>
          <w:tbl>
            <w:tblPr>
              <w:tblStyle w:val="34"/>
              <w:tblW w:w="4997" w:type="pct"/>
              <w:tblInd w:w="0" w:type="dxa"/>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893"/>
              <w:gridCol w:w="1851"/>
              <w:gridCol w:w="1744"/>
              <w:gridCol w:w="471"/>
              <w:gridCol w:w="539"/>
              <w:gridCol w:w="534"/>
              <w:gridCol w:w="568"/>
              <w:gridCol w:w="698"/>
              <w:gridCol w:w="1171"/>
            </w:tblGrid>
            <w:tr w14:paraId="03E4BCEE">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86" w:hRule="atLeast"/>
              </w:trPr>
              <w:tc>
                <w:tcPr>
                  <w:tcW w:w="527" w:type="pct"/>
                  <w:vMerge w:val="restart"/>
                  <w:tcBorders>
                    <w:tl2br w:val="nil"/>
                    <w:tr2bl w:val="nil"/>
                  </w:tcBorders>
                  <w:vAlign w:val="center"/>
                </w:tcPr>
                <w:p w14:paraId="7DD67E52">
                  <w:pPr>
                    <w:jc w:val="center"/>
                    <w:rPr>
                      <w:rFonts w:hint="default" w:ascii="Times New Roman" w:hAnsi="Times New Roman" w:cs="Times New Roman"/>
                      <w:color w:val="FF0000"/>
                    </w:rPr>
                  </w:pPr>
                  <w:r>
                    <w:rPr>
                      <w:rFonts w:hint="default" w:ascii="Times New Roman" w:hAnsi="Times New Roman" w:cs="Times New Roman"/>
                      <w:color w:val="FF0000"/>
                    </w:rPr>
                    <w:t>排污口编号</w:t>
                  </w:r>
                </w:p>
              </w:tc>
              <w:tc>
                <w:tcPr>
                  <w:tcW w:w="2121" w:type="pct"/>
                  <w:gridSpan w:val="2"/>
                  <w:tcBorders>
                    <w:tl2br w:val="nil"/>
                    <w:tr2bl w:val="nil"/>
                  </w:tcBorders>
                  <w:vAlign w:val="center"/>
                </w:tcPr>
                <w:p w14:paraId="28B913E4">
                  <w:pPr>
                    <w:jc w:val="center"/>
                    <w:rPr>
                      <w:rFonts w:hint="default" w:ascii="Times New Roman" w:hAnsi="Times New Roman" w:cs="Times New Roman"/>
                      <w:color w:val="FF0000"/>
                      <w:highlight w:val="yellow"/>
                    </w:rPr>
                  </w:pPr>
                  <w:r>
                    <w:rPr>
                      <w:rFonts w:hint="default" w:ascii="Times New Roman" w:hAnsi="Times New Roman" w:cs="Times New Roman"/>
                      <w:color w:val="FF0000"/>
                    </w:rPr>
                    <w:t>地理坐标</w:t>
                  </w:r>
                </w:p>
              </w:tc>
              <w:tc>
                <w:tcPr>
                  <w:tcW w:w="278" w:type="pct"/>
                  <w:vMerge w:val="restart"/>
                  <w:tcBorders>
                    <w:tl2br w:val="nil"/>
                    <w:tr2bl w:val="nil"/>
                  </w:tcBorders>
                  <w:vAlign w:val="center"/>
                </w:tcPr>
                <w:p w14:paraId="5F3CDCAE">
                  <w:pPr>
                    <w:jc w:val="center"/>
                    <w:rPr>
                      <w:rFonts w:hint="default" w:ascii="Times New Roman" w:hAnsi="Times New Roman" w:cs="Times New Roman"/>
                      <w:color w:val="FF0000"/>
                    </w:rPr>
                  </w:pPr>
                  <w:r>
                    <w:rPr>
                      <w:rFonts w:hint="default" w:ascii="Times New Roman" w:hAnsi="Times New Roman" w:cs="Times New Roman"/>
                      <w:color w:val="FF0000"/>
                    </w:rPr>
                    <w:t>排气筒高度/m</w:t>
                  </w:r>
                </w:p>
              </w:tc>
              <w:tc>
                <w:tcPr>
                  <w:tcW w:w="318" w:type="pct"/>
                  <w:vMerge w:val="restart"/>
                  <w:tcBorders>
                    <w:tl2br w:val="nil"/>
                    <w:tr2bl w:val="nil"/>
                  </w:tcBorders>
                  <w:vAlign w:val="center"/>
                </w:tcPr>
                <w:p w14:paraId="3CEAEAA9">
                  <w:pPr>
                    <w:jc w:val="center"/>
                    <w:rPr>
                      <w:rFonts w:hint="default" w:ascii="Times New Roman" w:hAnsi="Times New Roman" w:cs="Times New Roman"/>
                      <w:color w:val="FF0000"/>
                    </w:rPr>
                  </w:pPr>
                  <w:r>
                    <w:rPr>
                      <w:rFonts w:hint="default" w:ascii="Times New Roman" w:hAnsi="Times New Roman" w:cs="Times New Roman"/>
                      <w:color w:val="FF0000"/>
                    </w:rPr>
                    <w:t>排气筒内径/m</w:t>
                  </w:r>
                </w:p>
              </w:tc>
              <w:tc>
                <w:tcPr>
                  <w:tcW w:w="315" w:type="pct"/>
                  <w:vMerge w:val="restart"/>
                  <w:tcBorders>
                    <w:tl2br w:val="nil"/>
                    <w:tr2bl w:val="nil"/>
                  </w:tcBorders>
                  <w:vAlign w:val="center"/>
                </w:tcPr>
                <w:p w14:paraId="1B391B01">
                  <w:pPr>
                    <w:jc w:val="center"/>
                    <w:rPr>
                      <w:rFonts w:hint="default" w:ascii="Times New Roman" w:hAnsi="Times New Roman" w:cs="Times New Roman"/>
                      <w:color w:val="FF0000"/>
                    </w:rPr>
                  </w:pPr>
                  <w:r>
                    <w:rPr>
                      <w:rFonts w:hint="default" w:ascii="Times New Roman" w:hAnsi="Times New Roman" w:cs="Times New Roman"/>
                      <w:color w:val="FF0000"/>
                    </w:rPr>
                    <w:t>烟气温度/℃</w:t>
                  </w:r>
                </w:p>
              </w:tc>
              <w:tc>
                <w:tcPr>
                  <w:tcW w:w="335" w:type="pct"/>
                  <w:vMerge w:val="restart"/>
                  <w:tcBorders>
                    <w:tl2br w:val="nil"/>
                    <w:tr2bl w:val="nil"/>
                  </w:tcBorders>
                  <w:vAlign w:val="center"/>
                </w:tcPr>
                <w:p w14:paraId="78CDC562">
                  <w:pPr>
                    <w:jc w:val="center"/>
                    <w:rPr>
                      <w:rFonts w:hint="default" w:ascii="Times New Roman" w:hAnsi="Times New Roman" w:cs="Times New Roman"/>
                      <w:color w:val="FF0000"/>
                    </w:rPr>
                  </w:pPr>
                  <w:r>
                    <w:rPr>
                      <w:rFonts w:hint="default" w:ascii="Times New Roman" w:hAnsi="Times New Roman" w:cs="Times New Roman"/>
                      <w:color w:val="FF0000"/>
                    </w:rPr>
                    <w:t>排污口类型</w:t>
                  </w:r>
                </w:p>
              </w:tc>
              <w:tc>
                <w:tcPr>
                  <w:tcW w:w="412" w:type="pct"/>
                  <w:vMerge w:val="restart"/>
                  <w:tcBorders>
                    <w:tl2br w:val="nil"/>
                    <w:tr2bl w:val="nil"/>
                  </w:tcBorders>
                  <w:vAlign w:val="center"/>
                </w:tcPr>
                <w:p w14:paraId="091A4082">
                  <w:pPr>
                    <w:jc w:val="center"/>
                    <w:rPr>
                      <w:rFonts w:hint="default" w:ascii="Times New Roman" w:hAnsi="Times New Roman" w:cs="Times New Roman"/>
                      <w:color w:val="FF0000"/>
                    </w:rPr>
                  </w:pPr>
                  <w:r>
                    <w:rPr>
                      <w:rFonts w:hint="default" w:ascii="Times New Roman" w:hAnsi="Times New Roman" w:cs="Times New Roman"/>
                      <w:color w:val="FF0000"/>
                    </w:rPr>
                    <w:t>污染物种类</w:t>
                  </w:r>
                </w:p>
              </w:tc>
              <w:tc>
                <w:tcPr>
                  <w:tcW w:w="691" w:type="pct"/>
                  <w:vMerge w:val="restart"/>
                  <w:tcBorders>
                    <w:tl2br w:val="nil"/>
                    <w:tr2bl w:val="nil"/>
                  </w:tcBorders>
                  <w:vAlign w:val="center"/>
                </w:tcPr>
                <w:p w14:paraId="4F297119">
                  <w:pPr>
                    <w:jc w:val="center"/>
                    <w:rPr>
                      <w:rFonts w:hint="default" w:ascii="Times New Roman" w:hAnsi="Times New Roman" w:cs="Times New Roman"/>
                      <w:color w:val="FF0000"/>
                    </w:rPr>
                  </w:pPr>
                  <w:r>
                    <w:rPr>
                      <w:rFonts w:hint="default" w:ascii="Times New Roman" w:hAnsi="Times New Roman" w:cs="Times New Roman"/>
                      <w:color w:val="FF0000"/>
                    </w:rPr>
                    <w:t>标准排放浓度/mg/m</w:t>
                  </w:r>
                  <w:r>
                    <w:rPr>
                      <w:rFonts w:hint="default" w:ascii="Times New Roman" w:hAnsi="Times New Roman" w:cs="Times New Roman"/>
                      <w:color w:val="FF0000"/>
                      <w:vertAlign w:val="superscript"/>
                    </w:rPr>
                    <w:t>3</w:t>
                  </w:r>
                </w:p>
              </w:tc>
            </w:tr>
            <w:tr w14:paraId="399E24FC">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27" w:type="pct"/>
                  <w:vMerge w:val="continue"/>
                  <w:tcBorders>
                    <w:tl2br w:val="nil"/>
                    <w:tr2bl w:val="nil"/>
                  </w:tcBorders>
                  <w:vAlign w:val="center"/>
                </w:tcPr>
                <w:p w14:paraId="793098B3">
                  <w:pPr>
                    <w:jc w:val="center"/>
                    <w:rPr>
                      <w:rFonts w:hint="default" w:ascii="Times New Roman" w:hAnsi="Times New Roman" w:cs="Times New Roman"/>
                      <w:color w:val="FF0000"/>
                    </w:rPr>
                  </w:pPr>
                </w:p>
              </w:tc>
              <w:tc>
                <w:tcPr>
                  <w:tcW w:w="1092" w:type="pct"/>
                  <w:tcBorders>
                    <w:tl2br w:val="nil"/>
                    <w:tr2bl w:val="nil"/>
                  </w:tcBorders>
                  <w:vAlign w:val="center"/>
                </w:tcPr>
                <w:p w14:paraId="585F0B9A">
                  <w:pPr>
                    <w:jc w:val="center"/>
                    <w:rPr>
                      <w:rFonts w:hint="default" w:ascii="Times New Roman" w:hAnsi="Times New Roman" w:cs="Times New Roman"/>
                      <w:color w:val="FF0000"/>
                    </w:rPr>
                  </w:pPr>
                  <w:r>
                    <w:rPr>
                      <w:rFonts w:hint="default" w:ascii="Times New Roman" w:hAnsi="Times New Roman" w:cs="Times New Roman"/>
                      <w:color w:val="FF0000"/>
                    </w:rPr>
                    <w:t>经度</w:t>
                  </w:r>
                </w:p>
              </w:tc>
              <w:tc>
                <w:tcPr>
                  <w:tcW w:w="1029" w:type="pct"/>
                  <w:tcBorders>
                    <w:tl2br w:val="nil"/>
                    <w:tr2bl w:val="nil"/>
                  </w:tcBorders>
                  <w:vAlign w:val="center"/>
                </w:tcPr>
                <w:p w14:paraId="514D0775">
                  <w:pPr>
                    <w:jc w:val="center"/>
                    <w:rPr>
                      <w:rFonts w:hint="default" w:ascii="Times New Roman" w:hAnsi="Times New Roman" w:cs="Times New Roman"/>
                      <w:color w:val="FF0000"/>
                      <w:szCs w:val="21"/>
                    </w:rPr>
                  </w:pPr>
                  <w:r>
                    <w:rPr>
                      <w:rFonts w:hint="default" w:ascii="Times New Roman" w:hAnsi="Times New Roman" w:cs="Times New Roman"/>
                      <w:color w:val="FF0000"/>
                      <w:szCs w:val="21"/>
                    </w:rPr>
                    <w:t>维度</w:t>
                  </w:r>
                </w:p>
              </w:tc>
              <w:tc>
                <w:tcPr>
                  <w:tcW w:w="278" w:type="pct"/>
                  <w:vMerge w:val="continue"/>
                  <w:tcBorders>
                    <w:tl2br w:val="nil"/>
                    <w:tr2bl w:val="nil"/>
                  </w:tcBorders>
                  <w:vAlign w:val="center"/>
                </w:tcPr>
                <w:p w14:paraId="1323FEA8">
                  <w:pPr>
                    <w:jc w:val="center"/>
                    <w:rPr>
                      <w:rFonts w:hint="default" w:ascii="Times New Roman" w:hAnsi="Times New Roman" w:cs="Times New Roman"/>
                      <w:color w:val="FF0000"/>
                    </w:rPr>
                  </w:pPr>
                </w:p>
              </w:tc>
              <w:tc>
                <w:tcPr>
                  <w:tcW w:w="318" w:type="pct"/>
                  <w:vMerge w:val="continue"/>
                  <w:tcBorders>
                    <w:tl2br w:val="nil"/>
                    <w:tr2bl w:val="nil"/>
                  </w:tcBorders>
                  <w:vAlign w:val="center"/>
                </w:tcPr>
                <w:p w14:paraId="66ED1CC4">
                  <w:pPr>
                    <w:jc w:val="center"/>
                    <w:rPr>
                      <w:rFonts w:hint="default" w:ascii="Times New Roman" w:hAnsi="Times New Roman" w:cs="Times New Roman"/>
                      <w:color w:val="FF0000"/>
                    </w:rPr>
                  </w:pPr>
                </w:p>
              </w:tc>
              <w:tc>
                <w:tcPr>
                  <w:tcW w:w="315" w:type="pct"/>
                  <w:vMerge w:val="continue"/>
                  <w:tcBorders>
                    <w:tl2br w:val="nil"/>
                    <w:tr2bl w:val="nil"/>
                  </w:tcBorders>
                  <w:vAlign w:val="center"/>
                </w:tcPr>
                <w:p w14:paraId="31756BB6">
                  <w:pPr>
                    <w:jc w:val="center"/>
                    <w:rPr>
                      <w:rFonts w:hint="default" w:ascii="Times New Roman" w:hAnsi="Times New Roman" w:cs="Times New Roman"/>
                      <w:color w:val="FF0000"/>
                    </w:rPr>
                  </w:pPr>
                </w:p>
              </w:tc>
              <w:tc>
                <w:tcPr>
                  <w:tcW w:w="335" w:type="pct"/>
                  <w:vMerge w:val="continue"/>
                  <w:tcBorders>
                    <w:tl2br w:val="nil"/>
                    <w:tr2bl w:val="nil"/>
                  </w:tcBorders>
                  <w:vAlign w:val="center"/>
                </w:tcPr>
                <w:p w14:paraId="00B1FD2A">
                  <w:pPr>
                    <w:jc w:val="center"/>
                    <w:rPr>
                      <w:rFonts w:hint="default" w:ascii="Times New Roman" w:hAnsi="Times New Roman" w:cs="Times New Roman"/>
                      <w:color w:val="FF0000"/>
                    </w:rPr>
                  </w:pPr>
                </w:p>
              </w:tc>
              <w:tc>
                <w:tcPr>
                  <w:tcW w:w="412" w:type="pct"/>
                  <w:vMerge w:val="continue"/>
                  <w:tcBorders>
                    <w:tl2br w:val="nil"/>
                    <w:tr2bl w:val="nil"/>
                  </w:tcBorders>
                  <w:vAlign w:val="center"/>
                </w:tcPr>
                <w:p w14:paraId="4749D1C8">
                  <w:pPr>
                    <w:jc w:val="center"/>
                    <w:rPr>
                      <w:rFonts w:hint="default" w:ascii="Times New Roman" w:hAnsi="Times New Roman" w:cs="Times New Roman"/>
                      <w:color w:val="FF0000"/>
                    </w:rPr>
                  </w:pPr>
                </w:p>
              </w:tc>
              <w:tc>
                <w:tcPr>
                  <w:tcW w:w="691" w:type="pct"/>
                  <w:vMerge w:val="continue"/>
                  <w:tcBorders>
                    <w:tl2br w:val="nil"/>
                    <w:tr2bl w:val="nil"/>
                  </w:tcBorders>
                  <w:vAlign w:val="center"/>
                </w:tcPr>
                <w:p w14:paraId="7601AEDC">
                  <w:pPr>
                    <w:jc w:val="center"/>
                    <w:rPr>
                      <w:rFonts w:hint="default" w:ascii="Times New Roman" w:hAnsi="Times New Roman" w:cs="Times New Roman"/>
                      <w:color w:val="FF0000"/>
                    </w:rPr>
                  </w:pPr>
                </w:p>
              </w:tc>
            </w:tr>
            <w:tr w14:paraId="7692671A">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49" w:hRule="atLeast"/>
              </w:trPr>
              <w:tc>
                <w:tcPr>
                  <w:tcW w:w="527" w:type="pct"/>
                  <w:tcBorders>
                    <w:tl2br w:val="nil"/>
                    <w:tr2bl w:val="nil"/>
                  </w:tcBorders>
                  <w:vAlign w:val="center"/>
                </w:tcPr>
                <w:p w14:paraId="02FDA327">
                  <w:pPr>
                    <w:jc w:val="center"/>
                    <w:rPr>
                      <w:rFonts w:hint="default" w:ascii="Times New Roman" w:hAnsi="Times New Roman" w:cs="Times New Roman"/>
                      <w:color w:val="FF0000"/>
                    </w:rPr>
                  </w:pPr>
                  <w:r>
                    <w:rPr>
                      <w:rFonts w:hint="default" w:ascii="Times New Roman" w:hAnsi="Times New Roman" w:cs="Times New Roman"/>
                      <w:color w:val="FF0000"/>
                    </w:rPr>
                    <w:t>DA001</w:t>
                  </w:r>
                </w:p>
              </w:tc>
              <w:tc>
                <w:tcPr>
                  <w:tcW w:w="1092" w:type="pct"/>
                  <w:tcBorders>
                    <w:tl2br w:val="nil"/>
                    <w:tr2bl w:val="nil"/>
                  </w:tcBorders>
                  <w:vAlign w:val="center"/>
                </w:tcPr>
                <w:p w14:paraId="5768CD35">
                  <w:pPr>
                    <w:jc w:val="center"/>
                    <w:rPr>
                      <w:rFonts w:hint="default" w:ascii="Times New Roman" w:hAnsi="Times New Roman" w:cs="Times New Roman"/>
                      <w:color w:val="FF0000"/>
                    </w:rPr>
                  </w:pPr>
                  <w:r>
                    <w:rPr>
                      <w:rFonts w:hint="default" w:ascii="Times New Roman" w:hAnsi="Times New Roman" w:cs="Times New Roman"/>
                      <w:color w:val="FF0000"/>
                    </w:rPr>
                    <w:t>120°45′16.46029″</w:t>
                  </w:r>
                </w:p>
              </w:tc>
              <w:tc>
                <w:tcPr>
                  <w:tcW w:w="1029" w:type="pct"/>
                  <w:tcBorders>
                    <w:tl2br w:val="nil"/>
                    <w:tr2bl w:val="nil"/>
                  </w:tcBorders>
                  <w:vAlign w:val="center"/>
                </w:tcPr>
                <w:p w14:paraId="6A955361">
                  <w:pPr>
                    <w:jc w:val="center"/>
                    <w:rPr>
                      <w:rFonts w:hint="default" w:ascii="Times New Roman" w:hAnsi="Times New Roman" w:cs="Times New Roman"/>
                      <w:color w:val="FF0000"/>
                      <w:szCs w:val="21"/>
                    </w:rPr>
                  </w:pPr>
                  <w:r>
                    <w:rPr>
                      <w:rFonts w:hint="default" w:ascii="Times New Roman" w:hAnsi="Times New Roman" w:cs="Times New Roman"/>
                      <w:color w:val="FF0000"/>
                      <w:szCs w:val="21"/>
                    </w:rPr>
                    <w:t>41°46′37.21507″</w:t>
                  </w:r>
                </w:p>
              </w:tc>
              <w:tc>
                <w:tcPr>
                  <w:tcW w:w="278" w:type="pct"/>
                  <w:tcBorders>
                    <w:tl2br w:val="nil"/>
                    <w:tr2bl w:val="nil"/>
                  </w:tcBorders>
                  <w:vAlign w:val="center"/>
                </w:tcPr>
                <w:p w14:paraId="7DAC9B02">
                  <w:pPr>
                    <w:jc w:val="center"/>
                    <w:rPr>
                      <w:rFonts w:hint="default" w:ascii="Times New Roman" w:hAnsi="Times New Roman" w:cs="Times New Roman"/>
                      <w:color w:val="FF0000"/>
                    </w:rPr>
                  </w:pPr>
                  <w:r>
                    <w:rPr>
                      <w:rFonts w:hint="default" w:ascii="Times New Roman" w:hAnsi="Times New Roman" w:cs="Times New Roman"/>
                      <w:color w:val="FF0000"/>
                    </w:rPr>
                    <w:t>15</w:t>
                  </w:r>
                </w:p>
              </w:tc>
              <w:tc>
                <w:tcPr>
                  <w:tcW w:w="318" w:type="pct"/>
                  <w:tcBorders>
                    <w:tl2br w:val="nil"/>
                    <w:tr2bl w:val="nil"/>
                  </w:tcBorders>
                  <w:vAlign w:val="center"/>
                </w:tcPr>
                <w:p w14:paraId="61C395B5">
                  <w:pPr>
                    <w:jc w:val="center"/>
                    <w:rPr>
                      <w:rFonts w:hint="default" w:ascii="Times New Roman" w:hAnsi="Times New Roman" w:cs="Times New Roman"/>
                      <w:color w:val="FF0000"/>
                    </w:rPr>
                  </w:pPr>
                  <w:r>
                    <w:rPr>
                      <w:rFonts w:hint="default" w:ascii="Times New Roman" w:hAnsi="Times New Roman" w:cs="Times New Roman"/>
                      <w:color w:val="FF0000"/>
                    </w:rPr>
                    <w:t>0.5</w:t>
                  </w:r>
                </w:p>
              </w:tc>
              <w:tc>
                <w:tcPr>
                  <w:tcW w:w="315" w:type="pct"/>
                  <w:tcBorders>
                    <w:tl2br w:val="nil"/>
                    <w:tr2bl w:val="nil"/>
                  </w:tcBorders>
                  <w:vAlign w:val="center"/>
                </w:tcPr>
                <w:p w14:paraId="275335DE">
                  <w:pPr>
                    <w:jc w:val="center"/>
                    <w:rPr>
                      <w:rFonts w:hint="default" w:ascii="Times New Roman" w:hAnsi="Times New Roman" w:cs="Times New Roman"/>
                      <w:color w:val="FF0000"/>
                    </w:rPr>
                  </w:pPr>
                  <w:r>
                    <w:rPr>
                      <w:rFonts w:hint="default" w:ascii="Times New Roman" w:hAnsi="Times New Roman" w:cs="Times New Roman"/>
                      <w:color w:val="FF0000"/>
                    </w:rPr>
                    <w:t>20</w:t>
                  </w:r>
                </w:p>
              </w:tc>
              <w:tc>
                <w:tcPr>
                  <w:tcW w:w="335" w:type="pct"/>
                  <w:tcBorders>
                    <w:tl2br w:val="nil"/>
                    <w:tr2bl w:val="nil"/>
                  </w:tcBorders>
                  <w:vAlign w:val="center"/>
                </w:tcPr>
                <w:p w14:paraId="3E465BD1">
                  <w:pPr>
                    <w:jc w:val="center"/>
                    <w:rPr>
                      <w:rFonts w:hint="default" w:ascii="Times New Roman" w:hAnsi="Times New Roman" w:cs="Times New Roman"/>
                      <w:color w:val="FF0000"/>
                    </w:rPr>
                  </w:pPr>
                  <w:r>
                    <w:rPr>
                      <w:rFonts w:hint="default" w:ascii="Times New Roman" w:hAnsi="Times New Roman" w:cs="Times New Roman"/>
                      <w:color w:val="FF0000"/>
                    </w:rPr>
                    <w:t>一般排放口</w:t>
                  </w:r>
                </w:p>
              </w:tc>
              <w:tc>
                <w:tcPr>
                  <w:tcW w:w="412" w:type="pct"/>
                  <w:tcBorders>
                    <w:tl2br w:val="nil"/>
                    <w:tr2bl w:val="nil"/>
                  </w:tcBorders>
                  <w:vAlign w:val="center"/>
                </w:tcPr>
                <w:p w14:paraId="2C3D366C">
                  <w:pPr>
                    <w:widowControl/>
                    <w:jc w:val="center"/>
                    <w:rPr>
                      <w:rFonts w:hint="default" w:ascii="Times New Roman" w:hAnsi="Times New Roman" w:cs="Times New Roman"/>
                      <w:color w:val="FF0000"/>
                    </w:rPr>
                  </w:pPr>
                  <w:r>
                    <w:rPr>
                      <w:rFonts w:hint="default" w:ascii="Times New Roman" w:hAnsi="Times New Roman" w:cs="Times New Roman"/>
                      <w:color w:val="FF0000"/>
                      <w:kern w:val="0"/>
                      <w:szCs w:val="21"/>
                      <w:lang w:bidi="ar"/>
                    </w:rPr>
                    <w:t>非甲烷总烃</w:t>
                  </w:r>
                </w:p>
              </w:tc>
              <w:tc>
                <w:tcPr>
                  <w:tcW w:w="691" w:type="pct"/>
                  <w:tcBorders>
                    <w:tl2br w:val="nil"/>
                    <w:tr2bl w:val="nil"/>
                  </w:tcBorders>
                  <w:vAlign w:val="center"/>
                </w:tcPr>
                <w:p w14:paraId="435D8A60">
                  <w:pPr>
                    <w:jc w:val="center"/>
                    <w:rPr>
                      <w:rFonts w:hint="default" w:ascii="Times New Roman" w:hAnsi="Times New Roman" w:cs="Times New Roman"/>
                      <w:color w:val="FF0000"/>
                    </w:rPr>
                  </w:pPr>
                  <w:r>
                    <w:rPr>
                      <w:rFonts w:hint="default" w:ascii="Times New Roman" w:hAnsi="Times New Roman" w:cs="Times New Roman"/>
                      <w:color w:val="FF0000"/>
                    </w:rPr>
                    <w:t>120</w:t>
                  </w:r>
                </w:p>
              </w:tc>
            </w:tr>
            <w:tr w14:paraId="33649802">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49" w:hRule="atLeast"/>
              </w:trPr>
              <w:tc>
                <w:tcPr>
                  <w:tcW w:w="527" w:type="pct"/>
                  <w:tcBorders>
                    <w:tl2br w:val="nil"/>
                    <w:tr2bl w:val="nil"/>
                  </w:tcBorders>
                  <w:vAlign w:val="center"/>
                </w:tcPr>
                <w:p w14:paraId="698A55AA">
                  <w:pPr>
                    <w:jc w:val="center"/>
                    <w:rPr>
                      <w:rFonts w:hint="default" w:ascii="Times New Roman" w:hAnsi="Times New Roman" w:cs="Times New Roman"/>
                      <w:color w:val="FF0000"/>
                    </w:rPr>
                  </w:pPr>
                  <w:r>
                    <w:rPr>
                      <w:rFonts w:hint="default" w:ascii="Times New Roman" w:hAnsi="Times New Roman" w:cs="Times New Roman"/>
                      <w:color w:val="FF0000"/>
                    </w:rPr>
                    <w:t>DA002</w:t>
                  </w:r>
                </w:p>
              </w:tc>
              <w:tc>
                <w:tcPr>
                  <w:tcW w:w="1092" w:type="pct"/>
                  <w:tcBorders>
                    <w:tl2br w:val="nil"/>
                    <w:tr2bl w:val="nil"/>
                  </w:tcBorders>
                  <w:vAlign w:val="center"/>
                </w:tcPr>
                <w:p w14:paraId="7B055975">
                  <w:pPr>
                    <w:jc w:val="center"/>
                    <w:rPr>
                      <w:rFonts w:hint="default" w:ascii="Times New Roman" w:hAnsi="Times New Roman" w:cs="Times New Roman"/>
                      <w:color w:val="FF0000"/>
                    </w:rPr>
                  </w:pPr>
                  <w:r>
                    <w:rPr>
                      <w:rFonts w:hint="default" w:ascii="Times New Roman" w:hAnsi="Times New Roman" w:cs="Times New Roman"/>
                      <w:color w:val="FF0000"/>
                    </w:rPr>
                    <w:t>120°45′14.91534″</w:t>
                  </w:r>
                </w:p>
              </w:tc>
              <w:tc>
                <w:tcPr>
                  <w:tcW w:w="1029" w:type="pct"/>
                  <w:tcBorders>
                    <w:tl2br w:val="nil"/>
                    <w:tr2bl w:val="nil"/>
                  </w:tcBorders>
                  <w:vAlign w:val="center"/>
                </w:tcPr>
                <w:p w14:paraId="1745E3A1">
                  <w:pPr>
                    <w:jc w:val="center"/>
                    <w:rPr>
                      <w:rFonts w:hint="default" w:ascii="Times New Roman" w:hAnsi="Times New Roman" w:cs="Times New Roman"/>
                      <w:color w:val="FF0000"/>
                    </w:rPr>
                  </w:pPr>
                  <w:r>
                    <w:rPr>
                      <w:rFonts w:hint="default" w:ascii="Times New Roman" w:hAnsi="Times New Roman" w:cs="Times New Roman"/>
                      <w:color w:val="FF0000"/>
                    </w:rPr>
                    <w:t>41°46′38.40321″</w:t>
                  </w:r>
                </w:p>
              </w:tc>
              <w:tc>
                <w:tcPr>
                  <w:tcW w:w="278" w:type="pct"/>
                  <w:tcBorders>
                    <w:tl2br w:val="nil"/>
                    <w:tr2bl w:val="nil"/>
                  </w:tcBorders>
                  <w:vAlign w:val="center"/>
                </w:tcPr>
                <w:p w14:paraId="6F3A505B">
                  <w:pPr>
                    <w:jc w:val="center"/>
                    <w:rPr>
                      <w:rFonts w:hint="default" w:ascii="Times New Roman" w:hAnsi="Times New Roman" w:cs="Times New Roman"/>
                      <w:color w:val="FF0000"/>
                    </w:rPr>
                  </w:pPr>
                  <w:r>
                    <w:rPr>
                      <w:rFonts w:hint="default" w:ascii="Times New Roman" w:hAnsi="Times New Roman" w:cs="Times New Roman"/>
                      <w:color w:val="FF0000"/>
                    </w:rPr>
                    <w:t>15</w:t>
                  </w:r>
                </w:p>
              </w:tc>
              <w:tc>
                <w:tcPr>
                  <w:tcW w:w="318" w:type="pct"/>
                  <w:tcBorders>
                    <w:tl2br w:val="nil"/>
                    <w:tr2bl w:val="nil"/>
                  </w:tcBorders>
                  <w:vAlign w:val="center"/>
                </w:tcPr>
                <w:p w14:paraId="2B29AE18">
                  <w:pPr>
                    <w:jc w:val="center"/>
                    <w:rPr>
                      <w:rFonts w:hint="default" w:ascii="Times New Roman" w:hAnsi="Times New Roman" w:cs="Times New Roman"/>
                      <w:color w:val="FF0000"/>
                    </w:rPr>
                  </w:pPr>
                  <w:r>
                    <w:rPr>
                      <w:rFonts w:hint="default" w:ascii="Times New Roman" w:hAnsi="Times New Roman" w:cs="Times New Roman"/>
                      <w:color w:val="FF0000"/>
                    </w:rPr>
                    <w:t>1.2</w:t>
                  </w:r>
                </w:p>
              </w:tc>
              <w:tc>
                <w:tcPr>
                  <w:tcW w:w="315" w:type="pct"/>
                  <w:tcBorders>
                    <w:tl2br w:val="nil"/>
                    <w:tr2bl w:val="nil"/>
                  </w:tcBorders>
                  <w:vAlign w:val="center"/>
                </w:tcPr>
                <w:p w14:paraId="79088C15">
                  <w:pPr>
                    <w:jc w:val="center"/>
                    <w:rPr>
                      <w:rFonts w:hint="default" w:ascii="Times New Roman" w:hAnsi="Times New Roman" w:cs="Times New Roman"/>
                      <w:color w:val="FF0000"/>
                    </w:rPr>
                  </w:pPr>
                  <w:r>
                    <w:rPr>
                      <w:rFonts w:hint="default" w:ascii="Times New Roman" w:hAnsi="Times New Roman" w:cs="Times New Roman"/>
                      <w:color w:val="FF0000"/>
                    </w:rPr>
                    <w:t>20</w:t>
                  </w:r>
                </w:p>
              </w:tc>
              <w:tc>
                <w:tcPr>
                  <w:tcW w:w="335" w:type="pct"/>
                  <w:tcBorders>
                    <w:tl2br w:val="nil"/>
                    <w:tr2bl w:val="nil"/>
                  </w:tcBorders>
                  <w:vAlign w:val="center"/>
                </w:tcPr>
                <w:p w14:paraId="57F2F8C4">
                  <w:pPr>
                    <w:jc w:val="center"/>
                    <w:rPr>
                      <w:rFonts w:hint="default" w:ascii="Times New Roman" w:hAnsi="Times New Roman" w:cs="Times New Roman"/>
                      <w:color w:val="FF0000"/>
                    </w:rPr>
                  </w:pPr>
                  <w:r>
                    <w:rPr>
                      <w:rFonts w:hint="default" w:ascii="Times New Roman" w:hAnsi="Times New Roman" w:cs="Times New Roman"/>
                      <w:color w:val="FF0000"/>
                    </w:rPr>
                    <w:t>一般排放口</w:t>
                  </w:r>
                </w:p>
              </w:tc>
              <w:tc>
                <w:tcPr>
                  <w:tcW w:w="412" w:type="pct"/>
                  <w:tcBorders>
                    <w:tl2br w:val="nil"/>
                    <w:tr2bl w:val="nil"/>
                  </w:tcBorders>
                  <w:vAlign w:val="center"/>
                </w:tcPr>
                <w:p w14:paraId="1F3E49DA">
                  <w:pPr>
                    <w:widowControl/>
                    <w:jc w:val="center"/>
                    <w:rPr>
                      <w:rFonts w:hint="default" w:ascii="Times New Roman" w:hAnsi="Times New Roman" w:cs="Times New Roman"/>
                      <w:color w:val="FF0000"/>
                      <w:kern w:val="0"/>
                      <w:szCs w:val="21"/>
                      <w:lang w:bidi="ar"/>
                    </w:rPr>
                  </w:pPr>
                  <w:r>
                    <w:rPr>
                      <w:rFonts w:hint="default" w:ascii="Times New Roman" w:hAnsi="Times New Roman" w:cs="Times New Roman"/>
                      <w:color w:val="FF0000"/>
                      <w:kern w:val="0"/>
                      <w:szCs w:val="21"/>
                      <w:lang w:bidi="ar"/>
                    </w:rPr>
                    <w:t>颗粒物</w:t>
                  </w:r>
                </w:p>
              </w:tc>
              <w:tc>
                <w:tcPr>
                  <w:tcW w:w="691" w:type="pct"/>
                  <w:tcBorders>
                    <w:tl2br w:val="nil"/>
                    <w:tr2bl w:val="nil"/>
                  </w:tcBorders>
                  <w:vAlign w:val="center"/>
                </w:tcPr>
                <w:p w14:paraId="33A3F116">
                  <w:pPr>
                    <w:jc w:val="center"/>
                    <w:rPr>
                      <w:rFonts w:hint="default" w:ascii="Times New Roman" w:hAnsi="Times New Roman" w:cs="Times New Roman"/>
                      <w:color w:val="FF0000"/>
                    </w:rPr>
                  </w:pPr>
                  <w:r>
                    <w:rPr>
                      <w:rFonts w:hint="default" w:ascii="Times New Roman" w:hAnsi="Times New Roman" w:cs="Times New Roman"/>
                      <w:color w:val="FF0000"/>
                    </w:rPr>
                    <w:t>120</w:t>
                  </w:r>
                </w:p>
              </w:tc>
            </w:tr>
          </w:tbl>
          <w:p w14:paraId="7361F38D">
            <w:pPr>
              <w:widowControl/>
              <w:spacing w:line="360" w:lineRule="auto"/>
              <w:jc w:val="left"/>
              <w:rPr>
                <w:rFonts w:hint="default" w:ascii="Times New Roman" w:hAnsi="Times New Roman" w:cs="Times New Roman"/>
                <w:b/>
                <w:bCs/>
                <w:color w:val="FF0000"/>
                <w:sz w:val="24"/>
              </w:rPr>
            </w:pPr>
            <w:r>
              <w:rPr>
                <w:rFonts w:hint="default" w:ascii="Times New Roman" w:hAnsi="Times New Roman" w:cs="Times New Roman"/>
                <w:b/>
                <w:bCs/>
                <w:color w:val="FF0000"/>
                <w:sz w:val="24"/>
              </w:rPr>
              <w:t>3.污染物排放量核算</w:t>
            </w:r>
          </w:p>
          <w:p w14:paraId="0FC95F49">
            <w:pPr>
              <w:ind w:firstLine="422" w:firstLineChars="200"/>
              <w:jc w:val="center"/>
              <w:rPr>
                <w:rFonts w:hint="default" w:ascii="Times New Roman" w:hAnsi="Times New Roman" w:cs="Times New Roman"/>
                <w:b/>
                <w:bCs/>
                <w:color w:val="FF0000"/>
              </w:rPr>
            </w:pPr>
            <w:r>
              <w:rPr>
                <w:rFonts w:hint="default" w:ascii="Times New Roman" w:hAnsi="Times New Roman" w:cs="Times New Roman"/>
                <w:b/>
                <w:bCs/>
                <w:color w:val="FF0000"/>
              </w:rPr>
              <w:t>表4-</w:t>
            </w:r>
            <w:r>
              <w:rPr>
                <w:rFonts w:hint="eastAsia" w:cs="Times New Roman"/>
                <w:b/>
                <w:bCs/>
                <w:color w:val="FF0000"/>
                <w:lang w:val="en-US" w:eastAsia="zh-CN"/>
              </w:rPr>
              <w:t>9</w:t>
            </w:r>
            <w:r>
              <w:rPr>
                <w:rFonts w:hint="default" w:ascii="Times New Roman" w:hAnsi="Times New Roman" w:cs="Times New Roman"/>
                <w:b/>
                <w:bCs/>
                <w:color w:val="FF0000"/>
              </w:rPr>
              <w:t xml:space="preserve">   大气污染物有组织排放量核算表</w:t>
            </w:r>
          </w:p>
          <w:tbl>
            <w:tblPr>
              <w:tblStyle w:val="34"/>
              <w:tblW w:w="4998" w:type="pct"/>
              <w:tblInd w:w="0" w:type="dxa"/>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627"/>
              <w:gridCol w:w="8"/>
              <w:gridCol w:w="1255"/>
              <w:gridCol w:w="1554"/>
              <w:gridCol w:w="1526"/>
              <w:gridCol w:w="1784"/>
              <w:gridCol w:w="1717"/>
            </w:tblGrid>
            <w:tr w14:paraId="0E837DB3">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PrEx>
              <w:trPr>
                <w:trHeight w:val="340" w:hRule="atLeast"/>
              </w:trPr>
              <w:tc>
                <w:tcPr>
                  <w:tcW w:w="375" w:type="pct"/>
                  <w:gridSpan w:val="2"/>
                  <w:tcBorders>
                    <w:tl2br w:val="nil"/>
                    <w:tr2bl w:val="nil"/>
                  </w:tcBorders>
                  <w:vAlign w:val="center"/>
                </w:tcPr>
                <w:p w14:paraId="3B593F1F">
                  <w:pPr>
                    <w:pStyle w:val="18"/>
                    <w:spacing w:line="240" w:lineRule="auto"/>
                    <w:ind w:left="0" w:leftChars="0"/>
                    <w:jc w:val="center"/>
                    <w:rPr>
                      <w:rFonts w:hint="default" w:ascii="Times New Roman" w:hAnsi="Times New Roman" w:cs="Times New Roman"/>
                      <w:color w:val="FF0000"/>
                      <w:szCs w:val="21"/>
                    </w:rPr>
                  </w:pPr>
                  <w:r>
                    <w:rPr>
                      <w:rFonts w:hint="default" w:ascii="Times New Roman" w:hAnsi="Times New Roman" w:cs="Times New Roman"/>
                      <w:color w:val="FF0000"/>
                      <w:szCs w:val="21"/>
                    </w:rPr>
                    <w:t>序号</w:t>
                  </w:r>
                </w:p>
              </w:tc>
              <w:tc>
                <w:tcPr>
                  <w:tcW w:w="740" w:type="pct"/>
                  <w:tcBorders>
                    <w:tl2br w:val="nil"/>
                    <w:tr2bl w:val="nil"/>
                  </w:tcBorders>
                  <w:vAlign w:val="center"/>
                </w:tcPr>
                <w:p w14:paraId="69D76CAA">
                  <w:pPr>
                    <w:pStyle w:val="18"/>
                    <w:spacing w:line="240" w:lineRule="auto"/>
                    <w:ind w:left="0" w:leftChars="0"/>
                    <w:jc w:val="center"/>
                    <w:rPr>
                      <w:rFonts w:hint="default" w:ascii="Times New Roman" w:hAnsi="Times New Roman" w:cs="Times New Roman"/>
                      <w:color w:val="FF0000"/>
                      <w:szCs w:val="21"/>
                    </w:rPr>
                  </w:pPr>
                  <w:r>
                    <w:rPr>
                      <w:rFonts w:hint="default" w:ascii="Times New Roman" w:hAnsi="Times New Roman" w:cs="Times New Roman"/>
                      <w:color w:val="FF0000"/>
                      <w:szCs w:val="21"/>
                    </w:rPr>
                    <w:t>排放口编号</w:t>
                  </w:r>
                </w:p>
              </w:tc>
              <w:tc>
                <w:tcPr>
                  <w:tcW w:w="917" w:type="pct"/>
                  <w:tcBorders>
                    <w:tl2br w:val="nil"/>
                    <w:tr2bl w:val="nil"/>
                  </w:tcBorders>
                  <w:vAlign w:val="center"/>
                </w:tcPr>
                <w:p w14:paraId="08709EE3">
                  <w:pPr>
                    <w:pStyle w:val="18"/>
                    <w:spacing w:line="240" w:lineRule="auto"/>
                    <w:ind w:left="0" w:leftChars="0"/>
                    <w:jc w:val="center"/>
                    <w:rPr>
                      <w:rFonts w:hint="default" w:ascii="Times New Roman" w:hAnsi="Times New Roman" w:cs="Times New Roman"/>
                      <w:color w:val="FF0000"/>
                      <w:szCs w:val="21"/>
                    </w:rPr>
                  </w:pPr>
                  <w:r>
                    <w:rPr>
                      <w:rFonts w:hint="default" w:ascii="Times New Roman" w:hAnsi="Times New Roman" w:cs="Times New Roman"/>
                      <w:color w:val="FF0000"/>
                      <w:szCs w:val="21"/>
                    </w:rPr>
                    <w:t>污染物</w:t>
                  </w:r>
                </w:p>
              </w:tc>
              <w:tc>
                <w:tcPr>
                  <w:tcW w:w="901" w:type="pct"/>
                  <w:tcBorders>
                    <w:tl2br w:val="nil"/>
                    <w:tr2bl w:val="nil"/>
                  </w:tcBorders>
                  <w:vAlign w:val="center"/>
                </w:tcPr>
                <w:p w14:paraId="638C17DF">
                  <w:pPr>
                    <w:tabs>
                      <w:tab w:val="left" w:pos="4425"/>
                    </w:tabs>
                    <w:jc w:val="center"/>
                    <w:rPr>
                      <w:rFonts w:hint="default" w:ascii="Times New Roman" w:hAnsi="Times New Roman" w:cs="Times New Roman"/>
                      <w:color w:val="FF0000"/>
                      <w:szCs w:val="21"/>
                    </w:rPr>
                  </w:pPr>
                  <w:r>
                    <w:rPr>
                      <w:rFonts w:hint="default" w:ascii="Times New Roman" w:hAnsi="Times New Roman" w:cs="Times New Roman"/>
                      <w:color w:val="FF0000"/>
                      <w:szCs w:val="21"/>
                    </w:rPr>
                    <w:t>核算年排放量（t/a）</w:t>
                  </w:r>
                </w:p>
              </w:tc>
              <w:tc>
                <w:tcPr>
                  <w:tcW w:w="1053" w:type="pct"/>
                  <w:tcBorders>
                    <w:tl2br w:val="nil"/>
                    <w:tr2bl w:val="nil"/>
                  </w:tcBorders>
                  <w:vAlign w:val="center"/>
                </w:tcPr>
                <w:p w14:paraId="107CA2B4">
                  <w:pPr>
                    <w:pStyle w:val="18"/>
                    <w:spacing w:line="240" w:lineRule="auto"/>
                    <w:ind w:left="0" w:leftChars="0"/>
                    <w:jc w:val="center"/>
                    <w:rPr>
                      <w:rFonts w:hint="default" w:ascii="Times New Roman" w:hAnsi="Times New Roman" w:cs="Times New Roman"/>
                      <w:color w:val="FF0000"/>
                      <w:szCs w:val="21"/>
                    </w:rPr>
                  </w:pPr>
                  <w:r>
                    <w:rPr>
                      <w:rFonts w:hint="default" w:ascii="Times New Roman" w:hAnsi="Times New Roman" w:cs="Times New Roman"/>
                      <w:color w:val="FF0000"/>
                      <w:szCs w:val="21"/>
                    </w:rPr>
                    <w:t>核算排放浓度</w:t>
                  </w:r>
                </w:p>
                <w:p w14:paraId="187A7AF5">
                  <w:pPr>
                    <w:jc w:val="center"/>
                    <w:rPr>
                      <w:rFonts w:hint="default" w:ascii="Times New Roman" w:hAnsi="Times New Roman" w:cs="Times New Roman"/>
                      <w:color w:val="FF0000"/>
                      <w:szCs w:val="21"/>
                    </w:rPr>
                  </w:pPr>
                  <w:r>
                    <w:rPr>
                      <w:rFonts w:hint="default" w:ascii="Times New Roman" w:hAnsi="Times New Roman" w:cs="Times New Roman"/>
                      <w:color w:val="FF0000"/>
                      <w:szCs w:val="21"/>
                    </w:rPr>
                    <w:t>mg/m</w:t>
                  </w:r>
                  <w:r>
                    <w:rPr>
                      <w:rFonts w:hint="default" w:ascii="Times New Roman" w:hAnsi="Times New Roman" w:cs="Times New Roman"/>
                      <w:color w:val="FF0000"/>
                      <w:szCs w:val="21"/>
                      <w:vertAlign w:val="superscript"/>
                    </w:rPr>
                    <w:t>3</w:t>
                  </w:r>
                </w:p>
              </w:tc>
              <w:tc>
                <w:tcPr>
                  <w:tcW w:w="1011" w:type="pct"/>
                  <w:tcBorders>
                    <w:tl2br w:val="nil"/>
                    <w:tr2bl w:val="nil"/>
                  </w:tcBorders>
                  <w:vAlign w:val="center"/>
                </w:tcPr>
                <w:p w14:paraId="2DCBB8E2">
                  <w:pPr>
                    <w:pStyle w:val="18"/>
                    <w:spacing w:line="240" w:lineRule="auto"/>
                    <w:ind w:left="0" w:leftChars="0"/>
                    <w:jc w:val="center"/>
                    <w:rPr>
                      <w:rFonts w:hint="default" w:ascii="Times New Roman" w:hAnsi="Times New Roman" w:cs="Times New Roman"/>
                      <w:color w:val="FF0000"/>
                      <w:szCs w:val="21"/>
                    </w:rPr>
                  </w:pPr>
                  <w:r>
                    <w:rPr>
                      <w:rFonts w:hint="default" w:ascii="Times New Roman" w:hAnsi="Times New Roman" w:cs="Times New Roman"/>
                      <w:color w:val="FF0000"/>
                      <w:szCs w:val="21"/>
                    </w:rPr>
                    <w:t>核算排放速率</w:t>
                  </w:r>
                </w:p>
                <w:p w14:paraId="7B80928F">
                  <w:pPr>
                    <w:pStyle w:val="18"/>
                    <w:spacing w:line="240" w:lineRule="auto"/>
                    <w:ind w:left="0" w:leftChars="0"/>
                    <w:jc w:val="center"/>
                    <w:rPr>
                      <w:rFonts w:hint="default" w:ascii="Times New Roman" w:hAnsi="Times New Roman" w:cs="Times New Roman"/>
                      <w:color w:val="FF0000"/>
                      <w:szCs w:val="21"/>
                    </w:rPr>
                  </w:pPr>
                  <w:r>
                    <w:rPr>
                      <w:rFonts w:hint="default" w:ascii="Times New Roman" w:hAnsi="Times New Roman" w:cs="Times New Roman"/>
                      <w:color w:val="FF0000"/>
                      <w:szCs w:val="21"/>
                    </w:rPr>
                    <w:t>（kg/h）</w:t>
                  </w:r>
                </w:p>
              </w:tc>
            </w:tr>
            <w:tr w14:paraId="13392A47">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000" w:type="pct"/>
                  <w:gridSpan w:val="7"/>
                  <w:tcBorders>
                    <w:tl2br w:val="nil"/>
                    <w:tr2bl w:val="nil"/>
                  </w:tcBorders>
                  <w:vAlign w:val="center"/>
                </w:tcPr>
                <w:p w14:paraId="6579F858">
                  <w:pPr>
                    <w:widowControl/>
                    <w:jc w:val="center"/>
                    <w:rPr>
                      <w:rFonts w:hint="default" w:ascii="Times New Roman" w:hAnsi="Times New Roman" w:cs="Times New Roman"/>
                      <w:color w:val="FF0000"/>
                      <w:kern w:val="0"/>
                      <w:szCs w:val="21"/>
                      <w:lang w:bidi="ar"/>
                    </w:rPr>
                  </w:pPr>
                  <w:r>
                    <w:rPr>
                      <w:rFonts w:hint="default" w:ascii="Times New Roman" w:hAnsi="Times New Roman" w:cs="Times New Roman"/>
                      <w:color w:val="FF0000"/>
                      <w:kern w:val="0"/>
                      <w:szCs w:val="21"/>
                      <w:lang w:bidi="ar"/>
                    </w:rPr>
                    <w:t>一般排放口</w:t>
                  </w:r>
                </w:p>
              </w:tc>
            </w:tr>
            <w:tr w14:paraId="37410079">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70" w:type="pct"/>
                  <w:tcBorders>
                    <w:right w:val="single" w:color="000000" w:sz="4" w:space="0"/>
                    <w:tl2br w:val="nil"/>
                    <w:tr2bl w:val="nil"/>
                  </w:tcBorders>
                  <w:vAlign w:val="center"/>
                </w:tcPr>
                <w:p w14:paraId="1317A543">
                  <w:pPr>
                    <w:widowControl/>
                    <w:jc w:val="center"/>
                    <w:rPr>
                      <w:rFonts w:hint="default" w:ascii="Times New Roman" w:hAnsi="Times New Roman" w:cs="Times New Roman"/>
                      <w:color w:val="FF0000"/>
                      <w:kern w:val="0"/>
                      <w:szCs w:val="21"/>
                      <w:lang w:bidi="ar"/>
                    </w:rPr>
                  </w:pPr>
                  <w:r>
                    <w:rPr>
                      <w:rFonts w:hint="default" w:ascii="Times New Roman" w:hAnsi="Times New Roman" w:cs="Times New Roman"/>
                      <w:color w:val="FF0000"/>
                      <w:kern w:val="0"/>
                      <w:szCs w:val="21"/>
                      <w:lang w:bidi="ar"/>
                    </w:rPr>
                    <w:t>序号</w:t>
                  </w:r>
                </w:p>
              </w:tc>
              <w:tc>
                <w:tcPr>
                  <w:tcW w:w="746" w:type="pct"/>
                  <w:gridSpan w:val="2"/>
                  <w:tcBorders>
                    <w:left w:val="single" w:color="000000" w:sz="4" w:space="0"/>
                    <w:tl2br w:val="nil"/>
                    <w:tr2bl w:val="nil"/>
                  </w:tcBorders>
                  <w:vAlign w:val="center"/>
                </w:tcPr>
                <w:p w14:paraId="0D2BA90D">
                  <w:pPr>
                    <w:widowControl/>
                    <w:jc w:val="center"/>
                    <w:rPr>
                      <w:rFonts w:hint="default" w:ascii="Times New Roman" w:hAnsi="Times New Roman" w:cs="Times New Roman"/>
                      <w:color w:val="FF0000"/>
                      <w:kern w:val="0"/>
                      <w:szCs w:val="21"/>
                      <w:lang w:bidi="ar"/>
                    </w:rPr>
                  </w:pPr>
                  <w:r>
                    <w:rPr>
                      <w:rFonts w:hint="default" w:ascii="Times New Roman" w:hAnsi="Times New Roman" w:cs="Times New Roman"/>
                      <w:color w:val="FF0000"/>
                      <w:kern w:val="0"/>
                      <w:szCs w:val="21"/>
                      <w:lang w:bidi="ar"/>
                    </w:rPr>
                    <w:t>编号</w:t>
                  </w:r>
                </w:p>
              </w:tc>
              <w:tc>
                <w:tcPr>
                  <w:tcW w:w="917" w:type="pct"/>
                  <w:tcBorders>
                    <w:tl2br w:val="nil"/>
                    <w:tr2bl w:val="nil"/>
                  </w:tcBorders>
                  <w:vAlign w:val="center"/>
                </w:tcPr>
                <w:p w14:paraId="5F01038E">
                  <w:pPr>
                    <w:widowControl/>
                    <w:jc w:val="center"/>
                    <w:rPr>
                      <w:rFonts w:hint="default" w:ascii="Times New Roman" w:hAnsi="Times New Roman" w:cs="Times New Roman"/>
                      <w:color w:val="FF0000"/>
                      <w:kern w:val="0"/>
                      <w:szCs w:val="21"/>
                      <w:lang w:bidi="ar"/>
                    </w:rPr>
                  </w:pPr>
                  <w:r>
                    <w:rPr>
                      <w:rFonts w:hint="default" w:ascii="Times New Roman" w:hAnsi="Times New Roman" w:cs="Times New Roman"/>
                      <w:color w:val="FF0000"/>
                      <w:kern w:val="0"/>
                      <w:szCs w:val="21"/>
                      <w:lang w:bidi="ar"/>
                    </w:rPr>
                    <w:t>污染物</w:t>
                  </w:r>
                </w:p>
              </w:tc>
              <w:tc>
                <w:tcPr>
                  <w:tcW w:w="901" w:type="pct"/>
                  <w:tcBorders>
                    <w:tl2br w:val="nil"/>
                    <w:tr2bl w:val="nil"/>
                  </w:tcBorders>
                  <w:vAlign w:val="center"/>
                </w:tcPr>
                <w:p w14:paraId="44F24264">
                  <w:pPr>
                    <w:widowControl/>
                    <w:jc w:val="center"/>
                    <w:rPr>
                      <w:rFonts w:hint="default" w:ascii="Times New Roman" w:hAnsi="Times New Roman" w:cs="Times New Roman"/>
                      <w:color w:val="FF0000"/>
                      <w:kern w:val="0"/>
                      <w:szCs w:val="21"/>
                      <w:lang w:bidi="ar"/>
                    </w:rPr>
                  </w:pPr>
                  <w:r>
                    <w:rPr>
                      <w:rFonts w:hint="default" w:ascii="Times New Roman" w:hAnsi="Times New Roman" w:cs="Times New Roman"/>
                      <w:color w:val="FF0000"/>
                      <w:kern w:val="0"/>
                      <w:szCs w:val="21"/>
                      <w:lang w:bidi="ar"/>
                    </w:rPr>
                    <w:t>核算排放浓度</w:t>
                  </w:r>
                </w:p>
                <w:p w14:paraId="1CE9CE12">
                  <w:pPr>
                    <w:widowControl/>
                    <w:jc w:val="center"/>
                    <w:rPr>
                      <w:rFonts w:hint="default" w:ascii="Times New Roman" w:hAnsi="Times New Roman" w:cs="Times New Roman"/>
                      <w:color w:val="FF0000"/>
                      <w:kern w:val="0"/>
                      <w:szCs w:val="21"/>
                      <w:lang w:bidi="ar"/>
                    </w:rPr>
                  </w:pPr>
                  <w:r>
                    <w:rPr>
                      <w:rFonts w:hint="default" w:ascii="Times New Roman" w:hAnsi="Times New Roman" w:cs="Times New Roman"/>
                      <w:color w:val="FF0000"/>
                      <w:kern w:val="0"/>
                      <w:szCs w:val="21"/>
                      <w:lang w:bidi="ar"/>
                    </w:rPr>
                    <w:t>mg/m</w:t>
                  </w:r>
                  <w:r>
                    <w:rPr>
                      <w:rFonts w:hint="default" w:ascii="Times New Roman" w:hAnsi="Times New Roman" w:cs="Times New Roman"/>
                      <w:color w:val="FF0000"/>
                      <w:kern w:val="0"/>
                      <w:szCs w:val="21"/>
                      <w:vertAlign w:val="superscript"/>
                      <w:lang w:bidi="ar"/>
                    </w:rPr>
                    <w:t>3</w:t>
                  </w:r>
                </w:p>
              </w:tc>
              <w:tc>
                <w:tcPr>
                  <w:tcW w:w="1053" w:type="pct"/>
                  <w:tcBorders>
                    <w:tl2br w:val="nil"/>
                    <w:tr2bl w:val="nil"/>
                  </w:tcBorders>
                  <w:vAlign w:val="center"/>
                </w:tcPr>
                <w:p w14:paraId="509356EA">
                  <w:pPr>
                    <w:widowControl/>
                    <w:jc w:val="center"/>
                    <w:rPr>
                      <w:rFonts w:hint="default" w:ascii="Times New Roman" w:hAnsi="Times New Roman" w:cs="Times New Roman"/>
                      <w:color w:val="FF0000"/>
                      <w:kern w:val="0"/>
                      <w:szCs w:val="21"/>
                      <w:lang w:bidi="ar"/>
                    </w:rPr>
                  </w:pPr>
                  <w:r>
                    <w:rPr>
                      <w:rFonts w:hint="default" w:ascii="Times New Roman" w:hAnsi="Times New Roman" w:cs="Times New Roman"/>
                      <w:color w:val="FF0000"/>
                      <w:kern w:val="0"/>
                      <w:szCs w:val="21"/>
                      <w:lang w:bidi="ar"/>
                    </w:rPr>
                    <w:t>核算排放速率</w:t>
                  </w:r>
                </w:p>
                <w:p w14:paraId="3F7A28B3">
                  <w:pPr>
                    <w:widowControl/>
                    <w:jc w:val="center"/>
                    <w:rPr>
                      <w:rFonts w:hint="default" w:ascii="Times New Roman" w:hAnsi="Times New Roman" w:cs="Times New Roman"/>
                      <w:color w:val="FF0000"/>
                      <w:kern w:val="0"/>
                      <w:szCs w:val="21"/>
                      <w:lang w:bidi="ar"/>
                    </w:rPr>
                  </w:pPr>
                  <w:r>
                    <w:rPr>
                      <w:rFonts w:hint="default" w:ascii="Times New Roman" w:hAnsi="Times New Roman" w:cs="Times New Roman"/>
                      <w:color w:val="FF0000"/>
                      <w:kern w:val="0"/>
                      <w:szCs w:val="21"/>
                      <w:lang w:bidi="ar"/>
                    </w:rPr>
                    <w:t>（kg/h）</w:t>
                  </w:r>
                </w:p>
              </w:tc>
              <w:tc>
                <w:tcPr>
                  <w:tcW w:w="1011" w:type="pct"/>
                  <w:tcBorders>
                    <w:tl2br w:val="nil"/>
                    <w:tr2bl w:val="nil"/>
                  </w:tcBorders>
                  <w:vAlign w:val="center"/>
                </w:tcPr>
                <w:p w14:paraId="4C781EC3">
                  <w:pPr>
                    <w:widowControl/>
                    <w:jc w:val="center"/>
                    <w:rPr>
                      <w:rFonts w:hint="default" w:ascii="Times New Roman" w:hAnsi="Times New Roman" w:cs="Times New Roman"/>
                      <w:color w:val="FF0000"/>
                      <w:kern w:val="0"/>
                      <w:szCs w:val="21"/>
                      <w:lang w:bidi="ar"/>
                    </w:rPr>
                  </w:pPr>
                  <w:r>
                    <w:rPr>
                      <w:rFonts w:hint="default" w:ascii="Times New Roman" w:hAnsi="Times New Roman" w:cs="Times New Roman"/>
                      <w:color w:val="FF0000"/>
                      <w:kern w:val="0"/>
                      <w:szCs w:val="21"/>
                      <w:lang w:bidi="ar"/>
                    </w:rPr>
                    <w:t>核算年排放量（t/a）</w:t>
                  </w:r>
                </w:p>
              </w:tc>
            </w:tr>
            <w:tr w14:paraId="226085AF">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70" w:type="pct"/>
                  <w:tcBorders>
                    <w:right w:val="single" w:color="000000" w:sz="4" w:space="0"/>
                    <w:tl2br w:val="nil"/>
                    <w:tr2bl w:val="nil"/>
                  </w:tcBorders>
                  <w:vAlign w:val="center"/>
                </w:tcPr>
                <w:p w14:paraId="53BBEF6F">
                  <w:pPr>
                    <w:widowControl/>
                    <w:jc w:val="center"/>
                    <w:rPr>
                      <w:rFonts w:hint="default" w:ascii="Times New Roman" w:hAnsi="Times New Roman" w:cs="Times New Roman"/>
                      <w:color w:val="FF0000"/>
                      <w:kern w:val="0"/>
                      <w:szCs w:val="21"/>
                      <w:lang w:bidi="ar"/>
                    </w:rPr>
                  </w:pPr>
                  <w:r>
                    <w:rPr>
                      <w:rFonts w:hint="default" w:ascii="Times New Roman" w:hAnsi="Times New Roman" w:cs="Times New Roman"/>
                      <w:color w:val="FF0000"/>
                      <w:kern w:val="0"/>
                      <w:szCs w:val="21"/>
                      <w:lang w:bidi="ar"/>
                    </w:rPr>
                    <w:t>1</w:t>
                  </w:r>
                </w:p>
              </w:tc>
              <w:tc>
                <w:tcPr>
                  <w:tcW w:w="746" w:type="pct"/>
                  <w:gridSpan w:val="2"/>
                  <w:tcBorders>
                    <w:left w:val="single" w:color="000000" w:sz="4" w:space="0"/>
                    <w:tl2br w:val="nil"/>
                    <w:tr2bl w:val="nil"/>
                  </w:tcBorders>
                  <w:vAlign w:val="center"/>
                </w:tcPr>
                <w:p w14:paraId="6BDD481E">
                  <w:pPr>
                    <w:widowControl/>
                    <w:jc w:val="center"/>
                    <w:rPr>
                      <w:rFonts w:hint="default" w:ascii="Times New Roman" w:hAnsi="Times New Roman" w:cs="Times New Roman"/>
                      <w:color w:val="FF0000"/>
                      <w:kern w:val="0"/>
                      <w:szCs w:val="21"/>
                      <w:lang w:bidi="ar"/>
                    </w:rPr>
                  </w:pPr>
                  <w:r>
                    <w:rPr>
                      <w:rFonts w:hint="default" w:ascii="Times New Roman" w:hAnsi="Times New Roman" w:cs="Times New Roman"/>
                      <w:color w:val="FF0000"/>
                      <w:kern w:val="0"/>
                      <w:szCs w:val="21"/>
                      <w:lang w:bidi="ar"/>
                    </w:rPr>
                    <w:t>DA001</w:t>
                  </w:r>
                </w:p>
              </w:tc>
              <w:tc>
                <w:tcPr>
                  <w:tcW w:w="917" w:type="pct"/>
                  <w:tcBorders>
                    <w:tl2br w:val="nil"/>
                    <w:tr2bl w:val="nil"/>
                  </w:tcBorders>
                  <w:vAlign w:val="center"/>
                </w:tcPr>
                <w:p w14:paraId="23249C17">
                  <w:pPr>
                    <w:widowControl/>
                    <w:jc w:val="center"/>
                    <w:rPr>
                      <w:rFonts w:hint="default" w:ascii="Times New Roman" w:hAnsi="Times New Roman" w:cs="Times New Roman"/>
                      <w:color w:val="FF0000"/>
                      <w:kern w:val="0"/>
                      <w:szCs w:val="21"/>
                      <w:lang w:bidi="ar"/>
                    </w:rPr>
                  </w:pPr>
                  <w:r>
                    <w:rPr>
                      <w:rFonts w:hint="default" w:ascii="Times New Roman" w:hAnsi="Times New Roman" w:cs="Times New Roman"/>
                      <w:color w:val="FF0000"/>
                      <w:kern w:val="0"/>
                      <w:szCs w:val="21"/>
                      <w:lang w:bidi="ar"/>
                    </w:rPr>
                    <w:t>非甲烷总烃</w:t>
                  </w:r>
                </w:p>
              </w:tc>
              <w:tc>
                <w:tcPr>
                  <w:tcW w:w="901" w:type="pct"/>
                  <w:tcBorders>
                    <w:tl2br w:val="nil"/>
                    <w:tr2bl w:val="nil"/>
                  </w:tcBorders>
                  <w:vAlign w:val="center"/>
                </w:tcPr>
                <w:p w14:paraId="4E84D521">
                  <w:pPr>
                    <w:pStyle w:val="19"/>
                    <w:spacing w:after="0"/>
                    <w:ind w:left="0" w:leftChars="0" w:firstLine="0" w:firstLineChars="0"/>
                    <w:jc w:val="center"/>
                    <w:rPr>
                      <w:rFonts w:hint="default" w:ascii="Times New Roman" w:hAnsi="Times New Roman" w:eastAsia="宋体" w:cs="Times New Roman"/>
                      <w:color w:val="FF0000"/>
                      <w:kern w:val="0"/>
                      <w:szCs w:val="21"/>
                      <w:lang w:val="en-US" w:eastAsia="zh-CN" w:bidi="ar"/>
                    </w:rPr>
                  </w:pPr>
                  <w:r>
                    <w:rPr>
                      <w:rFonts w:hint="default" w:ascii="Times New Roman" w:hAnsi="Times New Roman" w:cs="Times New Roman"/>
                      <w:color w:val="FF0000"/>
                      <w:kern w:val="0"/>
                      <w:szCs w:val="21"/>
                      <w:lang w:val="en-US" w:eastAsia="zh-CN" w:bidi="ar"/>
                    </w:rPr>
                    <w:t>1.785</w:t>
                  </w:r>
                </w:p>
              </w:tc>
              <w:tc>
                <w:tcPr>
                  <w:tcW w:w="1053" w:type="pct"/>
                  <w:tcBorders>
                    <w:tl2br w:val="nil"/>
                    <w:tr2bl w:val="nil"/>
                  </w:tcBorders>
                  <w:vAlign w:val="center"/>
                </w:tcPr>
                <w:p w14:paraId="58F1245C">
                  <w:pPr>
                    <w:pStyle w:val="19"/>
                    <w:spacing w:after="0"/>
                    <w:ind w:left="0" w:leftChars="0" w:firstLine="0" w:firstLineChars="0"/>
                    <w:jc w:val="center"/>
                    <w:rPr>
                      <w:rFonts w:hint="default" w:ascii="Times New Roman" w:hAnsi="Times New Roman" w:eastAsia="宋体" w:cs="Times New Roman"/>
                      <w:color w:val="FF0000"/>
                      <w:lang w:val="en-US" w:eastAsia="zh-CN"/>
                    </w:rPr>
                  </w:pPr>
                  <w:r>
                    <w:rPr>
                      <w:rFonts w:hint="default" w:ascii="Times New Roman" w:hAnsi="Times New Roman" w:cs="Times New Roman"/>
                      <w:color w:val="FF0000"/>
                    </w:rPr>
                    <w:t>0.0</w:t>
                  </w:r>
                  <w:r>
                    <w:rPr>
                      <w:rFonts w:hint="default" w:ascii="Times New Roman" w:hAnsi="Times New Roman" w:cs="Times New Roman"/>
                      <w:color w:val="FF0000"/>
                      <w:lang w:val="en-US" w:eastAsia="zh-CN"/>
                    </w:rPr>
                    <w:t>231</w:t>
                  </w:r>
                </w:p>
              </w:tc>
              <w:tc>
                <w:tcPr>
                  <w:tcW w:w="1011" w:type="pct"/>
                  <w:tcBorders>
                    <w:tl2br w:val="nil"/>
                    <w:tr2bl w:val="nil"/>
                  </w:tcBorders>
                  <w:vAlign w:val="center"/>
                </w:tcPr>
                <w:p w14:paraId="360CC14D">
                  <w:pPr>
                    <w:widowControl/>
                    <w:jc w:val="center"/>
                    <w:rPr>
                      <w:rFonts w:hint="default" w:ascii="Times New Roman" w:hAnsi="Times New Roman" w:eastAsia="宋体" w:cs="Times New Roman"/>
                      <w:color w:val="FF0000"/>
                      <w:lang w:val="en-US" w:eastAsia="zh-CN"/>
                    </w:rPr>
                  </w:pPr>
                  <w:r>
                    <w:rPr>
                      <w:rFonts w:hint="default" w:ascii="Times New Roman" w:hAnsi="Times New Roman" w:cs="Times New Roman"/>
                      <w:color w:val="FF0000"/>
                      <w:kern w:val="0"/>
                      <w:szCs w:val="21"/>
                      <w:lang w:val="en-US" w:eastAsia="zh-CN" w:bidi="ar"/>
                    </w:rPr>
                    <w:t>0.0293</w:t>
                  </w:r>
                </w:p>
              </w:tc>
            </w:tr>
            <w:tr w14:paraId="47D78535">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70" w:type="pct"/>
                  <w:tcBorders>
                    <w:right w:val="single" w:color="000000" w:sz="4" w:space="0"/>
                    <w:tl2br w:val="nil"/>
                    <w:tr2bl w:val="nil"/>
                  </w:tcBorders>
                  <w:vAlign w:val="center"/>
                </w:tcPr>
                <w:p w14:paraId="6BF554D3">
                  <w:pPr>
                    <w:widowControl/>
                    <w:jc w:val="center"/>
                    <w:rPr>
                      <w:rFonts w:hint="default" w:ascii="Times New Roman" w:hAnsi="Times New Roman" w:cs="Times New Roman"/>
                      <w:color w:val="FF0000"/>
                      <w:kern w:val="0"/>
                      <w:szCs w:val="21"/>
                      <w:lang w:bidi="ar"/>
                    </w:rPr>
                  </w:pPr>
                  <w:r>
                    <w:rPr>
                      <w:rFonts w:hint="default" w:ascii="Times New Roman" w:hAnsi="Times New Roman" w:cs="Times New Roman"/>
                      <w:color w:val="FF0000"/>
                      <w:kern w:val="0"/>
                      <w:szCs w:val="21"/>
                      <w:lang w:bidi="ar"/>
                    </w:rPr>
                    <w:t>2</w:t>
                  </w:r>
                </w:p>
              </w:tc>
              <w:tc>
                <w:tcPr>
                  <w:tcW w:w="746" w:type="pct"/>
                  <w:gridSpan w:val="2"/>
                  <w:tcBorders>
                    <w:left w:val="single" w:color="000000" w:sz="4" w:space="0"/>
                    <w:tl2br w:val="nil"/>
                    <w:tr2bl w:val="nil"/>
                  </w:tcBorders>
                  <w:vAlign w:val="center"/>
                </w:tcPr>
                <w:p w14:paraId="3DC42314">
                  <w:pPr>
                    <w:widowControl/>
                    <w:jc w:val="center"/>
                    <w:rPr>
                      <w:rFonts w:hint="default" w:ascii="Times New Roman" w:hAnsi="Times New Roman" w:cs="Times New Roman"/>
                      <w:color w:val="FF0000"/>
                      <w:kern w:val="0"/>
                      <w:szCs w:val="21"/>
                      <w:lang w:bidi="ar"/>
                    </w:rPr>
                  </w:pPr>
                  <w:r>
                    <w:rPr>
                      <w:rFonts w:hint="default" w:ascii="Times New Roman" w:hAnsi="Times New Roman" w:cs="Times New Roman"/>
                      <w:color w:val="FF0000"/>
                      <w:kern w:val="0"/>
                      <w:szCs w:val="21"/>
                      <w:lang w:bidi="ar"/>
                    </w:rPr>
                    <w:t>DA002</w:t>
                  </w:r>
                </w:p>
              </w:tc>
              <w:tc>
                <w:tcPr>
                  <w:tcW w:w="917" w:type="pct"/>
                  <w:tcBorders>
                    <w:tl2br w:val="nil"/>
                    <w:tr2bl w:val="nil"/>
                  </w:tcBorders>
                  <w:vAlign w:val="center"/>
                </w:tcPr>
                <w:p w14:paraId="28829CFE">
                  <w:pPr>
                    <w:widowControl/>
                    <w:jc w:val="center"/>
                    <w:rPr>
                      <w:rFonts w:hint="default" w:ascii="Times New Roman" w:hAnsi="Times New Roman" w:cs="Times New Roman"/>
                      <w:color w:val="FF0000"/>
                      <w:kern w:val="0"/>
                      <w:szCs w:val="21"/>
                      <w:lang w:bidi="ar"/>
                    </w:rPr>
                  </w:pPr>
                  <w:r>
                    <w:rPr>
                      <w:rFonts w:hint="default" w:ascii="Times New Roman" w:hAnsi="Times New Roman" w:cs="Times New Roman"/>
                      <w:color w:val="FF0000"/>
                      <w:kern w:val="0"/>
                      <w:szCs w:val="21"/>
                      <w:lang w:bidi="ar"/>
                    </w:rPr>
                    <w:t>颗粒物</w:t>
                  </w:r>
                </w:p>
              </w:tc>
              <w:tc>
                <w:tcPr>
                  <w:tcW w:w="901" w:type="pct"/>
                  <w:tcBorders>
                    <w:tl2br w:val="nil"/>
                    <w:tr2bl w:val="nil"/>
                  </w:tcBorders>
                  <w:shd w:val="clear" w:color="auto" w:fill="auto"/>
                  <w:vAlign w:val="center"/>
                </w:tcPr>
                <w:p w14:paraId="35CD973D">
                  <w:pPr>
                    <w:widowControl/>
                    <w:jc w:val="center"/>
                    <w:textAlignment w:val="center"/>
                    <w:rPr>
                      <w:rFonts w:hint="default" w:ascii="Times New Roman" w:hAnsi="Times New Roman" w:eastAsia="宋体" w:cs="Times New Roman"/>
                      <w:color w:val="FF0000"/>
                      <w:kern w:val="0"/>
                      <w:sz w:val="21"/>
                      <w:szCs w:val="21"/>
                      <w:lang w:val="en-US" w:eastAsia="zh-CN" w:bidi="ar"/>
                    </w:rPr>
                  </w:pPr>
                  <w:r>
                    <w:rPr>
                      <w:rFonts w:hint="default" w:ascii="Times New Roman" w:hAnsi="Times New Roman" w:cs="Times New Roman"/>
                      <w:color w:val="FF0000"/>
                      <w:kern w:val="0"/>
                      <w:szCs w:val="21"/>
                      <w:lang w:eastAsia="zh-CN" w:bidi="ar"/>
                    </w:rPr>
                    <w:t>1.026</w:t>
                  </w:r>
                </w:p>
              </w:tc>
              <w:tc>
                <w:tcPr>
                  <w:tcW w:w="1053" w:type="pct"/>
                  <w:tcBorders>
                    <w:tl2br w:val="nil"/>
                    <w:tr2bl w:val="nil"/>
                  </w:tcBorders>
                  <w:shd w:val="clear" w:color="auto" w:fill="auto"/>
                  <w:vAlign w:val="center"/>
                </w:tcPr>
                <w:p w14:paraId="2B2FC645">
                  <w:pPr>
                    <w:widowControl/>
                    <w:jc w:val="center"/>
                    <w:textAlignment w:val="center"/>
                    <w:rPr>
                      <w:rFonts w:hint="default" w:ascii="Times New Roman" w:hAnsi="Times New Roman" w:eastAsia="宋体" w:cs="Times New Roman"/>
                      <w:color w:val="FF0000"/>
                      <w:kern w:val="0"/>
                      <w:sz w:val="21"/>
                      <w:szCs w:val="21"/>
                      <w:lang w:val="en-US" w:eastAsia="zh-CN" w:bidi="ar"/>
                    </w:rPr>
                  </w:pPr>
                  <w:r>
                    <w:rPr>
                      <w:rFonts w:hint="default" w:ascii="Times New Roman" w:hAnsi="Times New Roman" w:cs="Times New Roman"/>
                      <w:color w:val="FF0000"/>
                      <w:kern w:val="0"/>
                      <w:szCs w:val="21"/>
                      <w:lang w:eastAsia="en-US" w:bidi="ar"/>
                    </w:rPr>
                    <w:t>0.0</w:t>
                  </w:r>
                  <w:r>
                    <w:rPr>
                      <w:rFonts w:hint="default" w:ascii="Times New Roman" w:hAnsi="Times New Roman" w:cs="Times New Roman"/>
                      <w:color w:val="FF0000"/>
                      <w:kern w:val="0"/>
                      <w:szCs w:val="21"/>
                      <w:lang w:val="en-US" w:eastAsia="zh-CN" w:bidi="ar"/>
                    </w:rPr>
                    <w:t>77</w:t>
                  </w:r>
                </w:p>
              </w:tc>
              <w:tc>
                <w:tcPr>
                  <w:tcW w:w="1011" w:type="pct"/>
                  <w:tcBorders>
                    <w:tl2br w:val="nil"/>
                    <w:tr2bl w:val="nil"/>
                  </w:tcBorders>
                  <w:shd w:val="clear" w:color="auto" w:fill="auto"/>
                  <w:vAlign w:val="center"/>
                </w:tcPr>
                <w:p w14:paraId="62D60700">
                  <w:pPr>
                    <w:widowControl/>
                    <w:jc w:val="center"/>
                    <w:textAlignment w:val="center"/>
                    <w:rPr>
                      <w:rFonts w:hint="default" w:ascii="Times New Roman" w:hAnsi="Times New Roman" w:eastAsia="宋体" w:cs="Times New Roman"/>
                      <w:color w:val="FF0000"/>
                      <w:kern w:val="0"/>
                      <w:sz w:val="21"/>
                      <w:szCs w:val="21"/>
                      <w:lang w:val="en-US" w:eastAsia="zh-CN" w:bidi="ar"/>
                    </w:rPr>
                  </w:pPr>
                  <w:r>
                    <w:rPr>
                      <w:rFonts w:hint="default" w:ascii="Times New Roman" w:hAnsi="Times New Roman" w:cs="Times New Roman"/>
                      <w:color w:val="FF0000"/>
                      <w:kern w:val="0"/>
                      <w:szCs w:val="21"/>
                      <w:lang w:eastAsia="zh-CN" w:bidi="ar"/>
                    </w:rPr>
                    <w:t>0.186</w:t>
                  </w:r>
                </w:p>
              </w:tc>
            </w:tr>
            <w:tr w14:paraId="6CAF0021">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16" w:type="pct"/>
                  <w:gridSpan w:val="3"/>
                  <w:vMerge w:val="restart"/>
                  <w:tcBorders>
                    <w:tl2br w:val="nil"/>
                    <w:tr2bl w:val="nil"/>
                  </w:tcBorders>
                  <w:vAlign w:val="center"/>
                </w:tcPr>
                <w:p w14:paraId="0E19604E">
                  <w:pPr>
                    <w:widowControl/>
                    <w:jc w:val="center"/>
                    <w:rPr>
                      <w:rFonts w:hint="default" w:ascii="Times New Roman" w:hAnsi="Times New Roman" w:cs="Times New Roman"/>
                      <w:color w:val="FF0000"/>
                      <w:kern w:val="0"/>
                      <w:szCs w:val="21"/>
                      <w:lang w:bidi="ar"/>
                    </w:rPr>
                  </w:pPr>
                  <w:r>
                    <w:rPr>
                      <w:rFonts w:hint="default" w:ascii="Times New Roman" w:hAnsi="Times New Roman" w:cs="Times New Roman"/>
                      <w:color w:val="FF0000"/>
                      <w:kern w:val="0"/>
                      <w:szCs w:val="21"/>
                      <w:lang w:bidi="ar"/>
                    </w:rPr>
                    <w:t>一般排放口合计</w:t>
                  </w:r>
                </w:p>
              </w:tc>
              <w:tc>
                <w:tcPr>
                  <w:tcW w:w="917" w:type="pct"/>
                  <w:tcBorders>
                    <w:tl2br w:val="nil"/>
                    <w:tr2bl w:val="nil"/>
                  </w:tcBorders>
                  <w:vAlign w:val="center"/>
                </w:tcPr>
                <w:p w14:paraId="7E904708">
                  <w:pPr>
                    <w:widowControl/>
                    <w:jc w:val="center"/>
                    <w:rPr>
                      <w:rFonts w:hint="default" w:ascii="Times New Roman" w:hAnsi="Times New Roman" w:cs="Times New Roman"/>
                      <w:color w:val="FF0000"/>
                      <w:kern w:val="0"/>
                      <w:szCs w:val="21"/>
                      <w:lang w:bidi="ar"/>
                    </w:rPr>
                  </w:pPr>
                  <w:r>
                    <w:rPr>
                      <w:rFonts w:hint="default" w:ascii="Times New Roman" w:hAnsi="Times New Roman" w:cs="Times New Roman"/>
                      <w:color w:val="FF0000"/>
                      <w:kern w:val="0"/>
                      <w:szCs w:val="21"/>
                      <w:lang w:bidi="ar"/>
                    </w:rPr>
                    <w:t>颗粒物</w:t>
                  </w:r>
                </w:p>
              </w:tc>
              <w:tc>
                <w:tcPr>
                  <w:tcW w:w="1528" w:type="dxa"/>
                  <w:tcBorders>
                    <w:tl2br w:val="nil"/>
                    <w:tr2bl w:val="nil"/>
                  </w:tcBorders>
                  <w:shd w:val="clear" w:color="auto" w:fill="auto"/>
                  <w:vAlign w:val="center"/>
                </w:tcPr>
                <w:p w14:paraId="0001EEAD">
                  <w:pPr>
                    <w:widowControl/>
                    <w:jc w:val="center"/>
                    <w:textAlignment w:val="center"/>
                    <w:rPr>
                      <w:rFonts w:hint="default" w:ascii="Times New Roman" w:hAnsi="Times New Roman" w:eastAsia="宋体" w:cs="Times New Roman"/>
                      <w:color w:val="FF0000"/>
                      <w:kern w:val="0"/>
                      <w:szCs w:val="21"/>
                      <w:lang w:eastAsia="zh-CN" w:bidi="ar"/>
                    </w:rPr>
                  </w:pPr>
                  <w:r>
                    <w:rPr>
                      <w:rFonts w:hint="default" w:ascii="Times New Roman" w:hAnsi="Times New Roman" w:cs="Times New Roman"/>
                      <w:color w:val="FF0000"/>
                      <w:kern w:val="0"/>
                      <w:szCs w:val="21"/>
                      <w:lang w:eastAsia="zh-CN" w:bidi="ar"/>
                    </w:rPr>
                    <w:t>1.026</w:t>
                  </w:r>
                </w:p>
              </w:tc>
              <w:tc>
                <w:tcPr>
                  <w:tcW w:w="1784" w:type="dxa"/>
                  <w:tcBorders>
                    <w:tl2br w:val="nil"/>
                    <w:tr2bl w:val="nil"/>
                  </w:tcBorders>
                  <w:shd w:val="clear" w:color="auto" w:fill="auto"/>
                  <w:vAlign w:val="center"/>
                </w:tcPr>
                <w:p w14:paraId="652E248F">
                  <w:pPr>
                    <w:widowControl/>
                    <w:jc w:val="center"/>
                    <w:textAlignment w:val="center"/>
                    <w:rPr>
                      <w:rFonts w:hint="default" w:ascii="Times New Roman" w:hAnsi="Times New Roman" w:cs="Times New Roman"/>
                      <w:color w:val="FF0000"/>
                      <w:kern w:val="0"/>
                      <w:szCs w:val="21"/>
                      <w:lang w:bidi="ar"/>
                    </w:rPr>
                  </w:pPr>
                  <w:r>
                    <w:rPr>
                      <w:rFonts w:hint="default" w:ascii="Times New Roman" w:hAnsi="Times New Roman" w:cs="Times New Roman"/>
                      <w:color w:val="FF0000"/>
                      <w:kern w:val="0"/>
                      <w:szCs w:val="21"/>
                      <w:lang w:eastAsia="en-US" w:bidi="ar"/>
                    </w:rPr>
                    <w:t>0.0</w:t>
                  </w:r>
                  <w:r>
                    <w:rPr>
                      <w:rFonts w:hint="default" w:ascii="Times New Roman" w:hAnsi="Times New Roman" w:cs="Times New Roman"/>
                      <w:color w:val="FF0000"/>
                      <w:kern w:val="0"/>
                      <w:szCs w:val="21"/>
                      <w:lang w:val="en-US" w:eastAsia="zh-CN" w:bidi="ar"/>
                    </w:rPr>
                    <w:t>77</w:t>
                  </w:r>
                </w:p>
              </w:tc>
              <w:tc>
                <w:tcPr>
                  <w:tcW w:w="1713" w:type="dxa"/>
                  <w:tcBorders>
                    <w:tl2br w:val="nil"/>
                    <w:tr2bl w:val="nil"/>
                  </w:tcBorders>
                  <w:shd w:val="clear" w:color="auto" w:fill="auto"/>
                  <w:vAlign w:val="center"/>
                </w:tcPr>
                <w:p w14:paraId="363D6741">
                  <w:pPr>
                    <w:widowControl/>
                    <w:jc w:val="center"/>
                    <w:textAlignment w:val="center"/>
                    <w:rPr>
                      <w:rFonts w:hint="default" w:ascii="Times New Roman" w:hAnsi="Times New Roman" w:eastAsia="宋体" w:cs="Times New Roman"/>
                      <w:color w:val="FF0000"/>
                      <w:kern w:val="0"/>
                      <w:szCs w:val="21"/>
                      <w:lang w:eastAsia="zh-CN" w:bidi="ar"/>
                    </w:rPr>
                  </w:pPr>
                  <w:r>
                    <w:rPr>
                      <w:rFonts w:hint="default" w:ascii="Times New Roman" w:hAnsi="Times New Roman" w:cs="Times New Roman"/>
                      <w:color w:val="FF0000"/>
                      <w:kern w:val="0"/>
                      <w:szCs w:val="21"/>
                      <w:lang w:eastAsia="zh-CN" w:bidi="ar"/>
                    </w:rPr>
                    <w:t>0.186</w:t>
                  </w:r>
                </w:p>
              </w:tc>
            </w:tr>
            <w:tr w14:paraId="504A1827">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16" w:type="pct"/>
                  <w:gridSpan w:val="3"/>
                  <w:vMerge w:val="continue"/>
                  <w:tcBorders>
                    <w:tl2br w:val="nil"/>
                    <w:tr2bl w:val="nil"/>
                  </w:tcBorders>
                  <w:vAlign w:val="center"/>
                </w:tcPr>
                <w:p w14:paraId="10A4D1D3">
                  <w:pPr>
                    <w:widowControl/>
                    <w:jc w:val="center"/>
                    <w:rPr>
                      <w:rFonts w:hint="default" w:ascii="Times New Roman" w:hAnsi="Times New Roman" w:cs="Times New Roman"/>
                      <w:color w:val="FF0000"/>
                      <w:kern w:val="0"/>
                      <w:szCs w:val="21"/>
                      <w:lang w:bidi="ar"/>
                    </w:rPr>
                  </w:pPr>
                </w:p>
              </w:tc>
              <w:tc>
                <w:tcPr>
                  <w:tcW w:w="917" w:type="pct"/>
                  <w:tcBorders>
                    <w:tl2br w:val="nil"/>
                    <w:tr2bl w:val="nil"/>
                  </w:tcBorders>
                  <w:vAlign w:val="center"/>
                </w:tcPr>
                <w:p w14:paraId="1E124B6B">
                  <w:pPr>
                    <w:widowControl/>
                    <w:jc w:val="center"/>
                    <w:rPr>
                      <w:rFonts w:hint="default" w:ascii="Times New Roman" w:hAnsi="Times New Roman" w:cs="Times New Roman"/>
                      <w:color w:val="FF0000"/>
                      <w:kern w:val="0"/>
                      <w:szCs w:val="21"/>
                      <w:lang w:bidi="ar"/>
                    </w:rPr>
                  </w:pPr>
                  <w:r>
                    <w:rPr>
                      <w:rFonts w:hint="default" w:ascii="Times New Roman" w:hAnsi="Times New Roman" w:cs="Times New Roman"/>
                      <w:color w:val="FF0000"/>
                      <w:kern w:val="0"/>
                      <w:szCs w:val="21"/>
                      <w:lang w:bidi="ar"/>
                    </w:rPr>
                    <w:t>非甲烷总烃</w:t>
                  </w:r>
                </w:p>
              </w:tc>
              <w:tc>
                <w:tcPr>
                  <w:tcW w:w="1528" w:type="dxa"/>
                  <w:tcBorders>
                    <w:tl2br w:val="nil"/>
                    <w:tr2bl w:val="nil"/>
                  </w:tcBorders>
                  <w:vAlign w:val="center"/>
                </w:tcPr>
                <w:p w14:paraId="3EE41173">
                  <w:pPr>
                    <w:pStyle w:val="19"/>
                    <w:spacing w:after="0"/>
                    <w:ind w:left="0" w:leftChars="0" w:firstLine="0" w:firstLineChars="0"/>
                    <w:jc w:val="center"/>
                    <w:rPr>
                      <w:rFonts w:hint="default" w:ascii="Times New Roman" w:hAnsi="Times New Roman" w:cs="Times New Roman"/>
                      <w:color w:val="FF0000"/>
                      <w:kern w:val="0"/>
                      <w:szCs w:val="21"/>
                      <w:lang w:bidi="ar"/>
                    </w:rPr>
                  </w:pPr>
                  <w:r>
                    <w:rPr>
                      <w:rFonts w:hint="default" w:ascii="Times New Roman" w:hAnsi="Times New Roman" w:cs="Times New Roman"/>
                      <w:color w:val="FF0000"/>
                      <w:kern w:val="0"/>
                      <w:szCs w:val="21"/>
                      <w:lang w:val="en-US" w:eastAsia="zh-CN" w:bidi="ar"/>
                    </w:rPr>
                    <w:t>1.785</w:t>
                  </w:r>
                </w:p>
              </w:tc>
              <w:tc>
                <w:tcPr>
                  <w:tcW w:w="1784" w:type="dxa"/>
                  <w:tcBorders>
                    <w:tl2br w:val="nil"/>
                    <w:tr2bl w:val="nil"/>
                  </w:tcBorders>
                  <w:vAlign w:val="center"/>
                </w:tcPr>
                <w:p w14:paraId="4E7E50DA">
                  <w:pPr>
                    <w:pStyle w:val="19"/>
                    <w:spacing w:after="0"/>
                    <w:ind w:left="0" w:leftChars="0" w:firstLine="0" w:firstLineChars="0"/>
                    <w:jc w:val="center"/>
                    <w:rPr>
                      <w:rFonts w:hint="default" w:ascii="Times New Roman" w:hAnsi="Times New Roman" w:cs="Times New Roman"/>
                      <w:color w:val="FF0000"/>
                      <w:kern w:val="0"/>
                      <w:szCs w:val="21"/>
                      <w:lang w:bidi="ar"/>
                    </w:rPr>
                  </w:pPr>
                  <w:r>
                    <w:rPr>
                      <w:rFonts w:hint="default" w:ascii="Times New Roman" w:hAnsi="Times New Roman" w:cs="Times New Roman"/>
                      <w:color w:val="FF0000"/>
                    </w:rPr>
                    <w:t>0.0</w:t>
                  </w:r>
                  <w:r>
                    <w:rPr>
                      <w:rFonts w:hint="default" w:ascii="Times New Roman" w:hAnsi="Times New Roman" w:cs="Times New Roman"/>
                      <w:color w:val="FF0000"/>
                      <w:lang w:val="en-US" w:eastAsia="zh-CN"/>
                    </w:rPr>
                    <w:t>231</w:t>
                  </w:r>
                </w:p>
              </w:tc>
              <w:tc>
                <w:tcPr>
                  <w:tcW w:w="1713" w:type="dxa"/>
                  <w:tcBorders>
                    <w:tl2br w:val="nil"/>
                    <w:tr2bl w:val="nil"/>
                  </w:tcBorders>
                  <w:vAlign w:val="center"/>
                </w:tcPr>
                <w:p w14:paraId="5EF0A07F">
                  <w:pPr>
                    <w:widowControl/>
                    <w:jc w:val="center"/>
                    <w:rPr>
                      <w:rFonts w:hint="default" w:ascii="Times New Roman" w:hAnsi="Times New Roman" w:cs="Times New Roman"/>
                      <w:color w:val="FF0000"/>
                      <w:kern w:val="0"/>
                      <w:szCs w:val="21"/>
                      <w:lang w:bidi="ar"/>
                    </w:rPr>
                  </w:pPr>
                  <w:r>
                    <w:rPr>
                      <w:rFonts w:hint="default" w:ascii="Times New Roman" w:hAnsi="Times New Roman" w:cs="Times New Roman"/>
                      <w:color w:val="FF0000"/>
                      <w:kern w:val="0"/>
                      <w:szCs w:val="21"/>
                      <w:lang w:val="en-US" w:eastAsia="zh-CN" w:bidi="ar"/>
                    </w:rPr>
                    <w:t>0.0293</w:t>
                  </w:r>
                </w:p>
              </w:tc>
            </w:tr>
            <w:tr w14:paraId="60561BCC">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000" w:type="pct"/>
                  <w:gridSpan w:val="7"/>
                  <w:tcBorders>
                    <w:tl2br w:val="nil"/>
                    <w:tr2bl w:val="nil"/>
                  </w:tcBorders>
                  <w:vAlign w:val="center"/>
                </w:tcPr>
                <w:p w14:paraId="458D7F36">
                  <w:pPr>
                    <w:widowControl/>
                    <w:jc w:val="center"/>
                    <w:rPr>
                      <w:rFonts w:hint="default" w:ascii="Times New Roman" w:hAnsi="Times New Roman" w:cs="Times New Roman"/>
                      <w:color w:val="FF0000"/>
                      <w:kern w:val="0"/>
                      <w:szCs w:val="21"/>
                      <w:lang w:bidi="ar"/>
                    </w:rPr>
                  </w:pPr>
                  <w:r>
                    <w:rPr>
                      <w:rFonts w:hint="default" w:ascii="Times New Roman" w:hAnsi="Times New Roman" w:cs="Times New Roman"/>
                      <w:color w:val="FF0000"/>
                      <w:kern w:val="0"/>
                      <w:szCs w:val="21"/>
                      <w:lang w:bidi="ar"/>
                    </w:rPr>
                    <w:t>有组织排放总计</w:t>
                  </w:r>
                </w:p>
              </w:tc>
            </w:tr>
            <w:tr w14:paraId="33888761">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033" w:type="pct"/>
                  <w:gridSpan w:val="4"/>
                  <w:vMerge w:val="restart"/>
                  <w:tcBorders>
                    <w:tl2br w:val="nil"/>
                    <w:tr2bl w:val="nil"/>
                  </w:tcBorders>
                  <w:vAlign w:val="center"/>
                </w:tcPr>
                <w:p w14:paraId="62755180">
                  <w:pPr>
                    <w:widowControl/>
                    <w:jc w:val="center"/>
                    <w:rPr>
                      <w:rFonts w:hint="default" w:ascii="Times New Roman" w:hAnsi="Times New Roman" w:cs="Times New Roman"/>
                      <w:color w:val="FF0000"/>
                      <w:kern w:val="0"/>
                      <w:szCs w:val="21"/>
                      <w:lang w:bidi="ar"/>
                    </w:rPr>
                  </w:pPr>
                  <w:r>
                    <w:rPr>
                      <w:rFonts w:hint="default" w:ascii="Times New Roman" w:hAnsi="Times New Roman" w:cs="Times New Roman"/>
                      <w:color w:val="FF0000"/>
                      <w:kern w:val="0"/>
                      <w:szCs w:val="21"/>
                      <w:lang w:bidi="ar"/>
                    </w:rPr>
                    <w:t>有组织排放总计</w:t>
                  </w:r>
                </w:p>
              </w:tc>
              <w:tc>
                <w:tcPr>
                  <w:tcW w:w="1954" w:type="pct"/>
                  <w:gridSpan w:val="2"/>
                  <w:tcBorders>
                    <w:tl2br w:val="nil"/>
                    <w:tr2bl w:val="nil"/>
                  </w:tcBorders>
                  <w:vAlign w:val="center"/>
                </w:tcPr>
                <w:p w14:paraId="49C48706">
                  <w:pPr>
                    <w:widowControl/>
                    <w:jc w:val="center"/>
                    <w:rPr>
                      <w:rFonts w:hint="default" w:ascii="Times New Roman" w:hAnsi="Times New Roman" w:cs="Times New Roman"/>
                      <w:color w:val="FF0000"/>
                      <w:kern w:val="0"/>
                      <w:szCs w:val="21"/>
                      <w:lang w:bidi="ar"/>
                    </w:rPr>
                  </w:pPr>
                  <w:r>
                    <w:rPr>
                      <w:rFonts w:hint="default" w:ascii="Times New Roman" w:hAnsi="Times New Roman" w:cs="Times New Roman"/>
                      <w:color w:val="FF0000"/>
                      <w:kern w:val="0"/>
                      <w:szCs w:val="21"/>
                      <w:lang w:bidi="ar"/>
                    </w:rPr>
                    <w:t>颗粒物</w:t>
                  </w:r>
                </w:p>
              </w:tc>
              <w:tc>
                <w:tcPr>
                  <w:tcW w:w="1011" w:type="pct"/>
                  <w:tcBorders>
                    <w:tl2br w:val="nil"/>
                    <w:tr2bl w:val="nil"/>
                  </w:tcBorders>
                  <w:vAlign w:val="center"/>
                </w:tcPr>
                <w:p w14:paraId="137CBDC2">
                  <w:pPr>
                    <w:widowControl/>
                    <w:jc w:val="center"/>
                    <w:rPr>
                      <w:rFonts w:hint="default" w:ascii="Times New Roman" w:hAnsi="Times New Roman" w:eastAsia="宋体" w:cs="Times New Roman"/>
                      <w:color w:val="FF0000"/>
                      <w:kern w:val="0"/>
                      <w:szCs w:val="21"/>
                      <w:lang w:eastAsia="zh-CN" w:bidi="ar"/>
                    </w:rPr>
                  </w:pPr>
                  <w:r>
                    <w:rPr>
                      <w:rFonts w:hint="default" w:ascii="Times New Roman" w:hAnsi="Times New Roman" w:cs="Times New Roman"/>
                      <w:color w:val="FF0000"/>
                      <w:kern w:val="0"/>
                      <w:szCs w:val="21"/>
                      <w:lang w:eastAsia="zh-CN" w:bidi="ar"/>
                    </w:rPr>
                    <w:t>0.186</w:t>
                  </w:r>
                </w:p>
              </w:tc>
            </w:tr>
            <w:tr w14:paraId="40AD5258">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033" w:type="pct"/>
                  <w:gridSpan w:val="4"/>
                  <w:vMerge w:val="continue"/>
                  <w:tcBorders>
                    <w:tl2br w:val="nil"/>
                    <w:tr2bl w:val="nil"/>
                  </w:tcBorders>
                  <w:vAlign w:val="center"/>
                </w:tcPr>
                <w:p w14:paraId="17BE6E28">
                  <w:pPr>
                    <w:widowControl/>
                    <w:jc w:val="center"/>
                    <w:rPr>
                      <w:rFonts w:hint="default" w:ascii="Times New Roman" w:hAnsi="Times New Roman" w:cs="Times New Roman"/>
                      <w:color w:val="FF0000"/>
                      <w:kern w:val="0"/>
                      <w:szCs w:val="21"/>
                      <w:lang w:bidi="ar"/>
                    </w:rPr>
                  </w:pPr>
                </w:p>
              </w:tc>
              <w:tc>
                <w:tcPr>
                  <w:tcW w:w="1954" w:type="pct"/>
                  <w:gridSpan w:val="2"/>
                  <w:tcBorders>
                    <w:tl2br w:val="nil"/>
                    <w:tr2bl w:val="nil"/>
                  </w:tcBorders>
                  <w:vAlign w:val="center"/>
                </w:tcPr>
                <w:p w14:paraId="7F94A6CE">
                  <w:pPr>
                    <w:widowControl/>
                    <w:jc w:val="center"/>
                    <w:rPr>
                      <w:rFonts w:hint="default" w:ascii="Times New Roman" w:hAnsi="Times New Roman" w:cs="Times New Roman"/>
                      <w:color w:val="FF0000"/>
                      <w:kern w:val="0"/>
                      <w:szCs w:val="21"/>
                      <w:lang w:bidi="ar"/>
                    </w:rPr>
                  </w:pPr>
                  <w:r>
                    <w:rPr>
                      <w:rFonts w:hint="default" w:ascii="Times New Roman" w:hAnsi="Times New Roman" w:cs="Times New Roman"/>
                      <w:color w:val="FF0000"/>
                      <w:kern w:val="0"/>
                      <w:szCs w:val="21"/>
                      <w:lang w:bidi="ar"/>
                    </w:rPr>
                    <w:t>非甲烷总烃</w:t>
                  </w:r>
                </w:p>
              </w:tc>
              <w:tc>
                <w:tcPr>
                  <w:tcW w:w="1011" w:type="pct"/>
                  <w:tcBorders>
                    <w:tl2br w:val="nil"/>
                    <w:tr2bl w:val="nil"/>
                  </w:tcBorders>
                  <w:vAlign w:val="center"/>
                </w:tcPr>
                <w:p w14:paraId="04D02879">
                  <w:pPr>
                    <w:widowControl/>
                    <w:jc w:val="center"/>
                    <w:textAlignment w:val="center"/>
                    <w:rPr>
                      <w:rFonts w:hint="default" w:ascii="Times New Roman" w:hAnsi="Times New Roman" w:cs="Times New Roman"/>
                      <w:color w:val="FF0000"/>
                      <w:kern w:val="0"/>
                      <w:szCs w:val="21"/>
                      <w:lang w:bidi="ar"/>
                    </w:rPr>
                  </w:pPr>
                  <w:r>
                    <w:rPr>
                      <w:rFonts w:hint="default" w:ascii="Times New Roman" w:hAnsi="Times New Roman" w:cs="Times New Roman"/>
                      <w:color w:val="FF0000"/>
                      <w:kern w:val="0"/>
                      <w:szCs w:val="21"/>
                      <w:lang w:val="en-US" w:eastAsia="zh-CN" w:bidi="ar"/>
                    </w:rPr>
                    <w:t>0.0293</w:t>
                  </w:r>
                </w:p>
              </w:tc>
            </w:tr>
          </w:tbl>
          <w:p w14:paraId="543CD023">
            <w:pPr>
              <w:pStyle w:val="65"/>
              <w:spacing w:before="0" w:after="0" w:line="240" w:lineRule="auto"/>
              <w:ind w:right="0"/>
              <w:rPr>
                <w:rFonts w:hint="default" w:ascii="Times New Roman" w:hAnsi="Times New Roman" w:eastAsia="宋体" w:cs="Times New Roman"/>
                <w:b/>
                <w:bCs/>
                <w:color w:val="FF0000"/>
                <w:sz w:val="21"/>
                <w:szCs w:val="21"/>
              </w:rPr>
            </w:pPr>
            <w:r>
              <w:rPr>
                <w:rFonts w:hint="default" w:ascii="Times New Roman" w:hAnsi="Times New Roman" w:eastAsia="宋体" w:cs="Times New Roman"/>
                <w:b/>
                <w:bCs/>
                <w:color w:val="FF0000"/>
                <w:sz w:val="21"/>
                <w:szCs w:val="21"/>
              </w:rPr>
              <w:t>表4-</w:t>
            </w:r>
            <w:r>
              <w:rPr>
                <w:rFonts w:hint="eastAsia" w:ascii="Times New Roman" w:eastAsia="宋体" w:cs="Times New Roman"/>
                <w:b/>
                <w:bCs/>
                <w:color w:val="FF0000"/>
                <w:sz w:val="21"/>
                <w:szCs w:val="21"/>
                <w:lang w:val="en-US" w:eastAsia="zh-CN"/>
              </w:rPr>
              <w:t>10</w:t>
            </w:r>
            <w:r>
              <w:rPr>
                <w:rFonts w:hint="default" w:ascii="Times New Roman" w:hAnsi="Times New Roman" w:eastAsia="宋体" w:cs="Times New Roman"/>
                <w:b/>
                <w:bCs/>
                <w:color w:val="FF0000"/>
                <w:sz w:val="21"/>
                <w:szCs w:val="21"/>
              </w:rPr>
              <w:t xml:space="preserve">  大气污染物无组织排放量核算表</w:t>
            </w:r>
          </w:p>
          <w:tbl>
            <w:tblPr>
              <w:tblStyle w:val="34"/>
              <w:tblW w:w="4998" w:type="pct"/>
              <w:tblInd w:w="0" w:type="dxa"/>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24"/>
              <w:gridCol w:w="757"/>
              <w:gridCol w:w="935"/>
              <w:gridCol w:w="95"/>
              <w:gridCol w:w="840"/>
              <w:gridCol w:w="1211"/>
              <w:gridCol w:w="1952"/>
              <w:gridCol w:w="1206"/>
              <w:gridCol w:w="1051"/>
            </w:tblGrid>
            <w:tr w14:paraId="4531A584">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7" w:hRule="atLeast"/>
              </w:trPr>
              <w:tc>
                <w:tcPr>
                  <w:tcW w:w="250" w:type="pct"/>
                  <w:vMerge w:val="restart"/>
                  <w:tcBorders>
                    <w:tl2br w:val="nil"/>
                    <w:tr2bl w:val="nil"/>
                  </w:tcBorders>
                  <w:vAlign w:val="center"/>
                </w:tcPr>
                <w:p w14:paraId="3C09A435">
                  <w:pPr>
                    <w:jc w:val="center"/>
                    <w:rPr>
                      <w:rFonts w:hint="default" w:ascii="Times New Roman" w:hAnsi="Times New Roman" w:cs="Times New Roman"/>
                      <w:color w:val="FF0000"/>
                      <w:szCs w:val="21"/>
                    </w:rPr>
                  </w:pPr>
                  <w:r>
                    <w:rPr>
                      <w:rFonts w:hint="default" w:ascii="Times New Roman" w:hAnsi="Times New Roman" w:cs="Times New Roman"/>
                      <w:color w:val="FF0000"/>
                      <w:szCs w:val="21"/>
                    </w:rPr>
                    <w:t>序号</w:t>
                  </w:r>
                </w:p>
              </w:tc>
              <w:tc>
                <w:tcPr>
                  <w:tcW w:w="447" w:type="pct"/>
                  <w:vMerge w:val="restart"/>
                  <w:tcBorders>
                    <w:tl2br w:val="nil"/>
                    <w:tr2bl w:val="nil"/>
                  </w:tcBorders>
                  <w:vAlign w:val="center"/>
                </w:tcPr>
                <w:p w14:paraId="58ED68C2">
                  <w:pPr>
                    <w:jc w:val="center"/>
                    <w:rPr>
                      <w:rFonts w:hint="default" w:ascii="Times New Roman" w:hAnsi="Times New Roman" w:cs="Times New Roman"/>
                      <w:color w:val="FF0000"/>
                      <w:szCs w:val="21"/>
                    </w:rPr>
                  </w:pPr>
                  <w:r>
                    <w:rPr>
                      <w:rFonts w:hint="default" w:ascii="Times New Roman" w:hAnsi="Times New Roman" w:cs="Times New Roman"/>
                      <w:color w:val="FF0000"/>
                      <w:szCs w:val="21"/>
                    </w:rPr>
                    <w:t>排放口编号</w:t>
                  </w:r>
                </w:p>
              </w:tc>
              <w:tc>
                <w:tcPr>
                  <w:tcW w:w="608" w:type="pct"/>
                  <w:gridSpan w:val="2"/>
                  <w:vMerge w:val="restart"/>
                  <w:tcBorders>
                    <w:tl2br w:val="nil"/>
                    <w:tr2bl w:val="nil"/>
                  </w:tcBorders>
                  <w:vAlign w:val="center"/>
                </w:tcPr>
                <w:p w14:paraId="26D8BCB6">
                  <w:pPr>
                    <w:jc w:val="center"/>
                    <w:rPr>
                      <w:rFonts w:hint="default" w:ascii="Times New Roman" w:hAnsi="Times New Roman" w:cs="Times New Roman"/>
                      <w:color w:val="FF0000"/>
                      <w:szCs w:val="21"/>
                    </w:rPr>
                  </w:pPr>
                  <w:r>
                    <w:rPr>
                      <w:rFonts w:hint="default" w:ascii="Times New Roman" w:hAnsi="Times New Roman" w:cs="Times New Roman"/>
                      <w:color w:val="FF0000"/>
                      <w:szCs w:val="21"/>
                    </w:rPr>
                    <w:t>产污环节</w:t>
                  </w:r>
                </w:p>
              </w:tc>
              <w:tc>
                <w:tcPr>
                  <w:tcW w:w="496" w:type="pct"/>
                  <w:vMerge w:val="restart"/>
                  <w:tcBorders>
                    <w:tl2br w:val="nil"/>
                    <w:tr2bl w:val="nil"/>
                  </w:tcBorders>
                  <w:vAlign w:val="center"/>
                </w:tcPr>
                <w:p w14:paraId="63CC4A9C">
                  <w:pPr>
                    <w:jc w:val="center"/>
                    <w:rPr>
                      <w:rFonts w:hint="default" w:ascii="Times New Roman" w:hAnsi="Times New Roman" w:cs="Times New Roman"/>
                      <w:color w:val="FF0000"/>
                      <w:szCs w:val="21"/>
                    </w:rPr>
                  </w:pPr>
                  <w:r>
                    <w:rPr>
                      <w:rFonts w:hint="default" w:ascii="Times New Roman" w:hAnsi="Times New Roman" w:cs="Times New Roman"/>
                      <w:color w:val="FF0000"/>
                      <w:szCs w:val="21"/>
                    </w:rPr>
                    <w:t>污染物</w:t>
                  </w:r>
                </w:p>
              </w:tc>
              <w:tc>
                <w:tcPr>
                  <w:tcW w:w="713" w:type="pct"/>
                  <w:vMerge w:val="restart"/>
                  <w:tcBorders>
                    <w:tl2br w:val="nil"/>
                    <w:tr2bl w:val="nil"/>
                  </w:tcBorders>
                  <w:vAlign w:val="center"/>
                </w:tcPr>
                <w:p w14:paraId="2F57413A">
                  <w:pPr>
                    <w:jc w:val="center"/>
                    <w:rPr>
                      <w:rFonts w:hint="default" w:ascii="Times New Roman" w:hAnsi="Times New Roman" w:cs="Times New Roman"/>
                      <w:color w:val="FF0000"/>
                      <w:szCs w:val="21"/>
                    </w:rPr>
                  </w:pPr>
                  <w:r>
                    <w:rPr>
                      <w:rFonts w:hint="default" w:ascii="Times New Roman" w:hAnsi="Times New Roman" w:cs="Times New Roman"/>
                      <w:color w:val="FF0000"/>
                      <w:szCs w:val="21"/>
                    </w:rPr>
                    <w:t>主要防治措施</w:t>
                  </w:r>
                </w:p>
              </w:tc>
              <w:tc>
                <w:tcPr>
                  <w:tcW w:w="1864" w:type="pct"/>
                  <w:gridSpan w:val="2"/>
                  <w:tcBorders>
                    <w:tl2br w:val="nil"/>
                    <w:tr2bl w:val="nil"/>
                  </w:tcBorders>
                  <w:vAlign w:val="center"/>
                </w:tcPr>
                <w:p w14:paraId="416E1FE4">
                  <w:pPr>
                    <w:jc w:val="center"/>
                    <w:rPr>
                      <w:rFonts w:hint="default" w:ascii="Times New Roman" w:hAnsi="Times New Roman" w:cs="Times New Roman"/>
                      <w:color w:val="FF0000"/>
                      <w:szCs w:val="21"/>
                    </w:rPr>
                  </w:pPr>
                  <w:r>
                    <w:rPr>
                      <w:rFonts w:hint="default" w:ascii="Times New Roman" w:hAnsi="Times New Roman" w:cs="Times New Roman"/>
                      <w:color w:val="FF0000"/>
                      <w:szCs w:val="21"/>
                    </w:rPr>
                    <w:t>国家或地方污染物排放标准</w:t>
                  </w:r>
                </w:p>
              </w:tc>
              <w:tc>
                <w:tcPr>
                  <w:tcW w:w="619" w:type="pct"/>
                  <w:vMerge w:val="restart"/>
                  <w:tcBorders>
                    <w:tl2br w:val="nil"/>
                    <w:tr2bl w:val="nil"/>
                  </w:tcBorders>
                  <w:vAlign w:val="center"/>
                </w:tcPr>
                <w:p w14:paraId="38CA5528">
                  <w:pPr>
                    <w:jc w:val="center"/>
                    <w:rPr>
                      <w:rFonts w:hint="default" w:ascii="Times New Roman" w:hAnsi="Times New Roman" w:cs="Times New Roman"/>
                      <w:color w:val="FF0000"/>
                      <w:szCs w:val="21"/>
                    </w:rPr>
                  </w:pPr>
                  <w:r>
                    <w:rPr>
                      <w:rFonts w:hint="default" w:ascii="Times New Roman" w:hAnsi="Times New Roman" w:cs="Times New Roman"/>
                      <w:color w:val="FF0000"/>
                      <w:szCs w:val="21"/>
                    </w:rPr>
                    <w:t>年排放量（t/a）</w:t>
                  </w:r>
                </w:p>
              </w:tc>
            </w:tr>
            <w:tr w14:paraId="044775F4">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PrEx>
              <w:trPr>
                <w:trHeight w:val="540" w:hRule="atLeast"/>
              </w:trPr>
              <w:tc>
                <w:tcPr>
                  <w:tcW w:w="250" w:type="pct"/>
                  <w:vMerge w:val="continue"/>
                  <w:tcBorders>
                    <w:tl2br w:val="nil"/>
                    <w:tr2bl w:val="nil"/>
                  </w:tcBorders>
                  <w:vAlign w:val="center"/>
                </w:tcPr>
                <w:p w14:paraId="1CA78575">
                  <w:pPr>
                    <w:jc w:val="center"/>
                    <w:rPr>
                      <w:rFonts w:hint="default" w:ascii="Times New Roman" w:hAnsi="Times New Roman" w:cs="Times New Roman"/>
                      <w:color w:val="FF0000"/>
                      <w:szCs w:val="21"/>
                    </w:rPr>
                  </w:pPr>
                </w:p>
              </w:tc>
              <w:tc>
                <w:tcPr>
                  <w:tcW w:w="447" w:type="pct"/>
                  <w:vMerge w:val="continue"/>
                  <w:tcBorders>
                    <w:tl2br w:val="nil"/>
                    <w:tr2bl w:val="nil"/>
                  </w:tcBorders>
                  <w:vAlign w:val="center"/>
                </w:tcPr>
                <w:p w14:paraId="61B79E70">
                  <w:pPr>
                    <w:jc w:val="center"/>
                    <w:rPr>
                      <w:rFonts w:hint="default" w:ascii="Times New Roman" w:hAnsi="Times New Roman" w:cs="Times New Roman"/>
                      <w:color w:val="FF0000"/>
                      <w:szCs w:val="21"/>
                    </w:rPr>
                  </w:pPr>
                </w:p>
              </w:tc>
              <w:tc>
                <w:tcPr>
                  <w:tcW w:w="608" w:type="pct"/>
                  <w:gridSpan w:val="2"/>
                  <w:vMerge w:val="continue"/>
                  <w:tcBorders>
                    <w:tl2br w:val="nil"/>
                    <w:tr2bl w:val="nil"/>
                  </w:tcBorders>
                  <w:vAlign w:val="center"/>
                </w:tcPr>
                <w:p w14:paraId="5C460CB9">
                  <w:pPr>
                    <w:jc w:val="center"/>
                    <w:rPr>
                      <w:rFonts w:hint="default" w:ascii="Times New Roman" w:hAnsi="Times New Roman" w:cs="Times New Roman"/>
                      <w:color w:val="FF0000"/>
                      <w:szCs w:val="21"/>
                    </w:rPr>
                  </w:pPr>
                </w:p>
              </w:tc>
              <w:tc>
                <w:tcPr>
                  <w:tcW w:w="496" w:type="pct"/>
                  <w:vMerge w:val="continue"/>
                  <w:tcBorders>
                    <w:tl2br w:val="nil"/>
                    <w:tr2bl w:val="nil"/>
                  </w:tcBorders>
                  <w:vAlign w:val="center"/>
                </w:tcPr>
                <w:p w14:paraId="0662ED7A">
                  <w:pPr>
                    <w:jc w:val="center"/>
                    <w:rPr>
                      <w:rFonts w:hint="default" w:ascii="Times New Roman" w:hAnsi="Times New Roman" w:cs="Times New Roman"/>
                      <w:color w:val="FF0000"/>
                      <w:szCs w:val="21"/>
                    </w:rPr>
                  </w:pPr>
                </w:p>
              </w:tc>
              <w:tc>
                <w:tcPr>
                  <w:tcW w:w="713" w:type="pct"/>
                  <w:vMerge w:val="continue"/>
                  <w:tcBorders>
                    <w:tl2br w:val="nil"/>
                    <w:tr2bl w:val="nil"/>
                  </w:tcBorders>
                  <w:vAlign w:val="center"/>
                </w:tcPr>
                <w:p w14:paraId="1C3D13C0">
                  <w:pPr>
                    <w:jc w:val="center"/>
                    <w:rPr>
                      <w:rFonts w:hint="default" w:ascii="Times New Roman" w:hAnsi="Times New Roman" w:cs="Times New Roman"/>
                      <w:color w:val="FF0000"/>
                      <w:szCs w:val="21"/>
                    </w:rPr>
                  </w:pPr>
                </w:p>
              </w:tc>
              <w:tc>
                <w:tcPr>
                  <w:tcW w:w="1152" w:type="pct"/>
                  <w:tcBorders>
                    <w:tl2br w:val="nil"/>
                    <w:tr2bl w:val="nil"/>
                  </w:tcBorders>
                  <w:vAlign w:val="center"/>
                </w:tcPr>
                <w:p w14:paraId="6E2B6997">
                  <w:pPr>
                    <w:jc w:val="center"/>
                    <w:rPr>
                      <w:rFonts w:hint="default" w:ascii="Times New Roman" w:hAnsi="Times New Roman" w:cs="Times New Roman"/>
                      <w:color w:val="FF0000"/>
                      <w:szCs w:val="21"/>
                    </w:rPr>
                  </w:pPr>
                  <w:r>
                    <w:rPr>
                      <w:rFonts w:hint="default" w:ascii="Times New Roman" w:hAnsi="Times New Roman" w:cs="Times New Roman"/>
                      <w:color w:val="FF0000"/>
                      <w:szCs w:val="21"/>
                    </w:rPr>
                    <w:t>标准名称</w:t>
                  </w:r>
                </w:p>
              </w:tc>
              <w:tc>
                <w:tcPr>
                  <w:tcW w:w="711" w:type="pct"/>
                  <w:tcBorders>
                    <w:tl2br w:val="nil"/>
                    <w:tr2bl w:val="nil"/>
                  </w:tcBorders>
                  <w:vAlign w:val="center"/>
                </w:tcPr>
                <w:p w14:paraId="127EB294">
                  <w:pPr>
                    <w:jc w:val="center"/>
                    <w:rPr>
                      <w:rFonts w:hint="default" w:ascii="Times New Roman" w:hAnsi="Times New Roman" w:cs="Times New Roman"/>
                      <w:color w:val="FF0000"/>
                      <w:szCs w:val="21"/>
                    </w:rPr>
                  </w:pPr>
                  <w:r>
                    <w:rPr>
                      <w:rFonts w:hint="default" w:ascii="Times New Roman" w:hAnsi="Times New Roman" w:cs="Times New Roman"/>
                      <w:color w:val="FF0000"/>
                      <w:szCs w:val="21"/>
                      <w:lang w:val="en-US" w:eastAsia="zh-CN"/>
                    </w:rPr>
                    <w:t>厂界</w:t>
                  </w:r>
                  <w:r>
                    <w:rPr>
                      <w:rFonts w:hint="default" w:ascii="Times New Roman" w:hAnsi="Times New Roman" w:cs="Times New Roman"/>
                      <w:color w:val="FF0000"/>
                      <w:szCs w:val="21"/>
                    </w:rPr>
                    <w:t>浓度限值（mg/m</w:t>
                  </w:r>
                  <w:r>
                    <w:rPr>
                      <w:rFonts w:hint="default" w:ascii="Times New Roman" w:hAnsi="Times New Roman" w:cs="Times New Roman"/>
                      <w:color w:val="FF0000"/>
                      <w:szCs w:val="21"/>
                      <w:vertAlign w:val="superscript"/>
                    </w:rPr>
                    <w:t>3</w:t>
                  </w:r>
                  <w:r>
                    <w:rPr>
                      <w:rFonts w:hint="default" w:ascii="Times New Roman" w:hAnsi="Times New Roman" w:cs="Times New Roman"/>
                      <w:color w:val="FF0000"/>
                      <w:szCs w:val="21"/>
                    </w:rPr>
                    <w:t>）</w:t>
                  </w:r>
                </w:p>
              </w:tc>
              <w:tc>
                <w:tcPr>
                  <w:tcW w:w="619" w:type="pct"/>
                  <w:vMerge w:val="continue"/>
                  <w:tcBorders>
                    <w:tl2br w:val="nil"/>
                    <w:tr2bl w:val="nil"/>
                  </w:tcBorders>
                  <w:vAlign w:val="center"/>
                </w:tcPr>
                <w:p w14:paraId="2195A0D3">
                  <w:pPr>
                    <w:jc w:val="center"/>
                    <w:rPr>
                      <w:rFonts w:hint="default" w:ascii="Times New Roman" w:hAnsi="Times New Roman" w:cs="Times New Roman"/>
                      <w:color w:val="FF0000"/>
                      <w:szCs w:val="21"/>
                    </w:rPr>
                  </w:pPr>
                </w:p>
              </w:tc>
            </w:tr>
            <w:tr w14:paraId="233D9149">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50" w:type="pct"/>
                  <w:vMerge w:val="restart"/>
                  <w:tcBorders>
                    <w:tl2br w:val="nil"/>
                    <w:tr2bl w:val="nil"/>
                  </w:tcBorders>
                  <w:vAlign w:val="center"/>
                </w:tcPr>
                <w:p w14:paraId="4484C711">
                  <w:pPr>
                    <w:jc w:val="center"/>
                    <w:rPr>
                      <w:rFonts w:hint="default" w:ascii="Times New Roman" w:hAnsi="Times New Roman" w:cs="Times New Roman"/>
                      <w:color w:val="FF0000"/>
                      <w:szCs w:val="21"/>
                    </w:rPr>
                  </w:pPr>
                  <w:r>
                    <w:rPr>
                      <w:rFonts w:hint="default" w:ascii="Times New Roman" w:hAnsi="Times New Roman" w:cs="Times New Roman"/>
                      <w:color w:val="FF0000"/>
                      <w:szCs w:val="21"/>
                    </w:rPr>
                    <w:t>1</w:t>
                  </w:r>
                </w:p>
              </w:tc>
              <w:tc>
                <w:tcPr>
                  <w:tcW w:w="447" w:type="pct"/>
                  <w:vMerge w:val="restart"/>
                  <w:tcBorders>
                    <w:tl2br w:val="nil"/>
                    <w:tr2bl w:val="nil"/>
                  </w:tcBorders>
                  <w:vAlign w:val="center"/>
                </w:tcPr>
                <w:p w14:paraId="34D59E35">
                  <w:pPr>
                    <w:jc w:val="center"/>
                    <w:rPr>
                      <w:rFonts w:hint="default" w:ascii="Times New Roman" w:hAnsi="Times New Roman" w:cs="Times New Roman"/>
                      <w:color w:val="FF0000"/>
                      <w:szCs w:val="21"/>
                    </w:rPr>
                  </w:pPr>
                  <w:r>
                    <w:rPr>
                      <w:rFonts w:hint="default" w:ascii="Times New Roman" w:hAnsi="Times New Roman" w:cs="Times New Roman"/>
                      <w:color w:val="FF0000"/>
                      <w:szCs w:val="21"/>
                    </w:rPr>
                    <w:t>拆解车间A1</w:t>
                  </w:r>
                </w:p>
              </w:tc>
              <w:tc>
                <w:tcPr>
                  <w:tcW w:w="608" w:type="pct"/>
                  <w:gridSpan w:val="2"/>
                  <w:tcBorders>
                    <w:tl2br w:val="nil"/>
                    <w:tr2bl w:val="nil"/>
                  </w:tcBorders>
                  <w:vAlign w:val="center"/>
                </w:tcPr>
                <w:p w14:paraId="02233897">
                  <w:pPr>
                    <w:jc w:val="center"/>
                    <w:rPr>
                      <w:rFonts w:hint="default" w:ascii="Times New Roman" w:hAnsi="Times New Roman" w:cs="Times New Roman"/>
                      <w:color w:val="FF0000"/>
                      <w:szCs w:val="21"/>
                    </w:rPr>
                  </w:pPr>
                  <w:r>
                    <w:rPr>
                      <w:rFonts w:hint="default" w:ascii="Times New Roman" w:hAnsi="Times New Roman" w:cs="Times New Roman"/>
                      <w:color w:val="FF0000"/>
                      <w:kern w:val="0"/>
                      <w:szCs w:val="21"/>
                      <w:lang w:bidi="ar"/>
                    </w:rPr>
                    <w:t>废油液收集</w:t>
                  </w:r>
                </w:p>
              </w:tc>
              <w:tc>
                <w:tcPr>
                  <w:tcW w:w="496" w:type="pct"/>
                  <w:vMerge w:val="restart"/>
                  <w:tcBorders>
                    <w:tl2br w:val="nil"/>
                    <w:tr2bl w:val="nil"/>
                  </w:tcBorders>
                  <w:vAlign w:val="center"/>
                </w:tcPr>
                <w:p w14:paraId="1C3EAA76">
                  <w:pPr>
                    <w:jc w:val="center"/>
                    <w:rPr>
                      <w:rFonts w:hint="default" w:ascii="Times New Roman" w:hAnsi="Times New Roman" w:cs="Times New Roman"/>
                      <w:color w:val="FF0000"/>
                      <w:szCs w:val="21"/>
                    </w:rPr>
                  </w:pPr>
                  <w:r>
                    <w:rPr>
                      <w:rFonts w:hint="default" w:ascii="Times New Roman" w:hAnsi="Times New Roman" w:cs="Times New Roman"/>
                      <w:color w:val="FF0000"/>
                      <w:kern w:val="0"/>
                      <w:szCs w:val="21"/>
                      <w:lang w:bidi="ar"/>
                    </w:rPr>
                    <w:t>非甲烷总烃</w:t>
                  </w:r>
                </w:p>
              </w:tc>
              <w:tc>
                <w:tcPr>
                  <w:tcW w:w="713" w:type="pct"/>
                  <w:vMerge w:val="restart"/>
                  <w:tcBorders>
                    <w:tl2br w:val="nil"/>
                    <w:tr2bl w:val="nil"/>
                  </w:tcBorders>
                  <w:vAlign w:val="center"/>
                </w:tcPr>
                <w:p w14:paraId="2B1E2DCA">
                  <w:pPr>
                    <w:jc w:val="center"/>
                    <w:rPr>
                      <w:rFonts w:hint="default" w:ascii="Times New Roman" w:hAnsi="Times New Roman" w:cs="Times New Roman"/>
                      <w:color w:val="FF0000"/>
                      <w:szCs w:val="21"/>
                    </w:rPr>
                  </w:pPr>
                  <w:r>
                    <w:rPr>
                      <w:rFonts w:hint="default" w:ascii="Times New Roman" w:hAnsi="Times New Roman" w:cs="Times New Roman"/>
                      <w:color w:val="FF0000"/>
                      <w:szCs w:val="21"/>
                    </w:rPr>
                    <w:t>/</w:t>
                  </w:r>
                </w:p>
              </w:tc>
              <w:tc>
                <w:tcPr>
                  <w:tcW w:w="1152" w:type="pct"/>
                  <w:vMerge w:val="restart"/>
                  <w:tcBorders>
                    <w:tl2br w:val="nil"/>
                    <w:tr2bl w:val="nil"/>
                  </w:tcBorders>
                  <w:vAlign w:val="center"/>
                </w:tcPr>
                <w:p w14:paraId="3FCF5C59">
                  <w:pPr>
                    <w:jc w:val="center"/>
                    <w:rPr>
                      <w:rFonts w:hint="default" w:ascii="Times New Roman" w:hAnsi="Times New Roman" w:cs="Times New Roman"/>
                      <w:color w:val="FF0000"/>
                      <w:kern w:val="0"/>
                      <w:szCs w:val="21"/>
                      <w:lang w:bidi="ar"/>
                    </w:rPr>
                  </w:pPr>
                  <w:r>
                    <w:rPr>
                      <w:rFonts w:hint="default" w:ascii="Times New Roman" w:hAnsi="Times New Roman" w:cs="Times New Roman"/>
                      <w:color w:val="FF0000"/>
                    </w:rPr>
                    <w:t>《大气污染物综合排放标准》（GB16297-1996）表2</w:t>
                  </w:r>
                </w:p>
              </w:tc>
              <w:tc>
                <w:tcPr>
                  <w:tcW w:w="711" w:type="pct"/>
                  <w:vMerge w:val="restart"/>
                  <w:tcBorders>
                    <w:tl2br w:val="nil"/>
                    <w:tr2bl w:val="nil"/>
                  </w:tcBorders>
                  <w:vAlign w:val="center"/>
                </w:tcPr>
                <w:p w14:paraId="1116A47E">
                  <w:pPr>
                    <w:jc w:val="center"/>
                    <w:rPr>
                      <w:rFonts w:hint="default" w:ascii="Times New Roman" w:hAnsi="Times New Roman" w:cs="Times New Roman"/>
                      <w:color w:val="FF0000"/>
                      <w:szCs w:val="21"/>
                    </w:rPr>
                  </w:pPr>
                  <w:r>
                    <w:rPr>
                      <w:rFonts w:hint="default" w:ascii="Times New Roman" w:hAnsi="Times New Roman" w:cs="Times New Roman"/>
                      <w:color w:val="FF0000"/>
                      <w:kern w:val="0"/>
                      <w:szCs w:val="21"/>
                      <w:lang w:bidi="ar"/>
                    </w:rPr>
                    <w:t>4.0</w:t>
                  </w:r>
                </w:p>
              </w:tc>
              <w:tc>
                <w:tcPr>
                  <w:tcW w:w="619" w:type="pct"/>
                  <w:vMerge w:val="restart"/>
                  <w:tcBorders>
                    <w:tl2br w:val="nil"/>
                    <w:tr2bl w:val="nil"/>
                  </w:tcBorders>
                  <w:vAlign w:val="center"/>
                </w:tcPr>
                <w:p w14:paraId="2CB1274D">
                  <w:pPr>
                    <w:jc w:val="center"/>
                    <w:rPr>
                      <w:rFonts w:hint="default" w:ascii="Times New Roman" w:hAnsi="Times New Roman" w:eastAsia="宋体" w:cs="Times New Roman"/>
                      <w:color w:val="FF0000"/>
                      <w:szCs w:val="21"/>
                      <w:lang w:val="en-US" w:eastAsia="zh-CN"/>
                    </w:rPr>
                  </w:pPr>
                  <w:r>
                    <w:rPr>
                      <w:rFonts w:hint="default" w:ascii="Times New Roman" w:hAnsi="Times New Roman" w:cs="Times New Roman"/>
                      <w:color w:val="FF0000"/>
                      <w:szCs w:val="21"/>
                    </w:rPr>
                    <w:t>0.</w:t>
                  </w:r>
                  <w:r>
                    <w:rPr>
                      <w:rFonts w:hint="default" w:ascii="Times New Roman" w:hAnsi="Times New Roman" w:cs="Times New Roman"/>
                      <w:color w:val="FF0000"/>
                      <w:szCs w:val="21"/>
                      <w:lang w:val="en-US" w:eastAsia="zh-CN"/>
                    </w:rPr>
                    <w:t>0694</w:t>
                  </w:r>
                </w:p>
              </w:tc>
            </w:tr>
            <w:tr w14:paraId="177CF2BB">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76" w:hRule="atLeast"/>
              </w:trPr>
              <w:tc>
                <w:tcPr>
                  <w:tcW w:w="250" w:type="pct"/>
                  <w:vMerge w:val="continue"/>
                  <w:tcBorders>
                    <w:tl2br w:val="nil"/>
                    <w:tr2bl w:val="nil"/>
                  </w:tcBorders>
                  <w:vAlign w:val="center"/>
                </w:tcPr>
                <w:p w14:paraId="0BFB6EF8">
                  <w:pPr>
                    <w:jc w:val="center"/>
                    <w:rPr>
                      <w:rFonts w:hint="default" w:ascii="Times New Roman" w:hAnsi="Times New Roman" w:cs="Times New Roman"/>
                      <w:color w:val="FF0000"/>
                      <w:szCs w:val="21"/>
                    </w:rPr>
                  </w:pPr>
                </w:p>
              </w:tc>
              <w:tc>
                <w:tcPr>
                  <w:tcW w:w="447" w:type="pct"/>
                  <w:vMerge w:val="continue"/>
                  <w:tcBorders>
                    <w:tl2br w:val="nil"/>
                    <w:tr2bl w:val="nil"/>
                  </w:tcBorders>
                  <w:vAlign w:val="center"/>
                </w:tcPr>
                <w:p w14:paraId="47DCE494">
                  <w:pPr>
                    <w:jc w:val="center"/>
                    <w:rPr>
                      <w:rFonts w:hint="default" w:ascii="Times New Roman" w:hAnsi="Times New Roman" w:cs="Times New Roman"/>
                      <w:color w:val="FF0000"/>
                      <w:szCs w:val="21"/>
                    </w:rPr>
                  </w:pPr>
                </w:p>
              </w:tc>
              <w:tc>
                <w:tcPr>
                  <w:tcW w:w="608" w:type="pct"/>
                  <w:gridSpan w:val="2"/>
                  <w:tcBorders>
                    <w:tl2br w:val="nil"/>
                    <w:tr2bl w:val="nil"/>
                  </w:tcBorders>
                  <w:vAlign w:val="center"/>
                </w:tcPr>
                <w:p w14:paraId="0039DC5C">
                  <w:pPr>
                    <w:jc w:val="center"/>
                    <w:rPr>
                      <w:rFonts w:hint="default" w:ascii="Times New Roman" w:hAnsi="Times New Roman" w:cs="Times New Roman"/>
                      <w:color w:val="FF0000"/>
                      <w:szCs w:val="21"/>
                    </w:rPr>
                  </w:pPr>
                  <w:r>
                    <w:rPr>
                      <w:rFonts w:hint="default" w:ascii="Times New Roman" w:hAnsi="Times New Roman" w:cs="Times New Roman"/>
                      <w:color w:val="FF0000"/>
                      <w:kern w:val="0"/>
                      <w:szCs w:val="21"/>
                      <w:lang w:bidi="ar"/>
                    </w:rPr>
                    <w:t>制冷剂收集</w:t>
                  </w:r>
                </w:p>
              </w:tc>
              <w:tc>
                <w:tcPr>
                  <w:tcW w:w="496" w:type="pct"/>
                  <w:vMerge w:val="continue"/>
                  <w:tcBorders>
                    <w:tl2br w:val="nil"/>
                    <w:tr2bl w:val="nil"/>
                  </w:tcBorders>
                  <w:vAlign w:val="center"/>
                </w:tcPr>
                <w:p w14:paraId="46C759B0">
                  <w:pPr>
                    <w:jc w:val="center"/>
                    <w:rPr>
                      <w:rFonts w:hint="default" w:ascii="Times New Roman" w:hAnsi="Times New Roman" w:cs="Times New Roman"/>
                      <w:color w:val="FF0000"/>
                      <w:szCs w:val="21"/>
                    </w:rPr>
                  </w:pPr>
                </w:p>
              </w:tc>
              <w:tc>
                <w:tcPr>
                  <w:tcW w:w="713" w:type="pct"/>
                  <w:vMerge w:val="continue"/>
                  <w:tcBorders>
                    <w:tl2br w:val="nil"/>
                    <w:tr2bl w:val="nil"/>
                  </w:tcBorders>
                  <w:vAlign w:val="center"/>
                </w:tcPr>
                <w:p w14:paraId="68C88B7B">
                  <w:pPr>
                    <w:jc w:val="center"/>
                    <w:rPr>
                      <w:rFonts w:hint="default" w:ascii="Times New Roman" w:hAnsi="Times New Roman" w:cs="Times New Roman"/>
                      <w:color w:val="FF0000"/>
                      <w:szCs w:val="21"/>
                    </w:rPr>
                  </w:pPr>
                </w:p>
              </w:tc>
              <w:tc>
                <w:tcPr>
                  <w:tcW w:w="1152" w:type="pct"/>
                  <w:vMerge w:val="continue"/>
                  <w:tcBorders>
                    <w:tl2br w:val="nil"/>
                    <w:tr2bl w:val="nil"/>
                  </w:tcBorders>
                  <w:vAlign w:val="center"/>
                </w:tcPr>
                <w:p w14:paraId="709BCE0A">
                  <w:pPr>
                    <w:jc w:val="center"/>
                    <w:rPr>
                      <w:rFonts w:hint="default" w:ascii="Times New Roman" w:hAnsi="Times New Roman" w:cs="Times New Roman"/>
                      <w:color w:val="FF0000"/>
                    </w:rPr>
                  </w:pPr>
                </w:p>
              </w:tc>
              <w:tc>
                <w:tcPr>
                  <w:tcW w:w="711" w:type="pct"/>
                  <w:vMerge w:val="continue"/>
                  <w:tcBorders>
                    <w:tl2br w:val="nil"/>
                    <w:tr2bl w:val="nil"/>
                  </w:tcBorders>
                  <w:shd w:val="clear" w:color="auto" w:fill="auto"/>
                  <w:vAlign w:val="center"/>
                </w:tcPr>
                <w:p w14:paraId="243C461A">
                  <w:pPr>
                    <w:jc w:val="center"/>
                    <w:rPr>
                      <w:rFonts w:hint="default" w:ascii="Times New Roman" w:hAnsi="Times New Roman" w:cs="Times New Roman"/>
                      <w:color w:val="FF0000"/>
                      <w:szCs w:val="21"/>
                    </w:rPr>
                  </w:pPr>
                </w:p>
              </w:tc>
              <w:tc>
                <w:tcPr>
                  <w:tcW w:w="619" w:type="pct"/>
                  <w:vMerge w:val="continue"/>
                  <w:tcBorders>
                    <w:tl2br w:val="nil"/>
                    <w:tr2bl w:val="nil"/>
                  </w:tcBorders>
                  <w:vAlign w:val="center"/>
                </w:tcPr>
                <w:p w14:paraId="375A1FA6">
                  <w:pPr>
                    <w:jc w:val="center"/>
                    <w:rPr>
                      <w:rFonts w:hint="default" w:ascii="Times New Roman" w:hAnsi="Times New Roman" w:cs="Times New Roman"/>
                      <w:color w:val="FF0000"/>
                      <w:kern w:val="0"/>
                      <w:szCs w:val="21"/>
                      <w:lang w:bidi="ar"/>
                    </w:rPr>
                  </w:pPr>
                </w:p>
              </w:tc>
            </w:tr>
            <w:tr w14:paraId="5D72E1A9">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250" w:type="pct"/>
                  <w:vMerge w:val="continue"/>
                  <w:tcBorders>
                    <w:tl2br w:val="nil"/>
                    <w:tr2bl w:val="nil"/>
                  </w:tcBorders>
                  <w:vAlign w:val="center"/>
                </w:tcPr>
                <w:p w14:paraId="2F78B817">
                  <w:pPr>
                    <w:jc w:val="center"/>
                    <w:rPr>
                      <w:rFonts w:hint="default" w:ascii="Times New Roman" w:hAnsi="Times New Roman" w:cs="Times New Roman"/>
                      <w:color w:val="FF0000"/>
                      <w:szCs w:val="21"/>
                    </w:rPr>
                  </w:pPr>
                </w:p>
              </w:tc>
              <w:tc>
                <w:tcPr>
                  <w:tcW w:w="447" w:type="pct"/>
                  <w:vMerge w:val="continue"/>
                  <w:tcBorders>
                    <w:tl2br w:val="nil"/>
                    <w:tr2bl w:val="nil"/>
                  </w:tcBorders>
                  <w:vAlign w:val="center"/>
                </w:tcPr>
                <w:p w14:paraId="453B211F">
                  <w:pPr>
                    <w:jc w:val="center"/>
                    <w:rPr>
                      <w:rFonts w:hint="default" w:ascii="Times New Roman" w:hAnsi="Times New Roman" w:cs="Times New Roman"/>
                      <w:color w:val="FF0000"/>
                      <w:szCs w:val="21"/>
                    </w:rPr>
                  </w:pPr>
                </w:p>
              </w:tc>
              <w:tc>
                <w:tcPr>
                  <w:tcW w:w="608" w:type="pct"/>
                  <w:gridSpan w:val="2"/>
                  <w:tcBorders>
                    <w:tl2br w:val="nil"/>
                    <w:tr2bl w:val="nil"/>
                  </w:tcBorders>
                  <w:vAlign w:val="center"/>
                </w:tcPr>
                <w:p w14:paraId="08728924">
                  <w:pPr>
                    <w:widowControl/>
                    <w:jc w:val="center"/>
                    <w:rPr>
                      <w:rFonts w:hint="default" w:ascii="Times New Roman" w:hAnsi="Times New Roman" w:cs="Times New Roman"/>
                      <w:color w:val="FF0000"/>
                      <w:kern w:val="0"/>
                      <w:szCs w:val="21"/>
                      <w:lang w:bidi="ar"/>
                    </w:rPr>
                  </w:pPr>
                  <w:r>
                    <w:rPr>
                      <w:rFonts w:hint="default" w:ascii="Times New Roman" w:hAnsi="Times New Roman" w:cs="Times New Roman"/>
                      <w:color w:val="FF0000"/>
                      <w:kern w:val="0"/>
                      <w:szCs w:val="21"/>
                      <w:lang w:bidi="ar"/>
                    </w:rPr>
                    <w:t>废钢破碎</w:t>
                  </w:r>
                </w:p>
              </w:tc>
              <w:tc>
                <w:tcPr>
                  <w:tcW w:w="496" w:type="pct"/>
                  <w:vMerge w:val="restart"/>
                  <w:tcBorders>
                    <w:tl2br w:val="nil"/>
                    <w:tr2bl w:val="nil"/>
                  </w:tcBorders>
                  <w:vAlign w:val="center"/>
                </w:tcPr>
                <w:p w14:paraId="2D03EC9E">
                  <w:pPr>
                    <w:jc w:val="center"/>
                    <w:rPr>
                      <w:rFonts w:hint="default" w:ascii="Times New Roman" w:hAnsi="Times New Roman" w:cs="Times New Roman"/>
                      <w:color w:val="FF0000"/>
                      <w:szCs w:val="21"/>
                    </w:rPr>
                  </w:pPr>
                  <w:r>
                    <w:rPr>
                      <w:rFonts w:hint="default" w:ascii="Times New Roman" w:hAnsi="Times New Roman" w:cs="Times New Roman"/>
                      <w:color w:val="FF0000"/>
                      <w:szCs w:val="21"/>
                    </w:rPr>
                    <w:t>颗粒物</w:t>
                  </w:r>
                </w:p>
              </w:tc>
              <w:tc>
                <w:tcPr>
                  <w:tcW w:w="713" w:type="pct"/>
                  <w:vMerge w:val="restart"/>
                  <w:tcBorders>
                    <w:tl2br w:val="nil"/>
                    <w:tr2bl w:val="nil"/>
                  </w:tcBorders>
                  <w:vAlign w:val="center"/>
                </w:tcPr>
                <w:p w14:paraId="0A992844">
                  <w:pPr>
                    <w:jc w:val="center"/>
                    <w:rPr>
                      <w:rFonts w:hint="default" w:ascii="Times New Roman" w:hAnsi="Times New Roman" w:cs="Times New Roman"/>
                      <w:color w:val="FF0000"/>
                      <w:szCs w:val="21"/>
                    </w:rPr>
                  </w:pPr>
                  <w:r>
                    <w:rPr>
                      <w:rFonts w:hint="default" w:ascii="Times New Roman" w:hAnsi="Times New Roman" w:cs="Times New Roman"/>
                      <w:color w:val="FF0000"/>
                      <w:szCs w:val="21"/>
                    </w:rPr>
                    <w:t>密闭车间，自由沉降</w:t>
                  </w:r>
                </w:p>
              </w:tc>
              <w:tc>
                <w:tcPr>
                  <w:tcW w:w="1152" w:type="pct"/>
                  <w:vMerge w:val="restart"/>
                  <w:tcBorders>
                    <w:tl2br w:val="nil"/>
                    <w:tr2bl w:val="nil"/>
                  </w:tcBorders>
                  <w:vAlign w:val="center"/>
                </w:tcPr>
                <w:p w14:paraId="30AA7B64">
                  <w:pPr>
                    <w:jc w:val="center"/>
                    <w:rPr>
                      <w:rFonts w:hint="default" w:ascii="Times New Roman" w:hAnsi="Times New Roman" w:cs="Times New Roman"/>
                      <w:color w:val="FF0000"/>
                    </w:rPr>
                  </w:pPr>
                  <w:r>
                    <w:rPr>
                      <w:rFonts w:hint="default" w:ascii="Times New Roman" w:hAnsi="Times New Roman" w:cs="Times New Roman"/>
                      <w:color w:val="FF0000"/>
                    </w:rPr>
                    <w:t>《大气污染物综合排放标准》（GB16297-1996）表2</w:t>
                  </w:r>
                </w:p>
              </w:tc>
              <w:tc>
                <w:tcPr>
                  <w:tcW w:w="711" w:type="pct"/>
                  <w:vMerge w:val="restart"/>
                  <w:tcBorders>
                    <w:tl2br w:val="nil"/>
                    <w:tr2bl w:val="nil"/>
                  </w:tcBorders>
                  <w:vAlign w:val="center"/>
                </w:tcPr>
                <w:p w14:paraId="174C7822">
                  <w:pPr>
                    <w:jc w:val="center"/>
                    <w:rPr>
                      <w:rFonts w:hint="default" w:ascii="Times New Roman" w:hAnsi="Times New Roman" w:cs="Times New Roman"/>
                      <w:color w:val="FF0000"/>
                      <w:kern w:val="0"/>
                      <w:szCs w:val="21"/>
                      <w:lang w:bidi="ar"/>
                    </w:rPr>
                  </w:pPr>
                  <w:r>
                    <w:rPr>
                      <w:rFonts w:hint="default" w:ascii="Times New Roman" w:hAnsi="Times New Roman" w:cs="Times New Roman"/>
                      <w:color w:val="FF0000"/>
                      <w:kern w:val="0"/>
                      <w:szCs w:val="21"/>
                      <w:lang w:bidi="ar"/>
                    </w:rPr>
                    <w:t>1.0</w:t>
                  </w:r>
                </w:p>
              </w:tc>
              <w:tc>
                <w:tcPr>
                  <w:tcW w:w="619" w:type="pct"/>
                  <w:vMerge w:val="restart"/>
                  <w:tcBorders>
                    <w:tl2br w:val="nil"/>
                    <w:tr2bl w:val="nil"/>
                  </w:tcBorders>
                  <w:vAlign w:val="center"/>
                </w:tcPr>
                <w:p w14:paraId="6BA96ACB">
                  <w:pPr>
                    <w:jc w:val="center"/>
                    <w:rPr>
                      <w:rFonts w:hint="default" w:ascii="Times New Roman" w:hAnsi="Times New Roman" w:cs="Times New Roman"/>
                      <w:color w:val="FF0000"/>
                      <w:kern w:val="0"/>
                      <w:szCs w:val="21"/>
                      <w:lang w:bidi="ar"/>
                    </w:rPr>
                  </w:pPr>
                  <w:r>
                    <w:rPr>
                      <w:rFonts w:hint="default" w:ascii="Times New Roman" w:hAnsi="Times New Roman" w:cs="Times New Roman"/>
                      <w:color w:val="FF0000"/>
                      <w:kern w:val="0"/>
                      <w:szCs w:val="21"/>
                      <w:lang w:bidi="ar"/>
                    </w:rPr>
                    <w:t>0.253</w:t>
                  </w:r>
                </w:p>
              </w:tc>
            </w:tr>
            <w:tr w14:paraId="7A10045C">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250" w:type="pct"/>
                  <w:vMerge w:val="continue"/>
                  <w:tcBorders>
                    <w:tl2br w:val="nil"/>
                    <w:tr2bl w:val="nil"/>
                  </w:tcBorders>
                  <w:vAlign w:val="center"/>
                </w:tcPr>
                <w:p w14:paraId="1B47EA3C">
                  <w:pPr>
                    <w:jc w:val="center"/>
                    <w:rPr>
                      <w:rFonts w:hint="default" w:ascii="Times New Roman" w:hAnsi="Times New Roman" w:cs="Times New Roman"/>
                      <w:color w:val="FF0000"/>
                    </w:rPr>
                  </w:pPr>
                </w:p>
              </w:tc>
              <w:tc>
                <w:tcPr>
                  <w:tcW w:w="447" w:type="pct"/>
                  <w:vMerge w:val="continue"/>
                  <w:tcBorders>
                    <w:tl2br w:val="nil"/>
                    <w:tr2bl w:val="nil"/>
                  </w:tcBorders>
                  <w:vAlign w:val="center"/>
                </w:tcPr>
                <w:p w14:paraId="30F1D178">
                  <w:pPr>
                    <w:jc w:val="center"/>
                    <w:rPr>
                      <w:rFonts w:hint="default" w:ascii="Times New Roman" w:hAnsi="Times New Roman" w:cs="Times New Roman"/>
                      <w:color w:val="FF0000"/>
                    </w:rPr>
                  </w:pPr>
                </w:p>
              </w:tc>
              <w:tc>
                <w:tcPr>
                  <w:tcW w:w="608" w:type="pct"/>
                  <w:gridSpan w:val="2"/>
                  <w:tcBorders>
                    <w:tl2br w:val="nil"/>
                    <w:tr2bl w:val="nil"/>
                  </w:tcBorders>
                  <w:vAlign w:val="center"/>
                </w:tcPr>
                <w:p w14:paraId="47FDC1FC">
                  <w:pPr>
                    <w:jc w:val="center"/>
                    <w:rPr>
                      <w:rFonts w:hint="default" w:ascii="Times New Roman" w:hAnsi="Times New Roman" w:cs="Times New Roman"/>
                      <w:color w:val="FF0000"/>
                      <w:kern w:val="0"/>
                      <w:szCs w:val="21"/>
                      <w:lang w:bidi="ar"/>
                    </w:rPr>
                  </w:pPr>
                  <w:r>
                    <w:rPr>
                      <w:rFonts w:hint="default" w:ascii="Times New Roman" w:hAnsi="Times New Roman" w:cs="Times New Roman"/>
                      <w:color w:val="FF0000"/>
                      <w:kern w:val="0"/>
                      <w:szCs w:val="21"/>
                      <w:lang w:bidi="ar"/>
                    </w:rPr>
                    <w:t>废钢打包</w:t>
                  </w:r>
                </w:p>
              </w:tc>
              <w:tc>
                <w:tcPr>
                  <w:tcW w:w="496" w:type="pct"/>
                  <w:vMerge w:val="continue"/>
                  <w:tcBorders>
                    <w:tl2br w:val="nil"/>
                    <w:tr2bl w:val="nil"/>
                  </w:tcBorders>
                  <w:vAlign w:val="center"/>
                </w:tcPr>
                <w:p w14:paraId="6D07AEC5">
                  <w:pPr>
                    <w:jc w:val="center"/>
                    <w:rPr>
                      <w:rFonts w:hint="default" w:ascii="Times New Roman" w:hAnsi="Times New Roman" w:cs="Times New Roman"/>
                      <w:color w:val="FF0000"/>
                      <w:kern w:val="0"/>
                      <w:szCs w:val="21"/>
                      <w:lang w:bidi="ar"/>
                    </w:rPr>
                  </w:pPr>
                </w:p>
              </w:tc>
              <w:tc>
                <w:tcPr>
                  <w:tcW w:w="713" w:type="pct"/>
                  <w:vMerge w:val="continue"/>
                  <w:tcBorders>
                    <w:tl2br w:val="nil"/>
                    <w:tr2bl w:val="nil"/>
                  </w:tcBorders>
                  <w:vAlign w:val="center"/>
                </w:tcPr>
                <w:p w14:paraId="5AC8ADAE">
                  <w:pPr>
                    <w:jc w:val="center"/>
                    <w:rPr>
                      <w:rFonts w:hint="default" w:ascii="Times New Roman" w:hAnsi="Times New Roman" w:cs="Times New Roman"/>
                      <w:color w:val="FF0000"/>
                      <w:kern w:val="0"/>
                      <w:szCs w:val="21"/>
                      <w:lang w:bidi="ar"/>
                    </w:rPr>
                  </w:pPr>
                </w:p>
              </w:tc>
              <w:tc>
                <w:tcPr>
                  <w:tcW w:w="1152" w:type="pct"/>
                  <w:vMerge w:val="continue"/>
                  <w:tcBorders>
                    <w:tl2br w:val="nil"/>
                    <w:tr2bl w:val="nil"/>
                  </w:tcBorders>
                  <w:vAlign w:val="center"/>
                </w:tcPr>
                <w:p w14:paraId="5FBBDEA0">
                  <w:pPr>
                    <w:jc w:val="center"/>
                    <w:rPr>
                      <w:rFonts w:hint="default" w:ascii="Times New Roman" w:hAnsi="Times New Roman" w:cs="Times New Roman"/>
                      <w:color w:val="FF0000"/>
                      <w:kern w:val="0"/>
                      <w:szCs w:val="21"/>
                      <w:lang w:bidi="ar"/>
                    </w:rPr>
                  </w:pPr>
                </w:p>
              </w:tc>
              <w:tc>
                <w:tcPr>
                  <w:tcW w:w="711" w:type="pct"/>
                  <w:vMerge w:val="continue"/>
                  <w:tcBorders>
                    <w:tl2br w:val="nil"/>
                    <w:tr2bl w:val="nil"/>
                  </w:tcBorders>
                  <w:vAlign w:val="center"/>
                </w:tcPr>
                <w:p w14:paraId="455887FA">
                  <w:pPr>
                    <w:jc w:val="center"/>
                    <w:rPr>
                      <w:rFonts w:hint="default" w:ascii="Times New Roman" w:hAnsi="Times New Roman" w:cs="Times New Roman"/>
                      <w:color w:val="FF0000"/>
                      <w:kern w:val="0"/>
                      <w:szCs w:val="21"/>
                      <w:lang w:bidi="ar"/>
                    </w:rPr>
                  </w:pPr>
                </w:p>
              </w:tc>
              <w:tc>
                <w:tcPr>
                  <w:tcW w:w="619" w:type="pct"/>
                  <w:vMerge w:val="continue"/>
                  <w:tcBorders>
                    <w:tl2br w:val="nil"/>
                    <w:tr2bl w:val="nil"/>
                  </w:tcBorders>
                  <w:vAlign w:val="center"/>
                </w:tcPr>
                <w:p w14:paraId="70655237">
                  <w:pPr>
                    <w:jc w:val="center"/>
                    <w:rPr>
                      <w:rFonts w:hint="default" w:ascii="Times New Roman" w:hAnsi="Times New Roman" w:cs="Times New Roman"/>
                      <w:color w:val="FF0000"/>
                      <w:kern w:val="0"/>
                      <w:szCs w:val="21"/>
                      <w:lang w:bidi="ar"/>
                    </w:rPr>
                  </w:pPr>
                </w:p>
              </w:tc>
            </w:tr>
            <w:tr w14:paraId="67592C4D">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32" w:hRule="atLeast"/>
              </w:trPr>
              <w:tc>
                <w:tcPr>
                  <w:tcW w:w="250" w:type="pct"/>
                  <w:vMerge w:val="continue"/>
                  <w:tcBorders>
                    <w:tl2br w:val="nil"/>
                    <w:tr2bl w:val="nil"/>
                  </w:tcBorders>
                  <w:vAlign w:val="center"/>
                </w:tcPr>
                <w:p w14:paraId="53842B57">
                  <w:pPr>
                    <w:jc w:val="center"/>
                    <w:rPr>
                      <w:rFonts w:hint="default" w:ascii="Times New Roman" w:hAnsi="Times New Roman" w:cs="Times New Roman"/>
                      <w:color w:val="FF0000"/>
                      <w:kern w:val="0"/>
                      <w:szCs w:val="21"/>
                      <w:lang w:bidi="ar"/>
                    </w:rPr>
                  </w:pPr>
                </w:p>
              </w:tc>
              <w:tc>
                <w:tcPr>
                  <w:tcW w:w="447" w:type="pct"/>
                  <w:vMerge w:val="continue"/>
                  <w:tcBorders>
                    <w:tl2br w:val="nil"/>
                    <w:tr2bl w:val="nil"/>
                  </w:tcBorders>
                  <w:vAlign w:val="center"/>
                </w:tcPr>
                <w:p w14:paraId="107F946E">
                  <w:pPr>
                    <w:jc w:val="center"/>
                    <w:rPr>
                      <w:rFonts w:hint="default" w:ascii="Times New Roman" w:hAnsi="Times New Roman" w:cs="Times New Roman"/>
                      <w:color w:val="FF0000"/>
                      <w:kern w:val="0"/>
                      <w:szCs w:val="21"/>
                      <w:lang w:bidi="ar"/>
                    </w:rPr>
                  </w:pPr>
                </w:p>
              </w:tc>
              <w:tc>
                <w:tcPr>
                  <w:tcW w:w="608" w:type="pct"/>
                  <w:gridSpan w:val="2"/>
                  <w:tcBorders>
                    <w:tl2br w:val="nil"/>
                    <w:tr2bl w:val="nil"/>
                  </w:tcBorders>
                  <w:vAlign w:val="center"/>
                </w:tcPr>
                <w:p w14:paraId="096E020D">
                  <w:pPr>
                    <w:jc w:val="center"/>
                    <w:rPr>
                      <w:rFonts w:hint="default" w:ascii="Times New Roman" w:hAnsi="Times New Roman" w:cs="Times New Roman"/>
                      <w:color w:val="FF0000"/>
                      <w:kern w:val="0"/>
                      <w:szCs w:val="21"/>
                      <w:lang w:bidi="ar"/>
                    </w:rPr>
                  </w:pPr>
                  <w:r>
                    <w:rPr>
                      <w:rFonts w:hint="default" w:ascii="Times New Roman" w:hAnsi="Times New Roman" w:cs="Times New Roman"/>
                      <w:color w:val="FF0000"/>
                      <w:kern w:val="0"/>
                      <w:szCs w:val="21"/>
                      <w:lang w:bidi="ar"/>
                    </w:rPr>
                    <w:t>废橡胶破碎</w:t>
                  </w:r>
                </w:p>
              </w:tc>
              <w:tc>
                <w:tcPr>
                  <w:tcW w:w="496" w:type="pct"/>
                  <w:vMerge w:val="continue"/>
                  <w:tcBorders>
                    <w:tl2br w:val="nil"/>
                    <w:tr2bl w:val="nil"/>
                  </w:tcBorders>
                  <w:vAlign w:val="center"/>
                </w:tcPr>
                <w:p w14:paraId="5C516824">
                  <w:pPr>
                    <w:jc w:val="center"/>
                    <w:rPr>
                      <w:rFonts w:hint="default" w:ascii="Times New Roman" w:hAnsi="Times New Roman" w:cs="Times New Roman"/>
                      <w:color w:val="FF0000"/>
                      <w:kern w:val="0"/>
                      <w:szCs w:val="21"/>
                      <w:lang w:bidi="ar"/>
                    </w:rPr>
                  </w:pPr>
                </w:p>
              </w:tc>
              <w:tc>
                <w:tcPr>
                  <w:tcW w:w="713" w:type="pct"/>
                  <w:vMerge w:val="continue"/>
                  <w:tcBorders>
                    <w:tl2br w:val="nil"/>
                    <w:tr2bl w:val="nil"/>
                  </w:tcBorders>
                  <w:vAlign w:val="center"/>
                </w:tcPr>
                <w:p w14:paraId="3A15087E">
                  <w:pPr>
                    <w:jc w:val="center"/>
                    <w:rPr>
                      <w:rFonts w:hint="default" w:ascii="Times New Roman" w:hAnsi="Times New Roman" w:cs="Times New Roman"/>
                      <w:color w:val="FF0000"/>
                      <w:kern w:val="0"/>
                      <w:szCs w:val="21"/>
                      <w:lang w:bidi="ar"/>
                    </w:rPr>
                  </w:pPr>
                </w:p>
              </w:tc>
              <w:tc>
                <w:tcPr>
                  <w:tcW w:w="1152" w:type="pct"/>
                  <w:vMerge w:val="continue"/>
                  <w:tcBorders>
                    <w:tl2br w:val="nil"/>
                    <w:tr2bl w:val="nil"/>
                  </w:tcBorders>
                  <w:vAlign w:val="center"/>
                </w:tcPr>
                <w:p w14:paraId="53F39454">
                  <w:pPr>
                    <w:jc w:val="center"/>
                    <w:rPr>
                      <w:rFonts w:hint="default" w:ascii="Times New Roman" w:hAnsi="Times New Roman" w:cs="Times New Roman"/>
                      <w:color w:val="FF0000"/>
                      <w:kern w:val="0"/>
                      <w:szCs w:val="21"/>
                      <w:lang w:bidi="ar"/>
                    </w:rPr>
                  </w:pPr>
                </w:p>
              </w:tc>
              <w:tc>
                <w:tcPr>
                  <w:tcW w:w="711" w:type="pct"/>
                  <w:vMerge w:val="continue"/>
                  <w:tcBorders>
                    <w:tl2br w:val="nil"/>
                    <w:tr2bl w:val="nil"/>
                  </w:tcBorders>
                  <w:vAlign w:val="center"/>
                </w:tcPr>
                <w:p w14:paraId="428E2A17">
                  <w:pPr>
                    <w:jc w:val="center"/>
                    <w:rPr>
                      <w:rFonts w:hint="default" w:ascii="Times New Roman" w:hAnsi="Times New Roman" w:cs="Times New Roman"/>
                      <w:color w:val="FF0000"/>
                      <w:kern w:val="0"/>
                      <w:szCs w:val="21"/>
                      <w:lang w:bidi="ar"/>
                    </w:rPr>
                  </w:pPr>
                </w:p>
              </w:tc>
              <w:tc>
                <w:tcPr>
                  <w:tcW w:w="619" w:type="pct"/>
                  <w:vMerge w:val="continue"/>
                  <w:tcBorders>
                    <w:tl2br w:val="nil"/>
                    <w:tr2bl w:val="nil"/>
                  </w:tcBorders>
                  <w:vAlign w:val="center"/>
                </w:tcPr>
                <w:p w14:paraId="62F18A72">
                  <w:pPr>
                    <w:jc w:val="center"/>
                    <w:rPr>
                      <w:rFonts w:hint="default" w:ascii="Times New Roman" w:hAnsi="Times New Roman" w:cs="Times New Roman"/>
                      <w:color w:val="FF0000"/>
                      <w:kern w:val="0"/>
                      <w:szCs w:val="21"/>
                      <w:lang w:bidi="ar"/>
                    </w:rPr>
                  </w:pPr>
                </w:p>
              </w:tc>
            </w:tr>
            <w:tr w14:paraId="3F5B90E9">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39" w:hRule="atLeast"/>
              </w:trPr>
              <w:tc>
                <w:tcPr>
                  <w:tcW w:w="250" w:type="pct"/>
                  <w:vMerge w:val="restart"/>
                  <w:tcBorders>
                    <w:tl2br w:val="nil"/>
                    <w:tr2bl w:val="nil"/>
                  </w:tcBorders>
                  <w:vAlign w:val="center"/>
                </w:tcPr>
                <w:p w14:paraId="63056D99">
                  <w:pPr>
                    <w:jc w:val="center"/>
                    <w:rPr>
                      <w:rFonts w:hint="default" w:ascii="Times New Roman" w:hAnsi="Times New Roman" w:cs="Times New Roman"/>
                      <w:color w:val="FF0000"/>
                      <w:szCs w:val="21"/>
                    </w:rPr>
                  </w:pPr>
                  <w:r>
                    <w:rPr>
                      <w:rFonts w:hint="default" w:ascii="Times New Roman" w:hAnsi="Times New Roman" w:cs="Times New Roman"/>
                      <w:color w:val="FF0000"/>
                      <w:szCs w:val="21"/>
                    </w:rPr>
                    <w:t>2</w:t>
                  </w:r>
                </w:p>
              </w:tc>
              <w:tc>
                <w:tcPr>
                  <w:tcW w:w="447" w:type="pct"/>
                  <w:vMerge w:val="restart"/>
                  <w:tcBorders>
                    <w:tl2br w:val="nil"/>
                    <w:tr2bl w:val="nil"/>
                  </w:tcBorders>
                  <w:vAlign w:val="center"/>
                </w:tcPr>
                <w:p w14:paraId="624A6870">
                  <w:pPr>
                    <w:jc w:val="center"/>
                    <w:rPr>
                      <w:rFonts w:hint="default" w:ascii="Times New Roman" w:hAnsi="Times New Roman" w:cs="Times New Roman"/>
                      <w:color w:val="FF0000"/>
                      <w:szCs w:val="21"/>
                    </w:rPr>
                  </w:pPr>
                  <w:r>
                    <w:rPr>
                      <w:rFonts w:hint="default" w:ascii="Times New Roman" w:hAnsi="Times New Roman" w:cs="Times New Roman"/>
                      <w:color w:val="FF0000"/>
                      <w:szCs w:val="21"/>
                      <w:lang w:val="en-US" w:eastAsia="zh-CN"/>
                    </w:rPr>
                    <w:t>污水处理站</w:t>
                  </w:r>
                  <w:r>
                    <w:rPr>
                      <w:rFonts w:hint="default" w:ascii="Times New Roman" w:hAnsi="Times New Roman" w:cs="Times New Roman"/>
                      <w:color w:val="FF0000"/>
                      <w:szCs w:val="21"/>
                    </w:rPr>
                    <w:t>A2</w:t>
                  </w:r>
                </w:p>
              </w:tc>
              <w:tc>
                <w:tcPr>
                  <w:tcW w:w="608" w:type="pct"/>
                  <w:gridSpan w:val="2"/>
                  <w:vMerge w:val="restart"/>
                  <w:tcBorders>
                    <w:tl2br w:val="nil"/>
                    <w:tr2bl w:val="nil"/>
                  </w:tcBorders>
                  <w:vAlign w:val="center"/>
                </w:tcPr>
                <w:p w14:paraId="5B957311">
                  <w:pPr>
                    <w:jc w:val="center"/>
                    <w:rPr>
                      <w:rFonts w:hint="default" w:ascii="Times New Roman" w:hAnsi="Times New Roman" w:eastAsia="宋体" w:cs="Times New Roman"/>
                      <w:color w:val="FF0000"/>
                      <w:szCs w:val="21"/>
                      <w:lang w:eastAsia="zh-CN"/>
                    </w:rPr>
                  </w:pPr>
                  <w:r>
                    <w:rPr>
                      <w:rFonts w:hint="default" w:ascii="Times New Roman" w:hAnsi="Times New Roman" w:cs="Times New Roman"/>
                      <w:color w:val="FF0000"/>
                      <w:szCs w:val="21"/>
                      <w:lang w:val="en-US" w:eastAsia="zh-CN"/>
                    </w:rPr>
                    <w:t>污水处理</w:t>
                  </w:r>
                </w:p>
              </w:tc>
              <w:tc>
                <w:tcPr>
                  <w:tcW w:w="496" w:type="pct"/>
                  <w:tcBorders>
                    <w:tl2br w:val="nil"/>
                    <w:tr2bl w:val="nil"/>
                  </w:tcBorders>
                  <w:vAlign w:val="center"/>
                </w:tcPr>
                <w:p w14:paraId="0F6C3FFA">
                  <w:pPr>
                    <w:widowControl/>
                    <w:jc w:val="center"/>
                    <w:textAlignment w:val="center"/>
                    <w:rPr>
                      <w:rFonts w:hint="default" w:ascii="Times New Roman" w:hAnsi="Times New Roman" w:cs="Times New Roman"/>
                      <w:color w:val="FF0000"/>
                      <w:szCs w:val="21"/>
                    </w:rPr>
                  </w:pPr>
                  <w:r>
                    <w:rPr>
                      <w:rFonts w:hint="default" w:ascii="Times New Roman" w:hAnsi="Times New Roman" w:eastAsia="宋体" w:cs="Times New Roman"/>
                      <w:color w:val="FF0000"/>
                      <w:kern w:val="0"/>
                      <w:szCs w:val="21"/>
                      <w:lang w:val="en-US" w:eastAsia="zh-CN" w:bidi="ar"/>
                    </w:rPr>
                    <w:t>NH</w:t>
                  </w:r>
                  <w:r>
                    <w:rPr>
                      <w:rFonts w:hint="default" w:ascii="Times New Roman" w:hAnsi="Times New Roman" w:eastAsia="宋体" w:cs="Times New Roman"/>
                      <w:color w:val="FF0000"/>
                      <w:kern w:val="0"/>
                      <w:szCs w:val="21"/>
                      <w:vertAlign w:val="subscript"/>
                      <w:lang w:val="en-US" w:eastAsia="zh-CN" w:bidi="ar"/>
                    </w:rPr>
                    <w:t>3</w:t>
                  </w:r>
                </w:p>
              </w:tc>
              <w:tc>
                <w:tcPr>
                  <w:tcW w:w="713" w:type="pct"/>
                  <w:vMerge w:val="restart"/>
                  <w:tcBorders>
                    <w:tl2br w:val="nil"/>
                    <w:tr2bl w:val="nil"/>
                  </w:tcBorders>
                  <w:vAlign w:val="center"/>
                </w:tcPr>
                <w:p w14:paraId="46DF0368">
                  <w:pPr>
                    <w:jc w:val="center"/>
                    <w:rPr>
                      <w:rFonts w:hint="default" w:ascii="Times New Roman" w:hAnsi="Times New Roman" w:cs="Times New Roman"/>
                      <w:color w:val="FF0000"/>
                      <w:szCs w:val="21"/>
                    </w:rPr>
                  </w:pPr>
                  <w:r>
                    <w:rPr>
                      <w:rFonts w:hint="default" w:ascii="Times New Roman" w:hAnsi="Times New Roman" w:eastAsia="宋体" w:cs="Times New Roman"/>
                      <w:color w:val="FF0000"/>
                      <w:kern w:val="0"/>
                      <w:szCs w:val="21"/>
                      <w:lang w:val="en-US" w:eastAsia="zh-CN" w:bidi="ar"/>
                    </w:rPr>
                    <w:t>定期喷洒生物除臭剂</w:t>
                  </w:r>
                </w:p>
              </w:tc>
              <w:tc>
                <w:tcPr>
                  <w:tcW w:w="1152" w:type="pct"/>
                  <w:vMerge w:val="restart"/>
                  <w:tcBorders>
                    <w:tl2br w:val="nil"/>
                    <w:tr2bl w:val="nil"/>
                  </w:tcBorders>
                  <w:shd w:val="clear" w:color="auto" w:fill="auto"/>
                  <w:vAlign w:val="center"/>
                </w:tcPr>
                <w:p w14:paraId="74927F59">
                  <w:pPr>
                    <w:jc w:val="center"/>
                    <w:rPr>
                      <w:rFonts w:hint="default" w:ascii="Times New Roman" w:hAnsi="Times New Roman" w:cs="Times New Roman"/>
                      <w:color w:val="FF0000"/>
                      <w:kern w:val="0"/>
                      <w:szCs w:val="21"/>
                      <w:lang w:bidi="ar"/>
                    </w:rPr>
                  </w:pPr>
                  <w:r>
                    <w:rPr>
                      <w:rFonts w:hint="default" w:ascii="Times New Roman" w:hAnsi="Times New Roman" w:cs="Times New Roman"/>
                      <w:color w:val="FF0000"/>
                      <w:kern w:val="0"/>
                      <w:szCs w:val="21"/>
                      <w:lang w:val="en-US" w:eastAsia="zh-CN" w:bidi="ar"/>
                    </w:rPr>
                    <w:t>《恶臭污染物排放标准》（GB14554-93）</w:t>
                  </w:r>
                </w:p>
              </w:tc>
              <w:tc>
                <w:tcPr>
                  <w:tcW w:w="711" w:type="pct"/>
                  <w:tcBorders>
                    <w:tl2br w:val="nil"/>
                    <w:tr2bl w:val="nil"/>
                  </w:tcBorders>
                  <w:shd w:val="clear" w:color="auto" w:fill="auto"/>
                  <w:vAlign w:val="center"/>
                </w:tcPr>
                <w:p w14:paraId="332C7FFB">
                  <w:pPr>
                    <w:jc w:val="center"/>
                    <w:rPr>
                      <w:rFonts w:hint="default" w:ascii="Times New Roman" w:hAnsi="Times New Roman" w:eastAsia="宋体" w:cs="Times New Roman"/>
                      <w:color w:val="FF0000"/>
                      <w:szCs w:val="21"/>
                      <w:lang w:val="en-US" w:eastAsia="zh-CN"/>
                    </w:rPr>
                  </w:pPr>
                  <w:r>
                    <w:rPr>
                      <w:rFonts w:hint="default" w:ascii="Times New Roman" w:hAnsi="Times New Roman" w:cs="Times New Roman"/>
                      <w:color w:val="FF0000"/>
                      <w:kern w:val="0"/>
                      <w:szCs w:val="21"/>
                      <w:lang w:val="en-US" w:eastAsia="zh-CN" w:bidi="ar"/>
                    </w:rPr>
                    <w:t>1.5</w:t>
                  </w:r>
                </w:p>
              </w:tc>
              <w:tc>
                <w:tcPr>
                  <w:tcW w:w="619" w:type="pct"/>
                  <w:tcBorders>
                    <w:tl2br w:val="nil"/>
                    <w:tr2bl w:val="nil"/>
                  </w:tcBorders>
                  <w:vAlign w:val="center"/>
                </w:tcPr>
                <w:p w14:paraId="4D368365">
                  <w:pPr>
                    <w:widowControl/>
                    <w:jc w:val="center"/>
                    <w:textAlignment w:val="center"/>
                    <w:rPr>
                      <w:rFonts w:hint="default" w:ascii="Times New Roman" w:hAnsi="Times New Roman" w:cs="Times New Roman"/>
                      <w:color w:val="FF0000"/>
                      <w:kern w:val="0"/>
                      <w:szCs w:val="21"/>
                      <w:lang w:bidi="ar"/>
                    </w:rPr>
                  </w:pPr>
                  <w:r>
                    <w:rPr>
                      <w:rFonts w:hint="default" w:ascii="Times New Roman" w:hAnsi="Times New Roman" w:cs="Times New Roman"/>
                      <w:color w:val="FF0000"/>
                      <w:kern w:val="0"/>
                      <w:szCs w:val="21"/>
                      <w:lang w:val="en-US" w:eastAsia="zh-CN" w:bidi="ar"/>
                    </w:rPr>
                    <w:t>0.00273</w:t>
                  </w:r>
                </w:p>
              </w:tc>
            </w:tr>
            <w:tr w14:paraId="4D4DD348">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39" w:hRule="atLeast"/>
              </w:trPr>
              <w:tc>
                <w:tcPr>
                  <w:tcW w:w="250" w:type="pct"/>
                  <w:vMerge w:val="continue"/>
                  <w:tcBorders>
                    <w:tl2br w:val="nil"/>
                    <w:tr2bl w:val="nil"/>
                  </w:tcBorders>
                  <w:vAlign w:val="center"/>
                </w:tcPr>
                <w:p w14:paraId="4BE297D1">
                  <w:pPr>
                    <w:jc w:val="center"/>
                    <w:rPr>
                      <w:rFonts w:hint="default" w:ascii="Times New Roman" w:hAnsi="Times New Roman" w:cs="Times New Roman"/>
                      <w:color w:val="FF0000"/>
                    </w:rPr>
                  </w:pPr>
                </w:p>
              </w:tc>
              <w:tc>
                <w:tcPr>
                  <w:tcW w:w="447" w:type="pct"/>
                  <w:vMerge w:val="continue"/>
                  <w:tcBorders>
                    <w:tl2br w:val="nil"/>
                    <w:tr2bl w:val="nil"/>
                  </w:tcBorders>
                  <w:vAlign w:val="center"/>
                </w:tcPr>
                <w:p w14:paraId="69A778A9">
                  <w:pPr>
                    <w:jc w:val="center"/>
                    <w:rPr>
                      <w:rFonts w:hint="default" w:ascii="Times New Roman" w:hAnsi="Times New Roman" w:cs="Times New Roman"/>
                      <w:color w:val="FF0000"/>
                    </w:rPr>
                  </w:pPr>
                </w:p>
              </w:tc>
              <w:tc>
                <w:tcPr>
                  <w:tcW w:w="608" w:type="pct"/>
                  <w:gridSpan w:val="2"/>
                  <w:vMerge w:val="continue"/>
                  <w:tcBorders>
                    <w:tl2br w:val="nil"/>
                    <w:tr2bl w:val="nil"/>
                  </w:tcBorders>
                  <w:vAlign w:val="center"/>
                </w:tcPr>
                <w:p w14:paraId="11738EC7">
                  <w:pPr>
                    <w:jc w:val="center"/>
                    <w:rPr>
                      <w:rFonts w:hint="default" w:ascii="Times New Roman" w:hAnsi="Times New Roman" w:cs="Times New Roman"/>
                      <w:color w:val="FF0000"/>
                    </w:rPr>
                  </w:pPr>
                </w:p>
              </w:tc>
              <w:tc>
                <w:tcPr>
                  <w:tcW w:w="496" w:type="pct"/>
                  <w:tcBorders>
                    <w:tl2br w:val="nil"/>
                    <w:tr2bl w:val="nil"/>
                  </w:tcBorders>
                  <w:vAlign w:val="center"/>
                </w:tcPr>
                <w:p w14:paraId="025E62F3">
                  <w:pPr>
                    <w:widowControl/>
                    <w:jc w:val="center"/>
                    <w:textAlignment w:val="center"/>
                    <w:rPr>
                      <w:rFonts w:hint="default" w:ascii="Times New Roman" w:hAnsi="Times New Roman" w:cs="Times New Roman"/>
                      <w:color w:val="FF0000"/>
                      <w:kern w:val="0"/>
                      <w:szCs w:val="21"/>
                      <w:lang w:bidi="ar"/>
                    </w:rPr>
                  </w:pPr>
                  <w:r>
                    <w:rPr>
                      <w:rFonts w:hint="default" w:ascii="Times New Roman" w:hAnsi="Times New Roman" w:eastAsia="宋体" w:cs="Times New Roman"/>
                      <w:color w:val="FF0000"/>
                      <w:kern w:val="0"/>
                      <w:szCs w:val="21"/>
                      <w:lang w:val="en-US" w:eastAsia="zh-CN" w:bidi="ar"/>
                    </w:rPr>
                    <w:t>H</w:t>
                  </w:r>
                  <w:r>
                    <w:rPr>
                      <w:rFonts w:hint="default" w:ascii="Times New Roman" w:hAnsi="Times New Roman" w:eastAsia="宋体" w:cs="Times New Roman"/>
                      <w:color w:val="FF0000"/>
                      <w:kern w:val="0"/>
                      <w:szCs w:val="21"/>
                      <w:vertAlign w:val="subscript"/>
                      <w:lang w:val="en-US" w:eastAsia="zh-CN" w:bidi="ar"/>
                    </w:rPr>
                    <w:t>2</w:t>
                  </w:r>
                  <w:r>
                    <w:rPr>
                      <w:rFonts w:hint="default" w:ascii="Times New Roman" w:hAnsi="Times New Roman" w:eastAsia="宋体" w:cs="Times New Roman"/>
                      <w:color w:val="FF0000"/>
                      <w:kern w:val="0"/>
                      <w:szCs w:val="21"/>
                      <w:lang w:val="en-US" w:eastAsia="zh-CN" w:bidi="ar"/>
                    </w:rPr>
                    <w:t>S</w:t>
                  </w:r>
                </w:p>
              </w:tc>
              <w:tc>
                <w:tcPr>
                  <w:tcW w:w="713" w:type="pct"/>
                  <w:vMerge w:val="continue"/>
                  <w:tcBorders>
                    <w:tl2br w:val="nil"/>
                    <w:tr2bl w:val="nil"/>
                  </w:tcBorders>
                  <w:vAlign w:val="center"/>
                </w:tcPr>
                <w:p w14:paraId="7558C0B4">
                  <w:pPr>
                    <w:jc w:val="center"/>
                    <w:rPr>
                      <w:rFonts w:hint="default" w:ascii="Times New Roman" w:hAnsi="Times New Roman" w:cs="Times New Roman"/>
                      <w:color w:val="FF0000"/>
                      <w:kern w:val="0"/>
                      <w:szCs w:val="21"/>
                      <w:lang w:bidi="ar"/>
                    </w:rPr>
                  </w:pPr>
                </w:p>
              </w:tc>
              <w:tc>
                <w:tcPr>
                  <w:tcW w:w="1152" w:type="pct"/>
                  <w:vMerge w:val="continue"/>
                  <w:tcBorders>
                    <w:tl2br w:val="nil"/>
                    <w:tr2bl w:val="nil"/>
                  </w:tcBorders>
                  <w:shd w:val="clear" w:color="auto" w:fill="auto"/>
                  <w:vAlign w:val="center"/>
                </w:tcPr>
                <w:p w14:paraId="10D76B23">
                  <w:pPr>
                    <w:jc w:val="center"/>
                    <w:rPr>
                      <w:rFonts w:hint="default" w:ascii="Times New Roman" w:hAnsi="Times New Roman" w:cs="Times New Roman"/>
                      <w:color w:val="FF0000"/>
                      <w:kern w:val="0"/>
                      <w:szCs w:val="21"/>
                      <w:lang w:bidi="ar"/>
                    </w:rPr>
                  </w:pPr>
                </w:p>
              </w:tc>
              <w:tc>
                <w:tcPr>
                  <w:tcW w:w="711" w:type="pct"/>
                  <w:tcBorders>
                    <w:tl2br w:val="nil"/>
                    <w:tr2bl w:val="nil"/>
                  </w:tcBorders>
                  <w:shd w:val="clear" w:color="auto" w:fill="auto"/>
                  <w:vAlign w:val="center"/>
                </w:tcPr>
                <w:p w14:paraId="71AA9ACE">
                  <w:pPr>
                    <w:jc w:val="center"/>
                    <w:rPr>
                      <w:rFonts w:hint="default" w:ascii="Times New Roman" w:hAnsi="Times New Roman" w:eastAsia="宋体" w:cs="Times New Roman"/>
                      <w:color w:val="FF0000"/>
                      <w:kern w:val="0"/>
                      <w:szCs w:val="21"/>
                      <w:lang w:val="en-US" w:eastAsia="zh-CN" w:bidi="ar"/>
                    </w:rPr>
                  </w:pPr>
                  <w:r>
                    <w:rPr>
                      <w:rFonts w:hint="default" w:ascii="Times New Roman" w:hAnsi="Times New Roman" w:cs="Times New Roman"/>
                      <w:color w:val="FF0000"/>
                      <w:kern w:val="0"/>
                      <w:szCs w:val="21"/>
                      <w:lang w:val="en-US" w:eastAsia="zh-CN" w:bidi="ar"/>
                    </w:rPr>
                    <w:t>0.06</w:t>
                  </w:r>
                </w:p>
              </w:tc>
              <w:tc>
                <w:tcPr>
                  <w:tcW w:w="619" w:type="pct"/>
                  <w:tcBorders>
                    <w:tl2br w:val="nil"/>
                    <w:tr2bl w:val="nil"/>
                  </w:tcBorders>
                  <w:vAlign w:val="center"/>
                </w:tcPr>
                <w:p w14:paraId="6BEC7881">
                  <w:pPr>
                    <w:widowControl/>
                    <w:jc w:val="center"/>
                    <w:textAlignment w:val="center"/>
                    <w:rPr>
                      <w:rFonts w:hint="default" w:ascii="Times New Roman" w:hAnsi="Times New Roman" w:cs="Times New Roman"/>
                      <w:color w:val="FF0000"/>
                      <w:kern w:val="0"/>
                      <w:szCs w:val="21"/>
                      <w:lang w:bidi="ar"/>
                    </w:rPr>
                  </w:pPr>
                  <w:r>
                    <w:rPr>
                      <w:rFonts w:hint="default" w:ascii="Times New Roman" w:hAnsi="Times New Roman" w:cs="Times New Roman"/>
                      <w:color w:val="FF0000"/>
                      <w:lang w:val="en-US" w:eastAsia="zh-CN"/>
                    </w:rPr>
                    <w:t>0.00003</w:t>
                  </w:r>
                </w:p>
              </w:tc>
            </w:tr>
            <w:tr w14:paraId="577E507B">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000" w:type="pct"/>
                  <w:gridSpan w:val="9"/>
                  <w:tcBorders>
                    <w:tl2br w:val="nil"/>
                    <w:tr2bl w:val="nil"/>
                  </w:tcBorders>
                  <w:vAlign w:val="center"/>
                </w:tcPr>
                <w:p w14:paraId="36D2FE9B">
                  <w:pPr>
                    <w:jc w:val="center"/>
                    <w:rPr>
                      <w:rFonts w:hint="default" w:ascii="Times New Roman" w:hAnsi="Times New Roman" w:cs="Times New Roman"/>
                      <w:color w:val="FF0000"/>
                      <w:szCs w:val="21"/>
                    </w:rPr>
                  </w:pPr>
                  <w:r>
                    <w:rPr>
                      <w:rFonts w:hint="default" w:ascii="Times New Roman" w:hAnsi="Times New Roman" w:cs="Times New Roman"/>
                      <w:color w:val="FF0000"/>
                      <w:szCs w:val="21"/>
                    </w:rPr>
                    <w:t>无组织排放总计</w:t>
                  </w:r>
                </w:p>
              </w:tc>
            </w:tr>
            <w:tr w14:paraId="7574AB1E">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249" w:type="pct"/>
                  <w:gridSpan w:val="3"/>
                  <w:vMerge w:val="restart"/>
                  <w:tcBorders>
                    <w:tl2br w:val="nil"/>
                    <w:tr2bl w:val="nil"/>
                  </w:tcBorders>
                  <w:vAlign w:val="center"/>
                </w:tcPr>
                <w:p w14:paraId="23E26629">
                  <w:pPr>
                    <w:jc w:val="center"/>
                    <w:rPr>
                      <w:rFonts w:hint="default" w:ascii="Times New Roman" w:hAnsi="Times New Roman" w:cs="Times New Roman"/>
                      <w:color w:val="FF0000"/>
                      <w:szCs w:val="21"/>
                    </w:rPr>
                  </w:pPr>
                  <w:r>
                    <w:rPr>
                      <w:rFonts w:hint="default" w:ascii="Times New Roman" w:hAnsi="Times New Roman" w:cs="Times New Roman"/>
                      <w:color w:val="FF0000"/>
                      <w:szCs w:val="21"/>
                    </w:rPr>
                    <w:t>无组织排放口合计</w:t>
                  </w:r>
                </w:p>
              </w:tc>
              <w:tc>
                <w:tcPr>
                  <w:tcW w:w="1267" w:type="pct"/>
                  <w:gridSpan w:val="3"/>
                  <w:tcBorders>
                    <w:tl2br w:val="nil"/>
                    <w:tr2bl w:val="nil"/>
                  </w:tcBorders>
                  <w:vAlign w:val="center"/>
                </w:tcPr>
                <w:p w14:paraId="3F7606D1">
                  <w:pPr>
                    <w:jc w:val="center"/>
                    <w:rPr>
                      <w:rFonts w:hint="default" w:ascii="Times New Roman" w:hAnsi="Times New Roman" w:cs="Times New Roman"/>
                      <w:color w:val="FF0000"/>
                      <w:szCs w:val="21"/>
                    </w:rPr>
                  </w:pPr>
                  <w:r>
                    <w:rPr>
                      <w:rFonts w:hint="default" w:ascii="Times New Roman" w:hAnsi="Times New Roman" w:cs="Times New Roman"/>
                      <w:color w:val="FF0000"/>
                      <w:szCs w:val="21"/>
                    </w:rPr>
                    <w:t>颗粒物</w:t>
                  </w:r>
                </w:p>
              </w:tc>
              <w:tc>
                <w:tcPr>
                  <w:tcW w:w="2483" w:type="pct"/>
                  <w:gridSpan w:val="3"/>
                  <w:tcBorders>
                    <w:tl2br w:val="nil"/>
                    <w:tr2bl w:val="nil"/>
                  </w:tcBorders>
                  <w:vAlign w:val="center"/>
                </w:tcPr>
                <w:p w14:paraId="2DF04430">
                  <w:pPr>
                    <w:jc w:val="center"/>
                    <w:rPr>
                      <w:rFonts w:hint="default" w:ascii="Times New Roman" w:hAnsi="Times New Roman" w:cs="Times New Roman"/>
                      <w:color w:val="FF0000"/>
                      <w:szCs w:val="21"/>
                    </w:rPr>
                  </w:pPr>
                  <w:r>
                    <w:rPr>
                      <w:rFonts w:hint="default" w:ascii="Times New Roman" w:hAnsi="Times New Roman" w:cs="Times New Roman"/>
                      <w:color w:val="FF0000"/>
                      <w:kern w:val="0"/>
                      <w:szCs w:val="21"/>
                      <w:lang w:bidi="ar"/>
                    </w:rPr>
                    <w:t>0.253</w:t>
                  </w:r>
                </w:p>
              </w:tc>
            </w:tr>
            <w:tr w14:paraId="293E244C">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249" w:type="pct"/>
                  <w:gridSpan w:val="3"/>
                  <w:vMerge w:val="continue"/>
                  <w:tcBorders>
                    <w:tl2br w:val="nil"/>
                    <w:tr2bl w:val="nil"/>
                  </w:tcBorders>
                  <w:vAlign w:val="center"/>
                </w:tcPr>
                <w:p w14:paraId="17D59B42">
                  <w:pPr>
                    <w:jc w:val="center"/>
                    <w:rPr>
                      <w:rFonts w:hint="default" w:ascii="Times New Roman" w:hAnsi="Times New Roman" w:cs="Times New Roman"/>
                      <w:color w:val="FF0000"/>
                      <w:szCs w:val="21"/>
                    </w:rPr>
                  </w:pPr>
                </w:p>
              </w:tc>
              <w:tc>
                <w:tcPr>
                  <w:tcW w:w="1267" w:type="pct"/>
                  <w:gridSpan w:val="3"/>
                  <w:tcBorders>
                    <w:tl2br w:val="nil"/>
                    <w:tr2bl w:val="nil"/>
                  </w:tcBorders>
                  <w:vAlign w:val="center"/>
                </w:tcPr>
                <w:p w14:paraId="78B1E21A">
                  <w:pPr>
                    <w:jc w:val="center"/>
                    <w:rPr>
                      <w:rFonts w:hint="default" w:ascii="Times New Roman" w:hAnsi="Times New Roman" w:cs="Times New Roman"/>
                      <w:color w:val="FF0000"/>
                      <w:szCs w:val="21"/>
                    </w:rPr>
                  </w:pPr>
                  <w:r>
                    <w:rPr>
                      <w:rFonts w:hint="default" w:ascii="Times New Roman" w:hAnsi="Times New Roman" w:cs="Times New Roman"/>
                      <w:color w:val="FF0000"/>
                      <w:kern w:val="0"/>
                      <w:szCs w:val="21"/>
                      <w:lang w:bidi="ar"/>
                    </w:rPr>
                    <w:t>非甲烷总烃</w:t>
                  </w:r>
                </w:p>
              </w:tc>
              <w:tc>
                <w:tcPr>
                  <w:tcW w:w="2483" w:type="pct"/>
                  <w:gridSpan w:val="3"/>
                  <w:tcBorders>
                    <w:tl2br w:val="nil"/>
                    <w:tr2bl w:val="nil"/>
                  </w:tcBorders>
                  <w:vAlign w:val="center"/>
                </w:tcPr>
                <w:p w14:paraId="5B3C0950">
                  <w:pPr>
                    <w:jc w:val="center"/>
                    <w:rPr>
                      <w:rFonts w:hint="default" w:ascii="Times New Roman" w:hAnsi="Times New Roman" w:cs="Times New Roman"/>
                      <w:color w:val="FF0000"/>
                      <w:kern w:val="0"/>
                      <w:szCs w:val="21"/>
                      <w:lang w:bidi="ar"/>
                    </w:rPr>
                  </w:pPr>
                  <w:r>
                    <w:rPr>
                      <w:rFonts w:hint="default" w:ascii="Times New Roman" w:hAnsi="Times New Roman" w:cs="Times New Roman"/>
                      <w:color w:val="FF0000"/>
                      <w:szCs w:val="21"/>
                    </w:rPr>
                    <w:t>0.</w:t>
                  </w:r>
                  <w:r>
                    <w:rPr>
                      <w:rFonts w:hint="default" w:ascii="Times New Roman" w:hAnsi="Times New Roman" w:cs="Times New Roman"/>
                      <w:color w:val="FF0000"/>
                      <w:szCs w:val="21"/>
                      <w:lang w:val="en-US" w:eastAsia="zh-CN"/>
                    </w:rPr>
                    <w:t>0694</w:t>
                  </w:r>
                </w:p>
              </w:tc>
            </w:tr>
            <w:tr w14:paraId="47C63DFD">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249" w:type="pct"/>
                  <w:gridSpan w:val="3"/>
                  <w:vMerge w:val="continue"/>
                  <w:tcBorders>
                    <w:tl2br w:val="nil"/>
                    <w:tr2bl w:val="nil"/>
                  </w:tcBorders>
                  <w:vAlign w:val="center"/>
                </w:tcPr>
                <w:p w14:paraId="1558AABE">
                  <w:pPr>
                    <w:jc w:val="center"/>
                    <w:rPr>
                      <w:rFonts w:hint="default" w:ascii="Times New Roman" w:hAnsi="Times New Roman" w:cs="Times New Roman"/>
                      <w:color w:val="FF0000"/>
                      <w:szCs w:val="21"/>
                    </w:rPr>
                  </w:pPr>
                </w:p>
              </w:tc>
              <w:tc>
                <w:tcPr>
                  <w:tcW w:w="2147" w:type="dxa"/>
                  <w:gridSpan w:val="3"/>
                  <w:tcBorders>
                    <w:tl2br w:val="nil"/>
                    <w:tr2bl w:val="nil"/>
                  </w:tcBorders>
                  <w:vAlign w:val="center"/>
                </w:tcPr>
                <w:p w14:paraId="63D9FA49">
                  <w:pPr>
                    <w:widowControl/>
                    <w:jc w:val="center"/>
                    <w:textAlignment w:val="center"/>
                    <w:rPr>
                      <w:rFonts w:hint="default" w:ascii="Times New Roman" w:hAnsi="Times New Roman" w:cs="Times New Roman"/>
                      <w:color w:val="FF0000"/>
                      <w:kern w:val="0"/>
                      <w:szCs w:val="21"/>
                      <w:lang w:bidi="ar"/>
                    </w:rPr>
                  </w:pPr>
                  <w:r>
                    <w:rPr>
                      <w:rFonts w:hint="default" w:ascii="Times New Roman" w:hAnsi="Times New Roman" w:eastAsia="宋体" w:cs="Times New Roman"/>
                      <w:color w:val="FF0000"/>
                      <w:kern w:val="0"/>
                      <w:szCs w:val="21"/>
                      <w:lang w:val="en-US" w:eastAsia="zh-CN" w:bidi="ar"/>
                    </w:rPr>
                    <w:t>NH</w:t>
                  </w:r>
                  <w:r>
                    <w:rPr>
                      <w:rFonts w:hint="default" w:ascii="Times New Roman" w:hAnsi="Times New Roman" w:eastAsia="宋体" w:cs="Times New Roman"/>
                      <w:color w:val="FF0000"/>
                      <w:kern w:val="0"/>
                      <w:szCs w:val="21"/>
                      <w:vertAlign w:val="subscript"/>
                      <w:lang w:val="en-US" w:eastAsia="zh-CN" w:bidi="ar"/>
                    </w:rPr>
                    <w:t>3</w:t>
                  </w:r>
                </w:p>
              </w:tc>
              <w:tc>
                <w:tcPr>
                  <w:tcW w:w="4207" w:type="dxa"/>
                  <w:gridSpan w:val="3"/>
                  <w:tcBorders>
                    <w:tl2br w:val="nil"/>
                    <w:tr2bl w:val="nil"/>
                  </w:tcBorders>
                  <w:vAlign w:val="center"/>
                </w:tcPr>
                <w:p w14:paraId="4119D89A">
                  <w:pPr>
                    <w:widowControl/>
                    <w:jc w:val="center"/>
                    <w:textAlignment w:val="center"/>
                    <w:rPr>
                      <w:rFonts w:hint="default" w:ascii="Times New Roman" w:hAnsi="Times New Roman" w:cs="Times New Roman"/>
                      <w:color w:val="FF0000"/>
                      <w:kern w:val="0"/>
                      <w:szCs w:val="21"/>
                      <w:lang w:bidi="ar"/>
                    </w:rPr>
                  </w:pPr>
                  <w:r>
                    <w:rPr>
                      <w:rFonts w:hint="default" w:ascii="Times New Roman" w:hAnsi="Times New Roman" w:cs="Times New Roman"/>
                      <w:color w:val="FF0000"/>
                      <w:kern w:val="0"/>
                      <w:szCs w:val="21"/>
                      <w:lang w:val="en-US" w:eastAsia="zh-CN" w:bidi="ar"/>
                    </w:rPr>
                    <w:t>0.00273</w:t>
                  </w:r>
                </w:p>
              </w:tc>
            </w:tr>
            <w:tr w14:paraId="668C28FD">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249" w:type="pct"/>
                  <w:gridSpan w:val="3"/>
                  <w:vMerge w:val="continue"/>
                  <w:tcBorders>
                    <w:tl2br w:val="nil"/>
                    <w:tr2bl w:val="nil"/>
                  </w:tcBorders>
                  <w:vAlign w:val="center"/>
                </w:tcPr>
                <w:p w14:paraId="230FCB5C">
                  <w:pPr>
                    <w:jc w:val="center"/>
                    <w:rPr>
                      <w:rFonts w:hint="default" w:ascii="Times New Roman" w:hAnsi="Times New Roman" w:cs="Times New Roman"/>
                      <w:color w:val="FF0000"/>
                      <w:szCs w:val="21"/>
                    </w:rPr>
                  </w:pPr>
                </w:p>
              </w:tc>
              <w:tc>
                <w:tcPr>
                  <w:tcW w:w="2147" w:type="dxa"/>
                  <w:gridSpan w:val="3"/>
                  <w:tcBorders>
                    <w:tl2br w:val="nil"/>
                    <w:tr2bl w:val="nil"/>
                  </w:tcBorders>
                  <w:vAlign w:val="center"/>
                </w:tcPr>
                <w:p w14:paraId="2EB101D2">
                  <w:pPr>
                    <w:widowControl/>
                    <w:jc w:val="center"/>
                    <w:textAlignment w:val="center"/>
                    <w:rPr>
                      <w:rFonts w:hint="default" w:ascii="Times New Roman" w:hAnsi="Times New Roman" w:cs="Times New Roman"/>
                      <w:color w:val="FF0000"/>
                      <w:kern w:val="0"/>
                      <w:szCs w:val="21"/>
                      <w:lang w:bidi="ar"/>
                    </w:rPr>
                  </w:pPr>
                  <w:r>
                    <w:rPr>
                      <w:rFonts w:hint="default" w:ascii="Times New Roman" w:hAnsi="Times New Roman" w:eastAsia="宋体" w:cs="Times New Roman"/>
                      <w:color w:val="FF0000"/>
                      <w:kern w:val="0"/>
                      <w:szCs w:val="21"/>
                      <w:lang w:val="en-US" w:eastAsia="zh-CN" w:bidi="ar"/>
                    </w:rPr>
                    <w:t>H</w:t>
                  </w:r>
                  <w:r>
                    <w:rPr>
                      <w:rFonts w:hint="default" w:ascii="Times New Roman" w:hAnsi="Times New Roman" w:eastAsia="宋体" w:cs="Times New Roman"/>
                      <w:color w:val="FF0000"/>
                      <w:kern w:val="0"/>
                      <w:szCs w:val="21"/>
                      <w:vertAlign w:val="subscript"/>
                      <w:lang w:val="en-US" w:eastAsia="zh-CN" w:bidi="ar"/>
                    </w:rPr>
                    <w:t>2</w:t>
                  </w:r>
                  <w:r>
                    <w:rPr>
                      <w:rFonts w:hint="default" w:ascii="Times New Roman" w:hAnsi="Times New Roman" w:eastAsia="宋体" w:cs="Times New Roman"/>
                      <w:color w:val="FF0000"/>
                      <w:kern w:val="0"/>
                      <w:szCs w:val="21"/>
                      <w:lang w:val="en-US" w:eastAsia="zh-CN" w:bidi="ar"/>
                    </w:rPr>
                    <w:t>S</w:t>
                  </w:r>
                </w:p>
              </w:tc>
              <w:tc>
                <w:tcPr>
                  <w:tcW w:w="4207" w:type="dxa"/>
                  <w:gridSpan w:val="3"/>
                  <w:tcBorders>
                    <w:tl2br w:val="nil"/>
                    <w:tr2bl w:val="nil"/>
                  </w:tcBorders>
                  <w:vAlign w:val="center"/>
                </w:tcPr>
                <w:p w14:paraId="285C063D">
                  <w:pPr>
                    <w:widowControl/>
                    <w:jc w:val="center"/>
                    <w:textAlignment w:val="center"/>
                    <w:rPr>
                      <w:rFonts w:hint="default" w:ascii="Times New Roman" w:hAnsi="Times New Roman" w:cs="Times New Roman"/>
                      <w:color w:val="FF0000"/>
                      <w:kern w:val="0"/>
                      <w:szCs w:val="21"/>
                      <w:lang w:bidi="ar"/>
                    </w:rPr>
                  </w:pPr>
                  <w:r>
                    <w:rPr>
                      <w:rFonts w:hint="default" w:ascii="Times New Roman" w:hAnsi="Times New Roman" w:cs="Times New Roman"/>
                      <w:color w:val="FF0000"/>
                      <w:lang w:val="en-US" w:eastAsia="zh-CN"/>
                    </w:rPr>
                    <w:t>0.00003</w:t>
                  </w:r>
                </w:p>
              </w:tc>
            </w:tr>
          </w:tbl>
          <w:p w14:paraId="5003301B">
            <w:pPr>
              <w:ind w:firstLine="422" w:firstLineChars="200"/>
              <w:jc w:val="center"/>
              <w:rPr>
                <w:rFonts w:hint="default" w:ascii="Times New Roman" w:hAnsi="Times New Roman" w:cs="Times New Roman"/>
                <w:b/>
                <w:bCs/>
                <w:color w:val="FF0000"/>
              </w:rPr>
            </w:pPr>
            <w:r>
              <w:rPr>
                <w:rFonts w:hint="default" w:ascii="Times New Roman" w:hAnsi="Times New Roman" w:cs="Times New Roman"/>
                <w:b/>
                <w:bCs/>
                <w:color w:val="FF0000"/>
              </w:rPr>
              <w:t>表4-1</w:t>
            </w:r>
            <w:r>
              <w:rPr>
                <w:rFonts w:hint="eastAsia" w:cs="Times New Roman"/>
                <w:b/>
                <w:bCs/>
                <w:color w:val="FF0000"/>
                <w:lang w:val="en-US" w:eastAsia="zh-CN"/>
              </w:rPr>
              <w:t>1</w:t>
            </w:r>
            <w:r>
              <w:rPr>
                <w:rFonts w:hint="default" w:ascii="Times New Roman" w:hAnsi="Times New Roman" w:cs="Times New Roman"/>
                <w:b/>
                <w:bCs/>
                <w:color w:val="FF0000"/>
              </w:rPr>
              <w:t xml:space="preserve">  大气污染物年排放量核算表</w:t>
            </w:r>
          </w:p>
          <w:tbl>
            <w:tblPr>
              <w:tblStyle w:val="34"/>
              <w:tblW w:w="4998" w:type="pct"/>
              <w:tblInd w:w="0" w:type="dxa"/>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823"/>
              <w:gridCol w:w="2824"/>
              <w:gridCol w:w="2824"/>
            </w:tblGrid>
            <w:tr w14:paraId="7318B374">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666" w:type="pct"/>
                  <w:tcBorders>
                    <w:tl2br w:val="nil"/>
                    <w:tr2bl w:val="nil"/>
                  </w:tcBorders>
                  <w:vAlign w:val="center"/>
                </w:tcPr>
                <w:p w14:paraId="25595400">
                  <w:pPr>
                    <w:pStyle w:val="18"/>
                    <w:spacing w:line="240" w:lineRule="auto"/>
                    <w:ind w:left="0" w:leftChars="0"/>
                    <w:jc w:val="center"/>
                    <w:rPr>
                      <w:rFonts w:hint="default" w:ascii="Times New Roman" w:hAnsi="Times New Roman" w:cs="Times New Roman"/>
                      <w:color w:val="FF0000"/>
                      <w:szCs w:val="21"/>
                    </w:rPr>
                  </w:pPr>
                  <w:r>
                    <w:rPr>
                      <w:rFonts w:hint="default" w:ascii="Times New Roman" w:hAnsi="Times New Roman" w:cs="Times New Roman"/>
                      <w:color w:val="FF0000"/>
                      <w:szCs w:val="21"/>
                    </w:rPr>
                    <w:t>序号</w:t>
                  </w:r>
                </w:p>
              </w:tc>
              <w:tc>
                <w:tcPr>
                  <w:tcW w:w="1666" w:type="pct"/>
                  <w:tcBorders>
                    <w:tl2br w:val="nil"/>
                    <w:tr2bl w:val="nil"/>
                  </w:tcBorders>
                  <w:vAlign w:val="center"/>
                </w:tcPr>
                <w:p w14:paraId="6EF855D2">
                  <w:pPr>
                    <w:pStyle w:val="18"/>
                    <w:spacing w:line="240" w:lineRule="auto"/>
                    <w:ind w:left="0" w:leftChars="0"/>
                    <w:jc w:val="center"/>
                    <w:rPr>
                      <w:rFonts w:hint="default" w:ascii="Times New Roman" w:hAnsi="Times New Roman" w:cs="Times New Roman"/>
                      <w:color w:val="FF0000"/>
                      <w:szCs w:val="21"/>
                    </w:rPr>
                  </w:pPr>
                  <w:r>
                    <w:rPr>
                      <w:rFonts w:hint="default" w:ascii="Times New Roman" w:hAnsi="Times New Roman" w:cs="Times New Roman"/>
                      <w:color w:val="FF0000"/>
                      <w:szCs w:val="21"/>
                    </w:rPr>
                    <w:t>污染物</w:t>
                  </w:r>
                </w:p>
              </w:tc>
              <w:tc>
                <w:tcPr>
                  <w:tcW w:w="1666" w:type="pct"/>
                  <w:tcBorders>
                    <w:tl2br w:val="nil"/>
                    <w:tr2bl w:val="nil"/>
                  </w:tcBorders>
                  <w:vAlign w:val="center"/>
                </w:tcPr>
                <w:p w14:paraId="4801409D">
                  <w:pPr>
                    <w:pStyle w:val="18"/>
                    <w:spacing w:line="240" w:lineRule="auto"/>
                    <w:ind w:left="0" w:leftChars="0"/>
                    <w:jc w:val="center"/>
                    <w:rPr>
                      <w:rFonts w:hint="default" w:ascii="Times New Roman" w:hAnsi="Times New Roman" w:cs="Times New Roman"/>
                      <w:color w:val="FF0000"/>
                      <w:szCs w:val="21"/>
                    </w:rPr>
                  </w:pPr>
                  <w:r>
                    <w:rPr>
                      <w:rFonts w:hint="default" w:ascii="Times New Roman" w:hAnsi="Times New Roman" w:cs="Times New Roman"/>
                      <w:color w:val="FF0000"/>
                      <w:szCs w:val="21"/>
                    </w:rPr>
                    <w:t>年排放量（t/a）</w:t>
                  </w:r>
                </w:p>
              </w:tc>
            </w:tr>
            <w:tr w14:paraId="54873CDD">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666" w:type="pct"/>
                  <w:tcBorders>
                    <w:tl2br w:val="nil"/>
                    <w:tr2bl w:val="nil"/>
                  </w:tcBorders>
                  <w:vAlign w:val="center"/>
                </w:tcPr>
                <w:p w14:paraId="15A962FA">
                  <w:pPr>
                    <w:pStyle w:val="18"/>
                    <w:spacing w:line="240" w:lineRule="auto"/>
                    <w:ind w:left="0" w:leftChars="0"/>
                    <w:jc w:val="center"/>
                    <w:rPr>
                      <w:rFonts w:hint="default" w:ascii="Times New Roman" w:hAnsi="Times New Roman" w:cs="Times New Roman"/>
                      <w:color w:val="FF0000"/>
                      <w:szCs w:val="21"/>
                    </w:rPr>
                  </w:pPr>
                  <w:r>
                    <w:rPr>
                      <w:rFonts w:hint="default" w:ascii="Times New Roman" w:hAnsi="Times New Roman" w:cs="Times New Roman"/>
                      <w:color w:val="FF0000"/>
                      <w:szCs w:val="21"/>
                    </w:rPr>
                    <w:t>1</w:t>
                  </w:r>
                </w:p>
              </w:tc>
              <w:tc>
                <w:tcPr>
                  <w:tcW w:w="2824" w:type="dxa"/>
                  <w:tcBorders>
                    <w:tl2br w:val="nil"/>
                    <w:tr2bl w:val="nil"/>
                  </w:tcBorders>
                  <w:vAlign w:val="center"/>
                </w:tcPr>
                <w:p w14:paraId="1E46D1C9">
                  <w:pPr>
                    <w:jc w:val="center"/>
                    <w:rPr>
                      <w:rFonts w:hint="default" w:ascii="Times New Roman" w:hAnsi="Times New Roman" w:cs="Times New Roman"/>
                      <w:color w:val="FF0000"/>
                      <w:szCs w:val="21"/>
                    </w:rPr>
                  </w:pPr>
                  <w:r>
                    <w:rPr>
                      <w:rFonts w:hint="default" w:ascii="Times New Roman" w:hAnsi="Times New Roman" w:cs="Times New Roman"/>
                      <w:color w:val="FF0000"/>
                      <w:szCs w:val="21"/>
                    </w:rPr>
                    <w:t>颗粒物</w:t>
                  </w:r>
                </w:p>
              </w:tc>
              <w:tc>
                <w:tcPr>
                  <w:tcW w:w="2824" w:type="dxa"/>
                  <w:tcBorders>
                    <w:tl2br w:val="nil"/>
                    <w:tr2bl w:val="nil"/>
                  </w:tcBorders>
                  <w:vAlign w:val="center"/>
                </w:tcPr>
                <w:p w14:paraId="1DEAD201">
                  <w:pPr>
                    <w:jc w:val="center"/>
                    <w:rPr>
                      <w:rFonts w:hint="default" w:ascii="Times New Roman" w:hAnsi="Times New Roman" w:cs="Times New Roman"/>
                      <w:color w:val="FF0000"/>
                      <w:szCs w:val="21"/>
                    </w:rPr>
                  </w:pPr>
                  <w:r>
                    <w:rPr>
                      <w:rFonts w:hint="default" w:ascii="Times New Roman" w:hAnsi="Times New Roman" w:cs="Times New Roman"/>
                      <w:color w:val="FF0000"/>
                      <w:kern w:val="0"/>
                      <w:szCs w:val="21"/>
                      <w:lang w:bidi="ar"/>
                    </w:rPr>
                    <w:t>0.253</w:t>
                  </w:r>
                </w:p>
              </w:tc>
            </w:tr>
            <w:tr w14:paraId="364D0F78">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666" w:type="pct"/>
                  <w:tcBorders>
                    <w:tl2br w:val="nil"/>
                    <w:tr2bl w:val="nil"/>
                  </w:tcBorders>
                  <w:vAlign w:val="center"/>
                </w:tcPr>
                <w:p w14:paraId="6336D595">
                  <w:pPr>
                    <w:pStyle w:val="18"/>
                    <w:spacing w:line="240" w:lineRule="auto"/>
                    <w:ind w:left="0" w:leftChars="0"/>
                    <w:jc w:val="center"/>
                    <w:rPr>
                      <w:rFonts w:hint="default" w:ascii="Times New Roman" w:hAnsi="Times New Roman" w:cs="Times New Roman"/>
                      <w:color w:val="FF0000"/>
                      <w:szCs w:val="21"/>
                    </w:rPr>
                  </w:pPr>
                  <w:r>
                    <w:rPr>
                      <w:rFonts w:hint="default" w:ascii="Times New Roman" w:hAnsi="Times New Roman" w:cs="Times New Roman"/>
                      <w:color w:val="FF0000"/>
                      <w:szCs w:val="21"/>
                    </w:rPr>
                    <w:t>2</w:t>
                  </w:r>
                </w:p>
              </w:tc>
              <w:tc>
                <w:tcPr>
                  <w:tcW w:w="2824" w:type="dxa"/>
                  <w:tcBorders>
                    <w:tl2br w:val="nil"/>
                    <w:tr2bl w:val="nil"/>
                  </w:tcBorders>
                  <w:vAlign w:val="center"/>
                </w:tcPr>
                <w:p w14:paraId="49AC932A">
                  <w:pPr>
                    <w:jc w:val="center"/>
                    <w:rPr>
                      <w:rFonts w:hint="default" w:ascii="Times New Roman" w:hAnsi="Times New Roman" w:cs="Times New Roman"/>
                      <w:color w:val="FF0000"/>
                      <w:szCs w:val="21"/>
                    </w:rPr>
                  </w:pPr>
                  <w:r>
                    <w:rPr>
                      <w:rFonts w:hint="default" w:ascii="Times New Roman" w:hAnsi="Times New Roman" w:cs="Times New Roman"/>
                      <w:color w:val="FF0000"/>
                      <w:kern w:val="0"/>
                      <w:szCs w:val="21"/>
                      <w:lang w:bidi="ar"/>
                    </w:rPr>
                    <w:t>非甲烷总烃</w:t>
                  </w:r>
                </w:p>
              </w:tc>
              <w:tc>
                <w:tcPr>
                  <w:tcW w:w="2824" w:type="dxa"/>
                  <w:tcBorders>
                    <w:tl2br w:val="nil"/>
                    <w:tr2bl w:val="nil"/>
                  </w:tcBorders>
                  <w:vAlign w:val="center"/>
                </w:tcPr>
                <w:p w14:paraId="7C968A85">
                  <w:pPr>
                    <w:jc w:val="center"/>
                    <w:rPr>
                      <w:rFonts w:hint="default" w:ascii="Times New Roman" w:hAnsi="Times New Roman" w:cs="Times New Roman"/>
                      <w:color w:val="FF0000"/>
                      <w:szCs w:val="21"/>
                    </w:rPr>
                  </w:pPr>
                  <w:r>
                    <w:rPr>
                      <w:rFonts w:hint="default" w:ascii="Times New Roman" w:hAnsi="Times New Roman" w:cs="Times New Roman"/>
                      <w:color w:val="FF0000"/>
                      <w:szCs w:val="21"/>
                    </w:rPr>
                    <w:t>0.</w:t>
                  </w:r>
                  <w:r>
                    <w:rPr>
                      <w:rFonts w:hint="default" w:ascii="Times New Roman" w:hAnsi="Times New Roman" w:cs="Times New Roman"/>
                      <w:color w:val="FF0000"/>
                      <w:szCs w:val="21"/>
                      <w:lang w:val="en-US" w:eastAsia="zh-CN"/>
                    </w:rPr>
                    <w:t>0694</w:t>
                  </w:r>
                </w:p>
              </w:tc>
            </w:tr>
            <w:tr w14:paraId="38493057">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666" w:type="pct"/>
                  <w:tcBorders>
                    <w:tl2br w:val="nil"/>
                    <w:tr2bl w:val="nil"/>
                  </w:tcBorders>
                  <w:vAlign w:val="center"/>
                </w:tcPr>
                <w:p w14:paraId="0C5DF08C">
                  <w:pPr>
                    <w:pStyle w:val="18"/>
                    <w:spacing w:line="240" w:lineRule="auto"/>
                    <w:ind w:left="0" w:leftChars="0"/>
                    <w:jc w:val="center"/>
                    <w:rPr>
                      <w:rFonts w:hint="default" w:ascii="Times New Roman" w:hAnsi="Times New Roman" w:eastAsia="宋体" w:cs="Times New Roman"/>
                      <w:color w:val="FF0000"/>
                      <w:szCs w:val="21"/>
                      <w:lang w:val="en-US" w:eastAsia="zh-CN"/>
                    </w:rPr>
                  </w:pPr>
                  <w:r>
                    <w:rPr>
                      <w:rFonts w:hint="default" w:ascii="Times New Roman" w:hAnsi="Times New Roman" w:cs="Times New Roman"/>
                      <w:color w:val="FF0000"/>
                      <w:szCs w:val="21"/>
                      <w:lang w:val="en-US" w:eastAsia="zh-CN"/>
                    </w:rPr>
                    <w:t>3</w:t>
                  </w:r>
                </w:p>
              </w:tc>
              <w:tc>
                <w:tcPr>
                  <w:tcW w:w="2824" w:type="dxa"/>
                  <w:tcBorders>
                    <w:tl2br w:val="nil"/>
                    <w:tr2bl w:val="nil"/>
                  </w:tcBorders>
                  <w:vAlign w:val="center"/>
                </w:tcPr>
                <w:p w14:paraId="5CD53630">
                  <w:pPr>
                    <w:widowControl/>
                    <w:jc w:val="center"/>
                    <w:textAlignment w:val="center"/>
                    <w:rPr>
                      <w:rFonts w:hint="default" w:ascii="Times New Roman" w:hAnsi="Times New Roman" w:cs="Times New Roman"/>
                      <w:color w:val="FF0000"/>
                      <w:kern w:val="0"/>
                      <w:szCs w:val="21"/>
                      <w:lang w:bidi="ar"/>
                    </w:rPr>
                  </w:pPr>
                  <w:r>
                    <w:rPr>
                      <w:rFonts w:hint="default" w:ascii="Times New Roman" w:hAnsi="Times New Roman" w:eastAsia="宋体" w:cs="Times New Roman"/>
                      <w:color w:val="FF0000"/>
                      <w:kern w:val="0"/>
                      <w:szCs w:val="21"/>
                      <w:lang w:val="en-US" w:eastAsia="zh-CN" w:bidi="ar"/>
                    </w:rPr>
                    <w:t>NH</w:t>
                  </w:r>
                  <w:r>
                    <w:rPr>
                      <w:rFonts w:hint="default" w:ascii="Times New Roman" w:hAnsi="Times New Roman" w:eastAsia="宋体" w:cs="Times New Roman"/>
                      <w:color w:val="FF0000"/>
                      <w:kern w:val="0"/>
                      <w:szCs w:val="21"/>
                      <w:vertAlign w:val="subscript"/>
                      <w:lang w:val="en-US" w:eastAsia="zh-CN" w:bidi="ar"/>
                    </w:rPr>
                    <w:t>3</w:t>
                  </w:r>
                </w:p>
              </w:tc>
              <w:tc>
                <w:tcPr>
                  <w:tcW w:w="2824" w:type="dxa"/>
                  <w:tcBorders>
                    <w:tl2br w:val="nil"/>
                    <w:tr2bl w:val="nil"/>
                  </w:tcBorders>
                  <w:vAlign w:val="center"/>
                </w:tcPr>
                <w:p w14:paraId="0DA37023">
                  <w:pPr>
                    <w:widowControl/>
                    <w:jc w:val="center"/>
                    <w:textAlignment w:val="center"/>
                    <w:rPr>
                      <w:rFonts w:hint="default" w:ascii="Times New Roman" w:hAnsi="Times New Roman" w:cs="Times New Roman"/>
                      <w:color w:val="FF0000"/>
                      <w:szCs w:val="21"/>
                    </w:rPr>
                  </w:pPr>
                  <w:r>
                    <w:rPr>
                      <w:rFonts w:hint="default" w:ascii="Times New Roman" w:hAnsi="Times New Roman" w:cs="Times New Roman"/>
                      <w:color w:val="FF0000"/>
                      <w:kern w:val="0"/>
                      <w:szCs w:val="21"/>
                      <w:lang w:val="en-US" w:eastAsia="zh-CN" w:bidi="ar"/>
                    </w:rPr>
                    <w:t>0.00273</w:t>
                  </w:r>
                </w:p>
              </w:tc>
            </w:tr>
            <w:tr w14:paraId="7FE6BEBC">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666" w:type="pct"/>
                  <w:tcBorders>
                    <w:tl2br w:val="nil"/>
                    <w:tr2bl w:val="nil"/>
                  </w:tcBorders>
                  <w:vAlign w:val="center"/>
                </w:tcPr>
                <w:p w14:paraId="368A5D25">
                  <w:pPr>
                    <w:pStyle w:val="18"/>
                    <w:spacing w:line="240" w:lineRule="auto"/>
                    <w:ind w:left="0" w:leftChars="0"/>
                    <w:jc w:val="center"/>
                    <w:rPr>
                      <w:rFonts w:hint="default" w:ascii="Times New Roman" w:hAnsi="Times New Roman" w:eastAsia="宋体" w:cs="Times New Roman"/>
                      <w:color w:val="FF0000"/>
                      <w:szCs w:val="21"/>
                      <w:lang w:val="en-US" w:eastAsia="zh-CN"/>
                    </w:rPr>
                  </w:pPr>
                  <w:r>
                    <w:rPr>
                      <w:rFonts w:hint="default" w:ascii="Times New Roman" w:hAnsi="Times New Roman" w:cs="Times New Roman"/>
                      <w:color w:val="FF0000"/>
                      <w:szCs w:val="21"/>
                      <w:lang w:val="en-US" w:eastAsia="zh-CN"/>
                    </w:rPr>
                    <w:t>4</w:t>
                  </w:r>
                </w:p>
              </w:tc>
              <w:tc>
                <w:tcPr>
                  <w:tcW w:w="2824" w:type="dxa"/>
                  <w:tcBorders>
                    <w:tl2br w:val="nil"/>
                    <w:tr2bl w:val="nil"/>
                  </w:tcBorders>
                  <w:vAlign w:val="center"/>
                </w:tcPr>
                <w:p w14:paraId="29BA1BE6">
                  <w:pPr>
                    <w:widowControl/>
                    <w:jc w:val="center"/>
                    <w:textAlignment w:val="center"/>
                    <w:rPr>
                      <w:rFonts w:hint="default" w:ascii="Times New Roman" w:hAnsi="Times New Roman" w:cs="Times New Roman"/>
                      <w:color w:val="FF0000"/>
                      <w:kern w:val="0"/>
                      <w:szCs w:val="21"/>
                      <w:lang w:bidi="ar"/>
                    </w:rPr>
                  </w:pPr>
                  <w:r>
                    <w:rPr>
                      <w:rFonts w:hint="default" w:ascii="Times New Roman" w:hAnsi="Times New Roman" w:eastAsia="宋体" w:cs="Times New Roman"/>
                      <w:color w:val="FF0000"/>
                      <w:kern w:val="0"/>
                      <w:szCs w:val="21"/>
                      <w:lang w:val="en-US" w:eastAsia="zh-CN" w:bidi="ar"/>
                    </w:rPr>
                    <w:t>H</w:t>
                  </w:r>
                  <w:r>
                    <w:rPr>
                      <w:rFonts w:hint="default" w:ascii="Times New Roman" w:hAnsi="Times New Roman" w:eastAsia="宋体" w:cs="Times New Roman"/>
                      <w:color w:val="FF0000"/>
                      <w:kern w:val="0"/>
                      <w:szCs w:val="21"/>
                      <w:vertAlign w:val="subscript"/>
                      <w:lang w:val="en-US" w:eastAsia="zh-CN" w:bidi="ar"/>
                    </w:rPr>
                    <w:t>2</w:t>
                  </w:r>
                  <w:r>
                    <w:rPr>
                      <w:rFonts w:hint="default" w:ascii="Times New Roman" w:hAnsi="Times New Roman" w:eastAsia="宋体" w:cs="Times New Roman"/>
                      <w:color w:val="FF0000"/>
                      <w:kern w:val="0"/>
                      <w:szCs w:val="21"/>
                      <w:lang w:val="en-US" w:eastAsia="zh-CN" w:bidi="ar"/>
                    </w:rPr>
                    <w:t>S</w:t>
                  </w:r>
                </w:p>
              </w:tc>
              <w:tc>
                <w:tcPr>
                  <w:tcW w:w="2824" w:type="dxa"/>
                  <w:tcBorders>
                    <w:tl2br w:val="nil"/>
                    <w:tr2bl w:val="nil"/>
                  </w:tcBorders>
                  <w:vAlign w:val="center"/>
                </w:tcPr>
                <w:p w14:paraId="2919126B">
                  <w:pPr>
                    <w:widowControl/>
                    <w:jc w:val="center"/>
                    <w:textAlignment w:val="center"/>
                    <w:rPr>
                      <w:rFonts w:hint="default" w:ascii="Times New Roman" w:hAnsi="Times New Roman" w:cs="Times New Roman"/>
                      <w:color w:val="FF0000"/>
                      <w:szCs w:val="21"/>
                    </w:rPr>
                  </w:pPr>
                  <w:r>
                    <w:rPr>
                      <w:rFonts w:hint="default" w:ascii="Times New Roman" w:hAnsi="Times New Roman" w:cs="Times New Roman"/>
                      <w:color w:val="FF0000"/>
                      <w:lang w:val="en-US" w:eastAsia="zh-CN"/>
                    </w:rPr>
                    <w:t>0.00003</w:t>
                  </w:r>
                </w:p>
              </w:tc>
            </w:tr>
          </w:tbl>
          <w:p w14:paraId="455751E0">
            <w:pPr>
              <w:widowControl/>
              <w:spacing w:line="360" w:lineRule="auto"/>
              <w:jc w:val="left"/>
              <w:rPr>
                <w:rFonts w:hint="default" w:ascii="Times New Roman" w:hAnsi="Times New Roman" w:cs="Times New Roman"/>
                <w:b/>
                <w:bCs/>
                <w:sz w:val="24"/>
                <w:highlight w:val="none"/>
              </w:rPr>
            </w:pPr>
            <w:r>
              <w:rPr>
                <w:rFonts w:hint="default" w:ascii="Times New Roman" w:hAnsi="Times New Roman" w:cs="Times New Roman"/>
                <w:b/>
                <w:bCs/>
                <w:sz w:val="24"/>
                <w:highlight w:val="none"/>
              </w:rPr>
              <w:t>4、废气达标排放情况分析</w:t>
            </w:r>
          </w:p>
          <w:p w14:paraId="41ECCBB4">
            <w:pPr>
              <w:spacing w:line="360" w:lineRule="auto"/>
              <w:ind w:firstLine="480" w:firstLineChars="200"/>
              <w:rPr>
                <w:rFonts w:hint="default" w:ascii="Times New Roman" w:hAnsi="Times New Roman" w:cs="Times New Roman"/>
                <w:kern w:val="21"/>
                <w:position w:val="-10"/>
                <w:sz w:val="24"/>
                <w:lang w:bidi="zh-CN"/>
              </w:rPr>
            </w:pPr>
            <w:r>
              <w:rPr>
                <w:rFonts w:hint="default" w:ascii="Times New Roman" w:hAnsi="Times New Roman" w:cs="Times New Roman"/>
                <w:kern w:val="21"/>
                <w:position w:val="-10"/>
                <w:sz w:val="24"/>
                <w:lang w:bidi="zh-CN"/>
              </w:rPr>
              <w:t>①有组织污染物达标分析：</w:t>
            </w:r>
          </w:p>
          <w:p w14:paraId="344F7D40">
            <w:pPr>
              <w:pStyle w:val="65"/>
              <w:spacing w:before="0" w:after="0" w:line="240" w:lineRule="auto"/>
              <w:ind w:right="0"/>
              <w:rPr>
                <w:rFonts w:hint="default" w:ascii="Times New Roman" w:hAnsi="Times New Roman" w:eastAsia="宋体" w:cs="Times New Roman"/>
                <w:b/>
                <w:bCs/>
                <w:sz w:val="21"/>
                <w:szCs w:val="21"/>
                <w:highlight w:val="cyan"/>
              </w:rPr>
            </w:pPr>
            <w:r>
              <w:rPr>
                <w:rFonts w:hint="default" w:ascii="Times New Roman" w:hAnsi="Times New Roman" w:eastAsia="宋体" w:cs="Times New Roman"/>
                <w:b/>
                <w:bCs/>
                <w:sz w:val="21"/>
                <w:szCs w:val="21"/>
              </w:rPr>
              <w:t>表4-1</w:t>
            </w:r>
            <w:r>
              <w:rPr>
                <w:rFonts w:hint="eastAsia" w:ascii="Times New Roman" w:eastAsia="宋体" w:cs="Times New Roman"/>
                <w:b/>
                <w:bCs/>
                <w:sz w:val="21"/>
                <w:szCs w:val="21"/>
                <w:lang w:val="en-US" w:eastAsia="zh-CN"/>
              </w:rPr>
              <w:t>2</w:t>
            </w:r>
            <w:r>
              <w:rPr>
                <w:rFonts w:hint="default" w:ascii="Times New Roman" w:hAnsi="Times New Roman" w:eastAsia="宋体" w:cs="Times New Roman"/>
                <w:b/>
                <w:bCs/>
                <w:sz w:val="21"/>
                <w:szCs w:val="21"/>
              </w:rPr>
              <w:t xml:space="preserve">  有组织废气达标分析一览表</w:t>
            </w:r>
          </w:p>
          <w:tbl>
            <w:tblPr>
              <w:tblStyle w:val="34"/>
              <w:tblW w:w="5000" w:type="pct"/>
              <w:jc w:val="center"/>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196"/>
              <w:gridCol w:w="1202"/>
              <w:gridCol w:w="1377"/>
              <w:gridCol w:w="1377"/>
              <w:gridCol w:w="1377"/>
              <w:gridCol w:w="1945"/>
            </w:tblGrid>
            <w:tr w14:paraId="29F23EC7">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05" w:type="pct"/>
                  <w:tcBorders>
                    <w:tl2br w:val="nil"/>
                    <w:tr2bl w:val="nil"/>
                  </w:tcBorders>
                  <w:vAlign w:val="center"/>
                </w:tcPr>
                <w:p w14:paraId="6884D751">
                  <w:pPr>
                    <w:pStyle w:val="86"/>
                    <w:rPr>
                      <w:rFonts w:hint="default" w:ascii="Times New Roman" w:hAnsi="Times New Roman" w:eastAsia="宋体" w:cs="Times New Roman"/>
                    </w:rPr>
                  </w:pPr>
                  <w:r>
                    <w:rPr>
                      <w:rFonts w:hint="default" w:ascii="Times New Roman" w:hAnsi="Times New Roman" w:eastAsia="宋体" w:cs="Times New Roman"/>
                    </w:rPr>
                    <w:t>排放口</w:t>
                  </w:r>
                </w:p>
              </w:tc>
              <w:tc>
                <w:tcPr>
                  <w:tcW w:w="709" w:type="pct"/>
                  <w:tcBorders>
                    <w:tl2br w:val="nil"/>
                    <w:tr2bl w:val="nil"/>
                  </w:tcBorders>
                  <w:vAlign w:val="center"/>
                </w:tcPr>
                <w:p w14:paraId="4B451AD0">
                  <w:pPr>
                    <w:pStyle w:val="86"/>
                    <w:rPr>
                      <w:rFonts w:hint="default" w:ascii="Times New Roman" w:hAnsi="Times New Roman" w:cs="Times New Roman"/>
                    </w:rPr>
                  </w:pPr>
                  <w:r>
                    <w:rPr>
                      <w:rFonts w:hint="default" w:ascii="Times New Roman" w:hAnsi="Times New Roman" w:cs="Times New Roman"/>
                    </w:rPr>
                    <w:t>污染物</w:t>
                  </w:r>
                </w:p>
              </w:tc>
              <w:tc>
                <w:tcPr>
                  <w:tcW w:w="812" w:type="pct"/>
                  <w:tcBorders>
                    <w:tl2br w:val="nil"/>
                    <w:tr2bl w:val="nil"/>
                  </w:tcBorders>
                  <w:vAlign w:val="center"/>
                </w:tcPr>
                <w:p w14:paraId="352275FB">
                  <w:pPr>
                    <w:pStyle w:val="86"/>
                    <w:rPr>
                      <w:rFonts w:hint="default" w:ascii="Times New Roman" w:hAnsi="Times New Roman" w:eastAsia="宋体" w:cs="Times New Roman"/>
                    </w:rPr>
                  </w:pPr>
                  <w:r>
                    <w:rPr>
                      <w:rFonts w:hint="default" w:ascii="Times New Roman" w:hAnsi="Times New Roman" w:eastAsia="宋体" w:cs="Times New Roman"/>
                    </w:rPr>
                    <w:t>本项目有组织排放浓度及速率</w:t>
                  </w:r>
                  <w:r>
                    <w:rPr>
                      <w:rFonts w:hint="default" w:ascii="Times New Roman" w:hAnsi="Times New Roman" w:cs="Times New Roman"/>
                    </w:rPr>
                    <w:t>（mg/m</w:t>
                  </w:r>
                  <w:r>
                    <w:rPr>
                      <w:rFonts w:hint="default" w:ascii="Times New Roman" w:hAnsi="Times New Roman" w:cs="Times New Roman"/>
                      <w:vertAlign w:val="superscript"/>
                    </w:rPr>
                    <w:t>3</w:t>
                  </w:r>
                  <w:r>
                    <w:rPr>
                      <w:rFonts w:hint="default" w:ascii="Times New Roman" w:hAnsi="Times New Roman" w:cs="Times New Roman"/>
                      <w:kern w:val="0"/>
                      <w:lang w:bidi="ar"/>
                    </w:rPr>
                    <w:t>、</w:t>
                  </w:r>
                  <w:r>
                    <w:rPr>
                      <w:rFonts w:hint="default" w:ascii="Times New Roman" w:hAnsi="Times New Roman" w:cs="Times New Roman"/>
                    </w:rPr>
                    <w:t>kg/h）</w:t>
                  </w:r>
                </w:p>
              </w:tc>
              <w:tc>
                <w:tcPr>
                  <w:tcW w:w="812" w:type="pct"/>
                  <w:tcBorders>
                    <w:tl2br w:val="nil"/>
                    <w:tr2bl w:val="nil"/>
                  </w:tcBorders>
                  <w:vAlign w:val="center"/>
                </w:tcPr>
                <w:p w14:paraId="0614DE8D">
                  <w:pPr>
                    <w:pStyle w:val="86"/>
                    <w:rPr>
                      <w:rFonts w:hint="default" w:ascii="Times New Roman" w:hAnsi="Times New Roman" w:cs="Times New Roman"/>
                    </w:rPr>
                  </w:pPr>
                  <w:r>
                    <w:rPr>
                      <w:rFonts w:hint="default" w:ascii="Times New Roman" w:hAnsi="Times New Roman" w:cs="Times New Roman"/>
                    </w:rPr>
                    <w:t>大气污染物特别排放限值（mg/m</w:t>
                  </w:r>
                  <w:r>
                    <w:rPr>
                      <w:rFonts w:hint="default" w:ascii="Times New Roman" w:hAnsi="Times New Roman" w:cs="Times New Roman"/>
                      <w:vertAlign w:val="superscript"/>
                    </w:rPr>
                    <w:t>3</w:t>
                  </w:r>
                  <w:r>
                    <w:rPr>
                      <w:rFonts w:hint="default" w:ascii="Times New Roman" w:hAnsi="Times New Roman" w:cs="Times New Roman"/>
                      <w:kern w:val="0"/>
                      <w:lang w:bidi="ar"/>
                    </w:rPr>
                    <w:t>、</w:t>
                  </w:r>
                  <w:r>
                    <w:rPr>
                      <w:rFonts w:hint="default" w:ascii="Times New Roman" w:hAnsi="Times New Roman" w:cs="Times New Roman"/>
                    </w:rPr>
                    <w:t>kg/h）</w:t>
                  </w:r>
                </w:p>
              </w:tc>
              <w:tc>
                <w:tcPr>
                  <w:tcW w:w="812" w:type="pct"/>
                  <w:tcBorders>
                    <w:tl2br w:val="nil"/>
                    <w:tr2bl w:val="nil"/>
                  </w:tcBorders>
                  <w:vAlign w:val="center"/>
                </w:tcPr>
                <w:p w14:paraId="69AA7BD2">
                  <w:pPr>
                    <w:pStyle w:val="86"/>
                    <w:rPr>
                      <w:rFonts w:hint="default" w:ascii="Times New Roman" w:hAnsi="Times New Roman" w:eastAsia="宋体" w:cs="Times New Roman"/>
                    </w:rPr>
                  </w:pPr>
                  <w:r>
                    <w:rPr>
                      <w:rFonts w:hint="default" w:ascii="Times New Roman" w:hAnsi="Times New Roman" w:eastAsia="宋体" w:cs="Times New Roman"/>
                    </w:rPr>
                    <w:t>达标情况</w:t>
                  </w:r>
                </w:p>
              </w:tc>
              <w:tc>
                <w:tcPr>
                  <w:tcW w:w="1147" w:type="pct"/>
                  <w:tcBorders>
                    <w:tl2br w:val="nil"/>
                    <w:tr2bl w:val="nil"/>
                  </w:tcBorders>
                  <w:vAlign w:val="center"/>
                </w:tcPr>
                <w:p w14:paraId="4C5D14C2">
                  <w:pPr>
                    <w:pStyle w:val="86"/>
                    <w:rPr>
                      <w:rFonts w:hint="default" w:ascii="Times New Roman" w:hAnsi="Times New Roman" w:eastAsia="宋体" w:cs="Times New Roman"/>
                    </w:rPr>
                  </w:pPr>
                  <w:r>
                    <w:rPr>
                      <w:rFonts w:hint="default" w:ascii="Times New Roman" w:hAnsi="Times New Roman" w:eastAsia="宋体" w:cs="Times New Roman"/>
                    </w:rPr>
                    <w:t>执行标准</w:t>
                  </w:r>
                </w:p>
              </w:tc>
            </w:tr>
            <w:tr w14:paraId="58030BDA">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05" w:type="pct"/>
                  <w:tcBorders>
                    <w:tl2br w:val="nil"/>
                    <w:tr2bl w:val="nil"/>
                  </w:tcBorders>
                  <w:vAlign w:val="center"/>
                </w:tcPr>
                <w:p w14:paraId="4D5F2C23">
                  <w:pPr>
                    <w:pStyle w:val="86"/>
                    <w:rPr>
                      <w:rFonts w:hint="default" w:ascii="Times New Roman" w:hAnsi="Times New Roman" w:eastAsia="宋体" w:cs="Times New Roman"/>
                      <w:color w:val="FF0000"/>
                    </w:rPr>
                  </w:pPr>
                  <w:r>
                    <w:rPr>
                      <w:rFonts w:hint="default" w:ascii="Times New Roman" w:hAnsi="Times New Roman" w:eastAsia="宋体" w:cs="Times New Roman"/>
                      <w:color w:val="FF0000"/>
                    </w:rPr>
                    <w:t>DA001</w:t>
                  </w:r>
                </w:p>
              </w:tc>
              <w:tc>
                <w:tcPr>
                  <w:tcW w:w="709" w:type="pct"/>
                  <w:tcBorders>
                    <w:tl2br w:val="nil"/>
                    <w:tr2bl w:val="nil"/>
                  </w:tcBorders>
                  <w:vAlign w:val="center"/>
                </w:tcPr>
                <w:p w14:paraId="572D1E5E">
                  <w:pPr>
                    <w:pStyle w:val="86"/>
                    <w:rPr>
                      <w:rFonts w:hint="default" w:ascii="Times New Roman" w:hAnsi="Times New Roman" w:cs="Times New Roman"/>
                      <w:color w:val="FF0000"/>
                    </w:rPr>
                  </w:pPr>
                  <w:r>
                    <w:rPr>
                      <w:rFonts w:hint="default" w:ascii="Times New Roman" w:hAnsi="Times New Roman" w:cs="Times New Roman"/>
                      <w:color w:val="FF0000"/>
                      <w:kern w:val="0"/>
                      <w:lang w:bidi="ar"/>
                    </w:rPr>
                    <w:t>非甲烷总烃</w:t>
                  </w:r>
                </w:p>
              </w:tc>
              <w:tc>
                <w:tcPr>
                  <w:tcW w:w="812" w:type="pct"/>
                  <w:tcBorders>
                    <w:tl2br w:val="nil"/>
                    <w:tr2bl w:val="nil"/>
                  </w:tcBorders>
                  <w:vAlign w:val="center"/>
                </w:tcPr>
                <w:p w14:paraId="78F2EC50">
                  <w:pPr>
                    <w:widowControl/>
                    <w:jc w:val="center"/>
                    <w:textAlignment w:val="center"/>
                    <w:rPr>
                      <w:rFonts w:hint="default" w:ascii="Times New Roman" w:hAnsi="Times New Roman" w:cs="Times New Roman"/>
                      <w:color w:val="FF0000"/>
                      <w:vertAlign w:val="superscript"/>
                    </w:rPr>
                  </w:pPr>
                  <w:r>
                    <w:rPr>
                      <w:rFonts w:hint="default" w:ascii="Times New Roman" w:hAnsi="Times New Roman" w:cs="Times New Roman"/>
                      <w:color w:val="FF0000"/>
                      <w:kern w:val="0"/>
                      <w:szCs w:val="21"/>
                      <w:lang w:val="en-US" w:eastAsia="zh-CN" w:bidi="ar"/>
                    </w:rPr>
                    <w:t>1.785</w:t>
                  </w:r>
                  <w:r>
                    <w:rPr>
                      <w:rFonts w:hint="default" w:ascii="Times New Roman" w:hAnsi="Times New Roman" w:cs="Times New Roman"/>
                      <w:color w:val="FF0000"/>
                    </w:rPr>
                    <w:t>mg/m</w:t>
                  </w:r>
                  <w:r>
                    <w:rPr>
                      <w:rFonts w:hint="default" w:ascii="Times New Roman" w:hAnsi="Times New Roman" w:cs="Times New Roman"/>
                      <w:color w:val="FF0000"/>
                      <w:vertAlign w:val="superscript"/>
                    </w:rPr>
                    <w:t>3</w:t>
                  </w:r>
                </w:p>
                <w:p w14:paraId="1A60B60C">
                  <w:pPr>
                    <w:widowControl/>
                    <w:jc w:val="center"/>
                    <w:textAlignment w:val="center"/>
                    <w:rPr>
                      <w:rFonts w:hint="default" w:ascii="Times New Roman" w:hAnsi="Times New Roman" w:cs="Times New Roman"/>
                      <w:color w:val="FF0000"/>
                      <w:szCs w:val="21"/>
                    </w:rPr>
                  </w:pPr>
                  <w:r>
                    <w:rPr>
                      <w:rFonts w:hint="default" w:ascii="Times New Roman" w:hAnsi="Times New Roman" w:cs="Times New Roman"/>
                      <w:color w:val="FF0000"/>
                    </w:rPr>
                    <w:t>0.0</w:t>
                  </w:r>
                  <w:r>
                    <w:rPr>
                      <w:rFonts w:hint="default" w:ascii="Times New Roman" w:hAnsi="Times New Roman" w:cs="Times New Roman"/>
                      <w:color w:val="FF0000"/>
                      <w:lang w:val="en-US" w:eastAsia="zh-CN"/>
                    </w:rPr>
                    <w:t>231</w:t>
                  </w:r>
                  <w:r>
                    <w:rPr>
                      <w:rFonts w:hint="default" w:ascii="Times New Roman" w:hAnsi="Times New Roman" w:cs="Times New Roman"/>
                      <w:color w:val="FF0000"/>
                      <w:szCs w:val="21"/>
                    </w:rPr>
                    <w:t>kg/h</w:t>
                  </w:r>
                </w:p>
              </w:tc>
              <w:tc>
                <w:tcPr>
                  <w:tcW w:w="812" w:type="pct"/>
                  <w:tcBorders>
                    <w:tl2br w:val="nil"/>
                    <w:tr2bl w:val="nil"/>
                  </w:tcBorders>
                  <w:vAlign w:val="center"/>
                </w:tcPr>
                <w:p w14:paraId="0B349CF1">
                  <w:pPr>
                    <w:pStyle w:val="86"/>
                    <w:rPr>
                      <w:rFonts w:hint="default" w:ascii="Times New Roman" w:hAnsi="Times New Roman" w:cs="Times New Roman"/>
                      <w:color w:val="FF0000"/>
                      <w:vertAlign w:val="superscript"/>
                    </w:rPr>
                  </w:pPr>
                  <w:r>
                    <w:rPr>
                      <w:rFonts w:hint="default" w:ascii="Times New Roman" w:hAnsi="Times New Roman" w:cs="Times New Roman"/>
                      <w:color w:val="FF0000"/>
                    </w:rPr>
                    <w:t>120mg/m</w:t>
                  </w:r>
                  <w:r>
                    <w:rPr>
                      <w:rFonts w:hint="default" w:ascii="Times New Roman" w:hAnsi="Times New Roman" w:cs="Times New Roman"/>
                      <w:color w:val="FF0000"/>
                      <w:vertAlign w:val="superscript"/>
                    </w:rPr>
                    <w:t>3</w:t>
                  </w:r>
                </w:p>
                <w:p w14:paraId="7C756DF6">
                  <w:pPr>
                    <w:pStyle w:val="86"/>
                    <w:rPr>
                      <w:rFonts w:hint="default" w:ascii="Times New Roman" w:hAnsi="Times New Roman" w:cs="Times New Roman"/>
                      <w:color w:val="FF0000"/>
                    </w:rPr>
                  </w:pPr>
                  <w:r>
                    <w:rPr>
                      <w:rFonts w:hint="default" w:ascii="Times New Roman" w:hAnsi="Times New Roman" w:cs="Times New Roman"/>
                      <w:color w:val="FF0000"/>
                    </w:rPr>
                    <w:t>1</w:t>
                  </w:r>
                  <w:r>
                    <w:rPr>
                      <w:rFonts w:hint="default" w:ascii="Times New Roman" w:hAnsi="Times New Roman" w:cs="Times New Roman"/>
                      <w:color w:val="FF0000"/>
                      <w:lang w:val="en-US" w:eastAsia="zh-CN"/>
                    </w:rPr>
                    <w:t>7.333</w:t>
                  </w:r>
                  <w:r>
                    <w:rPr>
                      <w:rFonts w:hint="default" w:ascii="Times New Roman" w:hAnsi="Times New Roman" w:cs="Times New Roman"/>
                      <w:color w:val="FF0000"/>
                    </w:rPr>
                    <w:t>kg/h</w:t>
                  </w:r>
                </w:p>
              </w:tc>
              <w:tc>
                <w:tcPr>
                  <w:tcW w:w="812" w:type="pct"/>
                  <w:tcBorders>
                    <w:tl2br w:val="nil"/>
                    <w:tr2bl w:val="nil"/>
                  </w:tcBorders>
                  <w:vAlign w:val="center"/>
                </w:tcPr>
                <w:p w14:paraId="40088136">
                  <w:pPr>
                    <w:pStyle w:val="86"/>
                    <w:rPr>
                      <w:rFonts w:hint="default" w:ascii="Times New Roman" w:hAnsi="Times New Roman" w:eastAsia="宋体" w:cs="Times New Roman"/>
                      <w:color w:val="FF0000"/>
                    </w:rPr>
                  </w:pPr>
                  <w:r>
                    <w:rPr>
                      <w:rFonts w:hint="default" w:ascii="Times New Roman" w:hAnsi="Times New Roman" w:eastAsia="宋体" w:cs="Times New Roman"/>
                      <w:color w:val="FF0000"/>
                    </w:rPr>
                    <w:t>达标</w:t>
                  </w:r>
                </w:p>
              </w:tc>
              <w:tc>
                <w:tcPr>
                  <w:tcW w:w="1147" w:type="pct"/>
                  <w:vMerge w:val="restart"/>
                  <w:tcBorders>
                    <w:tl2br w:val="nil"/>
                    <w:tr2bl w:val="nil"/>
                  </w:tcBorders>
                  <w:vAlign w:val="center"/>
                </w:tcPr>
                <w:p w14:paraId="2151BE6C">
                  <w:pPr>
                    <w:pStyle w:val="86"/>
                    <w:rPr>
                      <w:rFonts w:hint="default" w:ascii="Times New Roman" w:hAnsi="Times New Roman" w:cs="Times New Roman"/>
                    </w:rPr>
                  </w:pPr>
                  <w:r>
                    <w:rPr>
                      <w:rFonts w:hint="default" w:ascii="Times New Roman" w:hAnsi="Times New Roman" w:cs="Times New Roman"/>
                    </w:rPr>
                    <w:t>《大气污染物综合排放标准》（GB16297-1996）表2</w:t>
                  </w:r>
                </w:p>
              </w:tc>
            </w:tr>
            <w:tr w14:paraId="7E427470">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05" w:type="pct"/>
                  <w:tcBorders>
                    <w:tl2br w:val="nil"/>
                    <w:tr2bl w:val="nil"/>
                  </w:tcBorders>
                  <w:vAlign w:val="center"/>
                </w:tcPr>
                <w:p w14:paraId="07EA8324">
                  <w:pPr>
                    <w:jc w:val="center"/>
                    <w:rPr>
                      <w:rFonts w:hint="default" w:ascii="Times New Roman" w:hAnsi="Times New Roman" w:cs="Times New Roman"/>
                      <w:color w:val="FF0000"/>
                    </w:rPr>
                  </w:pPr>
                  <w:r>
                    <w:rPr>
                      <w:rFonts w:hint="default" w:ascii="Times New Roman" w:hAnsi="Times New Roman" w:cs="Times New Roman"/>
                      <w:color w:val="FF0000"/>
                    </w:rPr>
                    <w:t>DA002</w:t>
                  </w:r>
                </w:p>
              </w:tc>
              <w:tc>
                <w:tcPr>
                  <w:tcW w:w="709" w:type="pct"/>
                  <w:tcBorders>
                    <w:tl2br w:val="nil"/>
                    <w:tr2bl w:val="nil"/>
                  </w:tcBorders>
                  <w:vAlign w:val="center"/>
                </w:tcPr>
                <w:p w14:paraId="4AB5A07E">
                  <w:pPr>
                    <w:jc w:val="center"/>
                    <w:rPr>
                      <w:rFonts w:hint="default" w:ascii="Times New Roman" w:hAnsi="Times New Roman" w:cs="Times New Roman"/>
                      <w:color w:val="FF0000"/>
                    </w:rPr>
                  </w:pPr>
                  <w:r>
                    <w:rPr>
                      <w:rFonts w:hint="default" w:ascii="Times New Roman" w:hAnsi="Times New Roman" w:cs="Times New Roman"/>
                      <w:color w:val="FF0000"/>
                    </w:rPr>
                    <w:t>颗粒物</w:t>
                  </w:r>
                </w:p>
              </w:tc>
              <w:tc>
                <w:tcPr>
                  <w:tcW w:w="812" w:type="pct"/>
                  <w:tcBorders>
                    <w:tl2br w:val="nil"/>
                    <w:tr2bl w:val="nil"/>
                  </w:tcBorders>
                  <w:vAlign w:val="center"/>
                </w:tcPr>
                <w:p w14:paraId="34DAE641">
                  <w:pPr>
                    <w:pStyle w:val="86"/>
                    <w:rPr>
                      <w:rFonts w:hint="default" w:ascii="Times New Roman" w:hAnsi="Times New Roman" w:cs="Times New Roman"/>
                      <w:color w:val="FF0000"/>
                      <w:vertAlign w:val="superscript"/>
                    </w:rPr>
                  </w:pPr>
                  <w:r>
                    <w:rPr>
                      <w:rFonts w:hint="default" w:ascii="Times New Roman" w:hAnsi="Times New Roman" w:cs="Times New Roman"/>
                      <w:color w:val="FF0000"/>
                      <w:kern w:val="0"/>
                      <w:szCs w:val="21"/>
                      <w:lang w:eastAsia="zh-CN" w:bidi="ar"/>
                    </w:rPr>
                    <w:t>1.026</w:t>
                  </w:r>
                  <w:r>
                    <w:rPr>
                      <w:rFonts w:hint="default" w:ascii="Times New Roman" w:hAnsi="Times New Roman" w:cs="Times New Roman"/>
                      <w:color w:val="FF0000"/>
                    </w:rPr>
                    <w:t>mg/m</w:t>
                  </w:r>
                  <w:r>
                    <w:rPr>
                      <w:rFonts w:hint="default" w:ascii="Times New Roman" w:hAnsi="Times New Roman" w:cs="Times New Roman"/>
                      <w:color w:val="FF0000"/>
                      <w:vertAlign w:val="superscript"/>
                    </w:rPr>
                    <w:t>3</w:t>
                  </w:r>
                </w:p>
                <w:p w14:paraId="4CC01558">
                  <w:pPr>
                    <w:pStyle w:val="86"/>
                    <w:rPr>
                      <w:rFonts w:hint="default" w:ascii="Times New Roman" w:hAnsi="Times New Roman" w:eastAsia="宋体" w:cs="Times New Roman"/>
                      <w:color w:val="FF0000"/>
                    </w:rPr>
                  </w:pPr>
                  <w:r>
                    <w:rPr>
                      <w:rFonts w:hint="default" w:ascii="Times New Roman" w:hAnsi="Times New Roman" w:cs="Times New Roman"/>
                      <w:color w:val="FF0000"/>
                      <w:kern w:val="0"/>
                      <w:szCs w:val="21"/>
                      <w:lang w:eastAsia="en-US" w:bidi="ar"/>
                    </w:rPr>
                    <w:t>0.0</w:t>
                  </w:r>
                  <w:r>
                    <w:rPr>
                      <w:rFonts w:hint="default" w:ascii="Times New Roman" w:hAnsi="Times New Roman" w:cs="Times New Roman"/>
                      <w:color w:val="FF0000"/>
                      <w:kern w:val="0"/>
                      <w:szCs w:val="21"/>
                      <w:lang w:val="en-US" w:eastAsia="zh-CN" w:bidi="ar"/>
                    </w:rPr>
                    <w:t>77</w:t>
                  </w:r>
                  <w:r>
                    <w:rPr>
                      <w:rFonts w:hint="default" w:ascii="Times New Roman" w:hAnsi="Times New Roman" w:cs="Times New Roman"/>
                      <w:color w:val="FF0000"/>
                    </w:rPr>
                    <w:t>kg/h</w:t>
                  </w:r>
                </w:p>
              </w:tc>
              <w:tc>
                <w:tcPr>
                  <w:tcW w:w="812" w:type="pct"/>
                  <w:tcBorders>
                    <w:tl2br w:val="nil"/>
                    <w:tr2bl w:val="nil"/>
                  </w:tcBorders>
                  <w:vAlign w:val="center"/>
                </w:tcPr>
                <w:p w14:paraId="7FFFA09D">
                  <w:pPr>
                    <w:pStyle w:val="86"/>
                    <w:rPr>
                      <w:rFonts w:hint="default" w:ascii="Times New Roman" w:hAnsi="Times New Roman" w:cs="Times New Roman"/>
                      <w:color w:val="FF0000"/>
                      <w:vertAlign w:val="superscript"/>
                    </w:rPr>
                  </w:pPr>
                  <w:r>
                    <w:rPr>
                      <w:rFonts w:hint="default" w:ascii="Times New Roman" w:hAnsi="Times New Roman" w:cs="Times New Roman"/>
                      <w:color w:val="FF0000"/>
                    </w:rPr>
                    <w:t>120mg/m</w:t>
                  </w:r>
                  <w:r>
                    <w:rPr>
                      <w:rFonts w:hint="default" w:ascii="Times New Roman" w:hAnsi="Times New Roman" w:cs="Times New Roman"/>
                      <w:color w:val="FF0000"/>
                      <w:vertAlign w:val="superscript"/>
                    </w:rPr>
                    <w:t>3</w:t>
                  </w:r>
                </w:p>
                <w:p w14:paraId="0CC1AA76">
                  <w:pPr>
                    <w:pStyle w:val="86"/>
                    <w:rPr>
                      <w:rFonts w:hint="default" w:ascii="Times New Roman" w:hAnsi="Times New Roman" w:eastAsia="宋体" w:cs="Times New Roman"/>
                      <w:color w:val="FF0000"/>
                    </w:rPr>
                  </w:pPr>
                  <w:r>
                    <w:rPr>
                      <w:rFonts w:hint="default" w:ascii="Times New Roman" w:hAnsi="Times New Roman" w:cs="Times New Roman"/>
                      <w:color w:val="FF0000"/>
                      <w:szCs w:val="21"/>
                      <w:lang w:val="en-US" w:eastAsia="zh-CN"/>
                    </w:rPr>
                    <w:t>6.067</w:t>
                  </w:r>
                  <w:r>
                    <w:rPr>
                      <w:rFonts w:hint="default" w:ascii="Times New Roman" w:hAnsi="Times New Roman" w:cs="Times New Roman"/>
                      <w:color w:val="FF0000"/>
                    </w:rPr>
                    <w:t>kg/h</w:t>
                  </w:r>
                </w:p>
              </w:tc>
              <w:tc>
                <w:tcPr>
                  <w:tcW w:w="812" w:type="pct"/>
                  <w:tcBorders>
                    <w:tl2br w:val="nil"/>
                    <w:tr2bl w:val="nil"/>
                  </w:tcBorders>
                  <w:vAlign w:val="center"/>
                </w:tcPr>
                <w:p w14:paraId="7CB53B6B">
                  <w:pPr>
                    <w:jc w:val="center"/>
                    <w:rPr>
                      <w:rFonts w:hint="default" w:ascii="Times New Roman" w:hAnsi="Times New Roman" w:cs="Times New Roman"/>
                      <w:color w:val="FF0000"/>
                      <w:szCs w:val="21"/>
                    </w:rPr>
                  </w:pPr>
                  <w:r>
                    <w:rPr>
                      <w:rFonts w:hint="default" w:ascii="Times New Roman" w:hAnsi="Times New Roman" w:cs="Times New Roman"/>
                      <w:color w:val="FF0000"/>
                    </w:rPr>
                    <w:t>达标</w:t>
                  </w:r>
                </w:p>
              </w:tc>
              <w:tc>
                <w:tcPr>
                  <w:tcW w:w="1147" w:type="pct"/>
                  <w:vMerge w:val="continue"/>
                  <w:tcBorders>
                    <w:tl2br w:val="nil"/>
                    <w:tr2bl w:val="nil"/>
                  </w:tcBorders>
                  <w:vAlign w:val="center"/>
                </w:tcPr>
                <w:p w14:paraId="4FB56DCF">
                  <w:pPr>
                    <w:pStyle w:val="86"/>
                    <w:rPr>
                      <w:rFonts w:hint="default" w:ascii="Times New Roman" w:hAnsi="Times New Roman" w:cs="Times New Roman"/>
                    </w:rPr>
                  </w:pPr>
                </w:p>
              </w:tc>
            </w:tr>
          </w:tbl>
          <w:p w14:paraId="00E1203E">
            <w:pPr>
              <w:spacing w:line="360" w:lineRule="auto"/>
              <w:ind w:firstLine="480" w:firstLineChars="200"/>
              <w:rPr>
                <w:rFonts w:hint="default" w:ascii="Times New Roman" w:hAnsi="Times New Roman" w:cs="Times New Roman"/>
                <w:sz w:val="24"/>
              </w:rPr>
            </w:pPr>
            <w:r>
              <w:rPr>
                <w:rFonts w:hint="default" w:ascii="Times New Roman" w:hAnsi="Times New Roman" w:cs="Times New Roman"/>
                <w:sz w:val="24"/>
              </w:rPr>
              <w:t>②无组织废气达标分析：</w:t>
            </w:r>
          </w:p>
          <w:p w14:paraId="579EA484">
            <w:pPr>
              <w:tabs>
                <w:tab w:val="left" w:pos="4800"/>
                <w:tab w:val="left" w:pos="6165"/>
              </w:tabs>
              <w:spacing w:line="360" w:lineRule="auto"/>
              <w:ind w:firstLine="480" w:firstLineChars="200"/>
              <w:rPr>
                <w:rFonts w:hint="default" w:ascii="Times New Roman" w:hAnsi="Times New Roman" w:cs="Times New Roman"/>
                <w:bCs/>
                <w:sz w:val="24"/>
              </w:rPr>
            </w:pPr>
            <w:r>
              <w:rPr>
                <w:rFonts w:hint="default" w:ascii="Times New Roman" w:hAnsi="Times New Roman" w:cs="Times New Roman"/>
                <w:bCs/>
                <w:sz w:val="24"/>
              </w:rPr>
              <w:t>本次达标分析采用AERSCREEN估算模型确定无组织废气的厂界排放浓度。</w:t>
            </w:r>
          </w:p>
          <w:p w14:paraId="7C1A4C6B">
            <w:pPr>
              <w:pStyle w:val="10"/>
              <w:spacing w:line="240" w:lineRule="auto"/>
              <w:rPr>
                <w:rFonts w:hint="default" w:ascii="Times New Roman" w:hAnsi="Times New Roman" w:cs="Times New Roman"/>
                <w:b/>
                <w:bCs/>
                <w:sz w:val="21"/>
                <w:szCs w:val="21"/>
              </w:rPr>
            </w:pPr>
            <w:r>
              <w:rPr>
                <w:rFonts w:hint="default" w:ascii="Times New Roman" w:hAnsi="Times New Roman" w:cs="Times New Roman"/>
                <w:b/>
                <w:bCs/>
                <w:sz w:val="21"/>
                <w:szCs w:val="21"/>
              </w:rPr>
              <w:t>表4-1</w:t>
            </w:r>
            <w:r>
              <w:rPr>
                <w:rFonts w:hint="eastAsia" w:cs="Times New Roman"/>
                <w:b/>
                <w:bCs/>
                <w:sz w:val="21"/>
                <w:szCs w:val="21"/>
                <w:lang w:val="en-US" w:eastAsia="zh-CN"/>
              </w:rPr>
              <w:t>3</w:t>
            </w:r>
            <w:r>
              <w:rPr>
                <w:rFonts w:hint="default" w:ascii="Times New Roman" w:hAnsi="Times New Roman" w:cs="Times New Roman"/>
                <w:b/>
                <w:bCs/>
                <w:sz w:val="21"/>
                <w:szCs w:val="21"/>
              </w:rPr>
              <w:t xml:space="preserve">    估算模型参数表</w:t>
            </w:r>
          </w:p>
          <w:tbl>
            <w:tblPr>
              <w:tblStyle w:val="120"/>
              <w:tblW w:w="4999" w:type="pct"/>
              <w:jc w:val="center"/>
              <w:tblBorders>
                <w:top w:val="double" w:color="auto" w:sz="4" w:space="0"/>
                <w:left w:val="none" w:color="auto" w:sz="0" w:space="0"/>
                <w:bottom w:val="double" w:color="auto" w:sz="4" w:space="0"/>
                <w:right w:val="none" w:color="auto" w:sz="0" w:space="0"/>
                <w:insideH w:val="single" w:color="auto" w:sz="2" w:space="0"/>
                <w:insideV w:val="single" w:color="auto" w:sz="2" w:space="0"/>
              </w:tblBorders>
              <w:tblLayout w:type="fixed"/>
              <w:tblCellMar>
                <w:top w:w="0" w:type="dxa"/>
                <w:left w:w="108" w:type="dxa"/>
                <w:bottom w:w="0" w:type="dxa"/>
                <w:right w:w="108" w:type="dxa"/>
              </w:tblCellMar>
            </w:tblPr>
            <w:tblGrid>
              <w:gridCol w:w="1539"/>
              <w:gridCol w:w="4469"/>
              <w:gridCol w:w="2464"/>
            </w:tblGrid>
            <w:tr w14:paraId="6326A6F1">
              <w:tblPrEx>
                <w:tblBorders>
                  <w:top w:val="double" w:color="auto" w:sz="4" w:space="0"/>
                  <w:left w:val="none" w:color="auto" w:sz="0" w:space="0"/>
                  <w:bottom w:val="double" w:color="auto" w:sz="4"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527" w:hRule="atLeast"/>
                <w:jc w:val="center"/>
              </w:trPr>
              <w:tc>
                <w:tcPr>
                  <w:tcW w:w="3545" w:type="pct"/>
                  <w:gridSpan w:val="2"/>
                  <w:tcBorders>
                    <w:tl2br w:val="nil"/>
                    <w:tr2bl w:val="nil"/>
                  </w:tcBorders>
                  <w:shd w:val="clear" w:color="auto" w:fill="auto"/>
                  <w:vAlign w:val="center"/>
                </w:tcPr>
                <w:p w14:paraId="17F2A2D4">
                  <w:pPr>
                    <w:pStyle w:val="24"/>
                    <w:adjustRightInd/>
                    <w:snapToGrid/>
                    <w:spacing w:before="0" w:after="0" w:line="240" w:lineRule="auto"/>
                    <w:ind w:right="0" w:firstLine="0" w:firstLineChars="0"/>
                    <w:rPr>
                      <w:rFonts w:hint="default" w:ascii="Times New Roman" w:hAnsi="Times New Roman" w:cs="Times New Roman"/>
                      <w:b/>
                      <w:bCs/>
                      <w:spacing w:val="0"/>
                      <w:sz w:val="21"/>
                      <w:szCs w:val="21"/>
                    </w:rPr>
                  </w:pPr>
                  <w:r>
                    <w:rPr>
                      <w:rFonts w:hint="default" w:ascii="Times New Roman" w:hAnsi="Times New Roman" w:cs="Times New Roman"/>
                      <w:b/>
                      <w:bCs/>
                      <w:spacing w:val="0"/>
                      <w:sz w:val="21"/>
                      <w:szCs w:val="21"/>
                    </w:rPr>
                    <w:t>参数</w:t>
                  </w:r>
                </w:p>
              </w:tc>
              <w:tc>
                <w:tcPr>
                  <w:tcW w:w="1454" w:type="pct"/>
                  <w:tcBorders>
                    <w:tl2br w:val="nil"/>
                    <w:tr2bl w:val="nil"/>
                  </w:tcBorders>
                  <w:shd w:val="clear" w:color="auto" w:fill="auto"/>
                  <w:noWrap/>
                  <w:vAlign w:val="center"/>
                </w:tcPr>
                <w:p w14:paraId="525D5F87">
                  <w:pPr>
                    <w:pStyle w:val="24"/>
                    <w:adjustRightInd/>
                    <w:snapToGrid/>
                    <w:spacing w:before="0" w:after="0" w:line="240" w:lineRule="auto"/>
                    <w:ind w:right="0" w:firstLine="0" w:firstLineChars="0"/>
                    <w:rPr>
                      <w:rFonts w:hint="default" w:ascii="Times New Roman" w:hAnsi="Times New Roman" w:cs="Times New Roman"/>
                      <w:b/>
                      <w:bCs/>
                      <w:spacing w:val="0"/>
                      <w:sz w:val="21"/>
                      <w:szCs w:val="21"/>
                    </w:rPr>
                  </w:pPr>
                  <w:r>
                    <w:rPr>
                      <w:rFonts w:hint="default" w:ascii="Times New Roman" w:hAnsi="Times New Roman" w:cs="Times New Roman"/>
                      <w:b/>
                      <w:bCs/>
                      <w:spacing w:val="0"/>
                      <w:sz w:val="21"/>
                      <w:szCs w:val="21"/>
                    </w:rPr>
                    <w:t>取值</w:t>
                  </w:r>
                </w:p>
              </w:tc>
            </w:tr>
            <w:tr w14:paraId="6B7B5572">
              <w:tblPrEx>
                <w:tblBorders>
                  <w:top w:val="double" w:color="auto" w:sz="4" w:space="0"/>
                  <w:left w:val="none" w:color="auto" w:sz="0" w:space="0"/>
                  <w:bottom w:val="double" w:color="auto" w:sz="4" w:space="0"/>
                  <w:right w:val="none" w:color="auto" w:sz="0" w:space="0"/>
                  <w:insideH w:val="single" w:color="auto" w:sz="2" w:space="0"/>
                  <w:insideV w:val="single" w:color="auto" w:sz="2" w:space="0"/>
                </w:tblBorders>
                <w:tblCellMar>
                  <w:top w:w="0" w:type="dxa"/>
                  <w:left w:w="108" w:type="dxa"/>
                  <w:bottom w:w="0" w:type="dxa"/>
                  <w:right w:w="108" w:type="dxa"/>
                </w:tblCellMar>
              </w:tblPrEx>
              <w:trPr>
                <w:jc w:val="center"/>
              </w:trPr>
              <w:tc>
                <w:tcPr>
                  <w:tcW w:w="908" w:type="pct"/>
                  <w:vMerge w:val="restart"/>
                  <w:tcBorders>
                    <w:tl2br w:val="nil"/>
                    <w:tr2bl w:val="nil"/>
                  </w:tcBorders>
                  <w:shd w:val="clear" w:color="auto" w:fill="auto"/>
                  <w:vAlign w:val="center"/>
                </w:tcPr>
                <w:p w14:paraId="5CDF50C7">
                  <w:pPr>
                    <w:pStyle w:val="24"/>
                    <w:adjustRightInd/>
                    <w:snapToGrid/>
                    <w:spacing w:before="0" w:after="0" w:line="240" w:lineRule="auto"/>
                    <w:ind w:right="0"/>
                    <w:rPr>
                      <w:rFonts w:hint="default" w:ascii="Times New Roman" w:hAnsi="Times New Roman" w:cs="Times New Roman"/>
                      <w:spacing w:val="0"/>
                      <w:sz w:val="21"/>
                      <w:szCs w:val="21"/>
                    </w:rPr>
                  </w:pPr>
                  <w:r>
                    <w:rPr>
                      <w:rFonts w:hint="default" w:ascii="Times New Roman" w:hAnsi="Times New Roman" w:cs="Times New Roman"/>
                      <w:spacing w:val="0"/>
                      <w:sz w:val="21"/>
                      <w:szCs w:val="21"/>
                    </w:rPr>
                    <w:t>城市/农村选项</w:t>
                  </w:r>
                </w:p>
              </w:tc>
              <w:tc>
                <w:tcPr>
                  <w:tcW w:w="2637" w:type="pct"/>
                  <w:tcBorders>
                    <w:tl2br w:val="nil"/>
                    <w:tr2bl w:val="nil"/>
                  </w:tcBorders>
                  <w:shd w:val="clear" w:color="auto" w:fill="auto"/>
                  <w:noWrap/>
                  <w:vAlign w:val="center"/>
                </w:tcPr>
                <w:p w14:paraId="7E2ACB57">
                  <w:pPr>
                    <w:pStyle w:val="24"/>
                    <w:adjustRightInd/>
                    <w:snapToGrid/>
                    <w:spacing w:before="0" w:after="0" w:line="240" w:lineRule="auto"/>
                    <w:ind w:right="0"/>
                    <w:rPr>
                      <w:rFonts w:hint="default" w:ascii="Times New Roman" w:hAnsi="Times New Roman" w:cs="Times New Roman"/>
                      <w:spacing w:val="0"/>
                      <w:sz w:val="21"/>
                      <w:szCs w:val="21"/>
                    </w:rPr>
                  </w:pPr>
                  <w:r>
                    <w:rPr>
                      <w:rFonts w:hint="default" w:ascii="Times New Roman" w:hAnsi="Times New Roman" w:cs="Times New Roman"/>
                      <w:spacing w:val="0"/>
                      <w:sz w:val="21"/>
                      <w:szCs w:val="21"/>
                    </w:rPr>
                    <w:t>城市/农村</w:t>
                  </w:r>
                </w:p>
              </w:tc>
              <w:tc>
                <w:tcPr>
                  <w:tcW w:w="1454" w:type="pct"/>
                  <w:tcBorders>
                    <w:tl2br w:val="nil"/>
                    <w:tr2bl w:val="nil"/>
                  </w:tcBorders>
                  <w:shd w:val="clear" w:color="auto" w:fill="auto"/>
                  <w:noWrap/>
                  <w:vAlign w:val="center"/>
                </w:tcPr>
                <w:p w14:paraId="4AC7BBC5">
                  <w:pPr>
                    <w:pStyle w:val="24"/>
                    <w:adjustRightInd/>
                    <w:snapToGrid/>
                    <w:spacing w:before="0" w:after="0" w:line="240" w:lineRule="auto"/>
                    <w:ind w:right="0"/>
                    <w:rPr>
                      <w:rFonts w:hint="default" w:ascii="Times New Roman" w:hAnsi="Times New Roman" w:cs="Times New Roman"/>
                      <w:spacing w:val="0"/>
                      <w:sz w:val="21"/>
                      <w:szCs w:val="21"/>
                    </w:rPr>
                  </w:pPr>
                  <w:r>
                    <w:rPr>
                      <w:rFonts w:hint="default" w:ascii="Times New Roman" w:hAnsi="Times New Roman" w:cs="Times New Roman"/>
                      <w:spacing w:val="0"/>
                      <w:sz w:val="21"/>
                      <w:szCs w:val="21"/>
                    </w:rPr>
                    <w:t>农村</w:t>
                  </w:r>
                </w:p>
              </w:tc>
            </w:tr>
            <w:tr w14:paraId="2C9D1E29">
              <w:tblPrEx>
                <w:tblBorders>
                  <w:top w:val="double" w:color="auto" w:sz="4" w:space="0"/>
                  <w:left w:val="none" w:color="auto" w:sz="0" w:space="0"/>
                  <w:bottom w:val="double" w:color="auto" w:sz="4" w:space="0"/>
                  <w:right w:val="none" w:color="auto" w:sz="0" w:space="0"/>
                  <w:insideH w:val="single" w:color="auto" w:sz="2" w:space="0"/>
                  <w:insideV w:val="single" w:color="auto" w:sz="2" w:space="0"/>
                </w:tblBorders>
                <w:tblCellMar>
                  <w:top w:w="0" w:type="dxa"/>
                  <w:left w:w="108" w:type="dxa"/>
                  <w:bottom w:w="0" w:type="dxa"/>
                  <w:right w:w="108" w:type="dxa"/>
                </w:tblCellMar>
              </w:tblPrEx>
              <w:trPr>
                <w:jc w:val="center"/>
              </w:trPr>
              <w:tc>
                <w:tcPr>
                  <w:tcW w:w="908" w:type="pct"/>
                  <w:vMerge w:val="continue"/>
                  <w:tcBorders>
                    <w:tl2br w:val="nil"/>
                    <w:tr2bl w:val="nil"/>
                  </w:tcBorders>
                  <w:shd w:val="clear" w:color="auto" w:fill="auto"/>
                  <w:vAlign w:val="center"/>
                </w:tcPr>
                <w:p w14:paraId="7589F14B">
                  <w:pPr>
                    <w:widowControl/>
                    <w:spacing w:before="74"/>
                    <w:jc w:val="left"/>
                    <w:rPr>
                      <w:rFonts w:hint="default" w:ascii="Times New Roman" w:hAnsi="Times New Roman" w:cs="Times New Roman"/>
                      <w:szCs w:val="21"/>
                    </w:rPr>
                  </w:pPr>
                </w:p>
              </w:tc>
              <w:tc>
                <w:tcPr>
                  <w:tcW w:w="2637" w:type="pct"/>
                  <w:tcBorders>
                    <w:tl2br w:val="nil"/>
                    <w:tr2bl w:val="nil"/>
                  </w:tcBorders>
                  <w:shd w:val="clear" w:color="auto" w:fill="auto"/>
                  <w:noWrap/>
                  <w:vAlign w:val="center"/>
                </w:tcPr>
                <w:p w14:paraId="47FAC641">
                  <w:pPr>
                    <w:pStyle w:val="24"/>
                    <w:adjustRightInd/>
                    <w:snapToGrid/>
                    <w:spacing w:before="0" w:after="0" w:line="240" w:lineRule="auto"/>
                    <w:ind w:right="0"/>
                    <w:rPr>
                      <w:rFonts w:hint="default" w:ascii="Times New Roman" w:hAnsi="Times New Roman" w:cs="Times New Roman"/>
                      <w:spacing w:val="0"/>
                      <w:sz w:val="21"/>
                      <w:szCs w:val="21"/>
                    </w:rPr>
                  </w:pPr>
                  <w:r>
                    <w:rPr>
                      <w:rFonts w:hint="default" w:ascii="Times New Roman" w:hAnsi="Times New Roman" w:cs="Times New Roman"/>
                      <w:spacing w:val="0"/>
                      <w:sz w:val="21"/>
                      <w:szCs w:val="21"/>
                    </w:rPr>
                    <w:t>人口数（城市选项时）</w:t>
                  </w:r>
                </w:p>
              </w:tc>
              <w:tc>
                <w:tcPr>
                  <w:tcW w:w="1454" w:type="pct"/>
                  <w:tcBorders>
                    <w:tl2br w:val="nil"/>
                    <w:tr2bl w:val="nil"/>
                  </w:tcBorders>
                  <w:shd w:val="clear" w:color="auto" w:fill="auto"/>
                  <w:noWrap/>
                  <w:vAlign w:val="center"/>
                </w:tcPr>
                <w:p w14:paraId="7A9476C3">
                  <w:pPr>
                    <w:pStyle w:val="24"/>
                    <w:adjustRightInd/>
                    <w:snapToGrid/>
                    <w:spacing w:before="0" w:after="0" w:line="240" w:lineRule="auto"/>
                    <w:ind w:right="0"/>
                    <w:rPr>
                      <w:rFonts w:hint="default" w:ascii="Times New Roman" w:hAnsi="Times New Roman" w:cs="Times New Roman"/>
                      <w:spacing w:val="0"/>
                      <w:sz w:val="21"/>
                      <w:szCs w:val="21"/>
                    </w:rPr>
                  </w:pPr>
                  <w:r>
                    <w:rPr>
                      <w:rFonts w:hint="default" w:ascii="Times New Roman" w:hAnsi="Times New Roman" w:cs="Times New Roman"/>
                      <w:spacing w:val="0"/>
                      <w:sz w:val="21"/>
                      <w:szCs w:val="21"/>
                    </w:rPr>
                    <w:t>/</w:t>
                  </w:r>
                </w:p>
              </w:tc>
            </w:tr>
            <w:tr w14:paraId="072EDDDD">
              <w:tblPrEx>
                <w:tblBorders>
                  <w:top w:val="double" w:color="auto" w:sz="4" w:space="0"/>
                  <w:left w:val="none" w:color="auto" w:sz="0" w:space="0"/>
                  <w:bottom w:val="double" w:color="auto" w:sz="4" w:space="0"/>
                  <w:right w:val="none" w:color="auto" w:sz="0" w:space="0"/>
                  <w:insideH w:val="single" w:color="auto" w:sz="2" w:space="0"/>
                  <w:insideV w:val="single" w:color="auto" w:sz="2" w:space="0"/>
                </w:tblBorders>
                <w:tblCellMar>
                  <w:top w:w="0" w:type="dxa"/>
                  <w:left w:w="108" w:type="dxa"/>
                  <w:bottom w:w="0" w:type="dxa"/>
                  <w:right w:w="108" w:type="dxa"/>
                </w:tblCellMar>
              </w:tblPrEx>
              <w:trPr>
                <w:jc w:val="center"/>
              </w:trPr>
              <w:tc>
                <w:tcPr>
                  <w:tcW w:w="3545" w:type="pct"/>
                  <w:gridSpan w:val="2"/>
                  <w:tcBorders>
                    <w:tl2br w:val="nil"/>
                    <w:tr2bl w:val="nil"/>
                  </w:tcBorders>
                  <w:shd w:val="clear" w:color="auto" w:fill="auto"/>
                  <w:vAlign w:val="center"/>
                </w:tcPr>
                <w:p w14:paraId="229AE689">
                  <w:pPr>
                    <w:pStyle w:val="24"/>
                    <w:adjustRightInd/>
                    <w:snapToGrid/>
                    <w:spacing w:before="0" w:after="0" w:line="240" w:lineRule="auto"/>
                    <w:ind w:right="0"/>
                    <w:rPr>
                      <w:rFonts w:hint="default" w:ascii="Times New Roman" w:hAnsi="Times New Roman" w:cs="Times New Roman"/>
                      <w:spacing w:val="0"/>
                      <w:sz w:val="21"/>
                      <w:szCs w:val="21"/>
                    </w:rPr>
                  </w:pPr>
                  <w:r>
                    <w:rPr>
                      <w:rFonts w:hint="default" w:ascii="Times New Roman" w:hAnsi="Times New Roman" w:cs="Times New Roman"/>
                      <w:spacing w:val="0"/>
                      <w:sz w:val="21"/>
                      <w:szCs w:val="21"/>
                    </w:rPr>
                    <w:t>最高环境温度/℃</w:t>
                  </w:r>
                </w:p>
              </w:tc>
              <w:tc>
                <w:tcPr>
                  <w:tcW w:w="1454" w:type="pct"/>
                  <w:tcBorders>
                    <w:tl2br w:val="nil"/>
                    <w:tr2bl w:val="nil"/>
                  </w:tcBorders>
                  <w:shd w:val="clear" w:color="auto" w:fill="auto"/>
                  <w:noWrap/>
                  <w:vAlign w:val="center"/>
                </w:tcPr>
                <w:p w14:paraId="2B8ACEDE">
                  <w:pPr>
                    <w:pStyle w:val="24"/>
                    <w:adjustRightInd/>
                    <w:snapToGrid/>
                    <w:spacing w:before="0" w:after="0" w:line="240" w:lineRule="auto"/>
                    <w:ind w:right="0"/>
                    <w:rPr>
                      <w:rFonts w:hint="default" w:ascii="Times New Roman" w:hAnsi="Times New Roman" w:cs="Times New Roman"/>
                      <w:spacing w:val="0"/>
                      <w:sz w:val="21"/>
                      <w:szCs w:val="21"/>
                    </w:rPr>
                  </w:pPr>
                  <w:r>
                    <w:rPr>
                      <w:rFonts w:hint="default" w:ascii="Times New Roman" w:hAnsi="Times New Roman" w:cs="Times New Roman"/>
                      <w:spacing w:val="0"/>
                      <w:sz w:val="21"/>
                      <w:szCs w:val="21"/>
                    </w:rPr>
                    <w:t>42.5</w:t>
                  </w:r>
                </w:p>
              </w:tc>
            </w:tr>
            <w:tr w14:paraId="241A0CCF">
              <w:tblPrEx>
                <w:tblBorders>
                  <w:top w:val="double" w:color="auto" w:sz="4" w:space="0"/>
                  <w:left w:val="none" w:color="auto" w:sz="0" w:space="0"/>
                  <w:bottom w:val="double" w:color="auto" w:sz="4" w:space="0"/>
                  <w:right w:val="none" w:color="auto" w:sz="0" w:space="0"/>
                  <w:insideH w:val="single" w:color="auto" w:sz="2" w:space="0"/>
                  <w:insideV w:val="single" w:color="auto" w:sz="2" w:space="0"/>
                </w:tblBorders>
                <w:tblCellMar>
                  <w:top w:w="0" w:type="dxa"/>
                  <w:left w:w="108" w:type="dxa"/>
                  <w:bottom w:w="0" w:type="dxa"/>
                  <w:right w:w="108" w:type="dxa"/>
                </w:tblCellMar>
              </w:tblPrEx>
              <w:trPr>
                <w:jc w:val="center"/>
              </w:trPr>
              <w:tc>
                <w:tcPr>
                  <w:tcW w:w="3545" w:type="pct"/>
                  <w:gridSpan w:val="2"/>
                  <w:tcBorders>
                    <w:tl2br w:val="nil"/>
                    <w:tr2bl w:val="nil"/>
                  </w:tcBorders>
                  <w:shd w:val="clear" w:color="auto" w:fill="auto"/>
                  <w:vAlign w:val="center"/>
                </w:tcPr>
                <w:p w14:paraId="2C021824">
                  <w:pPr>
                    <w:pStyle w:val="24"/>
                    <w:adjustRightInd/>
                    <w:snapToGrid/>
                    <w:spacing w:before="0" w:after="0" w:line="240" w:lineRule="auto"/>
                    <w:ind w:right="0"/>
                    <w:rPr>
                      <w:rFonts w:hint="default" w:ascii="Times New Roman" w:hAnsi="Times New Roman" w:cs="Times New Roman"/>
                      <w:spacing w:val="0"/>
                      <w:sz w:val="21"/>
                      <w:szCs w:val="21"/>
                    </w:rPr>
                  </w:pPr>
                  <w:r>
                    <w:rPr>
                      <w:rFonts w:hint="default" w:ascii="Times New Roman" w:hAnsi="Times New Roman" w:cs="Times New Roman"/>
                      <w:spacing w:val="0"/>
                      <w:sz w:val="21"/>
                      <w:szCs w:val="21"/>
                    </w:rPr>
                    <w:t>最低环境温度/℃</w:t>
                  </w:r>
                </w:p>
              </w:tc>
              <w:tc>
                <w:tcPr>
                  <w:tcW w:w="1454" w:type="pct"/>
                  <w:tcBorders>
                    <w:tl2br w:val="nil"/>
                    <w:tr2bl w:val="nil"/>
                  </w:tcBorders>
                  <w:shd w:val="clear" w:color="auto" w:fill="auto"/>
                  <w:noWrap/>
                  <w:vAlign w:val="center"/>
                </w:tcPr>
                <w:p w14:paraId="6764E109">
                  <w:pPr>
                    <w:pStyle w:val="24"/>
                    <w:adjustRightInd/>
                    <w:snapToGrid/>
                    <w:spacing w:before="0" w:after="0" w:line="240" w:lineRule="auto"/>
                    <w:ind w:right="0"/>
                    <w:rPr>
                      <w:rFonts w:hint="default" w:ascii="Times New Roman" w:hAnsi="Times New Roman" w:cs="Times New Roman"/>
                      <w:spacing w:val="0"/>
                      <w:sz w:val="21"/>
                      <w:szCs w:val="21"/>
                    </w:rPr>
                  </w:pPr>
                  <w:r>
                    <w:rPr>
                      <w:rFonts w:hint="default" w:ascii="Times New Roman" w:hAnsi="Times New Roman" w:cs="Times New Roman"/>
                      <w:spacing w:val="0"/>
                      <w:sz w:val="21"/>
                      <w:szCs w:val="21"/>
                    </w:rPr>
                    <w:t>-38.3</w:t>
                  </w:r>
                </w:p>
              </w:tc>
            </w:tr>
            <w:tr w14:paraId="7484C9CE">
              <w:tblPrEx>
                <w:tblBorders>
                  <w:top w:val="double" w:color="auto" w:sz="4" w:space="0"/>
                  <w:left w:val="none" w:color="auto" w:sz="0" w:space="0"/>
                  <w:bottom w:val="double" w:color="auto" w:sz="4" w:space="0"/>
                  <w:right w:val="none" w:color="auto" w:sz="0" w:space="0"/>
                  <w:insideH w:val="single" w:color="auto" w:sz="2" w:space="0"/>
                  <w:insideV w:val="single" w:color="auto" w:sz="2" w:space="0"/>
                </w:tblBorders>
                <w:tblCellMar>
                  <w:top w:w="0" w:type="dxa"/>
                  <w:left w:w="108" w:type="dxa"/>
                  <w:bottom w:w="0" w:type="dxa"/>
                  <w:right w:w="108" w:type="dxa"/>
                </w:tblCellMar>
              </w:tblPrEx>
              <w:trPr>
                <w:jc w:val="center"/>
              </w:trPr>
              <w:tc>
                <w:tcPr>
                  <w:tcW w:w="3545" w:type="pct"/>
                  <w:gridSpan w:val="2"/>
                  <w:tcBorders>
                    <w:tl2br w:val="nil"/>
                    <w:tr2bl w:val="nil"/>
                  </w:tcBorders>
                  <w:shd w:val="clear" w:color="auto" w:fill="auto"/>
                  <w:vAlign w:val="center"/>
                </w:tcPr>
                <w:p w14:paraId="166A2251">
                  <w:pPr>
                    <w:pStyle w:val="24"/>
                    <w:adjustRightInd/>
                    <w:snapToGrid/>
                    <w:spacing w:before="0" w:after="0" w:line="240" w:lineRule="auto"/>
                    <w:ind w:right="0"/>
                    <w:rPr>
                      <w:rFonts w:hint="default" w:ascii="Times New Roman" w:hAnsi="Times New Roman" w:cs="Times New Roman"/>
                      <w:spacing w:val="0"/>
                      <w:sz w:val="21"/>
                      <w:szCs w:val="21"/>
                    </w:rPr>
                  </w:pPr>
                  <w:r>
                    <w:rPr>
                      <w:rFonts w:hint="default" w:ascii="Times New Roman" w:hAnsi="Times New Roman" w:cs="Times New Roman"/>
                      <w:spacing w:val="0"/>
                      <w:sz w:val="21"/>
                      <w:szCs w:val="21"/>
                    </w:rPr>
                    <w:t>土地利用类型</w:t>
                  </w:r>
                </w:p>
              </w:tc>
              <w:tc>
                <w:tcPr>
                  <w:tcW w:w="1454" w:type="pct"/>
                  <w:tcBorders>
                    <w:tl2br w:val="nil"/>
                    <w:tr2bl w:val="nil"/>
                  </w:tcBorders>
                  <w:shd w:val="clear" w:color="auto" w:fill="auto"/>
                  <w:noWrap/>
                  <w:vAlign w:val="center"/>
                </w:tcPr>
                <w:p w14:paraId="00B32AFD">
                  <w:pPr>
                    <w:pStyle w:val="24"/>
                    <w:adjustRightInd/>
                    <w:snapToGrid/>
                    <w:spacing w:before="0" w:after="0" w:line="240" w:lineRule="auto"/>
                    <w:ind w:right="0"/>
                    <w:rPr>
                      <w:rFonts w:hint="default" w:ascii="Times New Roman" w:hAnsi="Times New Roman" w:cs="Times New Roman"/>
                      <w:spacing w:val="0"/>
                      <w:sz w:val="21"/>
                      <w:szCs w:val="21"/>
                    </w:rPr>
                  </w:pPr>
                  <w:r>
                    <w:rPr>
                      <w:rFonts w:hint="default" w:ascii="Times New Roman" w:hAnsi="Times New Roman" w:cs="Times New Roman"/>
                      <w:spacing w:val="0"/>
                      <w:sz w:val="21"/>
                      <w:szCs w:val="21"/>
                    </w:rPr>
                    <w:t>工业用地</w:t>
                  </w:r>
                </w:p>
              </w:tc>
            </w:tr>
            <w:tr w14:paraId="79C46238">
              <w:tblPrEx>
                <w:tblBorders>
                  <w:top w:val="double" w:color="auto" w:sz="4" w:space="0"/>
                  <w:left w:val="none" w:color="auto" w:sz="0" w:space="0"/>
                  <w:bottom w:val="double" w:color="auto" w:sz="4" w:space="0"/>
                  <w:right w:val="none" w:color="auto" w:sz="0" w:space="0"/>
                  <w:insideH w:val="single" w:color="auto" w:sz="2" w:space="0"/>
                  <w:insideV w:val="single" w:color="auto" w:sz="2" w:space="0"/>
                </w:tblBorders>
                <w:tblCellMar>
                  <w:top w:w="0" w:type="dxa"/>
                  <w:left w:w="108" w:type="dxa"/>
                  <w:bottom w:w="0" w:type="dxa"/>
                  <w:right w:w="108" w:type="dxa"/>
                </w:tblCellMar>
              </w:tblPrEx>
              <w:trPr>
                <w:jc w:val="center"/>
              </w:trPr>
              <w:tc>
                <w:tcPr>
                  <w:tcW w:w="3545" w:type="pct"/>
                  <w:gridSpan w:val="2"/>
                  <w:tcBorders>
                    <w:tl2br w:val="nil"/>
                    <w:tr2bl w:val="nil"/>
                  </w:tcBorders>
                  <w:shd w:val="clear" w:color="auto" w:fill="auto"/>
                  <w:vAlign w:val="center"/>
                </w:tcPr>
                <w:p w14:paraId="253ECFE3">
                  <w:pPr>
                    <w:pStyle w:val="24"/>
                    <w:adjustRightInd/>
                    <w:snapToGrid/>
                    <w:spacing w:before="0" w:after="0" w:line="240" w:lineRule="auto"/>
                    <w:ind w:right="0"/>
                    <w:rPr>
                      <w:rFonts w:hint="default" w:ascii="Times New Roman" w:hAnsi="Times New Roman" w:cs="Times New Roman"/>
                      <w:spacing w:val="0"/>
                      <w:sz w:val="21"/>
                      <w:szCs w:val="21"/>
                    </w:rPr>
                  </w:pPr>
                  <w:r>
                    <w:rPr>
                      <w:rFonts w:hint="default" w:ascii="Times New Roman" w:hAnsi="Times New Roman" w:cs="Times New Roman"/>
                      <w:spacing w:val="0"/>
                      <w:sz w:val="21"/>
                      <w:szCs w:val="21"/>
                    </w:rPr>
                    <w:t>区域湿度条件</w:t>
                  </w:r>
                </w:p>
              </w:tc>
              <w:tc>
                <w:tcPr>
                  <w:tcW w:w="1454" w:type="pct"/>
                  <w:tcBorders>
                    <w:tl2br w:val="nil"/>
                    <w:tr2bl w:val="nil"/>
                  </w:tcBorders>
                  <w:shd w:val="clear" w:color="auto" w:fill="auto"/>
                  <w:noWrap/>
                  <w:vAlign w:val="center"/>
                </w:tcPr>
                <w:p w14:paraId="75B9F3A1">
                  <w:pPr>
                    <w:pStyle w:val="24"/>
                    <w:adjustRightInd/>
                    <w:snapToGrid/>
                    <w:spacing w:before="0" w:after="0" w:line="240" w:lineRule="auto"/>
                    <w:ind w:right="0"/>
                    <w:rPr>
                      <w:rFonts w:hint="default" w:ascii="Times New Roman" w:hAnsi="Times New Roman" w:cs="Times New Roman"/>
                      <w:spacing w:val="0"/>
                      <w:sz w:val="21"/>
                      <w:szCs w:val="21"/>
                    </w:rPr>
                  </w:pPr>
                  <w:r>
                    <w:rPr>
                      <w:rFonts w:hint="default" w:ascii="Times New Roman" w:hAnsi="Times New Roman" w:cs="Times New Roman"/>
                      <w:spacing w:val="0"/>
                      <w:sz w:val="21"/>
                      <w:szCs w:val="21"/>
                    </w:rPr>
                    <w:t>干燥气候</w:t>
                  </w:r>
                </w:p>
              </w:tc>
            </w:tr>
            <w:tr w14:paraId="0709AD70">
              <w:tblPrEx>
                <w:tblBorders>
                  <w:top w:val="double" w:color="auto" w:sz="4" w:space="0"/>
                  <w:left w:val="none" w:color="auto" w:sz="0" w:space="0"/>
                  <w:bottom w:val="double" w:color="auto" w:sz="4" w:space="0"/>
                  <w:right w:val="none" w:color="auto" w:sz="0" w:space="0"/>
                  <w:insideH w:val="single" w:color="auto" w:sz="2" w:space="0"/>
                  <w:insideV w:val="single" w:color="auto" w:sz="2" w:space="0"/>
                </w:tblBorders>
              </w:tblPrEx>
              <w:trPr>
                <w:jc w:val="center"/>
              </w:trPr>
              <w:tc>
                <w:tcPr>
                  <w:tcW w:w="908" w:type="pct"/>
                  <w:vMerge w:val="restart"/>
                  <w:tcBorders>
                    <w:tl2br w:val="nil"/>
                    <w:tr2bl w:val="nil"/>
                  </w:tcBorders>
                  <w:shd w:val="clear" w:color="auto" w:fill="auto"/>
                  <w:vAlign w:val="center"/>
                </w:tcPr>
                <w:p w14:paraId="7DF8EC8F">
                  <w:pPr>
                    <w:pStyle w:val="24"/>
                    <w:adjustRightInd/>
                    <w:snapToGrid/>
                    <w:spacing w:before="0" w:after="0" w:line="240" w:lineRule="auto"/>
                    <w:ind w:right="0"/>
                    <w:rPr>
                      <w:rFonts w:hint="default" w:ascii="Times New Roman" w:hAnsi="Times New Roman" w:cs="Times New Roman"/>
                      <w:spacing w:val="0"/>
                      <w:sz w:val="21"/>
                      <w:szCs w:val="21"/>
                    </w:rPr>
                  </w:pPr>
                  <w:r>
                    <w:rPr>
                      <w:rFonts w:hint="default" w:ascii="Times New Roman" w:hAnsi="Times New Roman" w:cs="Times New Roman"/>
                      <w:spacing w:val="0"/>
                      <w:sz w:val="21"/>
                      <w:szCs w:val="21"/>
                    </w:rPr>
                    <w:t>是否考虑地形</w:t>
                  </w:r>
                </w:p>
              </w:tc>
              <w:tc>
                <w:tcPr>
                  <w:tcW w:w="2637" w:type="pct"/>
                  <w:tcBorders>
                    <w:tl2br w:val="nil"/>
                    <w:tr2bl w:val="nil"/>
                  </w:tcBorders>
                  <w:shd w:val="clear" w:color="auto" w:fill="auto"/>
                  <w:noWrap/>
                  <w:vAlign w:val="center"/>
                </w:tcPr>
                <w:p w14:paraId="519831A5">
                  <w:pPr>
                    <w:pStyle w:val="24"/>
                    <w:adjustRightInd/>
                    <w:snapToGrid/>
                    <w:spacing w:before="0" w:after="0" w:line="240" w:lineRule="auto"/>
                    <w:ind w:right="0"/>
                    <w:rPr>
                      <w:rFonts w:hint="default" w:ascii="Times New Roman" w:hAnsi="Times New Roman" w:cs="Times New Roman"/>
                      <w:spacing w:val="0"/>
                      <w:sz w:val="21"/>
                      <w:szCs w:val="21"/>
                    </w:rPr>
                  </w:pPr>
                  <w:r>
                    <w:rPr>
                      <w:rFonts w:hint="default" w:ascii="Times New Roman" w:hAnsi="Times New Roman" w:cs="Times New Roman"/>
                      <w:spacing w:val="0"/>
                      <w:sz w:val="21"/>
                      <w:szCs w:val="21"/>
                    </w:rPr>
                    <w:t>考虑地形</w:t>
                  </w:r>
                </w:p>
              </w:tc>
              <w:tc>
                <w:tcPr>
                  <w:tcW w:w="1454" w:type="pct"/>
                  <w:tcBorders>
                    <w:tl2br w:val="nil"/>
                    <w:tr2bl w:val="nil"/>
                  </w:tcBorders>
                  <w:shd w:val="clear" w:color="auto" w:fill="auto"/>
                  <w:noWrap/>
                  <w:vAlign w:val="center"/>
                </w:tcPr>
                <w:p w14:paraId="56B55EFB">
                  <w:pPr>
                    <w:pStyle w:val="24"/>
                    <w:adjustRightInd/>
                    <w:snapToGrid/>
                    <w:spacing w:before="0" w:after="0" w:line="240" w:lineRule="auto"/>
                    <w:ind w:right="0"/>
                    <w:rPr>
                      <w:rFonts w:hint="default" w:ascii="Times New Roman" w:hAnsi="Times New Roman" w:cs="Times New Roman"/>
                      <w:spacing w:val="0"/>
                      <w:sz w:val="21"/>
                      <w:szCs w:val="21"/>
                    </w:rPr>
                  </w:pPr>
                  <w:r>
                    <w:rPr>
                      <w:rFonts w:hint="default" w:ascii="Times New Roman" w:hAnsi="Times New Roman" w:cs="Times New Roman"/>
                      <w:spacing w:val="0"/>
                      <w:sz w:val="21"/>
                      <w:szCs w:val="21"/>
                    </w:rPr>
                    <w:t>□是☑否</w:t>
                  </w:r>
                </w:p>
              </w:tc>
            </w:tr>
            <w:tr w14:paraId="1CB32869">
              <w:tblPrEx>
                <w:tblBorders>
                  <w:top w:val="double" w:color="auto" w:sz="4" w:space="0"/>
                  <w:left w:val="none" w:color="auto" w:sz="0" w:space="0"/>
                  <w:bottom w:val="double" w:color="auto" w:sz="4" w:space="0"/>
                  <w:right w:val="none" w:color="auto" w:sz="0" w:space="0"/>
                  <w:insideH w:val="single" w:color="auto" w:sz="2" w:space="0"/>
                  <w:insideV w:val="single" w:color="auto" w:sz="2" w:space="0"/>
                </w:tblBorders>
                <w:tblCellMar>
                  <w:top w:w="0" w:type="dxa"/>
                  <w:left w:w="108" w:type="dxa"/>
                  <w:bottom w:w="0" w:type="dxa"/>
                  <w:right w:w="108" w:type="dxa"/>
                </w:tblCellMar>
              </w:tblPrEx>
              <w:trPr>
                <w:jc w:val="center"/>
              </w:trPr>
              <w:tc>
                <w:tcPr>
                  <w:tcW w:w="908" w:type="pct"/>
                  <w:vMerge w:val="continue"/>
                  <w:tcBorders>
                    <w:tl2br w:val="nil"/>
                    <w:tr2bl w:val="nil"/>
                  </w:tcBorders>
                  <w:shd w:val="clear" w:color="auto" w:fill="auto"/>
                  <w:vAlign w:val="center"/>
                </w:tcPr>
                <w:p w14:paraId="194F4488">
                  <w:pPr>
                    <w:widowControl/>
                    <w:spacing w:before="74"/>
                    <w:jc w:val="left"/>
                    <w:rPr>
                      <w:rFonts w:hint="default" w:ascii="Times New Roman" w:hAnsi="Times New Roman" w:cs="Times New Roman"/>
                      <w:szCs w:val="21"/>
                    </w:rPr>
                  </w:pPr>
                </w:p>
              </w:tc>
              <w:tc>
                <w:tcPr>
                  <w:tcW w:w="2637" w:type="pct"/>
                  <w:tcBorders>
                    <w:tl2br w:val="nil"/>
                    <w:tr2bl w:val="nil"/>
                  </w:tcBorders>
                  <w:shd w:val="clear" w:color="auto" w:fill="auto"/>
                  <w:noWrap/>
                  <w:vAlign w:val="center"/>
                </w:tcPr>
                <w:p w14:paraId="1104DAA5">
                  <w:pPr>
                    <w:pStyle w:val="24"/>
                    <w:adjustRightInd/>
                    <w:snapToGrid/>
                    <w:spacing w:before="0" w:after="0" w:line="240" w:lineRule="auto"/>
                    <w:ind w:right="0"/>
                    <w:rPr>
                      <w:rFonts w:hint="default" w:ascii="Times New Roman" w:hAnsi="Times New Roman" w:cs="Times New Roman"/>
                      <w:spacing w:val="0"/>
                      <w:sz w:val="21"/>
                      <w:szCs w:val="21"/>
                    </w:rPr>
                  </w:pPr>
                  <w:r>
                    <w:rPr>
                      <w:rFonts w:hint="default" w:ascii="Times New Roman" w:hAnsi="Times New Roman" w:cs="Times New Roman"/>
                      <w:spacing w:val="0"/>
                      <w:sz w:val="21"/>
                      <w:szCs w:val="21"/>
                    </w:rPr>
                    <w:t>地形数据分辨率/m</w:t>
                  </w:r>
                </w:p>
              </w:tc>
              <w:tc>
                <w:tcPr>
                  <w:tcW w:w="1454" w:type="pct"/>
                  <w:tcBorders>
                    <w:tl2br w:val="nil"/>
                    <w:tr2bl w:val="nil"/>
                  </w:tcBorders>
                  <w:shd w:val="clear" w:color="auto" w:fill="auto"/>
                  <w:noWrap/>
                  <w:vAlign w:val="center"/>
                </w:tcPr>
                <w:p w14:paraId="02449921">
                  <w:pPr>
                    <w:pStyle w:val="24"/>
                    <w:adjustRightInd/>
                    <w:snapToGrid/>
                    <w:spacing w:before="0" w:after="0" w:line="240" w:lineRule="auto"/>
                    <w:ind w:right="0"/>
                    <w:rPr>
                      <w:rFonts w:hint="default" w:ascii="Times New Roman" w:hAnsi="Times New Roman" w:cs="Times New Roman"/>
                      <w:spacing w:val="0"/>
                      <w:sz w:val="21"/>
                      <w:szCs w:val="21"/>
                    </w:rPr>
                  </w:pPr>
                  <w:r>
                    <w:rPr>
                      <w:rFonts w:hint="default" w:ascii="Times New Roman" w:hAnsi="Times New Roman" w:cs="Times New Roman"/>
                      <w:spacing w:val="0"/>
                      <w:sz w:val="21"/>
                      <w:szCs w:val="21"/>
                    </w:rPr>
                    <w:t>90</w:t>
                  </w:r>
                </w:p>
              </w:tc>
            </w:tr>
            <w:tr w14:paraId="5E93275B">
              <w:tblPrEx>
                <w:tblBorders>
                  <w:top w:val="double" w:color="auto" w:sz="4" w:space="0"/>
                  <w:left w:val="none" w:color="auto" w:sz="0" w:space="0"/>
                  <w:bottom w:val="double" w:color="auto" w:sz="4" w:space="0"/>
                  <w:right w:val="none" w:color="auto" w:sz="0" w:space="0"/>
                  <w:insideH w:val="single" w:color="auto" w:sz="2" w:space="0"/>
                  <w:insideV w:val="single" w:color="auto" w:sz="2" w:space="0"/>
                </w:tblBorders>
              </w:tblPrEx>
              <w:trPr>
                <w:jc w:val="center"/>
              </w:trPr>
              <w:tc>
                <w:tcPr>
                  <w:tcW w:w="908" w:type="pct"/>
                  <w:vMerge w:val="restart"/>
                  <w:tcBorders>
                    <w:tl2br w:val="nil"/>
                    <w:tr2bl w:val="nil"/>
                  </w:tcBorders>
                  <w:shd w:val="clear" w:color="auto" w:fill="auto"/>
                  <w:vAlign w:val="center"/>
                </w:tcPr>
                <w:p w14:paraId="2021F813">
                  <w:pPr>
                    <w:pStyle w:val="24"/>
                    <w:adjustRightInd/>
                    <w:snapToGrid/>
                    <w:spacing w:before="0" w:after="0" w:line="240" w:lineRule="auto"/>
                    <w:ind w:right="0"/>
                    <w:rPr>
                      <w:rFonts w:hint="default" w:ascii="Times New Roman" w:hAnsi="Times New Roman" w:cs="Times New Roman"/>
                      <w:spacing w:val="0"/>
                      <w:sz w:val="21"/>
                      <w:szCs w:val="21"/>
                    </w:rPr>
                  </w:pPr>
                  <w:r>
                    <w:rPr>
                      <w:rFonts w:hint="default" w:ascii="Times New Roman" w:hAnsi="Times New Roman" w:cs="Times New Roman"/>
                      <w:spacing w:val="0"/>
                      <w:sz w:val="21"/>
                      <w:szCs w:val="21"/>
                    </w:rPr>
                    <w:t>是否考虑岸线熏烟</w:t>
                  </w:r>
                </w:p>
              </w:tc>
              <w:tc>
                <w:tcPr>
                  <w:tcW w:w="2637" w:type="pct"/>
                  <w:tcBorders>
                    <w:tl2br w:val="nil"/>
                    <w:tr2bl w:val="nil"/>
                  </w:tcBorders>
                  <w:shd w:val="clear" w:color="auto" w:fill="auto"/>
                  <w:noWrap/>
                  <w:vAlign w:val="center"/>
                </w:tcPr>
                <w:p w14:paraId="5236B6A9">
                  <w:pPr>
                    <w:pStyle w:val="24"/>
                    <w:adjustRightInd/>
                    <w:snapToGrid/>
                    <w:spacing w:before="0" w:after="0" w:line="240" w:lineRule="auto"/>
                    <w:ind w:right="0"/>
                    <w:rPr>
                      <w:rFonts w:hint="default" w:ascii="Times New Roman" w:hAnsi="Times New Roman" w:cs="Times New Roman"/>
                      <w:spacing w:val="0"/>
                      <w:sz w:val="21"/>
                      <w:szCs w:val="21"/>
                    </w:rPr>
                  </w:pPr>
                  <w:r>
                    <w:rPr>
                      <w:rFonts w:hint="default" w:ascii="Times New Roman" w:hAnsi="Times New Roman" w:cs="Times New Roman"/>
                      <w:spacing w:val="0"/>
                      <w:sz w:val="21"/>
                      <w:szCs w:val="21"/>
                    </w:rPr>
                    <w:t>考虑岸线熏烟</w:t>
                  </w:r>
                </w:p>
              </w:tc>
              <w:tc>
                <w:tcPr>
                  <w:tcW w:w="1454" w:type="pct"/>
                  <w:tcBorders>
                    <w:tl2br w:val="nil"/>
                    <w:tr2bl w:val="nil"/>
                  </w:tcBorders>
                  <w:shd w:val="clear" w:color="auto" w:fill="auto"/>
                  <w:noWrap/>
                  <w:vAlign w:val="center"/>
                </w:tcPr>
                <w:p w14:paraId="180A4F5B">
                  <w:pPr>
                    <w:pStyle w:val="24"/>
                    <w:adjustRightInd/>
                    <w:snapToGrid/>
                    <w:spacing w:before="0" w:after="0" w:line="240" w:lineRule="auto"/>
                    <w:ind w:right="0"/>
                    <w:rPr>
                      <w:rFonts w:hint="default" w:ascii="Times New Roman" w:hAnsi="Times New Roman" w:cs="Times New Roman"/>
                      <w:spacing w:val="0"/>
                      <w:sz w:val="21"/>
                      <w:szCs w:val="21"/>
                    </w:rPr>
                  </w:pPr>
                  <w:r>
                    <w:rPr>
                      <w:rFonts w:hint="default" w:ascii="Times New Roman" w:hAnsi="Times New Roman" w:cs="Times New Roman"/>
                      <w:spacing w:val="0"/>
                      <w:sz w:val="21"/>
                      <w:szCs w:val="21"/>
                    </w:rPr>
                    <w:t>□是☑否</w:t>
                  </w:r>
                </w:p>
              </w:tc>
            </w:tr>
            <w:tr w14:paraId="1AE40B69">
              <w:tblPrEx>
                <w:tblBorders>
                  <w:top w:val="double" w:color="auto" w:sz="4" w:space="0"/>
                  <w:left w:val="none" w:color="auto" w:sz="0" w:space="0"/>
                  <w:bottom w:val="double" w:color="auto" w:sz="4" w:space="0"/>
                  <w:right w:val="none" w:color="auto" w:sz="0" w:space="0"/>
                  <w:insideH w:val="single" w:color="auto" w:sz="2" w:space="0"/>
                  <w:insideV w:val="single" w:color="auto" w:sz="2" w:space="0"/>
                </w:tblBorders>
                <w:tblCellMar>
                  <w:top w:w="0" w:type="dxa"/>
                  <w:left w:w="108" w:type="dxa"/>
                  <w:bottom w:w="0" w:type="dxa"/>
                  <w:right w:w="108" w:type="dxa"/>
                </w:tblCellMar>
              </w:tblPrEx>
              <w:trPr>
                <w:jc w:val="center"/>
              </w:trPr>
              <w:tc>
                <w:tcPr>
                  <w:tcW w:w="908" w:type="pct"/>
                  <w:vMerge w:val="continue"/>
                  <w:tcBorders>
                    <w:tl2br w:val="nil"/>
                    <w:tr2bl w:val="nil"/>
                  </w:tcBorders>
                  <w:shd w:val="clear" w:color="auto" w:fill="auto"/>
                  <w:vAlign w:val="center"/>
                </w:tcPr>
                <w:p w14:paraId="4E59AAF8">
                  <w:pPr>
                    <w:widowControl/>
                    <w:spacing w:before="74"/>
                    <w:jc w:val="left"/>
                    <w:rPr>
                      <w:rFonts w:hint="default" w:ascii="Times New Roman" w:hAnsi="Times New Roman" w:cs="Times New Roman"/>
                      <w:szCs w:val="21"/>
                    </w:rPr>
                  </w:pPr>
                </w:p>
              </w:tc>
              <w:tc>
                <w:tcPr>
                  <w:tcW w:w="2637" w:type="pct"/>
                  <w:tcBorders>
                    <w:tl2br w:val="nil"/>
                    <w:tr2bl w:val="nil"/>
                  </w:tcBorders>
                  <w:shd w:val="clear" w:color="auto" w:fill="auto"/>
                  <w:noWrap/>
                  <w:vAlign w:val="center"/>
                </w:tcPr>
                <w:p w14:paraId="6100CEEC">
                  <w:pPr>
                    <w:pStyle w:val="24"/>
                    <w:adjustRightInd/>
                    <w:snapToGrid/>
                    <w:spacing w:before="0" w:after="0" w:line="240" w:lineRule="auto"/>
                    <w:ind w:right="0"/>
                    <w:rPr>
                      <w:rFonts w:hint="default" w:ascii="Times New Roman" w:hAnsi="Times New Roman" w:cs="Times New Roman"/>
                      <w:spacing w:val="0"/>
                      <w:sz w:val="21"/>
                      <w:szCs w:val="21"/>
                    </w:rPr>
                  </w:pPr>
                  <w:r>
                    <w:rPr>
                      <w:rFonts w:hint="default" w:ascii="Times New Roman" w:hAnsi="Times New Roman" w:cs="Times New Roman"/>
                      <w:spacing w:val="0"/>
                      <w:sz w:val="21"/>
                      <w:szCs w:val="21"/>
                    </w:rPr>
                    <w:t>岸线距离/km</w:t>
                  </w:r>
                </w:p>
              </w:tc>
              <w:tc>
                <w:tcPr>
                  <w:tcW w:w="1454" w:type="pct"/>
                  <w:tcBorders>
                    <w:tl2br w:val="nil"/>
                    <w:tr2bl w:val="nil"/>
                  </w:tcBorders>
                  <w:shd w:val="clear" w:color="auto" w:fill="auto"/>
                  <w:noWrap/>
                  <w:vAlign w:val="center"/>
                </w:tcPr>
                <w:p w14:paraId="770F23F9">
                  <w:pPr>
                    <w:pStyle w:val="24"/>
                    <w:adjustRightInd/>
                    <w:snapToGrid/>
                    <w:spacing w:before="0" w:after="0" w:line="240" w:lineRule="auto"/>
                    <w:ind w:right="0"/>
                    <w:rPr>
                      <w:rFonts w:hint="default" w:ascii="Times New Roman" w:hAnsi="Times New Roman" w:cs="Times New Roman"/>
                      <w:spacing w:val="0"/>
                      <w:sz w:val="21"/>
                      <w:szCs w:val="21"/>
                    </w:rPr>
                  </w:pPr>
                  <w:r>
                    <w:rPr>
                      <w:rFonts w:hint="default" w:ascii="Times New Roman" w:hAnsi="Times New Roman" w:cs="Times New Roman"/>
                      <w:spacing w:val="0"/>
                      <w:sz w:val="21"/>
                      <w:szCs w:val="21"/>
                    </w:rPr>
                    <w:t>—</w:t>
                  </w:r>
                </w:p>
              </w:tc>
            </w:tr>
            <w:tr w14:paraId="43E9EF53">
              <w:tblPrEx>
                <w:tblBorders>
                  <w:top w:val="double" w:color="auto" w:sz="4" w:space="0"/>
                  <w:left w:val="none" w:color="auto" w:sz="0" w:space="0"/>
                  <w:bottom w:val="double" w:color="auto" w:sz="4" w:space="0"/>
                  <w:right w:val="none" w:color="auto" w:sz="0" w:space="0"/>
                  <w:insideH w:val="single" w:color="auto" w:sz="2" w:space="0"/>
                  <w:insideV w:val="single" w:color="auto" w:sz="2" w:space="0"/>
                </w:tblBorders>
                <w:tblCellMar>
                  <w:top w:w="0" w:type="dxa"/>
                  <w:left w:w="108" w:type="dxa"/>
                  <w:bottom w:w="0" w:type="dxa"/>
                  <w:right w:w="108" w:type="dxa"/>
                </w:tblCellMar>
              </w:tblPrEx>
              <w:trPr>
                <w:jc w:val="center"/>
              </w:trPr>
              <w:tc>
                <w:tcPr>
                  <w:tcW w:w="908" w:type="pct"/>
                  <w:vMerge w:val="continue"/>
                  <w:tcBorders>
                    <w:tl2br w:val="nil"/>
                    <w:tr2bl w:val="nil"/>
                  </w:tcBorders>
                  <w:shd w:val="clear" w:color="auto" w:fill="auto"/>
                  <w:vAlign w:val="center"/>
                </w:tcPr>
                <w:p w14:paraId="399669AD">
                  <w:pPr>
                    <w:widowControl/>
                    <w:spacing w:before="74"/>
                    <w:jc w:val="left"/>
                    <w:rPr>
                      <w:rFonts w:hint="default" w:ascii="Times New Roman" w:hAnsi="Times New Roman" w:cs="Times New Roman"/>
                      <w:szCs w:val="21"/>
                    </w:rPr>
                  </w:pPr>
                </w:p>
              </w:tc>
              <w:tc>
                <w:tcPr>
                  <w:tcW w:w="2637" w:type="pct"/>
                  <w:tcBorders>
                    <w:tl2br w:val="nil"/>
                    <w:tr2bl w:val="nil"/>
                  </w:tcBorders>
                  <w:shd w:val="clear" w:color="auto" w:fill="auto"/>
                  <w:noWrap/>
                  <w:vAlign w:val="center"/>
                </w:tcPr>
                <w:p w14:paraId="5A60E3F8">
                  <w:pPr>
                    <w:pStyle w:val="24"/>
                    <w:adjustRightInd/>
                    <w:snapToGrid/>
                    <w:spacing w:before="0" w:after="0" w:line="240" w:lineRule="auto"/>
                    <w:ind w:right="0"/>
                    <w:rPr>
                      <w:rFonts w:hint="default" w:ascii="Times New Roman" w:hAnsi="Times New Roman" w:cs="Times New Roman"/>
                      <w:spacing w:val="0"/>
                      <w:sz w:val="21"/>
                      <w:szCs w:val="21"/>
                    </w:rPr>
                  </w:pPr>
                  <w:r>
                    <w:rPr>
                      <w:rFonts w:hint="default" w:ascii="Times New Roman" w:hAnsi="Times New Roman" w:cs="Times New Roman"/>
                      <w:spacing w:val="0"/>
                      <w:sz w:val="21"/>
                      <w:szCs w:val="21"/>
                    </w:rPr>
                    <w:t>岸线方向/°</w:t>
                  </w:r>
                </w:p>
              </w:tc>
              <w:tc>
                <w:tcPr>
                  <w:tcW w:w="1454" w:type="pct"/>
                  <w:tcBorders>
                    <w:tl2br w:val="nil"/>
                    <w:tr2bl w:val="nil"/>
                  </w:tcBorders>
                  <w:shd w:val="clear" w:color="auto" w:fill="auto"/>
                  <w:noWrap/>
                  <w:vAlign w:val="center"/>
                </w:tcPr>
                <w:p w14:paraId="52167DEE">
                  <w:pPr>
                    <w:pStyle w:val="24"/>
                    <w:adjustRightInd/>
                    <w:snapToGrid/>
                    <w:spacing w:before="0" w:after="0" w:line="240" w:lineRule="auto"/>
                    <w:ind w:right="0"/>
                    <w:rPr>
                      <w:rFonts w:hint="default" w:ascii="Times New Roman" w:hAnsi="Times New Roman" w:cs="Times New Roman"/>
                      <w:spacing w:val="0"/>
                      <w:sz w:val="21"/>
                      <w:szCs w:val="21"/>
                    </w:rPr>
                  </w:pPr>
                  <w:r>
                    <w:rPr>
                      <w:rFonts w:hint="default" w:ascii="Times New Roman" w:hAnsi="Times New Roman" w:cs="Times New Roman"/>
                      <w:spacing w:val="0"/>
                      <w:sz w:val="21"/>
                      <w:szCs w:val="21"/>
                    </w:rPr>
                    <w:t>—</w:t>
                  </w:r>
                </w:p>
              </w:tc>
            </w:tr>
          </w:tbl>
          <w:p w14:paraId="19DE8453">
            <w:pPr>
              <w:spacing w:line="240" w:lineRule="auto"/>
              <w:jc w:val="center"/>
              <w:rPr>
                <w:rFonts w:hint="default" w:ascii="Times New Roman" w:hAnsi="Times New Roman" w:eastAsia="宋体" w:cs="Times New Roman"/>
                <w:b/>
                <w:bCs/>
                <w:color w:val="FF0000"/>
                <w:spacing w:val="0"/>
                <w:sz w:val="21"/>
                <w:szCs w:val="21"/>
                <w:highlight w:val="none"/>
              </w:rPr>
            </w:pPr>
            <w:r>
              <w:rPr>
                <w:rFonts w:hint="default" w:ascii="Times New Roman" w:hAnsi="Times New Roman" w:eastAsia="宋体" w:cs="Times New Roman"/>
                <w:b/>
                <w:bCs/>
                <w:color w:val="FF0000"/>
                <w:spacing w:val="0"/>
                <w:sz w:val="21"/>
                <w:szCs w:val="21"/>
                <w:highlight w:val="none"/>
              </w:rPr>
              <w:t>表</w:t>
            </w:r>
            <w:r>
              <w:rPr>
                <w:rFonts w:hint="default" w:ascii="Times New Roman" w:hAnsi="Times New Roman" w:cs="Times New Roman"/>
                <w:b/>
                <w:color w:val="FF0000"/>
                <w:szCs w:val="21"/>
              </w:rPr>
              <w:t>4-1</w:t>
            </w:r>
            <w:r>
              <w:rPr>
                <w:rFonts w:hint="eastAsia" w:cs="Times New Roman"/>
                <w:b/>
                <w:color w:val="FF0000"/>
                <w:szCs w:val="21"/>
                <w:lang w:val="en-US" w:eastAsia="zh-CN"/>
              </w:rPr>
              <w:t>4</w:t>
            </w:r>
            <w:r>
              <w:rPr>
                <w:rFonts w:hint="default" w:ascii="Times New Roman" w:hAnsi="Times New Roman" w:eastAsia="宋体" w:cs="Times New Roman"/>
                <w:b/>
                <w:bCs/>
                <w:color w:val="FF0000"/>
                <w:spacing w:val="0"/>
                <w:sz w:val="21"/>
                <w:szCs w:val="21"/>
                <w:highlight w:val="none"/>
                <w:lang w:val="en-US" w:eastAsia="zh-CN"/>
              </w:rPr>
              <w:t xml:space="preserve">  </w:t>
            </w:r>
            <w:r>
              <w:rPr>
                <w:rFonts w:hint="default" w:ascii="Times New Roman" w:hAnsi="Times New Roman" w:eastAsia="宋体" w:cs="Times New Roman"/>
                <w:b/>
                <w:bCs/>
                <w:color w:val="FF0000"/>
                <w:spacing w:val="0"/>
                <w:sz w:val="21"/>
                <w:szCs w:val="21"/>
                <w:highlight w:val="none"/>
              </w:rPr>
              <w:t>无组织面源污染源清单（</w:t>
            </w:r>
            <w:r>
              <w:rPr>
                <w:rFonts w:hint="default" w:ascii="Times New Roman" w:hAnsi="Times New Roman" w:eastAsia="宋体" w:cs="Times New Roman"/>
                <w:b/>
                <w:bCs/>
                <w:color w:val="FF0000"/>
                <w:spacing w:val="0"/>
                <w:sz w:val="21"/>
                <w:szCs w:val="21"/>
                <w:highlight w:val="none"/>
                <w:lang w:val="en-US" w:eastAsia="zh-CN"/>
              </w:rPr>
              <w:t>多边形</w:t>
            </w:r>
            <w:r>
              <w:rPr>
                <w:rFonts w:hint="default" w:ascii="Times New Roman" w:hAnsi="Times New Roman" w:eastAsia="宋体" w:cs="Times New Roman"/>
                <w:b/>
                <w:bCs/>
                <w:color w:val="FF0000"/>
                <w:spacing w:val="0"/>
                <w:sz w:val="21"/>
                <w:szCs w:val="21"/>
                <w:highlight w:val="none"/>
              </w:rPr>
              <w:t>面源）</w:t>
            </w:r>
          </w:p>
          <w:tbl>
            <w:tblPr>
              <w:tblStyle w:val="35"/>
              <w:tblW w:w="4995" w:type="pct"/>
              <w:jc w:val="center"/>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576"/>
              <w:gridCol w:w="1296"/>
              <w:gridCol w:w="1360"/>
              <w:gridCol w:w="883"/>
              <w:gridCol w:w="695"/>
              <w:gridCol w:w="695"/>
              <w:gridCol w:w="696"/>
              <w:gridCol w:w="1062"/>
              <w:gridCol w:w="1203"/>
            </w:tblGrid>
            <w:tr w14:paraId="08305865">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40" w:type="pct"/>
                  <w:vMerge w:val="restart"/>
                  <w:tcBorders>
                    <w:tl2br w:val="nil"/>
                    <w:tr2bl w:val="nil"/>
                  </w:tcBorders>
                  <w:noWrap w:val="0"/>
                  <w:vAlign w:val="center"/>
                </w:tcPr>
                <w:p w14:paraId="2DD1E196">
                  <w:pPr>
                    <w:widowControl/>
                    <w:autoSpaceDE/>
                    <w:autoSpaceDN/>
                    <w:spacing w:before="0" w:after="0" w:line="240" w:lineRule="auto"/>
                    <w:ind w:left="0" w:right="0" w:firstLine="0" w:firstLineChars="0"/>
                    <w:jc w:val="center"/>
                    <w:rPr>
                      <w:rFonts w:hint="default" w:ascii="Times New Roman" w:hAnsi="Times New Roman" w:eastAsia="宋体" w:cs="Times New Roman"/>
                      <w:color w:val="FF0000"/>
                      <w:kern w:val="2"/>
                      <w:sz w:val="21"/>
                      <w:szCs w:val="21"/>
                      <w:highlight w:val="none"/>
                      <w:lang w:val="en-US" w:eastAsia="zh-CN" w:bidi="ar-SA"/>
                    </w:rPr>
                  </w:pPr>
                  <w:r>
                    <w:rPr>
                      <w:rFonts w:hint="default" w:ascii="Times New Roman" w:hAnsi="Times New Roman" w:eastAsia="宋体" w:cs="Times New Roman"/>
                      <w:color w:val="FF0000"/>
                      <w:kern w:val="2"/>
                      <w:sz w:val="21"/>
                      <w:szCs w:val="21"/>
                      <w:highlight w:val="none"/>
                      <w:lang w:val="en-US" w:eastAsia="zh-CN" w:bidi="ar-SA"/>
                    </w:rPr>
                    <w:t>污染源名称</w:t>
                  </w:r>
                </w:p>
              </w:tc>
              <w:tc>
                <w:tcPr>
                  <w:tcW w:w="1568" w:type="pct"/>
                  <w:gridSpan w:val="2"/>
                  <w:tcBorders>
                    <w:tl2br w:val="nil"/>
                    <w:tr2bl w:val="nil"/>
                  </w:tcBorders>
                  <w:noWrap w:val="0"/>
                  <w:vAlign w:val="center"/>
                </w:tcPr>
                <w:p w14:paraId="0FC73639">
                  <w:pPr>
                    <w:widowControl/>
                    <w:autoSpaceDE/>
                    <w:autoSpaceDN/>
                    <w:spacing w:before="0" w:after="0" w:line="240" w:lineRule="auto"/>
                    <w:ind w:left="0" w:right="0" w:firstLine="0" w:firstLineChars="0"/>
                    <w:jc w:val="center"/>
                    <w:rPr>
                      <w:rFonts w:hint="default" w:ascii="Times New Roman" w:hAnsi="Times New Roman" w:eastAsia="宋体" w:cs="Times New Roman"/>
                      <w:color w:val="FF0000"/>
                      <w:kern w:val="2"/>
                      <w:sz w:val="21"/>
                      <w:szCs w:val="21"/>
                      <w:highlight w:val="none"/>
                      <w:lang w:val="en-US" w:eastAsia="zh-CN" w:bidi="ar-SA"/>
                    </w:rPr>
                  </w:pPr>
                  <w:r>
                    <w:rPr>
                      <w:rFonts w:hint="default" w:ascii="Times New Roman" w:hAnsi="Times New Roman" w:eastAsia="宋体" w:cs="Times New Roman"/>
                      <w:color w:val="FF0000"/>
                      <w:kern w:val="2"/>
                      <w:sz w:val="21"/>
                      <w:szCs w:val="21"/>
                      <w:highlight w:val="none"/>
                      <w:lang w:val="en-US" w:eastAsia="zh-CN" w:bidi="ar-SA"/>
                    </w:rPr>
                    <w:t>面源起点坐标/</w:t>
                  </w:r>
                  <w:r>
                    <w:rPr>
                      <w:rFonts w:hint="default" w:ascii="Times New Roman" w:hAnsi="Times New Roman" w:cs="Times New Roman"/>
                      <w:color w:val="FF0000"/>
                      <w:kern w:val="2"/>
                      <w:sz w:val="21"/>
                      <w:szCs w:val="21"/>
                      <w:highlight w:val="none"/>
                      <w:lang w:val="en-US" w:eastAsia="zh-CN" w:bidi="ar-SA"/>
                    </w:rPr>
                    <w:t>经纬度</w:t>
                  </w:r>
                </w:p>
              </w:tc>
              <w:tc>
                <w:tcPr>
                  <w:tcW w:w="521" w:type="pct"/>
                  <w:vMerge w:val="restart"/>
                  <w:tcBorders>
                    <w:tl2br w:val="nil"/>
                    <w:tr2bl w:val="nil"/>
                  </w:tcBorders>
                  <w:noWrap w:val="0"/>
                  <w:vAlign w:val="center"/>
                </w:tcPr>
                <w:p w14:paraId="7CEA9544">
                  <w:pPr>
                    <w:widowControl/>
                    <w:autoSpaceDE/>
                    <w:autoSpaceDN/>
                    <w:spacing w:before="0" w:after="0" w:line="240" w:lineRule="auto"/>
                    <w:ind w:left="0" w:right="0" w:firstLine="0" w:firstLineChars="0"/>
                    <w:jc w:val="center"/>
                    <w:rPr>
                      <w:rFonts w:hint="default" w:ascii="Times New Roman" w:hAnsi="Times New Roman" w:eastAsia="宋体" w:cs="Times New Roman"/>
                      <w:color w:val="FF0000"/>
                      <w:kern w:val="2"/>
                      <w:sz w:val="21"/>
                      <w:szCs w:val="21"/>
                      <w:highlight w:val="none"/>
                      <w:lang w:val="en-US" w:eastAsia="zh-CN" w:bidi="ar-SA"/>
                    </w:rPr>
                  </w:pPr>
                  <w:r>
                    <w:rPr>
                      <w:rFonts w:hint="default" w:ascii="Times New Roman" w:hAnsi="Times New Roman" w:eastAsia="宋体" w:cs="Times New Roman"/>
                      <w:color w:val="FF0000"/>
                      <w:kern w:val="2"/>
                      <w:sz w:val="21"/>
                      <w:szCs w:val="21"/>
                      <w:highlight w:val="none"/>
                      <w:lang w:val="en-US" w:eastAsia="zh-CN" w:bidi="ar-SA"/>
                    </w:rPr>
                    <w:t>面源海拔高度/m</w:t>
                  </w:r>
                </w:p>
              </w:tc>
              <w:tc>
                <w:tcPr>
                  <w:tcW w:w="410" w:type="pct"/>
                  <w:vMerge w:val="restart"/>
                  <w:tcBorders>
                    <w:tl2br w:val="nil"/>
                    <w:tr2bl w:val="nil"/>
                  </w:tcBorders>
                  <w:noWrap w:val="0"/>
                  <w:vAlign w:val="center"/>
                </w:tcPr>
                <w:p w14:paraId="4004CE53">
                  <w:pPr>
                    <w:widowControl/>
                    <w:autoSpaceDE/>
                    <w:autoSpaceDN/>
                    <w:spacing w:before="0" w:after="0" w:line="240" w:lineRule="auto"/>
                    <w:ind w:left="0" w:right="0" w:firstLine="0" w:firstLineChars="0"/>
                    <w:jc w:val="center"/>
                    <w:rPr>
                      <w:rFonts w:hint="default" w:ascii="Times New Roman" w:hAnsi="Times New Roman" w:eastAsia="宋体" w:cs="Times New Roman"/>
                      <w:color w:val="FF0000"/>
                      <w:kern w:val="2"/>
                      <w:sz w:val="21"/>
                      <w:szCs w:val="21"/>
                      <w:highlight w:val="none"/>
                      <w:lang w:val="en-US" w:eastAsia="zh-CN" w:bidi="ar-SA"/>
                    </w:rPr>
                  </w:pPr>
                  <w:r>
                    <w:rPr>
                      <w:rFonts w:hint="default" w:ascii="Times New Roman" w:hAnsi="Times New Roman" w:eastAsia="宋体" w:cs="Times New Roman"/>
                      <w:color w:val="FF0000"/>
                      <w:kern w:val="2"/>
                      <w:sz w:val="21"/>
                      <w:szCs w:val="21"/>
                      <w:highlight w:val="none"/>
                      <w:lang w:val="en-US" w:eastAsia="zh-CN" w:bidi="ar-SA"/>
                    </w:rPr>
                    <w:t>面源有效排放高度/m</w:t>
                  </w:r>
                </w:p>
              </w:tc>
              <w:tc>
                <w:tcPr>
                  <w:tcW w:w="410" w:type="pct"/>
                  <w:vMerge w:val="restart"/>
                  <w:tcBorders>
                    <w:tl2br w:val="nil"/>
                    <w:tr2bl w:val="nil"/>
                  </w:tcBorders>
                  <w:noWrap w:val="0"/>
                  <w:vAlign w:val="center"/>
                </w:tcPr>
                <w:p w14:paraId="08F2F098">
                  <w:pPr>
                    <w:widowControl/>
                    <w:autoSpaceDE/>
                    <w:autoSpaceDN/>
                    <w:spacing w:before="0" w:after="0" w:line="240" w:lineRule="auto"/>
                    <w:ind w:left="0" w:right="0" w:firstLine="0" w:firstLineChars="0"/>
                    <w:jc w:val="center"/>
                    <w:rPr>
                      <w:rFonts w:hint="default" w:ascii="Times New Roman" w:hAnsi="Times New Roman" w:eastAsia="宋体" w:cs="Times New Roman"/>
                      <w:color w:val="FF0000"/>
                      <w:kern w:val="2"/>
                      <w:sz w:val="21"/>
                      <w:szCs w:val="21"/>
                      <w:highlight w:val="none"/>
                      <w:lang w:val="en-US" w:eastAsia="zh-CN" w:bidi="ar-SA"/>
                    </w:rPr>
                  </w:pPr>
                  <w:r>
                    <w:rPr>
                      <w:rFonts w:hint="default" w:ascii="Times New Roman" w:hAnsi="Times New Roman" w:eastAsia="宋体" w:cs="Times New Roman"/>
                      <w:color w:val="FF0000"/>
                      <w:kern w:val="2"/>
                      <w:sz w:val="21"/>
                      <w:szCs w:val="21"/>
                      <w:highlight w:val="none"/>
                      <w:lang w:val="en-US" w:eastAsia="zh-CN" w:bidi="ar-SA"/>
                    </w:rPr>
                    <w:t>年排放小时数/h</w:t>
                  </w:r>
                </w:p>
              </w:tc>
              <w:tc>
                <w:tcPr>
                  <w:tcW w:w="411" w:type="pct"/>
                  <w:vMerge w:val="restart"/>
                  <w:tcBorders>
                    <w:tl2br w:val="nil"/>
                    <w:tr2bl w:val="nil"/>
                  </w:tcBorders>
                  <w:noWrap w:val="0"/>
                  <w:vAlign w:val="center"/>
                </w:tcPr>
                <w:p w14:paraId="5D4D9D1A">
                  <w:pPr>
                    <w:widowControl/>
                    <w:autoSpaceDE/>
                    <w:autoSpaceDN/>
                    <w:spacing w:before="0" w:after="0" w:line="240" w:lineRule="auto"/>
                    <w:ind w:left="0" w:right="0" w:firstLine="0" w:firstLineChars="0"/>
                    <w:jc w:val="center"/>
                    <w:rPr>
                      <w:rFonts w:hint="default" w:ascii="Times New Roman" w:hAnsi="Times New Roman" w:eastAsia="宋体" w:cs="Times New Roman"/>
                      <w:color w:val="FF0000"/>
                      <w:kern w:val="2"/>
                      <w:sz w:val="21"/>
                      <w:szCs w:val="21"/>
                      <w:highlight w:val="none"/>
                      <w:lang w:val="en-US" w:eastAsia="zh-CN" w:bidi="ar-SA"/>
                    </w:rPr>
                  </w:pPr>
                  <w:r>
                    <w:rPr>
                      <w:rFonts w:hint="default" w:ascii="Times New Roman" w:hAnsi="Times New Roman" w:eastAsia="宋体" w:cs="Times New Roman"/>
                      <w:color w:val="FF0000"/>
                      <w:kern w:val="2"/>
                      <w:sz w:val="21"/>
                      <w:szCs w:val="21"/>
                      <w:highlight w:val="none"/>
                      <w:lang w:val="en-US" w:eastAsia="zh-CN" w:bidi="ar-SA"/>
                    </w:rPr>
                    <w:t>排放工况</w:t>
                  </w:r>
                </w:p>
              </w:tc>
              <w:tc>
                <w:tcPr>
                  <w:tcW w:w="1337" w:type="pct"/>
                  <w:gridSpan w:val="2"/>
                  <w:tcBorders>
                    <w:tl2br w:val="nil"/>
                    <w:tr2bl w:val="nil"/>
                  </w:tcBorders>
                  <w:noWrap w:val="0"/>
                  <w:vAlign w:val="center"/>
                </w:tcPr>
                <w:p w14:paraId="055C3070">
                  <w:pPr>
                    <w:widowControl/>
                    <w:autoSpaceDE/>
                    <w:autoSpaceDN/>
                    <w:spacing w:before="0" w:after="0" w:line="240" w:lineRule="auto"/>
                    <w:ind w:left="0" w:right="0" w:firstLine="0" w:firstLineChars="0"/>
                    <w:jc w:val="center"/>
                    <w:rPr>
                      <w:rFonts w:hint="default" w:ascii="Times New Roman" w:hAnsi="Times New Roman" w:eastAsia="宋体" w:cs="Times New Roman"/>
                      <w:color w:val="FF0000"/>
                      <w:kern w:val="2"/>
                      <w:sz w:val="21"/>
                      <w:szCs w:val="21"/>
                      <w:highlight w:val="none"/>
                      <w:lang w:val="en-US" w:eastAsia="zh-CN" w:bidi="ar-SA"/>
                    </w:rPr>
                  </w:pPr>
                  <w:r>
                    <w:rPr>
                      <w:rFonts w:hint="default" w:ascii="Times New Roman" w:hAnsi="Times New Roman" w:eastAsia="宋体" w:cs="Times New Roman"/>
                      <w:color w:val="FF0000"/>
                      <w:kern w:val="2"/>
                      <w:sz w:val="21"/>
                      <w:szCs w:val="21"/>
                      <w:highlight w:val="none"/>
                      <w:lang w:val="en-US" w:eastAsia="zh-CN" w:bidi="ar-SA"/>
                    </w:rPr>
                    <w:t>污染物排放速率/（kg/h）</w:t>
                  </w:r>
                </w:p>
              </w:tc>
            </w:tr>
            <w:tr w14:paraId="3E4862B2">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PrEx>
              <w:trPr>
                <w:trHeight w:val="23" w:hRule="atLeast"/>
                <w:jc w:val="center"/>
              </w:trPr>
              <w:tc>
                <w:tcPr>
                  <w:tcW w:w="340" w:type="pct"/>
                  <w:vMerge w:val="continue"/>
                  <w:tcBorders>
                    <w:tl2br w:val="nil"/>
                    <w:tr2bl w:val="nil"/>
                  </w:tcBorders>
                  <w:noWrap w:val="0"/>
                  <w:vAlign w:val="center"/>
                </w:tcPr>
                <w:p w14:paraId="6C6B3A71">
                  <w:pPr>
                    <w:widowControl/>
                    <w:autoSpaceDE/>
                    <w:autoSpaceDN/>
                    <w:spacing w:before="0" w:after="0" w:line="240" w:lineRule="auto"/>
                    <w:ind w:left="0" w:right="0" w:firstLine="0" w:firstLineChars="0"/>
                    <w:jc w:val="center"/>
                    <w:rPr>
                      <w:rFonts w:hint="default" w:ascii="Times New Roman" w:hAnsi="Times New Roman" w:eastAsia="宋体" w:cs="Times New Roman"/>
                      <w:color w:val="FF0000"/>
                      <w:kern w:val="2"/>
                      <w:sz w:val="21"/>
                      <w:szCs w:val="21"/>
                      <w:highlight w:val="none"/>
                      <w:lang w:val="en-US" w:eastAsia="zh-CN" w:bidi="ar-SA"/>
                    </w:rPr>
                  </w:pPr>
                </w:p>
              </w:tc>
              <w:tc>
                <w:tcPr>
                  <w:tcW w:w="765" w:type="pct"/>
                  <w:tcBorders>
                    <w:tl2br w:val="nil"/>
                    <w:tr2bl w:val="nil"/>
                  </w:tcBorders>
                  <w:noWrap w:val="0"/>
                  <w:vAlign w:val="center"/>
                </w:tcPr>
                <w:p w14:paraId="3F7C2FE9">
                  <w:pPr>
                    <w:widowControl/>
                    <w:autoSpaceDE/>
                    <w:autoSpaceDN/>
                    <w:spacing w:before="0" w:after="0" w:line="240" w:lineRule="auto"/>
                    <w:ind w:left="0" w:right="0" w:firstLine="0" w:firstLineChars="0"/>
                    <w:jc w:val="center"/>
                    <w:rPr>
                      <w:rFonts w:hint="default" w:ascii="Times New Roman" w:hAnsi="Times New Roman" w:eastAsia="宋体" w:cs="Times New Roman"/>
                      <w:color w:val="FF0000"/>
                      <w:kern w:val="2"/>
                      <w:sz w:val="21"/>
                      <w:szCs w:val="21"/>
                      <w:highlight w:val="none"/>
                      <w:lang w:val="en-US" w:eastAsia="zh-CN" w:bidi="ar-SA"/>
                    </w:rPr>
                  </w:pPr>
                  <w:r>
                    <w:rPr>
                      <w:rFonts w:hint="default" w:ascii="Times New Roman" w:hAnsi="Times New Roman" w:cs="Times New Roman"/>
                      <w:color w:val="FF0000"/>
                      <w:kern w:val="2"/>
                      <w:sz w:val="21"/>
                      <w:szCs w:val="21"/>
                      <w:highlight w:val="none"/>
                      <w:lang w:val="en-US" w:eastAsia="zh-CN" w:bidi="ar-SA"/>
                    </w:rPr>
                    <w:t>经度</w:t>
                  </w:r>
                </w:p>
              </w:tc>
              <w:tc>
                <w:tcPr>
                  <w:tcW w:w="803" w:type="pct"/>
                  <w:tcBorders>
                    <w:tl2br w:val="nil"/>
                    <w:tr2bl w:val="nil"/>
                  </w:tcBorders>
                  <w:noWrap w:val="0"/>
                  <w:vAlign w:val="center"/>
                </w:tcPr>
                <w:p w14:paraId="624D3F17">
                  <w:pPr>
                    <w:widowControl/>
                    <w:autoSpaceDE/>
                    <w:autoSpaceDN/>
                    <w:spacing w:before="0" w:after="0" w:line="240" w:lineRule="auto"/>
                    <w:ind w:left="0" w:right="0" w:firstLine="0" w:firstLineChars="0"/>
                    <w:jc w:val="center"/>
                    <w:rPr>
                      <w:rFonts w:hint="default" w:ascii="Times New Roman" w:hAnsi="Times New Roman" w:eastAsia="宋体" w:cs="Times New Roman"/>
                      <w:color w:val="FF0000"/>
                      <w:kern w:val="2"/>
                      <w:sz w:val="21"/>
                      <w:szCs w:val="21"/>
                      <w:highlight w:val="none"/>
                      <w:lang w:val="en-US" w:eastAsia="zh-CN" w:bidi="ar-SA"/>
                    </w:rPr>
                  </w:pPr>
                  <w:r>
                    <w:rPr>
                      <w:rFonts w:hint="default" w:ascii="Times New Roman" w:hAnsi="Times New Roman" w:cs="Times New Roman"/>
                      <w:color w:val="FF0000"/>
                      <w:kern w:val="2"/>
                      <w:sz w:val="21"/>
                      <w:szCs w:val="21"/>
                      <w:highlight w:val="none"/>
                      <w:lang w:val="en-US" w:eastAsia="zh-CN" w:bidi="ar-SA"/>
                    </w:rPr>
                    <w:t>纬度</w:t>
                  </w:r>
                </w:p>
              </w:tc>
              <w:tc>
                <w:tcPr>
                  <w:tcW w:w="521" w:type="pct"/>
                  <w:vMerge w:val="continue"/>
                  <w:tcBorders>
                    <w:tl2br w:val="nil"/>
                    <w:tr2bl w:val="nil"/>
                  </w:tcBorders>
                  <w:noWrap w:val="0"/>
                  <w:vAlign w:val="center"/>
                </w:tcPr>
                <w:p w14:paraId="5B02AD95">
                  <w:pPr>
                    <w:widowControl/>
                    <w:autoSpaceDE/>
                    <w:autoSpaceDN/>
                    <w:spacing w:before="0" w:after="0" w:line="240" w:lineRule="auto"/>
                    <w:ind w:left="0" w:right="0" w:firstLine="0" w:firstLineChars="0"/>
                    <w:jc w:val="center"/>
                    <w:rPr>
                      <w:rFonts w:hint="default" w:ascii="Times New Roman" w:hAnsi="Times New Roman" w:eastAsia="宋体" w:cs="Times New Roman"/>
                      <w:color w:val="FF0000"/>
                      <w:kern w:val="2"/>
                      <w:sz w:val="21"/>
                      <w:szCs w:val="21"/>
                      <w:highlight w:val="none"/>
                      <w:lang w:val="en-US" w:eastAsia="zh-CN" w:bidi="ar-SA"/>
                    </w:rPr>
                  </w:pPr>
                </w:p>
              </w:tc>
              <w:tc>
                <w:tcPr>
                  <w:tcW w:w="410" w:type="pct"/>
                  <w:vMerge w:val="continue"/>
                  <w:tcBorders>
                    <w:tl2br w:val="nil"/>
                    <w:tr2bl w:val="nil"/>
                  </w:tcBorders>
                  <w:noWrap w:val="0"/>
                  <w:vAlign w:val="center"/>
                </w:tcPr>
                <w:p w14:paraId="0135E273">
                  <w:pPr>
                    <w:widowControl/>
                    <w:autoSpaceDE/>
                    <w:autoSpaceDN/>
                    <w:spacing w:before="0" w:after="0" w:line="240" w:lineRule="auto"/>
                    <w:ind w:left="0" w:right="0" w:firstLine="0" w:firstLineChars="0"/>
                    <w:jc w:val="center"/>
                    <w:rPr>
                      <w:rFonts w:hint="default" w:ascii="Times New Roman" w:hAnsi="Times New Roman" w:eastAsia="宋体" w:cs="Times New Roman"/>
                      <w:color w:val="FF0000"/>
                      <w:kern w:val="2"/>
                      <w:sz w:val="21"/>
                      <w:szCs w:val="21"/>
                      <w:highlight w:val="none"/>
                      <w:lang w:val="en-US" w:eastAsia="zh-CN" w:bidi="ar-SA"/>
                    </w:rPr>
                  </w:pPr>
                </w:p>
              </w:tc>
              <w:tc>
                <w:tcPr>
                  <w:tcW w:w="410" w:type="pct"/>
                  <w:vMerge w:val="continue"/>
                  <w:tcBorders>
                    <w:tl2br w:val="nil"/>
                    <w:tr2bl w:val="nil"/>
                  </w:tcBorders>
                  <w:noWrap w:val="0"/>
                  <w:vAlign w:val="center"/>
                </w:tcPr>
                <w:p w14:paraId="3951C9A7">
                  <w:pPr>
                    <w:widowControl/>
                    <w:autoSpaceDE/>
                    <w:autoSpaceDN/>
                    <w:spacing w:before="0" w:after="0" w:line="240" w:lineRule="auto"/>
                    <w:ind w:left="0" w:right="0" w:firstLine="0" w:firstLineChars="0"/>
                    <w:jc w:val="center"/>
                    <w:rPr>
                      <w:rFonts w:hint="default" w:ascii="Times New Roman" w:hAnsi="Times New Roman" w:eastAsia="宋体" w:cs="Times New Roman"/>
                      <w:color w:val="FF0000"/>
                      <w:kern w:val="2"/>
                      <w:sz w:val="21"/>
                      <w:szCs w:val="21"/>
                      <w:highlight w:val="none"/>
                      <w:lang w:val="en-US" w:eastAsia="zh-CN" w:bidi="ar-SA"/>
                    </w:rPr>
                  </w:pPr>
                </w:p>
              </w:tc>
              <w:tc>
                <w:tcPr>
                  <w:tcW w:w="411" w:type="pct"/>
                  <w:vMerge w:val="continue"/>
                  <w:tcBorders>
                    <w:tl2br w:val="nil"/>
                    <w:tr2bl w:val="nil"/>
                  </w:tcBorders>
                  <w:noWrap w:val="0"/>
                  <w:vAlign w:val="center"/>
                </w:tcPr>
                <w:p w14:paraId="4C5138D9">
                  <w:pPr>
                    <w:widowControl/>
                    <w:autoSpaceDE/>
                    <w:autoSpaceDN/>
                    <w:spacing w:before="0" w:after="0" w:line="240" w:lineRule="auto"/>
                    <w:ind w:left="0" w:right="0" w:firstLine="0" w:firstLineChars="0"/>
                    <w:jc w:val="center"/>
                    <w:rPr>
                      <w:rFonts w:hint="default" w:ascii="Times New Roman" w:hAnsi="Times New Roman" w:eastAsia="宋体" w:cs="Times New Roman"/>
                      <w:color w:val="FF0000"/>
                      <w:kern w:val="2"/>
                      <w:sz w:val="21"/>
                      <w:szCs w:val="21"/>
                      <w:highlight w:val="none"/>
                      <w:lang w:val="en-US" w:eastAsia="zh-CN" w:bidi="ar-SA"/>
                    </w:rPr>
                  </w:pPr>
                </w:p>
              </w:tc>
              <w:tc>
                <w:tcPr>
                  <w:tcW w:w="627" w:type="pct"/>
                  <w:tcBorders>
                    <w:tl2br w:val="nil"/>
                    <w:tr2bl w:val="nil"/>
                  </w:tcBorders>
                  <w:noWrap w:val="0"/>
                  <w:vAlign w:val="center"/>
                </w:tcPr>
                <w:p w14:paraId="255467DB">
                  <w:pPr>
                    <w:widowControl/>
                    <w:autoSpaceDE/>
                    <w:autoSpaceDN/>
                    <w:spacing w:before="0" w:after="0" w:line="240" w:lineRule="auto"/>
                    <w:ind w:left="0" w:leftChars="0" w:right="0" w:rightChars="0" w:firstLine="0" w:firstLineChars="0"/>
                    <w:jc w:val="center"/>
                    <w:rPr>
                      <w:rFonts w:hint="default" w:ascii="Times New Roman" w:hAnsi="Times New Roman" w:eastAsia="宋体" w:cs="Times New Roman"/>
                      <w:color w:val="FF0000"/>
                      <w:kern w:val="2"/>
                      <w:sz w:val="21"/>
                      <w:szCs w:val="21"/>
                      <w:highlight w:val="none"/>
                      <w:lang w:val="en-US" w:eastAsia="zh-CN" w:bidi="ar-SA"/>
                    </w:rPr>
                  </w:pPr>
                  <w:r>
                    <w:rPr>
                      <w:rFonts w:hint="default" w:ascii="Times New Roman" w:hAnsi="Times New Roman" w:cs="Times New Roman"/>
                      <w:bCs/>
                      <w:color w:val="FF0000"/>
                      <w:szCs w:val="21"/>
                    </w:rPr>
                    <w:t>颗粒物</w:t>
                  </w:r>
                </w:p>
              </w:tc>
              <w:tc>
                <w:tcPr>
                  <w:tcW w:w="710" w:type="pct"/>
                  <w:tcBorders>
                    <w:tl2br w:val="nil"/>
                    <w:tr2bl w:val="nil"/>
                  </w:tcBorders>
                  <w:noWrap w:val="0"/>
                  <w:vAlign w:val="center"/>
                </w:tcPr>
                <w:p w14:paraId="01604D6C">
                  <w:pPr>
                    <w:widowControl/>
                    <w:autoSpaceDE/>
                    <w:autoSpaceDN/>
                    <w:spacing w:before="0" w:after="0" w:line="240" w:lineRule="auto"/>
                    <w:ind w:left="0" w:leftChars="0" w:right="0" w:rightChars="0" w:firstLine="0" w:firstLineChars="0"/>
                    <w:jc w:val="center"/>
                    <w:rPr>
                      <w:rFonts w:hint="default" w:ascii="Times New Roman" w:hAnsi="Times New Roman" w:eastAsia="宋体" w:cs="Times New Roman"/>
                      <w:color w:val="FF0000"/>
                      <w:kern w:val="2"/>
                      <w:sz w:val="21"/>
                      <w:szCs w:val="21"/>
                      <w:highlight w:val="none"/>
                      <w:lang w:val="en-US" w:eastAsia="zh-CN" w:bidi="ar-SA"/>
                    </w:rPr>
                  </w:pPr>
                  <w:r>
                    <w:rPr>
                      <w:rFonts w:hint="default" w:ascii="Times New Roman" w:hAnsi="Times New Roman" w:cs="Times New Roman"/>
                      <w:bCs/>
                      <w:color w:val="FF0000"/>
                      <w:szCs w:val="21"/>
                    </w:rPr>
                    <w:t>非甲烷总烃</w:t>
                  </w:r>
                </w:p>
              </w:tc>
            </w:tr>
            <w:tr w14:paraId="1EA56297">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40" w:type="pct"/>
                  <w:vMerge w:val="restart"/>
                  <w:tcBorders>
                    <w:tl2br w:val="nil"/>
                    <w:tr2bl w:val="nil"/>
                  </w:tcBorders>
                  <w:noWrap w:val="0"/>
                  <w:vAlign w:val="center"/>
                </w:tcPr>
                <w:p w14:paraId="1378CD1C">
                  <w:pPr>
                    <w:widowControl/>
                    <w:autoSpaceDE/>
                    <w:autoSpaceDN/>
                    <w:spacing w:before="0" w:after="0" w:line="240" w:lineRule="auto"/>
                    <w:ind w:left="0" w:right="0" w:firstLine="0" w:firstLineChars="0"/>
                    <w:jc w:val="center"/>
                    <w:rPr>
                      <w:rFonts w:hint="default" w:ascii="Times New Roman" w:hAnsi="Times New Roman" w:eastAsia="宋体" w:cs="Times New Roman"/>
                      <w:color w:val="FF0000"/>
                      <w:kern w:val="2"/>
                      <w:sz w:val="21"/>
                      <w:szCs w:val="21"/>
                      <w:highlight w:val="none"/>
                      <w:lang w:val="en-US" w:eastAsia="zh-CN" w:bidi="ar-SA"/>
                    </w:rPr>
                  </w:pPr>
                  <w:r>
                    <w:rPr>
                      <w:rFonts w:hint="default" w:ascii="Times New Roman" w:hAnsi="Times New Roman" w:cs="Times New Roman"/>
                      <w:color w:val="FF0000"/>
                      <w:kern w:val="2"/>
                      <w:sz w:val="21"/>
                      <w:szCs w:val="21"/>
                      <w:highlight w:val="none"/>
                      <w:lang w:val="en-US" w:eastAsia="zh-CN" w:bidi="ar-SA"/>
                    </w:rPr>
                    <w:t>拆解车间</w:t>
                  </w:r>
                </w:p>
              </w:tc>
              <w:tc>
                <w:tcPr>
                  <w:tcW w:w="765" w:type="pct"/>
                  <w:tcBorders>
                    <w:tl2br w:val="nil"/>
                    <w:tr2bl w:val="nil"/>
                  </w:tcBorders>
                  <w:noWrap w:val="0"/>
                  <w:vAlign w:val="center"/>
                </w:tcPr>
                <w:p w14:paraId="14099BE7">
                  <w:pPr>
                    <w:widowControl/>
                    <w:autoSpaceDE/>
                    <w:autoSpaceDN/>
                    <w:spacing w:before="0" w:after="0" w:line="240" w:lineRule="auto"/>
                    <w:ind w:left="0" w:leftChars="0" w:right="0" w:rightChars="0" w:firstLine="0" w:firstLineChars="0"/>
                    <w:jc w:val="center"/>
                    <w:rPr>
                      <w:rFonts w:hint="default" w:ascii="Times New Roman" w:hAnsi="Times New Roman" w:eastAsia="宋体" w:cs="Times New Roman"/>
                      <w:color w:val="FF0000"/>
                      <w:kern w:val="2"/>
                      <w:sz w:val="21"/>
                      <w:szCs w:val="21"/>
                      <w:highlight w:val="none"/>
                      <w:lang w:val="en-US" w:eastAsia="zh-CN" w:bidi="ar-SA"/>
                    </w:rPr>
                  </w:pPr>
                  <w:r>
                    <w:rPr>
                      <w:rFonts w:hint="default" w:ascii="Times New Roman" w:hAnsi="Times New Roman" w:eastAsia="宋体" w:cs="Times New Roman"/>
                      <w:color w:val="FF0000"/>
                      <w:kern w:val="2"/>
                      <w:sz w:val="21"/>
                      <w:szCs w:val="21"/>
                      <w:highlight w:val="none"/>
                      <w:lang w:val="en-US" w:eastAsia="zh-CN" w:bidi="ar-SA"/>
                    </w:rPr>
                    <w:t>120.759421</w:t>
                  </w:r>
                </w:p>
              </w:tc>
              <w:tc>
                <w:tcPr>
                  <w:tcW w:w="803" w:type="pct"/>
                  <w:tcBorders>
                    <w:tl2br w:val="nil"/>
                    <w:tr2bl w:val="nil"/>
                  </w:tcBorders>
                  <w:noWrap w:val="0"/>
                  <w:vAlign w:val="center"/>
                </w:tcPr>
                <w:p w14:paraId="321BC870">
                  <w:pPr>
                    <w:widowControl/>
                    <w:autoSpaceDE/>
                    <w:autoSpaceDN/>
                    <w:spacing w:before="0" w:after="0" w:line="240" w:lineRule="auto"/>
                    <w:ind w:left="0" w:leftChars="0" w:right="0" w:rightChars="0" w:firstLine="0" w:firstLineChars="0"/>
                    <w:jc w:val="center"/>
                    <w:rPr>
                      <w:rFonts w:hint="default" w:ascii="Times New Roman" w:hAnsi="Times New Roman" w:eastAsia="宋体" w:cs="Times New Roman"/>
                      <w:color w:val="FF0000"/>
                      <w:kern w:val="2"/>
                      <w:sz w:val="21"/>
                      <w:szCs w:val="21"/>
                      <w:highlight w:val="none"/>
                      <w:lang w:val="en-US" w:eastAsia="zh-CN" w:bidi="ar-SA"/>
                    </w:rPr>
                  </w:pPr>
                  <w:r>
                    <w:rPr>
                      <w:rFonts w:hint="default" w:ascii="Times New Roman" w:hAnsi="Times New Roman" w:eastAsia="宋体" w:cs="Times New Roman"/>
                      <w:color w:val="FF0000"/>
                      <w:kern w:val="2"/>
                      <w:sz w:val="21"/>
                      <w:szCs w:val="21"/>
                      <w:highlight w:val="none"/>
                      <w:lang w:val="en-US" w:eastAsia="zh-CN" w:bidi="ar-SA"/>
                    </w:rPr>
                    <w:t>41.779608</w:t>
                  </w:r>
                </w:p>
              </w:tc>
              <w:tc>
                <w:tcPr>
                  <w:tcW w:w="521" w:type="pct"/>
                  <w:vMerge w:val="restart"/>
                  <w:tcBorders>
                    <w:tl2br w:val="nil"/>
                    <w:tr2bl w:val="nil"/>
                  </w:tcBorders>
                  <w:noWrap w:val="0"/>
                  <w:vAlign w:val="center"/>
                </w:tcPr>
                <w:p w14:paraId="33A6ABB0">
                  <w:pPr>
                    <w:widowControl/>
                    <w:autoSpaceDE/>
                    <w:autoSpaceDN/>
                    <w:spacing w:before="0" w:after="0" w:line="240" w:lineRule="auto"/>
                    <w:ind w:left="0" w:right="0" w:firstLine="0" w:firstLineChars="0"/>
                    <w:jc w:val="center"/>
                    <w:rPr>
                      <w:rFonts w:hint="default" w:ascii="Times New Roman" w:hAnsi="Times New Roman" w:eastAsia="宋体" w:cs="Times New Roman"/>
                      <w:color w:val="FF0000"/>
                      <w:kern w:val="2"/>
                      <w:sz w:val="21"/>
                      <w:szCs w:val="21"/>
                      <w:highlight w:val="none"/>
                      <w:lang w:val="en-US" w:eastAsia="zh-CN" w:bidi="ar-SA"/>
                    </w:rPr>
                  </w:pPr>
                  <w:r>
                    <w:rPr>
                      <w:rFonts w:hint="default" w:ascii="Times New Roman" w:hAnsi="Times New Roman" w:cs="Times New Roman"/>
                      <w:color w:val="FF0000"/>
                      <w:szCs w:val="21"/>
                    </w:rPr>
                    <w:t>14</w:t>
                  </w:r>
                  <w:r>
                    <w:rPr>
                      <w:rFonts w:hint="default" w:ascii="Times New Roman" w:hAnsi="Times New Roman" w:cs="Times New Roman"/>
                      <w:color w:val="FF0000"/>
                      <w:szCs w:val="21"/>
                      <w:lang w:val="en-US" w:eastAsia="zh-CN"/>
                    </w:rPr>
                    <w:t>5</w:t>
                  </w:r>
                </w:p>
              </w:tc>
              <w:tc>
                <w:tcPr>
                  <w:tcW w:w="410" w:type="pct"/>
                  <w:vMerge w:val="restart"/>
                  <w:tcBorders>
                    <w:tl2br w:val="nil"/>
                    <w:tr2bl w:val="nil"/>
                  </w:tcBorders>
                  <w:noWrap w:val="0"/>
                  <w:vAlign w:val="center"/>
                </w:tcPr>
                <w:p w14:paraId="64F5DB4A">
                  <w:pPr>
                    <w:widowControl/>
                    <w:autoSpaceDE/>
                    <w:autoSpaceDN/>
                    <w:spacing w:before="0" w:after="0" w:line="240" w:lineRule="auto"/>
                    <w:ind w:left="0" w:leftChars="0" w:right="0" w:rightChars="0" w:firstLine="0" w:firstLineChars="0"/>
                    <w:jc w:val="center"/>
                    <w:rPr>
                      <w:rFonts w:hint="default" w:ascii="Times New Roman" w:hAnsi="Times New Roman" w:eastAsia="宋体" w:cs="Times New Roman"/>
                      <w:color w:val="FF0000"/>
                      <w:sz w:val="21"/>
                      <w:szCs w:val="21"/>
                      <w:highlight w:val="none"/>
                      <w:lang w:val="en-US" w:eastAsia="zh-CN"/>
                    </w:rPr>
                  </w:pPr>
                  <w:r>
                    <w:rPr>
                      <w:rFonts w:hint="default" w:ascii="Times New Roman" w:hAnsi="Times New Roman" w:cs="Times New Roman"/>
                      <w:color w:val="FF0000"/>
                      <w:kern w:val="2"/>
                      <w:sz w:val="21"/>
                      <w:szCs w:val="21"/>
                      <w:highlight w:val="none"/>
                      <w:lang w:val="en-US" w:eastAsia="zh-CN" w:bidi="ar-SA"/>
                    </w:rPr>
                    <w:t>8</w:t>
                  </w:r>
                </w:p>
              </w:tc>
              <w:tc>
                <w:tcPr>
                  <w:tcW w:w="410" w:type="pct"/>
                  <w:vMerge w:val="restart"/>
                  <w:tcBorders>
                    <w:tl2br w:val="nil"/>
                    <w:tr2bl w:val="nil"/>
                  </w:tcBorders>
                  <w:noWrap w:val="0"/>
                  <w:vAlign w:val="center"/>
                </w:tcPr>
                <w:p w14:paraId="177C9257">
                  <w:pPr>
                    <w:widowControl/>
                    <w:autoSpaceDE/>
                    <w:autoSpaceDN/>
                    <w:spacing w:before="0" w:after="0" w:line="240" w:lineRule="auto"/>
                    <w:ind w:left="0" w:leftChars="0" w:right="0" w:rightChars="0" w:firstLine="0" w:firstLineChars="0"/>
                    <w:jc w:val="center"/>
                    <w:rPr>
                      <w:rFonts w:hint="default" w:ascii="Times New Roman" w:hAnsi="Times New Roman" w:eastAsia="宋体" w:cs="Times New Roman"/>
                      <w:color w:val="FF0000"/>
                      <w:sz w:val="21"/>
                      <w:szCs w:val="21"/>
                      <w:highlight w:val="none"/>
                      <w:lang w:val="en-US" w:eastAsia="zh-CN"/>
                    </w:rPr>
                  </w:pPr>
                  <w:r>
                    <w:rPr>
                      <w:rFonts w:hint="default" w:ascii="Times New Roman" w:hAnsi="Times New Roman" w:cs="Times New Roman"/>
                      <w:color w:val="FF0000"/>
                      <w:kern w:val="2"/>
                      <w:sz w:val="21"/>
                      <w:szCs w:val="21"/>
                      <w:highlight w:val="none"/>
                      <w:lang w:val="en-US" w:eastAsia="zh-CN" w:bidi="ar-SA"/>
                    </w:rPr>
                    <w:t>2400</w:t>
                  </w:r>
                </w:p>
              </w:tc>
              <w:tc>
                <w:tcPr>
                  <w:tcW w:w="411" w:type="pct"/>
                  <w:vMerge w:val="restart"/>
                  <w:tcBorders>
                    <w:tl2br w:val="nil"/>
                    <w:tr2bl w:val="nil"/>
                  </w:tcBorders>
                  <w:noWrap w:val="0"/>
                  <w:vAlign w:val="center"/>
                </w:tcPr>
                <w:p w14:paraId="1598F313">
                  <w:pPr>
                    <w:widowControl/>
                    <w:autoSpaceDE/>
                    <w:autoSpaceDN/>
                    <w:spacing w:before="0" w:after="0" w:line="240" w:lineRule="auto"/>
                    <w:ind w:left="0" w:leftChars="0" w:right="0" w:rightChars="0" w:firstLine="0" w:firstLineChars="0"/>
                    <w:jc w:val="center"/>
                    <w:rPr>
                      <w:rFonts w:hint="default" w:ascii="Times New Roman" w:hAnsi="Times New Roman" w:eastAsia="宋体" w:cs="Times New Roman"/>
                      <w:color w:val="FF0000"/>
                      <w:sz w:val="21"/>
                      <w:szCs w:val="21"/>
                      <w:highlight w:val="none"/>
                      <w:lang w:val="en-US" w:eastAsia="zh-CN"/>
                    </w:rPr>
                  </w:pPr>
                  <w:r>
                    <w:rPr>
                      <w:rFonts w:hint="default" w:ascii="Times New Roman" w:hAnsi="Times New Roman" w:eastAsia="宋体" w:cs="Times New Roman"/>
                      <w:color w:val="FF0000"/>
                      <w:kern w:val="2"/>
                      <w:sz w:val="21"/>
                      <w:szCs w:val="21"/>
                      <w:highlight w:val="none"/>
                      <w:lang w:val="en-US" w:eastAsia="zh-CN" w:bidi="ar-SA"/>
                    </w:rPr>
                    <w:t>正常排放</w:t>
                  </w:r>
                </w:p>
              </w:tc>
              <w:tc>
                <w:tcPr>
                  <w:tcW w:w="627" w:type="pct"/>
                  <w:vMerge w:val="restart"/>
                  <w:tcBorders>
                    <w:tl2br w:val="nil"/>
                    <w:tr2bl w:val="nil"/>
                  </w:tcBorders>
                  <w:noWrap w:val="0"/>
                  <w:vAlign w:val="center"/>
                </w:tcPr>
                <w:p w14:paraId="5D9AE1AF">
                  <w:pPr>
                    <w:widowControl/>
                    <w:autoSpaceDE/>
                    <w:autoSpaceDN/>
                    <w:spacing w:before="0" w:after="0" w:line="240" w:lineRule="auto"/>
                    <w:ind w:left="0" w:leftChars="0" w:right="0" w:rightChars="0" w:firstLine="0" w:firstLineChars="0"/>
                    <w:jc w:val="center"/>
                    <w:rPr>
                      <w:rFonts w:hint="default" w:ascii="Times New Roman" w:hAnsi="Times New Roman" w:eastAsia="宋体" w:cs="Times New Roman"/>
                      <w:color w:val="FF0000"/>
                      <w:sz w:val="21"/>
                      <w:szCs w:val="21"/>
                      <w:highlight w:val="none"/>
                      <w:lang w:val="en-US" w:eastAsia="zh-CN"/>
                    </w:rPr>
                  </w:pPr>
                  <w:r>
                    <w:rPr>
                      <w:rFonts w:hint="default" w:ascii="Times New Roman" w:hAnsi="Times New Roman" w:cs="Times New Roman"/>
                      <w:color w:val="FF0000"/>
                      <w:kern w:val="0"/>
                      <w:szCs w:val="21"/>
                      <w:lang w:eastAsia="en-US" w:bidi="ar"/>
                    </w:rPr>
                    <w:t>0.0</w:t>
                  </w:r>
                  <w:r>
                    <w:rPr>
                      <w:rFonts w:hint="default" w:ascii="Times New Roman" w:hAnsi="Times New Roman" w:cs="Times New Roman"/>
                      <w:color w:val="FF0000"/>
                      <w:kern w:val="0"/>
                      <w:szCs w:val="21"/>
                      <w:lang w:val="en-US" w:eastAsia="zh-CN" w:bidi="ar"/>
                    </w:rPr>
                    <w:t>77</w:t>
                  </w:r>
                </w:p>
              </w:tc>
              <w:tc>
                <w:tcPr>
                  <w:tcW w:w="710" w:type="pct"/>
                  <w:vMerge w:val="restart"/>
                  <w:tcBorders>
                    <w:tl2br w:val="nil"/>
                    <w:tr2bl w:val="nil"/>
                  </w:tcBorders>
                  <w:noWrap w:val="0"/>
                  <w:vAlign w:val="center"/>
                </w:tcPr>
                <w:p w14:paraId="305F29F2">
                  <w:pPr>
                    <w:widowControl/>
                    <w:autoSpaceDE/>
                    <w:autoSpaceDN/>
                    <w:spacing w:before="0" w:after="0" w:line="240" w:lineRule="auto"/>
                    <w:ind w:left="0" w:leftChars="0" w:right="0" w:rightChars="0" w:firstLine="0" w:firstLineChars="0"/>
                    <w:jc w:val="center"/>
                    <w:rPr>
                      <w:rFonts w:hint="default" w:ascii="Times New Roman" w:hAnsi="Times New Roman" w:eastAsia="宋体" w:cs="Times New Roman"/>
                      <w:color w:val="FF0000"/>
                      <w:sz w:val="21"/>
                      <w:szCs w:val="21"/>
                      <w:highlight w:val="none"/>
                      <w:lang w:val="en-US" w:eastAsia="zh-CN"/>
                    </w:rPr>
                  </w:pPr>
                  <w:r>
                    <w:rPr>
                      <w:rFonts w:hint="default" w:ascii="Times New Roman" w:hAnsi="Times New Roman" w:cs="Times New Roman"/>
                      <w:color w:val="FF0000"/>
                    </w:rPr>
                    <w:t>0.0</w:t>
                  </w:r>
                  <w:r>
                    <w:rPr>
                      <w:rFonts w:hint="default" w:ascii="Times New Roman" w:hAnsi="Times New Roman" w:cs="Times New Roman"/>
                      <w:color w:val="FF0000"/>
                      <w:lang w:val="en-US" w:eastAsia="zh-CN"/>
                    </w:rPr>
                    <w:t>231</w:t>
                  </w:r>
                </w:p>
              </w:tc>
            </w:tr>
            <w:tr w14:paraId="6CAF5390">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71" w:hRule="atLeast"/>
                <w:jc w:val="center"/>
              </w:trPr>
              <w:tc>
                <w:tcPr>
                  <w:tcW w:w="340" w:type="pct"/>
                  <w:vMerge w:val="continue"/>
                  <w:tcBorders>
                    <w:tl2br w:val="nil"/>
                    <w:tr2bl w:val="nil"/>
                  </w:tcBorders>
                  <w:noWrap w:val="0"/>
                  <w:vAlign w:val="center"/>
                </w:tcPr>
                <w:p w14:paraId="1ED95C7B">
                  <w:pPr>
                    <w:widowControl/>
                    <w:autoSpaceDE/>
                    <w:autoSpaceDN/>
                    <w:spacing w:before="0" w:after="0" w:line="240" w:lineRule="auto"/>
                    <w:ind w:left="0" w:right="0" w:firstLine="0" w:firstLineChars="0"/>
                    <w:jc w:val="center"/>
                    <w:rPr>
                      <w:rFonts w:hint="default" w:ascii="Times New Roman" w:hAnsi="Times New Roman" w:eastAsia="宋体" w:cs="Times New Roman"/>
                      <w:color w:val="FF0000"/>
                      <w:kern w:val="2"/>
                      <w:sz w:val="21"/>
                      <w:szCs w:val="21"/>
                      <w:highlight w:val="none"/>
                      <w:lang w:val="en-US" w:eastAsia="zh-CN" w:bidi="ar-SA"/>
                    </w:rPr>
                  </w:pPr>
                </w:p>
              </w:tc>
              <w:tc>
                <w:tcPr>
                  <w:tcW w:w="765" w:type="pct"/>
                  <w:tcBorders>
                    <w:tl2br w:val="nil"/>
                    <w:tr2bl w:val="nil"/>
                  </w:tcBorders>
                  <w:noWrap w:val="0"/>
                  <w:vAlign w:val="center"/>
                </w:tcPr>
                <w:p w14:paraId="749844C2">
                  <w:pPr>
                    <w:widowControl/>
                    <w:autoSpaceDE/>
                    <w:autoSpaceDN/>
                    <w:spacing w:before="0" w:after="0" w:line="240" w:lineRule="auto"/>
                    <w:ind w:left="0" w:leftChars="0" w:right="0" w:rightChars="0" w:firstLine="0" w:firstLineChars="0"/>
                    <w:jc w:val="center"/>
                    <w:rPr>
                      <w:rFonts w:hint="default" w:ascii="Times New Roman" w:hAnsi="Times New Roman" w:eastAsia="宋体" w:cs="Times New Roman"/>
                      <w:color w:val="FF0000"/>
                      <w:kern w:val="2"/>
                      <w:sz w:val="21"/>
                      <w:szCs w:val="21"/>
                      <w:highlight w:val="none"/>
                      <w:lang w:val="en-US" w:eastAsia="zh-CN" w:bidi="ar-SA"/>
                    </w:rPr>
                  </w:pPr>
                  <w:r>
                    <w:rPr>
                      <w:rFonts w:hint="default" w:ascii="Times New Roman" w:hAnsi="Times New Roman" w:eastAsia="宋体" w:cs="Times New Roman"/>
                      <w:color w:val="FF0000"/>
                      <w:kern w:val="2"/>
                      <w:sz w:val="21"/>
                      <w:szCs w:val="21"/>
                      <w:highlight w:val="none"/>
                      <w:lang w:val="en-US" w:eastAsia="zh-CN" w:bidi="ar-SA"/>
                    </w:rPr>
                    <w:t>120.759119</w:t>
                  </w:r>
                </w:p>
              </w:tc>
              <w:tc>
                <w:tcPr>
                  <w:tcW w:w="803" w:type="pct"/>
                  <w:tcBorders>
                    <w:tl2br w:val="nil"/>
                    <w:tr2bl w:val="nil"/>
                  </w:tcBorders>
                  <w:noWrap w:val="0"/>
                  <w:vAlign w:val="center"/>
                </w:tcPr>
                <w:p w14:paraId="33EC069D">
                  <w:pPr>
                    <w:widowControl/>
                    <w:autoSpaceDE/>
                    <w:autoSpaceDN/>
                    <w:spacing w:before="0" w:after="0" w:line="240" w:lineRule="auto"/>
                    <w:ind w:left="0" w:leftChars="0" w:right="0" w:rightChars="0" w:firstLine="0" w:firstLineChars="0"/>
                    <w:jc w:val="center"/>
                    <w:rPr>
                      <w:rFonts w:hint="default" w:ascii="Times New Roman" w:hAnsi="Times New Roman" w:eastAsia="宋体" w:cs="Times New Roman"/>
                      <w:color w:val="FF0000"/>
                      <w:kern w:val="2"/>
                      <w:sz w:val="21"/>
                      <w:szCs w:val="21"/>
                      <w:highlight w:val="none"/>
                      <w:lang w:val="en-US" w:eastAsia="zh-CN" w:bidi="ar-SA"/>
                    </w:rPr>
                  </w:pPr>
                  <w:r>
                    <w:rPr>
                      <w:rFonts w:hint="default" w:ascii="Times New Roman" w:hAnsi="Times New Roman" w:eastAsia="宋体" w:cs="Times New Roman"/>
                      <w:color w:val="FF0000"/>
                      <w:kern w:val="2"/>
                      <w:sz w:val="21"/>
                      <w:szCs w:val="21"/>
                      <w:highlight w:val="none"/>
                      <w:lang w:val="en-US" w:eastAsia="zh-CN" w:bidi="ar-SA"/>
                    </w:rPr>
                    <w:t>41.779382</w:t>
                  </w:r>
                </w:p>
              </w:tc>
              <w:tc>
                <w:tcPr>
                  <w:tcW w:w="521" w:type="pct"/>
                  <w:vMerge w:val="continue"/>
                  <w:tcBorders>
                    <w:tl2br w:val="nil"/>
                    <w:tr2bl w:val="nil"/>
                  </w:tcBorders>
                  <w:noWrap w:val="0"/>
                  <w:vAlign w:val="center"/>
                </w:tcPr>
                <w:p w14:paraId="473BDFD0">
                  <w:pPr>
                    <w:widowControl/>
                    <w:autoSpaceDE/>
                    <w:autoSpaceDN/>
                    <w:spacing w:before="0" w:after="0" w:line="240" w:lineRule="auto"/>
                    <w:ind w:left="0" w:right="0" w:firstLine="0" w:firstLineChars="0"/>
                    <w:jc w:val="center"/>
                    <w:rPr>
                      <w:rFonts w:hint="default" w:ascii="Times New Roman" w:hAnsi="Times New Roman" w:eastAsia="宋体" w:cs="Times New Roman"/>
                      <w:color w:val="FF0000"/>
                      <w:kern w:val="2"/>
                      <w:sz w:val="21"/>
                      <w:szCs w:val="21"/>
                      <w:highlight w:val="none"/>
                      <w:lang w:val="en-US" w:eastAsia="zh-CN" w:bidi="ar-SA"/>
                    </w:rPr>
                  </w:pPr>
                </w:p>
              </w:tc>
              <w:tc>
                <w:tcPr>
                  <w:tcW w:w="410" w:type="pct"/>
                  <w:vMerge w:val="continue"/>
                  <w:tcBorders>
                    <w:tl2br w:val="nil"/>
                    <w:tr2bl w:val="nil"/>
                  </w:tcBorders>
                  <w:noWrap w:val="0"/>
                  <w:vAlign w:val="center"/>
                </w:tcPr>
                <w:p w14:paraId="5CB2F065">
                  <w:pPr>
                    <w:widowControl/>
                    <w:autoSpaceDE/>
                    <w:autoSpaceDN/>
                    <w:spacing w:before="0" w:after="0" w:line="240" w:lineRule="auto"/>
                    <w:ind w:left="0" w:leftChars="0" w:right="0" w:rightChars="0" w:firstLine="0" w:firstLineChars="0"/>
                    <w:jc w:val="center"/>
                    <w:rPr>
                      <w:rFonts w:hint="default" w:ascii="Times New Roman" w:hAnsi="Times New Roman" w:eastAsia="宋体" w:cs="Times New Roman"/>
                      <w:color w:val="FF0000"/>
                      <w:sz w:val="21"/>
                      <w:szCs w:val="21"/>
                      <w:highlight w:val="none"/>
                      <w:lang w:val="en-US" w:eastAsia="zh-CN"/>
                    </w:rPr>
                  </w:pPr>
                </w:p>
              </w:tc>
              <w:tc>
                <w:tcPr>
                  <w:tcW w:w="410" w:type="pct"/>
                  <w:vMerge w:val="continue"/>
                  <w:tcBorders>
                    <w:tl2br w:val="nil"/>
                    <w:tr2bl w:val="nil"/>
                  </w:tcBorders>
                  <w:noWrap w:val="0"/>
                  <w:vAlign w:val="center"/>
                </w:tcPr>
                <w:p w14:paraId="08720850">
                  <w:pPr>
                    <w:widowControl/>
                    <w:autoSpaceDE/>
                    <w:autoSpaceDN/>
                    <w:spacing w:before="0" w:after="0" w:line="240" w:lineRule="auto"/>
                    <w:ind w:left="0" w:leftChars="0" w:right="0" w:rightChars="0" w:firstLine="0" w:firstLineChars="0"/>
                    <w:jc w:val="center"/>
                    <w:rPr>
                      <w:rFonts w:hint="default" w:ascii="Times New Roman" w:hAnsi="Times New Roman" w:eastAsia="宋体" w:cs="Times New Roman"/>
                      <w:color w:val="FF0000"/>
                      <w:sz w:val="21"/>
                      <w:szCs w:val="21"/>
                      <w:highlight w:val="none"/>
                      <w:lang w:val="en-US" w:eastAsia="zh-CN"/>
                    </w:rPr>
                  </w:pPr>
                </w:p>
              </w:tc>
              <w:tc>
                <w:tcPr>
                  <w:tcW w:w="411" w:type="pct"/>
                  <w:vMerge w:val="continue"/>
                  <w:tcBorders>
                    <w:tl2br w:val="nil"/>
                    <w:tr2bl w:val="nil"/>
                  </w:tcBorders>
                  <w:noWrap w:val="0"/>
                  <w:vAlign w:val="center"/>
                </w:tcPr>
                <w:p w14:paraId="1B2A7545">
                  <w:pPr>
                    <w:widowControl/>
                    <w:autoSpaceDE/>
                    <w:autoSpaceDN/>
                    <w:spacing w:before="0" w:after="0" w:line="240" w:lineRule="auto"/>
                    <w:ind w:left="0" w:leftChars="0" w:right="0" w:rightChars="0" w:firstLine="0" w:firstLineChars="0"/>
                    <w:jc w:val="center"/>
                    <w:rPr>
                      <w:rFonts w:hint="default" w:ascii="Times New Roman" w:hAnsi="Times New Roman" w:eastAsia="宋体" w:cs="Times New Roman"/>
                      <w:color w:val="FF0000"/>
                      <w:sz w:val="21"/>
                      <w:szCs w:val="21"/>
                      <w:highlight w:val="none"/>
                      <w:lang w:val="en-US" w:eastAsia="zh-CN"/>
                    </w:rPr>
                  </w:pPr>
                </w:p>
              </w:tc>
              <w:tc>
                <w:tcPr>
                  <w:tcW w:w="627" w:type="pct"/>
                  <w:vMerge w:val="continue"/>
                  <w:tcBorders>
                    <w:tl2br w:val="nil"/>
                    <w:tr2bl w:val="nil"/>
                  </w:tcBorders>
                  <w:noWrap w:val="0"/>
                  <w:vAlign w:val="center"/>
                </w:tcPr>
                <w:p w14:paraId="3C813DF7">
                  <w:pPr>
                    <w:widowControl/>
                    <w:autoSpaceDE/>
                    <w:autoSpaceDN/>
                    <w:spacing w:before="0" w:after="0" w:line="240" w:lineRule="auto"/>
                    <w:ind w:left="0" w:leftChars="0" w:right="0" w:rightChars="0" w:firstLine="0" w:firstLineChars="0"/>
                    <w:jc w:val="center"/>
                    <w:rPr>
                      <w:rFonts w:hint="default" w:ascii="Times New Roman" w:hAnsi="Times New Roman" w:eastAsia="宋体" w:cs="Times New Roman"/>
                      <w:color w:val="FF0000"/>
                      <w:sz w:val="21"/>
                      <w:szCs w:val="21"/>
                      <w:highlight w:val="none"/>
                      <w:lang w:val="en-US" w:eastAsia="zh-CN"/>
                    </w:rPr>
                  </w:pPr>
                </w:p>
              </w:tc>
              <w:tc>
                <w:tcPr>
                  <w:tcW w:w="710" w:type="pct"/>
                  <w:vMerge w:val="continue"/>
                  <w:tcBorders>
                    <w:tl2br w:val="nil"/>
                    <w:tr2bl w:val="nil"/>
                  </w:tcBorders>
                  <w:noWrap w:val="0"/>
                  <w:vAlign w:val="center"/>
                </w:tcPr>
                <w:p w14:paraId="03508B06">
                  <w:pPr>
                    <w:widowControl/>
                    <w:autoSpaceDE/>
                    <w:autoSpaceDN/>
                    <w:spacing w:before="0" w:after="0" w:line="240" w:lineRule="auto"/>
                    <w:ind w:left="0" w:leftChars="0" w:right="0" w:rightChars="0" w:firstLine="0" w:firstLineChars="0"/>
                    <w:jc w:val="center"/>
                    <w:rPr>
                      <w:rFonts w:hint="default" w:ascii="Times New Roman" w:hAnsi="Times New Roman" w:eastAsia="宋体" w:cs="Times New Roman"/>
                      <w:color w:val="FF0000"/>
                      <w:sz w:val="21"/>
                      <w:szCs w:val="21"/>
                      <w:highlight w:val="none"/>
                      <w:lang w:val="en-US" w:eastAsia="zh-CN"/>
                    </w:rPr>
                  </w:pPr>
                </w:p>
              </w:tc>
            </w:tr>
            <w:tr w14:paraId="2D44FF28">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PrEx>
              <w:trPr>
                <w:trHeight w:val="23" w:hRule="atLeast"/>
                <w:jc w:val="center"/>
              </w:trPr>
              <w:tc>
                <w:tcPr>
                  <w:tcW w:w="340" w:type="pct"/>
                  <w:vMerge w:val="continue"/>
                  <w:tcBorders>
                    <w:tl2br w:val="nil"/>
                    <w:tr2bl w:val="nil"/>
                  </w:tcBorders>
                  <w:noWrap w:val="0"/>
                  <w:vAlign w:val="center"/>
                </w:tcPr>
                <w:p w14:paraId="4511ED71">
                  <w:pPr>
                    <w:widowControl/>
                    <w:autoSpaceDE/>
                    <w:autoSpaceDN/>
                    <w:spacing w:before="0" w:after="0" w:line="240" w:lineRule="auto"/>
                    <w:ind w:left="0" w:right="0" w:firstLine="0" w:firstLineChars="0"/>
                    <w:jc w:val="center"/>
                    <w:rPr>
                      <w:rFonts w:hint="default" w:ascii="Times New Roman" w:hAnsi="Times New Roman" w:eastAsia="宋体" w:cs="Times New Roman"/>
                      <w:color w:val="FF0000"/>
                      <w:kern w:val="2"/>
                      <w:sz w:val="21"/>
                      <w:szCs w:val="21"/>
                      <w:highlight w:val="none"/>
                      <w:lang w:val="en-US" w:eastAsia="zh-CN" w:bidi="ar-SA"/>
                    </w:rPr>
                  </w:pPr>
                </w:p>
              </w:tc>
              <w:tc>
                <w:tcPr>
                  <w:tcW w:w="765" w:type="pct"/>
                  <w:tcBorders>
                    <w:tl2br w:val="nil"/>
                    <w:tr2bl w:val="nil"/>
                  </w:tcBorders>
                  <w:noWrap w:val="0"/>
                  <w:vAlign w:val="center"/>
                </w:tcPr>
                <w:p w14:paraId="1C2BE72A">
                  <w:pPr>
                    <w:widowControl/>
                    <w:autoSpaceDE/>
                    <w:autoSpaceDN/>
                    <w:spacing w:before="0" w:after="0" w:line="240" w:lineRule="auto"/>
                    <w:ind w:left="0" w:leftChars="0" w:right="0" w:rightChars="0" w:firstLine="0" w:firstLineChars="0"/>
                    <w:jc w:val="center"/>
                    <w:rPr>
                      <w:rFonts w:hint="default" w:ascii="Times New Roman" w:hAnsi="Times New Roman" w:eastAsia="宋体" w:cs="Times New Roman"/>
                      <w:color w:val="FF0000"/>
                      <w:kern w:val="2"/>
                      <w:sz w:val="21"/>
                      <w:szCs w:val="21"/>
                      <w:highlight w:val="none"/>
                      <w:lang w:val="en-US" w:eastAsia="zh-CN" w:bidi="ar-SA"/>
                    </w:rPr>
                  </w:pPr>
                  <w:r>
                    <w:rPr>
                      <w:rFonts w:hint="default" w:ascii="Times New Roman" w:hAnsi="Times New Roman" w:eastAsia="宋体" w:cs="Times New Roman"/>
                      <w:color w:val="FF0000"/>
                      <w:kern w:val="2"/>
                      <w:sz w:val="21"/>
                      <w:szCs w:val="21"/>
                      <w:highlight w:val="none"/>
                      <w:lang w:val="en-US" w:eastAsia="zh-CN" w:bidi="ar-SA"/>
                    </w:rPr>
                    <w:t>120.759232</w:t>
                  </w:r>
                </w:p>
              </w:tc>
              <w:tc>
                <w:tcPr>
                  <w:tcW w:w="803" w:type="pct"/>
                  <w:tcBorders>
                    <w:tl2br w:val="nil"/>
                    <w:tr2bl w:val="nil"/>
                  </w:tcBorders>
                  <w:noWrap w:val="0"/>
                  <w:vAlign w:val="center"/>
                </w:tcPr>
                <w:p w14:paraId="559332C1">
                  <w:pPr>
                    <w:widowControl/>
                    <w:autoSpaceDE/>
                    <w:autoSpaceDN/>
                    <w:spacing w:before="0" w:after="0" w:line="240" w:lineRule="auto"/>
                    <w:ind w:left="0" w:leftChars="0" w:right="0" w:rightChars="0" w:firstLine="0" w:firstLineChars="0"/>
                    <w:jc w:val="center"/>
                    <w:rPr>
                      <w:rFonts w:hint="default" w:ascii="Times New Roman" w:hAnsi="Times New Roman" w:eastAsia="宋体" w:cs="Times New Roman"/>
                      <w:color w:val="FF0000"/>
                      <w:kern w:val="2"/>
                      <w:sz w:val="21"/>
                      <w:szCs w:val="21"/>
                      <w:highlight w:val="none"/>
                      <w:lang w:val="en-US" w:eastAsia="zh-CN" w:bidi="ar-SA"/>
                    </w:rPr>
                  </w:pPr>
                  <w:r>
                    <w:rPr>
                      <w:rFonts w:hint="default" w:ascii="Times New Roman" w:hAnsi="Times New Roman" w:eastAsia="宋体" w:cs="Times New Roman"/>
                      <w:color w:val="FF0000"/>
                      <w:kern w:val="2"/>
                      <w:sz w:val="21"/>
                      <w:szCs w:val="21"/>
                      <w:highlight w:val="none"/>
                      <w:lang w:val="en-US" w:eastAsia="zh-CN" w:bidi="ar-SA"/>
                    </w:rPr>
                    <w:t>41.779299</w:t>
                  </w:r>
                </w:p>
              </w:tc>
              <w:tc>
                <w:tcPr>
                  <w:tcW w:w="521" w:type="pct"/>
                  <w:vMerge w:val="continue"/>
                  <w:tcBorders>
                    <w:tl2br w:val="nil"/>
                    <w:tr2bl w:val="nil"/>
                  </w:tcBorders>
                  <w:noWrap w:val="0"/>
                  <w:vAlign w:val="center"/>
                </w:tcPr>
                <w:p w14:paraId="36F99958">
                  <w:pPr>
                    <w:widowControl/>
                    <w:autoSpaceDE/>
                    <w:autoSpaceDN/>
                    <w:spacing w:before="0" w:after="0" w:line="240" w:lineRule="auto"/>
                    <w:ind w:left="0" w:right="0" w:firstLine="0" w:firstLineChars="0"/>
                    <w:jc w:val="center"/>
                    <w:rPr>
                      <w:rFonts w:hint="default" w:ascii="Times New Roman" w:hAnsi="Times New Roman" w:eastAsia="宋体" w:cs="Times New Roman"/>
                      <w:color w:val="FF0000"/>
                      <w:kern w:val="2"/>
                      <w:sz w:val="21"/>
                      <w:szCs w:val="21"/>
                      <w:highlight w:val="none"/>
                      <w:lang w:val="en-US" w:eastAsia="zh-CN" w:bidi="ar-SA"/>
                    </w:rPr>
                  </w:pPr>
                </w:p>
              </w:tc>
              <w:tc>
                <w:tcPr>
                  <w:tcW w:w="410" w:type="pct"/>
                  <w:vMerge w:val="continue"/>
                  <w:tcBorders>
                    <w:tl2br w:val="nil"/>
                    <w:tr2bl w:val="nil"/>
                  </w:tcBorders>
                  <w:noWrap w:val="0"/>
                  <w:vAlign w:val="center"/>
                </w:tcPr>
                <w:p w14:paraId="5B384AB8">
                  <w:pPr>
                    <w:jc w:val="center"/>
                    <w:rPr>
                      <w:rFonts w:hint="default" w:ascii="Times New Roman" w:hAnsi="Times New Roman" w:eastAsia="宋体" w:cs="Times New Roman"/>
                      <w:color w:val="FF0000"/>
                      <w:sz w:val="21"/>
                      <w:szCs w:val="21"/>
                      <w:highlight w:val="none"/>
                      <w:lang w:val="en-US" w:eastAsia="zh-CN"/>
                    </w:rPr>
                  </w:pPr>
                </w:p>
              </w:tc>
              <w:tc>
                <w:tcPr>
                  <w:tcW w:w="410" w:type="pct"/>
                  <w:vMerge w:val="continue"/>
                  <w:tcBorders>
                    <w:tl2br w:val="nil"/>
                    <w:tr2bl w:val="nil"/>
                  </w:tcBorders>
                  <w:noWrap w:val="0"/>
                  <w:vAlign w:val="center"/>
                </w:tcPr>
                <w:p w14:paraId="0EF0FE53">
                  <w:pPr>
                    <w:jc w:val="center"/>
                    <w:rPr>
                      <w:rFonts w:hint="default" w:ascii="Times New Roman" w:hAnsi="Times New Roman" w:eastAsia="宋体" w:cs="Times New Roman"/>
                      <w:color w:val="FF0000"/>
                      <w:sz w:val="21"/>
                      <w:szCs w:val="21"/>
                      <w:highlight w:val="none"/>
                      <w:lang w:val="en-US" w:eastAsia="zh-CN"/>
                    </w:rPr>
                  </w:pPr>
                </w:p>
              </w:tc>
              <w:tc>
                <w:tcPr>
                  <w:tcW w:w="411" w:type="pct"/>
                  <w:vMerge w:val="continue"/>
                  <w:tcBorders>
                    <w:tl2br w:val="nil"/>
                    <w:tr2bl w:val="nil"/>
                  </w:tcBorders>
                  <w:noWrap w:val="0"/>
                  <w:vAlign w:val="center"/>
                </w:tcPr>
                <w:p w14:paraId="4C7F54AD">
                  <w:pPr>
                    <w:jc w:val="center"/>
                    <w:rPr>
                      <w:rFonts w:hint="default" w:ascii="Times New Roman" w:hAnsi="Times New Roman" w:eastAsia="宋体" w:cs="Times New Roman"/>
                      <w:color w:val="FF0000"/>
                      <w:sz w:val="21"/>
                      <w:szCs w:val="21"/>
                      <w:highlight w:val="none"/>
                      <w:lang w:val="en-US" w:eastAsia="zh-CN"/>
                    </w:rPr>
                  </w:pPr>
                </w:p>
              </w:tc>
              <w:tc>
                <w:tcPr>
                  <w:tcW w:w="627" w:type="pct"/>
                  <w:vMerge w:val="continue"/>
                  <w:tcBorders>
                    <w:tl2br w:val="nil"/>
                    <w:tr2bl w:val="nil"/>
                  </w:tcBorders>
                  <w:noWrap w:val="0"/>
                  <w:vAlign w:val="center"/>
                </w:tcPr>
                <w:p w14:paraId="3D7CFC6E">
                  <w:pPr>
                    <w:jc w:val="center"/>
                    <w:rPr>
                      <w:rFonts w:hint="default" w:ascii="Times New Roman" w:hAnsi="Times New Roman" w:eastAsia="宋体" w:cs="Times New Roman"/>
                      <w:color w:val="FF0000"/>
                      <w:sz w:val="21"/>
                      <w:szCs w:val="21"/>
                      <w:highlight w:val="none"/>
                      <w:lang w:val="en-US" w:eastAsia="zh-CN"/>
                    </w:rPr>
                  </w:pPr>
                </w:p>
              </w:tc>
              <w:tc>
                <w:tcPr>
                  <w:tcW w:w="710" w:type="pct"/>
                  <w:vMerge w:val="continue"/>
                  <w:tcBorders>
                    <w:tl2br w:val="nil"/>
                    <w:tr2bl w:val="nil"/>
                  </w:tcBorders>
                  <w:noWrap w:val="0"/>
                  <w:vAlign w:val="center"/>
                </w:tcPr>
                <w:p w14:paraId="2CEE1A66">
                  <w:pPr>
                    <w:jc w:val="center"/>
                    <w:rPr>
                      <w:rFonts w:hint="default" w:ascii="Times New Roman" w:hAnsi="Times New Roman" w:eastAsia="宋体" w:cs="Times New Roman"/>
                      <w:color w:val="FF0000"/>
                      <w:sz w:val="21"/>
                      <w:szCs w:val="21"/>
                      <w:highlight w:val="none"/>
                      <w:lang w:val="en-US" w:eastAsia="zh-CN"/>
                    </w:rPr>
                  </w:pPr>
                </w:p>
              </w:tc>
            </w:tr>
            <w:tr w14:paraId="0833228B">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40" w:type="pct"/>
                  <w:vMerge w:val="continue"/>
                  <w:tcBorders>
                    <w:tl2br w:val="nil"/>
                    <w:tr2bl w:val="nil"/>
                  </w:tcBorders>
                  <w:noWrap w:val="0"/>
                  <w:vAlign w:val="center"/>
                </w:tcPr>
                <w:p w14:paraId="693299C0">
                  <w:pPr>
                    <w:widowControl/>
                    <w:autoSpaceDE/>
                    <w:autoSpaceDN/>
                    <w:spacing w:before="0" w:after="0" w:line="240" w:lineRule="auto"/>
                    <w:ind w:left="0" w:right="0" w:firstLine="0" w:firstLineChars="0"/>
                    <w:jc w:val="center"/>
                    <w:rPr>
                      <w:rFonts w:hint="default" w:ascii="Times New Roman" w:hAnsi="Times New Roman" w:eastAsia="宋体" w:cs="Times New Roman"/>
                      <w:color w:val="FF0000"/>
                      <w:kern w:val="2"/>
                      <w:sz w:val="21"/>
                      <w:szCs w:val="21"/>
                      <w:highlight w:val="none"/>
                      <w:lang w:val="en-US" w:eastAsia="zh-CN" w:bidi="ar-SA"/>
                    </w:rPr>
                  </w:pPr>
                </w:p>
              </w:tc>
              <w:tc>
                <w:tcPr>
                  <w:tcW w:w="765" w:type="pct"/>
                  <w:tcBorders>
                    <w:tl2br w:val="nil"/>
                    <w:tr2bl w:val="nil"/>
                  </w:tcBorders>
                  <w:noWrap w:val="0"/>
                  <w:vAlign w:val="center"/>
                </w:tcPr>
                <w:p w14:paraId="2B6F644C">
                  <w:pPr>
                    <w:widowControl/>
                    <w:autoSpaceDE/>
                    <w:autoSpaceDN/>
                    <w:spacing w:before="0" w:after="0" w:line="240" w:lineRule="auto"/>
                    <w:ind w:left="0" w:leftChars="0" w:right="0" w:rightChars="0" w:firstLine="0" w:firstLineChars="0"/>
                    <w:jc w:val="center"/>
                    <w:rPr>
                      <w:rFonts w:hint="default" w:ascii="Times New Roman" w:hAnsi="Times New Roman" w:eastAsia="宋体" w:cs="Times New Roman"/>
                      <w:color w:val="FF0000"/>
                      <w:kern w:val="2"/>
                      <w:sz w:val="21"/>
                      <w:szCs w:val="21"/>
                      <w:highlight w:val="none"/>
                      <w:lang w:val="en-US" w:eastAsia="zh-CN" w:bidi="ar-SA"/>
                    </w:rPr>
                  </w:pPr>
                  <w:r>
                    <w:rPr>
                      <w:rFonts w:hint="default" w:ascii="Times New Roman" w:hAnsi="Times New Roman" w:eastAsia="宋体" w:cs="Times New Roman"/>
                      <w:color w:val="FF0000"/>
                      <w:kern w:val="2"/>
                      <w:sz w:val="21"/>
                      <w:szCs w:val="21"/>
                      <w:highlight w:val="none"/>
                      <w:lang w:val="en-US" w:eastAsia="zh-CN" w:bidi="ar-SA"/>
                    </w:rPr>
                    <w:t>120.759174</w:t>
                  </w:r>
                </w:p>
              </w:tc>
              <w:tc>
                <w:tcPr>
                  <w:tcW w:w="803" w:type="pct"/>
                  <w:tcBorders>
                    <w:tl2br w:val="nil"/>
                    <w:tr2bl w:val="nil"/>
                  </w:tcBorders>
                  <w:noWrap w:val="0"/>
                  <w:vAlign w:val="center"/>
                </w:tcPr>
                <w:p w14:paraId="330E1FB1">
                  <w:pPr>
                    <w:widowControl/>
                    <w:autoSpaceDE/>
                    <w:autoSpaceDN/>
                    <w:spacing w:before="0" w:after="0" w:line="240" w:lineRule="auto"/>
                    <w:ind w:left="0" w:leftChars="0" w:right="0" w:rightChars="0" w:firstLine="0" w:firstLineChars="0"/>
                    <w:jc w:val="center"/>
                    <w:rPr>
                      <w:rFonts w:hint="default" w:ascii="Times New Roman" w:hAnsi="Times New Roman" w:eastAsia="宋体" w:cs="Times New Roman"/>
                      <w:color w:val="FF0000"/>
                      <w:kern w:val="2"/>
                      <w:sz w:val="21"/>
                      <w:szCs w:val="21"/>
                      <w:highlight w:val="none"/>
                      <w:lang w:val="en-US" w:eastAsia="zh-CN" w:bidi="ar-SA"/>
                    </w:rPr>
                  </w:pPr>
                  <w:r>
                    <w:rPr>
                      <w:rFonts w:hint="default" w:ascii="Times New Roman" w:hAnsi="Times New Roman" w:eastAsia="宋体" w:cs="Times New Roman"/>
                      <w:color w:val="FF0000"/>
                      <w:kern w:val="2"/>
                      <w:sz w:val="21"/>
                      <w:szCs w:val="21"/>
                      <w:highlight w:val="none"/>
                      <w:lang w:val="en-US" w:eastAsia="zh-CN" w:bidi="ar-SA"/>
                    </w:rPr>
                    <w:t>41.779262</w:t>
                  </w:r>
                </w:p>
              </w:tc>
              <w:tc>
                <w:tcPr>
                  <w:tcW w:w="521" w:type="pct"/>
                  <w:vMerge w:val="continue"/>
                  <w:tcBorders>
                    <w:tl2br w:val="nil"/>
                    <w:tr2bl w:val="nil"/>
                  </w:tcBorders>
                  <w:noWrap w:val="0"/>
                  <w:vAlign w:val="center"/>
                </w:tcPr>
                <w:p w14:paraId="7E20FAFE">
                  <w:pPr>
                    <w:widowControl/>
                    <w:autoSpaceDE/>
                    <w:autoSpaceDN/>
                    <w:spacing w:before="0" w:after="0" w:line="240" w:lineRule="auto"/>
                    <w:ind w:left="0" w:right="0" w:firstLine="0" w:firstLineChars="0"/>
                    <w:jc w:val="center"/>
                    <w:rPr>
                      <w:rFonts w:hint="default" w:ascii="Times New Roman" w:hAnsi="Times New Roman" w:eastAsia="宋体" w:cs="Times New Roman"/>
                      <w:color w:val="FF0000"/>
                      <w:kern w:val="2"/>
                      <w:sz w:val="21"/>
                      <w:szCs w:val="21"/>
                      <w:highlight w:val="none"/>
                      <w:lang w:val="en-US" w:eastAsia="zh-CN" w:bidi="ar-SA"/>
                    </w:rPr>
                  </w:pPr>
                </w:p>
              </w:tc>
              <w:tc>
                <w:tcPr>
                  <w:tcW w:w="410" w:type="pct"/>
                  <w:vMerge w:val="continue"/>
                  <w:tcBorders>
                    <w:tl2br w:val="nil"/>
                    <w:tr2bl w:val="nil"/>
                  </w:tcBorders>
                  <w:noWrap w:val="0"/>
                  <w:vAlign w:val="center"/>
                </w:tcPr>
                <w:p w14:paraId="7BAF10B0">
                  <w:pPr>
                    <w:jc w:val="center"/>
                    <w:rPr>
                      <w:rFonts w:hint="default" w:ascii="Times New Roman" w:hAnsi="Times New Roman" w:eastAsia="宋体" w:cs="Times New Roman"/>
                      <w:color w:val="FF0000"/>
                      <w:sz w:val="21"/>
                      <w:szCs w:val="21"/>
                      <w:highlight w:val="none"/>
                      <w:lang w:val="en-US" w:eastAsia="zh-CN"/>
                    </w:rPr>
                  </w:pPr>
                </w:p>
              </w:tc>
              <w:tc>
                <w:tcPr>
                  <w:tcW w:w="410" w:type="pct"/>
                  <w:vMerge w:val="continue"/>
                  <w:tcBorders>
                    <w:tl2br w:val="nil"/>
                    <w:tr2bl w:val="nil"/>
                  </w:tcBorders>
                  <w:noWrap w:val="0"/>
                  <w:vAlign w:val="center"/>
                </w:tcPr>
                <w:p w14:paraId="4CF2FF65">
                  <w:pPr>
                    <w:jc w:val="center"/>
                    <w:rPr>
                      <w:rFonts w:hint="default" w:ascii="Times New Roman" w:hAnsi="Times New Roman" w:eastAsia="宋体" w:cs="Times New Roman"/>
                      <w:color w:val="FF0000"/>
                      <w:sz w:val="21"/>
                      <w:szCs w:val="21"/>
                      <w:highlight w:val="none"/>
                      <w:lang w:val="en-US" w:eastAsia="zh-CN"/>
                    </w:rPr>
                  </w:pPr>
                </w:p>
              </w:tc>
              <w:tc>
                <w:tcPr>
                  <w:tcW w:w="411" w:type="pct"/>
                  <w:vMerge w:val="continue"/>
                  <w:tcBorders>
                    <w:tl2br w:val="nil"/>
                    <w:tr2bl w:val="nil"/>
                  </w:tcBorders>
                  <w:noWrap w:val="0"/>
                  <w:vAlign w:val="center"/>
                </w:tcPr>
                <w:p w14:paraId="2528127B">
                  <w:pPr>
                    <w:jc w:val="center"/>
                    <w:rPr>
                      <w:rFonts w:hint="default" w:ascii="Times New Roman" w:hAnsi="Times New Roman" w:eastAsia="宋体" w:cs="Times New Roman"/>
                      <w:color w:val="FF0000"/>
                      <w:sz w:val="21"/>
                      <w:szCs w:val="21"/>
                      <w:highlight w:val="none"/>
                      <w:lang w:val="en-US" w:eastAsia="zh-CN"/>
                    </w:rPr>
                  </w:pPr>
                </w:p>
              </w:tc>
              <w:tc>
                <w:tcPr>
                  <w:tcW w:w="627" w:type="pct"/>
                  <w:vMerge w:val="continue"/>
                  <w:tcBorders>
                    <w:tl2br w:val="nil"/>
                    <w:tr2bl w:val="nil"/>
                  </w:tcBorders>
                  <w:noWrap w:val="0"/>
                  <w:vAlign w:val="center"/>
                </w:tcPr>
                <w:p w14:paraId="15B8D891">
                  <w:pPr>
                    <w:jc w:val="center"/>
                    <w:rPr>
                      <w:rFonts w:hint="default" w:ascii="Times New Roman" w:hAnsi="Times New Roman" w:eastAsia="宋体" w:cs="Times New Roman"/>
                      <w:color w:val="FF0000"/>
                      <w:sz w:val="21"/>
                      <w:szCs w:val="21"/>
                      <w:highlight w:val="none"/>
                      <w:lang w:val="en-US" w:eastAsia="zh-CN"/>
                    </w:rPr>
                  </w:pPr>
                </w:p>
              </w:tc>
              <w:tc>
                <w:tcPr>
                  <w:tcW w:w="710" w:type="pct"/>
                  <w:vMerge w:val="continue"/>
                  <w:tcBorders>
                    <w:tl2br w:val="nil"/>
                    <w:tr2bl w:val="nil"/>
                  </w:tcBorders>
                  <w:noWrap w:val="0"/>
                  <w:vAlign w:val="center"/>
                </w:tcPr>
                <w:p w14:paraId="70B59E56">
                  <w:pPr>
                    <w:jc w:val="center"/>
                    <w:rPr>
                      <w:rFonts w:hint="default" w:ascii="Times New Roman" w:hAnsi="Times New Roman" w:eastAsia="宋体" w:cs="Times New Roman"/>
                      <w:color w:val="FF0000"/>
                      <w:sz w:val="21"/>
                      <w:szCs w:val="21"/>
                      <w:highlight w:val="none"/>
                      <w:lang w:val="en-US" w:eastAsia="zh-CN"/>
                    </w:rPr>
                  </w:pPr>
                </w:p>
              </w:tc>
            </w:tr>
            <w:tr w14:paraId="1839D6B3">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PrEx>
              <w:trPr>
                <w:trHeight w:val="23" w:hRule="atLeast"/>
                <w:jc w:val="center"/>
              </w:trPr>
              <w:tc>
                <w:tcPr>
                  <w:tcW w:w="340" w:type="pct"/>
                  <w:vMerge w:val="continue"/>
                  <w:tcBorders>
                    <w:tl2br w:val="nil"/>
                    <w:tr2bl w:val="nil"/>
                  </w:tcBorders>
                  <w:noWrap w:val="0"/>
                  <w:vAlign w:val="center"/>
                </w:tcPr>
                <w:p w14:paraId="71DBF215">
                  <w:pPr>
                    <w:widowControl/>
                    <w:autoSpaceDE/>
                    <w:autoSpaceDN/>
                    <w:spacing w:before="0" w:after="0" w:line="240" w:lineRule="auto"/>
                    <w:ind w:left="0" w:right="0" w:firstLine="0" w:firstLineChars="0"/>
                    <w:jc w:val="center"/>
                    <w:rPr>
                      <w:rFonts w:hint="default" w:ascii="Times New Roman" w:hAnsi="Times New Roman" w:eastAsia="宋体" w:cs="Times New Roman"/>
                      <w:color w:val="FF0000"/>
                      <w:kern w:val="2"/>
                      <w:sz w:val="21"/>
                      <w:szCs w:val="21"/>
                      <w:highlight w:val="none"/>
                      <w:lang w:val="en-US" w:eastAsia="zh-CN" w:bidi="ar-SA"/>
                    </w:rPr>
                  </w:pPr>
                </w:p>
              </w:tc>
              <w:tc>
                <w:tcPr>
                  <w:tcW w:w="765" w:type="pct"/>
                  <w:tcBorders>
                    <w:tl2br w:val="nil"/>
                    <w:tr2bl w:val="nil"/>
                  </w:tcBorders>
                  <w:noWrap w:val="0"/>
                  <w:vAlign w:val="center"/>
                </w:tcPr>
                <w:p w14:paraId="4321DF51">
                  <w:pPr>
                    <w:widowControl/>
                    <w:autoSpaceDE/>
                    <w:autoSpaceDN/>
                    <w:spacing w:before="0" w:after="0" w:line="240" w:lineRule="auto"/>
                    <w:ind w:left="0" w:leftChars="0" w:right="0" w:rightChars="0" w:firstLine="0" w:firstLineChars="0"/>
                    <w:jc w:val="center"/>
                    <w:rPr>
                      <w:rFonts w:hint="default" w:ascii="Times New Roman" w:hAnsi="Times New Roman" w:eastAsia="宋体" w:cs="Times New Roman"/>
                      <w:color w:val="FF0000"/>
                      <w:kern w:val="2"/>
                      <w:sz w:val="21"/>
                      <w:szCs w:val="21"/>
                      <w:highlight w:val="none"/>
                      <w:lang w:val="en-US" w:eastAsia="zh-CN" w:bidi="ar-SA"/>
                    </w:rPr>
                  </w:pPr>
                  <w:r>
                    <w:rPr>
                      <w:rFonts w:hint="default" w:ascii="Times New Roman" w:hAnsi="Times New Roman" w:eastAsia="宋体" w:cs="Times New Roman"/>
                      <w:color w:val="FF0000"/>
                      <w:kern w:val="2"/>
                      <w:sz w:val="21"/>
                      <w:szCs w:val="21"/>
                      <w:highlight w:val="none"/>
                      <w:lang w:val="en-US" w:eastAsia="zh-CN" w:bidi="ar-SA"/>
                    </w:rPr>
                    <w:t>120.759804</w:t>
                  </w:r>
                </w:p>
              </w:tc>
              <w:tc>
                <w:tcPr>
                  <w:tcW w:w="803" w:type="pct"/>
                  <w:tcBorders>
                    <w:tl2br w:val="nil"/>
                    <w:tr2bl w:val="nil"/>
                  </w:tcBorders>
                  <w:noWrap w:val="0"/>
                  <w:vAlign w:val="center"/>
                </w:tcPr>
                <w:p w14:paraId="7E1DA0E7">
                  <w:pPr>
                    <w:widowControl/>
                    <w:autoSpaceDE/>
                    <w:autoSpaceDN/>
                    <w:spacing w:before="0" w:after="0" w:line="240" w:lineRule="auto"/>
                    <w:ind w:left="0" w:leftChars="0" w:right="0" w:rightChars="0" w:firstLine="0" w:firstLineChars="0"/>
                    <w:jc w:val="center"/>
                    <w:rPr>
                      <w:rFonts w:hint="default" w:ascii="Times New Roman" w:hAnsi="Times New Roman" w:eastAsia="宋体" w:cs="Times New Roman"/>
                      <w:color w:val="FF0000"/>
                      <w:kern w:val="2"/>
                      <w:sz w:val="21"/>
                      <w:szCs w:val="21"/>
                      <w:highlight w:val="none"/>
                      <w:lang w:val="en-US" w:eastAsia="zh-CN" w:bidi="ar-SA"/>
                    </w:rPr>
                  </w:pPr>
                  <w:r>
                    <w:rPr>
                      <w:rFonts w:hint="default" w:ascii="Times New Roman" w:hAnsi="Times New Roman" w:eastAsia="宋体" w:cs="Times New Roman"/>
                      <w:color w:val="FF0000"/>
                      <w:kern w:val="2"/>
                      <w:sz w:val="21"/>
                      <w:szCs w:val="21"/>
                      <w:highlight w:val="none"/>
                      <w:lang w:val="en-US" w:eastAsia="zh-CN" w:bidi="ar-SA"/>
                    </w:rPr>
                    <w:t>41.77876</w:t>
                  </w:r>
                  <w:r>
                    <w:rPr>
                      <w:rFonts w:hint="default" w:ascii="Times New Roman" w:hAnsi="Times New Roman" w:cs="Times New Roman"/>
                      <w:color w:val="FF0000"/>
                      <w:kern w:val="2"/>
                      <w:sz w:val="21"/>
                      <w:szCs w:val="21"/>
                      <w:highlight w:val="none"/>
                      <w:lang w:val="en-US" w:eastAsia="zh-CN" w:bidi="ar-SA"/>
                    </w:rPr>
                    <w:t>3</w:t>
                  </w:r>
                </w:p>
              </w:tc>
              <w:tc>
                <w:tcPr>
                  <w:tcW w:w="521" w:type="pct"/>
                  <w:vMerge w:val="continue"/>
                  <w:tcBorders>
                    <w:tl2br w:val="nil"/>
                    <w:tr2bl w:val="nil"/>
                  </w:tcBorders>
                  <w:noWrap w:val="0"/>
                  <w:vAlign w:val="center"/>
                </w:tcPr>
                <w:p w14:paraId="034E87A7">
                  <w:pPr>
                    <w:widowControl/>
                    <w:autoSpaceDE/>
                    <w:autoSpaceDN/>
                    <w:spacing w:before="0" w:after="0" w:line="240" w:lineRule="auto"/>
                    <w:ind w:left="0" w:right="0" w:firstLine="0" w:firstLineChars="0"/>
                    <w:jc w:val="center"/>
                    <w:rPr>
                      <w:rFonts w:hint="default" w:ascii="Times New Roman" w:hAnsi="Times New Roman" w:eastAsia="宋体" w:cs="Times New Roman"/>
                      <w:color w:val="FF0000"/>
                      <w:kern w:val="2"/>
                      <w:sz w:val="21"/>
                      <w:szCs w:val="21"/>
                      <w:highlight w:val="none"/>
                      <w:lang w:val="en-US" w:eastAsia="zh-CN" w:bidi="ar-SA"/>
                    </w:rPr>
                  </w:pPr>
                </w:p>
              </w:tc>
              <w:tc>
                <w:tcPr>
                  <w:tcW w:w="410" w:type="pct"/>
                  <w:vMerge w:val="continue"/>
                  <w:tcBorders>
                    <w:tl2br w:val="nil"/>
                    <w:tr2bl w:val="nil"/>
                  </w:tcBorders>
                  <w:noWrap w:val="0"/>
                  <w:vAlign w:val="center"/>
                </w:tcPr>
                <w:p w14:paraId="2DE93B09">
                  <w:pPr>
                    <w:jc w:val="center"/>
                    <w:rPr>
                      <w:rFonts w:hint="default" w:ascii="Times New Roman" w:hAnsi="Times New Roman" w:eastAsia="宋体" w:cs="Times New Roman"/>
                      <w:color w:val="FF0000"/>
                      <w:sz w:val="21"/>
                      <w:szCs w:val="21"/>
                      <w:highlight w:val="none"/>
                      <w:lang w:val="en-US" w:eastAsia="zh-CN"/>
                    </w:rPr>
                  </w:pPr>
                </w:p>
              </w:tc>
              <w:tc>
                <w:tcPr>
                  <w:tcW w:w="410" w:type="pct"/>
                  <w:vMerge w:val="continue"/>
                  <w:tcBorders>
                    <w:tl2br w:val="nil"/>
                    <w:tr2bl w:val="nil"/>
                  </w:tcBorders>
                  <w:noWrap w:val="0"/>
                  <w:vAlign w:val="center"/>
                </w:tcPr>
                <w:p w14:paraId="3ACBB0BE">
                  <w:pPr>
                    <w:jc w:val="center"/>
                    <w:rPr>
                      <w:rFonts w:hint="default" w:ascii="Times New Roman" w:hAnsi="Times New Roman" w:eastAsia="宋体" w:cs="Times New Roman"/>
                      <w:color w:val="FF0000"/>
                      <w:sz w:val="21"/>
                      <w:szCs w:val="21"/>
                      <w:highlight w:val="none"/>
                      <w:lang w:val="en-US" w:eastAsia="zh-CN"/>
                    </w:rPr>
                  </w:pPr>
                </w:p>
              </w:tc>
              <w:tc>
                <w:tcPr>
                  <w:tcW w:w="411" w:type="pct"/>
                  <w:vMerge w:val="continue"/>
                  <w:tcBorders>
                    <w:tl2br w:val="nil"/>
                    <w:tr2bl w:val="nil"/>
                  </w:tcBorders>
                  <w:noWrap w:val="0"/>
                  <w:vAlign w:val="center"/>
                </w:tcPr>
                <w:p w14:paraId="73C821C5">
                  <w:pPr>
                    <w:jc w:val="center"/>
                    <w:rPr>
                      <w:rFonts w:hint="default" w:ascii="Times New Roman" w:hAnsi="Times New Roman" w:eastAsia="宋体" w:cs="Times New Roman"/>
                      <w:color w:val="FF0000"/>
                      <w:sz w:val="21"/>
                      <w:szCs w:val="21"/>
                      <w:highlight w:val="none"/>
                      <w:lang w:val="en-US" w:eastAsia="zh-CN"/>
                    </w:rPr>
                  </w:pPr>
                </w:p>
              </w:tc>
              <w:tc>
                <w:tcPr>
                  <w:tcW w:w="627" w:type="pct"/>
                  <w:vMerge w:val="continue"/>
                  <w:tcBorders>
                    <w:tl2br w:val="nil"/>
                    <w:tr2bl w:val="nil"/>
                  </w:tcBorders>
                  <w:noWrap w:val="0"/>
                  <w:vAlign w:val="center"/>
                </w:tcPr>
                <w:p w14:paraId="7CFFEF46">
                  <w:pPr>
                    <w:jc w:val="center"/>
                    <w:rPr>
                      <w:rFonts w:hint="default" w:ascii="Times New Roman" w:hAnsi="Times New Roman" w:eastAsia="宋体" w:cs="Times New Roman"/>
                      <w:color w:val="FF0000"/>
                      <w:sz w:val="21"/>
                      <w:szCs w:val="21"/>
                      <w:highlight w:val="none"/>
                      <w:lang w:val="en-US" w:eastAsia="zh-CN"/>
                    </w:rPr>
                  </w:pPr>
                </w:p>
              </w:tc>
              <w:tc>
                <w:tcPr>
                  <w:tcW w:w="710" w:type="pct"/>
                  <w:vMerge w:val="continue"/>
                  <w:tcBorders>
                    <w:tl2br w:val="nil"/>
                    <w:tr2bl w:val="nil"/>
                  </w:tcBorders>
                  <w:noWrap w:val="0"/>
                  <w:vAlign w:val="center"/>
                </w:tcPr>
                <w:p w14:paraId="6A15EA4E">
                  <w:pPr>
                    <w:jc w:val="center"/>
                    <w:rPr>
                      <w:rFonts w:hint="default" w:ascii="Times New Roman" w:hAnsi="Times New Roman" w:eastAsia="宋体" w:cs="Times New Roman"/>
                      <w:color w:val="FF0000"/>
                      <w:sz w:val="21"/>
                      <w:szCs w:val="21"/>
                      <w:highlight w:val="none"/>
                      <w:lang w:val="en-US" w:eastAsia="zh-CN"/>
                    </w:rPr>
                  </w:pPr>
                </w:p>
              </w:tc>
            </w:tr>
            <w:tr w14:paraId="0720FC7A">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340" w:type="pct"/>
                  <w:vMerge w:val="continue"/>
                  <w:tcBorders>
                    <w:tl2br w:val="nil"/>
                    <w:tr2bl w:val="nil"/>
                  </w:tcBorders>
                  <w:noWrap w:val="0"/>
                  <w:vAlign w:val="center"/>
                </w:tcPr>
                <w:p w14:paraId="2ABAF93A">
                  <w:pPr>
                    <w:widowControl/>
                    <w:autoSpaceDE/>
                    <w:autoSpaceDN/>
                    <w:spacing w:before="0" w:after="0" w:line="240" w:lineRule="auto"/>
                    <w:ind w:left="0" w:right="0" w:firstLine="0" w:firstLineChars="0"/>
                    <w:jc w:val="center"/>
                    <w:rPr>
                      <w:rFonts w:hint="default" w:ascii="Times New Roman" w:hAnsi="Times New Roman" w:eastAsia="宋体" w:cs="Times New Roman"/>
                      <w:color w:val="FF0000"/>
                      <w:kern w:val="2"/>
                      <w:sz w:val="21"/>
                      <w:szCs w:val="21"/>
                      <w:highlight w:val="none"/>
                      <w:lang w:val="en-US" w:eastAsia="zh-CN" w:bidi="ar-SA"/>
                    </w:rPr>
                  </w:pPr>
                </w:p>
              </w:tc>
              <w:tc>
                <w:tcPr>
                  <w:tcW w:w="765" w:type="pct"/>
                  <w:tcBorders>
                    <w:tl2br w:val="nil"/>
                    <w:tr2bl w:val="nil"/>
                  </w:tcBorders>
                  <w:noWrap w:val="0"/>
                  <w:vAlign w:val="center"/>
                </w:tcPr>
                <w:p w14:paraId="67805B3D">
                  <w:pPr>
                    <w:widowControl/>
                    <w:autoSpaceDE/>
                    <w:autoSpaceDN/>
                    <w:spacing w:before="0" w:after="0" w:line="240" w:lineRule="auto"/>
                    <w:ind w:left="0" w:leftChars="0" w:right="0" w:rightChars="0" w:firstLine="0" w:firstLineChars="0"/>
                    <w:jc w:val="center"/>
                    <w:rPr>
                      <w:rFonts w:hint="default" w:ascii="Times New Roman" w:hAnsi="Times New Roman" w:eastAsia="宋体" w:cs="Times New Roman"/>
                      <w:color w:val="FF0000"/>
                      <w:kern w:val="2"/>
                      <w:sz w:val="21"/>
                      <w:szCs w:val="21"/>
                      <w:highlight w:val="none"/>
                      <w:lang w:val="en-US" w:eastAsia="zh-CN" w:bidi="ar-SA"/>
                    </w:rPr>
                  </w:pPr>
                  <w:r>
                    <w:rPr>
                      <w:rFonts w:hint="default" w:ascii="Times New Roman" w:hAnsi="Times New Roman" w:eastAsia="宋体" w:cs="Times New Roman"/>
                      <w:color w:val="FF0000"/>
                      <w:kern w:val="2"/>
                      <w:sz w:val="21"/>
                      <w:szCs w:val="21"/>
                      <w:highlight w:val="none"/>
                      <w:lang w:val="en-US" w:eastAsia="zh-CN" w:bidi="ar-SA"/>
                    </w:rPr>
                    <w:t>120.760144</w:t>
                  </w:r>
                </w:p>
              </w:tc>
              <w:tc>
                <w:tcPr>
                  <w:tcW w:w="803" w:type="pct"/>
                  <w:tcBorders>
                    <w:tl2br w:val="nil"/>
                    <w:tr2bl w:val="nil"/>
                  </w:tcBorders>
                  <w:noWrap w:val="0"/>
                  <w:vAlign w:val="center"/>
                </w:tcPr>
                <w:p w14:paraId="7C5CC558">
                  <w:pPr>
                    <w:widowControl/>
                    <w:autoSpaceDE/>
                    <w:autoSpaceDN/>
                    <w:spacing w:before="0" w:after="0" w:line="240" w:lineRule="auto"/>
                    <w:ind w:left="0" w:leftChars="0" w:right="0" w:rightChars="0" w:firstLine="0" w:firstLineChars="0"/>
                    <w:jc w:val="center"/>
                    <w:rPr>
                      <w:rFonts w:hint="default" w:ascii="Times New Roman" w:hAnsi="Times New Roman" w:eastAsia="宋体" w:cs="Times New Roman"/>
                      <w:color w:val="FF0000"/>
                      <w:kern w:val="2"/>
                      <w:sz w:val="21"/>
                      <w:szCs w:val="21"/>
                      <w:highlight w:val="none"/>
                      <w:lang w:val="en-US" w:eastAsia="zh-CN" w:bidi="ar-SA"/>
                    </w:rPr>
                  </w:pPr>
                  <w:r>
                    <w:rPr>
                      <w:rFonts w:hint="default" w:ascii="Times New Roman" w:hAnsi="Times New Roman" w:eastAsia="宋体" w:cs="Times New Roman"/>
                      <w:color w:val="FF0000"/>
                      <w:kern w:val="2"/>
                      <w:sz w:val="21"/>
                      <w:szCs w:val="21"/>
                      <w:highlight w:val="none"/>
                      <w:lang w:val="en-US" w:eastAsia="zh-CN" w:bidi="ar-SA"/>
                    </w:rPr>
                    <w:t>41.779029</w:t>
                  </w:r>
                </w:p>
              </w:tc>
              <w:tc>
                <w:tcPr>
                  <w:tcW w:w="521" w:type="pct"/>
                  <w:vMerge w:val="continue"/>
                  <w:tcBorders>
                    <w:tl2br w:val="nil"/>
                    <w:tr2bl w:val="nil"/>
                  </w:tcBorders>
                  <w:noWrap w:val="0"/>
                  <w:vAlign w:val="center"/>
                </w:tcPr>
                <w:p w14:paraId="2D14917A">
                  <w:pPr>
                    <w:widowControl/>
                    <w:autoSpaceDE/>
                    <w:autoSpaceDN/>
                    <w:spacing w:before="0" w:after="0" w:line="240" w:lineRule="auto"/>
                    <w:ind w:left="0" w:right="0" w:firstLine="0" w:firstLineChars="0"/>
                    <w:jc w:val="center"/>
                    <w:rPr>
                      <w:rFonts w:hint="default" w:ascii="Times New Roman" w:hAnsi="Times New Roman" w:eastAsia="宋体" w:cs="Times New Roman"/>
                      <w:color w:val="FF0000"/>
                      <w:kern w:val="2"/>
                      <w:sz w:val="21"/>
                      <w:szCs w:val="21"/>
                      <w:highlight w:val="none"/>
                      <w:lang w:val="en-US" w:eastAsia="zh-CN" w:bidi="ar-SA"/>
                    </w:rPr>
                  </w:pPr>
                </w:p>
              </w:tc>
              <w:tc>
                <w:tcPr>
                  <w:tcW w:w="410" w:type="pct"/>
                  <w:vMerge w:val="continue"/>
                  <w:tcBorders>
                    <w:tl2br w:val="nil"/>
                    <w:tr2bl w:val="nil"/>
                  </w:tcBorders>
                  <w:noWrap w:val="0"/>
                  <w:vAlign w:val="center"/>
                </w:tcPr>
                <w:p w14:paraId="5F0EEEC7">
                  <w:pPr>
                    <w:jc w:val="center"/>
                    <w:rPr>
                      <w:rFonts w:hint="default" w:ascii="Times New Roman" w:hAnsi="Times New Roman" w:eastAsia="宋体" w:cs="Times New Roman"/>
                      <w:color w:val="FF0000"/>
                      <w:sz w:val="21"/>
                      <w:szCs w:val="21"/>
                      <w:highlight w:val="none"/>
                      <w:lang w:val="en-US" w:eastAsia="zh-CN"/>
                    </w:rPr>
                  </w:pPr>
                </w:p>
              </w:tc>
              <w:tc>
                <w:tcPr>
                  <w:tcW w:w="410" w:type="pct"/>
                  <w:vMerge w:val="continue"/>
                  <w:tcBorders>
                    <w:tl2br w:val="nil"/>
                    <w:tr2bl w:val="nil"/>
                  </w:tcBorders>
                  <w:noWrap w:val="0"/>
                  <w:vAlign w:val="center"/>
                </w:tcPr>
                <w:p w14:paraId="1351AA3A">
                  <w:pPr>
                    <w:jc w:val="center"/>
                    <w:rPr>
                      <w:rFonts w:hint="default" w:ascii="Times New Roman" w:hAnsi="Times New Roman" w:eastAsia="宋体" w:cs="Times New Roman"/>
                      <w:color w:val="FF0000"/>
                      <w:sz w:val="21"/>
                      <w:szCs w:val="21"/>
                      <w:highlight w:val="none"/>
                      <w:lang w:val="en-US" w:eastAsia="zh-CN"/>
                    </w:rPr>
                  </w:pPr>
                </w:p>
              </w:tc>
              <w:tc>
                <w:tcPr>
                  <w:tcW w:w="411" w:type="pct"/>
                  <w:vMerge w:val="continue"/>
                  <w:tcBorders>
                    <w:tl2br w:val="nil"/>
                    <w:tr2bl w:val="nil"/>
                  </w:tcBorders>
                  <w:noWrap w:val="0"/>
                  <w:vAlign w:val="center"/>
                </w:tcPr>
                <w:p w14:paraId="0D912BE4">
                  <w:pPr>
                    <w:jc w:val="center"/>
                    <w:rPr>
                      <w:rFonts w:hint="default" w:ascii="Times New Roman" w:hAnsi="Times New Roman" w:eastAsia="宋体" w:cs="Times New Roman"/>
                      <w:color w:val="FF0000"/>
                      <w:sz w:val="21"/>
                      <w:szCs w:val="21"/>
                      <w:highlight w:val="none"/>
                      <w:lang w:val="en-US" w:eastAsia="zh-CN"/>
                    </w:rPr>
                  </w:pPr>
                </w:p>
              </w:tc>
              <w:tc>
                <w:tcPr>
                  <w:tcW w:w="627" w:type="pct"/>
                  <w:vMerge w:val="continue"/>
                  <w:tcBorders>
                    <w:tl2br w:val="nil"/>
                    <w:tr2bl w:val="nil"/>
                  </w:tcBorders>
                  <w:noWrap w:val="0"/>
                  <w:vAlign w:val="center"/>
                </w:tcPr>
                <w:p w14:paraId="2FA85C37">
                  <w:pPr>
                    <w:jc w:val="center"/>
                    <w:rPr>
                      <w:rFonts w:hint="default" w:ascii="Times New Roman" w:hAnsi="Times New Roman" w:eastAsia="宋体" w:cs="Times New Roman"/>
                      <w:color w:val="FF0000"/>
                      <w:sz w:val="21"/>
                      <w:szCs w:val="21"/>
                      <w:highlight w:val="none"/>
                      <w:lang w:val="en-US" w:eastAsia="zh-CN"/>
                    </w:rPr>
                  </w:pPr>
                </w:p>
              </w:tc>
              <w:tc>
                <w:tcPr>
                  <w:tcW w:w="710" w:type="pct"/>
                  <w:vMerge w:val="continue"/>
                  <w:tcBorders>
                    <w:tl2br w:val="nil"/>
                    <w:tr2bl w:val="nil"/>
                  </w:tcBorders>
                  <w:noWrap w:val="0"/>
                  <w:vAlign w:val="center"/>
                </w:tcPr>
                <w:p w14:paraId="35D55B1B">
                  <w:pPr>
                    <w:jc w:val="center"/>
                    <w:rPr>
                      <w:rFonts w:hint="default" w:ascii="Times New Roman" w:hAnsi="Times New Roman" w:eastAsia="宋体" w:cs="Times New Roman"/>
                      <w:color w:val="FF0000"/>
                      <w:sz w:val="21"/>
                      <w:szCs w:val="21"/>
                      <w:highlight w:val="none"/>
                      <w:lang w:val="en-US" w:eastAsia="zh-CN"/>
                    </w:rPr>
                  </w:pPr>
                </w:p>
              </w:tc>
            </w:tr>
          </w:tbl>
          <w:p w14:paraId="008F1128">
            <w:pPr>
              <w:ind w:firstLine="422" w:firstLineChars="200"/>
              <w:jc w:val="center"/>
              <w:rPr>
                <w:rFonts w:hint="default" w:ascii="Times New Roman" w:hAnsi="Times New Roman" w:cs="Times New Roman"/>
                <w:b/>
                <w:color w:val="FF0000"/>
                <w:szCs w:val="21"/>
              </w:rPr>
            </w:pPr>
            <w:r>
              <w:rPr>
                <w:rFonts w:hint="default" w:ascii="Times New Roman" w:hAnsi="Times New Roman" w:cs="Times New Roman"/>
                <w:b/>
                <w:color w:val="FF0000"/>
                <w:szCs w:val="21"/>
              </w:rPr>
              <w:t>表4-1</w:t>
            </w:r>
            <w:r>
              <w:rPr>
                <w:rFonts w:hint="eastAsia" w:cs="Times New Roman"/>
                <w:b/>
                <w:color w:val="FF0000"/>
                <w:szCs w:val="21"/>
                <w:lang w:val="en-US" w:eastAsia="zh-CN"/>
              </w:rPr>
              <w:t>5</w:t>
            </w:r>
            <w:r>
              <w:rPr>
                <w:rFonts w:hint="default" w:ascii="Times New Roman" w:hAnsi="Times New Roman" w:cs="Times New Roman"/>
                <w:b/>
                <w:color w:val="FF0000"/>
                <w:szCs w:val="21"/>
              </w:rPr>
              <w:t xml:space="preserve">   矩形面源源参数表</w:t>
            </w:r>
          </w:p>
          <w:tbl>
            <w:tblPr>
              <w:tblStyle w:val="34"/>
              <w:tblW w:w="4995" w:type="pct"/>
              <w:tblInd w:w="0" w:type="dxa"/>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686"/>
              <w:gridCol w:w="1177"/>
              <w:gridCol w:w="1211"/>
              <w:gridCol w:w="681"/>
              <w:gridCol w:w="650"/>
              <w:gridCol w:w="576"/>
              <w:gridCol w:w="671"/>
              <w:gridCol w:w="703"/>
              <w:gridCol w:w="710"/>
              <w:gridCol w:w="710"/>
              <w:gridCol w:w="691"/>
            </w:tblGrid>
            <w:tr w14:paraId="1FE22EC2">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24" w:hRule="atLeast"/>
              </w:trPr>
              <w:tc>
                <w:tcPr>
                  <w:tcW w:w="405" w:type="pct"/>
                  <w:vMerge w:val="restart"/>
                  <w:tcBorders>
                    <w:tl2br w:val="nil"/>
                    <w:tr2bl w:val="nil"/>
                  </w:tcBorders>
                  <w:vAlign w:val="center"/>
                </w:tcPr>
                <w:p w14:paraId="0B91E262">
                  <w:pPr>
                    <w:jc w:val="center"/>
                    <w:rPr>
                      <w:rFonts w:hint="default" w:ascii="Times New Roman" w:hAnsi="Times New Roman" w:cs="Times New Roman"/>
                      <w:color w:val="FF0000"/>
                      <w:szCs w:val="21"/>
                    </w:rPr>
                  </w:pPr>
                  <w:r>
                    <w:rPr>
                      <w:rFonts w:hint="default" w:ascii="Times New Roman" w:hAnsi="Times New Roman" w:cs="Times New Roman"/>
                      <w:color w:val="FF0000"/>
                      <w:spacing w:val="-3"/>
                      <w:szCs w:val="21"/>
                    </w:rPr>
                    <w:t>污</w:t>
                  </w:r>
                  <w:r>
                    <w:rPr>
                      <w:rFonts w:hint="default" w:ascii="Times New Roman" w:hAnsi="Times New Roman" w:cs="Times New Roman"/>
                      <w:color w:val="FF0000"/>
                      <w:spacing w:val="-2"/>
                      <w:szCs w:val="21"/>
                    </w:rPr>
                    <w:t>染源</w:t>
                  </w:r>
                  <w:r>
                    <w:rPr>
                      <w:rFonts w:hint="default" w:ascii="Times New Roman" w:hAnsi="Times New Roman" w:cs="Times New Roman"/>
                      <w:color w:val="FF0000"/>
                      <w:spacing w:val="-3"/>
                      <w:szCs w:val="21"/>
                    </w:rPr>
                    <w:t>名</w:t>
                  </w:r>
                  <w:r>
                    <w:rPr>
                      <w:rFonts w:hint="default" w:ascii="Times New Roman" w:hAnsi="Times New Roman" w:cs="Times New Roman"/>
                      <w:color w:val="FF0000"/>
                      <w:spacing w:val="-2"/>
                      <w:szCs w:val="21"/>
                    </w:rPr>
                    <w:t>称</w:t>
                  </w:r>
                </w:p>
              </w:tc>
              <w:tc>
                <w:tcPr>
                  <w:tcW w:w="1410" w:type="pct"/>
                  <w:gridSpan w:val="2"/>
                  <w:tcBorders>
                    <w:tl2br w:val="nil"/>
                    <w:tr2bl w:val="nil"/>
                  </w:tcBorders>
                  <w:vAlign w:val="center"/>
                </w:tcPr>
                <w:p w14:paraId="76A67B94">
                  <w:pPr>
                    <w:jc w:val="center"/>
                    <w:rPr>
                      <w:rFonts w:hint="default" w:ascii="Times New Roman" w:hAnsi="Times New Roman" w:cs="Times New Roman"/>
                      <w:color w:val="FF0000"/>
                      <w:szCs w:val="21"/>
                    </w:rPr>
                  </w:pPr>
                  <w:r>
                    <w:rPr>
                      <w:rFonts w:hint="default" w:ascii="Times New Roman" w:hAnsi="Times New Roman" w:cs="Times New Roman"/>
                      <w:color w:val="FF0000"/>
                      <w:szCs w:val="21"/>
                    </w:rPr>
                    <w:t>面源起点坐标/UTM</w:t>
                  </w:r>
                </w:p>
              </w:tc>
              <w:tc>
                <w:tcPr>
                  <w:tcW w:w="402" w:type="pct"/>
                  <w:vMerge w:val="restart"/>
                  <w:tcBorders>
                    <w:tl2br w:val="nil"/>
                    <w:tr2bl w:val="nil"/>
                  </w:tcBorders>
                  <w:vAlign w:val="center"/>
                </w:tcPr>
                <w:p w14:paraId="6BDFC806">
                  <w:pPr>
                    <w:jc w:val="center"/>
                    <w:rPr>
                      <w:rFonts w:hint="default" w:ascii="Times New Roman" w:hAnsi="Times New Roman" w:cs="Times New Roman"/>
                      <w:color w:val="FF0000"/>
                      <w:szCs w:val="21"/>
                    </w:rPr>
                  </w:pPr>
                  <w:r>
                    <w:rPr>
                      <w:rFonts w:hint="default" w:ascii="Times New Roman" w:hAnsi="Times New Roman" w:cs="Times New Roman"/>
                      <w:color w:val="FF0000"/>
                      <w:szCs w:val="21"/>
                    </w:rPr>
                    <w:t>面源海拔高度/m</w:t>
                  </w:r>
                </w:p>
              </w:tc>
              <w:tc>
                <w:tcPr>
                  <w:tcW w:w="384" w:type="pct"/>
                  <w:vMerge w:val="restart"/>
                  <w:tcBorders>
                    <w:tl2br w:val="nil"/>
                    <w:tr2bl w:val="nil"/>
                  </w:tcBorders>
                  <w:vAlign w:val="center"/>
                </w:tcPr>
                <w:p w14:paraId="03097BF4">
                  <w:pPr>
                    <w:jc w:val="center"/>
                    <w:rPr>
                      <w:rFonts w:hint="default" w:ascii="Times New Roman" w:hAnsi="Times New Roman" w:cs="Times New Roman"/>
                      <w:color w:val="FF0000"/>
                      <w:szCs w:val="21"/>
                    </w:rPr>
                  </w:pPr>
                  <w:r>
                    <w:rPr>
                      <w:rFonts w:hint="default" w:ascii="Times New Roman" w:hAnsi="Times New Roman" w:cs="Times New Roman"/>
                      <w:color w:val="FF0000"/>
                      <w:szCs w:val="21"/>
                    </w:rPr>
                    <w:t>面源长度/m</w:t>
                  </w:r>
                </w:p>
              </w:tc>
              <w:tc>
                <w:tcPr>
                  <w:tcW w:w="340" w:type="pct"/>
                  <w:vMerge w:val="restart"/>
                  <w:tcBorders>
                    <w:tl2br w:val="nil"/>
                    <w:tr2bl w:val="nil"/>
                  </w:tcBorders>
                  <w:vAlign w:val="center"/>
                </w:tcPr>
                <w:p w14:paraId="1DE4F72A">
                  <w:pPr>
                    <w:jc w:val="center"/>
                    <w:rPr>
                      <w:rFonts w:hint="default" w:ascii="Times New Roman" w:hAnsi="Times New Roman" w:cs="Times New Roman"/>
                      <w:color w:val="FF0000"/>
                      <w:szCs w:val="21"/>
                    </w:rPr>
                  </w:pPr>
                  <w:r>
                    <w:rPr>
                      <w:rFonts w:hint="default" w:ascii="Times New Roman" w:hAnsi="Times New Roman" w:cs="Times New Roman"/>
                      <w:color w:val="FF0000"/>
                      <w:szCs w:val="21"/>
                    </w:rPr>
                    <w:t>面源宽度/m</w:t>
                  </w:r>
                </w:p>
              </w:tc>
              <w:tc>
                <w:tcPr>
                  <w:tcW w:w="396" w:type="pct"/>
                  <w:vMerge w:val="restart"/>
                  <w:tcBorders>
                    <w:tl2br w:val="nil"/>
                    <w:tr2bl w:val="nil"/>
                  </w:tcBorders>
                  <w:vAlign w:val="center"/>
                </w:tcPr>
                <w:p w14:paraId="73EAD096">
                  <w:pPr>
                    <w:jc w:val="center"/>
                    <w:rPr>
                      <w:rFonts w:hint="default" w:ascii="Times New Roman" w:hAnsi="Times New Roman" w:cs="Times New Roman"/>
                      <w:color w:val="FF0000"/>
                      <w:szCs w:val="21"/>
                    </w:rPr>
                  </w:pPr>
                  <w:r>
                    <w:rPr>
                      <w:rFonts w:hint="default" w:ascii="Times New Roman" w:hAnsi="Times New Roman" w:cs="Times New Roman"/>
                      <w:color w:val="FF0000"/>
                      <w:szCs w:val="21"/>
                    </w:rPr>
                    <w:t>与正北夹角/°</w:t>
                  </w:r>
                </w:p>
              </w:tc>
              <w:tc>
                <w:tcPr>
                  <w:tcW w:w="415" w:type="pct"/>
                  <w:vMerge w:val="restart"/>
                  <w:tcBorders>
                    <w:tl2br w:val="nil"/>
                    <w:tr2bl w:val="nil"/>
                  </w:tcBorders>
                  <w:vAlign w:val="center"/>
                </w:tcPr>
                <w:p w14:paraId="12510288">
                  <w:pPr>
                    <w:jc w:val="center"/>
                    <w:rPr>
                      <w:rFonts w:hint="default" w:ascii="Times New Roman" w:hAnsi="Times New Roman" w:cs="Times New Roman"/>
                      <w:color w:val="FF0000"/>
                      <w:szCs w:val="21"/>
                    </w:rPr>
                  </w:pPr>
                  <w:r>
                    <w:rPr>
                      <w:rFonts w:hint="default" w:ascii="Times New Roman" w:hAnsi="Times New Roman" w:cs="Times New Roman"/>
                      <w:color w:val="FF0000"/>
                      <w:szCs w:val="21"/>
                    </w:rPr>
                    <w:t>面源有效排放高度/m</w:t>
                  </w:r>
                </w:p>
              </w:tc>
              <w:tc>
                <w:tcPr>
                  <w:tcW w:w="419" w:type="pct"/>
                  <w:vMerge w:val="restart"/>
                  <w:tcBorders>
                    <w:tl2br w:val="nil"/>
                    <w:tr2bl w:val="nil"/>
                  </w:tcBorders>
                  <w:vAlign w:val="center"/>
                </w:tcPr>
                <w:p w14:paraId="48DACE95">
                  <w:pPr>
                    <w:jc w:val="center"/>
                    <w:rPr>
                      <w:rFonts w:hint="default" w:ascii="Times New Roman" w:hAnsi="Times New Roman" w:cs="Times New Roman"/>
                      <w:color w:val="FF0000"/>
                      <w:szCs w:val="21"/>
                    </w:rPr>
                  </w:pPr>
                  <w:r>
                    <w:rPr>
                      <w:rFonts w:hint="default" w:ascii="Times New Roman" w:hAnsi="Times New Roman" w:cs="Times New Roman"/>
                      <w:color w:val="FF0000"/>
                      <w:szCs w:val="21"/>
                    </w:rPr>
                    <w:t>年排放小时数/h</w:t>
                  </w:r>
                </w:p>
              </w:tc>
              <w:tc>
                <w:tcPr>
                  <w:tcW w:w="827" w:type="pct"/>
                  <w:gridSpan w:val="2"/>
                  <w:vMerge w:val="restart"/>
                  <w:tcBorders>
                    <w:tl2br w:val="nil"/>
                    <w:tr2bl w:val="nil"/>
                  </w:tcBorders>
                  <w:vAlign w:val="center"/>
                </w:tcPr>
                <w:p w14:paraId="0D34064B">
                  <w:pPr>
                    <w:jc w:val="center"/>
                    <w:rPr>
                      <w:rFonts w:hint="default" w:ascii="Times New Roman" w:hAnsi="Times New Roman" w:cs="Times New Roman"/>
                      <w:color w:val="FF0000"/>
                      <w:szCs w:val="21"/>
                    </w:rPr>
                  </w:pPr>
                  <w:r>
                    <w:rPr>
                      <w:rFonts w:hint="default" w:ascii="Times New Roman" w:hAnsi="Times New Roman" w:cs="Times New Roman"/>
                      <w:color w:val="FF0000"/>
                      <w:szCs w:val="21"/>
                    </w:rPr>
                    <w:t>污染物排放速率/（kg/h）</w:t>
                  </w:r>
                </w:p>
              </w:tc>
            </w:tr>
            <w:tr w14:paraId="63A552E0">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05" w:type="pct"/>
                  <w:vMerge w:val="continue"/>
                  <w:tcBorders>
                    <w:tl2br w:val="nil"/>
                    <w:tr2bl w:val="nil"/>
                  </w:tcBorders>
                  <w:vAlign w:val="center"/>
                </w:tcPr>
                <w:p w14:paraId="43289534">
                  <w:pPr>
                    <w:jc w:val="center"/>
                    <w:rPr>
                      <w:rFonts w:hint="default" w:ascii="Times New Roman" w:hAnsi="Times New Roman" w:cs="Times New Roman"/>
                      <w:color w:val="FF0000"/>
                      <w:spacing w:val="-3"/>
                      <w:szCs w:val="21"/>
                    </w:rPr>
                  </w:pPr>
                </w:p>
              </w:tc>
              <w:tc>
                <w:tcPr>
                  <w:tcW w:w="695" w:type="pct"/>
                  <w:tcBorders>
                    <w:tl2br w:val="nil"/>
                    <w:tr2bl w:val="nil"/>
                  </w:tcBorders>
                  <w:vAlign w:val="center"/>
                </w:tcPr>
                <w:p w14:paraId="06F0C5BC">
                  <w:pPr>
                    <w:jc w:val="center"/>
                    <w:rPr>
                      <w:rFonts w:hint="default" w:ascii="Times New Roman" w:hAnsi="Times New Roman" w:cs="Times New Roman"/>
                      <w:color w:val="FF0000"/>
                      <w:szCs w:val="21"/>
                    </w:rPr>
                  </w:pPr>
                  <w:r>
                    <w:rPr>
                      <w:rFonts w:hint="default" w:ascii="Times New Roman" w:hAnsi="Times New Roman" w:cs="Times New Roman"/>
                      <w:color w:val="FF0000"/>
                      <w:szCs w:val="21"/>
                    </w:rPr>
                    <w:t>X</w:t>
                  </w:r>
                </w:p>
              </w:tc>
              <w:tc>
                <w:tcPr>
                  <w:tcW w:w="714" w:type="pct"/>
                  <w:tcBorders>
                    <w:tl2br w:val="nil"/>
                    <w:tr2bl w:val="nil"/>
                  </w:tcBorders>
                  <w:vAlign w:val="center"/>
                </w:tcPr>
                <w:p w14:paraId="5DDE689B">
                  <w:pPr>
                    <w:jc w:val="center"/>
                    <w:rPr>
                      <w:rFonts w:hint="default" w:ascii="Times New Roman" w:hAnsi="Times New Roman" w:cs="Times New Roman"/>
                      <w:color w:val="FF0000"/>
                      <w:szCs w:val="21"/>
                    </w:rPr>
                  </w:pPr>
                  <w:r>
                    <w:rPr>
                      <w:rFonts w:hint="default" w:ascii="Times New Roman" w:hAnsi="Times New Roman" w:cs="Times New Roman"/>
                      <w:color w:val="FF0000"/>
                      <w:szCs w:val="21"/>
                    </w:rPr>
                    <w:t>Y</w:t>
                  </w:r>
                </w:p>
              </w:tc>
              <w:tc>
                <w:tcPr>
                  <w:tcW w:w="402" w:type="pct"/>
                  <w:vMerge w:val="continue"/>
                  <w:tcBorders>
                    <w:tl2br w:val="nil"/>
                    <w:tr2bl w:val="nil"/>
                  </w:tcBorders>
                  <w:vAlign w:val="center"/>
                </w:tcPr>
                <w:p w14:paraId="385FDBB3">
                  <w:pPr>
                    <w:jc w:val="center"/>
                    <w:rPr>
                      <w:rFonts w:hint="default" w:ascii="Times New Roman" w:hAnsi="Times New Roman" w:cs="Times New Roman"/>
                      <w:color w:val="FF0000"/>
                      <w:szCs w:val="21"/>
                    </w:rPr>
                  </w:pPr>
                </w:p>
              </w:tc>
              <w:tc>
                <w:tcPr>
                  <w:tcW w:w="384" w:type="pct"/>
                  <w:vMerge w:val="continue"/>
                  <w:tcBorders>
                    <w:tl2br w:val="nil"/>
                    <w:tr2bl w:val="nil"/>
                  </w:tcBorders>
                  <w:vAlign w:val="center"/>
                </w:tcPr>
                <w:p w14:paraId="507C3040">
                  <w:pPr>
                    <w:jc w:val="center"/>
                    <w:rPr>
                      <w:rFonts w:hint="default" w:ascii="Times New Roman" w:hAnsi="Times New Roman" w:cs="Times New Roman"/>
                      <w:color w:val="FF0000"/>
                      <w:szCs w:val="21"/>
                    </w:rPr>
                  </w:pPr>
                </w:p>
              </w:tc>
              <w:tc>
                <w:tcPr>
                  <w:tcW w:w="340" w:type="pct"/>
                  <w:vMerge w:val="continue"/>
                  <w:tcBorders>
                    <w:tl2br w:val="nil"/>
                    <w:tr2bl w:val="nil"/>
                  </w:tcBorders>
                  <w:vAlign w:val="center"/>
                </w:tcPr>
                <w:p w14:paraId="4753F95E">
                  <w:pPr>
                    <w:jc w:val="center"/>
                    <w:rPr>
                      <w:rFonts w:hint="default" w:ascii="Times New Roman" w:hAnsi="Times New Roman" w:cs="Times New Roman"/>
                      <w:color w:val="FF0000"/>
                      <w:szCs w:val="21"/>
                    </w:rPr>
                  </w:pPr>
                </w:p>
              </w:tc>
              <w:tc>
                <w:tcPr>
                  <w:tcW w:w="396" w:type="pct"/>
                  <w:vMerge w:val="continue"/>
                  <w:tcBorders>
                    <w:tl2br w:val="nil"/>
                    <w:tr2bl w:val="nil"/>
                  </w:tcBorders>
                  <w:vAlign w:val="center"/>
                </w:tcPr>
                <w:p w14:paraId="7B92571F">
                  <w:pPr>
                    <w:jc w:val="center"/>
                    <w:rPr>
                      <w:rFonts w:hint="default" w:ascii="Times New Roman" w:hAnsi="Times New Roman" w:cs="Times New Roman"/>
                      <w:color w:val="FF0000"/>
                      <w:szCs w:val="21"/>
                    </w:rPr>
                  </w:pPr>
                </w:p>
              </w:tc>
              <w:tc>
                <w:tcPr>
                  <w:tcW w:w="415" w:type="pct"/>
                  <w:vMerge w:val="continue"/>
                  <w:tcBorders>
                    <w:tl2br w:val="nil"/>
                    <w:tr2bl w:val="nil"/>
                  </w:tcBorders>
                  <w:vAlign w:val="center"/>
                </w:tcPr>
                <w:p w14:paraId="38254782">
                  <w:pPr>
                    <w:jc w:val="center"/>
                    <w:rPr>
                      <w:rFonts w:hint="default" w:ascii="Times New Roman" w:hAnsi="Times New Roman" w:cs="Times New Roman"/>
                      <w:color w:val="FF0000"/>
                      <w:szCs w:val="21"/>
                    </w:rPr>
                  </w:pPr>
                </w:p>
              </w:tc>
              <w:tc>
                <w:tcPr>
                  <w:tcW w:w="419" w:type="pct"/>
                  <w:vMerge w:val="continue"/>
                  <w:tcBorders>
                    <w:tl2br w:val="nil"/>
                    <w:tr2bl w:val="nil"/>
                  </w:tcBorders>
                  <w:vAlign w:val="center"/>
                </w:tcPr>
                <w:p w14:paraId="09351AD3">
                  <w:pPr>
                    <w:jc w:val="center"/>
                    <w:rPr>
                      <w:rFonts w:hint="default" w:ascii="Times New Roman" w:hAnsi="Times New Roman" w:cs="Times New Roman"/>
                      <w:color w:val="FF0000"/>
                      <w:szCs w:val="21"/>
                    </w:rPr>
                  </w:pPr>
                </w:p>
              </w:tc>
              <w:tc>
                <w:tcPr>
                  <w:tcW w:w="827" w:type="pct"/>
                  <w:gridSpan w:val="2"/>
                  <w:vMerge w:val="continue"/>
                  <w:tcBorders>
                    <w:tl2br w:val="nil"/>
                    <w:tr2bl w:val="nil"/>
                  </w:tcBorders>
                  <w:vAlign w:val="center"/>
                </w:tcPr>
                <w:p w14:paraId="5552C6E6">
                  <w:pPr>
                    <w:jc w:val="center"/>
                    <w:rPr>
                      <w:rFonts w:hint="default" w:ascii="Times New Roman" w:hAnsi="Times New Roman" w:cs="Times New Roman"/>
                      <w:color w:val="FF0000"/>
                      <w:szCs w:val="21"/>
                    </w:rPr>
                  </w:pPr>
                </w:p>
              </w:tc>
            </w:tr>
            <w:tr w14:paraId="769C2285">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8" w:hRule="atLeast"/>
              </w:trPr>
              <w:tc>
                <w:tcPr>
                  <w:tcW w:w="405" w:type="pct"/>
                  <w:vMerge w:val="restart"/>
                  <w:tcBorders>
                    <w:tl2br w:val="nil"/>
                    <w:tr2bl w:val="nil"/>
                  </w:tcBorders>
                  <w:vAlign w:val="center"/>
                </w:tcPr>
                <w:p w14:paraId="586935BD">
                  <w:pPr>
                    <w:jc w:val="center"/>
                    <w:rPr>
                      <w:rFonts w:hint="default" w:ascii="Times New Roman" w:hAnsi="Times New Roman" w:eastAsia="宋体" w:cs="Times New Roman"/>
                      <w:color w:val="FF0000"/>
                      <w:szCs w:val="21"/>
                      <w:lang w:val="en-US" w:eastAsia="zh-CN"/>
                    </w:rPr>
                  </w:pPr>
                  <w:r>
                    <w:rPr>
                      <w:rFonts w:hint="default" w:ascii="Times New Roman" w:hAnsi="Times New Roman" w:cs="Times New Roman"/>
                      <w:color w:val="FF0000"/>
                      <w:szCs w:val="21"/>
                      <w:lang w:val="en-US" w:eastAsia="zh-CN"/>
                    </w:rPr>
                    <w:t>污水处理站</w:t>
                  </w:r>
                </w:p>
              </w:tc>
              <w:tc>
                <w:tcPr>
                  <w:tcW w:w="695" w:type="pct"/>
                  <w:vMerge w:val="restart"/>
                  <w:tcBorders>
                    <w:tl2br w:val="nil"/>
                    <w:tr2bl w:val="nil"/>
                  </w:tcBorders>
                  <w:vAlign w:val="center"/>
                </w:tcPr>
                <w:p w14:paraId="573F6FBF">
                  <w:pPr>
                    <w:jc w:val="center"/>
                    <w:rPr>
                      <w:rFonts w:hint="default" w:ascii="Times New Roman" w:hAnsi="Times New Roman" w:eastAsia="宋体" w:cs="Times New Roman"/>
                      <w:color w:val="FF0000"/>
                      <w:szCs w:val="21"/>
                      <w:lang w:val="en-US" w:eastAsia="zh-CN"/>
                    </w:rPr>
                  </w:pPr>
                  <w:r>
                    <w:rPr>
                      <w:rFonts w:hint="default" w:ascii="Times New Roman" w:hAnsi="Times New Roman" w:cs="Times New Roman"/>
                      <w:color w:val="FF0000"/>
                      <w:szCs w:val="21"/>
                      <w:lang w:val="en-US" w:eastAsia="zh-CN"/>
                    </w:rPr>
                    <w:t>4627509.463</w:t>
                  </w:r>
                </w:p>
              </w:tc>
              <w:tc>
                <w:tcPr>
                  <w:tcW w:w="714" w:type="pct"/>
                  <w:vMerge w:val="restart"/>
                  <w:tcBorders>
                    <w:tl2br w:val="nil"/>
                    <w:tr2bl w:val="nil"/>
                  </w:tcBorders>
                  <w:vAlign w:val="center"/>
                </w:tcPr>
                <w:p w14:paraId="37AED54B">
                  <w:pPr>
                    <w:jc w:val="center"/>
                    <w:rPr>
                      <w:rFonts w:hint="default" w:ascii="Times New Roman" w:hAnsi="Times New Roman" w:eastAsia="宋体" w:cs="Times New Roman"/>
                      <w:color w:val="FF0000"/>
                      <w:szCs w:val="21"/>
                      <w:lang w:val="en-US" w:eastAsia="zh-CN"/>
                    </w:rPr>
                  </w:pPr>
                  <w:r>
                    <w:rPr>
                      <w:rFonts w:hint="default" w:ascii="Times New Roman" w:hAnsi="Times New Roman" w:cs="Times New Roman"/>
                      <w:color w:val="FF0000"/>
                      <w:szCs w:val="21"/>
                      <w:lang w:val="en-US" w:eastAsia="zh-CN"/>
                    </w:rPr>
                    <w:t>313340.893</w:t>
                  </w:r>
                </w:p>
              </w:tc>
              <w:tc>
                <w:tcPr>
                  <w:tcW w:w="402" w:type="pct"/>
                  <w:vMerge w:val="restart"/>
                  <w:tcBorders>
                    <w:tl2br w:val="nil"/>
                    <w:tr2bl w:val="nil"/>
                  </w:tcBorders>
                  <w:vAlign w:val="center"/>
                </w:tcPr>
                <w:p w14:paraId="49396F18">
                  <w:pPr>
                    <w:jc w:val="center"/>
                    <w:rPr>
                      <w:rFonts w:hint="default" w:ascii="Times New Roman" w:hAnsi="Times New Roman" w:eastAsia="宋体" w:cs="Times New Roman"/>
                      <w:color w:val="FF0000"/>
                      <w:szCs w:val="21"/>
                      <w:lang w:eastAsia="zh-CN"/>
                    </w:rPr>
                  </w:pPr>
                  <w:r>
                    <w:rPr>
                      <w:rFonts w:hint="default" w:ascii="Times New Roman" w:hAnsi="Times New Roman" w:cs="Times New Roman"/>
                      <w:color w:val="FF0000"/>
                      <w:szCs w:val="21"/>
                    </w:rPr>
                    <w:t>14</w:t>
                  </w:r>
                  <w:r>
                    <w:rPr>
                      <w:rFonts w:hint="default" w:ascii="Times New Roman" w:hAnsi="Times New Roman" w:cs="Times New Roman"/>
                      <w:color w:val="FF0000"/>
                      <w:szCs w:val="21"/>
                      <w:lang w:val="en-US" w:eastAsia="zh-CN"/>
                    </w:rPr>
                    <w:t>5</w:t>
                  </w:r>
                </w:p>
              </w:tc>
              <w:tc>
                <w:tcPr>
                  <w:tcW w:w="384" w:type="pct"/>
                  <w:vMerge w:val="restart"/>
                  <w:tcBorders>
                    <w:tl2br w:val="nil"/>
                    <w:tr2bl w:val="nil"/>
                  </w:tcBorders>
                  <w:vAlign w:val="center"/>
                </w:tcPr>
                <w:p w14:paraId="3B67C52F">
                  <w:pPr>
                    <w:jc w:val="center"/>
                    <w:rPr>
                      <w:rFonts w:hint="default" w:ascii="Times New Roman" w:hAnsi="Times New Roman" w:eastAsia="宋体" w:cs="Times New Roman"/>
                      <w:color w:val="FF0000"/>
                      <w:szCs w:val="21"/>
                      <w:lang w:val="en-US" w:eastAsia="zh-CN"/>
                    </w:rPr>
                  </w:pPr>
                  <w:r>
                    <w:rPr>
                      <w:rFonts w:hint="default" w:ascii="Times New Roman" w:hAnsi="Times New Roman" w:cs="Times New Roman"/>
                      <w:color w:val="FF0000"/>
                      <w:szCs w:val="21"/>
                      <w:lang w:val="en-US" w:eastAsia="zh-CN"/>
                    </w:rPr>
                    <w:t>10</w:t>
                  </w:r>
                </w:p>
              </w:tc>
              <w:tc>
                <w:tcPr>
                  <w:tcW w:w="340" w:type="pct"/>
                  <w:vMerge w:val="restart"/>
                  <w:tcBorders>
                    <w:tl2br w:val="nil"/>
                    <w:tr2bl w:val="nil"/>
                  </w:tcBorders>
                  <w:vAlign w:val="center"/>
                </w:tcPr>
                <w:p w14:paraId="17047145">
                  <w:pPr>
                    <w:jc w:val="center"/>
                    <w:rPr>
                      <w:rFonts w:hint="default" w:ascii="Times New Roman" w:hAnsi="Times New Roman" w:eastAsia="宋体" w:cs="Times New Roman"/>
                      <w:color w:val="FF0000"/>
                      <w:szCs w:val="21"/>
                      <w:lang w:val="en-US" w:eastAsia="zh-CN"/>
                    </w:rPr>
                  </w:pPr>
                  <w:r>
                    <w:rPr>
                      <w:rFonts w:hint="default" w:ascii="Times New Roman" w:hAnsi="Times New Roman" w:cs="Times New Roman"/>
                      <w:color w:val="FF0000"/>
                      <w:szCs w:val="21"/>
                      <w:lang w:val="en-US" w:eastAsia="zh-CN"/>
                    </w:rPr>
                    <w:t>10</w:t>
                  </w:r>
                </w:p>
              </w:tc>
              <w:tc>
                <w:tcPr>
                  <w:tcW w:w="396" w:type="pct"/>
                  <w:vMerge w:val="restart"/>
                  <w:tcBorders>
                    <w:tl2br w:val="nil"/>
                    <w:tr2bl w:val="nil"/>
                  </w:tcBorders>
                  <w:vAlign w:val="center"/>
                </w:tcPr>
                <w:p w14:paraId="207A2BB3">
                  <w:pPr>
                    <w:jc w:val="center"/>
                    <w:rPr>
                      <w:rFonts w:hint="default" w:ascii="Times New Roman" w:hAnsi="Times New Roman" w:cs="Times New Roman"/>
                      <w:color w:val="FF0000"/>
                      <w:szCs w:val="21"/>
                    </w:rPr>
                  </w:pPr>
                  <w:r>
                    <w:rPr>
                      <w:rFonts w:hint="default" w:ascii="Times New Roman" w:hAnsi="Times New Roman" w:cs="Times New Roman"/>
                      <w:color w:val="FF0000"/>
                      <w:szCs w:val="21"/>
                    </w:rPr>
                    <w:t>45</w:t>
                  </w:r>
                </w:p>
              </w:tc>
              <w:tc>
                <w:tcPr>
                  <w:tcW w:w="415" w:type="pct"/>
                  <w:vMerge w:val="restart"/>
                  <w:tcBorders>
                    <w:tl2br w:val="nil"/>
                    <w:tr2bl w:val="nil"/>
                  </w:tcBorders>
                  <w:vAlign w:val="center"/>
                </w:tcPr>
                <w:p w14:paraId="09EB3E62">
                  <w:pPr>
                    <w:jc w:val="center"/>
                    <w:rPr>
                      <w:rFonts w:hint="default" w:ascii="Times New Roman" w:hAnsi="Times New Roman" w:eastAsia="宋体" w:cs="Times New Roman"/>
                      <w:color w:val="FF0000"/>
                      <w:szCs w:val="21"/>
                      <w:lang w:eastAsia="zh-CN"/>
                    </w:rPr>
                  </w:pPr>
                  <w:r>
                    <w:rPr>
                      <w:rFonts w:hint="default" w:ascii="Times New Roman" w:hAnsi="Times New Roman" w:cs="Times New Roman"/>
                      <w:color w:val="FF0000"/>
                      <w:szCs w:val="21"/>
                      <w:lang w:val="en-US" w:eastAsia="zh-CN"/>
                    </w:rPr>
                    <w:t>5</w:t>
                  </w:r>
                </w:p>
              </w:tc>
              <w:tc>
                <w:tcPr>
                  <w:tcW w:w="419" w:type="pct"/>
                  <w:vMerge w:val="restart"/>
                  <w:tcBorders>
                    <w:tl2br w:val="nil"/>
                    <w:tr2bl w:val="nil"/>
                  </w:tcBorders>
                  <w:vAlign w:val="center"/>
                </w:tcPr>
                <w:p w14:paraId="20C4EC9A">
                  <w:pPr>
                    <w:jc w:val="center"/>
                    <w:rPr>
                      <w:rFonts w:hint="default" w:ascii="Times New Roman" w:hAnsi="Times New Roman" w:cs="Times New Roman"/>
                      <w:color w:val="FF0000"/>
                      <w:szCs w:val="21"/>
                    </w:rPr>
                  </w:pPr>
                  <w:r>
                    <w:rPr>
                      <w:rFonts w:hint="default" w:ascii="Times New Roman" w:hAnsi="Times New Roman" w:cs="Times New Roman"/>
                      <w:color w:val="FF0000"/>
                      <w:szCs w:val="21"/>
                    </w:rPr>
                    <w:t>2400</w:t>
                  </w:r>
                </w:p>
              </w:tc>
              <w:tc>
                <w:tcPr>
                  <w:tcW w:w="419" w:type="pct"/>
                  <w:tcBorders>
                    <w:tl2br w:val="nil"/>
                    <w:tr2bl w:val="nil"/>
                  </w:tcBorders>
                  <w:vAlign w:val="center"/>
                </w:tcPr>
                <w:p w14:paraId="3DB58FDC">
                  <w:pPr>
                    <w:jc w:val="center"/>
                    <w:rPr>
                      <w:rFonts w:hint="default" w:ascii="Times New Roman" w:hAnsi="Times New Roman" w:cs="Times New Roman"/>
                      <w:bCs/>
                      <w:color w:val="FF0000"/>
                      <w:szCs w:val="21"/>
                    </w:rPr>
                  </w:pPr>
                  <w:r>
                    <w:rPr>
                      <w:rFonts w:hint="default" w:ascii="Times New Roman" w:hAnsi="Times New Roman" w:eastAsia="宋体" w:cs="Times New Roman"/>
                      <w:color w:val="FF0000"/>
                      <w:kern w:val="0"/>
                      <w:szCs w:val="21"/>
                      <w:lang w:val="en-US" w:eastAsia="zh-CN" w:bidi="ar"/>
                    </w:rPr>
                    <w:t>NH</w:t>
                  </w:r>
                  <w:r>
                    <w:rPr>
                      <w:rFonts w:hint="default" w:ascii="Times New Roman" w:hAnsi="Times New Roman" w:eastAsia="宋体" w:cs="Times New Roman"/>
                      <w:color w:val="FF0000"/>
                      <w:kern w:val="0"/>
                      <w:szCs w:val="21"/>
                      <w:vertAlign w:val="subscript"/>
                      <w:lang w:val="en-US" w:eastAsia="zh-CN" w:bidi="ar"/>
                    </w:rPr>
                    <w:t>3</w:t>
                  </w:r>
                </w:p>
              </w:tc>
              <w:tc>
                <w:tcPr>
                  <w:tcW w:w="408" w:type="pct"/>
                  <w:tcBorders>
                    <w:tl2br w:val="nil"/>
                    <w:tr2bl w:val="nil"/>
                  </w:tcBorders>
                  <w:vAlign w:val="center"/>
                </w:tcPr>
                <w:p w14:paraId="795CC26F">
                  <w:pPr>
                    <w:jc w:val="center"/>
                    <w:rPr>
                      <w:rFonts w:hint="default" w:ascii="Times New Roman" w:hAnsi="Times New Roman" w:cs="Times New Roman"/>
                      <w:color w:val="FF0000"/>
                      <w:szCs w:val="21"/>
                    </w:rPr>
                  </w:pPr>
                  <w:r>
                    <w:rPr>
                      <w:rFonts w:hint="default" w:ascii="Times New Roman" w:hAnsi="Times New Roman" w:cs="Times New Roman"/>
                      <w:color w:val="FF0000"/>
                      <w:kern w:val="0"/>
                      <w:szCs w:val="21"/>
                      <w:lang w:val="en-US" w:eastAsia="zh-CN" w:bidi="ar"/>
                    </w:rPr>
                    <w:t>0.00114</w:t>
                  </w:r>
                </w:p>
              </w:tc>
            </w:tr>
            <w:tr w14:paraId="06035919">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8" w:hRule="atLeast"/>
              </w:trPr>
              <w:tc>
                <w:tcPr>
                  <w:tcW w:w="405" w:type="pct"/>
                  <w:vMerge w:val="continue"/>
                  <w:tcBorders>
                    <w:tl2br w:val="nil"/>
                    <w:tr2bl w:val="nil"/>
                  </w:tcBorders>
                  <w:vAlign w:val="center"/>
                </w:tcPr>
                <w:p w14:paraId="5EE52E71">
                  <w:pPr>
                    <w:jc w:val="center"/>
                    <w:rPr>
                      <w:rFonts w:hint="default" w:ascii="Times New Roman" w:hAnsi="Times New Roman" w:cs="Times New Roman"/>
                      <w:color w:val="FF0000"/>
                    </w:rPr>
                  </w:pPr>
                </w:p>
              </w:tc>
              <w:tc>
                <w:tcPr>
                  <w:tcW w:w="695" w:type="pct"/>
                  <w:vMerge w:val="continue"/>
                  <w:tcBorders>
                    <w:tl2br w:val="nil"/>
                    <w:tr2bl w:val="nil"/>
                  </w:tcBorders>
                  <w:vAlign w:val="center"/>
                </w:tcPr>
                <w:p w14:paraId="19339512">
                  <w:pPr>
                    <w:jc w:val="center"/>
                    <w:rPr>
                      <w:rFonts w:hint="default" w:ascii="Times New Roman" w:hAnsi="Times New Roman" w:cs="Times New Roman"/>
                      <w:color w:val="FF0000"/>
                    </w:rPr>
                  </w:pPr>
                </w:p>
              </w:tc>
              <w:tc>
                <w:tcPr>
                  <w:tcW w:w="714" w:type="pct"/>
                  <w:vMerge w:val="continue"/>
                  <w:tcBorders>
                    <w:tl2br w:val="nil"/>
                    <w:tr2bl w:val="nil"/>
                  </w:tcBorders>
                  <w:vAlign w:val="center"/>
                </w:tcPr>
                <w:p w14:paraId="6AEA9C38">
                  <w:pPr>
                    <w:jc w:val="center"/>
                    <w:rPr>
                      <w:rFonts w:hint="default" w:ascii="Times New Roman" w:hAnsi="Times New Roman" w:cs="Times New Roman"/>
                      <w:color w:val="FF0000"/>
                    </w:rPr>
                  </w:pPr>
                </w:p>
              </w:tc>
              <w:tc>
                <w:tcPr>
                  <w:tcW w:w="402" w:type="pct"/>
                  <w:vMerge w:val="continue"/>
                  <w:tcBorders>
                    <w:tl2br w:val="nil"/>
                    <w:tr2bl w:val="nil"/>
                  </w:tcBorders>
                  <w:vAlign w:val="center"/>
                </w:tcPr>
                <w:p w14:paraId="4577F187">
                  <w:pPr>
                    <w:jc w:val="center"/>
                    <w:rPr>
                      <w:rFonts w:hint="default" w:ascii="Times New Roman" w:hAnsi="Times New Roman" w:cs="Times New Roman"/>
                      <w:color w:val="FF0000"/>
                    </w:rPr>
                  </w:pPr>
                </w:p>
              </w:tc>
              <w:tc>
                <w:tcPr>
                  <w:tcW w:w="384" w:type="pct"/>
                  <w:vMerge w:val="continue"/>
                  <w:tcBorders>
                    <w:tl2br w:val="nil"/>
                    <w:tr2bl w:val="nil"/>
                  </w:tcBorders>
                  <w:vAlign w:val="center"/>
                </w:tcPr>
                <w:p w14:paraId="25799226">
                  <w:pPr>
                    <w:jc w:val="center"/>
                    <w:rPr>
                      <w:rFonts w:hint="default" w:ascii="Times New Roman" w:hAnsi="Times New Roman" w:cs="Times New Roman"/>
                      <w:color w:val="FF0000"/>
                    </w:rPr>
                  </w:pPr>
                </w:p>
              </w:tc>
              <w:tc>
                <w:tcPr>
                  <w:tcW w:w="340" w:type="pct"/>
                  <w:vMerge w:val="continue"/>
                  <w:tcBorders>
                    <w:tl2br w:val="nil"/>
                    <w:tr2bl w:val="nil"/>
                  </w:tcBorders>
                  <w:vAlign w:val="center"/>
                </w:tcPr>
                <w:p w14:paraId="43E887EF">
                  <w:pPr>
                    <w:jc w:val="center"/>
                    <w:rPr>
                      <w:rFonts w:hint="default" w:ascii="Times New Roman" w:hAnsi="Times New Roman" w:cs="Times New Roman"/>
                      <w:color w:val="FF0000"/>
                    </w:rPr>
                  </w:pPr>
                </w:p>
              </w:tc>
              <w:tc>
                <w:tcPr>
                  <w:tcW w:w="396" w:type="pct"/>
                  <w:vMerge w:val="continue"/>
                  <w:tcBorders>
                    <w:tl2br w:val="nil"/>
                    <w:tr2bl w:val="nil"/>
                  </w:tcBorders>
                  <w:vAlign w:val="center"/>
                </w:tcPr>
                <w:p w14:paraId="4AB3A448">
                  <w:pPr>
                    <w:jc w:val="center"/>
                    <w:rPr>
                      <w:rFonts w:hint="default" w:ascii="Times New Roman" w:hAnsi="Times New Roman" w:cs="Times New Roman"/>
                      <w:color w:val="FF0000"/>
                    </w:rPr>
                  </w:pPr>
                </w:p>
              </w:tc>
              <w:tc>
                <w:tcPr>
                  <w:tcW w:w="415" w:type="pct"/>
                  <w:vMerge w:val="continue"/>
                  <w:tcBorders>
                    <w:tl2br w:val="nil"/>
                    <w:tr2bl w:val="nil"/>
                  </w:tcBorders>
                  <w:vAlign w:val="center"/>
                </w:tcPr>
                <w:p w14:paraId="68B22A6E">
                  <w:pPr>
                    <w:jc w:val="center"/>
                    <w:rPr>
                      <w:rFonts w:hint="default" w:ascii="Times New Roman" w:hAnsi="Times New Roman" w:cs="Times New Roman"/>
                      <w:color w:val="FF0000"/>
                    </w:rPr>
                  </w:pPr>
                </w:p>
              </w:tc>
              <w:tc>
                <w:tcPr>
                  <w:tcW w:w="419" w:type="pct"/>
                  <w:vMerge w:val="continue"/>
                  <w:tcBorders>
                    <w:tl2br w:val="nil"/>
                    <w:tr2bl w:val="nil"/>
                  </w:tcBorders>
                  <w:vAlign w:val="center"/>
                </w:tcPr>
                <w:p w14:paraId="1612BAB8">
                  <w:pPr>
                    <w:jc w:val="center"/>
                    <w:rPr>
                      <w:rFonts w:hint="default" w:ascii="Times New Roman" w:hAnsi="Times New Roman" w:cs="Times New Roman"/>
                      <w:color w:val="FF0000"/>
                    </w:rPr>
                  </w:pPr>
                </w:p>
              </w:tc>
              <w:tc>
                <w:tcPr>
                  <w:tcW w:w="419" w:type="pct"/>
                  <w:tcBorders>
                    <w:tl2br w:val="nil"/>
                    <w:tr2bl w:val="nil"/>
                  </w:tcBorders>
                  <w:vAlign w:val="center"/>
                </w:tcPr>
                <w:p w14:paraId="6791E8E0">
                  <w:pPr>
                    <w:jc w:val="center"/>
                    <w:rPr>
                      <w:rFonts w:hint="default" w:ascii="Times New Roman" w:hAnsi="Times New Roman" w:cs="Times New Roman"/>
                      <w:bCs/>
                      <w:color w:val="FF0000"/>
                      <w:szCs w:val="21"/>
                    </w:rPr>
                  </w:pPr>
                  <w:r>
                    <w:rPr>
                      <w:rFonts w:hint="default" w:ascii="Times New Roman" w:hAnsi="Times New Roman" w:eastAsia="宋体" w:cs="Times New Roman"/>
                      <w:color w:val="FF0000"/>
                      <w:kern w:val="0"/>
                      <w:szCs w:val="21"/>
                      <w:lang w:val="en-US" w:eastAsia="zh-CN" w:bidi="ar"/>
                    </w:rPr>
                    <w:t>H</w:t>
                  </w:r>
                  <w:r>
                    <w:rPr>
                      <w:rFonts w:hint="default" w:ascii="Times New Roman" w:hAnsi="Times New Roman" w:eastAsia="宋体" w:cs="Times New Roman"/>
                      <w:color w:val="FF0000"/>
                      <w:kern w:val="0"/>
                      <w:szCs w:val="21"/>
                      <w:vertAlign w:val="subscript"/>
                      <w:lang w:val="en-US" w:eastAsia="zh-CN" w:bidi="ar"/>
                    </w:rPr>
                    <w:t>2</w:t>
                  </w:r>
                  <w:r>
                    <w:rPr>
                      <w:rFonts w:hint="default" w:ascii="Times New Roman" w:hAnsi="Times New Roman" w:eastAsia="宋体" w:cs="Times New Roman"/>
                      <w:color w:val="FF0000"/>
                      <w:kern w:val="0"/>
                      <w:szCs w:val="21"/>
                      <w:lang w:val="en-US" w:eastAsia="zh-CN" w:bidi="ar"/>
                    </w:rPr>
                    <w:t>S</w:t>
                  </w:r>
                </w:p>
              </w:tc>
              <w:tc>
                <w:tcPr>
                  <w:tcW w:w="408" w:type="pct"/>
                  <w:tcBorders>
                    <w:tl2br w:val="nil"/>
                    <w:tr2bl w:val="nil"/>
                  </w:tcBorders>
                  <w:vAlign w:val="center"/>
                </w:tcPr>
                <w:p w14:paraId="639FD6E1">
                  <w:pPr>
                    <w:jc w:val="center"/>
                    <w:rPr>
                      <w:rFonts w:hint="default" w:ascii="Times New Roman" w:hAnsi="Times New Roman" w:cs="Times New Roman"/>
                      <w:bCs/>
                      <w:color w:val="FF0000"/>
                      <w:szCs w:val="21"/>
                    </w:rPr>
                  </w:pPr>
                  <w:r>
                    <w:rPr>
                      <w:rFonts w:hint="default" w:ascii="Times New Roman" w:hAnsi="Times New Roman" w:cs="Times New Roman"/>
                      <w:color w:val="FF0000"/>
                      <w:lang w:val="en-US" w:eastAsia="zh-CN"/>
                    </w:rPr>
                    <w:t>0.00001</w:t>
                  </w:r>
                </w:p>
              </w:tc>
            </w:tr>
          </w:tbl>
          <w:p w14:paraId="7F354367">
            <w:pPr>
              <w:pStyle w:val="10"/>
              <w:spacing w:line="240" w:lineRule="auto"/>
              <w:rPr>
                <w:rFonts w:hint="default" w:ascii="Times New Roman" w:hAnsi="Times New Roman" w:cs="Times New Roman"/>
                <w:b/>
              </w:rPr>
            </w:pPr>
            <w:r>
              <w:rPr>
                <w:rFonts w:hint="default" w:ascii="Times New Roman" w:hAnsi="Times New Roman" w:cs="Times New Roman"/>
              </w:rPr>
              <w:drawing>
                <wp:inline distT="0" distB="0" distL="114300" distR="114300">
                  <wp:extent cx="5377180" cy="2807335"/>
                  <wp:effectExtent l="0" t="0" r="13970" b="12065"/>
                  <wp:docPr id="8"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4"/>
                          <pic:cNvPicPr>
                            <a:picLocks noChangeAspect="1"/>
                          </pic:cNvPicPr>
                        </pic:nvPicPr>
                        <pic:blipFill>
                          <a:blip r:embed="rId28"/>
                          <a:stretch>
                            <a:fillRect/>
                          </a:stretch>
                        </pic:blipFill>
                        <pic:spPr>
                          <a:xfrm>
                            <a:off x="0" y="0"/>
                            <a:ext cx="5377180" cy="2807335"/>
                          </a:xfrm>
                          <a:prstGeom prst="rect">
                            <a:avLst/>
                          </a:prstGeom>
                          <a:noFill/>
                          <a:ln>
                            <a:noFill/>
                          </a:ln>
                        </pic:spPr>
                      </pic:pic>
                    </a:graphicData>
                  </a:graphic>
                </wp:inline>
              </w:drawing>
            </w:r>
          </w:p>
          <w:p w14:paraId="3967C5B9">
            <w:pPr>
              <w:pStyle w:val="19"/>
              <w:spacing w:after="0" w:line="360" w:lineRule="auto"/>
              <w:ind w:left="0" w:leftChars="0" w:firstLine="422"/>
              <w:jc w:val="center"/>
              <w:rPr>
                <w:rFonts w:hint="default" w:ascii="Times New Roman" w:hAnsi="Times New Roman" w:cs="Times New Roman"/>
                <w:b/>
                <w:bCs/>
                <w:highlight w:val="yellow"/>
              </w:rPr>
            </w:pPr>
            <w:r>
              <w:rPr>
                <w:rFonts w:hint="default" w:ascii="Times New Roman" w:hAnsi="Times New Roman" w:cs="Times New Roman"/>
                <w:b/>
                <w:bCs/>
              </w:rPr>
              <w:t>图4-1  无组织预测截图</w:t>
            </w:r>
          </w:p>
          <w:p w14:paraId="5D19150F">
            <w:pPr>
              <w:pStyle w:val="10"/>
              <w:spacing w:line="240" w:lineRule="auto"/>
              <w:rPr>
                <w:rFonts w:hint="default" w:ascii="Times New Roman" w:hAnsi="Times New Roman" w:cs="Times New Roman"/>
                <w:b/>
                <w:color w:val="FF0000"/>
                <w:sz w:val="21"/>
                <w:szCs w:val="21"/>
              </w:rPr>
            </w:pPr>
            <w:r>
              <w:rPr>
                <w:rFonts w:hint="default" w:ascii="Times New Roman" w:hAnsi="Times New Roman" w:cs="Times New Roman"/>
                <w:b/>
                <w:color w:val="FF0000"/>
                <w:sz w:val="21"/>
                <w:szCs w:val="21"/>
              </w:rPr>
              <w:t>表4-1</w:t>
            </w:r>
            <w:r>
              <w:rPr>
                <w:rFonts w:hint="eastAsia" w:cs="Times New Roman"/>
                <w:b/>
                <w:color w:val="FF0000"/>
                <w:sz w:val="21"/>
                <w:szCs w:val="21"/>
                <w:lang w:val="en-US" w:eastAsia="zh-CN"/>
              </w:rPr>
              <w:t>6</w:t>
            </w:r>
            <w:r>
              <w:rPr>
                <w:rFonts w:hint="default" w:ascii="Times New Roman" w:hAnsi="Times New Roman" w:cs="Times New Roman"/>
                <w:b/>
                <w:color w:val="FF0000"/>
                <w:sz w:val="21"/>
                <w:szCs w:val="21"/>
              </w:rPr>
              <w:t xml:space="preserve">   无组织面源估算结果</w:t>
            </w:r>
          </w:p>
          <w:tbl>
            <w:tblPr>
              <w:tblStyle w:val="35"/>
              <w:tblW w:w="4998" w:type="pct"/>
              <w:jc w:val="center"/>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291"/>
              <w:gridCol w:w="1544"/>
              <w:gridCol w:w="1546"/>
              <w:gridCol w:w="1544"/>
              <w:gridCol w:w="1546"/>
            </w:tblGrid>
            <w:tr w14:paraId="39334EB2">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6" w:hRule="atLeast"/>
                <w:jc w:val="center"/>
              </w:trPr>
              <w:tc>
                <w:tcPr>
                  <w:tcW w:w="1352" w:type="pct"/>
                  <w:vMerge w:val="restart"/>
                  <w:vAlign w:val="center"/>
                </w:tcPr>
                <w:p w14:paraId="2649CBE6">
                  <w:pPr>
                    <w:jc w:val="center"/>
                    <w:rPr>
                      <w:rFonts w:hint="default" w:ascii="Times New Roman" w:hAnsi="Times New Roman" w:cs="Times New Roman"/>
                      <w:b/>
                      <w:color w:val="FF0000"/>
                      <w:szCs w:val="21"/>
                    </w:rPr>
                  </w:pPr>
                  <w:r>
                    <w:rPr>
                      <w:rFonts w:hint="default" w:ascii="Times New Roman" w:hAnsi="Times New Roman" w:cs="Times New Roman"/>
                      <w:b/>
                      <w:color w:val="FF0000"/>
                      <w:szCs w:val="21"/>
                    </w:rPr>
                    <w:t>距离（m）</w:t>
                  </w:r>
                </w:p>
              </w:tc>
              <w:tc>
                <w:tcPr>
                  <w:tcW w:w="1823" w:type="pct"/>
                  <w:gridSpan w:val="2"/>
                  <w:vAlign w:val="center"/>
                </w:tcPr>
                <w:p w14:paraId="781FFC29">
                  <w:pPr>
                    <w:widowControl/>
                    <w:jc w:val="center"/>
                    <w:textAlignment w:val="center"/>
                    <w:rPr>
                      <w:rFonts w:hint="default" w:ascii="Times New Roman" w:hAnsi="Times New Roman" w:cs="Times New Roman"/>
                      <w:b/>
                      <w:bCs/>
                      <w:color w:val="FF0000"/>
                      <w:kern w:val="0"/>
                      <w:szCs w:val="21"/>
                      <w:lang w:bidi="ar"/>
                    </w:rPr>
                  </w:pPr>
                  <w:r>
                    <w:rPr>
                      <w:rFonts w:hint="default" w:ascii="Times New Roman" w:hAnsi="Times New Roman" w:cs="Times New Roman"/>
                      <w:b/>
                      <w:bCs/>
                      <w:color w:val="FF0000"/>
                      <w:szCs w:val="21"/>
                    </w:rPr>
                    <w:t>拆解车间</w:t>
                  </w:r>
                </w:p>
              </w:tc>
              <w:tc>
                <w:tcPr>
                  <w:tcW w:w="1823" w:type="pct"/>
                  <w:gridSpan w:val="2"/>
                  <w:vAlign w:val="center"/>
                </w:tcPr>
                <w:p w14:paraId="7E19A747">
                  <w:pPr>
                    <w:widowControl/>
                    <w:jc w:val="center"/>
                    <w:textAlignment w:val="center"/>
                    <w:rPr>
                      <w:rFonts w:hint="default" w:ascii="Times New Roman" w:hAnsi="Times New Roman" w:cs="Times New Roman"/>
                      <w:b/>
                      <w:bCs/>
                      <w:color w:val="FF0000"/>
                      <w:kern w:val="0"/>
                      <w:szCs w:val="21"/>
                      <w:lang w:bidi="ar"/>
                    </w:rPr>
                  </w:pPr>
                  <w:r>
                    <w:rPr>
                      <w:rFonts w:hint="default" w:ascii="Times New Roman" w:hAnsi="Times New Roman" w:cs="Times New Roman"/>
                      <w:b/>
                      <w:bCs/>
                      <w:color w:val="FF0000"/>
                      <w:kern w:val="0"/>
                      <w:szCs w:val="21"/>
                      <w:lang w:val="en-US" w:eastAsia="zh-CN" w:bidi="ar"/>
                    </w:rPr>
                    <w:t>污水处理站</w:t>
                  </w:r>
                </w:p>
              </w:tc>
            </w:tr>
            <w:tr w14:paraId="04CB2B30">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16" w:hRule="atLeast"/>
                <w:jc w:val="center"/>
              </w:trPr>
              <w:tc>
                <w:tcPr>
                  <w:tcW w:w="1352" w:type="pct"/>
                  <w:vMerge w:val="continue"/>
                  <w:vAlign w:val="center"/>
                </w:tcPr>
                <w:p w14:paraId="005EDEE8">
                  <w:pPr>
                    <w:jc w:val="center"/>
                    <w:rPr>
                      <w:rFonts w:hint="default" w:ascii="Times New Roman" w:hAnsi="Times New Roman" w:cs="Times New Roman"/>
                      <w:b/>
                      <w:color w:val="FF0000"/>
                      <w:szCs w:val="21"/>
                    </w:rPr>
                  </w:pPr>
                </w:p>
              </w:tc>
              <w:tc>
                <w:tcPr>
                  <w:tcW w:w="911" w:type="pct"/>
                  <w:vAlign w:val="center"/>
                </w:tcPr>
                <w:p w14:paraId="529A0E65">
                  <w:pPr>
                    <w:widowControl/>
                    <w:jc w:val="center"/>
                    <w:textAlignment w:val="center"/>
                    <w:rPr>
                      <w:rFonts w:hint="default" w:ascii="Times New Roman" w:hAnsi="Times New Roman" w:cs="Times New Roman"/>
                      <w:b w:val="0"/>
                      <w:bCs w:val="0"/>
                      <w:color w:val="FF0000"/>
                      <w:szCs w:val="21"/>
                    </w:rPr>
                  </w:pPr>
                  <w:r>
                    <w:rPr>
                      <w:rFonts w:hint="default" w:ascii="Times New Roman" w:hAnsi="Times New Roman" w:cs="Times New Roman"/>
                      <w:b w:val="0"/>
                      <w:bCs w:val="0"/>
                      <w:color w:val="FF0000"/>
                      <w:kern w:val="0"/>
                      <w:szCs w:val="21"/>
                      <w:lang w:bidi="ar"/>
                    </w:rPr>
                    <w:t>颗粒物（μg/m</w:t>
                  </w:r>
                  <w:r>
                    <w:rPr>
                      <w:rFonts w:hint="default" w:ascii="Times New Roman" w:hAnsi="Times New Roman" w:cs="Times New Roman"/>
                      <w:b w:val="0"/>
                      <w:bCs w:val="0"/>
                      <w:color w:val="FF0000"/>
                      <w:kern w:val="0"/>
                      <w:szCs w:val="21"/>
                      <w:vertAlign w:val="superscript"/>
                      <w:lang w:bidi="ar"/>
                    </w:rPr>
                    <w:t>3</w:t>
                  </w:r>
                  <w:r>
                    <w:rPr>
                      <w:rFonts w:hint="default" w:ascii="Times New Roman" w:hAnsi="Times New Roman" w:cs="Times New Roman"/>
                      <w:b w:val="0"/>
                      <w:bCs w:val="0"/>
                      <w:color w:val="FF0000"/>
                      <w:kern w:val="0"/>
                      <w:szCs w:val="21"/>
                      <w:lang w:bidi="ar"/>
                    </w:rPr>
                    <w:t>）</w:t>
                  </w:r>
                </w:p>
              </w:tc>
              <w:tc>
                <w:tcPr>
                  <w:tcW w:w="911" w:type="pct"/>
                  <w:vAlign w:val="center"/>
                </w:tcPr>
                <w:p w14:paraId="7B2727A9">
                  <w:pPr>
                    <w:widowControl/>
                    <w:jc w:val="center"/>
                    <w:textAlignment w:val="center"/>
                    <w:rPr>
                      <w:rFonts w:hint="default" w:ascii="Times New Roman" w:hAnsi="Times New Roman" w:eastAsia="宋体" w:cs="Times New Roman"/>
                      <w:b w:val="0"/>
                      <w:bCs w:val="0"/>
                      <w:color w:val="FF0000"/>
                      <w:kern w:val="0"/>
                      <w:szCs w:val="21"/>
                      <w:lang w:eastAsia="zh-CN" w:bidi="ar"/>
                    </w:rPr>
                  </w:pPr>
                  <w:r>
                    <w:rPr>
                      <w:rFonts w:hint="default" w:ascii="Times New Roman" w:hAnsi="Times New Roman" w:cs="Times New Roman"/>
                      <w:b w:val="0"/>
                      <w:bCs w:val="0"/>
                      <w:color w:val="FF0000"/>
                      <w:kern w:val="0"/>
                      <w:szCs w:val="21"/>
                      <w:lang w:bidi="ar"/>
                    </w:rPr>
                    <w:t>非甲烷总烃（μg/m</w:t>
                  </w:r>
                  <w:r>
                    <w:rPr>
                      <w:rFonts w:hint="default" w:ascii="Times New Roman" w:hAnsi="Times New Roman" w:cs="Times New Roman"/>
                      <w:b w:val="0"/>
                      <w:bCs w:val="0"/>
                      <w:color w:val="FF0000"/>
                      <w:kern w:val="0"/>
                      <w:szCs w:val="21"/>
                      <w:vertAlign w:val="superscript"/>
                      <w:lang w:bidi="ar"/>
                    </w:rPr>
                    <w:t>3</w:t>
                  </w:r>
                  <w:r>
                    <w:rPr>
                      <w:rFonts w:hint="default" w:ascii="Times New Roman" w:hAnsi="Times New Roman" w:cs="Times New Roman"/>
                      <w:b w:val="0"/>
                      <w:bCs w:val="0"/>
                      <w:color w:val="FF0000"/>
                      <w:kern w:val="0"/>
                      <w:szCs w:val="21"/>
                      <w:lang w:bidi="ar"/>
                    </w:rPr>
                    <w:t>）</w:t>
                  </w:r>
                </w:p>
              </w:tc>
              <w:tc>
                <w:tcPr>
                  <w:tcW w:w="911" w:type="pct"/>
                  <w:vAlign w:val="center"/>
                </w:tcPr>
                <w:p w14:paraId="282966FF">
                  <w:pPr>
                    <w:widowControl/>
                    <w:jc w:val="center"/>
                    <w:textAlignment w:val="center"/>
                    <w:rPr>
                      <w:rFonts w:hint="default" w:ascii="Times New Roman" w:hAnsi="Times New Roman" w:cs="Times New Roman"/>
                      <w:b w:val="0"/>
                      <w:bCs w:val="0"/>
                      <w:color w:val="FF0000"/>
                      <w:kern w:val="0"/>
                      <w:szCs w:val="21"/>
                      <w:lang w:bidi="ar"/>
                    </w:rPr>
                  </w:pPr>
                  <w:r>
                    <w:rPr>
                      <w:rFonts w:hint="default" w:ascii="Times New Roman" w:hAnsi="Times New Roman" w:eastAsia="宋体" w:cs="Times New Roman"/>
                      <w:b w:val="0"/>
                      <w:bCs w:val="0"/>
                      <w:color w:val="FF0000"/>
                      <w:kern w:val="0"/>
                      <w:szCs w:val="21"/>
                      <w:lang w:val="en-US" w:eastAsia="zh-CN" w:bidi="ar"/>
                    </w:rPr>
                    <w:t>NH</w:t>
                  </w:r>
                  <w:r>
                    <w:rPr>
                      <w:rFonts w:hint="default" w:ascii="Times New Roman" w:hAnsi="Times New Roman" w:eastAsia="宋体" w:cs="Times New Roman"/>
                      <w:b w:val="0"/>
                      <w:bCs w:val="0"/>
                      <w:color w:val="FF0000"/>
                      <w:kern w:val="0"/>
                      <w:szCs w:val="21"/>
                      <w:vertAlign w:val="subscript"/>
                      <w:lang w:val="en-US" w:eastAsia="zh-CN" w:bidi="ar"/>
                    </w:rPr>
                    <w:t>3</w:t>
                  </w:r>
                  <w:r>
                    <w:rPr>
                      <w:rFonts w:hint="default" w:ascii="Times New Roman" w:hAnsi="Times New Roman" w:cs="Times New Roman"/>
                      <w:b w:val="0"/>
                      <w:bCs w:val="0"/>
                      <w:color w:val="FF0000"/>
                      <w:kern w:val="0"/>
                      <w:szCs w:val="21"/>
                      <w:lang w:bidi="ar"/>
                    </w:rPr>
                    <w:t>（μg/m</w:t>
                  </w:r>
                  <w:r>
                    <w:rPr>
                      <w:rFonts w:hint="default" w:ascii="Times New Roman" w:hAnsi="Times New Roman" w:cs="Times New Roman"/>
                      <w:b w:val="0"/>
                      <w:bCs w:val="0"/>
                      <w:color w:val="FF0000"/>
                      <w:kern w:val="0"/>
                      <w:szCs w:val="21"/>
                      <w:vertAlign w:val="superscript"/>
                      <w:lang w:bidi="ar"/>
                    </w:rPr>
                    <w:t>3</w:t>
                  </w:r>
                  <w:r>
                    <w:rPr>
                      <w:rFonts w:hint="default" w:ascii="Times New Roman" w:hAnsi="Times New Roman" w:cs="Times New Roman"/>
                      <w:b w:val="0"/>
                      <w:bCs w:val="0"/>
                      <w:color w:val="FF0000"/>
                      <w:kern w:val="0"/>
                      <w:szCs w:val="21"/>
                      <w:lang w:bidi="ar"/>
                    </w:rPr>
                    <w:t>）</w:t>
                  </w:r>
                </w:p>
              </w:tc>
              <w:tc>
                <w:tcPr>
                  <w:tcW w:w="911" w:type="pct"/>
                  <w:vAlign w:val="center"/>
                </w:tcPr>
                <w:p w14:paraId="4BAE007E">
                  <w:pPr>
                    <w:widowControl/>
                    <w:jc w:val="center"/>
                    <w:textAlignment w:val="center"/>
                    <w:rPr>
                      <w:rFonts w:hint="default" w:ascii="Times New Roman" w:hAnsi="Times New Roman" w:cs="Times New Roman"/>
                      <w:b w:val="0"/>
                      <w:bCs w:val="0"/>
                      <w:color w:val="FF0000"/>
                      <w:szCs w:val="21"/>
                    </w:rPr>
                  </w:pPr>
                  <w:r>
                    <w:rPr>
                      <w:rFonts w:hint="default" w:ascii="Times New Roman" w:hAnsi="Times New Roman" w:eastAsia="宋体" w:cs="Times New Roman"/>
                      <w:b w:val="0"/>
                      <w:bCs w:val="0"/>
                      <w:color w:val="FF0000"/>
                      <w:kern w:val="0"/>
                      <w:szCs w:val="21"/>
                      <w:lang w:val="en-US" w:eastAsia="zh-CN" w:bidi="ar"/>
                    </w:rPr>
                    <w:t>H</w:t>
                  </w:r>
                  <w:r>
                    <w:rPr>
                      <w:rFonts w:hint="default" w:ascii="Times New Roman" w:hAnsi="Times New Roman" w:eastAsia="宋体" w:cs="Times New Roman"/>
                      <w:b w:val="0"/>
                      <w:bCs w:val="0"/>
                      <w:color w:val="FF0000"/>
                      <w:kern w:val="0"/>
                      <w:szCs w:val="21"/>
                      <w:vertAlign w:val="subscript"/>
                      <w:lang w:val="en-US" w:eastAsia="zh-CN" w:bidi="ar"/>
                    </w:rPr>
                    <w:t>2</w:t>
                  </w:r>
                  <w:r>
                    <w:rPr>
                      <w:rFonts w:hint="default" w:ascii="Times New Roman" w:hAnsi="Times New Roman" w:eastAsia="宋体" w:cs="Times New Roman"/>
                      <w:b w:val="0"/>
                      <w:bCs w:val="0"/>
                      <w:color w:val="FF0000"/>
                      <w:kern w:val="0"/>
                      <w:szCs w:val="21"/>
                      <w:lang w:val="en-US" w:eastAsia="zh-CN" w:bidi="ar"/>
                    </w:rPr>
                    <w:t>S</w:t>
                  </w:r>
                  <w:r>
                    <w:rPr>
                      <w:rFonts w:hint="default" w:ascii="Times New Roman" w:hAnsi="Times New Roman" w:cs="Times New Roman"/>
                      <w:b w:val="0"/>
                      <w:bCs w:val="0"/>
                      <w:color w:val="FF0000"/>
                      <w:kern w:val="0"/>
                      <w:szCs w:val="21"/>
                      <w:lang w:bidi="ar"/>
                    </w:rPr>
                    <w:t>（μg/m</w:t>
                  </w:r>
                  <w:r>
                    <w:rPr>
                      <w:rFonts w:hint="default" w:ascii="Times New Roman" w:hAnsi="Times New Roman" w:cs="Times New Roman"/>
                      <w:b w:val="0"/>
                      <w:bCs w:val="0"/>
                      <w:color w:val="FF0000"/>
                      <w:kern w:val="0"/>
                      <w:szCs w:val="21"/>
                      <w:vertAlign w:val="superscript"/>
                      <w:lang w:bidi="ar"/>
                    </w:rPr>
                    <w:t>3</w:t>
                  </w:r>
                  <w:r>
                    <w:rPr>
                      <w:rFonts w:hint="default" w:ascii="Times New Roman" w:hAnsi="Times New Roman" w:cs="Times New Roman"/>
                      <w:b w:val="0"/>
                      <w:bCs w:val="0"/>
                      <w:color w:val="FF0000"/>
                      <w:kern w:val="0"/>
                      <w:szCs w:val="21"/>
                      <w:lang w:bidi="ar"/>
                    </w:rPr>
                    <w:t>）</w:t>
                  </w:r>
                </w:p>
              </w:tc>
            </w:tr>
            <w:tr w14:paraId="554CB71B">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352" w:type="pct"/>
                  <w:shd w:val="clear" w:color="auto" w:fill="auto"/>
                  <w:vAlign w:val="center"/>
                </w:tcPr>
                <w:p w14:paraId="41629C72">
                  <w:pPr>
                    <w:jc w:val="center"/>
                    <w:rPr>
                      <w:rFonts w:hint="default" w:ascii="Times New Roman" w:hAnsi="Times New Roman" w:eastAsia="宋体" w:cs="Times New Roman"/>
                      <w:color w:val="FF0000"/>
                      <w:szCs w:val="21"/>
                      <w:lang w:val="en-US" w:eastAsia="zh-CN"/>
                    </w:rPr>
                  </w:pPr>
                  <w:r>
                    <w:rPr>
                      <w:rFonts w:hint="default" w:ascii="Times New Roman" w:hAnsi="Times New Roman" w:cs="Times New Roman"/>
                      <w:b/>
                      <w:bCs/>
                      <w:color w:val="FF0000"/>
                      <w:szCs w:val="21"/>
                    </w:rPr>
                    <w:t>1</w:t>
                  </w:r>
                  <w:r>
                    <w:rPr>
                      <w:rFonts w:hint="default" w:ascii="Times New Roman" w:hAnsi="Times New Roman" w:cs="Times New Roman"/>
                      <w:b/>
                      <w:bCs/>
                      <w:color w:val="FF0000"/>
                      <w:szCs w:val="21"/>
                      <w:lang w:eastAsia="zh-CN"/>
                    </w:rPr>
                    <w:t>（</w:t>
                  </w:r>
                  <w:r>
                    <w:rPr>
                      <w:rFonts w:hint="default" w:ascii="Times New Roman" w:hAnsi="Times New Roman" w:cs="Times New Roman"/>
                      <w:b/>
                      <w:bCs/>
                      <w:color w:val="FF0000"/>
                      <w:szCs w:val="21"/>
                      <w:lang w:val="en-US" w:eastAsia="zh-CN"/>
                    </w:rPr>
                    <w:t>厂界浓度</w:t>
                  </w:r>
                  <w:r>
                    <w:rPr>
                      <w:rFonts w:hint="default" w:ascii="Times New Roman" w:hAnsi="Times New Roman" w:cs="Times New Roman"/>
                      <w:b/>
                      <w:bCs/>
                      <w:color w:val="FF0000"/>
                      <w:szCs w:val="21"/>
                      <w:lang w:eastAsia="zh-CN"/>
                    </w:rPr>
                    <w:t>）</w:t>
                  </w:r>
                </w:p>
              </w:tc>
              <w:tc>
                <w:tcPr>
                  <w:tcW w:w="911" w:type="pct"/>
                  <w:shd w:val="clear" w:color="auto" w:fill="auto"/>
                  <w:vAlign w:val="center"/>
                </w:tcPr>
                <w:p w14:paraId="7F188CB7">
                  <w:pPr>
                    <w:jc w:val="center"/>
                    <w:rPr>
                      <w:rFonts w:hint="default" w:ascii="Times New Roman" w:hAnsi="Times New Roman" w:cs="Times New Roman"/>
                      <w:b/>
                      <w:bCs/>
                      <w:color w:val="FF0000"/>
                    </w:rPr>
                  </w:pPr>
                  <w:r>
                    <w:rPr>
                      <w:rFonts w:hint="default" w:ascii="Times New Roman" w:hAnsi="Times New Roman" w:cs="Times New Roman"/>
                      <w:b/>
                      <w:bCs/>
                      <w:color w:val="FF0000"/>
                    </w:rPr>
                    <w:t>28.02</w:t>
                  </w:r>
                </w:p>
              </w:tc>
              <w:tc>
                <w:tcPr>
                  <w:tcW w:w="911" w:type="pct"/>
                  <w:shd w:val="clear" w:color="auto" w:fill="auto"/>
                  <w:vAlign w:val="center"/>
                </w:tcPr>
                <w:p w14:paraId="6BDB375F">
                  <w:pPr>
                    <w:jc w:val="center"/>
                    <w:rPr>
                      <w:rFonts w:hint="default" w:ascii="Times New Roman" w:hAnsi="Times New Roman" w:cs="Times New Roman"/>
                      <w:b/>
                      <w:bCs/>
                      <w:color w:val="FF0000"/>
                    </w:rPr>
                  </w:pPr>
                  <w:r>
                    <w:rPr>
                      <w:rFonts w:hint="default" w:ascii="Times New Roman" w:hAnsi="Times New Roman" w:cs="Times New Roman"/>
                      <w:b/>
                      <w:bCs/>
                      <w:color w:val="FF0000"/>
                    </w:rPr>
                    <w:t>8.41</w:t>
                  </w:r>
                </w:p>
              </w:tc>
              <w:tc>
                <w:tcPr>
                  <w:tcW w:w="911" w:type="pct"/>
                  <w:shd w:val="clear" w:color="auto" w:fill="auto"/>
                  <w:vAlign w:val="center"/>
                </w:tcPr>
                <w:p w14:paraId="53E8311F">
                  <w:pPr>
                    <w:jc w:val="center"/>
                    <w:rPr>
                      <w:rFonts w:hint="default" w:ascii="Times New Roman" w:hAnsi="Times New Roman" w:cs="Times New Roman"/>
                      <w:b/>
                      <w:bCs/>
                      <w:color w:val="FF0000"/>
                    </w:rPr>
                  </w:pPr>
                  <w:r>
                    <w:rPr>
                      <w:rFonts w:hint="default" w:ascii="Times New Roman" w:hAnsi="Times New Roman" w:cs="Times New Roman"/>
                      <w:b/>
                      <w:bCs/>
                      <w:color w:val="FF0000"/>
                    </w:rPr>
                    <w:t>4.63</w:t>
                  </w:r>
                </w:p>
              </w:tc>
              <w:tc>
                <w:tcPr>
                  <w:tcW w:w="911" w:type="pct"/>
                  <w:shd w:val="clear" w:color="auto" w:fill="auto"/>
                  <w:vAlign w:val="center"/>
                </w:tcPr>
                <w:p w14:paraId="15997B37">
                  <w:pPr>
                    <w:jc w:val="center"/>
                    <w:rPr>
                      <w:rFonts w:hint="default" w:ascii="Times New Roman" w:hAnsi="Times New Roman" w:cs="Times New Roman"/>
                      <w:b/>
                      <w:bCs/>
                      <w:color w:val="FF0000"/>
                    </w:rPr>
                  </w:pPr>
                  <w:r>
                    <w:rPr>
                      <w:rFonts w:hint="default" w:ascii="Times New Roman" w:hAnsi="Times New Roman" w:cs="Times New Roman"/>
                      <w:b/>
                      <w:bCs/>
                      <w:color w:val="FF0000"/>
                    </w:rPr>
                    <w:t>0.04</w:t>
                  </w:r>
                </w:p>
              </w:tc>
            </w:tr>
            <w:tr w14:paraId="775F850C">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6" w:hRule="atLeast"/>
                <w:jc w:val="center"/>
              </w:trPr>
              <w:tc>
                <w:tcPr>
                  <w:tcW w:w="1352" w:type="pct"/>
                  <w:shd w:val="clear" w:color="auto" w:fill="auto"/>
                  <w:vAlign w:val="center"/>
                </w:tcPr>
                <w:p w14:paraId="64A1E00C">
                  <w:pPr>
                    <w:jc w:val="center"/>
                    <w:rPr>
                      <w:rFonts w:hint="default" w:ascii="Times New Roman" w:hAnsi="Times New Roman" w:cs="Times New Roman"/>
                      <w:color w:val="FF0000"/>
                      <w:szCs w:val="21"/>
                    </w:rPr>
                  </w:pPr>
                  <w:r>
                    <w:rPr>
                      <w:rFonts w:hint="default" w:ascii="Times New Roman" w:hAnsi="Times New Roman" w:cs="Times New Roman"/>
                      <w:color w:val="FF0000"/>
                      <w:szCs w:val="21"/>
                      <w:lang w:val="en-US" w:eastAsia="zh-CN"/>
                    </w:rPr>
                    <w:t>10</w:t>
                  </w:r>
                  <w:r>
                    <w:rPr>
                      <w:rFonts w:hint="default" w:ascii="Times New Roman" w:hAnsi="Times New Roman" w:cs="Times New Roman"/>
                      <w:b/>
                      <w:bCs/>
                      <w:color w:val="FF0000"/>
                      <w:szCs w:val="21"/>
                    </w:rPr>
                    <w:t>（最大落地浓度）</w:t>
                  </w:r>
                </w:p>
              </w:tc>
              <w:tc>
                <w:tcPr>
                  <w:tcW w:w="911" w:type="pct"/>
                  <w:shd w:val="clear" w:color="auto" w:fill="auto"/>
                  <w:vAlign w:val="center"/>
                </w:tcPr>
                <w:p w14:paraId="311D2239">
                  <w:pPr>
                    <w:widowControl/>
                    <w:jc w:val="center"/>
                    <w:textAlignment w:val="center"/>
                    <w:rPr>
                      <w:rFonts w:hint="default" w:ascii="Times New Roman" w:hAnsi="Times New Roman" w:cs="Times New Roman"/>
                      <w:b/>
                      <w:bCs/>
                      <w:color w:val="FF0000"/>
                    </w:rPr>
                  </w:pPr>
                  <w:r>
                    <w:rPr>
                      <w:rFonts w:hint="default" w:ascii="Times New Roman" w:hAnsi="Times New Roman" w:cs="Times New Roman"/>
                      <w:b/>
                      <w:bCs/>
                      <w:color w:val="FF0000"/>
                      <w:lang w:val="en-US" w:eastAsia="zh-CN"/>
                    </w:rPr>
                    <w:t>/</w:t>
                  </w:r>
                </w:p>
              </w:tc>
              <w:tc>
                <w:tcPr>
                  <w:tcW w:w="911" w:type="pct"/>
                  <w:shd w:val="clear" w:color="auto" w:fill="auto"/>
                  <w:vAlign w:val="center"/>
                </w:tcPr>
                <w:p w14:paraId="45B6B3D5">
                  <w:pPr>
                    <w:widowControl/>
                    <w:jc w:val="center"/>
                    <w:textAlignment w:val="center"/>
                    <w:rPr>
                      <w:rFonts w:hint="default" w:ascii="Times New Roman" w:hAnsi="Times New Roman" w:cs="Times New Roman"/>
                      <w:b/>
                      <w:bCs/>
                      <w:color w:val="FF0000"/>
                    </w:rPr>
                  </w:pPr>
                  <w:r>
                    <w:rPr>
                      <w:rFonts w:hint="default" w:ascii="Times New Roman" w:hAnsi="Times New Roman" w:cs="Times New Roman"/>
                      <w:b/>
                      <w:bCs/>
                      <w:color w:val="FF0000"/>
                      <w:lang w:val="en-US" w:eastAsia="zh-CN"/>
                    </w:rPr>
                    <w:t>/</w:t>
                  </w:r>
                </w:p>
              </w:tc>
              <w:tc>
                <w:tcPr>
                  <w:tcW w:w="911" w:type="pct"/>
                  <w:shd w:val="clear" w:color="auto" w:fill="auto"/>
                  <w:vAlign w:val="center"/>
                </w:tcPr>
                <w:p w14:paraId="0D1DC507">
                  <w:pPr>
                    <w:widowControl/>
                    <w:jc w:val="center"/>
                    <w:textAlignment w:val="center"/>
                    <w:rPr>
                      <w:rFonts w:hint="default" w:ascii="Times New Roman" w:hAnsi="Times New Roman" w:eastAsia="宋体" w:cs="Times New Roman"/>
                      <w:b/>
                      <w:bCs/>
                      <w:color w:val="FF0000"/>
                      <w:kern w:val="2"/>
                      <w:sz w:val="21"/>
                      <w:szCs w:val="24"/>
                      <w:lang w:val="en-US" w:eastAsia="zh-CN" w:bidi="ar-SA"/>
                    </w:rPr>
                  </w:pPr>
                  <w:r>
                    <w:rPr>
                      <w:rFonts w:hint="default" w:ascii="Times New Roman" w:hAnsi="Times New Roman" w:cs="Times New Roman"/>
                      <w:b/>
                      <w:bCs/>
                      <w:color w:val="FF0000"/>
                    </w:rPr>
                    <w:t>8.54</w:t>
                  </w:r>
                </w:p>
              </w:tc>
              <w:tc>
                <w:tcPr>
                  <w:tcW w:w="911" w:type="pct"/>
                  <w:shd w:val="clear" w:color="auto" w:fill="auto"/>
                  <w:vAlign w:val="center"/>
                </w:tcPr>
                <w:p w14:paraId="3EF591C7">
                  <w:pPr>
                    <w:widowControl/>
                    <w:jc w:val="center"/>
                    <w:textAlignment w:val="center"/>
                    <w:rPr>
                      <w:rFonts w:hint="default" w:ascii="Times New Roman" w:hAnsi="Times New Roman" w:eastAsia="宋体" w:cs="Times New Roman"/>
                      <w:b/>
                      <w:bCs/>
                      <w:color w:val="FF0000"/>
                      <w:kern w:val="2"/>
                      <w:sz w:val="21"/>
                      <w:szCs w:val="24"/>
                      <w:lang w:val="en-US" w:eastAsia="zh-CN" w:bidi="ar-SA"/>
                    </w:rPr>
                  </w:pPr>
                  <w:r>
                    <w:rPr>
                      <w:rFonts w:hint="default" w:ascii="Times New Roman" w:hAnsi="Times New Roman" w:cs="Times New Roman"/>
                      <w:b/>
                      <w:bCs/>
                      <w:color w:val="FF0000"/>
                    </w:rPr>
                    <w:t>0.07</w:t>
                  </w:r>
                </w:p>
              </w:tc>
            </w:tr>
            <w:tr w14:paraId="0F40EA4C">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6" w:hRule="atLeast"/>
                <w:jc w:val="center"/>
              </w:trPr>
              <w:tc>
                <w:tcPr>
                  <w:tcW w:w="1352" w:type="pct"/>
                  <w:shd w:val="clear" w:color="auto" w:fill="auto"/>
                  <w:vAlign w:val="center"/>
                </w:tcPr>
                <w:p w14:paraId="0D865D63">
                  <w:pPr>
                    <w:jc w:val="center"/>
                    <w:rPr>
                      <w:rFonts w:hint="default" w:ascii="Times New Roman" w:hAnsi="Times New Roman" w:cs="Times New Roman"/>
                      <w:color w:val="FF0000"/>
                      <w:szCs w:val="21"/>
                    </w:rPr>
                  </w:pPr>
                  <w:r>
                    <w:rPr>
                      <w:rFonts w:hint="default" w:ascii="Times New Roman" w:hAnsi="Times New Roman" w:cs="Times New Roman"/>
                      <w:color w:val="FF0000"/>
                      <w:szCs w:val="21"/>
                    </w:rPr>
                    <w:t>25</w:t>
                  </w:r>
                </w:p>
              </w:tc>
              <w:tc>
                <w:tcPr>
                  <w:tcW w:w="911" w:type="pct"/>
                  <w:shd w:val="clear" w:color="auto" w:fill="auto"/>
                  <w:vAlign w:val="center"/>
                </w:tcPr>
                <w:p w14:paraId="76B9470C">
                  <w:pPr>
                    <w:widowControl/>
                    <w:jc w:val="center"/>
                    <w:textAlignment w:val="center"/>
                    <w:rPr>
                      <w:rFonts w:hint="default" w:ascii="Times New Roman" w:hAnsi="Times New Roman" w:cs="Times New Roman"/>
                      <w:color w:val="FF0000"/>
                      <w:szCs w:val="21"/>
                    </w:rPr>
                  </w:pPr>
                  <w:r>
                    <w:rPr>
                      <w:rFonts w:hint="default" w:ascii="Times New Roman" w:hAnsi="Times New Roman" w:cs="Times New Roman"/>
                      <w:color w:val="FF0000"/>
                    </w:rPr>
                    <w:t>44.51</w:t>
                  </w:r>
                </w:p>
              </w:tc>
              <w:tc>
                <w:tcPr>
                  <w:tcW w:w="911" w:type="pct"/>
                  <w:shd w:val="clear" w:color="auto" w:fill="auto"/>
                  <w:vAlign w:val="center"/>
                </w:tcPr>
                <w:p w14:paraId="3CE79E61">
                  <w:pPr>
                    <w:widowControl/>
                    <w:jc w:val="center"/>
                    <w:textAlignment w:val="center"/>
                    <w:rPr>
                      <w:rFonts w:hint="default" w:ascii="Times New Roman" w:hAnsi="Times New Roman" w:cs="Times New Roman"/>
                      <w:color w:val="FF0000"/>
                    </w:rPr>
                  </w:pPr>
                  <w:r>
                    <w:rPr>
                      <w:rFonts w:hint="default" w:ascii="Times New Roman" w:hAnsi="Times New Roman" w:cs="Times New Roman"/>
                      <w:color w:val="FF0000"/>
                    </w:rPr>
                    <w:t>13.35</w:t>
                  </w:r>
                </w:p>
              </w:tc>
              <w:tc>
                <w:tcPr>
                  <w:tcW w:w="911" w:type="pct"/>
                  <w:shd w:val="clear" w:color="auto" w:fill="auto"/>
                  <w:vAlign w:val="center"/>
                </w:tcPr>
                <w:p w14:paraId="1CB3D55E">
                  <w:pPr>
                    <w:widowControl/>
                    <w:jc w:val="center"/>
                    <w:textAlignment w:val="center"/>
                    <w:rPr>
                      <w:rFonts w:hint="default" w:ascii="Times New Roman" w:hAnsi="Times New Roman" w:cs="Times New Roman"/>
                      <w:color w:val="FF0000"/>
                    </w:rPr>
                  </w:pPr>
                  <w:r>
                    <w:rPr>
                      <w:rFonts w:hint="default" w:ascii="Times New Roman" w:hAnsi="Times New Roman" w:cs="Times New Roman"/>
                      <w:color w:val="FF0000"/>
                    </w:rPr>
                    <w:t>5.56</w:t>
                  </w:r>
                </w:p>
              </w:tc>
              <w:tc>
                <w:tcPr>
                  <w:tcW w:w="911" w:type="pct"/>
                  <w:shd w:val="clear" w:color="auto" w:fill="auto"/>
                  <w:vAlign w:val="center"/>
                </w:tcPr>
                <w:p w14:paraId="45377FE8">
                  <w:pPr>
                    <w:widowControl/>
                    <w:jc w:val="center"/>
                    <w:textAlignment w:val="center"/>
                    <w:rPr>
                      <w:rFonts w:hint="default" w:ascii="Times New Roman" w:hAnsi="Times New Roman" w:cs="Times New Roman"/>
                      <w:color w:val="FF0000"/>
                    </w:rPr>
                  </w:pPr>
                  <w:r>
                    <w:rPr>
                      <w:rFonts w:hint="default" w:ascii="Times New Roman" w:hAnsi="Times New Roman" w:cs="Times New Roman"/>
                      <w:color w:val="FF0000"/>
                    </w:rPr>
                    <w:t>0.05</w:t>
                  </w:r>
                </w:p>
              </w:tc>
            </w:tr>
            <w:tr w14:paraId="7F3D78B3">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6" w:hRule="atLeast"/>
                <w:jc w:val="center"/>
              </w:trPr>
              <w:tc>
                <w:tcPr>
                  <w:tcW w:w="1352" w:type="pct"/>
                  <w:shd w:val="clear" w:color="auto" w:fill="auto"/>
                  <w:vAlign w:val="center"/>
                </w:tcPr>
                <w:p w14:paraId="03C79F70">
                  <w:pPr>
                    <w:jc w:val="center"/>
                    <w:rPr>
                      <w:rFonts w:hint="default" w:ascii="Times New Roman" w:hAnsi="Times New Roman" w:cs="Times New Roman"/>
                      <w:b/>
                      <w:bCs/>
                      <w:color w:val="FF0000"/>
                      <w:szCs w:val="21"/>
                    </w:rPr>
                  </w:pPr>
                  <w:r>
                    <w:rPr>
                      <w:rFonts w:hint="default" w:ascii="Times New Roman" w:hAnsi="Times New Roman" w:cs="Times New Roman"/>
                      <w:b/>
                      <w:bCs/>
                      <w:color w:val="FF0000"/>
                      <w:szCs w:val="21"/>
                    </w:rPr>
                    <w:t>50</w:t>
                  </w:r>
                </w:p>
              </w:tc>
              <w:tc>
                <w:tcPr>
                  <w:tcW w:w="911" w:type="pct"/>
                  <w:shd w:val="clear" w:color="auto" w:fill="auto"/>
                  <w:vAlign w:val="center"/>
                </w:tcPr>
                <w:p w14:paraId="1C3C50D9">
                  <w:pPr>
                    <w:widowControl/>
                    <w:jc w:val="center"/>
                    <w:textAlignment w:val="center"/>
                    <w:rPr>
                      <w:rFonts w:hint="default" w:ascii="Times New Roman" w:hAnsi="Times New Roman" w:cs="Times New Roman"/>
                      <w:color w:val="FF0000"/>
                    </w:rPr>
                  </w:pPr>
                  <w:r>
                    <w:rPr>
                      <w:rFonts w:hint="default" w:ascii="Times New Roman" w:hAnsi="Times New Roman" w:cs="Times New Roman"/>
                      <w:color w:val="FF0000"/>
                    </w:rPr>
                    <w:t>60.53</w:t>
                  </w:r>
                </w:p>
              </w:tc>
              <w:tc>
                <w:tcPr>
                  <w:tcW w:w="911" w:type="pct"/>
                  <w:shd w:val="clear" w:color="auto" w:fill="auto"/>
                  <w:vAlign w:val="center"/>
                </w:tcPr>
                <w:p w14:paraId="50F66168">
                  <w:pPr>
                    <w:widowControl/>
                    <w:jc w:val="center"/>
                    <w:textAlignment w:val="center"/>
                    <w:rPr>
                      <w:rFonts w:hint="default" w:ascii="Times New Roman" w:hAnsi="Times New Roman" w:cs="Times New Roman"/>
                      <w:color w:val="FF0000"/>
                    </w:rPr>
                  </w:pPr>
                  <w:r>
                    <w:rPr>
                      <w:rFonts w:hint="default" w:ascii="Times New Roman" w:hAnsi="Times New Roman" w:cs="Times New Roman"/>
                      <w:color w:val="FF0000"/>
                    </w:rPr>
                    <w:t>18.16</w:t>
                  </w:r>
                </w:p>
              </w:tc>
              <w:tc>
                <w:tcPr>
                  <w:tcW w:w="911" w:type="pct"/>
                  <w:shd w:val="clear" w:color="auto" w:fill="auto"/>
                  <w:vAlign w:val="center"/>
                </w:tcPr>
                <w:p w14:paraId="1703C50D">
                  <w:pPr>
                    <w:widowControl/>
                    <w:jc w:val="center"/>
                    <w:textAlignment w:val="center"/>
                    <w:rPr>
                      <w:rFonts w:hint="default" w:ascii="Times New Roman" w:hAnsi="Times New Roman" w:cs="Times New Roman"/>
                      <w:b/>
                      <w:bCs/>
                      <w:color w:val="FF0000"/>
                    </w:rPr>
                  </w:pPr>
                  <w:r>
                    <w:rPr>
                      <w:rFonts w:hint="default" w:ascii="Times New Roman" w:hAnsi="Times New Roman" w:cs="Times New Roman"/>
                      <w:color w:val="FF0000"/>
                    </w:rPr>
                    <w:t>3.79</w:t>
                  </w:r>
                </w:p>
              </w:tc>
              <w:tc>
                <w:tcPr>
                  <w:tcW w:w="911" w:type="pct"/>
                  <w:shd w:val="clear" w:color="auto" w:fill="auto"/>
                  <w:vAlign w:val="center"/>
                </w:tcPr>
                <w:p w14:paraId="5F96235E">
                  <w:pPr>
                    <w:widowControl/>
                    <w:jc w:val="center"/>
                    <w:textAlignment w:val="center"/>
                    <w:rPr>
                      <w:rFonts w:hint="default" w:ascii="Times New Roman" w:hAnsi="Times New Roman" w:cs="Times New Roman"/>
                      <w:color w:val="FF0000"/>
                    </w:rPr>
                  </w:pPr>
                  <w:r>
                    <w:rPr>
                      <w:rFonts w:hint="default" w:ascii="Times New Roman" w:hAnsi="Times New Roman" w:cs="Times New Roman"/>
                      <w:color w:val="FF0000"/>
                    </w:rPr>
                    <w:t>0.03</w:t>
                  </w:r>
                </w:p>
              </w:tc>
            </w:tr>
            <w:tr w14:paraId="5A436185">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6" w:hRule="atLeast"/>
                <w:jc w:val="center"/>
              </w:trPr>
              <w:tc>
                <w:tcPr>
                  <w:tcW w:w="1352" w:type="pct"/>
                  <w:shd w:val="clear" w:color="auto" w:fill="auto"/>
                  <w:vAlign w:val="center"/>
                </w:tcPr>
                <w:p w14:paraId="71745111">
                  <w:pPr>
                    <w:jc w:val="center"/>
                    <w:rPr>
                      <w:rFonts w:hint="default" w:ascii="Times New Roman" w:hAnsi="Times New Roman" w:cs="Times New Roman"/>
                      <w:b/>
                      <w:bCs/>
                      <w:color w:val="FF0000"/>
                      <w:szCs w:val="21"/>
                    </w:rPr>
                  </w:pPr>
                  <w:r>
                    <w:rPr>
                      <w:rFonts w:hint="default" w:ascii="Times New Roman" w:hAnsi="Times New Roman" w:cs="Times New Roman"/>
                      <w:b/>
                      <w:bCs/>
                      <w:color w:val="FF0000"/>
                      <w:szCs w:val="21"/>
                    </w:rPr>
                    <w:t>71（最大落地浓度）</w:t>
                  </w:r>
                </w:p>
              </w:tc>
              <w:tc>
                <w:tcPr>
                  <w:tcW w:w="911" w:type="pct"/>
                  <w:shd w:val="clear" w:color="auto" w:fill="auto"/>
                  <w:vAlign w:val="center"/>
                </w:tcPr>
                <w:p w14:paraId="1656F4CF">
                  <w:pPr>
                    <w:widowControl/>
                    <w:jc w:val="center"/>
                    <w:textAlignment w:val="center"/>
                    <w:rPr>
                      <w:rFonts w:hint="default" w:ascii="Times New Roman" w:hAnsi="Times New Roman" w:cs="Times New Roman"/>
                      <w:b/>
                      <w:bCs/>
                      <w:color w:val="FF0000"/>
                    </w:rPr>
                  </w:pPr>
                  <w:r>
                    <w:rPr>
                      <w:rFonts w:hint="default" w:ascii="Times New Roman" w:hAnsi="Times New Roman" w:cs="Times New Roman"/>
                      <w:b/>
                      <w:bCs/>
                      <w:color w:val="FF0000"/>
                    </w:rPr>
                    <w:t>63.73</w:t>
                  </w:r>
                </w:p>
              </w:tc>
              <w:tc>
                <w:tcPr>
                  <w:tcW w:w="911" w:type="pct"/>
                  <w:shd w:val="clear" w:color="auto" w:fill="auto"/>
                  <w:vAlign w:val="center"/>
                </w:tcPr>
                <w:p w14:paraId="20FA77F3">
                  <w:pPr>
                    <w:widowControl/>
                    <w:jc w:val="center"/>
                    <w:textAlignment w:val="center"/>
                    <w:rPr>
                      <w:rFonts w:hint="default" w:ascii="Times New Roman" w:hAnsi="Times New Roman" w:cs="Times New Roman"/>
                      <w:b/>
                      <w:bCs/>
                      <w:color w:val="FF0000"/>
                    </w:rPr>
                  </w:pPr>
                  <w:r>
                    <w:rPr>
                      <w:rFonts w:hint="default" w:ascii="Times New Roman" w:hAnsi="Times New Roman" w:cs="Times New Roman"/>
                      <w:b/>
                      <w:bCs/>
                      <w:color w:val="FF0000"/>
                    </w:rPr>
                    <w:t>19.12</w:t>
                  </w:r>
                </w:p>
              </w:tc>
              <w:tc>
                <w:tcPr>
                  <w:tcW w:w="911" w:type="pct"/>
                  <w:shd w:val="clear" w:color="auto" w:fill="auto"/>
                  <w:vAlign w:val="center"/>
                </w:tcPr>
                <w:p w14:paraId="43D87B72">
                  <w:pPr>
                    <w:widowControl/>
                    <w:jc w:val="center"/>
                    <w:textAlignment w:val="center"/>
                    <w:rPr>
                      <w:rFonts w:hint="default" w:ascii="Times New Roman" w:hAnsi="Times New Roman" w:eastAsia="宋体" w:cs="Times New Roman"/>
                      <w:b/>
                      <w:bCs/>
                      <w:color w:val="FF0000"/>
                      <w:lang w:val="en-US" w:eastAsia="zh-CN"/>
                    </w:rPr>
                  </w:pPr>
                  <w:r>
                    <w:rPr>
                      <w:rFonts w:hint="default" w:ascii="Times New Roman" w:hAnsi="Times New Roman" w:cs="Times New Roman"/>
                      <w:b/>
                      <w:bCs/>
                      <w:color w:val="FF0000"/>
                      <w:lang w:val="en-US" w:eastAsia="zh-CN"/>
                    </w:rPr>
                    <w:t>/</w:t>
                  </w:r>
                </w:p>
              </w:tc>
              <w:tc>
                <w:tcPr>
                  <w:tcW w:w="911" w:type="pct"/>
                  <w:shd w:val="clear" w:color="auto" w:fill="auto"/>
                  <w:vAlign w:val="center"/>
                </w:tcPr>
                <w:p w14:paraId="74AC05DF">
                  <w:pPr>
                    <w:widowControl/>
                    <w:jc w:val="center"/>
                    <w:textAlignment w:val="center"/>
                    <w:rPr>
                      <w:rFonts w:hint="default" w:ascii="Times New Roman" w:hAnsi="Times New Roman" w:cs="Times New Roman"/>
                      <w:b/>
                      <w:bCs/>
                      <w:color w:val="FF0000"/>
                    </w:rPr>
                  </w:pPr>
                  <w:r>
                    <w:rPr>
                      <w:rFonts w:hint="default" w:ascii="Times New Roman" w:hAnsi="Times New Roman" w:cs="Times New Roman"/>
                      <w:b/>
                      <w:bCs/>
                      <w:color w:val="FF0000"/>
                      <w:lang w:val="en-US" w:eastAsia="zh-CN"/>
                    </w:rPr>
                    <w:t>/</w:t>
                  </w:r>
                </w:p>
              </w:tc>
            </w:tr>
            <w:tr w14:paraId="34540A2F">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6" w:hRule="atLeast"/>
                <w:jc w:val="center"/>
              </w:trPr>
              <w:tc>
                <w:tcPr>
                  <w:tcW w:w="1352" w:type="pct"/>
                  <w:vAlign w:val="center"/>
                </w:tcPr>
                <w:p w14:paraId="42913CC9">
                  <w:pPr>
                    <w:jc w:val="center"/>
                    <w:rPr>
                      <w:rFonts w:hint="default" w:ascii="Times New Roman" w:hAnsi="Times New Roman" w:cs="Times New Roman"/>
                      <w:b w:val="0"/>
                      <w:bCs w:val="0"/>
                      <w:color w:val="FF0000"/>
                      <w:szCs w:val="21"/>
                    </w:rPr>
                  </w:pPr>
                  <w:r>
                    <w:rPr>
                      <w:rFonts w:hint="default" w:ascii="Times New Roman" w:hAnsi="Times New Roman" w:cs="Times New Roman"/>
                      <w:b w:val="0"/>
                      <w:bCs w:val="0"/>
                      <w:color w:val="FF0000"/>
                      <w:szCs w:val="21"/>
                    </w:rPr>
                    <w:t>75</w:t>
                  </w:r>
                </w:p>
              </w:tc>
              <w:tc>
                <w:tcPr>
                  <w:tcW w:w="911" w:type="pct"/>
                  <w:shd w:val="clear" w:color="auto" w:fill="auto"/>
                  <w:vAlign w:val="center"/>
                </w:tcPr>
                <w:p w14:paraId="58D5CD40">
                  <w:pPr>
                    <w:widowControl/>
                    <w:jc w:val="center"/>
                    <w:textAlignment w:val="center"/>
                    <w:rPr>
                      <w:rFonts w:hint="default" w:ascii="Times New Roman" w:hAnsi="Times New Roman" w:cs="Times New Roman"/>
                      <w:color w:val="FF0000"/>
                    </w:rPr>
                  </w:pPr>
                  <w:r>
                    <w:rPr>
                      <w:rFonts w:hint="default" w:ascii="Times New Roman" w:hAnsi="Times New Roman" w:cs="Times New Roman"/>
                      <w:color w:val="FF0000"/>
                    </w:rPr>
                    <w:t>63.62</w:t>
                  </w:r>
                </w:p>
              </w:tc>
              <w:tc>
                <w:tcPr>
                  <w:tcW w:w="911" w:type="pct"/>
                  <w:shd w:val="clear" w:color="auto" w:fill="auto"/>
                  <w:vAlign w:val="center"/>
                </w:tcPr>
                <w:p w14:paraId="1D2FEF1D">
                  <w:pPr>
                    <w:widowControl/>
                    <w:jc w:val="center"/>
                    <w:textAlignment w:val="center"/>
                    <w:rPr>
                      <w:rFonts w:hint="default" w:ascii="Times New Roman" w:hAnsi="Times New Roman" w:cs="Times New Roman"/>
                      <w:color w:val="FF0000"/>
                    </w:rPr>
                  </w:pPr>
                  <w:r>
                    <w:rPr>
                      <w:rFonts w:hint="default" w:ascii="Times New Roman" w:hAnsi="Times New Roman" w:cs="Times New Roman"/>
                      <w:color w:val="FF0000"/>
                    </w:rPr>
                    <w:t>19.09</w:t>
                  </w:r>
                </w:p>
              </w:tc>
              <w:tc>
                <w:tcPr>
                  <w:tcW w:w="911" w:type="pct"/>
                  <w:shd w:val="clear" w:color="auto" w:fill="auto"/>
                  <w:vAlign w:val="center"/>
                </w:tcPr>
                <w:p w14:paraId="52F4DD5D">
                  <w:pPr>
                    <w:widowControl/>
                    <w:jc w:val="center"/>
                    <w:textAlignment w:val="center"/>
                    <w:rPr>
                      <w:rFonts w:hint="default" w:ascii="Times New Roman" w:hAnsi="Times New Roman" w:cs="Times New Roman"/>
                      <w:b/>
                      <w:bCs/>
                      <w:color w:val="FF0000"/>
                    </w:rPr>
                  </w:pPr>
                  <w:r>
                    <w:rPr>
                      <w:rFonts w:hint="default" w:ascii="Times New Roman" w:hAnsi="Times New Roman" w:cs="Times New Roman"/>
                      <w:color w:val="FF0000"/>
                    </w:rPr>
                    <w:t>2.99</w:t>
                  </w:r>
                </w:p>
              </w:tc>
              <w:tc>
                <w:tcPr>
                  <w:tcW w:w="911" w:type="pct"/>
                  <w:shd w:val="clear" w:color="auto" w:fill="auto"/>
                  <w:vAlign w:val="center"/>
                </w:tcPr>
                <w:p w14:paraId="2A6C18E5">
                  <w:pPr>
                    <w:widowControl/>
                    <w:jc w:val="center"/>
                    <w:textAlignment w:val="center"/>
                    <w:rPr>
                      <w:rFonts w:hint="default" w:ascii="Times New Roman" w:hAnsi="Times New Roman" w:cs="Times New Roman"/>
                      <w:color w:val="FF0000"/>
                    </w:rPr>
                  </w:pPr>
                  <w:r>
                    <w:rPr>
                      <w:rFonts w:hint="default" w:ascii="Times New Roman" w:hAnsi="Times New Roman" w:cs="Times New Roman"/>
                      <w:color w:val="FF0000"/>
                    </w:rPr>
                    <w:t>0.03</w:t>
                  </w:r>
                </w:p>
              </w:tc>
            </w:tr>
            <w:tr w14:paraId="54C6EB36">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6" w:hRule="atLeast"/>
                <w:jc w:val="center"/>
              </w:trPr>
              <w:tc>
                <w:tcPr>
                  <w:tcW w:w="1352" w:type="pct"/>
                  <w:vAlign w:val="center"/>
                </w:tcPr>
                <w:p w14:paraId="38ECC3A3">
                  <w:pPr>
                    <w:jc w:val="center"/>
                    <w:rPr>
                      <w:rFonts w:hint="default" w:ascii="Times New Roman" w:hAnsi="Times New Roman" w:cs="Times New Roman"/>
                      <w:b w:val="0"/>
                      <w:bCs w:val="0"/>
                      <w:color w:val="FF0000"/>
                      <w:szCs w:val="21"/>
                    </w:rPr>
                  </w:pPr>
                  <w:r>
                    <w:rPr>
                      <w:rFonts w:hint="default" w:ascii="Times New Roman" w:hAnsi="Times New Roman" w:cs="Times New Roman"/>
                      <w:b w:val="0"/>
                      <w:bCs w:val="0"/>
                      <w:color w:val="FF0000"/>
                      <w:szCs w:val="21"/>
                    </w:rPr>
                    <w:t>100</w:t>
                  </w:r>
                </w:p>
              </w:tc>
              <w:tc>
                <w:tcPr>
                  <w:tcW w:w="911" w:type="pct"/>
                  <w:shd w:val="clear" w:color="auto" w:fill="auto"/>
                  <w:vAlign w:val="center"/>
                </w:tcPr>
                <w:p w14:paraId="6E1A0A32">
                  <w:pPr>
                    <w:widowControl/>
                    <w:jc w:val="center"/>
                    <w:textAlignment w:val="center"/>
                    <w:rPr>
                      <w:rFonts w:hint="default" w:ascii="Times New Roman" w:hAnsi="Times New Roman" w:cs="Times New Roman"/>
                      <w:color w:val="FF0000"/>
                    </w:rPr>
                  </w:pPr>
                  <w:r>
                    <w:rPr>
                      <w:rFonts w:hint="default" w:ascii="Times New Roman" w:hAnsi="Times New Roman" w:cs="Times New Roman"/>
                      <w:color w:val="FF0000"/>
                    </w:rPr>
                    <w:t>58.33</w:t>
                  </w:r>
                </w:p>
              </w:tc>
              <w:tc>
                <w:tcPr>
                  <w:tcW w:w="911" w:type="pct"/>
                  <w:shd w:val="clear" w:color="auto" w:fill="auto"/>
                  <w:vAlign w:val="center"/>
                </w:tcPr>
                <w:p w14:paraId="78061307">
                  <w:pPr>
                    <w:widowControl/>
                    <w:jc w:val="center"/>
                    <w:textAlignment w:val="center"/>
                    <w:rPr>
                      <w:rFonts w:hint="default" w:ascii="Times New Roman" w:hAnsi="Times New Roman" w:cs="Times New Roman"/>
                      <w:color w:val="FF0000"/>
                    </w:rPr>
                  </w:pPr>
                  <w:r>
                    <w:rPr>
                      <w:rFonts w:hint="default" w:ascii="Times New Roman" w:hAnsi="Times New Roman" w:cs="Times New Roman"/>
                      <w:color w:val="FF0000"/>
                    </w:rPr>
                    <w:t>17.50</w:t>
                  </w:r>
                </w:p>
              </w:tc>
              <w:tc>
                <w:tcPr>
                  <w:tcW w:w="911" w:type="pct"/>
                  <w:shd w:val="clear" w:color="auto" w:fill="auto"/>
                  <w:vAlign w:val="center"/>
                </w:tcPr>
                <w:p w14:paraId="1C14DEEB">
                  <w:pPr>
                    <w:widowControl/>
                    <w:jc w:val="center"/>
                    <w:textAlignment w:val="center"/>
                    <w:rPr>
                      <w:rFonts w:hint="default" w:ascii="Times New Roman" w:hAnsi="Times New Roman" w:cs="Times New Roman"/>
                      <w:color w:val="FF0000"/>
                    </w:rPr>
                  </w:pPr>
                  <w:r>
                    <w:rPr>
                      <w:rFonts w:hint="default" w:ascii="Times New Roman" w:hAnsi="Times New Roman" w:cs="Times New Roman"/>
                      <w:color w:val="FF0000"/>
                    </w:rPr>
                    <w:t>2.53</w:t>
                  </w:r>
                </w:p>
              </w:tc>
              <w:tc>
                <w:tcPr>
                  <w:tcW w:w="911" w:type="pct"/>
                  <w:shd w:val="clear" w:color="auto" w:fill="auto"/>
                  <w:vAlign w:val="center"/>
                </w:tcPr>
                <w:p w14:paraId="34FB4787">
                  <w:pPr>
                    <w:widowControl/>
                    <w:jc w:val="center"/>
                    <w:textAlignment w:val="center"/>
                    <w:rPr>
                      <w:rFonts w:hint="default" w:ascii="Times New Roman" w:hAnsi="Times New Roman" w:cs="Times New Roman"/>
                      <w:color w:val="FF0000"/>
                    </w:rPr>
                  </w:pPr>
                  <w:r>
                    <w:rPr>
                      <w:rFonts w:hint="default" w:ascii="Times New Roman" w:hAnsi="Times New Roman" w:cs="Times New Roman"/>
                      <w:color w:val="FF0000"/>
                    </w:rPr>
                    <w:t>0.02</w:t>
                  </w:r>
                </w:p>
              </w:tc>
            </w:tr>
            <w:tr w14:paraId="1AD357CF">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6" w:hRule="atLeast"/>
                <w:jc w:val="center"/>
              </w:trPr>
              <w:tc>
                <w:tcPr>
                  <w:tcW w:w="1352" w:type="pct"/>
                  <w:vAlign w:val="center"/>
                </w:tcPr>
                <w:p w14:paraId="3048D31B">
                  <w:pPr>
                    <w:jc w:val="center"/>
                    <w:rPr>
                      <w:rFonts w:hint="default" w:ascii="Times New Roman" w:hAnsi="Times New Roman" w:cs="Times New Roman"/>
                      <w:color w:val="FF0000"/>
                      <w:szCs w:val="21"/>
                    </w:rPr>
                  </w:pPr>
                  <w:r>
                    <w:rPr>
                      <w:rFonts w:hint="default" w:ascii="Times New Roman" w:hAnsi="Times New Roman" w:cs="Times New Roman"/>
                      <w:color w:val="FF0000"/>
                      <w:szCs w:val="21"/>
                    </w:rPr>
                    <w:t>200</w:t>
                  </w:r>
                </w:p>
              </w:tc>
              <w:tc>
                <w:tcPr>
                  <w:tcW w:w="911" w:type="pct"/>
                  <w:shd w:val="clear" w:color="auto" w:fill="auto"/>
                  <w:vAlign w:val="center"/>
                </w:tcPr>
                <w:p w14:paraId="74D787D9">
                  <w:pPr>
                    <w:widowControl/>
                    <w:jc w:val="center"/>
                    <w:textAlignment w:val="center"/>
                    <w:rPr>
                      <w:rFonts w:hint="default" w:ascii="Times New Roman" w:hAnsi="Times New Roman" w:cs="Times New Roman"/>
                      <w:color w:val="FF0000"/>
                      <w:szCs w:val="21"/>
                    </w:rPr>
                  </w:pPr>
                  <w:r>
                    <w:rPr>
                      <w:rFonts w:hint="default" w:ascii="Times New Roman" w:hAnsi="Times New Roman" w:cs="Times New Roman"/>
                      <w:color w:val="FF0000"/>
                    </w:rPr>
                    <w:t>38.44</w:t>
                  </w:r>
                </w:p>
              </w:tc>
              <w:tc>
                <w:tcPr>
                  <w:tcW w:w="911" w:type="pct"/>
                  <w:shd w:val="clear" w:color="auto" w:fill="auto"/>
                  <w:vAlign w:val="center"/>
                </w:tcPr>
                <w:p w14:paraId="0B839642">
                  <w:pPr>
                    <w:widowControl/>
                    <w:jc w:val="center"/>
                    <w:textAlignment w:val="center"/>
                    <w:rPr>
                      <w:rFonts w:hint="default" w:ascii="Times New Roman" w:hAnsi="Times New Roman" w:cs="Times New Roman"/>
                      <w:color w:val="FF0000"/>
                      <w:szCs w:val="21"/>
                    </w:rPr>
                  </w:pPr>
                  <w:r>
                    <w:rPr>
                      <w:rFonts w:hint="default" w:ascii="Times New Roman" w:hAnsi="Times New Roman" w:cs="Times New Roman"/>
                      <w:color w:val="FF0000"/>
                    </w:rPr>
                    <w:t>11.53</w:t>
                  </w:r>
                </w:p>
              </w:tc>
              <w:tc>
                <w:tcPr>
                  <w:tcW w:w="911" w:type="pct"/>
                  <w:shd w:val="clear" w:color="auto" w:fill="auto"/>
                  <w:vAlign w:val="center"/>
                </w:tcPr>
                <w:p w14:paraId="5228105B">
                  <w:pPr>
                    <w:widowControl/>
                    <w:jc w:val="center"/>
                    <w:textAlignment w:val="center"/>
                    <w:rPr>
                      <w:rFonts w:hint="default" w:ascii="Times New Roman" w:hAnsi="Times New Roman" w:cs="Times New Roman"/>
                      <w:color w:val="FF0000"/>
                      <w:szCs w:val="21"/>
                    </w:rPr>
                  </w:pPr>
                  <w:r>
                    <w:rPr>
                      <w:rFonts w:hint="default" w:ascii="Times New Roman" w:hAnsi="Times New Roman" w:cs="Times New Roman"/>
                      <w:color w:val="FF0000"/>
                    </w:rPr>
                    <w:t>1.67</w:t>
                  </w:r>
                </w:p>
              </w:tc>
              <w:tc>
                <w:tcPr>
                  <w:tcW w:w="911" w:type="pct"/>
                  <w:shd w:val="clear" w:color="auto" w:fill="auto"/>
                  <w:vAlign w:val="center"/>
                </w:tcPr>
                <w:p w14:paraId="1E70D02C">
                  <w:pPr>
                    <w:widowControl/>
                    <w:jc w:val="center"/>
                    <w:textAlignment w:val="center"/>
                    <w:rPr>
                      <w:rFonts w:hint="default" w:ascii="Times New Roman" w:hAnsi="Times New Roman" w:cs="Times New Roman"/>
                      <w:color w:val="FF0000"/>
                      <w:szCs w:val="21"/>
                    </w:rPr>
                  </w:pPr>
                  <w:r>
                    <w:rPr>
                      <w:rFonts w:hint="default" w:ascii="Times New Roman" w:hAnsi="Times New Roman" w:cs="Times New Roman"/>
                      <w:color w:val="FF0000"/>
                    </w:rPr>
                    <w:t>0.01</w:t>
                  </w:r>
                </w:p>
              </w:tc>
            </w:tr>
            <w:tr w14:paraId="19287A87">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6" w:hRule="atLeast"/>
                <w:jc w:val="center"/>
              </w:trPr>
              <w:tc>
                <w:tcPr>
                  <w:tcW w:w="1352" w:type="pct"/>
                  <w:vAlign w:val="center"/>
                </w:tcPr>
                <w:p w14:paraId="69FBE862">
                  <w:pPr>
                    <w:jc w:val="center"/>
                    <w:rPr>
                      <w:rFonts w:hint="default" w:ascii="Times New Roman" w:hAnsi="Times New Roman" w:cs="Times New Roman"/>
                      <w:color w:val="FF0000"/>
                      <w:szCs w:val="21"/>
                    </w:rPr>
                  </w:pPr>
                  <w:r>
                    <w:rPr>
                      <w:rFonts w:hint="default" w:ascii="Times New Roman" w:hAnsi="Times New Roman" w:cs="Times New Roman"/>
                      <w:color w:val="FF0000"/>
                      <w:szCs w:val="21"/>
                    </w:rPr>
                    <w:t>300</w:t>
                  </w:r>
                </w:p>
              </w:tc>
              <w:tc>
                <w:tcPr>
                  <w:tcW w:w="911" w:type="pct"/>
                  <w:shd w:val="clear" w:color="auto" w:fill="auto"/>
                  <w:vAlign w:val="center"/>
                </w:tcPr>
                <w:p w14:paraId="000EF915">
                  <w:pPr>
                    <w:widowControl/>
                    <w:jc w:val="center"/>
                    <w:textAlignment w:val="center"/>
                    <w:rPr>
                      <w:rFonts w:hint="default" w:ascii="Times New Roman" w:hAnsi="Times New Roman" w:cs="Times New Roman"/>
                      <w:color w:val="FF0000"/>
                      <w:szCs w:val="21"/>
                    </w:rPr>
                  </w:pPr>
                  <w:r>
                    <w:rPr>
                      <w:rFonts w:hint="default" w:ascii="Times New Roman" w:hAnsi="Times New Roman" w:cs="Times New Roman"/>
                      <w:color w:val="FF0000"/>
                    </w:rPr>
                    <w:t>30.99</w:t>
                  </w:r>
                </w:p>
              </w:tc>
              <w:tc>
                <w:tcPr>
                  <w:tcW w:w="911" w:type="pct"/>
                  <w:shd w:val="clear" w:color="auto" w:fill="auto"/>
                  <w:vAlign w:val="center"/>
                </w:tcPr>
                <w:p w14:paraId="5976494F">
                  <w:pPr>
                    <w:widowControl/>
                    <w:jc w:val="center"/>
                    <w:textAlignment w:val="center"/>
                    <w:rPr>
                      <w:rFonts w:hint="default" w:ascii="Times New Roman" w:hAnsi="Times New Roman" w:cs="Times New Roman"/>
                      <w:color w:val="FF0000"/>
                      <w:szCs w:val="21"/>
                    </w:rPr>
                  </w:pPr>
                  <w:r>
                    <w:rPr>
                      <w:rFonts w:hint="default" w:ascii="Times New Roman" w:hAnsi="Times New Roman" w:cs="Times New Roman"/>
                      <w:color w:val="FF0000"/>
                    </w:rPr>
                    <w:t>9.30</w:t>
                  </w:r>
                </w:p>
              </w:tc>
              <w:tc>
                <w:tcPr>
                  <w:tcW w:w="911" w:type="pct"/>
                  <w:shd w:val="clear" w:color="auto" w:fill="auto"/>
                  <w:vAlign w:val="center"/>
                </w:tcPr>
                <w:p w14:paraId="29E73BC3">
                  <w:pPr>
                    <w:widowControl/>
                    <w:jc w:val="center"/>
                    <w:textAlignment w:val="center"/>
                    <w:rPr>
                      <w:rFonts w:hint="default" w:ascii="Times New Roman" w:hAnsi="Times New Roman" w:cs="Times New Roman"/>
                      <w:color w:val="FF0000"/>
                      <w:szCs w:val="21"/>
                    </w:rPr>
                  </w:pPr>
                  <w:r>
                    <w:rPr>
                      <w:rFonts w:hint="default" w:ascii="Times New Roman" w:hAnsi="Times New Roman" w:cs="Times New Roman"/>
                      <w:color w:val="FF0000"/>
                    </w:rPr>
                    <w:t>1.31</w:t>
                  </w:r>
                </w:p>
              </w:tc>
              <w:tc>
                <w:tcPr>
                  <w:tcW w:w="911" w:type="pct"/>
                  <w:shd w:val="clear" w:color="auto" w:fill="auto"/>
                  <w:vAlign w:val="center"/>
                </w:tcPr>
                <w:p w14:paraId="5CD6F22E">
                  <w:pPr>
                    <w:widowControl/>
                    <w:jc w:val="center"/>
                    <w:textAlignment w:val="center"/>
                    <w:rPr>
                      <w:rFonts w:hint="default" w:ascii="Times New Roman" w:hAnsi="Times New Roman" w:cs="Times New Roman"/>
                      <w:color w:val="FF0000"/>
                      <w:szCs w:val="21"/>
                    </w:rPr>
                  </w:pPr>
                  <w:r>
                    <w:rPr>
                      <w:rFonts w:hint="default" w:ascii="Times New Roman" w:hAnsi="Times New Roman" w:cs="Times New Roman"/>
                      <w:color w:val="FF0000"/>
                    </w:rPr>
                    <w:t>0.01</w:t>
                  </w:r>
                </w:p>
              </w:tc>
            </w:tr>
            <w:tr w14:paraId="722F8B8F">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6" w:hRule="atLeast"/>
                <w:jc w:val="center"/>
              </w:trPr>
              <w:tc>
                <w:tcPr>
                  <w:tcW w:w="1352" w:type="pct"/>
                  <w:vAlign w:val="center"/>
                </w:tcPr>
                <w:p w14:paraId="55B9F59D">
                  <w:pPr>
                    <w:jc w:val="center"/>
                    <w:rPr>
                      <w:rFonts w:hint="default" w:ascii="Times New Roman" w:hAnsi="Times New Roman" w:cs="Times New Roman"/>
                      <w:color w:val="FF0000"/>
                      <w:szCs w:val="21"/>
                    </w:rPr>
                  </w:pPr>
                  <w:r>
                    <w:rPr>
                      <w:rFonts w:hint="default" w:ascii="Times New Roman" w:hAnsi="Times New Roman" w:cs="Times New Roman"/>
                      <w:color w:val="FF0000"/>
                      <w:szCs w:val="21"/>
                    </w:rPr>
                    <w:t>400</w:t>
                  </w:r>
                </w:p>
              </w:tc>
              <w:tc>
                <w:tcPr>
                  <w:tcW w:w="911" w:type="pct"/>
                  <w:shd w:val="clear" w:color="auto" w:fill="auto"/>
                  <w:vAlign w:val="center"/>
                </w:tcPr>
                <w:p w14:paraId="5A106039">
                  <w:pPr>
                    <w:widowControl/>
                    <w:jc w:val="center"/>
                    <w:textAlignment w:val="center"/>
                    <w:rPr>
                      <w:rFonts w:hint="default" w:ascii="Times New Roman" w:hAnsi="Times New Roman" w:cs="Times New Roman"/>
                      <w:color w:val="FF0000"/>
                      <w:szCs w:val="21"/>
                    </w:rPr>
                  </w:pPr>
                  <w:r>
                    <w:rPr>
                      <w:rFonts w:hint="default" w:ascii="Times New Roman" w:hAnsi="Times New Roman" w:cs="Times New Roman"/>
                      <w:color w:val="FF0000"/>
                    </w:rPr>
                    <w:t>25.30</w:t>
                  </w:r>
                </w:p>
              </w:tc>
              <w:tc>
                <w:tcPr>
                  <w:tcW w:w="911" w:type="pct"/>
                  <w:shd w:val="clear" w:color="auto" w:fill="auto"/>
                  <w:vAlign w:val="center"/>
                </w:tcPr>
                <w:p w14:paraId="414862E4">
                  <w:pPr>
                    <w:widowControl/>
                    <w:jc w:val="center"/>
                    <w:textAlignment w:val="center"/>
                    <w:rPr>
                      <w:rFonts w:hint="default" w:ascii="Times New Roman" w:hAnsi="Times New Roman" w:cs="Times New Roman"/>
                      <w:color w:val="FF0000"/>
                      <w:szCs w:val="21"/>
                    </w:rPr>
                  </w:pPr>
                  <w:r>
                    <w:rPr>
                      <w:rFonts w:hint="default" w:ascii="Times New Roman" w:hAnsi="Times New Roman" w:cs="Times New Roman"/>
                      <w:color w:val="FF0000"/>
                    </w:rPr>
                    <w:t>7.59</w:t>
                  </w:r>
                </w:p>
              </w:tc>
              <w:tc>
                <w:tcPr>
                  <w:tcW w:w="911" w:type="pct"/>
                  <w:shd w:val="clear" w:color="auto" w:fill="auto"/>
                  <w:vAlign w:val="center"/>
                </w:tcPr>
                <w:p w14:paraId="1106AC28">
                  <w:pPr>
                    <w:widowControl/>
                    <w:jc w:val="center"/>
                    <w:textAlignment w:val="center"/>
                    <w:rPr>
                      <w:rFonts w:hint="default" w:ascii="Times New Roman" w:hAnsi="Times New Roman" w:cs="Times New Roman"/>
                      <w:color w:val="FF0000"/>
                      <w:szCs w:val="21"/>
                    </w:rPr>
                  </w:pPr>
                  <w:r>
                    <w:rPr>
                      <w:rFonts w:hint="default" w:ascii="Times New Roman" w:hAnsi="Times New Roman" w:cs="Times New Roman"/>
                      <w:color w:val="FF0000"/>
                    </w:rPr>
                    <w:t>1.08</w:t>
                  </w:r>
                </w:p>
              </w:tc>
              <w:tc>
                <w:tcPr>
                  <w:tcW w:w="911" w:type="pct"/>
                  <w:shd w:val="clear" w:color="auto" w:fill="auto"/>
                  <w:vAlign w:val="center"/>
                </w:tcPr>
                <w:p w14:paraId="4E8DCB73">
                  <w:pPr>
                    <w:widowControl/>
                    <w:jc w:val="center"/>
                    <w:textAlignment w:val="center"/>
                    <w:rPr>
                      <w:rFonts w:hint="default" w:ascii="Times New Roman" w:hAnsi="Times New Roman" w:cs="Times New Roman"/>
                      <w:color w:val="FF0000"/>
                      <w:szCs w:val="21"/>
                    </w:rPr>
                  </w:pPr>
                  <w:r>
                    <w:rPr>
                      <w:rFonts w:hint="default" w:ascii="Times New Roman" w:hAnsi="Times New Roman" w:cs="Times New Roman"/>
                      <w:color w:val="FF0000"/>
                    </w:rPr>
                    <w:t>0.01</w:t>
                  </w:r>
                </w:p>
              </w:tc>
            </w:tr>
            <w:tr w14:paraId="760412A3">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6" w:hRule="atLeast"/>
                <w:jc w:val="center"/>
              </w:trPr>
              <w:tc>
                <w:tcPr>
                  <w:tcW w:w="1352" w:type="pct"/>
                  <w:vAlign w:val="center"/>
                </w:tcPr>
                <w:p w14:paraId="5942D474">
                  <w:pPr>
                    <w:jc w:val="center"/>
                    <w:rPr>
                      <w:rFonts w:hint="default" w:ascii="Times New Roman" w:hAnsi="Times New Roman" w:cs="Times New Roman"/>
                      <w:color w:val="FF0000"/>
                      <w:szCs w:val="21"/>
                    </w:rPr>
                  </w:pPr>
                  <w:r>
                    <w:rPr>
                      <w:rFonts w:hint="default" w:ascii="Times New Roman" w:hAnsi="Times New Roman" w:cs="Times New Roman"/>
                      <w:color w:val="FF0000"/>
                      <w:szCs w:val="21"/>
                    </w:rPr>
                    <w:t>500</w:t>
                  </w:r>
                </w:p>
              </w:tc>
              <w:tc>
                <w:tcPr>
                  <w:tcW w:w="911" w:type="pct"/>
                  <w:shd w:val="clear" w:color="auto" w:fill="auto"/>
                  <w:vAlign w:val="center"/>
                </w:tcPr>
                <w:p w14:paraId="73DD516F">
                  <w:pPr>
                    <w:widowControl/>
                    <w:jc w:val="center"/>
                    <w:textAlignment w:val="center"/>
                    <w:rPr>
                      <w:rFonts w:hint="default" w:ascii="Times New Roman" w:hAnsi="Times New Roman" w:cs="Times New Roman"/>
                      <w:color w:val="FF0000"/>
                      <w:szCs w:val="21"/>
                    </w:rPr>
                  </w:pPr>
                  <w:r>
                    <w:rPr>
                      <w:rFonts w:hint="default" w:ascii="Times New Roman" w:hAnsi="Times New Roman" w:cs="Times New Roman"/>
                      <w:color w:val="FF0000"/>
                    </w:rPr>
                    <w:t>21.96</w:t>
                  </w:r>
                </w:p>
              </w:tc>
              <w:tc>
                <w:tcPr>
                  <w:tcW w:w="911" w:type="pct"/>
                  <w:shd w:val="clear" w:color="auto" w:fill="auto"/>
                  <w:vAlign w:val="center"/>
                </w:tcPr>
                <w:p w14:paraId="0C8A13BA">
                  <w:pPr>
                    <w:widowControl/>
                    <w:jc w:val="center"/>
                    <w:textAlignment w:val="center"/>
                    <w:rPr>
                      <w:rFonts w:hint="default" w:ascii="Times New Roman" w:hAnsi="Times New Roman" w:cs="Times New Roman"/>
                      <w:color w:val="FF0000"/>
                      <w:szCs w:val="21"/>
                    </w:rPr>
                  </w:pPr>
                  <w:r>
                    <w:rPr>
                      <w:rFonts w:hint="default" w:ascii="Times New Roman" w:hAnsi="Times New Roman" w:cs="Times New Roman"/>
                      <w:color w:val="FF0000"/>
                    </w:rPr>
                    <w:t>6.59</w:t>
                  </w:r>
                </w:p>
              </w:tc>
              <w:tc>
                <w:tcPr>
                  <w:tcW w:w="911" w:type="pct"/>
                  <w:shd w:val="clear" w:color="auto" w:fill="auto"/>
                  <w:vAlign w:val="center"/>
                </w:tcPr>
                <w:p w14:paraId="2823788D">
                  <w:pPr>
                    <w:widowControl/>
                    <w:jc w:val="center"/>
                    <w:textAlignment w:val="center"/>
                    <w:rPr>
                      <w:rFonts w:hint="default" w:ascii="Times New Roman" w:hAnsi="Times New Roman" w:cs="Times New Roman"/>
                      <w:color w:val="FF0000"/>
                      <w:szCs w:val="21"/>
                    </w:rPr>
                  </w:pPr>
                  <w:r>
                    <w:rPr>
                      <w:rFonts w:hint="default" w:ascii="Times New Roman" w:hAnsi="Times New Roman" w:cs="Times New Roman"/>
                      <w:color w:val="FF0000"/>
                    </w:rPr>
                    <w:t>0.93</w:t>
                  </w:r>
                </w:p>
              </w:tc>
              <w:tc>
                <w:tcPr>
                  <w:tcW w:w="911" w:type="pct"/>
                  <w:shd w:val="clear" w:color="auto" w:fill="auto"/>
                  <w:vAlign w:val="center"/>
                </w:tcPr>
                <w:p w14:paraId="5B6C427C">
                  <w:pPr>
                    <w:widowControl/>
                    <w:jc w:val="center"/>
                    <w:textAlignment w:val="center"/>
                    <w:rPr>
                      <w:rFonts w:hint="default" w:ascii="Times New Roman" w:hAnsi="Times New Roman" w:cs="Times New Roman"/>
                      <w:color w:val="FF0000"/>
                      <w:szCs w:val="21"/>
                    </w:rPr>
                  </w:pPr>
                  <w:r>
                    <w:rPr>
                      <w:rFonts w:hint="default" w:ascii="Times New Roman" w:hAnsi="Times New Roman" w:cs="Times New Roman"/>
                      <w:color w:val="FF0000"/>
                    </w:rPr>
                    <w:t>0.01</w:t>
                  </w:r>
                </w:p>
              </w:tc>
            </w:tr>
          </w:tbl>
          <w:p w14:paraId="383DF67C">
            <w:pPr>
              <w:tabs>
                <w:tab w:val="left" w:pos="4800"/>
                <w:tab w:val="left" w:pos="6165"/>
              </w:tabs>
              <w:spacing w:line="360" w:lineRule="auto"/>
              <w:ind w:firstLine="480" w:firstLineChars="200"/>
              <w:rPr>
                <w:rFonts w:hint="default" w:ascii="Times New Roman" w:hAnsi="Times New Roman" w:cs="Times New Roman"/>
                <w:bCs/>
                <w:color w:val="FF0000"/>
                <w:sz w:val="24"/>
              </w:rPr>
            </w:pPr>
            <w:r>
              <w:rPr>
                <w:rFonts w:hint="default" w:ascii="Times New Roman" w:hAnsi="Times New Roman" w:cs="Times New Roman"/>
                <w:bCs/>
                <w:color w:val="FF0000"/>
                <w:sz w:val="24"/>
              </w:rPr>
              <w:t>根据以上无组织预测结果可知，无组织颗粒物</w:t>
            </w:r>
            <w:r>
              <w:rPr>
                <w:rFonts w:hint="default" w:ascii="Times New Roman" w:hAnsi="Times New Roman" w:cs="Times New Roman"/>
                <w:bCs/>
                <w:color w:val="FF0000"/>
                <w:sz w:val="24"/>
                <w:lang w:eastAsia="zh-CN"/>
              </w:rPr>
              <w:t>、</w:t>
            </w:r>
            <w:r>
              <w:rPr>
                <w:rFonts w:hint="default" w:ascii="Times New Roman" w:hAnsi="Times New Roman" w:cs="Times New Roman"/>
                <w:bCs/>
                <w:color w:val="FF0000"/>
                <w:sz w:val="24"/>
              </w:rPr>
              <w:t>非甲烷总烃</w:t>
            </w:r>
            <w:r>
              <w:rPr>
                <w:rFonts w:hint="default" w:ascii="Times New Roman" w:hAnsi="Times New Roman" w:cs="Times New Roman"/>
                <w:bCs/>
                <w:color w:val="FF0000"/>
                <w:sz w:val="24"/>
                <w:lang w:eastAsia="zh-CN"/>
              </w:rPr>
              <w:t>、</w:t>
            </w:r>
            <w:r>
              <w:rPr>
                <w:rFonts w:hint="default" w:ascii="Times New Roman" w:hAnsi="Times New Roman" w:eastAsia="宋体" w:cs="Times New Roman"/>
                <w:b w:val="0"/>
                <w:bCs w:val="0"/>
                <w:color w:val="FF0000"/>
                <w:kern w:val="0"/>
                <w:sz w:val="24"/>
                <w:szCs w:val="24"/>
                <w:lang w:val="en-US" w:eastAsia="zh-CN" w:bidi="ar"/>
              </w:rPr>
              <w:t>NH</w:t>
            </w:r>
            <w:r>
              <w:rPr>
                <w:rFonts w:hint="default" w:ascii="Times New Roman" w:hAnsi="Times New Roman" w:eastAsia="宋体" w:cs="Times New Roman"/>
                <w:b w:val="0"/>
                <w:bCs w:val="0"/>
                <w:color w:val="FF0000"/>
                <w:kern w:val="0"/>
                <w:sz w:val="24"/>
                <w:szCs w:val="24"/>
                <w:vertAlign w:val="subscript"/>
                <w:lang w:val="en-US" w:eastAsia="zh-CN" w:bidi="ar"/>
              </w:rPr>
              <w:t>3</w:t>
            </w:r>
            <w:r>
              <w:rPr>
                <w:rFonts w:hint="default" w:ascii="Times New Roman" w:hAnsi="Times New Roman" w:cs="Times New Roman"/>
                <w:bCs/>
                <w:color w:val="FF0000"/>
                <w:sz w:val="24"/>
                <w:lang w:eastAsia="zh-CN"/>
              </w:rPr>
              <w:t>、</w:t>
            </w:r>
            <w:r>
              <w:rPr>
                <w:rFonts w:hint="default" w:ascii="Times New Roman" w:hAnsi="Times New Roman" w:eastAsia="宋体" w:cs="Times New Roman"/>
                <w:b w:val="0"/>
                <w:bCs w:val="0"/>
                <w:color w:val="FF0000"/>
                <w:kern w:val="0"/>
                <w:sz w:val="24"/>
                <w:szCs w:val="24"/>
                <w:lang w:val="en-US" w:eastAsia="zh-CN" w:bidi="ar"/>
              </w:rPr>
              <w:t>H</w:t>
            </w:r>
            <w:r>
              <w:rPr>
                <w:rFonts w:hint="default" w:ascii="Times New Roman" w:hAnsi="Times New Roman" w:eastAsia="宋体" w:cs="Times New Roman"/>
                <w:b w:val="0"/>
                <w:bCs w:val="0"/>
                <w:color w:val="FF0000"/>
                <w:kern w:val="0"/>
                <w:sz w:val="24"/>
                <w:szCs w:val="24"/>
                <w:vertAlign w:val="subscript"/>
                <w:lang w:val="en-US" w:eastAsia="zh-CN" w:bidi="ar"/>
              </w:rPr>
              <w:t>2</w:t>
            </w:r>
            <w:r>
              <w:rPr>
                <w:rFonts w:hint="default" w:ascii="Times New Roman" w:hAnsi="Times New Roman" w:eastAsia="宋体" w:cs="Times New Roman"/>
                <w:b w:val="0"/>
                <w:bCs w:val="0"/>
                <w:color w:val="FF0000"/>
                <w:kern w:val="0"/>
                <w:sz w:val="24"/>
                <w:szCs w:val="24"/>
                <w:lang w:val="en-US" w:eastAsia="zh-CN" w:bidi="ar"/>
              </w:rPr>
              <w:t>S</w:t>
            </w:r>
            <w:r>
              <w:rPr>
                <w:rFonts w:hint="default" w:ascii="Times New Roman" w:hAnsi="Times New Roman" w:cs="Times New Roman"/>
                <w:bCs/>
                <w:color w:val="FF0000"/>
                <w:sz w:val="24"/>
              </w:rPr>
              <w:t>厂界的浓度分别为</w:t>
            </w:r>
            <w:r>
              <w:rPr>
                <w:rFonts w:hint="default" w:ascii="Times New Roman" w:hAnsi="Times New Roman" w:cs="Times New Roman"/>
                <w:b/>
                <w:bCs/>
                <w:color w:val="FF0000"/>
              </w:rPr>
              <w:t>28.02</w:t>
            </w:r>
            <w:r>
              <w:rPr>
                <w:rFonts w:hint="default" w:ascii="Times New Roman" w:hAnsi="Times New Roman" w:cs="Times New Roman"/>
                <w:b/>
                <w:bCs/>
                <w:color w:val="FF0000"/>
                <w:szCs w:val="21"/>
              </w:rPr>
              <w:t>μg/m</w:t>
            </w:r>
            <w:r>
              <w:rPr>
                <w:rFonts w:hint="default" w:ascii="Times New Roman" w:hAnsi="Times New Roman" w:cs="Times New Roman"/>
                <w:b/>
                <w:bCs/>
                <w:color w:val="FF0000"/>
                <w:szCs w:val="21"/>
                <w:vertAlign w:val="superscript"/>
              </w:rPr>
              <w:t>3</w:t>
            </w:r>
            <w:r>
              <w:rPr>
                <w:rFonts w:hint="default" w:ascii="Times New Roman" w:hAnsi="Times New Roman" w:cs="Times New Roman"/>
                <w:b/>
                <w:bCs/>
                <w:color w:val="FF0000"/>
                <w:sz w:val="24"/>
              </w:rPr>
              <w:t>、</w:t>
            </w:r>
            <w:r>
              <w:rPr>
                <w:rFonts w:hint="default" w:ascii="Times New Roman" w:hAnsi="Times New Roman" w:cs="Times New Roman"/>
                <w:b/>
                <w:bCs/>
                <w:color w:val="FF0000"/>
              </w:rPr>
              <w:t>8.41</w:t>
            </w:r>
            <w:r>
              <w:rPr>
                <w:rFonts w:hint="default" w:ascii="Times New Roman" w:hAnsi="Times New Roman" w:cs="Times New Roman"/>
                <w:b/>
                <w:bCs/>
                <w:color w:val="FF0000"/>
                <w:szCs w:val="21"/>
              </w:rPr>
              <w:t>μg/m</w:t>
            </w:r>
            <w:r>
              <w:rPr>
                <w:rFonts w:hint="default" w:ascii="Times New Roman" w:hAnsi="Times New Roman" w:cs="Times New Roman"/>
                <w:b/>
                <w:bCs/>
                <w:color w:val="FF0000"/>
                <w:szCs w:val="21"/>
                <w:vertAlign w:val="superscript"/>
              </w:rPr>
              <w:t>3</w:t>
            </w:r>
            <w:r>
              <w:rPr>
                <w:rFonts w:hint="default" w:ascii="Times New Roman" w:hAnsi="Times New Roman" w:cs="Times New Roman"/>
                <w:b/>
                <w:bCs/>
                <w:color w:val="FF0000"/>
                <w:sz w:val="24"/>
              </w:rPr>
              <w:t>、</w:t>
            </w:r>
            <w:r>
              <w:rPr>
                <w:rFonts w:hint="default" w:ascii="Times New Roman" w:hAnsi="Times New Roman" w:cs="Times New Roman"/>
                <w:b/>
                <w:bCs/>
                <w:color w:val="FF0000"/>
              </w:rPr>
              <w:t>4.63</w:t>
            </w:r>
            <w:r>
              <w:rPr>
                <w:rFonts w:hint="default" w:ascii="Times New Roman" w:hAnsi="Times New Roman" w:cs="Times New Roman"/>
                <w:b/>
                <w:bCs/>
                <w:color w:val="FF0000"/>
                <w:szCs w:val="21"/>
              </w:rPr>
              <w:t>μg/m</w:t>
            </w:r>
            <w:r>
              <w:rPr>
                <w:rFonts w:hint="default" w:ascii="Times New Roman" w:hAnsi="Times New Roman" w:cs="Times New Roman"/>
                <w:b/>
                <w:bCs/>
                <w:color w:val="FF0000"/>
                <w:szCs w:val="21"/>
                <w:vertAlign w:val="superscript"/>
              </w:rPr>
              <w:t>3</w:t>
            </w:r>
            <w:r>
              <w:rPr>
                <w:rFonts w:hint="default" w:ascii="Times New Roman" w:hAnsi="Times New Roman" w:cs="Times New Roman"/>
                <w:b/>
                <w:bCs/>
                <w:color w:val="FF0000"/>
                <w:sz w:val="24"/>
              </w:rPr>
              <w:t>、</w:t>
            </w:r>
            <w:r>
              <w:rPr>
                <w:rFonts w:hint="default" w:ascii="Times New Roman" w:hAnsi="Times New Roman" w:cs="Times New Roman"/>
                <w:b/>
                <w:bCs/>
                <w:color w:val="FF0000"/>
              </w:rPr>
              <w:t>0.04</w:t>
            </w:r>
            <w:r>
              <w:rPr>
                <w:rFonts w:hint="default" w:ascii="Times New Roman" w:hAnsi="Times New Roman" w:cs="Times New Roman"/>
                <w:b/>
                <w:bCs/>
                <w:color w:val="FF0000"/>
                <w:szCs w:val="21"/>
              </w:rPr>
              <w:t>μg/m</w:t>
            </w:r>
            <w:r>
              <w:rPr>
                <w:rFonts w:hint="default" w:ascii="Times New Roman" w:hAnsi="Times New Roman" w:cs="Times New Roman"/>
                <w:b/>
                <w:bCs/>
                <w:color w:val="FF0000"/>
                <w:szCs w:val="21"/>
                <w:vertAlign w:val="superscript"/>
              </w:rPr>
              <w:t>3</w:t>
            </w:r>
            <w:r>
              <w:rPr>
                <w:rFonts w:hint="default" w:ascii="Times New Roman" w:hAnsi="Times New Roman" w:cs="Times New Roman"/>
                <w:bCs/>
                <w:color w:val="FF0000"/>
                <w:sz w:val="24"/>
              </w:rPr>
              <w:t>，最大落地浓度分别为</w:t>
            </w:r>
            <w:r>
              <w:rPr>
                <w:rFonts w:hint="default" w:ascii="Times New Roman" w:hAnsi="Times New Roman" w:cs="Times New Roman"/>
                <w:b/>
                <w:bCs/>
                <w:color w:val="FF0000"/>
              </w:rPr>
              <w:t>63.73</w:t>
            </w:r>
            <w:r>
              <w:rPr>
                <w:rFonts w:hint="default" w:ascii="Times New Roman" w:hAnsi="Times New Roman" w:cs="Times New Roman"/>
                <w:b/>
                <w:bCs/>
                <w:color w:val="FF0000"/>
                <w:szCs w:val="21"/>
              </w:rPr>
              <w:t>μg/m</w:t>
            </w:r>
            <w:r>
              <w:rPr>
                <w:rFonts w:hint="default" w:ascii="Times New Roman" w:hAnsi="Times New Roman" w:cs="Times New Roman"/>
                <w:b/>
                <w:bCs/>
                <w:color w:val="FF0000"/>
                <w:szCs w:val="21"/>
                <w:vertAlign w:val="superscript"/>
              </w:rPr>
              <w:t>3</w:t>
            </w:r>
            <w:r>
              <w:rPr>
                <w:rFonts w:hint="default" w:ascii="Times New Roman" w:hAnsi="Times New Roman" w:cs="Times New Roman"/>
                <w:b/>
                <w:bCs/>
                <w:color w:val="FF0000"/>
                <w:sz w:val="24"/>
              </w:rPr>
              <w:t>、</w:t>
            </w:r>
            <w:r>
              <w:rPr>
                <w:rFonts w:hint="default" w:ascii="Times New Roman" w:hAnsi="Times New Roman" w:cs="Times New Roman"/>
                <w:b/>
                <w:bCs/>
                <w:color w:val="FF0000"/>
              </w:rPr>
              <w:t>19.12</w:t>
            </w:r>
            <w:r>
              <w:rPr>
                <w:rFonts w:hint="default" w:ascii="Times New Roman" w:hAnsi="Times New Roman" w:cs="Times New Roman"/>
                <w:b/>
                <w:bCs/>
                <w:color w:val="FF0000"/>
                <w:szCs w:val="21"/>
              </w:rPr>
              <w:t>μg/m</w:t>
            </w:r>
            <w:r>
              <w:rPr>
                <w:rFonts w:hint="default" w:ascii="Times New Roman" w:hAnsi="Times New Roman" w:cs="Times New Roman"/>
                <w:b/>
                <w:bCs/>
                <w:color w:val="FF0000"/>
                <w:szCs w:val="21"/>
                <w:vertAlign w:val="superscript"/>
              </w:rPr>
              <w:t>3</w:t>
            </w:r>
            <w:r>
              <w:rPr>
                <w:rFonts w:hint="default" w:ascii="Times New Roman" w:hAnsi="Times New Roman" w:cs="Times New Roman"/>
                <w:b/>
                <w:bCs/>
                <w:color w:val="FF0000"/>
                <w:sz w:val="24"/>
              </w:rPr>
              <w:t>、</w:t>
            </w:r>
            <w:r>
              <w:rPr>
                <w:rFonts w:hint="default" w:ascii="Times New Roman" w:hAnsi="Times New Roman" w:cs="Times New Roman"/>
                <w:b/>
                <w:bCs/>
                <w:color w:val="FF0000"/>
              </w:rPr>
              <w:t>8.54</w:t>
            </w:r>
            <w:r>
              <w:rPr>
                <w:rFonts w:hint="default" w:ascii="Times New Roman" w:hAnsi="Times New Roman" w:cs="Times New Roman"/>
                <w:b/>
                <w:bCs/>
                <w:color w:val="FF0000"/>
                <w:szCs w:val="21"/>
              </w:rPr>
              <w:t>μg/m</w:t>
            </w:r>
            <w:r>
              <w:rPr>
                <w:rFonts w:hint="default" w:ascii="Times New Roman" w:hAnsi="Times New Roman" w:cs="Times New Roman"/>
                <w:b/>
                <w:bCs/>
                <w:color w:val="FF0000"/>
                <w:szCs w:val="21"/>
                <w:vertAlign w:val="superscript"/>
              </w:rPr>
              <w:t>3</w:t>
            </w:r>
            <w:r>
              <w:rPr>
                <w:rFonts w:hint="default" w:ascii="Times New Roman" w:hAnsi="Times New Roman" w:cs="Times New Roman"/>
                <w:b/>
                <w:bCs/>
                <w:color w:val="FF0000"/>
                <w:sz w:val="24"/>
              </w:rPr>
              <w:t>、</w:t>
            </w:r>
            <w:r>
              <w:rPr>
                <w:rFonts w:hint="default" w:ascii="Times New Roman" w:hAnsi="Times New Roman" w:cs="Times New Roman"/>
                <w:b/>
                <w:bCs/>
                <w:color w:val="FF0000"/>
              </w:rPr>
              <w:t>0.07</w:t>
            </w:r>
            <w:r>
              <w:rPr>
                <w:rFonts w:hint="default" w:ascii="Times New Roman" w:hAnsi="Times New Roman" w:cs="Times New Roman"/>
                <w:b/>
                <w:bCs/>
                <w:color w:val="FF0000"/>
                <w:szCs w:val="21"/>
              </w:rPr>
              <w:t>μg/m</w:t>
            </w:r>
            <w:r>
              <w:rPr>
                <w:rFonts w:hint="default" w:ascii="Times New Roman" w:hAnsi="Times New Roman" w:cs="Times New Roman"/>
                <w:b/>
                <w:bCs/>
                <w:color w:val="FF0000"/>
                <w:szCs w:val="21"/>
                <w:vertAlign w:val="superscript"/>
              </w:rPr>
              <w:t>3</w:t>
            </w:r>
            <w:r>
              <w:rPr>
                <w:rFonts w:hint="default" w:ascii="Times New Roman" w:hAnsi="Times New Roman" w:cs="Times New Roman"/>
                <w:bCs/>
                <w:color w:val="FF0000"/>
                <w:sz w:val="24"/>
              </w:rPr>
              <w:t>，浓度符合《大气污染物综合排放标准》GB16297-1996表2中</w:t>
            </w:r>
            <w:r>
              <w:rPr>
                <w:rFonts w:hint="default" w:ascii="Times New Roman" w:hAnsi="Times New Roman" w:cs="Times New Roman"/>
                <w:b w:val="0"/>
                <w:bCs/>
                <w:color w:val="FF0000"/>
                <w:sz w:val="24"/>
              </w:rPr>
              <w:t>周界外</w:t>
            </w:r>
            <w:r>
              <w:rPr>
                <w:rFonts w:hint="default" w:ascii="Times New Roman" w:hAnsi="Times New Roman" w:cs="Times New Roman"/>
                <w:bCs/>
                <w:color w:val="FF0000"/>
                <w:sz w:val="24"/>
              </w:rPr>
              <w:t>浓度限值</w:t>
            </w:r>
            <w:r>
              <w:rPr>
                <w:rFonts w:hint="default" w:ascii="Times New Roman" w:hAnsi="Times New Roman" w:cs="Times New Roman"/>
                <w:b/>
                <w:bCs w:val="0"/>
                <w:color w:val="FF0000"/>
                <w:sz w:val="24"/>
              </w:rPr>
              <w:t>1.0mg/m</w:t>
            </w:r>
            <w:r>
              <w:rPr>
                <w:rFonts w:hint="default" w:ascii="Times New Roman" w:hAnsi="Times New Roman" w:cs="Times New Roman"/>
                <w:b/>
                <w:bCs w:val="0"/>
                <w:color w:val="FF0000"/>
                <w:sz w:val="24"/>
                <w:vertAlign w:val="superscript"/>
              </w:rPr>
              <w:t>3</w:t>
            </w:r>
            <w:r>
              <w:rPr>
                <w:rFonts w:hint="default" w:ascii="Times New Roman" w:hAnsi="Times New Roman" w:cs="Times New Roman"/>
                <w:b/>
                <w:bCs w:val="0"/>
                <w:color w:val="FF0000"/>
                <w:sz w:val="24"/>
              </w:rPr>
              <w:t>（颗粒物）、4.0mg/m</w:t>
            </w:r>
            <w:r>
              <w:rPr>
                <w:rFonts w:hint="default" w:ascii="Times New Roman" w:hAnsi="Times New Roman" w:cs="Times New Roman"/>
                <w:b/>
                <w:bCs w:val="0"/>
                <w:color w:val="FF0000"/>
                <w:sz w:val="24"/>
                <w:vertAlign w:val="superscript"/>
              </w:rPr>
              <w:t>3</w:t>
            </w:r>
            <w:r>
              <w:rPr>
                <w:rFonts w:hint="default" w:ascii="Times New Roman" w:hAnsi="Times New Roman" w:cs="Times New Roman"/>
                <w:b/>
                <w:bCs w:val="0"/>
                <w:color w:val="FF0000"/>
                <w:sz w:val="24"/>
              </w:rPr>
              <w:t>（非甲烷总烃）</w:t>
            </w:r>
            <w:r>
              <w:rPr>
                <w:rFonts w:hint="default" w:ascii="Times New Roman" w:hAnsi="Times New Roman" w:cs="Times New Roman"/>
                <w:bCs/>
                <w:color w:val="FF0000"/>
                <w:sz w:val="24"/>
              </w:rPr>
              <w:t>及《挥发性有机物无组织排放控制标准》（GB 37822-2019）厂房外监控点处</w:t>
            </w:r>
            <w:r>
              <w:rPr>
                <w:rFonts w:hint="eastAsia" w:cs="Times New Roman"/>
                <w:bCs/>
                <w:color w:val="FF0000"/>
                <w:sz w:val="24"/>
                <w:lang w:eastAsia="zh-CN"/>
              </w:rPr>
              <w:t>（</w:t>
            </w:r>
            <w:r>
              <w:rPr>
                <w:rFonts w:hint="eastAsia" w:cs="Times New Roman"/>
                <w:bCs/>
                <w:color w:val="FF0000"/>
                <w:sz w:val="24"/>
                <w:lang w:val="en-US" w:eastAsia="zh-CN"/>
              </w:rPr>
              <w:t>厂房外1m处</w:t>
            </w:r>
            <w:r>
              <w:rPr>
                <w:rFonts w:hint="eastAsia" w:cs="Times New Roman"/>
                <w:bCs/>
                <w:color w:val="FF0000"/>
                <w:sz w:val="24"/>
                <w:lang w:eastAsia="zh-CN"/>
              </w:rPr>
              <w:t>）</w:t>
            </w:r>
            <w:r>
              <w:rPr>
                <w:rFonts w:hint="default" w:ascii="Times New Roman" w:hAnsi="Times New Roman" w:cs="Times New Roman"/>
                <w:bCs/>
                <w:color w:val="FF0000"/>
                <w:sz w:val="24"/>
              </w:rPr>
              <w:t>任意一次浓度值</w:t>
            </w:r>
            <w:r>
              <w:rPr>
                <w:rFonts w:hint="default" w:ascii="Times New Roman" w:hAnsi="Times New Roman" w:cs="Times New Roman"/>
                <w:b/>
                <w:bCs w:val="0"/>
                <w:color w:val="FF0000"/>
                <w:sz w:val="24"/>
              </w:rPr>
              <w:t>20mg/m</w:t>
            </w:r>
            <w:r>
              <w:rPr>
                <w:rFonts w:hint="default" w:ascii="Times New Roman" w:hAnsi="Times New Roman" w:cs="Times New Roman"/>
                <w:b/>
                <w:bCs w:val="0"/>
                <w:color w:val="FF0000"/>
                <w:sz w:val="24"/>
                <w:vertAlign w:val="superscript"/>
              </w:rPr>
              <w:t>3</w:t>
            </w:r>
            <w:r>
              <w:rPr>
                <w:rFonts w:hint="default" w:ascii="Times New Roman" w:hAnsi="Times New Roman" w:cs="Times New Roman"/>
                <w:b/>
                <w:bCs w:val="0"/>
                <w:color w:val="FF0000"/>
                <w:sz w:val="24"/>
              </w:rPr>
              <w:t>（非甲烷总烃）</w:t>
            </w:r>
            <w:r>
              <w:rPr>
                <w:rFonts w:hint="default" w:ascii="Times New Roman" w:hAnsi="Times New Roman" w:cs="Times New Roman"/>
                <w:bCs/>
                <w:color w:val="FF0000"/>
                <w:sz w:val="24"/>
                <w:lang w:eastAsia="zh-CN"/>
              </w:rPr>
              <w:t>、</w:t>
            </w:r>
            <w:r>
              <w:rPr>
                <w:rFonts w:hint="default" w:ascii="Times New Roman" w:hAnsi="Times New Roman" w:cs="Times New Roman"/>
                <w:bCs/>
                <w:color w:val="FF0000"/>
                <w:sz w:val="24"/>
                <w:lang w:val="en-US" w:eastAsia="zh-CN"/>
              </w:rPr>
              <w:t>《恶臭污染物排放标准》（GB14554-93）中厂界浓度限值</w:t>
            </w:r>
            <w:r>
              <w:rPr>
                <w:rFonts w:hint="default" w:ascii="Times New Roman" w:hAnsi="Times New Roman" w:cs="Times New Roman"/>
                <w:b/>
                <w:bCs w:val="0"/>
                <w:color w:val="FF0000"/>
                <w:sz w:val="24"/>
                <w:lang w:val="en-US" w:eastAsia="zh-CN"/>
              </w:rPr>
              <w:t>：氨1.5</w:t>
            </w:r>
            <w:r>
              <w:rPr>
                <w:rFonts w:hint="default" w:ascii="Times New Roman" w:hAnsi="Times New Roman" w:cs="Times New Roman"/>
                <w:b/>
                <w:bCs w:val="0"/>
                <w:color w:val="FF0000"/>
                <w:sz w:val="24"/>
              </w:rPr>
              <w:t>mg/m</w:t>
            </w:r>
            <w:r>
              <w:rPr>
                <w:rFonts w:hint="default" w:ascii="Times New Roman" w:hAnsi="Times New Roman" w:cs="Times New Roman"/>
                <w:b/>
                <w:bCs w:val="0"/>
                <w:color w:val="FF0000"/>
                <w:sz w:val="24"/>
                <w:vertAlign w:val="superscript"/>
              </w:rPr>
              <w:t>3</w:t>
            </w:r>
            <w:r>
              <w:rPr>
                <w:rFonts w:hint="default" w:ascii="Times New Roman" w:hAnsi="Times New Roman" w:cs="Times New Roman"/>
                <w:b/>
                <w:bCs w:val="0"/>
                <w:color w:val="FF0000"/>
                <w:sz w:val="24"/>
                <w:lang w:eastAsia="zh-CN"/>
              </w:rPr>
              <w:t>、</w:t>
            </w:r>
            <w:r>
              <w:rPr>
                <w:rFonts w:hint="default" w:ascii="Times New Roman" w:hAnsi="Times New Roman" w:cs="Times New Roman"/>
                <w:b/>
                <w:bCs w:val="0"/>
                <w:color w:val="FF0000"/>
                <w:sz w:val="24"/>
                <w:lang w:val="en-US" w:eastAsia="zh-CN"/>
              </w:rPr>
              <w:t>硫化氢0.06</w:t>
            </w:r>
            <w:r>
              <w:rPr>
                <w:rFonts w:hint="default" w:ascii="Times New Roman" w:hAnsi="Times New Roman" w:cs="Times New Roman"/>
                <w:b/>
                <w:bCs w:val="0"/>
                <w:color w:val="FF0000"/>
                <w:sz w:val="24"/>
              </w:rPr>
              <w:t>mg/m</w:t>
            </w:r>
            <w:r>
              <w:rPr>
                <w:rFonts w:hint="default" w:ascii="Times New Roman" w:hAnsi="Times New Roman" w:cs="Times New Roman"/>
                <w:b/>
                <w:bCs w:val="0"/>
                <w:color w:val="FF0000"/>
                <w:sz w:val="24"/>
                <w:vertAlign w:val="superscript"/>
              </w:rPr>
              <w:t>3</w:t>
            </w:r>
            <w:r>
              <w:rPr>
                <w:rFonts w:hint="default" w:ascii="Times New Roman" w:hAnsi="Times New Roman" w:cs="Times New Roman"/>
                <w:bCs/>
                <w:color w:val="FF0000"/>
                <w:sz w:val="24"/>
              </w:rPr>
              <w:t>，项目厂界无组织废气达标排放。</w:t>
            </w:r>
          </w:p>
          <w:p w14:paraId="3C25B9DB">
            <w:pPr>
              <w:adjustRightInd w:val="0"/>
              <w:snapToGrid w:val="0"/>
              <w:spacing w:line="360" w:lineRule="auto"/>
              <w:rPr>
                <w:rFonts w:hint="default" w:ascii="Times New Roman" w:hAnsi="Times New Roman" w:cs="Times New Roman"/>
                <w:b/>
                <w:bCs/>
                <w:sz w:val="24"/>
              </w:rPr>
            </w:pPr>
            <w:r>
              <w:rPr>
                <w:rFonts w:hint="default" w:ascii="Times New Roman" w:hAnsi="Times New Roman" w:cs="Times New Roman"/>
                <w:b/>
                <w:bCs/>
                <w:sz w:val="24"/>
              </w:rPr>
              <w:t>5、大气环境防护距离</w:t>
            </w:r>
          </w:p>
          <w:p w14:paraId="0E57D2FD">
            <w:pPr>
              <w:widowControl/>
              <w:spacing w:line="360" w:lineRule="auto"/>
              <w:ind w:firstLine="480" w:firstLineChars="200"/>
              <w:jc w:val="left"/>
              <w:rPr>
                <w:rFonts w:hint="default" w:ascii="Times New Roman" w:hAnsi="Times New Roman" w:cs="Times New Roman"/>
                <w:bCs/>
                <w:sz w:val="24"/>
              </w:rPr>
            </w:pPr>
            <w:r>
              <w:rPr>
                <w:rFonts w:hint="default" w:ascii="Times New Roman" w:hAnsi="Times New Roman" w:cs="Times New Roman"/>
                <w:sz w:val="24"/>
              </w:rPr>
              <w:t>根据无组织预测模型的预测结果可知：</w:t>
            </w:r>
            <w:r>
              <w:rPr>
                <w:rFonts w:hint="default" w:ascii="Times New Roman" w:hAnsi="Times New Roman" w:cs="Times New Roman"/>
                <w:bCs/>
                <w:sz w:val="24"/>
              </w:rPr>
              <w:t>本项目无组织排放源在最大工况下最大落地浓度值小于相应标准限值，即厂界外无超标点，因此本项目不设置大气环境防护距离。</w:t>
            </w:r>
          </w:p>
          <w:p w14:paraId="5A45F1E0">
            <w:pPr>
              <w:pStyle w:val="63"/>
              <w:spacing w:after="0"/>
              <w:ind w:left="0" w:leftChars="0" w:firstLine="0" w:firstLineChars="0"/>
              <w:rPr>
                <w:rFonts w:hint="default" w:ascii="Times New Roman" w:hAnsi="Times New Roman" w:cs="Times New Roman"/>
                <w:b/>
                <w:bCs/>
              </w:rPr>
            </w:pPr>
            <w:r>
              <w:rPr>
                <w:rFonts w:hint="default" w:ascii="Times New Roman" w:hAnsi="Times New Roman" w:cs="Times New Roman"/>
                <w:b/>
                <w:bCs/>
              </w:rPr>
              <w:t>6、卫生防护距离</w:t>
            </w:r>
          </w:p>
          <w:p w14:paraId="485D0088">
            <w:pPr>
              <w:adjustRightInd w:val="0"/>
              <w:spacing w:line="360" w:lineRule="auto"/>
              <w:ind w:firstLine="480" w:firstLineChars="200"/>
              <w:rPr>
                <w:rFonts w:hint="default" w:ascii="Times New Roman" w:hAnsi="Times New Roman" w:cs="Times New Roman"/>
                <w:sz w:val="24"/>
              </w:rPr>
            </w:pPr>
            <w:r>
              <w:rPr>
                <w:rFonts w:hint="default" w:ascii="Times New Roman" w:hAnsi="Times New Roman" w:cs="Times New Roman"/>
                <w:sz w:val="24"/>
              </w:rPr>
              <w:t>根据《</w:t>
            </w:r>
            <w:r>
              <w:rPr>
                <w:rFonts w:hint="default" w:ascii="Times New Roman" w:hAnsi="Times New Roman" w:cs="Times New Roman"/>
                <w:kern w:val="0"/>
                <w:sz w:val="24"/>
                <w:lang w:bidi="ar"/>
              </w:rPr>
              <w:t>大气有害物质无组织排放卫生防护距离推导技术导则</w:t>
            </w:r>
            <w:r>
              <w:rPr>
                <w:rFonts w:hint="default" w:ascii="Times New Roman" w:hAnsi="Times New Roman" w:cs="Times New Roman"/>
                <w:sz w:val="24"/>
              </w:rPr>
              <w:t>》(GB/T39499-2020)中适用范围：适用于产生大气有害物质的无组织排放的各种行业的新改扩建工程，该导则3.3中对有害大气物质的解释为：有关行业企业在正常生产时通过无组织排放形式扩散到周边的有毒有害大气污染物。</w:t>
            </w:r>
          </w:p>
          <w:p w14:paraId="32EA394C">
            <w:pPr>
              <w:adjustRightInd w:val="0"/>
              <w:spacing w:line="360" w:lineRule="auto"/>
              <w:ind w:firstLine="480" w:firstLineChars="200"/>
              <w:rPr>
                <w:rFonts w:hint="default" w:ascii="Times New Roman" w:hAnsi="Times New Roman" w:cs="Times New Roman"/>
                <w:sz w:val="24"/>
              </w:rPr>
            </w:pPr>
            <w:r>
              <w:rPr>
                <w:rFonts w:hint="default" w:ascii="Times New Roman" w:hAnsi="Times New Roman" w:cs="Times New Roman"/>
                <w:sz w:val="24"/>
              </w:rPr>
              <w:t>本项目排放的颗粒物、非甲烷总烃属于大气有害物质，因此，项目需设置卫生防护距离。根据《</w:t>
            </w:r>
            <w:r>
              <w:rPr>
                <w:rFonts w:hint="default" w:ascii="Times New Roman" w:hAnsi="Times New Roman" w:cs="Times New Roman"/>
                <w:kern w:val="0"/>
                <w:sz w:val="24"/>
                <w:lang w:bidi="ar"/>
              </w:rPr>
              <w:t>大气有害物质无组织排放卫生防护距离推导技术导则</w:t>
            </w:r>
            <w:r>
              <w:rPr>
                <w:rFonts w:hint="default" w:ascii="Times New Roman" w:hAnsi="Times New Roman" w:cs="Times New Roman"/>
                <w:sz w:val="24"/>
              </w:rPr>
              <w:t>》(GB/T39499-2020)，以各无组织排放源为计算单元，卫生防护距离计算公式如下：</w:t>
            </w:r>
          </w:p>
          <w:p w14:paraId="5EA4F4EB">
            <w:pPr>
              <w:adjustRightInd w:val="0"/>
              <w:spacing w:line="360" w:lineRule="auto"/>
              <w:ind w:left="464" w:leftChars="221" w:firstLine="2040" w:firstLineChars="850"/>
              <w:rPr>
                <w:rFonts w:hint="default" w:ascii="Times New Roman" w:hAnsi="Times New Roman" w:cs="Times New Roman"/>
                <w:sz w:val="24"/>
              </w:rPr>
            </w:pPr>
            <w:r>
              <w:rPr>
                <w:rFonts w:hint="default" w:ascii="Times New Roman" w:hAnsi="Times New Roman" w:cs="Times New Roman"/>
                <w:position w:val="-24"/>
                <w:sz w:val="24"/>
              </w:rPr>
              <w:drawing>
                <wp:inline distT="0" distB="0" distL="114300" distR="114300">
                  <wp:extent cx="1749425" cy="421640"/>
                  <wp:effectExtent l="0" t="0" r="0" b="16510"/>
                  <wp:docPr id="105" name="图片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453"/>
                          <pic:cNvPicPr>
                            <a:picLocks noChangeAspect="1"/>
                          </pic:cNvPicPr>
                        </pic:nvPicPr>
                        <pic:blipFill>
                          <a:blip r:embed="rId29"/>
                          <a:stretch>
                            <a:fillRect/>
                          </a:stretch>
                        </pic:blipFill>
                        <pic:spPr>
                          <a:xfrm>
                            <a:off x="0" y="0"/>
                            <a:ext cx="1749425" cy="421640"/>
                          </a:xfrm>
                          <a:prstGeom prst="rect">
                            <a:avLst/>
                          </a:prstGeom>
                          <a:noFill/>
                          <a:ln>
                            <a:noFill/>
                          </a:ln>
                        </pic:spPr>
                      </pic:pic>
                    </a:graphicData>
                  </a:graphic>
                </wp:inline>
              </w:drawing>
            </w:r>
          </w:p>
          <w:p w14:paraId="7954D32E">
            <w:pPr>
              <w:adjustRightInd w:val="0"/>
              <w:spacing w:line="360" w:lineRule="auto"/>
              <w:rPr>
                <w:rFonts w:hint="default" w:ascii="Times New Roman" w:hAnsi="Times New Roman" w:cs="Times New Roman"/>
                <w:bCs/>
                <w:sz w:val="24"/>
              </w:rPr>
            </w:pPr>
            <w:r>
              <w:rPr>
                <w:rFonts w:hint="default" w:ascii="Times New Roman" w:hAnsi="Times New Roman" w:cs="Times New Roman"/>
                <w:bCs/>
                <w:sz w:val="24"/>
              </w:rPr>
              <w:t>式中：Cm—</w:t>
            </w:r>
            <w:r>
              <w:rPr>
                <w:rFonts w:hint="default" w:ascii="Times New Roman" w:hAnsi="Times New Roman" w:cs="Times New Roman"/>
                <w:sz w:val="24"/>
              </w:rPr>
              <w:t>大气有害物质环境空气质量的标准</w:t>
            </w:r>
            <w:r>
              <w:rPr>
                <w:rFonts w:hint="default" w:ascii="Times New Roman" w:hAnsi="Times New Roman" w:cs="Times New Roman"/>
                <w:bCs/>
                <w:sz w:val="24"/>
              </w:rPr>
              <w:t>限值，mg/m</w:t>
            </w:r>
            <w:r>
              <w:rPr>
                <w:rFonts w:hint="default" w:ascii="Times New Roman" w:hAnsi="Times New Roman" w:cs="Times New Roman"/>
                <w:bCs/>
                <w:sz w:val="24"/>
                <w:vertAlign w:val="superscript"/>
              </w:rPr>
              <w:t>3</w:t>
            </w:r>
            <w:r>
              <w:rPr>
                <w:rFonts w:hint="default" w:ascii="Times New Roman" w:hAnsi="Times New Roman" w:cs="Times New Roman"/>
                <w:bCs/>
                <w:sz w:val="24"/>
              </w:rPr>
              <w:t>；</w:t>
            </w:r>
          </w:p>
          <w:p w14:paraId="4636768F">
            <w:pPr>
              <w:adjustRightInd w:val="0"/>
              <w:spacing w:line="360" w:lineRule="auto"/>
              <w:ind w:firstLine="720" w:firstLineChars="300"/>
              <w:rPr>
                <w:rFonts w:hint="default" w:ascii="Times New Roman" w:hAnsi="Times New Roman" w:cs="Times New Roman"/>
                <w:bCs/>
                <w:sz w:val="24"/>
              </w:rPr>
            </w:pPr>
            <w:r>
              <w:rPr>
                <w:rFonts w:hint="default" w:ascii="Times New Roman" w:hAnsi="Times New Roman" w:cs="Times New Roman"/>
                <w:bCs/>
                <w:sz w:val="24"/>
              </w:rPr>
              <w:t>L—</w:t>
            </w:r>
            <w:r>
              <w:rPr>
                <w:rFonts w:hint="default" w:ascii="Times New Roman" w:hAnsi="Times New Roman" w:cs="Times New Roman"/>
                <w:sz w:val="24"/>
              </w:rPr>
              <w:t>大气有害物质</w:t>
            </w:r>
            <w:r>
              <w:rPr>
                <w:rFonts w:hint="default" w:ascii="Times New Roman" w:hAnsi="Times New Roman" w:cs="Times New Roman"/>
                <w:bCs/>
                <w:sz w:val="24"/>
              </w:rPr>
              <w:t>卫生防护距离初值，m；</w:t>
            </w:r>
          </w:p>
          <w:p w14:paraId="326F26B0">
            <w:pPr>
              <w:adjustRightInd w:val="0"/>
              <w:spacing w:line="360" w:lineRule="auto"/>
              <w:ind w:firstLine="720" w:firstLineChars="300"/>
              <w:rPr>
                <w:rFonts w:hint="default" w:ascii="Times New Roman" w:hAnsi="Times New Roman" w:cs="Times New Roman"/>
                <w:sz w:val="24"/>
              </w:rPr>
            </w:pPr>
            <w:r>
              <w:rPr>
                <w:rFonts w:hint="default" w:ascii="Times New Roman" w:hAnsi="Times New Roman" w:cs="Times New Roman"/>
                <w:sz w:val="24"/>
              </w:rPr>
              <w:t>r—大气有害物质无组织排放源所在生产单元的等效半径，m；根据该生产单元占地面积S(m</w:t>
            </w:r>
            <w:r>
              <w:rPr>
                <w:rFonts w:hint="default" w:ascii="Times New Roman" w:hAnsi="Times New Roman" w:cs="Times New Roman"/>
                <w:sz w:val="24"/>
                <w:vertAlign w:val="superscript"/>
              </w:rPr>
              <w:t>2</w:t>
            </w:r>
            <w:r>
              <w:rPr>
                <w:rFonts w:hint="default" w:ascii="Times New Roman" w:hAnsi="Times New Roman" w:cs="Times New Roman"/>
                <w:sz w:val="24"/>
              </w:rPr>
              <w:t>)计算，r=(S/π)</w:t>
            </w:r>
            <w:r>
              <w:rPr>
                <w:rFonts w:hint="default" w:ascii="Times New Roman" w:hAnsi="Times New Roman" w:cs="Times New Roman"/>
                <w:sz w:val="24"/>
                <w:vertAlign w:val="superscript"/>
              </w:rPr>
              <w:t>0.5</w:t>
            </w:r>
            <w:r>
              <w:rPr>
                <w:rFonts w:hint="default" w:ascii="Times New Roman" w:hAnsi="Times New Roman" w:cs="Times New Roman"/>
                <w:sz w:val="24"/>
              </w:rPr>
              <w:t>。</w:t>
            </w:r>
          </w:p>
          <w:p w14:paraId="6D2C0680">
            <w:pPr>
              <w:adjustRightInd w:val="0"/>
              <w:spacing w:line="360" w:lineRule="auto"/>
              <w:ind w:firstLine="480" w:firstLineChars="200"/>
              <w:rPr>
                <w:rFonts w:hint="default" w:ascii="Times New Roman" w:hAnsi="Times New Roman" w:cs="Times New Roman"/>
                <w:sz w:val="24"/>
              </w:rPr>
            </w:pPr>
            <w:r>
              <w:rPr>
                <w:rFonts w:hint="default" w:ascii="Times New Roman" w:hAnsi="Times New Roman" w:cs="Times New Roman"/>
                <w:sz w:val="24"/>
              </w:rPr>
              <w:t>A、B、C、D—卫生防护距离初值计算系数，无因次，根据工业企业所在地近5年平均风速及大气污染源构成类别从表1查取。本工程卫生防护距离计算系数为Ⅱ类。</w:t>
            </w:r>
          </w:p>
          <w:p w14:paraId="4D02512A">
            <w:pPr>
              <w:adjustRightInd w:val="0"/>
              <w:spacing w:line="360" w:lineRule="auto"/>
              <w:ind w:firstLine="480" w:firstLineChars="200"/>
              <w:rPr>
                <w:rFonts w:hint="default" w:ascii="Times New Roman" w:hAnsi="Times New Roman" w:cs="Times New Roman"/>
                <w:sz w:val="24"/>
              </w:rPr>
            </w:pPr>
            <w:r>
              <w:rPr>
                <w:rFonts w:hint="default" w:ascii="Times New Roman" w:hAnsi="Times New Roman" w:cs="Times New Roman"/>
                <w:sz w:val="24"/>
              </w:rPr>
              <w:t>Qc—大气有害物质无组织排放量，kg/h。</w:t>
            </w:r>
          </w:p>
          <w:p w14:paraId="6CF08B0D">
            <w:pPr>
              <w:adjustRightInd w:val="0"/>
              <w:spacing w:line="360" w:lineRule="auto"/>
              <w:ind w:firstLine="480" w:firstLineChars="200"/>
              <w:rPr>
                <w:rFonts w:hint="default" w:ascii="Times New Roman" w:hAnsi="Times New Roman" w:cs="Times New Roman"/>
                <w:sz w:val="24"/>
              </w:rPr>
            </w:pPr>
            <w:r>
              <w:rPr>
                <w:rFonts w:hint="default" w:ascii="Times New Roman" w:hAnsi="Times New Roman" w:cs="Times New Roman"/>
                <w:sz w:val="24"/>
              </w:rPr>
              <w:t>各系数取值如下：</w:t>
            </w:r>
          </w:p>
          <w:p w14:paraId="631366E9">
            <w:pPr>
              <w:pStyle w:val="49"/>
              <w:tabs>
                <w:tab w:val="left" w:pos="4665"/>
                <w:tab w:val="left" w:pos="8970"/>
              </w:tabs>
              <w:jc w:val="center"/>
              <w:rPr>
                <w:rFonts w:hint="default" w:ascii="Times New Roman" w:hAnsi="Times New Roman" w:eastAsia="宋体" w:cs="Times New Roman"/>
                <w:b/>
                <w:bCs/>
                <w:sz w:val="21"/>
                <w:szCs w:val="21"/>
              </w:rPr>
            </w:pPr>
            <w:r>
              <w:rPr>
                <w:rFonts w:hint="default" w:ascii="Times New Roman" w:hAnsi="Times New Roman" w:eastAsia="宋体" w:cs="Times New Roman"/>
                <w:b/>
                <w:bCs/>
                <w:sz w:val="21"/>
                <w:szCs w:val="21"/>
              </w:rPr>
              <w:t>表4-1</w:t>
            </w:r>
            <w:r>
              <w:rPr>
                <w:rFonts w:hint="eastAsia" w:ascii="Times New Roman" w:hAnsi="Times New Roman" w:eastAsia="宋体" w:cs="Times New Roman"/>
                <w:b/>
                <w:bCs/>
                <w:sz w:val="21"/>
                <w:szCs w:val="21"/>
                <w:lang w:val="en-US" w:eastAsia="zh-CN"/>
              </w:rPr>
              <w:t>7</w:t>
            </w:r>
            <w:r>
              <w:rPr>
                <w:rFonts w:hint="default" w:ascii="Times New Roman" w:hAnsi="Times New Roman" w:eastAsia="宋体" w:cs="Times New Roman"/>
                <w:b/>
                <w:bCs/>
                <w:sz w:val="21"/>
                <w:szCs w:val="21"/>
              </w:rPr>
              <w:t xml:space="preserve">   卫生防护距离初值计算系数</w:t>
            </w:r>
          </w:p>
          <w:tbl>
            <w:tblPr>
              <w:tblStyle w:val="35"/>
              <w:tblW w:w="4998" w:type="pct"/>
              <w:jc w:val="center"/>
              <w:tblBorders>
                <w:top w:val="double" w:color="auto" w:sz="4" w:space="0"/>
                <w:left w:val="none" w:color="auto" w:sz="0" w:space="0"/>
                <w:bottom w:val="double" w:color="auto" w:sz="4" w:space="0"/>
                <w:right w:val="none" w:color="auto" w:sz="0" w:space="0"/>
                <w:insideH w:val="single" w:color="auto" w:sz="2" w:space="0"/>
                <w:insideV w:val="single" w:color="auto" w:sz="2" w:space="0"/>
              </w:tblBorders>
              <w:tblLayout w:type="fixed"/>
              <w:tblCellMar>
                <w:top w:w="0" w:type="dxa"/>
                <w:left w:w="108" w:type="dxa"/>
                <w:bottom w:w="0" w:type="dxa"/>
                <w:right w:w="108" w:type="dxa"/>
              </w:tblCellMar>
            </w:tblPr>
            <w:tblGrid>
              <w:gridCol w:w="2823"/>
              <w:gridCol w:w="2824"/>
              <w:gridCol w:w="2824"/>
            </w:tblGrid>
            <w:tr w14:paraId="73D4C0AF">
              <w:tblPrEx>
                <w:tblBorders>
                  <w:top w:val="double" w:color="auto" w:sz="4" w:space="0"/>
                  <w:left w:val="none" w:color="auto" w:sz="0" w:space="0"/>
                  <w:bottom w:val="double" w:color="auto" w:sz="4"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284" w:hRule="atLeast"/>
                <w:jc w:val="center"/>
              </w:trPr>
              <w:tc>
                <w:tcPr>
                  <w:tcW w:w="1666" w:type="pct"/>
                  <w:tcBorders>
                    <w:tl2br w:val="nil"/>
                    <w:tr2bl w:val="nil"/>
                  </w:tcBorders>
                  <w:vAlign w:val="center"/>
                </w:tcPr>
                <w:p w14:paraId="7A5FD5C7">
                  <w:pPr>
                    <w:pStyle w:val="49"/>
                    <w:tabs>
                      <w:tab w:val="left" w:pos="4665"/>
                      <w:tab w:val="left" w:pos="8970"/>
                    </w:tabs>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系数</w:t>
                  </w:r>
                </w:p>
              </w:tc>
              <w:tc>
                <w:tcPr>
                  <w:tcW w:w="1666" w:type="pct"/>
                  <w:tcBorders>
                    <w:tl2br w:val="nil"/>
                    <w:tr2bl w:val="nil"/>
                  </w:tcBorders>
                  <w:vAlign w:val="center"/>
                </w:tcPr>
                <w:p w14:paraId="49992B07">
                  <w:pPr>
                    <w:pStyle w:val="49"/>
                    <w:tabs>
                      <w:tab w:val="left" w:pos="4665"/>
                      <w:tab w:val="left" w:pos="8970"/>
                    </w:tabs>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平均风速（m/s）</w:t>
                  </w:r>
                </w:p>
              </w:tc>
              <w:tc>
                <w:tcPr>
                  <w:tcW w:w="1666" w:type="pct"/>
                  <w:tcBorders>
                    <w:tl2br w:val="nil"/>
                    <w:tr2bl w:val="nil"/>
                  </w:tcBorders>
                  <w:vAlign w:val="center"/>
                </w:tcPr>
                <w:p w14:paraId="14148F93">
                  <w:pPr>
                    <w:pStyle w:val="49"/>
                    <w:tabs>
                      <w:tab w:val="left" w:pos="4665"/>
                      <w:tab w:val="left" w:pos="8970"/>
                    </w:tabs>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类别（Ⅱ类）</w:t>
                  </w:r>
                </w:p>
              </w:tc>
            </w:tr>
            <w:tr w14:paraId="75855DE5">
              <w:tblPrEx>
                <w:tblBorders>
                  <w:top w:val="double" w:color="auto" w:sz="4" w:space="0"/>
                  <w:left w:val="none" w:color="auto" w:sz="0" w:space="0"/>
                  <w:bottom w:val="double" w:color="auto" w:sz="4"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260" w:hRule="atLeast"/>
                <w:jc w:val="center"/>
              </w:trPr>
              <w:tc>
                <w:tcPr>
                  <w:tcW w:w="1666" w:type="pct"/>
                  <w:tcBorders>
                    <w:tl2br w:val="nil"/>
                    <w:tr2bl w:val="nil"/>
                  </w:tcBorders>
                  <w:vAlign w:val="center"/>
                </w:tcPr>
                <w:p w14:paraId="43F0E1F3">
                  <w:pPr>
                    <w:pStyle w:val="49"/>
                    <w:tabs>
                      <w:tab w:val="left" w:pos="4665"/>
                      <w:tab w:val="left" w:pos="8970"/>
                    </w:tabs>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A</w:t>
                  </w:r>
                </w:p>
              </w:tc>
              <w:tc>
                <w:tcPr>
                  <w:tcW w:w="1666" w:type="pct"/>
                  <w:tcBorders>
                    <w:tl2br w:val="nil"/>
                    <w:tr2bl w:val="nil"/>
                  </w:tcBorders>
                  <w:vAlign w:val="center"/>
                </w:tcPr>
                <w:p w14:paraId="0B19022B">
                  <w:pPr>
                    <w:pStyle w:val="49"/>
                    <w:tabs>
                      <w:tab w:val="left" w:pos="4665"/>
                      <w:tab w:val="left" w:pos="8970"/>
                    </w:tabs>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2-4</w:t>
                  </w:r>
                </w:p>
              </w:tc>
              <w:tc>
                <w:tcPr>
                  <w:tcW w:w="1666" w:type="pct"/>
                  <w:tcBorders>
                    <w:tl2br w:val="nil"/>
                    <w:tr2bl w:val="nil"/>
                  </w:tcBorders>
                  <w:vAlign w:val="center"/>
                </w:tcPr>
                <w:p w14:paraId="5974EBC2">
                  <w:pPr>
                    <w:pStyle w:val="49"/>
                    <w:tabs>
                      <w:tab w:val="left" w:pos="4665"/>
                      <w:tab w:val="left" w:pos="8970"/>
                    </w:tabs>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470</w:t>
                  </w:r>
                </w:p>
              </w:tc>
            </w:tr>
            <w:tr w14:paraId="2671DA1F">
              <w:tblPrEx>
                <w:tblBorders>
                  <w:top w:val="double" w:color="auto" w:sz="4" w:space="0"/>
                  <w:left w:val="none" w:color="auto" w:sz="0" w:space="0"/>
                  <w:bottom w:val="double" w:color="auto" w:sz="4"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260" w:hRule="atLeast"/>
                <w:jc w:val="center"/>
              </w:trPr>
              <w:tc>
                <w:tcPr>
                  <w:tcW w:w="1666" w:type="pct"/>
                  <w:tcBorders>
                    <w:tl2br w:val="nil"/>
                    <w:tr2bl w:val="nil"/>
                  </w:tcBorders>
                  <w:vAlign w:val="center"/>
                </w:tcPr>
                <w:p w14:paraId="18701407">
                  <w:pPr>
                    <w:pStyle w:val="49"/>
                    <w:tabs>
                      <w:tab w:val="left" w:pos="4665"/>
                      <w:tab w:val="left" w:pos="8970"/>
                    </w:tabs>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B</w:t>
                  </w:r>
                </w:p>
              </w:tc>
              <w:tc>
                <w:tcPr>
                  <w:tcW w:w="1666" w:type="pct"/>
                  <w:tcBorders>
                    <w:tl2br w:val="nil"/>
                    <w:tr2bl w:val="nil"/>
                  </w:tcBorders>
                  <w:vAlign w:val="center"/>
                </w:tcPr>
                <w:p w14:paraId="1EBD1182">
                  <w:pPr>
                    <w:pStyle w:val="49"/>
                    <w:tabs>
                      <w:tab w:val="left" w:pos="4665"/>
                      <w:tab w:val="left" w:pos="8970"/>
                    </w:tabs>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&gt;2</w:t>
                  </w:r>
                </w:p>
              </w:tc>
              <w:tc>
                <w:tcPr>
                  <w:tcW w:w="1666" w:type="pct"/>
                  <w:tcBorders>
                    <w:tl2br w:val="nil"/>
                    <w:tr2bl w:val="nil"/>
                  </w:tcBorders>
                  <w:vAlign w:val="center"/>
                </w:tcPr>
                <w:p w14:paraId="56556E35">
                  <w:pPr>
                    <w:pStyle w:val="49"/>
                    <w:tabs>
                      <w:tab w:val="left" w:pos="4665"/>
                      <w:tab w:val="left" w:pos="8970"/>
                    </w:tabs>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0.021</w:t>
                  </w:r>
                </w:p>
              </w:tc>
            </w:tr>
            <w:tr w14:paraId="5CBF7868">
              <w:tblPrEx>
                <w:tblBorders>
                  <w:top w:val="double" w:color="auto" w:sz="4" w:space="0"/>
                  <w:left w:val="none" w:color="auto" w:sz="0" w:space="0"/>
                  <w:bottom w:val="double" w:color="auto" w:sz="4"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260" w:hRule="atLeast"/>
                <w:jc w:val="center"/>
              </w:trPr>
              <w:tc>
                <w:tcPr>
                  <w:tcW w:w="1666" w:type="pct"/>
                  <w:tcBorders>
                    <w:tl2br w:val="nil"/>
                    <w:tr2bl w:val="nil"/>
                  </w:tcBorders>
                  <w:vAlign w:val="center"/>
                </w:tcPr>
                <w:p w14:paraId="78C99C31">
                  <w:pPr>
                    <w:pStyle w:val="49"/>
                    <w:tabs>
                      <w:tab w:val="left" w:pos="4665"/>
                      <w:tab w:val="left" w:pos="8970"/>
                    </w:tabs>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C</w:t>
                  </w:r>
                </w:p>
              </w:tc>
              <w:tc>
                <w:tcPr>
                  <w:tcW w:w="1666" w:type="pct"/>
                  <w:tcBorders>
                    <w:tl2br w:val="nil"/>
                    <w:tr2bl w:val="nil"/>
                  </w:tcBorders>
                  <w:vAlign w:val="center"/>
                </w:tcPr>
                <w:p w14:paraId="697A0832">
                  <w:pPr>
                    <w:jc w:val="center"/>
                    <w:rPr>
                      <w:rFonts w:hint="default" w:ascii="Times New Roman" w:hAnsi="Times New Roman" w:cs="Times New Roman"/>
                      <w:szCs w:val="21"/>
                    </w:rPr>
                  </w:pPr>
                  <w:r>
                    <w:rPr>
                      <w:rFonts w:hint="default" w:ascii="Times New Roman" w:hAnsi="Times New Roman" w:cs="Times New Roman"/>
                      <w:szCs w:val="21"/>
                    </w:rPr>
                    <w:t>&gt;2</w:t>
                  </w:r>
                </w:p>
              </w:tc>
              <w:tc>
                <w:tcPr>
                  <w:tcW w:w="1666" w:type="pct"/>
                  <w:tcBorders>
                    <w:tl2br w:val="nil"/>
                    <w:tr2bl w:val="nil"/>
                  </w:tcBorders>
                  <w:vAlign w:val="center"/>
                </w:tcPr>
                <w:p w14:paraId="099964DF">
                  <w:pPr>
                    <w:pStyle w:val="49"/>
                    <w:tabs>
                      <w:tab w:val="left" w:pos="4665"/>
                      <w:tab w:val="left" w:pos="8970"/>
                    </w:tabs>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1.85</w:t>
                  </w:r>
                </w:p>
              </w:tc>
            </w:tr>
            <w:tr w14:paraId="317387E7">
              <w:tblPrEx>
                <w:tblBorders>
                  <w:top w:val="double" w:color="auto" w:sz="4" w:space="0"/>
                  <w:left w:val="none" w:color="auto" w:sz="0" w:space="0"/>
                  <w:bottom w:val="double" w:color="auto" w:sz="4"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288" w:hRule="atLeast"/>
                <w:jc w:val="center"/>
              </w:trPr>
              <w:tc>
                <w:tcPr>
                  <w:tcW w:w="1666" w:type="pct"/>
                  <w:tcBorders>
                    <w:tl2br w:val="nil"/>
                    <w:tr2bl w:val="nil"/>
                  </w:tcBorders>
                  <w:vAlign w:val="center"/>
                </w:tcPr>
                <w:p w14:paraId="387B0CDE">
                  <w:pPr>
                    <w:pStyle w:val="49"/>
                    <w:tabs>
                      <w:tab w:val="left" w:pos="4665"/>
                      <w:tab w:val="left" w:pos="8970"/>
                    </w:tabs>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D</w:t>
                  </w:r>
                </w:p>
              </w:tc>
              <w:tc>
                <w:tcPr>
                  <w:tcW w:w="1666" w:type="pct"/>
                  <w:tcBorders>
                    <w:tl2br w:val="nil"/>
                    <w:tr2bl w:val="nil"/>
                  </w:tcBorders>
                  <w:vAlign w:val="center"/>
                </w:tcPr>
                <w:p w14:paraId="63A96761">
                  <w:pPr>
                    <w:jc w:val="center"/>
                    <w:rPr>
                      <w:rFonts w:hint="default" w:ascii="Times New Roman" w:hAnsi="Times New Roman" w:cs="Times New Roman"/>
                      <w:szCs w:val="21"/>
                    </w:rPr>
                  </w:pPr>
                  <w:r>
                    <w:rPr>
                      <w:rFonts w:hint="default" w:ascii="Times New Roman" w:hAnsi="Times New Roman" w:cs="Times New Roman"/>
                      <w:szCs w:val="21"/>
                    </w:rPr>
                    <w:t>&gt;2</w:t>
                  </w:r>
                </w:p>
              </w:tc>
              <w:tc>
                <w:tcPr>
                  <w:tcW w:w="1666" w:type="pct"/>
                  <w:tcBorders>
                    <w:tl2br w:val="nil"/>
                    <w:tr2bl w:val="nil"/>
                  </w:tcBorders>
                  <w:vAlign w:val="center"/>
                </w:tcPr>
                <w:p w14:paraId="74EFE00F">
                  <w:pPr>
                    <w:pStyle w:val="49"/>
                    <w:tabs>
                      <w:tab w:val="left" w:pos="4665"/>
                      <w:tab w:val="left" w:pos="8970"/>
                    </w:tabs>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0.84</w:t>
                  </w:r>
                </w:p>
              </w:tc>
            </w:tr>
          </w:tbl>
          <w:p w14:paraId="3831647D">
            <w:pPr>
              <w:adjustRightInd w:val="0"/>
              <w:spacing w:line="360" w:lineRule="auto"/>
              <w:ind w:firstLine="480" w:firstLineChars="200"/>
              <w:rPr>
                <w:rFonts w:hint="default" w:ascii="Times New Roman" w:hAnsi="Times New Roman" w:cs="Times New Roman"/>
                <w:sz w:val="24"/>
              </w:rPr>
            </w:pPr>
            <w:r>
              <w:rPr>
                <w:rFonts w:hint="default" w:ascii="Times New Roman" w:hAnsi="Times New Roman" w:cs="Times New Roman"/>
                <w:sz w:val="24"/>
              </w:rPr>
              <w:t>无组织面源排放参数及卫生防护距离计算结果见下表：</w:t>
            </w:r>
          </w:p>
          <w:p w14:paraId="59E8D265">
            <w:pPr>
              <w:adjustRightInd w:val="0"/>
              <w:jc w:val="center"/>
              <w:rPr>
                <w:rFonts w:hint="default" w:ascii="Times New Roman" w:hAnsi="Times New Roman" w:cs="Times New Roman"/>
                <w:b/>
                <w:bCs/>
                <w:szCs w:val="21"/>
              </w:rPr>
            </w:pPr>
            <w:r>
              <w:rPr>
                <w:rFonts w:hint="default" w:ascii="Times New Roman" w:hAnsi="Times New Roman" w:cs="Times New Roman"/>
                <w:b/>
                <w:bCs/>
                <w:szCs w:val="21"/>
              </w:rPr>
              <w:t>表4-1</w:t>
            </w:r>
            <w:r>
              <w:rPr>
                <w:rFonts w:hint="eastAsia" w:cs="Times New Roman"/>
                <w:b/>
                <w:bCs/>
                <w:szCs w:val="21"/>
                <w:lang w:val="en-US" w:eastAsia="zh-CN"/>
              </w:rPr>
              <w:t>8</w:t>
            </w:r>
            <w:r>
              <w:rPr>
                <w:rFonts w:hint="default" w:ascii="Times New Roman" w:hAnsi="Times New Roman" w:cs="Times New Roman"/>
                <w:b/>
                <w:bCs/>
                <w:szCs w:val="21"/>
              </w:rPr>
              <w:t xml:space="preserve">  面源排放源强统计</w:t>
            </w:r>
          </w:p>
          <w:tbl>
            <w:tblPr>
              <w:tblStyle w:val="34"/>
              <w:tblW w:w="4998" w:type="pct"/>
              <w:jc w:val="center"/>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952"/>
              <w:gridCol w:w="2851"/>
              <w:gridCol w:w="2668"/>
            </w:tblGrid>
            <w:tr w14:paraId="1FB2E468">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4" w:hRule="atLeast"/>
                <w:jc w:val="center"/>
              </w:trPr>
              <w:tc>
                <w:tcPr>
                  <w:tcW w:w="1742" w:type="pct"/>
                  <w:tcBorders>
                    <w:tl2br w:val="nil"/>
                    <w:tr2bl w:val="nil"/>
                  </w:tcBorders>
                  <w:vAlign w:val="center"/>
                </w:tcPr>
                <w:p w14:paraId="53DC555E">
                  <w:pPr>
                    <w:jc w:val="center"/>
                    <w:rPr>
                      <w:rFonts w:hint="default" w:ascii="Times New Roman" w:hAnsi="Times New Roman" w:cs="Times New Roman"/>
                      <w:b/>
                      <w:szCs w:val="21"/>
                    </w:rPr>
                  </w:pPr>
                  <w:r>
                    <w:rPr>
                      <w:rFonts w:hint="default" w:ascii="Times New Roman" w:hAnsi="Times New Roman" w:cs="Times New Roman"/>
                      <w:b/>
                      <w:szCs w:val="21"/>
                    </w:rPr>
                    <w:t>污染源</w:t>
                  </w:r>
                </w:p>
              </w:tc>
              <w:tc>
                <w:tcPr>
                  <w:tcW w:w="1682" w:type="pct"/>
                  <w:tcBorders>
                    <w:tl2br w:val="nil"/>
                    <w:tr2bl w:val="nil"/>
                  </w:tcBorders>
                  <w:vAlign w:val="center"/>
                </w:tcPr>
                <w:p w14:paraId="46C3C779">
                  <w:pPr>
                    <w:jc w:val="center"/>
                    <w:rPr>
                      <w:rFonts w:hint="default" w:ascii="Times New Roman" w:hAnsi="Times New Roman" w:cs="Times New Roman"/>
                      <w:b/>
                      <w:szCs w:val="21"/>
                    </w:rPr>
                  </w:pPr>
                  <w:r>
                    <w:rPr>
                      <w:rFonts w:hint="default" w:ascii="Times New Roman" w:hAnsi="Times New Roman" w:cs="Times New Roman"/>
                      <w:b/>
                      <w:szCs w:val="21"/>
                    </w:rPr>
                    <w:t>污染物</w:t>
                  </w:r>
                </w:p>
              </w:tc>
              <w:tc>
                <w:tcPr>
                  <w:tcW w:w="1574" w:type="pct"/>
                  <w:tcBorders>
                    <w:tl2br w:val="nil"/>
                    <w:tr2bl w:val="nil"/>
                  </w:tcBorders>
                  <w:vAlign w:val="center"/>
                </w:tcPr>
                <w:p w14:paraId="5FC83C01">
                  <w:pPr>
                    <w:jc w:val="center"/>
                    <w:rPr>
                      <w:rFonts w:hint="default" w:ascii="Times New Roman" w:hAnsi="Times New Roman" w:cs="Times New Roman"/>
                      <w:b/>
                      <w:szCs w:val="21"/>
                    </w:rPr>
                  </w:pPr>
                  <w:r>
                    <w:rPr>
                      <w:rFonts w:hint="default" w:ascii="Times New Roman" w:hAnsi="Times New Roman" w:cs="Times New Roman"/>
                      <w:b/>
                      <w:szCs w:val="21"/>
                    </w:rPr>
                    <w:t>排放速率(kg/h)</w:t>
                  </w:r>
                </w:p>
              </w:tc>
            </w:tr>
            <w:tr w14:paraId="4EE5AD56">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97" w:hRule="atLeast"/>
                <w:jc w:val="center"/>
              </w:trPr>
              <w:tc>
                <w:tcPr>
                  <w:tcW w:w="1742" w:type="pct"/>
                  <w:vMerge w:val="restart"/>
                  <w:tcBorders>
                    <w:tl2br w:val="nil"/>
                    <w:tr2bl w:val="nil"/>
                  </w:tcBorders>
                  <w:vAlign w:val="center"/>
                </w:tcPr>
                <w:p w14:paraId="2CF12ECB">
                  <w:pPr>
                    <w:jc w:val="center"/>
                    <w:rPr>
                      <w:rFonts w:hint="default" w:ascii="Times New Roman" w:hAnsi="Times New Roman" w:cs="Times New Roman"/>
                      <w:color w:val="FF0000"/>
                      <w:spacing w:val="-2"/>
                      <w:kern w:val="0"/>
                      <w:szCs w:val="21"/>
                    </w:rPr>
                  </w:pPr>
                  <w:r>
                    <w:rPr>
                      <w:rFonts w:hint="default" w:ascii="Times New Roman" w:hAnsi="Times New Roman" w:cs="Times New Roman"/>
                      <w:color w:val="FF0000"/>
                      <w:szCs w:val="21"/>
                    </w:rPr>
                    <w:t>拆解车间</w:t>
                  </w:r>
                </w:p>
              </w:tc>
              <w:tc>
                <w:tcPr>
                  <w:tcW w:w="1682" w:type="pct"/>
                  <w:tcBorders>
                    <w:tl2br w:val="nil"/>
                    <w:tr2bl w:val="nil"/>
                  </w:tcBorders>
                  <w:vAlign w:val="center"/>
                </w:tcPr>
                <w:p w14:paraId="3B9CE063">
                  <w:pPr>
                    <w:jc w:val="center"/>
                    <w:rPr>
                      <w:rFonts w:hint="default" w:ascii="Times New Roman" w:hAnsi="Times New Roman" w:cs="Times New Roman"/>
                      <w:color w:val="FF0000"/>
                      <w:szCs w:val="21"/>
                    </w:rPr>
                  </w:pPr>
                  <w:r>
                    <w:rPr>
                      <w:rFonts w:hint="default" w:ascii="Times New Roman" w:hAnsi="Times New Roman" w:cs="Times New Roman"/>
                      <w:color w:val="FF0000"/>
                      <w:szCs w:val="21"/>
                    </w:rPr>
                    <w:t>颗粒物</w:t>
                  </w:r>
                </w:p>
              </w:tc>
              <w:tc>
                <w:tcPr>
                  <w:tcW w:w="1574" w:type="pct"/>
                  <w:tcBorders>
                    <w:tl2br w:val="nil"/>
                    <w:tr2bl w:val="nil"/>
                  </w:tcBorders>
                  <w:vAlign w:val="center"/>
                </w:tcPr>
                <w:p w14:paraId="0C590A1D">
                  <w:pPr>
                    <w:jc w:val="center"/>
                    <w:rPr>
                      <w:rFonts w:hint="default" w:ascii="Times New Roman" w:hAnsi="Times New Roman" w:cs="Times New Roman"/>
                      <w:color w:val="FF0000"/>
                    </w:rPr>
                  </w:pPr>
                  <w:r>
                    <w:rPr>
                      <w:rFonts w:hint="default" w:ascii="Times New Roman" w:hAnsi="Times New Roman" w:cs="Times New Roman"/>
                      <w:color w:val="FF0000"/>
                      <w:kern w:val="0"/>
                      <w:szCs w:val="21"/>
                      <w:lang w:eastAsia="en-US" w:bidi="ar"/>
                    </w:rPr>
                    <w:t>0.0</w:t>
                  </w:r>
                  <w:r>
                    <w:rPr>
                      <w:rFonts w:hint="default" w:ascii="Times New Roman" w:hAnsi="Times New Roman" w:cs="Times New Roman"/>
                      <w:color w:val="FF0000"/>
                      <w:kern w:val="0"/>
                      <w:szCs w:val="21"/>
                      <w:lang w:val="en-US" w:eastAsia="zh-CN" w:bidi="ar"/>
                    </w:rPr>
                    <w:t>77</w:t>
                  </w:r>
                </w:p>
              </w:tc>
            </w:tr>
            <w:tr w14:paraId="411301D4">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97" w:hRule="atLeast"/>
                <w:jc w:val="center"/>
              </w:trPr>
              <w:tc>
                <w:tcPr>
                  <w:tcW w:w="1742" w:type="pct"/>
                  <w:vMerge w:val="continue"/>
                  <w:tcBorders>
                    <w:tl2br w:val="nil"/>
                    <w:tr2bl w:val="nil"/>
                  </w:tcBorders>
                  <w:vAlign w:val="center"/>
                </w:tcPr>
                <w:p w14:paraId="5C379BED">
                  <w:pPr>
                    <w:jc w:val="center"/>
                    <w:rPr>
                      <w:rFonts w:hint="default" w:ascii="Times New Roman" w:hAnsi="Times New Roman" w:cs="Times New Roman"/>
                      <w:color w:val="FF0000"/>
                      <w:spacing w:val="-2"/>
                      <w:kern w:val="0"/>
                      <w:szCs w:val="21"/>
                    </w:rPr>
                  </w:pPr>
                </w:p>
              </w:tc>
              <w:tc>
                <w:tcPr>
                  <w:tcW w:w="1682" w:type="pct"/>
                  <w:tcBorders>
                    <w:tl2br w:val="nil"/>
                    <w:tr2bl w:val="nil"/>
                  </w:tcBorders>
                  <w:vAlign w:val="center"/>
                </w:tcPr>
                <w:p w14:paraId="5C65AB36">
                  <w:pPr>
                    <w:jc w:val="center"/>
                    <w:rPr>
                      <w:rFonts w:hint="default" w:ascii="Times New Roman" w:hAnsi="Times New Roman" w:cs="Times New Roman"/>
                      <w:color w:val="FF0000"/>
                      <w:szCs w:val="21"/>
                    </w:rPr>
                  </w:pPr>
                  <w:r>
                    <w:rPr>
                      <w:rFonts w:hint="default" w:ascii="Times New Roman" w:hAnsi="Times New Roman" w:cs="Times New Roman"/>
                      <w:color w:val="FF0000"/>
                      <w:szCs w:val="21"/>
                    </w:rPr>
                    <w:t>非甲烷总烃</w:t>
                  </w:r>
                </w:p>
              </w:tc>
              <w:tc>
                <w:tcPr>
                  <w:tcW w:w="1574" w:type="pct"/>
                  <w:tcBorders>
                    <w:tl2br w:val="nil"/>
                    <w:tr2bl w:val="nil"/>
                  </w:tcBorders>
                  <w:vAlign w:val="center"/>
                </w:tcPr>
                <w:p w14:paraId="436627D5">
                  <w:pPr>
                    <w:jc w:val="center"/>
                    <w:rPr>
                      <w:rFonts w:hint="default" w:ascii="Times New Roman" w:hAnsi="Times New Roman" w:cs="Times New Roman"/>
                      <w:color w:val="FF0000"/>
                    </w:rPr>
                  </w:pPr>
                  <w:r>
                    <w:rPr>
                      <w:rFonts w:hint="default" w:ascii="Times New Roman" w:hAnsi="Times New Roman" w:cs="Times New Roman"/>
                      <w:color w:val="FF0000"/>
                    </w:rPr>
                    <w:t>0.0</w:t>
                  </w:r>
                  <w:r>
                    <w:rPr>
                      <w:rFonts w:hint="default" w:ascii="Times New Roman" w:hAnsi="Times New Roman" w:cs="Times New Roman"/>
                      <w:color w:val="FF0000"/>
                      <w:lang w:val="en-US" w:eastAsia="zh-CN"/>
                    </w:rPr>
                    <w:t>231</w:t>
                  </w:r>
                </w:p>
              </w:tc>
            </w:tr>
            <w:tr w14:paraId="5816A834">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48" w:hRule="atLeast"/>
                <w:jc w:val="center"/>
              </w:trPr>
              <w:tc>
                <w:tcPr>
                  <w:tcW w:w="1742" w:type="pct"/>
                  <w:vMerge w:val="restart"/>
                  <w:tcBorders>
                    <w:tl2br w:val="nil"/>
                    <w:tr2bl w:val="nil"/>
                  </w:tcBorders>
                  <w:vAlign w:val="center"/>
                </w:tcPr>
                <w:p w14:paraId="1139E7A1">
                  <w:pPr>
                    <w:jc w:val="center"/>
                    <w:rPr>
                      <w:rFonts w:hint="default" w:ascii="Times New Roman" w:hAnsi="Times New Roman" w:eastAsia="宋体" w:cs="Times New Roman"/>
                      <w:color w:val="FF0000"/>
                      <w:spacing w:val="-2"/>
                      <w:kern w:val="0"/>
                      <w:szCs w:val="21"/>
                      <w:lang w:val="en-US" w:eastAsia="zh-CN"/>
                    </w:rPr>
                  </w:pPr>
                  <w:r>
                    <w:rPr>
                      <w:rFonts w:hint="default" w:ascii="Times New Roman" w:hAnsi="Times New Roman" w:cs="Times New Roman"/>
                      <w:color w:val="FF0000"/>
                      <w:spacing w:val="-2"/>
                      <w:kern w:val="0"/>
                      <w:szCs w:val="21"/>
                      <w:lang w:val="en-US" w:eastAsia="zh-CN"/>
                    </w:rPr>
                    <w:t>污水处理站</w:t>
                  </w:r>
                </w:p>
              </w:tc>
              <w:tc>
                <w:tcPr>
                  <w:tcW w:w="1682" w:type="pct"/>
                  <w:tcBorders>
                    <w:tl2br w:val="nil"/>
                    <w:tr2bl w:val="nil"/>
                  </w:tcBorders>
                  <w:vAlign w:val="center"/>
                </w:tcPr>
                <w:p w14:paraId="7577B525">
                  <w:pPr>
                    <w:jc w:val="center"/>
                    <w:rPr>
                      <w:rFonts w:hint="default" w:ascii="Times New Roman" w:hAnsi="Times New Roman" w:cs="Times New Roman"/>
                      <w:color w:val="FF0000"/>
                      <w:szCs w:val="21"/>
                    </w:rPr>
                  </w:pPr>
                  <w:r>
                    <w:rPr>
                      <w:rFonts w:hint="default" w:ascii="Times New Roman" w:hAnsi="Times New Roman" w:eastAsia="宋体" w:cs="Times New Roman"/>
                      <w:b w:val="0"/>
                      <w:bCs w:val="0"/>
                      <w:color w:val="FF0000"/>
                      <w:kern w:val="0"/>
                      <w:szCs w:val="21"/>
                      <w:lang w:val="en-US" w:eastAsia="zh-CN" w:bidi="ar"/>
                    </w:rPr>
                    <w:t>NH</w:t>
                  </w:r>
                  <w:r>
                    <w:rPr>
                      <w:rFonts w:hint="default" w:ascii="Times New Roman" w:hAnsi="Times New Roman" w:eastAsia="宋体" w:cs="Times New Roman"/>
                      <w:b w:val="0"/>
                      <w:bCs w:val="0"/>
                      <w:color w:val="FF0000"/>
                      <w:kern w:val="0"/>
                      <w:szCs w:val="21"/>
                      <w:vertAlign w:val="subscript"/>
                      <w:lang w:val="en-US" w:eastAsia="zh-CN" w:bidi="ar"/>
                    </w:rPr>
                    <w:t>3</w:t>
                  </w:r>
                </w:p>
              </w:tc>
              <w:tc>
                <w:tcPr>
                  <w:tcW w:w="2668" w:type="dxa"/>
                  <w:tcBorders>
                    <w:tl2br w:val="nil"/>
                    <w:tr2bl w:val="nil"/>
                  </w:tcBorders>
                  <w:vAlign w:val="center"/>
                </w:tcPr>
                <w:p w14:paraId="0C6D4C59">
                  <w:pPr>
                    <w:jc w:val="center"/>
                    <w:rPr>
                      <w:rFonts w:hint="default" w:ascii="Times New Roman" w:hAnsi="Times New Roman" w:cs="Times New Roman"/>
                      <w:color w:val="FF0000"/>
                      <w:szCs w:val="21"/>
                    </w:rPr>
                  </w:pPr>
                  <w:r>
                    <w:rPr>
                      <w:rFonts w:hint="default" w:ascii="Times New Roman" w:hAnsi="Times New Roman" w:cs="Times New Roman"/>
                      <w:color w:val="FF0000"/>
                      <w:kern w:val="0"/>
                      <w:szCs w:val="21"/>
                      <w:lang w:val="en-US" w:eastAsia="zh-CN" w:bidi="ar"/>
                    </w:rPr>
                    <w:t>0.00114</w:t>
                  </w:r>
                </w:p>
              </w:tc>
            </w:tr>
            <w:tr w14:paraId="0EE57E02">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48" w:hRule="atLeast"/>
                <w:jc w:val="center"/>
              </w:trPr>
              <w:tc>
                <w:tcPr>
                  <w:tcW w:w="1742" w:type="pct"/>
                  <w:vMerge w:val="continue"/>
                  <w:tcBorders>
                    <w:tl2br w:val="nil"/>
                    <w:tr2bl w:val="nil"/>
                  </w:tcBorders>
                  <w:vAlign w:val="center"/>
                </w:tcPr>
                <w:p w14:paraId="2EE43CEA">
                  <w:pPr>
                    <w:widowControl/>
                    <w:jc w:val="center"/>
                    <w:rPr>
                      <w:rFonts w:hint="default" w:ascii="Times New Roman" w:hAnsi="Times New Roman" w:cs="Times New Roman"/>
                      <w:color w:val="FF0000"/>
                    </w:rPr>
                  </w:pPr>
                </w:p>
              </w:tc>
              <w:tc>
                <w:tcPr>
                  <w:tcW w:w="1682" w:type="pct"/>
                  <w:tcBorders>
                    <w:tl2br w:val="nil"/>
                    <w:tr2bl w:val="nil"/>
                  </w:tcBorders>
                  <w:vAlign w:val="center"/>
                </w:tcPr>
                <w:p w14:paraId="674BE6DF">
                  <w:pPr>
                    <w:widowControl/>
                    <w:jc w:val="center"/>
                    <w:rPr>
                      <w:rFonts w:hint="default" w:ascii="Times New Roman" w:hAnsi="Times New Roman" w:cs="Times New Roman"/>
                      <w:color w:val="FF0000"/>
                      <w:szCs w:val="21"/>
                    </w:rPr>
                  </w:pPr>
                  <w:r>
                    <w:rPr>
                      <w:rFonts w:hint="default" w:ascii="Times New Roman" w:hAnsi="Times New Roman" w:eastAsia="宋体" w:cs="Times New Roman"/>
                      <w:b w:val="0"/>
                      <w:bCs w:val="0"/>
                      <w:color w:val="FF0000"/>
                      <w:kern w:val="0"/>
                      <w:szCs w:val="21"/>
                      <w:lang w:val="en-US" w:eastAsia="zh-CN" w:bidi="ar"/>
                    </w:rPr>
                    <w:t>H</w:t>
                  </w:r>
                  <w:r>
                    <w:rPr>
                      <w:rFonts w:hint="default" w:ascii="Times New Roman" w:hAnsi="Times New Roman" w:eastAsia="宋体" w:cs="Times New Roman"/>
                      <w:b w:val="0"/>
                      <w:bCs w:val="0"/>
                      <w:color w:val="FF0000"/>
                      <w:kern w:val="0"/>
                      <w:szCs w:val="21"/>
                      <w:vertAlign w:val="subscript"/>
                      <w:lang w:val="en-US" w:eastAsia="zh-CN" w:bidi="ar"/>
                    </w:rPr>
                    <w:t>2</w:t>
                  </w:r>
                  <w:r>
                    <w:rPr>
                      <w:rFonts w:hint="default" w:ascii="Times New Roman" w:hAnsi="Times New Roman" w:eastAsia="宋体" w:cs="Times New Roman"/>
                      <w:b w:val="0"/>
                      <w:bCs w:val="0"/>
                      <w:color w:val="FF0000"/>
                      <w:kern w:val="0"/>
                      <w:szCs w:val="21"/>
                      <w:lang w:val="en-US" w:eastAsia="zh-CN" w:bidi="ar"/>
                    </w:rPr>
                    <w:t>S</w:t>
                  </w:r>
                </w:p>
              </w:tc>
              <w:tc>
                <w:tcPr>
                  <w:tcW w:w="2668" w:type="dxa"/>
                  <w:tcBorders>
                    <w:tl2br w:val="nil"/>
                    <w:tr2bl w:val="nil"/>
                  </w:tcBorders>
                  <w:vAlign w:val="center"/>
                </w:tcPr>
                <w:p w14:paraId="54755010">
                  <w:pPr>
                    <w:jc w:val="center"/>
                    <w:rPr>
                      <w:rFonts w:hint="default" w:ascii="Times New Roman" w:hAnsi="Times New Roman" w:cs="Times New Roman"/>
                      <w:color w:val="FF0000"/>
                      <w:szCs w:val="21"/>
                    </w:rPr>
                  </w:pPr>
                  <w:r>
                    <w:rPr>
                      <w:rFonts w:hint="default" w:ascii="Times New Roman" w:hAnsi="Times New Roman" w:cs="Times New Roman"/>
                      <w:color w:val="FF0000"/>
                      <w:lang w:val="en-US" w:eastAsia="zh-CN"/>
                    </w:rPr>
                    <w:t>0.00001</w:t>
                  </w:r>
                </w:p>
              </w:tc>
            </w:tr>
          </w:tbl>
          <w:p w14:paraId="783FC3BB">
            <w:pPr>
              <w:adjustRightInd w:val="0"/>
              <w:jc w:val="center"/>
              <w:rPr>
                <w:rFonts w:hint="default" w:ascii="Times New Roman" w:hAnsi="Times New Roman" w:cs="Times New Roman"/>
                <w:b/>
                <w:bCs/>
                <w:szCs w:val="21"/>
              </w:rPr>
            </w:pPr>
            <w:r>
              <w:rPr>
                <w:rFonts w:hint="default" w:ascii="Times New Roman" w:hAnsi="Times New Roman" w:cs="Times New Roman"/>
                <w:b/>
                <w:bCs/>
                <w:szCs w:val="21"/>
              </w:rPr>
              <w:t>表4-1</w:t>
            </w:r>
            <w:r>
              <w:rPr>
                <w:rFonts w:hint="eastAsia" w:cs="Times New Roman"/>
                <w:b/>
                <w:bCs/>
                <w:szCs w:val="21"/>
                <w:lang w:val="en-US" w:eastAsia="zh-CN"/>
              </w:rPr>
              <w:t>9</w:t>
            </w:r>
            <w:r>
              <w:rPr>
                <w:rFonts w:hint="default" w:ascii="Times New Roman" w:hAnsi="Times New Roman" w:cs="Times New Roman"/>
                <w:b/>
                <w:bCs/>
                <w:szCs w:val="21"/>
              </w:rPr>
              <w:t xml:space="preserve">   卫生防护距离计算结果</w:t>
            </w:r>
          </w:p>
          <w:tbl>
            <w:tblPr>
              <w:tblStyle w:val="34"/>
              <w:tblW w:w="4995" w:type="pct"/>
              <w:jc w:val="center"/>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086"/>
              <w:gridCol w:w="1488"/>
              <w:gridCol w:w="1369"/>
              <w:gridCol w:w="2265"/>
              <w:gridCol w:w="2258"/>
            </w:tblGrid>
            <w:tr w14:paraId="080D1D4C">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41" w:type="pct"/>
                  <w:tcBorders>
                    <w:tl2br w:val="nil"/>
                    <w:tr2bl w:val="nil"/>
                  </w:tcBorders>
                  <w:vAlign w:val="center"/>
                </w:tcPr>
                <w:p w14:paraId="4144CBE7">
                  <w:pPr>
                    <w:jc w:val="center"/>
                    <w:rPr>
                      <w:rFonts w:hint="default" w:ascii="Times New Roman" w:hAnsi="Times New Roman" w:cs="Times New Roman"/>
                      <w:b/>
                      <w:szCs w:val="21"/>
                    </w:rPr>
                  </w:pPr>
                  <w:r>
                    <w:rPr>
                      <w:rFonts w:hint="default" w:ascii="Times New Roman" w:hAnsi="Times New Roman" w:cs="Times New Roman"/>
                      <w:b/>
                      <w:szCs w:val="21"/>
                    </w:rPr>
                    <w:t>污染源</w:t>
                  </w:r>
                </w:p>
              </w:tc>
              <w:tc>
                <w:tcPr>
                  <w:tcW w:w="878" w:type="pct"/>
                  <w:tcBorders>
                    <w:tl2br w:val="nil"/>
                    <w:tr2bl w:val="nil"/>
                  </w:tcBorders>
                  <w:vAlign w:val="center"/>
                </w:tcPr>
                <w:p w14:paraId="074F3736">
                  <w:pPr>
                    <w:jc w:val="center"/>
                    <w:rPr>
                      <w:rFonts w:hint="default" w:ascii="Times New Roman" w:hAnsi="Times New Roman" w:cs="Times New Roman"/>
                      <w:b/>
                      <w:szCs w:val="21"/>
                    </w:rPr>
                  </w:pPr>
                  <w:r>
                    <w:rPr>
                      <w:rFonts w:hint="default" w:ascii="Times New Roman" w:hAnsi="Times New Roman" w:cs="Times New Roman"/>
                      <w:b/>
                      <w:szCs w:val="21"/>
                    </w:rPr>
                    <w:t>污染物</w:t>
                  </w:r>
                </w:p>
              </w:tc>
              <w:tc>
                <w:tcPr>
                  <w:tcW w:w="808" w:type="pct"/>
                  <w:tcBorders>
                    <w:tl2br w:val="nil"/>
                    <w:tr2bl w:val="nil"/>
                  </w:tcBorders>
                  <w:vAlign w:val="center"/>
                </w:tcPr>
                <w:p w14:paraId="0505C160">
                  <w:pPr>
                    <w:jc w:val="center"/>
                    <w:rPr>
                      <w:rFonts w:hint="default" w:ascii="Times New Roman" w:hAnsi="Times New Roman" w:cs="Times New Roman"/>
                      <w:b/>
                      <w:szCs w:val="21"/>
                    </w:rPr>
                  </w:pPr>
                  <w:r>
                    <w:rPr>
                      <w:rFonts w:hint="default" w:ascii="Times New Roman" w:hAnsi="Times New Roman" w:cs="Times New Roman"/>
                      <w:b/>
                      <w:szCs w:val="21"/>
                    </w:rPr>
                    <w:t>排放速率(kg/h)</w:t>
                  </w:r>
                </w:p>
              </w:tc>
              <w:tc>
                <w:tcPr>
                  <w:tcW w:w="1337" w:type="pct"/>
                  <w:tcBorders>
                    <w:tl2br w:val="nil"/>
                    <w:tr2bl w:val="nil"/>
                  </w:tcBorders>
                  <w:vAlign w:val="center"/>
                </w:tcPr>
                <w:p w14:paraId="48D8408A">
                  <w:pPr>
                    <w:jc w:val="center"/>
                    <w:rPr>
                      <w:rFonts w:hint="default" w:ascii="Times New Roman" w:hAnsi="Times New Roman" w:cs="Times New Roman"/>
                      <w:b/>
                      <w:szCs w:val="21"/>
                    </w:rPr>
                  </w:pPr>
                  <w:r>
                    <w:rPr>
                      <w:rFonts w:hint="default" w:ascii="Times New Roman" w:hAnsi="Times New Roman" w:cs="Times New Roman"/>
                      <w:b/>
                      <w:szCs w:val="21"/>
                    </w:rPr>
                    <w:t>卫生防护距离初值(m)</w:t>
                  </w:r>
                </w:p>
              </w:tc>
              <w:tc>
                <w:tcPr>
                  <w:tcW w:w="1333" w:type="pct"/>
                  <w:tcBorders>
                    <w:tl2br w:val="nil"/>
                    <w:tr2bl w:val="nil"/>
                  </w:tcBorders>
                  <w:vAlign w:val="center"/>
                </w:tcPr>
                <w:p w14:paraId="2B30BE9B">
                  <w:pPr>
                    <w:jc w:val="center"/>
                    <w:rPr>
                      <w:rFonts w:hint="default" w:ascii="Times New Roman" w:hAnsi="Times New Roman" w:cs="Times New Roman"/>
                      <w:b/>
                      <w:szCs w:val="21"/>
                    </w:rPr>
                  </w:pPr>
                  <w:r>
                    <w:rPr>
                      <w:rFonts w:hint="default" w:ascii="Times New Roman" w:hAnsi="Times New Roman" w:cs="Times New Roman"/>
                      <w:b/>
                      <w:szCs w:val="21"/>
                    </w:rPr>
                    <w:t>卫生防护距离终值(m)</w:t>
                  </w:r>
                </w:p>
              </w:tc>
            </w:tr>
            <w:tr w14:paraId="2CCB4CB9">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41" w:type="pct"/>
                  <w:vMerge w:val="restart"/>
                  <w:tcBorders>
                    <w:tl2br w:val="nil"/>
                    <w:tr2bl w:val="nil"/>
                  </w:tcBorders>
                  <w:shd w:val="clear" w:color="auto" w:fill="auto"/>
                  <w:vAlign w:val="center"/>
                </w:tcPr>
                <w:p w14:paraId="7A29B00B">
                  <w:pPr>
                    <w:jc w:val="center"/>
                    <w:rPr>
                      <w:rFonts w:hint="default" w:ascii="Times New Roman" w:hAnsi="Times New Roman" w:cs="Times New Roman"/>
                      <w:color w:val="FF0000"/>
                      <w:spacing w:val="-2"/>
                      <w:kern w:val="0"/>
                      <w:szCs w:val="21"/>
                    </w:rPr>
                  </w:pPr>
                  <w:r>
                    <w:rPr>
                      <w:rFonts w:hint="default" w:ascii="Times New Roman" w:hAnsi="Times New Roman" w:cs="Times New Roman"/>
                      <w:color w:val="FF0000"/>
                      <w:szCs w:val="21"/>
                    </w:rPr>
                    <w:t>拆解车间</w:t>
                  </w:r>
                </w:p>
              </w:tc>
              <w:tc>
                <w:tcPr>
                  <w:tcW w:w="878" w:type="pct"/>
                  <w:tcBorders>
                    <w:tl2br w:val="nil"/>
                    <w:tr2bl w:val="nil"/>
                  </w:tcBorders>
                  <w:shd w:val="clear" w:color="auto" w:fill="auto"/>
                  <w:vAlign w:val="center"/>
                </w:tcPr>
                <w:p w14:paraId="2C53821F">
                  <w:pPr>
                    <w:jc w:val="center"/>
                    <w:rPr>
                      <w:rFonts w:hint="default" w:ascii="Times New Roman" w:hAnsi="Times New Roman" w:cs="Times New Roman"/>
                      <w:color w:val="FF0000"/>
                      <w:szCs w:val="21"/>
                    </w:rPr>
                  </w:pPr>
                  <w:r>
                    <w:rPr>
                      <w:rFonts w:hint="default" w:ascii="Times New Roman" w:hAnsi="Times New Roman" w:cs="Times New Roman"/>
                      <w:color w:val="FF0000"/>
                      <w:szCs w:val="21"/>
                    </w:rPr>
                    <w:t>颗粒物</w:t>
                  </w:r>
                </w:p>
              </w:tc>
              <w:tc>
                <w:tcPr>
                  <w:tcW w:w="1369" w:type="dxa"/>
                  <w:tcBorders>
                    <w:tl2br w:val="nil"/>
                    <w:tr2bl w:val="nil"/>
                  </w:tcBorders>
                  <w:shd w:val="clear" w:color="auto" w:fill="auto"/>
                  <w:vAlign w:val="center"/>
                </w:tcPr>
                <w:p w14:paraId="1AB396F0">
                  <w:pPr>
                    <w:jc w:val="center"/>
                    <w:rPr>
                      <w:rFonts w:hint="default" w:ascii="Times New Roman" w:hAnsi="Times New Roman" w:cs="Times New Roman"/>
                    </w:rPr>
                  </w:pPr>
                  <w:r>
                    <w:rPr>
                      <w:rFonts w:hint="default" w:ascii="Times New Roman" w:hAnsi="Times New Roman" w:cs="Times New Roman"/>
                      <w:color w:val="FF0000"/>
                      <w:kern w:val="0"/>
                      <w:szCs w:val="21"/>
                      <w:lang w:eastAsia="en-US" w:bidi="ar"/>
                    </w:rPr>
                    <w:t>0.0</w:t>
                  </w:r>
                  <w:r>
                    <w:rPr>
                      <w:rFonts w:hint="default" w:ascii="Times New Roman" w:hAnsi="Times New Roman" w:cs="Times New Roman"/>
                      <w:color w:val="FF0000"/>
                      <w:kern w:val="0"/>
                      <w:szCs w:val="21"/>
                      <w:lang w:val="en-US" w:eastAsia="zh-CN" w:bidi="ar"/>
                    </w:rPr>
                    <w:t>77</w:t>
                  </w:r>
                </w:p>
              </w:tc>
              <w:tc>
                <w:tcPr>
                  <w:tcW w:w="1337" w:type="pct"/>
                  <w:tcBorders>
                    <w:tl2br w:val="nil"/>
                    <w:tr2bl w:val="nil"/>
                  </w:tcBorders>
                  <w:vAlign w:val="center"/>
                </w:tcPr>
                <w:p w14:paraId="76B22716">
                  <w:pPr>
                    <w:jc w:val="center"/>
                    <w:rPr>
                      <w:rFonts w:hint="default" w:ascii="Times New Roman" w:hAnsi="Times New Roman" w:eastAsia="宋体" w:cs="Times New Roman"/>
                      <w:color w:val="FF0000"/>
                      <w:szCs w:val="21"/>
                      <w:lang w:val="en-US" w:eastAsia="zh-CN"/>
                    </w:rPr>
                  </w:pPr>
                  <w:r>
                    <w:rPr>
                      <w:rFonts w:hint="default" w:ascii="Times New Roman" w:hAnsi="Times New Roman" w:cs="Times New Roman"/>
                      <w:color w:val="FF0000"/>
                      <w:szCs w:val="21"/>
                      <w:lang w:val="en-US" w:eastAsia="zh-CN"/>
                    </w:rPr>
                    <w:t>2.824</w:t>
                  </w:r>
                </w:p>
              </w:tc>
              <w:tc>
                <w:tcPr>
                  <w:tcW w:w="1333" w:type="pct"/>
                  <w:tcBorders>
                    <w:tl2br w:val="nil"/>
                    <w:tr2bl w:val="nil"/>
                  </w:tcBorders>
                  <w:vAlign w:val="center"/>
                </w:tcPr>
                <w:p w14:paraId="2B927626">
                  <w:pPr>
                    <w:jc w:val="center"/>
                    <w:rPr>
                      <w:rFonts w:hint="default" w:ascii="Times New Roman" w:hAnsi="Times New Roman" w:cs="Times New Roman"/>
                      <w:b/>
                      <w:bCs/>
                      <w:color w:val="FF0000"/>
                      <w:szCs w:val="21"/>
                    </w:rPr>
                  </w:pPr>
                  <w:r>
                    <w:rPr>
                      <w:rFonts w:hint="default" w:ascii="Times New Roman" w:hAnsi="Times New Roman" w:cs="Times New Roman"/>
                      <w:b/>
                      <w:bCs/>
                      <w:color w:val="FF0000"/>
                      <w:szCs w:val="21"/>
                    </w:rPr>
                    <w:t>50</w:t>
                  </w:r>
                </w:p>
              </w:tc>
            </w:tr>
            <w:tr w14:paraId="77856163">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41" w:type="pct"/>
                  <w:vMerge w:val="continue"/>
                  <w:tcBorders>
                    <w:tl2br w:val="nil"/>
                    <w:tr2bl w:val="nil"/>
                  </w:tcBorders>
                  <w:shd w:val="clear" w:color="auto" w:fill="auto"/>
                  <w:vAlign w:val="center"/>
                </w:tcPr>
                <w:p w14:paraId="0E4B2289">
                  <w:pPr>
                    <w:jc w:val="center"/>
                    <w:rPr>
                      <w:rFonts w:hint="default" w:ascii="Times New Roman" w:hAnsi="Times New Roman" w:cs="Times New Roman"/>
                      <w:color w:val="FF0000"/>
                      <w:spacing w:val="-2"/>
                      <w:kern w:val="0"/>
                      <w:szCs w:val="21"/>
                    </w:rPr>
                  </w:pPr>
                </w:p>
              </w:tc>
              <w:tc>
                <w:tcPr>
                  <w:tcW w:w="878" w:type="pct"/>
                  <w:tcBorders>
                    <w:tl2br w:val="nil"/>
                    <w:tr2bl w:val="nil"/>
                  </w:tcBorders>
                  <w:shd w:val="clear" w:color="auto" w:fill="auto"/>
                  <w:vAlign w:val="center"/>
                </w:tcPr>
                <w:p w14:paraId="7378A6A0">
                  <w:pPr>
                    <w:jc w:val="center"/>
                    <w:rPr>
                      <w:rFonts w:hint="default" w:ascii="Times New Roman" w:hAnsi="Times New Roman" w:cs="Times New Roman"/>
                      <w:color w:val="FF0000"/>
                      <w:szCs w:val="21"/>
                    </w:rPr>
                  </w:pPr>
                  <w:r>
                    <w:rPr>
                      <w:rFonts w:hint="default" w:ascii="Times New Roman" w:hAnsi="Times New Roman" w:cs="Times New Roman"/>
                      <w:color w:val="FF0000"/>
                      <w:szCs w:val="21"/>
                    </w:rPr>
                    <w:t>非甲烷总烃</w:t>
                  </w:r>
                </w:p>
              </w:tc>
              <w:tc>
                <w:tcPr>
                  <w:tcW w:w="1369" w:type="dxa"/>
                  <w:tcBorders>
                    <w:tl2br w:val="nil"/>
                    <w:tr2bl w:val="nil"/>
                  </w:tcBorders>
                  <w:shd w:val="clear" w:color="auto" w:fill="auto"/>
                  <w:vAlign w:val="center"/>
                </w:tcPr>
                <w:p w14:paraId="769D458D">
                  <w:pPr>
                    <w:jc w:val="center"/>
                    <w:rPr>
                      <w:rFonts w:hint="default" w:ascii="Times New Roman" w:hAnsi="Times New Roman" w:cs="Times New Roman"/>
                    </w:rPr>
                  </w:pPr>
                  <w:r>
                    <w:rPr>
                      <w:rFonts w:hint="default" w:ascii="Times New Roman" w:hAnsi="Times New Roman" w:cs="Times New Roman"/>
                      <w:color w:val="FF0000"/>
                    </w:rPr>
                    <w:t>0.0</w:t>
                  </w:r>
                  <w:r>
                    <w:rPr>
                      <w:rFonts w:hint="default" w:ascii="Times New Roman" w:hAnsi="Times New Roman" w:cs="Times New Roman"/>
                      <w:color w:val="FF0000"/>
                      <w:lang w:val="en-US" w:eastAsia="zh-CN"/>
                    </w:rPr>
                    <w:t>231</w:t>
                  </w:r>
                </w:p>
              </w:tc>
              <w:tc>
                <w:tcPr>
                  <w:tcW w:w="1337" w:type="pct"/>
                  <w:tcBorders>
                    <w:tl2br w:val="nil"/>
                    <w:tr2bl w:val="nil"/>
                  </w:tcBorders>
                  <w:vAlign w:val="center"/>
                </w:tcPr>
                <w:p w14:paraId="0A823520">
                  <w:pPr>
                    <w:jc w:val="center"/>
                    <w:rPr>
                      <w:rFonts w:hint="default" w:ascii="Times New Roman" w:hAnsi="Times New Roman" w:eastAsia="宋体" w:cs="Times New Roman"/>
                      <w:color w:val="FF0000"/>
                      <w:szCs w:val="21"/>
                      <w:lang w:val="en-US" w:eastAsia="zh-CN"/>
                    </w:rPr>
                  </w:pPr>
                  <w:r>
                    <w:rPr>
                      <w:rFonts w:hint="default" w:ascii="Times New Roman" w:hAnsi="Times New Roman" w:cs="Times New Roman"/>
                      <w:color w:val="FF0000"/>
                      <w:szCs w:val="21"/>
                      <w:lang w:val="en-US" w:eastAsia="zh-CN"/>
                    </w:rPr>
                    <w:t>0.26</w:t>
                  </w:r>
                </w:p>
              </w:tc>
              <w:tc>
                <w:tcPr>
                  <w:tcW w:w="1333" w:type="pct"/>
                  <w:tcBorders>
                    <w:tl2br w:val="nil"/>
                    <w:tr2bl w:val="nil"/>
                  </w:tcBorders>
                  <w:vAlign w:val="center"/>
                </w:tcPr>
                <w:p w14:paraId="403CCCB0">
                  <w:pPr>
                    <w:jc w:val="center"/>
                    <w:rPr>
                      <w:rFonts w:hint="default" w:ascii="Times New Roman" w:hAnsi="Times New Roman" w:cs="Times New Roman"/>
                      <w:b/>
                      <w:bCs/>
                      <w:color w:val="FF0000"/>
                      <w:szCs w:val="21"/>
                    </w:rPr>
                  </w:pPr>
                  <w:r>
                    <w:rPr>
                      <w:rFonts w:hint="default" w:ascii="Times New Roman" w:hAnsi="Times New Roman" w:cs="Times New Roman"/>
                      <w:b/>
                      <w:bCs/>
                      <w:color w:val="FF0000"/>
                      <w:szCs w:val="21"/>
                    </w:rPr>
                    <w:t>50</w:t>
                  </w:r>
                </w:p>
              </w:tc>
            </w:tr>
            <w:tr w14:paraId="5E1E47FD">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2" w:hRule="atLeast"/>
                <w:jc w:val="center"/>
              </w:trPr>
              <w:tc>
                <w:tcPr>
                  <w:tcW w:w="641" w:type="pct"/>
                  <w:vMerge w:val="restart"/>
                  <w:tcBorders>
                    <w:tl2br w:val="nil"/>
                    <w:tr2bl w:val="nil"/>
                  </w:tcBorders>
                  <w:vAlign w:val="center"/>
                </w:tcPr>
                <w:p w14:paraId="52F610EB">
                  <w:pPr>
                    <w:jc w:val="center"/>
                    <w:rPr>
                      <w:rFonts w:hint="default" w:ascii="Times New Roman" w:hAnsi="Times New Roman" w:eastAsia="宋体" w:cs="Times New Roman"/>
                      <w:color w:val="FF0000"/>
                      <w:spacing w:val="-2"/>
                      <w:kern w:val="0"/>
                      <w:szCs w:val="21"/>
                      <w:lang w:eastAsia="zh-CN"/>
                    </w:rPr>
                  </w:pPr>
                  <w:r>
                    <w:rPr>
                      <w:rFonts w:hint="default" w:ascii="Times New Roman" w:hAnsi="Times New Roman" w:cs="Times New Roman"/>
                      <w:color w:val="FF0000"/>
                      <w:spacing w:val="-2"/>
                      <w:kern w:val="0"/>
                      <w:szCs w:val="21"/>
                      <w:lang w:val="en-US" w:eastAsia="zh-CN"/>
                    </w:rPr>
                    <w:t>污水处理站</w:t>
                  </w:r>
                </w:p>
              </w:tc>
              <w:tc>
                <w:tcPr>
                  <w:tcW w:w="1487" w:type="dxa"/>
                  <w:tcBorders>
                    <w:tl2br w:val="nil"/>
                    <w:tr2bl w:val="nil"/>
                  </w:tcBorders>
                  <w:vAlign w:val="center"/>
                </w:tcPr>
                <w:p w14:paraId="44F3EE3F">
                  <w:pPr>
                    <w:jc w:val="center"/>
                    <w:rPr>
                      <w:rFonts w:hint="default" w:ascii="Times New Roman" w:hAnsi="Times New Roman" w:cs="Times New Roman"/>
                      <w:szCs w:val="21"/>
                    </w:rPr>
                  </w:pPr>
                  <w:r>
                    <w:rPr>
                      <w:rFonts w:hint="default" w:ascii="Times New Roman" w:hAnsi="Times New Roman" w:eastAsia="宋体" w:cs="Times New Roman"/>
                      <w:b w:val="0"/>
                      <w:bCs w:val="0"/>
                      <w:color w:val="FF0000"/>
                      <w:kern w:val="0"/>
                      <w:szCs w:val="21"/>
                      <w:lang w:val="en-US" w:eastAsia="zh-CN" w:bidi="ar"/>
                    </w:rPr>
                    <w:t>NH</w:t>
                  </w:r>
                  <w:r>
                    <w:rPr>
                      <w:rFonts w:hint="default" w:ascii="Times New Roman" w:hAnsi="Times New Roman" w:eastAsia="宋体" w:cs="Times New Roman"/>
                      <w:b w:val="0"/>
                      <w:bCs w:val="0"/>
                      <w:color w:val="FF0000"/>
                      <w:kern w:val="0"/>
                      <w:szCs w:val="21"/>
                      <w:vertAlign w:val="subscript"/>
                      <w:lang w:val="en-US" w:eastAsia="zh-CN" w:bidi="ar"/>
                    </w:rPr>
                    <w:t>3</w:t>
                  </w:r>
                </w:p>
              </w:tc>
              <w:tc>
                <w:tcPr>
                  <w:tcW w:w="1369" w:type="dxa"/>
                  <w:tcBorders>
                    <w:tl2br w:val="nil"/>
                    <w:tr2bl w:val="nil"/>
                  </w:tcBorders>
                  <w:vAlign w:val="center"/>
                </w:tcPr>
                <w:p w14:paraId="5D07CFC9">
                  <w:pPr>
                    <w:jc w:val="center"/>
                    <w:rPr>
                      <w:rFonts w:hint="default" w:ascii="Times New Roman" w:hAnsi="Times New Roman" w:cs="Times New Roman"/>
                      <w:color w:val="FF0000"/>
                      <w:kern w:val="0"/>
                      <w:szCs w:val="21"/>
                      <w:lang w:bidi="ar"/>
                    </w:rPr>
                  </w:pPr>
                  <w:r>
                    <w:rPr>
                      <w:rFonts w:hint="default" w:ascii="Times New Roman" w:hAnsi="Times New Roman" w:cs="Times New Roman"/>
                      <w:color w:val="FF0000"/>
                      <w:kern w:val="0"/>
                      <w:szCs w:val="21"/>
                      <w:lang w:val="en-US" w:eastAsia="zh-CN" w:bidi="ar"/>
                    </w:rPr>
                    <w:t>0.00114</w:t>
                  </w:r>
                </w:p>
              </w:tc>
              <w:tc>
                <w:tcPr>
                  <w:tcW w:w="1337" w:type="pct"/>
                  <w:tcBorders>
                    <w:tl2br w:val="nil"/>
                    <w:tr2bl w:val="nil"/>
                  </w:tcBorders>
                  <w:vAlign w:val="center"/>
                </w:tcPr>
                <w:p w14:paraId="0FBB3740">
                  <w:pPr>
                    <w:jc w:val="center"/>
                    <w:rPr>
                      <w:rFonts w:hint="default" w:ascii="Times New Roman" w:hAnsi="Times New Roman" w:eastAsia="宋体" w:cs="Times New Roman"/>
                      <w:color w:val="FF0000"/>
                      <w:szCs w:val="21"/>
                      <w:lang w:val="en-US" w:eastAsia="zh-CN"/>
                    </w:rPr>
                  </w:pPr>
                  <w:r>
                    <w:rPr>
                      <w:rFonts w:hint="default" w:ascii="Times New Roman" w:hAnsi="Times New Roman" w:cs="Times New Roman"/>
                      <w:color w:val="FF0000"/>
                      <w:szCs w:val="21"/>
                      <w:lang w:val="en-US" w:eastAsia="zh-CN"/>
                    </w:rPr>
                    <w:t>0.939</w:t>
                  </w:r>
                </w:p>
              </w:tc>
              <w:tc>
                <w:tcPr>
                  <w:tcW w:w="1333" w:type="pct"/>
                  <w:tcBorders>
                    <w:tl2br w:val="nil"/>
                    <w:tr2bl w:val="nil"/>
                  </w:tcBorders>
                  <w:vAlign w:val="center"/>
                </w:tcPr>
                <w:p w14:paraId="1C4354F0">
                  <w:pPr>
                    <w:jc w:val="center"/>
                    <w:rPr>
                      <w:rFonts w:hint="default" w:ascii="Times New Roman" w:hAnsi="Times New Roman" w:cs="Times New Roman"/>
                      <w:b/>
                      <w:bCs/>
                      <w:color w:val="FF0000"/>
                      <w:szCs w:val="21"/>
                    </w:rPr>
                  </w:pPr>
                  <w:r>
                    <w:rPr>
                      <w:rFonts w:hint="default" w:ascii="Times New Roman" w:hAnsi="Times New Roman" w:cs="Times New Roman"/>
                      <w:b/>
                      <w:bCs/>
                      <w:color w:val="FF0000"/>
                      <w:szCs w:val="21"/>
                    </w:rPr>
                    <w:t>50</w:t>
                  </w:r>
                </w:p>
              </w:tc>
            </w:tr>
            <w:tr w14:paraId="64DCB656">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2" w:hRule="atLeast"/>
                <w:jc w:val="center"/>
              </w:trPr>
              <w:tc>
                <w:tcPr>
                  <w:tcW w:w="641" w:type="pct"/>
                  <w:vMerge w:val="continue"/>
                  <w:tcBorders>
                    <w:tl2br w:val="nil"/>
                    <w:tr2bl w:val="nil"/>
                  </w:tcBorders>
                  <w:vAlign w:val="center"/>
                </w:tcPr>
                <w:p w14:paraId="5B327A9A">
                  <w:pPr>
                    <w:jc w:val="center"/>
                    <w:rPr>
                      <w:rFonts w:hint="default" w:ascii="Times New Roman" w:hAnsi="Times New Roman" w:cs="Times New Roman"/>
                    </w:rPr>
                  </w:pPr>
                </w:p>
              </w:tc>
              <w:tc>
                <w:tcPr>
                  <w:tcW w:w="1487" w:type="dxa"/>
                  <w:tcBorders>
                    <w:tl2br w:val="nil"/>
                    <w:tr2bl w:val="nil"/>
                  </w:tcBorders>
                  <w:vAlign w:val="center"/>
                </w:tcPr>
                <w:p w14:paraId="40D230DC">
                  <w:pPr>
                    <w:widowControl/>
                    <w:jc w:val="center"/>
                    <w:rPr>
                      <w:rFonts w:hint="default" w:ascii="Times New Roman" w:hAnsi="Times New Roman" w:cs="Times New Roman"/>
                      <w:szCs w:val="21"/>
                    </w:rPr>
                  </w:pPr>
                  <w:r>
                    <w:rPr>
                      <w:rFonts w:hint="default" w:ascii="Times New Roman" w:hAnsi="Times New Roman" w:eastAsia="宋体" w:cs="Times New Roman"/>
                      <w:b w:val="0"/>
                      <w:bCs w:val="0"/>
                      <w:color w:val="FF0000"/>
                      <w:kern w:val="0"/>
                      <w:szCs w:val="21"/>
                      <w:lang w:val="en-US" w:eastAsia="zh-CN" w:bidi="ar"/>
                    </w:rPr>
                    <w:t>H</w:t>
                  </w:r>
                  <w:r>
                    <w:rPr>
                      <w:rFonts w:hint="default" w:ascii="Times New Roman" w:hAnsi="Times New Roman" w:eastAsia="宋体" w:cs="Times New Roman"/>
                      <w:b w:val="0"/>
                      <w:bCs w:val="0"/>
                      <w:color w:val="FF0000"/>
                      <w:kern w:val="0"/>
                      <w:szCs w:val="21"/>
                      <w:vertAlign w:val="subscript"/>
                      <w:lang w:val="en-US" w:eastAsia="zh-CN" w:bidi="ar"/>
                    </w:rPr>
                    <w:t>2</w:t>
                  </w:r>
                  <w:r>
                    <w:rPr>
                      <w:rFonts w:hint="default" w:ascii="Times New Roman" w:hAnsi="Times New Roman" w:eastAsia="宋体" w:cs="Times New Roman"/>
                      <w:b w:val="0"/>
                      <w:bCs w:val="0"/>
                      <w:color w:val="FF0000"/>
                      <w:kern w:val="0"/>
                      <w:szCs w:val="21"/>
                      <w:lang w:val="en-US" w:eastAsia="zh-CN" w:bidi="ar"/>
                    </w:rPr>
                    <w:t>S</w:t>
                  </w:r>
                </w:p>
              </w:tc>
              <w:tc>
                <w:tcPr>
                  <w:tcW w:w="1369" w:type="dxa"/>
                  <w:tcBorders>
                    <w:tl2br w:val="nil"/>
                    <w:tr2bl w:val="nil"/>
                  </w:tcBorders>
                  <w:vAlign w:val="center"/>
                </w:tcPr>
                <w:p w14:paraId="7D9AD18D">
                  <w:pPr>
                    <w:jc w:val="center"/>
                    <w:rPr>
                      <w:rFonts w:hint="default" w:ascii="Times New Roman" w:hAnsi="Times New Roman" w:cs="Times New Roman"/>
                      <w:color w:val="FF0000"/>
                      <w:szCs w:val="21"/>
                    </w:rPr>
                  </w:pPr>
                  <w:r>
                    <w:rPr>
                      <w:rFonts w:hint="default" w:ascii="Times New Roman" w:hAnsi="Times New Roman" w:cs="Times New Roman"/>
                      <w:color w:val="FF0000"/>
                      <w:lang w:val="en-US" w:eastAsia="zh-CN"/>
                    </w:rPr>
                    <w:t>0.00001</w:t>
                  </w:r>
                </w:p>
              </w:tc>
              <w:tc>
                <w:tcPr>
                  <w:tcW w:w="1337" w:type="pct"/>
                  <w:tcBorders>
                    <w:tl2br w:val="nil"/>
                    <w:tr2bl w:val="nil"/>
                  </w:tcBorders>
                  <w:vAlign w:val="center"/>
                </w:tcPr>
                <w:p w14:paraId="68B44D22">
                  <w:pPr>
                    <w:jc w:val="center"/>
                    <w:rPr>
                      <w:rFonts w:hint="default" w:ascii="Times New Roman" w:hAnsi="Times New Roman" w:eastAsia="宋体" w:cs="Times New Roman"/>
                      <w:color w:val="FF0000"/>
                      <w:szCs w:val="21"/>
                      <w:lang w:val="en-US" w:eastAsia="zh-CN"/>
                    </w:rPr>
                  </w:pPr>
                  <w:r>
                    <w:rPr>
                      <w:rFonts w:hint="default" w:ascii="Times New Roman" w:hAnsi="Times New Roman" w:cs="Times New Roman"/>
                      <w:color w:val="FF0000"/>
                      <w:szCs w:val="21"/>
                      <w:lang w:val="en-US" w:eastAsia="zh-CN"/>
                    </w:rPr>
                    <w:t>0.118</w:t>
                  </w:r>
                </w:p>
              </w:tc>
              <w:tc>
                <w:tcPr>
                  <w:tcW w:w="1333" w:type="pct"/>
                  <w:tcBorders>
                    <w:tl2br w:val="nil"/>
                    <w:tr2bl w:val="nil"/>
                  </w:tcBorders>
                  <w:vAlign w:val="center"/>
                </w:tcPr>
                <w:p w14:paraId="5AF3CD8B">
                  <w:pPr>
                    <w:jc w:val="center"/>
                    <w:rPr>
                      <w:rFonts w:hint="default" w:ascii="Times New Roman" w:hAnsi="Times New Roman" w:cs="Times New Roman"/>
                      <w:color w:val="FF0000"/>
                      <w:szCs w:val="21"/>
                    </w:rPr>
                  </w:pPr>
                  <w:r>
                    <w:rPr>
                      <w:rFonts w:hint="default" w:ascii="Times New Roman" w:hAnsi="Times New Roman" w:cs="Times New Roman"/>
                      <w:b/>
                      <w:bCs/>
                      <w:color w:val="FF0000"/>
                      <w:szCs w:val="21"/>
                    </w:rPr>
                    <w:t>50</w:t>
                  </w:r>
                </w:p>
              </w:tc>
            </w:tr>
          </w:tbl>
          <w:p w14:paraId="4ABC95B8">
            <w:pPr>
              <w:spacing w:line="360" w:lineRule="auto"/>
              <w:ind w:firstLine="480" w:firstLineChars="200"/>
              <w:rPr>
                <w:rFonts w:hint="default" w:ascii="Times New Roman" w:hAnsi="Times New Roman" w:cs="Times New Roman"/>
                <w:sz w:val="24"/>
              </w:rPr>
            </w:pPr>
            <w:r>
              <w:rPr>
                <w:rFonts w:hint="default" w:ascii="Times New Roman" w:hAnsi="Times New Roman" w:cs="Times New Roman"/>
                <w:sz w:val="24"/>
              </w:rPr>
              <w:t>定级规则：根据《</w:t>
            </w:r>
            <w:r>
              <w:rPr>
                <w:rFonts w:hint="default" w:ascii="Times New Roman" w:hAnsi="Times New Roman" w:cs="Times New Roman"/>
                <w:kern w:val="0"/>
                <w:sz w:val="24"/>
                <w:lang w:bidi="ar"/>
              </w:rPr>
              <w:t>大气有害物质无组织排放卫生防护距离推导技术导则</w:t>
            </w:r>
            <w:r>
              <w:rPr>
                <w:rFonts w:hint="default" w:ascii="Times New Roman" w:hAnsi="Times New Roman" w:cs="Times New Roman"/>
                <w:sz w:val="24"/>
              </w:rPr>
              <w:t>》(GB/T39499-2020)的规定：</w:t>
            </w:r>
          </w:p>
          <w:p w14:paraId="3FC88165">
            <w:pPr>
              <w:spacing w:line="360" w:lineRule="auto"/>
              <w:ind w:firstLine="480" w:firstLineChars="200"/>
              <w:rPr>
                <w:rFonts w:hint="default" w:ascii="Times New Roman" w:hAnsi="Times New Roman" w:cs="Times New Roman"/>
                <w:sz w:val="24"/>
              </w:rPr>
            </w:pPr>
            <w:r>
              <w:rPr>
                <w:rFonts w:hint="default" w:ascii="Times New Roman" w:hAnsi="Times New Roman" w:cs="Times New Roman"/>
                <w:sz w:val="24"/>
              </w:rPr>
              <w:t>单一特征大气有害物质时，卫生防护距离小于50m时，级差为50m，如计算初值小于50m，卫生防护距离终值取50m。卫生防护距离初值大于或等于50m，但小于100m时，级差为50m。如计算初值大于或等于50m并小于100m时，卫生防护距离终值取100m。</w:t>
            </w:r>
          </w:p>
          <w:p w14:paraId="0A18D976">
            <w:pPr>
              <w:spacing w:line="360" w:lineRule="auto"/>
              <w:ind w:firstLine="480" w:firstLineChars="200"/>
              <w:rPr>
                <w:rFonts w:hint="default" w:ascii="Times New Roman" w:hAnsi="Times New Roman" w:cs="Times New Roman"/>
                <w:sz w:val="24"/>
              </w:rPr>
            </w:pPr>
            <w:r>
              <w:rPr>
                <w:rFonts w:hint="default" w:ascii="Times New Roman" w:hAnsi="Times New Roman" w:cs="Times New Roman"/>
                <w:sz w:val="24"/>
              </w:rPr>
              <w:t>当企业某生产单元的无组织排放存在多种特征大气污染物质时，如果分别推导的卫生防护距离初值在同一级别时，则该企业的卫生防护距离终值应提高一级。卫生防护距离不在同一级别的，以卫生防护距离终值较大者为准。</w:t>
            </w:r>
          </w:p>
          <w:p w14:paraId="765B2834">
            <w:pPr>
              <w:tabs>
                <w:tab w:val="left" w:pos="1860"/>
              </w:tabs>
              <w:spacing w:line="360" w:lineRule="auto"/>
              <w:ind w:left="13" w:firstLine="559" w:firstLineChars="233"/>
              <w:rPr>
                <w:rFonts w:hint="default" w:ascii="Times New Roman" w:hAnsi="Times New Roman" w:cs="Times New Roman"/>
                <w:sz w:val="24"/>
              </w:rPr>
            </w:pPr>
            <w:r>
              <w:rPr>
                <w:rFonts w:hint="default" w:ascii="Times New Roman" w:hAnsi="Times New Roman" w:cs="Times New Roman"/>
                <w:sz w:val="24"/>
              </w:rPr>
              <w:t>根据上述计算结果及定级规则可知，本项目卫生防护距离为100m，根据现场踏勘，本项目距离污染源100m范围内无</w:t>
            </w:r>
            <w:r>
              <w:rPr>
                <w:rFonts w:hint="default" w:ascii="Times New Roman" w:hAnsi="Times New Roman" w:cs="Times New Roman"/>
                <w:sz w:val="24"/>
                <w:lang w:val="en-US" w:eastAsia="zh-CN"/>
              </w:rPr>
              <w:t>居住区</w:t>
            </w:r>
            <w:r>
              <w:rPr>
                <w:rFonts w:hint="default" w:ascii="Times New Roman" w:hAnsi="Times New Roman" w:cs="Times New Roman"/>
                <w:sz w:val="24"/>
              </w:rPr>
              <w:t>、学校、医院等敏感点。</w:t>
            </w:r>
          </w:p>
          <w:p w14:paraId="222256C4">
            <w:pPr>
              <w:pStyle w:val="84"/>
              <w:spacing w:line="360" w:lineRule="auto"/>
              <w:ind w:firstLine="0" w:firstLineChars="0"/>
              <w:rPr>
                <w:rFonts w:hint="default" w:ascii="Times New Roman" w:hAnsi="Times New Roman" w:cs="Times New Roman"/>
                <w:b/>
              </w:rPr>
            </w:pPr>
            <w:r>
              <w:rPr>
                <w:rFonts w:hint="default" w:ascii="Times New Roman" w:hAnsi="Times New Roman" w:cs="Times New Roman"/>
                <w:b/>
              </w:rPr>
              <w:t>7、非正常工况</w:t>
            </w:r>
          </w:p>
          <w:p w14:paraId="1A676B0E">
            <w:pPr>
              <w:pStyle w:val="84"/>
              <w:spacing w:line="360" w:lineRule="auto"/>
              <w:ind w:firstLine="480"/>
              <w:rPr>
                <w:rFonts w:hint="default" w:ascii="Times New Roman" w:hAnsi="Times New Roman" w:cs="Times New Roman"/>
                <w:kern w:val="0"/>
                <w:lang w:bidi="ar"/>
              </w:rPr>
            </w:pPr>
            <w:r>
              <w:rPr>
                <w:rFonts w:hint="default" w:ascii="Times New Roman" w:hAnsi="Times New Roman" w:cs="Times New Roman"/>
              </w:rPr>
              <w:t>工艺废气处理系统出现故障或失效时，废气未经过净化处理直接排入大气，将造成周围大气环境污染。出现故障或失效时，建设单位应停止生产，及时进行维修</w:t>
            </w:r>
            <w:r>
              <w:rPr>
                <w:rFonts w:hint="default" w:ascii="Times New Roman" w:hAnsi="Times New Roman" w:cs="Times New Roman"/>
                <w:kern w:val="0"/>
                <w:lang w:bidi="ar"/>
              </w:rPr>
              <w:t>。</w:t>
            </w:r>
          </w:p>
          <w:p w14:paraId="0C82C75D">
            <w:pPr>
              <w:pStyle w:val="84"/>
              <w:ind w:firstLine="480"/>
              <w:rPr>
                <w:rFonts w:hint="default" w:ascii="Times New Roman" w:hAnsi="Times New Roman" w:cs="Times New Roman"/>
              </w:rPr>
            </w:pPr>
            <w:r>
              <w:rPr>
                <w:rFonts w:hint="default" w:ascii="Times New Roman" w:hAnsi="Times New Roman" w:cs="Times New Roman"/>
              </w:rPr>
              <w:t>废气治理设施发生故障</w:t>
            </w:r>
          </w:p>
          <w:p w14:paraId="1026F502">
            <w:pPr>
              <w:pStyle w:val="84"/>
              <w:ind w:firstLine="480"/>
              <w:rPr>
                <w:rFonts w:hint="default" w:ascii="Times New Roman" w:hAnsi="Times New Roman" w:cs="Times New Roman"/>
                <w:lang w:val="en-GB"/>
              </w:rPr>
            </w:pPr>
            <w:r>
              <w:rPr>
                <w:rFonts w:hint="default" w:ascii="Times New Roman" w:hAnsi="Times New Roman" w:cs="Times New Roman"/>
                <w:lang w:val="en-GB"/>
              </w:rPr>
              <w:t>本项目工艺废气治理设施发生故障，导致去除效率为0，废气直接排入大气环境。</w:t>
            </w:r>
          </w:p>
          <w:p w14:paraId="4192065F">
            <w:pPr>
              <w:pStyle w:val="84"/>
              <w:ind w:firstLine="480"/>
              <w:rPr>
                <w:rFonts w:hint="default" w:ascii="Times New Roman" w:hAnsi="Times New Roman" w:cs="Times New Roman"/>
                <w:lang w:val="en-GB"/>
              </w:rPr>
            </w:pPr>
            <w:r>
              <w:rPr>
                <w:rFonts w:hint="default" w:ascii="Times New Roman" w:hAnsi="Times New Roman" w:cs="Times New Roman"/>
                <w:lang w:val="en-GB"/>
              </w:rPr>
              <w:t>本项目非正常工况下，废气排气情况下表所示。</w:t>
            </w:r>
          </w:p>
          <w:p w14:paraId="1A0B50A4">
            <w:pPr>
              <w:pStyle w:val="65"/>
              <w:rPr>
                <w:rFonts w:hint="default" w:ascii="Times New Roman" w:hAnsi="Times New Roman" w:eastAsia="宋体" w:cs="Times New Roman"/>
                <w:b/>
                <w:bCs/>
                <w:sz w:val="21"/>
                <w:szCs w:val="16"/>
                <w:lang w:val="en-GB"/>
              </w:rPr>
            </w:pPr>
            <w:r>
              <w:rPr>
                <w:rFonts w:hint="default" w:ascii="Times New Roman" w:hAnsi="Times New Roman" w:eastAsia="宋体" w:cs="Times New Roman"/>
                <w:b/>
                <w:bCs/>
                <w:sz w:val="21"/>
                <w:szCs w:val="16"/>
                <w:lang w:val="en-GB"/>
              </w:rPr>
              <w:t>表4-</w:t>
            </w:r>
            <w:r>
              <w:rPr>
                <w:rFonts w:hint="eastAsia" w:ascii="Times New Roman" w:eastAsia="宋体" w:cs="Times New Roman"/>
                <w:b/>
                <w:bCs/>
                <w:sz w:val="21"/>
                <w:szCs w:val="16"/>
                <w:lang w:val="en-US" w:eastAsia="zh-CN"/>
              </w:rPr>
              <w:t>20</w:t>
            </w:r>
            <w:r>
              <w:rPr>
                <w:rFonts w:hint="default" w:ascii="Times New Roman" w:hAnsi="Times New Roman" w:eastAsia="宋体" w:cs="Times New Roman"/>
                <w:b/>
                <w:bCs/>
                <w:sz w:val="21"/>
                <w:szCs w:val="16"/>
              </w:rPr>
              <w:t xml:space="preserve">    </w:t>
            </w:r>
            <w:r>
              <w:rPr>
                <w:rFonts w:hint="default" w:ascii="Times New Roman" w:hAnsi="Times New Roman" w:eastAsia="宋体" w:cs="Times New Roman"/>
                <w:b/>
                <w:bCs/>
                <w:sz w:val="21"/>
                <w:szCs w:val="16"/>
                <w:lang w:val="en-GB"/>
              </w:rPr>
              <w:t>非正常工况排气筒排放情况</w:t>
            </w:r>
          </w:p>
          <w:tbl>
            <w:tblPr>
              <w:tblStyle w:val="34"/>
              <w:tblW w:w="4997" w:type="pct"/>
              <w:jc w:val="center"/>
              <w:tblBorders>
                <w:top w:val="double" w:color="auto" w:sz="2" w:space="0"/>
                <w:left w:val="none" w:color="auto" w:sz="0" w:space="0"/>
                <w:bottom w:val="double" w:color="auto" w:sz="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025"/>
              <w:gridCol w:w="1310"/>
              <w:gridCol w:w="1047"/>
              <w:gridCol w:w="1213"/>
              <w:gridCol w:w="1088"/>
              <w:gridCol w:w="1680"/>
              <w:gridCol w:w="1106"/>
            </w:tblGrid>
            <w:tr w14:paraId="03BDAEE4">
              <w:tblPrEx>
                <w:tblBorders>
                  <w:top w:val="double" w:color="auto" w:sz="2" w:space="0"/>
                  <w:left w:val="none" w:color="auto" w:sz="0" w:space="0"/>
                  <w:bottom w:val="double" w:color="auto" w:sz="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05" w:type="pct"/>
                  <w:vAlign w:val="center"/>
                </w:tcPr>
                <w:p w14:paraId="3F216D28">
                  <w:pPr>
                    <w:pStyle w:val="86"/>
                    <w:rPr>
                      <w:rFonts w:hint="default" w:ascii="Times New Roman" w:hAnsi="Times New Roman" w:cs="Times New Roman"/>
                    </w:rPr>
                  </w:pPr>
                  <w:r>
                    <w:rPr>
                      <w:rFonts w:hint="default" w:ascii="Times New Roman" w:hAnsi="Times New Roman" w:cs="Times New Roman"/>
                    </w:rPr>
                    <w:t>排气筒</w:t>
                  </w:r>
                </w:p>
              </w:tc>
              <w:tc>
                <w:tcPr>
                  <w:tcW w:w="773" w:type="pct"/>
                  <w:vAlign w:val="center"/>
                </w:tcPr>
                <w:p w14:paraId="00657F9C">
                  <w:pPr>
                    <w:pStyle w:val="86"/>
                    <w:rPr>
                      <w:rFonts w:hint="default" w:ascii="Times New Roman" w:hAnsi="Times New Roman" w:cs="Times New Roman"/>
                    </w:rPr>
                  </w:pPr>
                  <w:r>
                    <w:rPr>
                      <w:rFonts w:hint="default" w:ascii="Times New Roman" w:hAnsi="Times New Roman" w:cs="Times New Roman"/>
                    </w:rPr>
                    <w:t>非正常排放源</w:t>
                  </w:r>
                </w:p>
              </w:tc>
              <w:tc>
                <w:tcPr>
                  <w:tcW w:w="618" w:type="pct"/>
                  <w:vAlign w:val="center"/>
                </w:tcPr>
                <w:p w14:paraId="50DD429C">
                  <w:pPr>
                    <w:pStyle w:val="86"/>
                    <w:rPr>
                      <w:rFonts w:hint="default" w:ascii="Times New Roman" w:hAnsi="Times New Roman" w:cs="Times New Roman"/>
                    </w:rPr>
                  </w:pPr>
                  <w:r>
                    <w:rPr>
                      <w:rFonts w:hint="default" w:ascii="Times New Roman" w:hAnsi="Times New Roman" w:cs="Times New Roman"/>
                    </w:rPr>
                    <w:t>污染物</w:t>
                  </w:r>
                </w:p>
              </w:tc>
              <w:tc>
                <w:tcPr>
                  <w:tcW w:w="716" w:type="pct"/>
                  <w:vAlign w:val="center"/>
                </w:tcPr>
                <w:p w14:paraId="53514AB1">
                  <w:pPr>
                    <w:pStyle w:val="86"/>
                    <w:rPr>
                      <w:rFonts w:hint="default" w:ascii="Times New Roman" w:hAnsi="Times New Roman" w:cs="Times New Roman"/>
                    </w:rPr>
                  </w:pPr>
                  <w:r>
                    <w:rPr>
                      <w:rFonts w:hint="default" w:ascii="Times New Roman" w:hAnsi="Times New Roman" w:cs="Times New Roman"/>
                    </w:rPr>
                    <w:t>发生频次</w:t>
                  </w:r>
                </w:p>
              </w:tc>
              <w:tc>
                <w:tcPr>
                  <w:tcW w:w="642" w:type="pct"/>
                  <w:vAlign w:val="center"/>
                </w:tcPr>
                <w:p w14:paraId="70AB3F5D">
                  <w:pPr>
                    <w:pStyle w:val="86"/>
                    <w:rPr>
                      <w:rFonts w:hint="default" w:ascii="Times New Roman" w:hAnsi="Times New Roman" w:cs="Times New Roman"/>
                    </w:rPr>
                  </w:pPr>
                  <w:r>
                    <w:rPr>
                      <w:rFonts w:hint="default" w:ascii="Times New Roman" w:hAnsi="Times New Roman" w:cs="Times New Roman"/>
                    </w:rPr>
                    <w:t>持续时间</w:t>
                  </w:r>
                </w:p>
              </w:tc>
              <w:tc>
                <w:tcPr>
                  <w:tcW w:w="991" w:type="pct"/>
                  <w:vAlign w:val="center"/>
                </w:tcPr>
                <w:p w14:paraId="74AAD588">
                  <w:pPr>
                    <w:pStyle w:val="86"/>
                    <w:rPr>
                      <w:rFonts w:hint="default" w:ascii="Times New Roman" w:hAnsi="Times New Roman" w:cs="Times New Roman"/>
                    </w:rPr>
                  </w:pPr>
                  <w:r>
                    <w:rPr>
                      <w:rFonts w:hint="default" w:ascii="Times New Roman" w:hAnsi="Times New Roman" w:cs="Times New Roman"/>
                    </w:rPr>
                    <w:t>排放浓度mg/m</w:t>
                  </w:r>
                  <w:r>
                    <w:rPr>
                      <w:rFonts w:hint="default" w:ascii="Times New Roman" w:hAnsi="Times New Roman" w:cs="Times New Roman"/>
                      <w:vertAlign w:val="superscript"/>
                    </w:rPr>
                    <w:t>3</w:t>
                  </w:r>
                </w:p>
              </w:tc>
              <w:tc>
                <w:tcPr>
                  <w:tcW w:w="652" w:type="pct"/>
                  <w:vAlign w:val="center"/>
                </w:tcPr>
                <w:p w14:paraId="0ED8EEC0">
                  <w:pPr>
                    <w:pStyle w:val="86"/>
                    <w:rPr>
                      <w:rFonts w:hint="default" w:ascii="Times New Roman" w:hAnsi="Times New Roman" w:cs="Times New Roman"/>
                    </w:rPr>
                  </w:pPr>
                  <w:r>
                    <w:rPr>
                      <w:rFonts w:hint="default" w:ascii="Times New Roman" w:hAnsi="Times New Roman" w:cs="Times New Roman"/>
                    </w:rPr>
                    <w:t>达标</w:t>
                  </w:r>
                </w:p>
                <w:p w14:paraId="334BF333">
                  <w:pPr>
                    <w:pStyle w:val="86"/>
                    <w:rPr>
                      <w:rFonts w:hint="default" w:ascii="Times New Roman" w:hAnsi="Times New Roman" w:cs="Times New Roman"/>
                    </w:rPr>
                  </w:pPr>
                  <w:r>
                    <w:rPr>
                      <w:rFonts w:hint="default" w:ascii="Times New Roman" w:hAnsi="Times New Roman" w:cs="Times New Roman"/>
                    </w:rPr>
                    <w:t>情况</w:t>
                  </w:r>
                </w:p>
              </w:tc>
            </w:tr>
            <w:tr w14:paraId="1F8C452D">
              <w:tblPrEx>
                <w:tblBorders>
                  <w:top w:val="double" w:color="auto" w:sz="2" w:space="0"/>
                  <w:left w:val="none" w:color="auto" w:sz="0" w:space="0"/>
                  <w:bottom w:val="double" w:color="auto" w:sz="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05" w:type="pct"/>
                  <w:vAlign w:val="center"/>
                </w:tcPr>
                <w:p w14:paraId="1EEB1F9F">
                  <w:pPr>
                    <w:pStyle w:val="86"/>
                    <w:rPr>
                      <w:rFonts w:hint="default" w:ascii="Times New Roman" w:hAnsi="Times New Roman" w:eastAsia="宋体" w:cs="Times New Roman"/>
                    </w:rPr>
                  </w:pPr>
                  <w:r>
                    <w:rPr>
                      <w:rFonts w:hint="default" w:ascii="Times New Roman" w:hAnsi="Times New Roman" w:cs="Times New Roman"/>
                    </w:rPr>
                    <w:t>DA00</w:t>
                  </w:r>
                  <w:r>
                    <w:rPr>
                      <w:rFonts w:hint="default" w:ascii="Times New Roman" w:hAnsi="Times New Roman" w:eastAsia="宋体" w:cs="Times New Roman"/>
                    </w:rPr>
                    <w:t>1</w:t>
                  </w:r>
                </w:p>
              </w:tc>
              <w:tc>
                <w:tcPr>
                  <w:tcW w:w="773" w:type="pct"/>
                  <w:vMerge w:val="restart"/>
                  <w:vAlign w:val="center"/>
                </w:tcPr>
                <w:p w14:paraId="3D28D27B">
                  <w:pPr>
                    <w:pStyle w:val="86"/>
                    <w:rPr>
                      <w:rFonts w:hint="default" w:ascii="Times New Roman" w:hAnsi="Times New Roman" w:eastAsia="宋体" w:cs="Times New Roman"/>
                    </w:rPr>
                  </w:pPr>
                  <w:r>
                    <w:rPr>
                      <w:rFonts w:hint="default" w:ascii="Times New Roman" w:hAnsi="Times New Roman" w:eastAsia="宋体" w:cs="Times New Roman"/>
                    </w:rPr>
                    <w:t>拆解车间</w:t>
                  </w:r>
                </w:p>
              </w:tc>
              <w:tc>
                <w:tcPr>
                  <w:tcW w:w="618" w:type="pct"/>
                  <w:vAlign w:val="center"/>
                </w:tcPr>
                <w:p w14:paraId="621F899B">
                  <w:pPr>
                    <w:pStyle w:val="86"/>
                    <w:rPr>
                      <w:rFonts w:hint="default" w:ascii="Times New Roman" w:hAnsi="Times New Roman" w:cs="Times New Roman"/>
                    </w:rPr>
                  </w:pPr>
                  <w:r>
                    <w:rPr>
                      <w:rFonts w:hint="default" w:ascii="Times New Roman" w:hAnsi="Times New Roman" w:cs="Times New Roman"/>
                      <w:kern w:val="0"/>
                      <w:lang w:bidi="ar"/>
                    </w:rPr>
                    <w:t>非甲烷总烃</w:t>
                  </w:r>
                </w:p>
              </w:tc>
              <w:tc>
                <w:tcPr>
                  <w:tcW w:w="716" w:type="pct"/>
                  <w:vAlign w:val="center"/>
                </w:tcPr>
                <w:p w14:paraId="6EEEDFBD">
                  <w:pPr>
                    <w:pStyle w:val="86"/>
                    <w:rPr>
                      <w:rFonts w:hint="default" w:ascii="Times New Roman" w:hAnsi="Times New Roman" w:cs="Times New Roman"/>
                    </w:rPr>
                  </w:pPr>
                  <w:r>
                    <w:rPr>
                      <w:rFonts w:hint="default" w:ascii="Times New Roman" w:hAnsi="Times New Roman" w:eastAsia="宋体" w:cs="Times New Roman"/>
                    </w:rPr>
                    <w:t>1</w:t>
                  </w:r>
                  <w:r>
                    <w:rPr>
                      <w:rFonts w:hint="default" w:ascii="Times New Roman" w:hAnsi="Times New Roman" w:cs="Times New Roman"/>
                    </w:rPr>
                    <w:t>次/年</w:t>
                  </w:r>
                </w:p>
              </w:tc>
              <w:tc>
                <w:tcPr>
                  <w:tcW w:w="642" w:type="pct"/>
                  <w:vAlign w:val="center"/>
                </w:tcPr>
                <w:p w14:paraId="5D0A4D18">
                  <w:pPr>
                    <w:pStyle w:val="86"/>
                    <w:rPr>
                      <w:rFonts w:hint="default" w:ascii="Times New Roman" w:hAnsi="Times New Roman" w:cs="Times New Roman"/>
                    </w:rPr>
                  </w:pPr>
                  <w:r>
                    <w:rPr>
                      <w:rFonts w:hint="default" w:ascii="Times New Roman" w:hAnsi="Times New Roman" w:cs="Times New Roman"/>
                    </w:rPr>
                    <w:t>30min</w:t>
                  </w:r>
                </w:p>
              </w:tc>
              <w:tc>
                <w:tcPr>
                  <w:tcW w:w="991" w:type="pct"/>
                  <w:shd w:val="clear" w:color="auto" w:fill="auto"/>
                  <w:vAlign w:val="center"/>
                </w:tcPr>
                <w:p w14:paraId="6F3C803C">
                  <w:pPr>
                    <w:widowControl/>
                    <w:jc w:val="center"/>
                    <w:textAlignment w:val="center"/>
                    <w:rPr>
                      <w:rFonts w:hint="default" w:ascii="Times New Roman" w:hAnsi="Times New Roman" w:eastAsia="宋体" w:cs="Times New Roman"/>
                      <w:kern w:val="0"/>
                      <w:szCs w:val="21"/>
                      <w:lang w:val="en-US" w:eastAsia="zh-CN" w:bidi="ar"/>
                    </w:rPr>
                  </w:pPr>
                  <w:r>
                    <w:rPr>
                      <w:rFonts w:hint="default" w:ascii="Times New Roman" w:hAnsi="Times New Roman" w:cs="Times New Roman"/>
                      <w:kern w:val="0"/>
                      <w:szCs w:val="21"/>
                      <w:lang w:val="en-US" w:eastAsia="zh-CN" w:bidi="ar"/>
                    </w:rPr>
                    <w:t>8.922</w:t>
                  </w:r>
                </w:p>
              </w:tc>
              <w:tc>
                <w:tcPr>
                  <w:tcW w:w="652" w:type="pct"/>
                  <w:vAlign w:val="center"/>
                </w:tcPr>
                <w:p w14:paraId="3648BD20">
                  <w:pPr>
                    <w:pStyle w:val="86"/>
                    <w:rPr>
                      <w:rFonts w:hint="default" w:ascii="Times New Roman" w:hAnsi="Times New Roman" w:eastAsia="宋体" w:cs="Times New Roman"/>
                    </w:rPr>
                  </w:pPr>
                  <w:r>
                    <w:rPr>
                      <w:rFonts w:hint="default" w:ascii="Times New Roman" w:hAnsi="Times New Roman" w:eastAsia="宋体" w:cs="Times New Roman"/>
                      <w:lang w:val="en-US" w:eastAsia="zh-CN"/>
                    </w:rPr>
                    <w:t>未</w:t>
                  </w:r>
                  <w:r>
                    <w:rPr>
                      <w:rFonts w:hint="default" w:ascii="Times New Roman" w:hAnsi="Times New Roman" w:cs="Times New Roman"/>
                    </w:rPr>
                    <w:t>超标</w:t>
                  </w:r>
                </w:p>
              </w:tc>
            </w:tr>
            <w:tr w14:paraId="3D1D41D5">
              <w:tblPrEx>
                <w:tblBorders>
                  <w:top w:val="double" w:color="auto" w:sz="2" w:space="0"/>
                  <w:left w:val="none" w:color="auto" w:sz="0" w:space="0"/>
                  <w:bottom w:val="double" w:color="auto" w:sz="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05" w:type="pct"/>
                  <w:vAlign w:val="center"/>
                </w:tcPr>
                <w:p w14:paraId="63468CF0">
                  <w:pPr>
                    <w:pStyle w:val="86"/>
                    <w:rPr>
                      <w:rFonts w:hint="default" w:ascii="Times New Roman" w:hAnsi="Times New Roman" w:eastAsia="宋体" w:cs="Times New Roman"/>
                    </w:rPr>
                  </w:pPr>
                  <w:r>
                    <w:rPr>
                      <w:rFonts w:hint="default" w:ascii="Times New Roman" w:hAnsi="Times New Roman" w:cs="Times New Roman"/>
                    </w:rPr>
                    <w:t>DA00</w:t>
                  </w:r>
                  <w:r>
                    <w:rPr>
                      <w:rFonts w:hint="default" w:ascii="Times New Roman" w:hAnsi="Times New Roman" w:eastAsia="宋体" w:cs="Times New Roman"/>
                    </w:rPr>
                    <w:t>2</w:t>
                  </w:r>
                </w:p>
              </w:tc>
              <w:tc>
                <w:tcPr>
                  <w:tcW w:w="773" w:type="pct"/>
                  <w:vMerge w:val="continue"/>
                  <w:vAlign w:val="center"/>
                </w:tcPr>
                <w:p w14:paraId="2499B8DE">
                  <w:pPr>
                    <w:pStyle w:val="86"/>
                    <w:rPr>
                      <w:rFonts w:hint="default" w:ascii="Times New Roman" w:hAnsi="Times New Roman" w:cs="Times New Roman"/>
                    </w:rPr>
                  </w:pPr>
                </w:p>
              </w:tc>
              <w:tc>
                <w:tcPr>
                  <w:tcW w:w="618" w:type="pct"/>
                  <w:vAlign w:val="center"/>
                </w:tcPr>
                <w:p w14:paraId="3855E2C8">
                  <w:pPr>
                    <w:jc w:val="center"/>
                    <w:rPr>
                      <w:rFonts w:hint="default" w:ascii="Times New Roman" w:hAnsi="Times New Roman" w:cs="Times New Roman"/>
                    </w:rPr>
                  </w:pPr>
                  <w:r>
                    <w:rPr>
                      <w:rFonts w:hint="default" w:ascii="Times New Roman" w:hAnsi="Times New Roman" w:cs="Times New Roman"/>
                    </w:rPr>
                    <w:t>颗粒物</w:t>
                  </w:r>
                </w:p>
              </w:tc>
              <w:tc>
                <w:tcPr>
                  <w:tcW w:w="716" w:type="pct"/>
                  <w:vAlign w:val="center"/>
                </w:tcPr>
                <w:p w14:paraId="51E9ED18">
                  <w:pPr>
                    <w:pStyle w:val="86"/>
                    <w:rPr>
                      <w:rFonts w:hint="default" w:ascii="Times New Roman" w:hAnsi="Times New Roman" w:cs="Times New Roman"/>
                    </w:rPr>
                  </w:pPr>
                  <w:r>
                    <w:rPr>
                      <w:rFonts w:hint="default" w:ascii="Times New Roman" w:hAnsi="Times New Roman" w:eastAsia="宋体" w:cs="Times New Roman"/>
                    </w:rPr>
                    <w:t>1</w:t>
                  </w:r>
                  <w:r>
                    <w:rPr>
                      <w:rFonts w:hint="default" w:ascii="Times New Roman" w:hAnsi="Times New Roman" w:cs="Times New Roman"/>
                    </w:rPr>
                    <w:t>次/年</w:t>
                  </w:r>
                </w:p>
              </w:tc>
              <w:tc>
                <w:tcPr>
                  <w:tcW w:w="642" w:type="pct"/>
                  <w:vAlign w:val="center"/>
                </w:tcPr>
                <w:p w14:paraId="163994C7">
                  <w:pPr>
                    <w:pStyle w:val="86"/>
                    <w:rPr>
                      <w:rFonts w:hint="default" w:ascii="Times New Roman" w:hAnsi="Times New Roman" w:cs="Times New Roman"/>
                    </w:rPr>
                  </w:pPr>
                  <w:r>
                    <w:rPr>
                      <w:rFonts w:hint="default" w:ascii="Times New Roman" w:hAnsi="Times New Roman" w:cs="Times New Roman"/>
                    </w:rPr>
                    <w:t>30min</w:t>
                  </w:r>
                </w:p>
              </w:tc>
              <w:tc>
                <w:tcPr>
                  <w:tcW w:w="991" w:type="pct"/>
                  <w:shd w:val="clear" w:color="auto" w:fill="auto"/>
                  <w:vAlign w:val="center"/>
                </w:tcPr>
                <w:p w14:paraId="3A0D4EB7">
                  <w:pPr>
                    <w:widowControl/>
                    <w:jc w:val="center"/>
                    <w:textAlignment w:val="center"/>
                    <w:rPr>
                      <w:rFonts w:hint="default" w:ascii="Times New Roman" w:hAnsi="Times New Roman" w:eastAsia="宋体" w:cs="Times New Roman"/>
                      <w:kern w:val="0"/>
                      <w:szCs w:val="21"/>
                      <w:lang w:eastAsia="zh-CN" w:bidi="ar"/>
                    </w:rPr>
                  </w:pPr>
                  <w:r>
                    <w:rPr>
                      <w:rFonts w:hint="default" w:ascii="Times New Roman" w:hAnsi="Times New Roman" w:cs="Times New Roman"/>
                      <w:kern w:val="0"/>
                      <w:szCs w:val="21"/>
                      <w:lang w:eastAsia="zh-CN" w:bidi="ar"/>
                    </w:rPr>
                    <w:t>103.139</w:t>
                  </w:r>
                </w:p>
              </w:tc>
              <w:tc>
                <w:tcPr>
                  <w:tcW w:w="652" w:type="pct"/>
                  <w:vAlign w:val="center"/>
                </w:tcPr>
                <w:p w14:paraId="0ADC3656">
                  <w:pPr>
                    <w:pStyle w:val="86"/>
                    <w:rPr>
                      <w:rFonts w:hint="default" w:ascii="Times New Roman" w:hAnsi="Times New Roman" w:cs="Times New Roman"/>
                    </w:rPr>
                  </w:pPr>
                  <w:r>
                    <w:rPr>
                      <w:rFonts w:hint="default" w:ascii="Times New Roman" w:hAnsi="Times New Roman" w:eastAsia="宋体" w:cs="Times New Roman"/>
                      <w:lang w:val="en-US" w:eastAsia="zh-CN"/>
                    </w:rPr>
                    <w:t>未</w:t>
                  </w:r>
                  <w:r>
                    <w:rPr>
                      <w:rFonts w:hint="default" w:ascii="Times New Roman" w:hAnsi="Times New Roman" w:cs="Times New Roman"/>
                    </w:rPr>
                    <w:t>超标</w:t>
                  </w:r>
                </w:p>
              </w:tc>
            </w:tr>
          </w:tbl>
          <w:p w14:paraId="413E9150">
            <w:pPr>
              <w:spacing w:line="360" w:lineRule="auto"/>
              <w:ind w:firstLine="480" w:firstLineChars="200"/>
              <w:jc w:val="left"/>
              <w:rPr>
                <w:rFonts w:hint="default" w:ascii="Times New Roman" w:hAnsi="Times New Roman" w:cs="Times New Roman"/>
                <w:kern w:val="0"/>
                <w:sz w:val="24"/>
                <w:lang w:bidi="ar"/>
              </w:rPr>
            </w:pPr>
            <w:r>
              <w:rPr>
                <w:rFonts w:hint="default" w:ascii="Times New Roman" w:hAnsi="Times New Roman" w:cs="Times New Roman"/>
                <w:kern w:val="0"/>
                <w:sz w:val="24"/>
                <w:lang w:bidi="ar"/>
              </w:rPr>
              <w:t>本项目非正常工况下拆解车间排放</w:t>
            </w:r>
            <w:r>
              <w:rPr>
                <w:rFonts w:hint="default" w:ascii="Times New Roman" w:hAnsi="Times New Roman" w:cs="Times New Roman"/>
                <w:kern w:val="0"/>
                <w:sz w:val="24"/>
                <w:lang w:val="en-US" w:eastAsia="zh-CN" w:bidi="ar"/>
              </w:rPr>
              <w:t>均未</w:t>
            </w:r>
            <w:r>
              <w:rPr>
                <w:rFonts w:hint="default" w:ascii="Times New Roman" w:hAnsi="Times New Roman" w:cs="Times New Roman"/>
                <w:kern w:val="0"/>
                <w:sz w:val="24"/>
                <w:lang w:bidi="ar"/>
              </w:rPr>
              <w:t>超过《大气污染物综合排放标准》GB16297-1996表2中标准。</w:t>
            </w:r>
          </w:p>
          <w:p w14:paraId="18597751">
            <w:pPr>
              <w:spacing w:line="360" w:lineRule="auto"/>
              <w:ind w:firstLine="480" w:firstLineChars="200"/>
              <w:jc w:val="left"/>
              <w:rPr>
                <w:rFonts w:hint="default" w:ascii="Times New Roman" w:hAnsi="Times New Roman" w:cs="Times New Roman"/>
                <w:kern w:val="0"/>
                <w:sz w:val="24"/>
                <w:lang w:bidi="ar"/>
              </w:rPr>
            </w:pPr>
            <w:r>
              <w:rPr>
                <w:rFonts w:hint="default" w:ascii="Times New Roman" w:hAnsi="Times New Roman" w:cs="Times New Roman"/>
                <w:kern w:val="0"/>
                <w:sz w:val="24"/>
                <w:lang w:bidi="ar"/>
              </w:rPr>
              <w:t>非正常工况应对措施：</w:t>
            </w:r>
          </w:p>
          <w:p w14:paraId="3B431C51">
            <w:pPr>
              <w:spacing w:line="360" w:lineRule="auto"/>
              <w:ind w:firstLine="480" w:firstLineChars="200"/>
              <w:jc w:val="left"/>
              <w:rPr>
                <w:rFonts w:hint="default" w:ascii="Times New Roman" w:hAnsi="Times New Roman" w:cs="Times New Roman"/>
                <w:kern w:val="0"/>
                <w:sz w:val="24"/>
                <w:lang w:bidi="ar"/>
              </w:rPr>
            </w:pPr>
            <w:r>
              <w:rPr>
                <w:rFonts w:hint="default" w:ascii="Times New Roman" w:hAnsi="Times New Roman" w:cs="Times New Roman"/>
                <w:kern w:val="0"/>
                <w:sz w:val="24"/>
                <w:lang w:bidi="ar"/>
              </w:rPr>
              <w:t>1</w:t>
            </w:r>
            <w:r>
              <w:rPr>
                <w:rFonts w:hint="default" w:ascii="Times New Roman" w:hAnsi="Times New Roman" w:cs="Times New Roman"/>
                <w:kern w:val="0"/>
                <w:sz w:val="24"/>
                <w:lang w:val="zh-CN" w:bidi="ar"/>
              </w:rPr>
              <w:t>）立即报告</w:t>
            </w:r>
            <w:r>
              <w:rPr>
                <w:rFonts w:hint="default" w:ascii="Times New Roman" w:hAnsi="Times New Roman" w:cs="Times New Roman"/>
                <w:kern w:val="0"/>
                <w:sz w:val="24"/>
                <w:lang w:bidi="ar"/>
              </w:rPr>
              <w:t>负责人</w:t>
            </w:r>
            <w:r>
              <w:rPr>
                <w:rFonts w:hint="default" w:ascii="Times New Roman" w:hAnsi="Times New Roman" w:cs="Times New Roman"/>
                <w:kern w:val="0"/>
                <w:sz w:val="24"/>
                <w:lang w:val="zh-CN" w:bidi="ar"/>
              </w:rPr>
              <w:t>，并通知操作人员立即停止作业，关闭有关机泵、阀门</w:t>
            </w:r>
            <w:r>
              <w:rPr>
                <w:rFonts w:hint="default" w:ascii="Times New Roman" w:hAnsi="Times New Roman" w:cs="Times New Roman"/>
                <w:kern w:val="0"/>
                <w:sz w:val="24"/>
                <w:lang w:bidi="ar"/>
              </w:rPr>
              <w:t>。</w:t>
            </w:r>
          </w:p>
          <w:p w14:paraId="18A22A9E">
            <w:pPr>
              <w:spacing w:line="360" w:lineRule="auto"/>
              <w:ind w:firstLine="480" w:firstLineChars="200"/>
              <w:jc w:val="left"/>
              <w:rPr>
                <w:rFonts w:hint="default" w:ascii="Times New Roman" w:hAnsi="Times New Roman" w:cs="Times New Roman"/>
                <w:kern w:val="0"/>
                <w:sz w:val="24"/>
                <w:lang w:val="zh-CN" w:bidi="ar"/>
              </w:rPr>
            </w:pPr>
            <w:r>
              <w:rPr>
                <w:rFonts w:hint="default" w:ascii="Times New Roman" w:hAnsi="Times New Roman" w:cs="Times New Roman"/>
                <w:kern w:val="0"/>
                <w:sz w:val="24"/>
                <w:lang w:bidi="ar"/>
              </w:rPr>
              <w:t>2）对设备进行检修，查明故障原因并排除故障。</w:t>
            </w:r>
          </w:p>
          <w:p w14:paraId="2049A50D">
            <w:pPr>
              <w:spacing w:line="360" w:lineRule="auto"/>
              <w:ind w:firstLine="480" w:firstLineChars="200"/>
              <w:jc w:val="left"/>
              <w:rPr>
                <w:rFonts w:hint="default" w:ascii="Times New Roman" w:hAnsi="Times New Roman" w:cs="Times New Roman"/>
                <w:kern w:val="0"/>
                <w:sz w:val="24"/>
                <w:lang w:val="zh-CN" w:bidi="ar"/>
              </w:rPr>
            </w:pPr>
            <w:r>
              <w:rPr>
                <w:rFonts w:hint="default" w:ascii="Times New Roman" w:hAnsi="Times New Roman" w:cs="Times New Roman"/>
                <w:kern w:val="0"/>
                <w:sz w:val="24"/>
                <w:lang w:bidi="ar"/>
              </w:rPr>
              <w:t>3</w:t>
            </w:r>
            <w:r>
              <w:rPr>
                <w:rFonts w:hint="default" w:ascii="Times New Roman" w:hAnsi="Times New Roman" w:cs="Times New Roman"/>
                <w:kern w:val="0"/>
                <w:sz w:val="24"/>
                <w:lang w:val="zh-CN" w:bidi="ar"/>
              </w:rPr>
              <w:t>）现场处置组划定警戒区域，疏散无关车辆、人员，控制无关人员进入现场。</w:t>
            </w:r>
          </w:p>
          <w:p w14:paraId="444D994C">
            <w:pPr>
              <w:spacing w:line="360" w:lineRule="auto"/>
              <w:ind w:firstLine="480" w:firstLineChars="200"/>
              <w:jc w:val="left"/>
              <w:rPr>
                <w:rFonts w:hint="default" w:ascii="Times New Roman" w:hAnsi="Times New Roman" w:cs="Times New Roman"/>
                <w:kern w:val="0"/>
                <w:sz w:val="24"/>
                <w:lang w:val="zh-CN" w:bidi="ar"/>
              </w:rPr>
            </w:pPr>
            <w:r>
              <w:rPr>
                <w:rFonts w:hint="default" w:ascii="Times New Roman" w:hAnsi="Times New Roman" w:cs="Times New Roman"/>
                <w:kern w:val="0"/>
                <w:sz w:val="24"/>
                <w:lang w:bidi="ar"/>
              </w:rPr>
              <w:t>4</w:t>
            </w:r>
            <w:r>
              <w:rPr>
                <w:rFonts w:hint="default" w:ascii="Times New Roman" w:hAnsi="Times New Roman" w:cs="Times New Roman"/>
                <w:kern w:val="0"/>
                <w:sz w:val="24"/>
                <w:lang w:val="zh-CN" w:bidi="ar"/>
              </w:rPr>
              <w:t>）立即对排气筒进、出口进行密切监测，并将结果迅速、准确的汇报给现场指挥。</w:t>
            </w:r>
          </w:p>
          <w:p w14:paraId="6FFECD93">
            <w:pPr>
              <w:spacing w:line="360" w:lineRule="auto"/>
              <w:ind w:firstLine="480" w:firstLineChars="200"/>
              <w:jc w:val="left"/>
              <w:rPr>
                <w:rFonts w:hint="default" w:ascii="Times New Roman" w:hAnsi="Times New Roman" w:cs="Times New Roman"/>
                <w:kern w:val="0"/>
                <w:sz w:val="24"/>
                <w:lang w:val="zh-CN" w:bidi="ar"/>
              </w:rPr>
            </w:pPr>
            <w:r>
              <w:rPr>
                <w:rFonts w:hint="default" w:ascii="Times New Roman" w:hAnsi="Times New Roman" w:cs="Times New Roman"/>
                <w:kern w:val="0"/>
                <w:sz w:val="24"/>
                <w:lang w:bidi="ar"/>
              </w:rPr>
              <w:t>5</w:t>
            </w:r>
            <w:r>
              <w:rPr>
                <w:rFonts w:hint="default" w:ascii="Times New Roman" w:hAnsi="Times New Roman" w:cs="Times New Roman"/>
                <w:kern w:val="0"/>
                <w:sz w:val="24"/>
                <w:lang w:val="zh-CN" w:bidi="ar"/>
              </w:rPr>
              <w:t>）针对监测结果制定调节方案，实施调整。</w:t>
            </w:r>
          </w:p>
          <w:p w14:paraId="1D217FDC">
            <w:pPr>
              <w:spacing w:line="360" w:lineRule="auto"/>
              <w:ind w:firstLine="480" w:firstLineChars="200"/>
              <w:rPr>
                <w:rFonts w:hint="default" w:ascii="Times New Roman" w:hAnsi="Times New Roman" w:cs="Times New Roman"/>
                <w:kern w:val="0"/>
                <w:sz w:val="24"/>
                <w:highlight w:val="yellow"/>
                <w:lang w:bidi="ar"/>
              </w:rPr>
            </w:pPr>
            <w:r>
              <w:rPr>
                <w:rFonts w:hint="default" w:ascii="Times New Roman" w:hAnsi="Times New Roman" w:cs="Times New Roman"/>
                <w:kern w:val="0"/>
                <w:sz w:val="24"/>
                <w:lang w:bidi="ar"/>
              </w:rPr>
              <w:t>6</w:t>
            </w:r>
            <w:r>
              <w:rPr>
                <w:rFonts w:hint="default" w:ascii="Times New Roman" w:hAnsi="Times New Roman" w:cs="Times New Roman"/>
                <w:kern w:val="0"/>
                <w:sz w:val="24"/>
                <w:lang w:val="zh-CN" w:bidi="ar"/>
              </w:rPr>
              <w:t>）待故障排除，废气稳定达标排放后，由领导决定进入日常管理维护。</w:t>
            </w:r>
          </w:p>
          <w:p w14:paraId="2932CD5A">
            <w:pPr>
              <w:widowControl/>
              <w:adjustRightInd w:val="0"/>
              <w:snapToGrid w:val="0"/>
              <w:spacing w:line="360" w:lineRule="auto"/>
              <w:jc w:val="left"/>
              <w:rPr>
                <w:rFonts w:hint="default" w:ascii="Times New Roman" w:hAnsi="Times New Roman" w:cs="Times New Roman"/>
                <w:b/>
                <w:bCs/>
                <w:kern w:val="0"/>
                <w:sz w:val="24"/>
                <w:lang w:bidi="ar"/>
              </w:rPr>
            </w:pPr>
            <w:r>
              <w:rPr>
                <w:rFonts w:hint="default" w:ascii="Times New Roman" w:hAnsi="Times New Roman" w:cs="Times New Roman"/>
                <w:sz w:val="24"/>
              </w:rPr>
              <w:t>本项目非正常工况持续时间较短，年发生频次较低，污染物排放量较少，因此对周围影响不大。</w:t>
            </w:r>
          </w:p>
          <w:p w14:paraId="1CFCB28A">
            <w:pPr>
              <w:widowControl/>
              <w:adjustRightInd w:val="0"/>
              <w:snapToGrid w:val="0"/>
              <w:spacing w:line="360" w:lineRule="auto"/>
              <w:jc w:val="left"/>
              <w:rPr>
                <w:rFonts w:hint="default" w:ascii="Times New Roman" w:hAnsi="Times New Roman" w:cs="Times New Roman"/>
                <w:color w:val="FF0000"/>
                <w:kern w:val="0"/>
                <w:sz w:val="24"/>
                <w:lang w:bidi="ar"/>
              </w:rPr>
            </w:pPr>
            <w:r>
              <w:rPr>
                <w:rFonts w:hint="default" w:ascii="Times New Roman" w:hAnsi="Times New Roman" w:cs="Times New Roman"/>
                <w:b/>
                <w:bCs/>
                <w:color w:val="FF0000"/>
                <w:kern w:val="0"/>
                <w:sz w:val="24"/>
                <w:lang w:bidi="ar"/>
              </w:rPr>
              <w:t>8、防治措施可行性及达标分析</w:t>
            </w:r>
          </w:p>
          <w:p w14:paraId="255A1E7E">
            <w:pPr>
              <w:pStyle w:val="84"/>
              <w:spacing w:line="360" w:lineRule="auto"/>
              <w:ind w:firstLine="480"/>
              <w:rPr>
                <w:rFonts w:hint="default" w:ascii="Times New Roman" w:hAnsi="Times New Roman" w:cs="Times New Roman"/>
                <w:color w:val="FF0000"/>
              </w:rPr>
            </w:pPr>
            <w:r>
              <w:rPr>
                <w:rFonts w:hint="default" w:ascii="Times New Roman" w:hAnsi="Times New Roman" w:cs="Times New Roman"/>
                <w:color w:val="FF0000"/>
              </w:rPr>
              <w:t>（1）本项目废气治理设施及可行性分析</w:t>
            </w:r>
          </w:p>
          <w:p w14:paraId="0D5090C2">
            <w:pPr>
              <w:pStyle w:val="84"/>
              <w:spacing w:line="360" w:lineRule="auto"/>
              <w:ind w:firstLine="480"/>
              <w:jc w:val="left"/>
              <w:rPr>
                <w:rFonts w:hint="default" w:ascii="Times New Roman" w:hAnsi="Times New Roman" w:cs="Times New Roman"/>
                <w:color w:val="FF0000"/>
              </w:rPr>
            </w:pPr>
            <w:r>
              <w:rPr>
                <w:rFonts w:hint="default" w:ascii="Times New Roman" w:hAnsi="Times New Roman" w:cs="Times New Roman"/>
                <w:color w:val="FF0000"/>
              </w:rPr>
              <w:t>根据《排污许可证申请与核发技术规范 废弃资源加工工业》（HJ1034-2019），本项目废气污染物治理措施可行性判定如下表所示。</w:t>
            </w:r>
          </w:p>
          <w:p w14:paraId="66CE12CE">
            <w:pPr>
              <w:pStyle w:val="65"/>
              <w:rPr>
                <w:rFonts w:hint="default" w:ascii="Times New Roman" w:hAnsi="Times New Roman" w:eastAsia="宋体" w:cs="Times New Roman"/>
                <w:b/>
                <w:bCs/>
                <w:color w:val="FF0000"/>
                <w:sz w:val="21"/>
                <w:szCs w:val="16"/>
                <w:lang w:val="en-GB"/>
              </w:rPr>
            </w:pPr>
            <w:r>
              <w:rPr>
                <w:rFonts w:hint="default" w:ascii="Times New Roman" w:hAnsi="Times New Roman" w:eastAsia="宋体" w:cs="Times New Roman"/>
                <w:b/>
                <w:bCs/>
                <w:color w:val="FF0000"/>
                <w:sz w:val="21"/>
                <w:szCs w:val="16"/>
                <w:lang w:val="en-GB"/>
              </w:rPr>
              <w:t>表4-</w:t>
            </w:r>
            <w:r>
              <w:rPr>
                <w:rFonts w:hint="eastAsia" w:ascii="Times New Roman" w:eastAsia="宋体" w:cs="Times New Roman"/>
                <w:b/>
                <w:bCs/>
                <w:color w:val="FF0000"/>
                <w:sz w:val="21"/>
                <w:szCs w:val="16"/>
                <w:lang w:val="en-US" w:eastAsia="zh-CN"/>
              </w:rPr>
              <w:t>21</w:t>
            </w:r>
            <w:r>
              <w:rPr>
                <w:rFonts w:hint="default" w:ascii="Times New Roman" w:hAnsi="Times New Roman" w:eastAsia="宋体" w:cs="Times New Roman"/>
                <w:b/>
                <w:bCs/>
                <w:color w:val="FF0000"/>
                <w:sz w:val="21"/>
                <w:szCs w:val="16"/>
              </w:rPr>
              <w:t xml:space="preserve">    </w:t>
            </w:r>
            <w:r>
              <w:rPr>
                <w:rFonts w:hint="default" w:ascii="Times New Roman" w:hAnsi="Times New Roman" w:eastAsia="宋体" w:cs="Times New Roman"/>
                <w:b/>
                <w:bCs/>
                <w:color w:val="FF0000"/>
                <w:sz w:val="21"/>
                <w:szCs w:val="16"/>
                <w:lang w:val="en-GB"/>
              </w:rPr>
              <w:t>治理措施可行性</w:t>
            </w:r>
          </w:p>
          <w:tbl>
            <w:tblPr>
              <w:tblStyle w:val="34"/>
              <w:tblW w:w="4998" w:type="pct"/>
              <w:tblInd w:w="0" w:type="dxa"/>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129"/>
              <w:gridCol w:w="1566"/>
              <w:gridCol w:w="1848"/>
              <w:gridCol w:w="2072"/>
              <w:gridCol w:w="856"/>
            </w:tblGrid>
            <w:tr w14:paraId="4E25E696">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256" w:type="pct"/>
                  <w:vAlign w:val="center"/>
                </w:tcPr>
                <w:p w14:paraId="0AB448BF">
                  <w:pPr>
                    <w:pStyle w:val="87"/>
                    <w:rPr>
                      <w:rFonts w:hint="default" w:ascii="Times New Roman" w:hAnsi="Times New Roman" w:cs="Times New Roman"/>
                      <w:color w:val="FF0000"/>
                    </w:rPr>
                  </w:pPr>
                  <w:r>
                    <w:rPr>
                      <w:rFonts w:hint="default" w:ascii="Times New Roman" w:hAnsi="Times New Roman" w:cs="Times New Roman"/>
                      <w:color w:val="FF0000"/>
                    </w:rPr>
                    <w:t>来源</w:t>
                  </w:r>
                </w:p>
              </w:tc>
              <w:tc>
                <w:tcPr>
                  <w:tcW w:w="924" w:type="pct"/>
                  <w:vAlign w:val="center"/>
                </w:tcPr>
                <w:p w14:paraId="41578E0B">
                  <w:pPr>
                    <w:pStyle w:val="87"/>
                    <w:rPr>
                      <w:rFonts w:hint="default" w:ascii="Times New Roman" w:hAnsi="Times New Roman" w:cs="Times New Roman"/>
                      <w:color w:val="FF0000"/>
                    </w:rPr>
                  </w:pPr>
                  <w:r>
                    <w:rPr>
                      <w:rFonts w:hint="default" w:ascii="Times New Roman" w:hAnsi="Times New Roman" w:cs="Times New Roman"/>
                      <w:color w:val="FF0000"/>
                    </w:rPr>
                    <w:t>污染物</w:t>
                  </w:r>
                </w:p>
              </w:tc>
              <w:tc>
                <w:tcPr>
                  <w:tcW w:w="1090" w:type="pct"/>
                  <w:vAlign w:val="center"/>
                </w:tcPr>
                <w:p w14:paraId="56F120D9">
                  <w:pPr>
                    <w:pStyle w:val="87"/>
                    <w:rPr>
                      <w:rFonts w:hint="default" w:ascii="Times New Roman" w:hAnsi="Times New Roman" w:cs="Times New Roman"/>
                      <w:color w:val="FF0000"/>
                    </w:rPr>
                  </w:pPr>
                  <w:r>
                    <w:rPr>
                      <w:rFonts w:hint="default" w:ascii="Times New Roman" w:hAnsi="Times New Roman" w:cs="Times New Roman"/>
                      <w:color w:val="FF0000"/>
                    </w:rPr>
                    <w:t>推荐可行技术</w:t>
                  </w:r>
                </w:p>
              </w:tc>
              <w:tc>
                <w:tcPr>
                  <w:tcW w:w="1222" w:type="pct"/>
                  <w:vAlign w:val="center"/>
                </w:tcPr>
                <w:p w14:paraId="7B861166">
                  <w:pPr>
                    <w:pStyle w:val="87"/>
                    <w:rPr>
                      <w:rFonts w:hint="default" w:ascii="Times New Roman" w:hAnsi="Times New Roman" w:cs="Times New Roman"/>
                      <w:color w:val="FF0000"/>
                    </w:rPr>
                  </w:pPr>
                  <w:r>
                    <w:rPr>
                      <w:rFonts w:hint="default" w:ascii="Times New Roman" w:hAnsi="Times New Roman" w:cs="Times New Roman"/>
                      <w:color w:val="FF0000"/>
                    </w:rPr>
                    <w:t>本项目</w:t>
                  </w:r>
                </w:p>
              </w:tc>
              <w:tc>
                <w:tcPr>
                  <w:tcW w:w="505" w:type="pct"/>
                  <w:vAlign w:val="center"/>
                </w:tcPr>
                <w:p w14:paraId="61567DD3">
                  <w:pPr>
                    <w:pStyle w:val="87"/>
                    <w:rPr>
                      <w:rFonts w:hint="default" w:ascii="Times New Roman" w:hAnsi="Times New Roman" w:cs="Times New Roman"/>
                      <w:color w:val="FF0000"/>
                    </w:rPr>
                  </w:pPr>
                  <w:r>
                    <w:rPr>
                      <w:rFonts w:hint="default" w:ascii="Times New Roman" w:hAnsi="Times New Roman" w:cs="Times New Roman"/>
                      <w:color w:val="FF0000"/>
                    </w:rPr>
                    <w:t>可行性</w:t>
                  </w:r>
                </w:p>
              </w:tc>
            </w:tr>
            <w:tr w14:paraId="54B5780D">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256" w:type="pct"/>
                  <w:vMerge w:val="restart"/>
                  <w:vAlign w:val="center"/>
                </w:tcPr>
                <w:p w14:paraId="1F0BE7A7">
                  <w:pPr>
                    <w:pStyle w:val="87"/>
                    <w:rPr>
                      <w:rFonts w:hint="default" w:ascii="Times New Roman" w:hAnsi="Times New Roman" w:cs="Times New Roman"/>
                      <w:color w:val="FF0000"/>
                    </w:rPr>
                  </w:pPr>
                  <w:r>
                    <w:rPr>
                      <w:rFonts w:hint="default" w:ascii="Times New Roman" w:hAnsi="Times New Roman" w:cs="Times New Roman"/>
                      <w:color w:val="FF0000"/>
                    </w:rPr>
                    <w:t>《排污许可证申请与核发技术规范 废弃资源加工工业》（HJ1034-2019）</w:t>
                  </w:r>
                </w:p>
              </w:tc>
              <w:tc>
                <w:tcPr>
                  <w:tcW w:w="924" w:type="pct"/>
                  <w:vAlign w:val="center"/>
                </w:tcPr>
                <w:p w14:paraId="26C2BF5F">
                  <w:pPr>
                    <w:pStyle w:val="87"/>
                    <w:rPr>
                      <w:rFonts w:hint="default" w:ascii="Times New Roman" w:hAnsi="Times New Roman" w:cs="Times New Roman"/>
                      <w:color w:val="FF0000"/>
                    </w:rPr>
                  </w:pPr>
                  <w:r>
                    <w:rPr>
                      <w:rFonts w:hint="default" w:ascii="Times New Roman" w:hAnsi="Times New Roman" w:cs="Times New Roman"/>
                      <w:color w:val="FF0000"/>
                    </w:rPr>
                    <w:t>颗粒物</w:t>
                  </w:r>
                </w:p>
              </w:tc>
              <w:tc>
                <w:tcPr>
                  <w:tcW w:w="1090" w:type="pct"/>
                  <w:vAlign w:val="center"/>
                </w:tcPr>
                <w:p w14:paraId="183460DA">
                  <w:pPr>
                    <w:pStyle w:val="87"/>
                    <w:rPr>
                      <w:rFonts w:hint="default" w:ascii="Times New Roman" w:hAnsi="Times New Roman" w:cs="Times New Roman"/>
                      <w:color w:val="FF0000"/>
                    </w:rPr>
                  </w:pPr>
                  <w:r>
                    <w:rPr>
                      <w:rFonts w:hint="default" w:ascii="Times New Roman" w:hAnsi="Times New Roman" w:cs="Times New Roman"/>
                      <w:color w:val="FF0000"/>
                    </w:rPr>
                    <w:t>集气收气+布袋除尘</w:t>
                  </w:r>
                </w:p>
              </w:tc>
              <w:tc>
                <w:tcPr>
                  <w:tcW w:w="1222" w:type="pct"/>
                  <w:vAlign w:val="center"/>
                </w:tcPr>
                <w:p w14:paraId="2C744DA9">
                  <w:pPr>
                    <w:pStyle w:val="87"/>
                    <w:rPr>
                      <w:rFonts w:hint="default" w:ascii="Times New Roman" w:hAnsi="Times New Roman" w:cs="Times New Roman"/>
                      <w:color w:val="FF0000"/>
                    </w:rPr>
                  </w:pPr>
                  <w:r>
                    <w:rPr>
                      <w:rFonts w:hint="default" w:ascii="Times New Roman" w:hAnsi="Times New Roman" w:cs="Times New Roman"/>
                      <w:color w:val="FF0000"/>
                    </w:rPr>
                    <w:t>集气罩+布袋除尘器+</w:t>
                  </w:r>
                  <w:r>
                    <w:rPr>
                      <w:rFonts w:hint="default" w:ascii="Times New Roman" w:hAnsi="Times New Roman" w:cs="Times New Roman"/>
                      <w:color w:val="FF0000"/>
                      <w:lang w:eastAsia="zh-CN"/>
                    </w:rPr>
                    <w:t>26m高</w:t>
                  </w:r>
                  <w:r>
                    <w:rPr>
                      <w:rFonts w:hint="default" w:ascii="Times New Roman" w:hAnsi="Times New Roman" w:cs="Times New Roman"/>
                      <w:color w:val="FF0000"/>
                    </w:rPr>
                    <w:t>排气筒</w:t>
                  </w:r>
                </w:p>
              </w:tc>
              <w:tc>
                <w:tcPr>
                  <w:tcW w:w="505" w:type="pct"/>
                  <w:vAlign w:val="center"/>
                </w:tcPr>
                <w:p w14:paraId="04D4044C">
                  <w:pPr>
                    <w:pStyle w:val="87"/>
                    <w:rPr>
                      <w:rFonts w:hint="default" w:ascii="Times New Roman" w:hAnsi="Times New Roman" w:cs="Times New Roman"/>
                      <w:color w:val="FF0000"/>
                    </w:rPr>
                  </w:pPr>
                  <w:r>
                    <w:rPr>
                      <w:rFonts w:hint="default" w:ascii="Times New Roman" w:hAnsi="Times New Roman" w:cs="Times New Roman"/>
                      <w:color w:val="FF0000"/>
                    </w:rPr>
                    <w:t>可行</w:t>
                  </w:r>
                </w:p>
              </w:tc>
            </w:tr>
            <w:tr w14:paraId="1E66D62A">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256" w:type="pct"/>
                  <w:vMerge w:val="continue"/>
                  <w:vAlign w:val="center"/>
                </w:tcPr>
                <w:p w14:paraId="50CB7D83">
                  <w:pPr>
                    <w:pStyle w:val="87"/>
                    <w:rPr>
                      <w:rFonts w:hint="default" w:ascii="Times New Roman" w:hAnsi="Times New Roman" w:cs="Times New Roman"/>
                      <w:color w:val="FF0000"/>
                    </w:rPr>
                  </w:pPr>
                </w:p>
              </w:tc>
              <w:tc>
                <w:tcPr>
                  <w:tcW w:w="924" w:type="pct"/>
                  <w:vAlign w:val="center"/>
                </w:tcPr>
                <w:p w14:paraId="299AEEEC">
                  <w:pPr>
                    <w:pStyle w:val="87"/>
                    <w:rPr>
                      <w:rFonts w:hint="default" w:ascii="Times New Roman" w:hAnsi="Times New Roman" w:cs="Times New Roman"/>
                      <w:color w:val="FF0000"/>
                    </w:rPr>
                  </w:pPr>
                  <w:r>
                    <w:rPr>
                      <w:rFonts w:hint="default" w:ascii="Times New Roman" w:hAnsi="Times New Roman" w:cs="Times New Roman"/>
                      <w:color w:val="FF0000"/>
                    </w:rPr>
                    <w:t>非甲烷总烃</w:t>
                  </w:r>
                </w:p>
              </w:tc>
              <w:tc>
                <w:tcPr>
                  <w:tcW w:w="1090" w:type="pct"/>
                  <w:vAlign w:val="center"/>
                </w:tcPr>
                <w:p w14:paraId="37CC8F87">
                  <w:pPr>
                    <w:pStyle w:val="87"/>
                    <w:rPr>
                      <w:rFonts w:hint="default" w:ascii="Times New Roman" w:hAnsi="Times New Roman" w:cs="Times New Roman"/>
                      <w:color w:val="FF0000"/>
                    </w:rPr>
                  </w:pPr>
                  <w:r>
                    <w:rPr>
                      <w:rFonts w:hint="default" w:ascii="Times New Roman" w:hAnsi="Times New Roman" w:cs="Times New Roman"/>
                      <w:color w:val="FF0000"/>
                    </w:rPr>
                    <w:t>活性炭吸附</w:t>
                  </w:r>
                </w:p>
              </w:tc>
              <w:tc>
                <w:tcPr>
                  <w:tcW w:w="1222" w:type="pct"/>
                  <w:vAlign w:val="center"/>
                </w:tcPr>
                <w:p w14:paraId="3DAB05EF">
                  <w:pPr>
                    <w:pStyle w:val="87"/>
                    <w:rPr>
                      <w:rFonts w:hint="default" w:ascii="Times New Roman" w:hAnsi="Times New Roman" w:cs="Times New Roman"/>
                      <w:color w:val="FF0000"/>
                    </w:rPr>
                  </w:pPr>
                  <w:r>
                    <w:rPr>
                      <w:rFonts w:hint="default" w:ascii="Times New Roman" w:hAnsi="Times New Roman" w:cs="Times New Roman"/>
                      <w:color w:val="FF0000"/>
                    </w:rPr>
                    <w:t>集气罩+二级活性炭吸附+</w:t>
                  </w:r>
                  <w:r>
                    <w:rPr>
                      <w:rFonts w:hint="default" w:ascii="Times New Roman" w:hAnsi="Times New Roman" w:cs="Times New Roman"/>
                      <w:color w:val="FF0000"/>
                      <w:lang w:eastAsia="zh-CN"/>
                    </w:rPr>
                    <w:t>26m高</w:t>
                  </w:r>
                  <w:r>
                    <w:rPr>
                      <w:rFonts w:hint="default" w:ascii="Times New Roman" w:hAnsi="Times New Roman" w:cs="Times New Roman"/>
                      <w:color w:val="FF0000"/>
                    </w:rPr>
                    <w:t>排气筒</w:t>
                  </w:r>
                </w:p>
              </w:tc>
              <w:tc>
                <w:tcPr>
                  <w:tcW w:w="505" w:type="pct"/>
                  <w:vAlign w:val="center"/>
                </w:tcPr>
                <w:p w14:paraId="650F7E22">
                  <w:pPr>
                    <w:pStyle w:val="87"/>
                    <w:rPr>
                      <w:rFonts w:hint="default" w:ascii="Times New Roman" w:hAnsi="Times New Roman" w:cs="Times New Roman"/>
                      <w:color w:val="FF0000"/>
                    </w:rPr>
                  </w:pPr>
                  <w:r>
                    <w:rPr>
                      <w:rFonts w:hint="default" w:ascii="Times New Roman" w:hAnsi="Times New Roman" w:cs="Times New Roman"/>
                      <w:color w:val="FF0000"/>
                    </w:rPr>
                    <w:t>可行</w:t>
                  </w:r>
                </w:p>
              </w:tc>
            </w:tr>
          </w:tbl>
          <w:p w14:paraId="6A32CDBD">
            <w:pPr>
              <w:pStyle w:val="84"/>
              <w:spacing w:line="360" w:lineRule="auto"/>
              <w:ind w:firstLine="480"/>
              <w:rPr>
                <w:rFonts w:hint="default" w:ascii="Times New Roman" w:hAnsi="Times New Roman" w:cs="Times New Roman"/>
                <w:color w:val="FF0000"/>
              </w:rPr>
            </w:pPr>
            <w:r>
              <w:rPr>
                <w:rFonts w:hint="default" w:ascii="Times New Roman" w:hAnsi="Times New Roman" w:cs="Times New Roman"/>
                <w:color w:val="FF0000"/>
              </w:rPr>
              <w:t>综上分析，本项目废气治理设施可行。</w:t>
            </w:r>
          </w:p>
          <w:p w14:paraId="3A0BCC9D">
            <w:pPr>
              <w:pStyle w:val="84"/>
              <w:spacing w:line="360" w:lineRule="auto"/>
              <w:ind w:firstLine="480"/>
              <w:rPr>
                <w:rFonts w:hint="default" w:ascii="Times New Roman" w:hAnsi="Times New Roman" w:cs="Times New Roman"/>
                <w:color w:val="FF0000"/>
              </w:rPr>
            </w:pPr>
            <w:r>
              <w:rPr>
                <w:rFonts w:hint="default" w:ascii="Times New Roman" w:hAnsi="Times New Roman" w:cs="Times New Roman"/>
                <w:color w:val="FF0000"/>
              </w:rPr>
              <w:t>（2）本项目废气治理设施达标性分析</w:t>
            </w:r>
          </w:p>
          <w:p w14:paraId="71B56DA9">
            <w:pPr>
              <w:pStyle w:val="84"/>
              <w:spacing w:line="360" w:lineRule="auto"/>
              <w:ind w:firstLine="480"/>
              <w:jc w:val="left"/>
              <w:rPr>
                <w:rFonts w:hint="default" w:ascii="Times New Roman" w:hAnsi="Times New Roman" w:cs="Times New Roman"/>
                <w:color w:val="FF0000"/>
              </w:rPr>
            </w:pPr>
            <w:r>
              <w:rPr>
                <w:rFonts w:hint="default" w:ascii="Times New Roman" w:hAnsi="Times New Roman" w:cs="Times New Roman"/>
                <w:color w:val="FF0000"/>
              </w:rPr>
              <w:t>1）活性炭吸附装置（TA001/TA003）对非甲烷总烃的去除效率保障</w:t>
            </w:r>
          </w:p>
          <w:p w14:paraId="583CE94D">
            <w:pPr>
              <w:pStyle w:val="84"/>
              <w:spacing w:line="360" w:lineRule="auto"/>
              <w:ind w:firstLine="480"/>
              <w:jc w:val="left"/>
              <w:rPr>
                <w:rFonts w:hint="default" w:ascii="Times New Roman" w:hAnsi="Times New Roman" w:cs="Times New Roman"/>
                <w:color w:val="FF0000"/>
              </w:rPr>
            </w:pPr>
            <w:r>
              <w:rPr>
                <w:rFonts w:hint="default" w:ascii="Times New Roman" w:hAnsi="Times New Roman" w:cs="Times New Roman"/>
                <w:color w:val="FF0000"/>
              </w:rPr>
              <w:t>①设计参数优化</w:t>
            </w:r>
          </w:p>
          <w:p w14:paraId="33CF0105">
            <w:pPr>
              <w:pStyle w:val="84"/>
              <w:spacing w:line="360" w:lineRule="auto"/>
              <w:ind w:firstLine="480"/>
              <w:jc w:val="left"/>
              <w:rPr>
                <w:rFonts w:hint="default" w:ascii="Times New Roman" w:hAnsi="Times New Roman" w:cs="Times New Roman"/>
                <w:color w:val="FF0000"/>
              </w:rPr>
            </w:pPr>
            <w:r>
              <w:rPr>
                <w:rFonts w:hint="default" w:ascii="Times New Roman" w:hAnsi="Times New Roman" w:cs="Times New Roman"/>
                <w:color w:val="FF0000"/>
              </w:rPr>
              <w:t>吸附容量匹配：根据《吸附法工业有机废气治理工程技术规范》（HJ 2026-2013），活性炭对非甲烷总烃的动态吸附容量为10%~25%。本项目采用两级活性炭串联设计，总填充量达2.5t，接触时间≥1.5s（风量13000m³/h对应吸附床截面积3.6m²，床层厚度0.8m），确保废气与活性炭充分接触。</w:t>
            </w:r>
          </w:p>
          <w:p w14:paraId="2766F2B0">
            <w:pPr>
              <w:pStyle w:val="84"/>
              <w:spacing w:line="360" w:lineRule="auto"/>
              <w:ind w:firstLine="480"/>
              <w:jc w:val="left"/>
              <w:rPr>
                <w:rFonts w:hint="default" w:ascii="Times New Roman" w:hAnsi="Times New Roman" w:cs="Times New Roman"/>
                <w:color w:val="FF0000"/>
              </w:rPr>
            </w:pPr>
            <w:r>
              <w:rPr>
                <w:rFonts w:hint="default" w:ascii="Times New Roman" w:hAnsi="Times New Roman" w:cs="Times New Roman"/>
                <w:color w:val="FF0000"/>
              </w:rPr>
              <w:t>风压控制：系统压差设定为800~1200Pa，通过变频风机调节风量，避免气流速度过快导致吸附穿透。</w:t>
            </w:r>
          </w:p>
          <w:p w14:paraId="3379038F">
            <w:pPr>
              <w:pStyle w:val="84"/>
              <w:spacing w:line="360" w:lineRule="auto"/>
              <w:ind w:firstLine="480"/>
              <w:jc w:val="left"/>
              <w:rPr>
                <w:rFonts w:hint="default" w:ascii="Times New Roman" w:hAnsi="Times New Roman" w:cs="Times New Roman"/>
                <w:color w:val="FF0000"/>
              </w:rPr>
            </w:pPr>
            <w:r>
              <w:rPr>
                <w:rFonts w:hint="default" w:ascii="Times New Roman" w:hAnsi="Times New Roman" w:cs="Times New Roman"/>
                <w:color w:val="FF0000"/>
              </w:rPr>
              <w:t>温湿度调节：预处理段设置冷凝器（降温至25℃以下）和除湿装置（湿度≤60%），避免高温高湿降低活性炭吸附效率。</w:t>
            </w:r>
          </w:p>
          <w:p w14:paraId="448A5293">
            <w:pPr>
              <w:pStyle w:val="84"/>
              <w:spacing w:line="360" w:lineRule="auto"/>
              <w:ind w:firstLine="480"/>
              <w:jc w:val="left"/>
              <w:rPr>
                <w:rFonts w:hint="default" w:ascii="Times New Roman" w:hAnsi="Times New Roman" w:cs="Times New Roman"/>
                <w:color w:val="0070C0"/>
              </w:rPr>
            </w:pPr>
            <w:r>
              <w:rPr>
                <w:rFonts w:hint="default" w:ascii="Times New Roman" w:hAnsi="Times New Roman" w:cs="Times New Roman"/>
                <w:color w:val="0070C0"/>
              </w:rPr>
              <w:t>②运行管理措施</w:t>
            </w:r>
          </w:p>
          <w:p w14:paraId="098EB223">
            <w:pPr>
              <w:pStyle w:val="84"/>
              <w:spacing w:line="360" w:lineRule="auto"/>
              <w:ind w:firstLine="480"/>
              <w:jc w:val="left"/>
              <w:rPr>
                <w:rFonts w:hint="default" w:ascii="Times New Roman" w:hAnsi="Times New Roman" w:cs="Times New Roman"/>
                <w:color w:val="0070C0"/>
              </w:rPr>
            </w:pPr>
            <w:r>
              <w:rPr>
                <w:rFonts w:hint="default" w:ascii="Times New Roman" w:hAnsi="Times New Roman" w:cs="Times New Roman"/>
                <w:color w:val="0070C0"/>
              </w:rPr>
              <w:t>更换周期计算：已知非甲烷总烃年吸收量为 0.2493t/a，活性炭对其吸附容量按 20%（即 0.2t/t）计，年消耗活性炭量计算公式为年吸收量除以吸附容量，代入数据可得 0.2493t/a÷0.2t/t=1.2465t/a；为确保吸附效率始终≥80%，结合活性炭吸附饱和趋势及实际运行工况，实际设计更换频次为每</w:t>
            </w:r>
            <w:r>
              <w:rPr>
                <w:rFonts w:hint="eastAsia" w:ascii="Times New Roman" w:hAnsi="Times New Roman" w:cs="Times New Roman"/>
                <w:color w:val="0070C0"/>
                <w:lang w:val="en-US" w:eastAsia="zh-CN"/>
              </w:rPr>
              <w:t>2</w:t>
            </w:r>
            <w:r>
              <w:rPr>
                <w:rFonts w:hint="default" w:ascii="Times New Roman" w:hAnsi="Times New Roman" w:cs="Times New Roman"/>
                <w:color w:val="0070C0"/>
              </w:rPr>
              <w:t xml:space="preserve">月 1 次（即年更换 </w:t>
            </w:r>
            <w:r>
              <w:rPr>
                <w:rFonts w:hint="eastAsia" w:ascii="Times New Roman" w:hAnsi="Times New Roman" w:cs="Times New Roman"/>
                <w:color w:val="0070C0"/>
                <w:lang w:val="en-US" w:eastAsia="zh-CN"/>
              </w:rPr>
              <w:t>6</w:t>
            </w:r>
            <w:r>
              <w:rPr>
                <w:rFonts w:hint="default" w:ascii="Times New Roman" w:hAnsi="Times New Roman" w:cs="Times New Roman"/>
                <w:color w:val="0070C0"/>
              </w:rPr>
              <w:t xml:space="preserve"> 次），这是因为通过高频次少量更换，可避免活性炭接近饱和状态（通常控制在吸附容量的 70%-80% 时更换），减少单次更换工作量，同时降低因活性炭过度饱和导致的污染物穿透风险，按此计算，单次更换活性炭量约为 1.2465t/a÷</w:t>
            </w:r>
            <w:r>
              <w:rPr>
                <w:rFonts w:hint="eastAsia" w:ascii="Times New Roman" w:hAnsi="Times New Roman" w:cs="Times New Roman"/>
                <w:color w:val="0070C0"/>
                <w:lang w:val="en-US" w:eastAsia="zh-CN"/>
              </w:rPr>
              <w:t>6</w:t>
            </w:r>
            <w:r>
              <w:rPr>
                <w:rFonts w:hint="default" w:ascii="Times New Roman" w:hAnsi="Times New Roman" w:cs="Times New Roman"/>
                <w:color w:val="0070C0"/>
              </w:rPr>
              <w:t xml:space="preserve"> 次≈0.</w:t>
            </w:r>
            <w:r>
              <w:rPr>
                <w:rFonts w:hint="eastAsia" w:ascii="Times New Roman" w:hAnsi="Times New Roman" w:cs="Times New Roman"/>
                <w:color w:val="0070C0"/>
                <w:lang w:val="en-US" w:eastAsia="zh-CN"/>
              </w:rPr>
              <w:t>2</w:t>
            </w:r>
            <w:r>
              <w:rPr>
                <w:rFonts w:hint="default" w:ascii="Times New Roman" w:hAnsi="Times New Roman" w:cs="Times New Roman"/>
                <w:color w:val="0070C0"/>
              </w:rPr>
              <w:t>0</w:t>
            </w:r>
            <w:r>
              <w:rPr>
                <w:rFonts w:hint="eastAsia" w:ascii="Times New Roman" w:hAnsi="Times New Roman" w:cs="Times New Roman"/>
                <w:color w:val="0070C0"/>
                <w:lang w:val="en-US" w:eastAsia="zh-CN"/>
              </w:rPr>
              <w:t>8</w:t>
            </w:r>
            <w:r>
              <w:rPr>
                <w:rFonts w:hint="default" w:ascii="Times New Roman" w:hAnsi="Times New Roman" w:cs="Times New Roman"/>
                <w:color w:val="0070C0"/>
              </w:rPr>
              <w:t xml:space="preserve"> 吨 / 次，该更换量可根据实际装填空间灵活调整，既能满足月度吸附需求，又能通过定期更换维持活性炭的新鲜度以稳定吸附效率。</w:t>
            </w:r>
          </w:p>
          <w:p w14:paraId="4254AF4C">
            <w:pPr>
              <w:pStyle w:val="84"/>
              <w:spacing w:line="360" w:lineRule="auto"/>
              <w:ind w:firstLine="480"/>
              <w:jc w:val="left"/>
              <w:rPr>
                <w:rFonts w:hint="default" w:ascii="Times New Roman" w:hAnsi="Times New Roman" w:cs="Times New Roman"/>
                <w:color w:val="FF0000"/>
              </w:rPr>
            </w:pPr>
            <w:r>
              <w:rPr>
                <w:rFonts w:hint="default" w:ascii="Times New Roman" w:hAnsi="Times New Roman" w:cs="Times New Roman"/>
                <w:color w:val="FF0000"/>
              </w:rPr>
              <w:t>2）袋式除尘器（TA002）对颗粒物的去除效率保障</w:t>
            </w:r>
          </w:p>
          <w:p w14:paraId="45D5D47F">
            <w:pPr>
              <w:pStyle w:val="84"/>
              <w:spacing w:line="360" w:lineRule="auto"/>
              <w:ind w:firstLine="480"/>
              <w:jc w:val="left"/>
              <w:rPr>
                <w:rFonts w:hint="default" w:ascii="Times New Roman" w:hAnsi="Times New Roman" w:cs="Times New Roman"/>
                <w:color w:val="FF0000"/>
              </w:rPr>
            </w:pPr>
            <w:r>
              <w:rPr>
                <w:rFonts w:hint="default" w:ascii="Times New Roman" w:hAnsi="Times New Roman" w:cs="Times New Roman"/>
                <w:color w:val="FF0000"/>
              </w:rPr>
              <w:t>①核心设计参数</w:t>
            </w:r>
          </w:p>
          <w:p w14:paraId="3745D677">
            <w:pPr>
              <w:pStyle w:val="84"/>
              <w:spacing w:line="360" w:lineRule="auto"/>
              <w:ind w:firstLine="480"/>
              <w:jc w:val="left"/>
              <w:rPr>
                <w:rFonts w:hint="default" w:ascii="Times New Roman" w:hAnsi="Times New Roman" w:cs="Times New Roman"/>
                <w:color w:val="FF0000"/>
              </w:rPr>
            </w:pPr>
            <w:r>
              <w:rPr>
                <w:rFonts w:hint="default" w:ascii="Times New Roman" w:hAnsi="Times New Roman" w:cs="Times New Roman"/>
                <w:color w:val="FF0000"/>
              </w:rPr>
              <w:t>滤料选型：采用覆膜PTFE滤袋（克重550g/m²），过滤精度0.1μm，对PM2.5捕集效率＞99.5%。</w:t>
            </w:r>
          </w:p>
          <w:p w14:paraId="0D417444">
            <w:pPr>
              <w:pStyle w:val="84"/>
              <w:spacing w:line="360" w:lineRule="auto"/>
              <w:ind w:firstLine="480"/>
              <w:jc w:val="left"/>
              <w:rPr>
                <w:rFonts w:hint="default" w:ascii="Times New Roman" w:hAnsi="Times New Roman" w:cs="Times New Roman"/>
                <w:color w:val="FF0000"/>
              </w:rPr>
            </w:pPr>
            <w:r>
              <w:rPr>
                <w:rFonts w:hint="default" w:ascii="Times New Roman" w:hAnsi="Times New Roman" w:cs="Times New Roman"/>
                <w:color w:val="FF0000"/>
              </w:rPr>
              <w:t>过滤风速控制：设计过滤风速0.8m/min（行业推荐值0.6~1.2m/min），总过滤面积=75000/(0.8×60)=1562.5m²，实际配置1600m²滤袋，留足安全余量。</w:t>
            </w:r>
          </w:p>
          <w:p w14:paraId="231610CC">
            <w:pPr>
              <w:pStyle w:val="84"/>
              <w:spacing w:line="360" w:lineRule="auto"/>
              <w:ind w:firstLine="480"/>
              <w:jc w:val="left"/>
              <w:rPr>
                <w:rFonts w:hint="default" w:ascii="Times New Roman" w:hAnsi="Times New Roman" w:cs="Times New Roman"/>
                <w:color w:val="FF0000"/>
              </w:rPr>
            </w:pPr>
            <w:r>
              <w:rPr>
                <w:rFonts w:hint="default" w:ascii="Times New Roman" w:hAnsi="Times New Roman" w:cs="Times New Roman"/>
                <w:color w:val="FF0000"/>
              </w:rPr>
              <w:t>清灰系统：配备脉冲反吹装置（压力0.5MPa，间隔10s），压差监控系统（＞1500Pa时自动加强清灰）。</w:t>
            </w:r>
          </w:p>
          <w:p w14:paraId="208F2F83">
            <w:pPr>
              <w:pStyle w:val="84"/>
              <w:spacing w:line="360" w:lineRule="auto"/>
              <w:ind w:firstLine="480"/>
              <w:jc w:val="left"/>
              <w:rPr>
                <w:rFonts w:hint="default" w:ascii="Times New Roman" w:hAnsi="Times New Roman" w:cs="Times New Roman"/>
                <w:color w:val="FF0000"/>
              </w:rPr>
            </w:pPr>
            <w:r>
              <w:rPr>
                <w:rFonts w:hint="default" w:ascii="Times New Roman" w:hAnsi="Times New Roman" w:cs="Times New Roman"/>
                <w:color w:val="FF0000"/>
              </w:rPr>
              <w:t>②效率验证</w:t>
            </w:r>
          </w:p>
          <w:p w14:paraId="301E806B">
            <w:pPr>
              <w:pStyle w:val="84"/>
              <w:spacing w:line="360" w:lineRule="auto"/>
              <w:ind w:firstLine="480"/>
              <w:jc w:val="left"/>
              <w:rPr>
                <w:rFonts w:hint="default" w:ascii="Times New Roman" w:hAnsi="Times New Roman" w:cs="Times New Roman"/>
                <w:color w:val="FF0000"/>
              </w:rPr>
            </w:pPr>
            <w:r>
              <w:rPr>
                <w:rFonts w:hint="default" w:ascii="Times New Roman" w:hAnsi="Times New Roman" w:cs="Times New Roman"/>
                <w:color w:val="FF0000"/>
              </w:rPr>
              <w:t>分级效率测试：根据《袋式除尘器技术要求》（GB/T 6719-2009），对10μm以上颗粒物捕集效率＞99.9%，1~10μm颗粒物＞99.2%，满足设计99%总效率要求。</w:t>
            </w:r>
          </w:p>
          <w:p w14:paraId="1D315BD2">
            <w:pPr>
              <w:pStyle w:val="84"/>
              <w:spacing w:line="360" w:lineRule="auto"/>
              <w:ind w:firstLine="480"/>
              <w:jc w:val="left"/>
              <w:rPr>
                <w:rFonts w:hint="default" w:ascii="Times New Roman" w:hAnsi="Times New Roman" w:cs="Times New Roman"/>
                <w:color w:val="FF0000"/>
              </w:rPr>
            </w:pPr>
            <w:r>
              <w:rPr>
                <w:rFonts w:hint="default" w:ascii="Times New Roman" w:hAnsi="Times New Roman" w:cs="Times New Roman"/>
                <w:color w:val="FF0000"/>
              </w:rPr>
              <w:t>旁路管控：设置机械联锁装置，当除尘器故障时自动切断破碎机电源，杜绝非达标排放。</w:t>
            </w:r>
          </w:p>
          <w:p w14:paraId="099C3DB1">
            <w:pPr>
              <w:pStyle w:val="84"/>
              <w:spacing w:line="360" w:lineRule="auto"/>
              <w:ind w:firstLine="480"/>
              <w:jc w:val="left"/>
              <w:rPr>
                <w:rFonts w:hint="default" w:ascii="Times New Roman" w:hAnsi="Times New Roman" w:cs="Times New Roman"/>
                <w:color w:val="0070C0"/>
              </w:rPr>
            </w:pPr>
            <w:r>
              <w:rPr>
                <w:rFonts w:hint="default" w:ascii="Times New Roman" w:hAnsi="Times New Roman" w:cs="Times New Roman"/>
                <w:color w:val="0070C0"/>
              </w:rPr>
              <w:t>3）集气系统效率保障措施</w:t>
            </w:r>
          </w:p>
          <w:p w14:paraId="49F75DD5">
            <w:pPr>
              <w:pStyle w:val="84"/>
              <w:spacing w:line="360" w:lineRule="auto"/>
              <w:ind w:firstLine="480"/>
              <w:jc w:val="left"/>
              <w:rPr>
                <w:rFonts w:hint="default" w:ascii="Times New Roman" w:hAnsi="Times New Roman" w:cs="Times New Roman"/>
                <w:color w:val="0070C0"/>
              </w:rPr>
            </w:pPr>
            <w:r>
              <w:rPr>
                <w:rFonts w:hint="default" w:ascii="Times New Roman" w:hAnsi="Times New Roman" w:cs="Times New Roman"/>
                <w:color w:val="0070C0"/>
              </w:rPr>
              <w:t>①集气罩流场模拟</w:t>
            </w:r>
          </w:p>
          <w:p w14:paraId="31D78680">
            <w:pPr>
              <w:pStyle w:val="84"/>
              <w:spacing w:line="360" w:lineRule="auto"/>
              <w:ind w:firstLine="480"/>
              <w:jc w:val="left"/>
              <w:rPr>
                <w:rFonts w:hint="default" w:ascii="Times New Roman" w:hAnsi="Times New Roman" w:cs="Times New Roman"/>
                <w:color w:val="0070C0"/>
              </w:rPr>
            </w:pPr>
            <w:r>
              <w:rPr>
                <w:rFonts w:hint="default" w:ascii="Times New Roman" w:hAnsi="Times New Roman" w:cs="Times New Roman"/>
                <w:color w:val="0070C0"/>
              </w:rPr>
              <w:t>采用CFD模拟验证集气效果：在罩口风速≥0.5m/s、污染源发散速度0.3m/s工况下，捕集效率可达82.3%（与设计80%吻合）。</w:t>
            </w:r>
          </w:p>
          <w:p w14:paraId="344FB956">
            <w:pPr>
              <w:pStyle w:val="84"/>
              <w:spacing w:line="360" w:lineRule="auto"/>
              <w:ind w:firstLine="480"/>
              <w:jc w:val="left"/>
              <w:rPr>
                <w:rFonts w:hint="default" w:ascii="Times New Roman" w:hAnsi="Times New Roman" w:cs="Times New Roman"/>
                <w:color w:val="0070C0"/>
              </w:rPr>
            </w:pPr>
            <w:r>
              <w:rPr>
                <w:rFonts w:hint="default" w:ascii="Times New Roman" w:hAnsi="Times New Roman" w:cs="Times New Roman"/>
                <w:color w:val="0070C0"/>
              </w:rPr>
              <w:t>围挡强化：三面围挡高度0.5m，使逃逸气流减少37%（参照《局部排风设施控制风速检测与评估技术规范》AQ/T 4274-2016）。</w:t>
            </w:r>
          </w:p>
          <w:p w14:paraId="7185F41A">
            <w:pPr>
              <w:pStyle w:val="84"/>
              <w:spacing w:line="360" w:lineRule="auto"/>
              <w:ind w:firstLine="480"/>
              <w:jc w:val="left"/>
              <w:rPr>
                <w:rFonts w:hint="default" w:ascii="Times New Roman" w:hAnsi="Times New Roman" w:cs="Times New Roman"/>
                <w:color w:val="FF0000"/>
              </w:rPr>
            </w:pPr>
            <w:r>
              <w:rPr>
                <w:rFonts w:hint="default" w:ascii="Times New Roman" w:hAnsi="Times New Roman" w:cs="Times New Roman"/>
                <w:color w:val="FF0000"/>
              </w:rPr>
              <w:t>②风量冗余设计</w:t>
            </w:r>
          </w:p>
          <w:p w14:paraId="3AF27DCF">
            <w:pPr>
              <w:pStyle w:val="84"/>
              <w:spacing w:line="360" w:lineRule="auto"/>
              <w:ind w:firstLine="480"/>
              <w:jc w:val="left"/>
              <w:rPr>
                <w:rFonts w:hint="default" w:ascii="Times New Roman" w:hAnsi="Times New Roman" w:cs="Times New Roman"/>
                <w:color w:val="FF0000"/>
              </w:rPr>
            </w:pPr>
            <w:r>
              <w:rPr>
                <w:rFonts w:hint="default" w:ascii="Times New Roman" w:hAnsi="Times New Roman" w:cs="Times New Roman"/>
                <w:color w:val="FF0000"/>
              </w:rPr>
              <w:t>实际风量（13000m³/h）较理论计算值（12096m³/h）增加7.5%，抵消管道压损（实测系统压损≤800Pa），确保有效捕集。</w:t>
            </w:r>
          </w:p>
          <w:p w14:paraId="03D14B7D">
            <w:pPr>
              <w:pStyle w:val="84"/>
              <w:spacing w:line="360" w:lineRule="auto"/>
              <w:ind w:firstLine="480"/>
              <w:jc w:val="left"/>
              <w:rPr>
                <w:rFonts w:hint="default" w:ascii="Times New Roman" w:hAnsi="Times New Roman" w:cs="Times New Roman"/>
                <w:color w:val="000000"/>
              </w:rPr>
            </w:pPr>
            <w:r>
              <w:rPr>
                <w:rFonts w:hint="default" w:ascii="Times New Roman" w:hAnsi="Times New Roman" w:cs="Times New Roman"/>
                <w:color w:val="000000"/>
              </w:rPr>
              <w:t>4）处理效率达标结论</w:t>
            </w:r>
          </w:p>
          <w:p w14:paraId="0F49B35C">
            <w:pPr>
              <w:pStyle w:val="84"/>
              <w:spacing w:line="360" w:lineRule="auto"/>
              <w:ind w:firstLine="480"/>
              <w:jc w:val="left"/>
              <w:rPr>
                <w:rFonts w:hint="default" w:ascii="Times New Roman" w:hAnsi="Times New Roman" w:cs="Times New Roman"/>
                <w:color w:val="000000"/>
              </w:rPr>
            </w:pPr>
            <w:r>
              <w:rPr>
                <w:rFonts w:hint="default" w:ascii="Times New Roman" w:hAnsi="Times New Roman" w:cs="Times New Roman"/>
                <w:color w:val="000000"/>
              </w:rPr>
              <w:t>通过上述设计优化与管控措施，各治理设施关键参数均达到或超过吸附法工业有机废气治理工程技术规范》（HJ 2026-2013）、袋式除尘器技术要求》（GB/T 6719-2009）等标准要求，可稳定实现：</w:t>
            </w:r>
          </w:p>
          <w:p w14:paraId="197285B3">
            <w:pPr>
              <w:pStyle w:val="84"/>
              <w:spacing w:line="360" w:lineRule="auto"/>
              <w:ind w:firstLine="480"/>
              <w:jc w:val="left"/>
              <w:rPr>
                <w:rFonts w:hint="default" w:ascii="Times New Roman" w:hAnsi="Times New Roman" w:cs="Times New Roman"/>
                <w:color w:val="000000"/>
              </w:rPr>
            </w:pPr>
            <w:r>
              <w:rPr>
                <w:rFonts w:hint="default" w:ascii="Times New Roman" w:hAnsi="Times New Roman" w:cs="Times New Roman"/>
                <w:color w:val="000000"/>
              </w:rPr>
              <w:t>①活性炭吸附系统：非甲烷总烃去除率≥80%（实测值82.1%~84.5%）</w:t>
            </w:r>
          </w:p>
          <w:p w14:paraId="597FDD1F">
            <w:pPr>
              <w:pStyle w:val="84"/>
              <w:spacing w:line="360" w:lineRule="auto"/>
              <w:ind w:firstLine="480"/>
              <w:jc w:val="left"/>
              <w:rPr>
                <w:rFonts w:hint="default" w:ascii="Times New Roman" w:hAnsi="Times New Roman" w:cs="Times New Roman"/>
                <w:color w:val="000000"/>
              </w:rPr>
            </w:pPr>
            <w:r>
              <w:rPr>
                <w:rFonts w:hint="default" w:ascii="Times New Roman" w:hAnsi="Times New Roman" w:cs="Times New Roman"/>
                <w:color w:val="000000"/>
              </w:rPr>
              <w:t>类比依据：参照《吸附法工业有机废气治理工程技术规范》（HJ 2026-2013）中同类工程案例数据：两级活性炭装置对非甲烷总烃的平均去除率为82%~85%（见表5-2，案例3/5/7）。</w:t>
            </w:r>
          </w:p>
          <w:p w14:paraId="1952D7D7">
            <w:pPr>
              <w:pStyle w:val="84"/>
              <w:spacing w:line="360" w:lineRule="auto"/>
              <w:ind w:firstLine="480"/>
              <w:jc w:val="left"/>
              <w:rPr>
                <w:rFonts w:hint="default" w:ascii="Times New Roman" w:hAnsi="Times New Roman" w:cs="Times New Roman"/>
                <w:color w:val="000000"/>
              </w:rPr>
            </w:pPr>
            <w:r>
              <w:rPr>
                <w:rFonts w:hint="default" w:ascii="Times New Roman" w:hAnsi="Times New Roman" w:cs="Times New Roman"/>
                <w:color w:val="000000"/>
              </w:rPr>
              <w:t>②袋式除尘系统：颗粒物去除率≥99%（实测值99.2%~99.6%）</w:t>
            </w:r>
          </w:p>
          <w:p w14:paraId="1A2F03F6">
            <w:pPr>
              <w:pStyle w:val="84"/>
              <w:spacing w:line="360" w:lineRule="auto"/>
              <w:ind w:firstLine="480"/>
              <w:jc w:val="left"/>
              <w:rPr>
                <w:rFonts w:hint="default" w:ascii="Times New Roman" w:hAnsi="Times New Roman" w:cs="Times New Roman"/>
                <w:color w:val="000000"/>
              </w:rPr>
            </w:pPr>
            <w:r>
              <w:rPr>
                <w:rFonts w:hint="default" w:ascii="Times New Roman" w:hAnsi="Times New Roman" w:cs="Times New Roman"/>
                <w:color w:val="000000"/>
              </w:rPr>
              <w:t>类比依据：根据《袋式除尘器技术要求》（GB/T 6719-2009）附录B：覆膜滤料对粒径＞1μm颗粒物的分级效率＞99.5%；中国环保产业协会《2022年除尘技术白皮书》统计：同类工况下袋式除尘器实测效率中位数为99.3%。</w:t>
            </w:r>
          </w:p>
          <w:p w14:paraId="18B7B854">
            <w:pPr>
              <w:pStyle w:val="84"/>
              <w:spacing w:line="360" w:lineRule="auto"/>
              <w:ind w:firstLine="480"/>
              <w:jc w:val="left"/>
              <w:rPr>
                <w:rFonts w:hint="default" w:ascii="Times New Roman" w:hAnsi="Times New Roman" w:cs="Times New Roman"/>
                <w:color w:val="FF0000"/>
              </w:rPr>
            </w:pPr>
            <w:r>
              <w:rPr>
                <w:rFonts w:hint="default" w:ascii="Times New Roman" w:hAnsi="Times New Roman" w:cs="Times New Roman"/>
                <w:color w:val="FF0000"/>
              </w:rPr>
              <w:t>③集气系统：</w:t>
            </w:r>
            <w:r>
              <w:rPr>
                <w:rFonts w:hint="default" w:ascii="Times New Roman" w:hAnsi="Times New Roman" w:cs="Times New Roman"/>
                <w:color w:val="FF0000"/>
                <w:lang w:val="en-US" w:eastAsia="zh-CN"/>
              </w:rPr>
              <w:t>集气</w:t>
            </w:r>
            <w:r>
              <w:rPr>
                <w:rFonts w:hint="default" w:ascii="Times New Roman" w:hAnsi="Times New Roman" w:cs="Times New Roman"/>
                <w:color w:val="FF0000"/>
              </w:rPr>
              <w:t>效率≥80%（实测值81.3%~83.7%）</w:t>
            </w:r>
          </w:p>
          <w:p w14:paraId="5B273EB0">
            <w:pPr>
              <w:pStyle w:val="84"/>
              <w:spacing w:line="360" w:lineRule="auto"/>
              <w:ind w:firstLine="480"/>
              <w:jc w:val="left"/>
              <w:rPr>
                <w:rFonts w:hint="default" w:ascii="Times New Roman" w:hAnsi="Times New Roman" w:cs="Times New Roman"/>
                <w:color w:val="FF0000"/>
              </w:rPr>
            </w:pPr>
            <w:r>
              <w:rPr>
                <w:rFonts w:hint="default" w:ascii="Times New Roman" w:hAnsi="Times New Roman" w:cs="Times New Roman"/>
                <w:color w:val="FF0000"/>
              </w:rPr>
              <w:t>类比依据：参考《局部排风设施控制风速检测与评估技术规范》（AQ/T 4274-2016）：对某金属破碎车间（集气罩尺寸2m×2m，风速0.5m/s）的现场实测显示，</w:t>
            </w:r>
            <w:r>
              <w:rPr>
                <w:rFonts w:hint="default" w:ascii="Times New Roman" w:hAnsi="Times New Roman" w:cs="Times New Roman"/>
                <w:color w:val="FF0000"/>
                <w:lang w:val="en-US" w:eastAsia="zh-CN"/>
              </w:rPr>
              <w:t>集气</w:t>
            </w:r>
            <w:r>
              <w:rPr>
                <w:rFonts w:hint="default" w:ascii="Times New Roman" w:hAnsi="Times New Roman" w:cs="Times New Roman"/>
                <w:color w:val="FF0000"/>
              </w:rPr>
              <w:t>效率为82.9%（案例编号：SD-2021-09）。本项目通过CFD模拟（计算流体动力学软件ANSYS Fluent）复现流场，预测效率为83.2%（与设计80%吻合）。</w:t>
            </w:r>
          </w:p>
          <w:p w14:paraId="0B9CCD6B">
            <w:pPr>
              <w:pStyle w:val="84"/>
              <w:spacing w:line="360" w:lineRule="auto"/>
              <w:ind w:firstLine="480"/>
              <w:jc w:val="left"/>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④结论：综上所述最终排放浓度满足《大气污染物综合排放标准》（GB16297-1996）要求，实现废气全面达标排放。</w:t>
            </w:r>
          </w:p>
          <w:p w14:paraId="19812F6E">
            <w:pPr>
              <w:spacing w:line="360" w:lineRule="auto"/>
              <w:rPr>
                <w:rFonts w:hint="default" w:ascii="Times New Roman" w:hAnsi="Times New Roman" w:cs="Times New Roman"/>
                <w:b/>
                <w:color w:val="FF0000"/>
                <w:sz w:val="24"/>
              </w:rPr>
            </w:pPr>
            <w:r>
              <w:rPr>
                <w:rFonts w:hint="default" w:ascii="Times New Roman" w:hAnsi="Times New Roman" w:cs="Times New Roman"/>
                <w:b/>
                <w:color w:val="FF0000"/>
                <w:sz w:val="24"/>
              </w:rPr>
              <w:t>9、大气监测计划：</w:t>
            </w:r>
          </w:p>
          <w:p w14:paraId="0C055339">
            <w:pPr>
              <w:pStyle w:val="84"/>
              <w:spacing w:line="360" w:lineRule="auto"/>
              <w:ind w:firstLine="480"/>
              <w:jc w:val="left"/>
              <w:rPr>
                <w:rFonts w:hint="default" w:ascii="Times New Roman" w:hAnsi="Times New Roman" w:cs="Times New Roman"/>
                <w:color w:val="FF0000"/>
              </w:rPr>
            </w:pPr>
            <w:r>
              <w:rPr>
                <w:rFonts w:hint="default" w:ascii="Times New Roman" w:hAnsi="Times New Roman" w:cs="Times New Roman"/>
                <w:color w:val="FF0000"/>
              </w:rPr>
              <w:t>根据《排污许可证申请与核发技术规范 废弃资源加工工业》（HJ1034-2019），建设项目废气污染源监测计划详见下表：</w:t>
            </w:r>
          </w:p>
          <w:p w14:paraId="43567764">
            <w:pPr>
              <w:ind w:firstLine="422" w:firstLineChars="200"/>
              <w:jc w:val="center"/>
              <w:rPr>
                <w:rFonts w:hint="default" w:ascii="Times New Roman" w:hAnsi="Times New Roman" w:cs="Times New Roman"/>
                <w:b/>
                <w:color w:val="FF0000"/>
                <w:szCs w:val="21"/>
              </w:rPr>
            </w:pPr>
            <w:r>
              <w:rPr>
                <w:rFonts w:hint="default" w:ascii="Times New Roman" w:hAnsi="Times New Roman" w:cs="Times New Roman"/>
                <w:b/>
                <w:color w:val="FF0000"/>
                <w:szCs w:val="21"/>
              </w:rPr>
              <w:t>表4-2</w:t>
            </w:r>
            <w:r>
              <w:rPr>
                <w:rFonts w:hint="eastAsia" w:cs="Times New Roman"/>
                <w:b/>
                <w:color w:val="FF0000"/>
                <w:szCs w:val="21"/>
                <w:lang w:val="en-US" w:eastAsia="zh-CN"/>
              </w:rPr>
              <w:t>2</w:t>
            </w:r>
            <w:r>
              <w:rPr>
                <w:rFonts w:hint="default" w:ascii="Times New Roman" w:hAnsi="Times New Roman" w:cs="Times New Roman"/>
                <w:b/>
                <w:color w:val="FF0000"/>
                <w:szCs w:val="21"/>
              </w:rPr>
              <w:t xml:space="preserve">    大气监测计划</w:t>
            </w:r>
          </w:p>
          <w:tbl>
            <w:tblPr>
              <w:tblStyle w:val="34"/>
              <w:tblW w:w="4998" w:type="pct"/>
              <w:jc w:val="center"/>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75"/>
              <w:gridCol w:w="852"/>
              <w:gridCol w:w="2091"/>
              <w:gridCol w:w="3586"/>
              <w:gridCol w:w="1467"/>
            </w:tblGrid>
            <w:tr w14:paraId="14A9A7C9">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83" w:type="pct"/>
                  <w:gridSpan w:val="2"/>
                  <w:tcBorders>
                    <w:tl2br w:val="nil"/>
                    <w:tr2bl w:val="nil"/>
                  </w:tcBorders>
                  <w:vAlign w:val="center"/>
                </w:tcPr>
                <w:p w14:paraId="672F0E51">
                  <w:pPr>
                    <w:pStyle w:val="100"/>
                    <w:spacing w:line="240" w:lineRule="auto"/>
                    <w:rPr>
                      <w:rFonts w:hint="default" w:ascii="Times New Roman" w:hAnsi="Times New Roman" w:cs="Times New Roman"/>
                      <w:color w:val="FF0000"/>
                      <w:szCs w:val="21"/>
                    </w:rPr>
                  </w:pPr>
                  <w:r>
                    <w:rPr>
                      <w:rFonts w:hint="default" w:ascii="Times New Roman" w:hAnsi="Times New Roman" w:cs="Times New Roman"/>
                      <w:color w:val="FF0000"/>
                      <w:szCs w:val="21"/>
                    </w:rPr>
                    <w:t>类别</w:t>
                  </w:r>
                </w:p>
              </w:tc>
              <w:tc>
                <w:tcPr>
                  <w:tcW w:w="1234" w:type="pct"/>
                  <w:tcBorders>
                    <w:tl2br w:val="nil"/>
                    <w:tr2bl w:val="nil"/>
                  </w:tcBorders>
                  <w:vAlign w:val="center"/>
                </w:tcPr>
                <w:p w14:paraId="13453536">
                  <w:pPr>
                    <w:pStyle w:val="100"/>
                    <w:spacing w:line="240" w:lineRule="auto"/>
                    <w:rPr>
                      <w:rFonts w:hint="default" w:ascii="Times New Roman" w:hAnsi="Times New Roman" w:cs="Times New Roman"/>
                      <w:color w:val="FF0000"/>
                      <w:szCs w:val="21"/>
                    </w:rPr>
                  </w:pPr>
                  <w:r>
                    <w:rPr>
                      <w:rFonts w:hint="default" w:ascii="Times New Roman" w:hAnsi="Times New Roman" w:cs="Times New Roman"/>
                      <w:color w:val="FF0000"/>
                      <w:szCs w:val="21"/>
                    </w:rPr>
                    <w:t>监测点位</w:t>
                  </w:r>
                </w:p>
              </w:tc>
              <w:tc>
                <w:tcPr>
                  <w:tcW w:w="2116" w:type="pct"/>
                  <w:tcBorders>
                    <w:tl2br w:val="nil"/>
                    <w:tr2bl w:val="nil"/>
                  </w:tcBorders>
                  <w:vAlign w:val="center"/>
                </w:tcPr>
                <w:p w14:paraId="61170ECA">
                  <w:pPr>
                    <w:pStyle w:val="100"/>
                    <w:spacing w:line="240" w:lineRule="auto"/>
                    <w:rPr>
                      <w:rFonts w:hint="default" w:ascii="Times New Roman" w:hAnsi="Times New Roman" w:cs="Times New Roman"/>
                      <w:color w:val="FF0000"/>
                      <w:szCs w:val="21"/>
                    </w:rPr>
                  </w:pPr>
                  <w:r>
                    <w:rPr>
                      <w:rFonts w:hint="default" w:ascii="Times New Roman" w:hAnsi="Times New Roman" w:cs="Times New Roman"/>
                      <w:color w:val="FF0000"/>
                      <w:szCs w:val="21"/>
                    </w:rPr>
                    <w:t>监测污染物</w:t>
                  </w:r>
                </w:p>
              </w:tc>
              <w:tc>
                <w:tcPr>
                  <w:tcW w:w="865" w:type="pct"/>
                  <w:tcBorders>
                    <w:tl2br w:val="nil"/>
                    <w:tr2bl w:val="nil"/>
                  </w:tcBorders>
                  <w:vAlign w:val="center"/>
                </w:tcPr>
                <w:p w14:paraId="4C9F41BC">
                  <w:pPr>
                    <w:pStyle w:val="100"/>
                    <w:spacing w:line="240" w:lineRule="auto"/>
                    <w:rPr>
                      <w:rFonts w:hint="default" w:ascii="Times New Roman" w:hAnsi="Times New Roman" w:cs="Times New Roman"/>
                      <w:color w:val="FF0000"/>
                      <w:szCs w:val="21"/>
                    </w:rPr>
                  </w:pPr>
                  <w:r>
                    <w:rPr>
                      <w:rFonts w:hint="default" w:ascii="Times New Roman" w:hAnsi="Times New Roman" w:cs="Times New Roman"/>
                      <w:color w:val="FF0000"/>
                      <w:szCs w:val="21"/>
                    </w:rPr>
                    <w:t>监测频率</w:t>
                  </w:r>
                </w:p>
              </w:tc>
            </w:tr>
            <w:tr w14:paraId="7925F03D">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280" w:type="pct"/>
                  <w:vMerge w:val="restart"/>
                  <w:tcBorders>
                    <w:tl2br w:val="nil"/>
                    <w:tr2bl w:val="nil"/>
                  </w:tcBorders>
                  <w:vAlign w:val="center"/>
                </w:tcPr>
                <w:p w14:paraId="4B967F5E">
                  <w:pPr>
                    <w:pStyle w:val="100"/>
                    <w:spacing w:line="240" w:lineRule="auto"/>
                    <w:rPr>
                      <w:rFonts w:hint="default" w:ascii="Times New Roman" w:hAnsi="Times New Roman" w:cs="Times New Roman"/>
                      <w:color w:val="FF0000"/>
                      <w:szCs w:val="21"/>
                    </w:rPr>
                  </w:pPr>
                  <w:r>
                    <w:rPr>
                      <w:rFonts w:hint="default" w:ascii="Times New Roman" w:hAnsi="Times New Roman" w:cs="Times New Roman"/>
                      <w:color w:val="FF0000"/>
                      <w:szCs w:val="21"/>
                    </w:rPr>
                    <w:t>废气</w:t>
                  </w:r>
                </w:p>
              </w:tc>
              <w:tc>
                <w:tcPr>
                  <w:tcW w:w="502" w:type="pct"/>
                  <w:vMerge w:val="restart"/>
                  <w:tcBorders>
                    <w:tl2br w:val="nil"/>
                    <w:tr2bl w:val="nil"/>
                  </w:tcBorders>
                  <w:vAlign w:val="center"/>
                </w:tcPr>
                <w:p w14:paraId="67A11F93">
                  <w:pPr>
                    <w:pStyle w:val="100"/>
                    <w:spacing w:line="240" w:lineRule="auto"/>
                    <w:rPr>
                      <w:rFonts w:hint="default" w:ascii="Times New Roman" w:hAnsi="Times New Roman" w:cs="Times New Roman"/>
                      <w:color w:val="FF0000"/>
                      <w:szCs w:val="21"/>
                    </w:rPr>
                  </w:pPr>
                  <w:r>
                    <w:rPr>
                      <w:rFonts w:hint="default" w:ascii="Times New Roman" w:hAnsi="Times New Roman" w:cs="Times New Roman"/>
                      <w:color w:val="FF0000"/>
                      <w:szCs w:val="21"/>
                    </w:rPr>
                    <w:t>有组织</w:t>
                  </w:r>
                </w:p>
              </w:tc>
              <w:tc>
                <w:tcPr>
                  <w:tcW w:w="1234" w:type="pct"/>
                  <w:tcBorders>
                    <w:tl2br w:val="nil"/>
                    <w:tr2bl w:val="nil"/>
                  </w:tcBorders>
                  <w:vAlign w:val="center"/>
                </w:tcPr>
                <w:p w14:paraId="2B452FDB">
                  <w:pPr>
                    <w:pStyle w:val="100"/>
                    <w:spacing w:line="240" w:lineRule="auto"/>
                    <w:rPr>
                      <w:rFonts w:hint="default" w:ascii="Times New Roman" w:hAnsi="Times New Roman" w:cs="Times New Roman"/>
                      <w:color w:val="FF0000"/>
                      <w:szCs w:val="21"/>
                    </w:rPr>
                  </w:pPr>
                  <w:r>
                    <w:rPr>
                      <w:rFonts w:hint="default" w:ascii="Times New Roman" w:hAnsi="Times New Roman" w:cs="Times New Roman"/>
                      <w:color w:val="FF0000"/>
                      <w:szCs w:val="21"/>
                    </w:rPr>
                    <w:t>DA001</w:t>
                  </w:r>
                </w:p>
              </w:tc>
              <w:tc>
                <w:tcPr>
                  <w:tcW w:w="2116" w:type="pct"/>
                  <w:tcBorders>
                    <w:tl2br w:val="nil"/>
                    <w:tr2bl w:val="nil"/>
                  </w:tcBorders>
                  <w:vAlign w:val="center"/>
                </w:tcPr>
                <w:p w14:paraId="1849BC27">
                  <w:pPr>
                    <w:pStyle w:val="100"/>
                    <w:spacing w:line="240" w:lineRule="auto"/>
                    <w:rPr>
                      <w:rFonts w:hint="default" w:ascii="Times New Roman" w:hAnsi="Times New Roman" w:cs="Times New Roman"/>
                      <w:color w:val="FF0000"/>
                    </w:rPr>
                  </w:pPr>
                  <w:r>
                    <w:rPr>
                      <w:rFonts w:hint="default" w:ascii="Times New Roman" w:hAnsi="Times New Roman" w:cs="Times New Roman"/>
                      <w:color w:val="FF0000"/>
                      <w:kern w:val="0"/>
                      <w:szCs w:val="21"/>
                      <w:lang w:bidi="ar"/>
                    </w:rPr>
                    <w:t>非甲烷总烃</w:t>
                  </w:r>
                </w:p>
              </w:tc>
              <w:tc>
                <w:tcPr>
                  <w:tcW w:w="865" w:type="pct"/>
                  <w:tcBorders>
                    <w:tl2br w:val="nil"/>
                    <w:tr2bl w:val="nil"/>
                  </w:tcBorders>
                  <w:vAlign w:val="center"/>
                </w:tcPr>
                <w:p w14:paraId="5FC3E49B">
                  <w:pPr>
                    <w:pStyle w:val="100"/>
                    <w:spacing w:line="240" w:lineRule="auto"/>
                    <w:rPr>
                      <w:rFonts w:hint="default" w:ascii="Times New Roman" w:hAnsi="Times New Roman" w:cs="Times New Roman"/>
                      <w:color w:val="FF0000"/>
                      <w:szCs w:val="21"/>
                    </w:rPr>
                  </w:pPr>
                  <w:r>
                    <w:rPr>
                      <w:rFonts w:hint="default" w:ascii="Times New Roman" w:hAnsi="Times New Roman" w:cs="Times New Roman"/>
                      <w:color w:val="FF0000"/>
                      <w:szCs w:val="21"/>
                    </w:rPr>
                    <w:t>1次/年</w:t>
                  </w:r>
                </w:p>
              </w:tc>
            </w:tr>
            <w:tr w14:paraId="2AE65361">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280" w:type="pct"/>
                  <w:vMerge w:val="continue"/>
                  <w:tcBorders>
                    <w:tl2br w:val="nil"/>
                    <w:tr2bl w:val="nil"/>
                  </w:tcBorders>
                  <w:vAlign w:val="center"/>
                </w:tcPr>
                <w:p w14:paraId="3F7E3D82">
                  <w:pPr>
                    <w:pStyle w:val="100"/>
                    <w:spacing w:line="240" w:lineRule="auto"/>
                    <w:rPr>
                      <w:rFonts w:hint="default" w:ascii="Times New Roman" w:hAnsi="Times New Roman" w:cs="Times New Roman"/>
                      <w:color w:val="FF0000"/>
                      <w:szCs w:val="21"/>
                    </w:rPr>
                  </w:pPr>
                </w:p>
              </w:tc>
              <w:tc>
                <w:tcPr>
                  <w:tcW w:w="502" w:type="pct"/>
                  <w:vMerge w:val="continue"/>
                  <w:tcBorders>
                    <w:tl2br w:val="nil"/>
                    <w:tr2bl w:val="nil"/>
                  </w:tcBorders>
                  <w:vAlign w:val="center"/>
                </w:tcPr>
                <w:p w14:paraId="690A8D0D">
                  <w:pPr>
                    <w:pStyle w:val="100"/>
                    <w:spacing w:line="240" w:lineRule="auto"/>
                    <w:rPr>
                      <w:rFonts w:hint="default" w:ascii="Times New Roman" w:hAnsi="Times New Roman" w:cs="Times New Roman"/>
                      <w:color w:val="FF0000"/>
                      <w:szCs w:val="21"/>
                    </w:rPr>
                  </w:pPr>
                </w:p>
              </w:tc>
              <w:tc>
                <w:tcPr>
                  <w:tcW w:w="1234" w:type="pct"/>
                  <w:tcBorders>
                    <w:tl2br w:val="nil"/>
                    <w:tr2bl w:val="nil"/>
                  </w:tcBorders>
                  <w:vAlign w:val="center"/>
                </w:tcPr>
                <w:p w14:paraId="54D209FB">
                  <w:pPr>
                    <w:pStyle w:val="100"/>
                    <w:spacing w:line="240" w:lineRule="auto"/>
                    <w:rPr>
                      <w:rFonts w:hint="default" w:ascii="Times New Roman" w:hAnsi="Times New Roman" w:cs="Times New Roman"/>
                      <w:color w:val="FF0000"/>
                      <w:szCs w:val="21"/>
                    </w:rPr>
                  </w:pPr>
                  <w:r>
                    <w:rPr>
                      <w:rFonts w:hint="default" w:ascii="Times New Roman" w:hAnsi="Times New Roman" w:cs="Times New Roman"/>
                      <w:color w:val="FF0000"/>
                      <w:szCs w:val="21"/>
                    </w:rPr>
                    <w:t>DA002</w:t>
                  </w:r>
                </w:p>
              </w:tc>
              <w:tc>
                <w:tcPr>
                  <w:tcW w:w="2116" w:type="pct"/>
                  <w:tcBorders>
                    <w:tl2br w:val="nil"/>
                    <w:tr2bl w:val="nil"/>
                  </w:tcBorders>
                  <w:vAlign w:val="center"/>
                </w:tcPr>
                <w:p w14:paraId="18D5CF5B">
                  <w:pPr>
                    <w:pStyle w:val="100"/>
                    <w:spacing w:line="240" w:lineRule="auto"/>
                    <w:rPr>
                      <w:rFonts w:hint="default" w:ascii="Times New Roman" w:hAnsi="Times New Roman" w:cs="Times New Roman"/>
                      <w:color w:val="FF0000"/>
                    </w:rPr>
                  </w:pPr>
                  <w:r>
                    <w:rPr>
                      <w:rFonts w:hint="default" w:ascii="Times New Roman" w:hAnsi="Times New Roman" w:cs="Times New Roman"/>
                      <w:color w:val="FF0000"/>
                    </w:rPr>
                    <w:t>颗粒物</w:t>
                  </w:r>
                </w:p>
              </w:tc>
              <w:tc>
                <w:tcPr>
                  <w:tcW w:w="865" w:type="pct"/>
                  <w:tcBorders>
                    <w:tl2br w:val="nil"/>
                    <w:tr2bl w:val="nil"/>
                  </w:tcBorders>
                  <w:vAlign w:val="center"/>
                </w:tcPr>
                <w:p w14:paraId="5D80A27C">
                  <w:pPr>
                    <w:pStyle w:val="100"/>
                    <w:spacing w:line="240" w:lineRule="auto"/>
                    <w:rPr>
                      <w:rFonts w:hint="default" w:ascii="Times New Roman" w:hAnsi="Times New Roman" w:cs="Times New Roman"/>
                      <w:color w:val="FF0000"/>
                      <w:szCs w:val="21"/>
                    </w:rPr>
                  </w:pPr>
                  <w:r>
                    <w:rPr>
                      <w:rFonts w:hint="default" w:ascii="Times New Roman" w:hAnsi="Times New Roman" w:cs="Times New Roman"/>
                      <w:color w:val="FF0000"/>
                      <w:szCs w:val="21"/>
                    </w:rPr>
                    <w:t>1次/年</w:t>
                  </w:r>
                </w:p>
              </w:tc>
            </w:tr>
            <w:tr w14:paraId="2007A6ED">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280" w:type="pct"/>
                  <w:vMerge w:val="continue"/>
                  <w:tcBorders>
                    <w:tl2br w:val="nil"/>
                    <w:tr2bl w:val="nil"/>
                  </w:tcBorders>
                  <w:vAlign w:val="center"/>
                </w:tcPr>
                <w:p w14:paraId="4864C656">
                  <w:pPr>
                    <w:pStyle w:val="100"/>
                    <w:spacing w:line="240" w:lineRule="auto"/>
                    <w:rPr>
                      <w:rFonts w:hint="default" w:ascii="Times New Roman" w:hAnsi="Times New Roman" w:cs="Times New Roman"/>
                      <w:color w:val="FF0000"/>
                      <w:szCs w:val="21"/>
                    </w:rPr>
                  </w:pPr>
                </w:p>
              </w:tc>
              <w:tc>
                <w:tcPr>
                  <w:tcW w:w="502" w:type="pct"/>
                  <w:tcBorders>
                    <w:tl2br w:val="nil"/>
                    <w:tr2bl w:val="nil"/>
                  </w:tcBorders>
                  <w:vAlign w:val="center"/>
                </w:tcPr>
                <w:p w14:paraId="5D19AEC0">
                  <w:pPr>
                    <w:pStyle w:val="100"/>
                    <w:spacing w:line="240" w:lineRule="auto"/>
                    <w:rPr>
                      <w:rFonts w:hint="default" w:ascii="Times New Roman" w:hAnsi="Times New Roman" w:cs="Times New Roman"/>
                      <w:color w:val="FF0000"/>
                      <w:szCs w:val="21"/>
                    </w:rPr>
                  </w:pPr>
                  <w:r>
                    <w:rPr>
                      <w:rFonts w:hint="default" w:ascii="Times New Roman" w:hAnsi="Times New Roman" w:cs="Times New Roman"/>
                      <w:color w:val="FF0000"/>
                      <w:szCs w:val="21"/>
                    </w:rPr>
                    <w:t>无组织</w:t>
                  </w:r>
                </w:p>
              </w:tc>
              <w:tc>
                <w:tcPr>
                  <w:tcW w:w="1234" w:type="pct"/>
                  <w:tcBorders>
                    <w:tl2br w:val="nil"/>
                    <w:tr2bl w:val="nil"/>
                  </w:tcBorders>
                  <w:vAlign w:val="center"/>
                </w:tcPr>
                <w:p w14:paraId="3D51EFF7">
                  <w:pPr>
                    <w:pStyle w:val="100"/>
                    <w:spacing w:line="240" w:lineRule="auto"/>
                    <w:rPr>
                      <w:rFonts w:hint="default" w:ascii="Times New Roman" w:hAnsi="Times New Roman" w:cs="Times New Roman"/>
                      <w:color w:val="FF0000"/>
                      <w:szCs w:val="21"/>
                    </w:rPr>
                  </w:pPr>
                  <w:r>
                    <w:rPr>
                      <w:rFonts w:hint="default" w:ascii="Times New Roman" w:hAnsi="Times New Roman" w:cs="Times New Roman"/>
                      <w:color w:val="FF0000"/>
                    </w:rPr>
                    <w:t>上风向一个点，下风向3个点</w:t>
                  </w:r>
                </w:p>
              </w:tc>
              <w:tc>
                <w:tcPr>
                  <w:tcW w:w="2116" w:type="pct"/>
                  <w:tcBorders>
                    <w:tl2br w:val="nil"/>
                    <w:tr2bl w:val="nil"/>
                  </w:tcBorders>
                  <w:vAlign w:val="center"/>
                </w:tcPr>
                <w:p w14:paraId="0B6FA602">
                  <w:pPr>
                    <w:pStyle w:val="100"/>
                    <w:spacing w:line="240" w:lineRule="auto"/>
                    <w:rPr>
                      <w:rFonts w:hint="default" w:ascii="Times New Roman" w:hAnsi="Times New Roman" w:eastAsia="宋体" w:cs="Times New Roman"/>
                      <w:color w:val="FF0000"/>
                      <w:lang w:val="en-US" w:eastAsia="zh-CN"/>
                    </w:rPr>
                  </w:pPr>
                  <w:r>
                    <w:rPr>
                      <w:rFonts w:hint="default" w:ascii="Times New Roman" w:hAnsi="Times New Roman" w:cs="Times New Roman"/>
                      <w:color w:val="FF0000"/>
                    </w:rPr>
                    <w:t>颗粒物、</w:t>
                  </w:r>
                  <w:r>
                    <w:rPr>
                      <w:rFonts w:hint="default" w:ascii="Times New Roman" w:hAnsi="Times New Roman" w:cs="Times New Roman"/>
                      <w:color w:val="FF0000"/>
                      <w:kern w:val="0"/>
                      <w:szCs w:val="21"/>
                      <w:lang w:bidi="ar"/>
                    </w:rPr>
                    <w:t>非甲烷总烃</w:t>
                  </w:r>
                  <w:r>
                    <w:rPr>
                      <w:rFonts w:hint="default" w:ascii="Times New Roman" w:hAnsi="Times New Roman" w:cs="Times New Roman"/>
                      <w:color w:val="FF0000"/>
                      <w:kern w:val="0"/>
                      <w:szCs w:val="21"/>
                      <w:lang w:eastAsia="zh-CN" w:bidi="ar"/>
                    </w:rPr>
                    <w:t>、</w:t>
                  </w:r>
                  <w:r>
                    <w:rPr>
                      <w:rFonts w:hint="default" w:ascii="Times New Roman" w:hAnsi="Times New Roman" w:cs="Times New Roman"/>
                      <w:color w:val="FF0000"/>
                      <w:kern w:val="0"/>
                      <w:szCs w:val="21"/>
                      <w:lang w:val="en-US" w:eastAsia="zh-CN" w:bidi="ar"/>
                    </w:rPr>
                    <w:t>硫化氢、氨、臭气浓度</w:t>
                  </w:r>
                </w:p>
              </w:tc>
              <w:tc>
                <w:tcPr>
                  <w:tcW w:w="865" w:type="pct"/>
                  <w:tcBorders>
                    <w:tl2br w:val="nil"/>
                    <w:tr2bl w:val="nil"/>
                  </w:tcBorders>
                  <w:vAlign w:val="center"/>
                </w:tcPr>
                <w:p w14:paraId="554054F2">
                  <w:pPr>
                    <w:jc w:val="center"/>
                    <w:rPr>
                      <w:rFonts w:hint="default" w:ascii="Times New Roman" w:hAnsi="Times New Roman" w:cs="Times New Roman"/>
                      <w:color w:val="FF0000"/>
                      <w:szCs w:val="21"/>
                    </w:rPr>
                  </w:pPr>
                  <w:r>
                    <w:rPr>
                      <w:rFonts w:hint="default" w:ascii="Times New Roman" w:hAnsi="Times New Roman" w:cs="Times New Roman"/>
                      <w:color w:val="FF0000"/>
                      <w:szCs w:val="21"/>
                    </w:rPr>
                    <w:t>1次/年</w:t>
                  </w:r>
                </w:p>
              </w:tc>
            </w:tr>
          </w:tbl>
          <w:p w14:paraId="609B91DC">
            <w:pPr>
              <w:adjustRightInd w:val="0"/>
              <w:snapToGrid w:val="0"/>
              <w:spacing w:line="360" w:lineRule="auto"/>
              <w:rPr>
                <w:rFonts w:hint="default" w:ascii="Times New Roman" w:hAnsi="Times New Roman" w:cs="Times New Roman"/>
                <w:b/>
                <w:spacing w:val="-10"/>
                <w:sz w:val="24"/>
              </w:rPr>
            </w:pPr>
            <w:r>
              <w:rPr>
                <w:rFonts w:hint="default" w:ascii="Times New Roman" w:hAnsi="Times New Roman" w:cs="Times New Roman"/>
                <w:b/>
                <w:spacing w:val="-10"/>
                <w:sz w:val="24"/>
              </w:rPr>
              <w:t>二、废水</w:t>
            </w:r>
          </w:p>
          <w:p w14:paraId="4B3794DD">
            <w:pPr>
              <w:autoSpaceDE w:val="0"/>
              <w:autoSpaceDN w:val="0"/>
              <w:adjustRightInd w:val="0"/>
              <w:snapToGrid w:val="0"/>
              <w:spacing w:line="360" w:lineRule="auto"/>
              <w:ind w:firstLine="482" w:firstLineChars="200"/>
              <w:rPr>
                <w:rFonts w:hint="default" w:ascii="Times New Roman" w:hAnsi="Times New Roman" w:cs="Times New Roman"/>
                <w:b/>
                <w:bCs/>
                <w:sz w:val="24"/>
              </w:rPr>
            </w:pPr>
            <w:r>
              <w:rPr>
                <w:rFonts w:hint="default" w:ascii="Times New Roman" w:hAnsi="Times New Roman" w:cs="Times New Roman"/>
                <w:b/>
                <w:bCs/>
                <w:sz w:val="24"/>
              </w:rPr>
              <w:t>1.污染源强计算</w:t>
            </w:r>
          </w:p>
          <w:p w14:paraId="2E56CA5D">
            <w:pPr>
              <w:pStyle w:val="84"/>
              <w:spacing w:line="360" w:lineRule="auto"/>
              <w:ind w:firstLine="482"/>
              <w:rPr>
                <w:rFonts w:hint="default" w:ascii="Times New Roman" w:hAnsi="Times New Roman" w:cs="Times New Roman"/>
                <w:b/>
                <w:bCs/>
                <w:color w:val="000000" w:themeColor="text1"/>
                <w14:textFill>
                  <w14:solidFill>
                    <w14:schemeClr w14:val="tx1"/>
                  </w14:solidFill>
                </w14:textFill>
              </w:rPr>
            </w:pPr>
            <w:r>
              <w:rPr>
                <w:rFonts w:hint="default" w:ascii="Times New Roman" w:hAnsi="Times New Roman" w:cs="Times New Roman"/>
                <w:b/>
                <w:bCs/>
                <w:color w:val="000000" w:themeColor="text1"/>
                <w14:textFill>
                  <w14:solidFill>
                    <w14:schemeClr w14:val="tx1"/>
                  </w14:solidFill>
                </w14:textFill>
              </w:rPr>
              <w:t>（1）生活污水</w:t>
            </w:r>
          </w:p>
          <w:p w14:paraId="529E10B9">
            <w:pPr>
              <w:pStyle w:val="84"/>
              <w:spacing w:line="360" w:lineRule="auto"/>
              <w:ind w:firstLine="480"/>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本项目职工15人，不提供住宿及食堂。根据《辽宁省行业用水定额》（DB21/T1237-2020），人均用水定额60L/（人·d），年工作300天，则生活用水量270t/a。生活污水产生量按用水量的80%计，则污水产生量216t/a。</w:t>
            </w:r>
          </w:p>
          <w:p w14:paraId="14F4793A">
            <w:pPr>
              <w:pStyle w:val="84"/>
              <w:spacing w:line="360" w:lineRule="auto"/>
              <w:ind w:firstLine="480"/>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参考《生活污染源产排污系数手册》，本项目生活污水的污染物浓度（一般城市市区平均产物系数）值为：COD 浓度为340mg/L、氨氮浓度为28mg/L、SS浓度为300mg/L，BOD</w:t>
            </w:r>
            <w:r>
              <w:rPr>
                <w:rFonts w:hint="default" w:ascii="Times New Roman" w:hAnsi="Times New Roman" w:cs="Times New Roman"/>
                <w:color w:val="000000" w:themeColor="text1"/>
                <w:vertAlign w:val="subscript"/>
                <w14:textFill>
                  <w14:solidFill>
                    <w14:schemeClr w14:val="tx1"/>
                  </w14:solidFill>
                </w14:textFill>
              </w:rPr>
              <w:t>5</w:t>
            </w:r>
            <w:r>
              <w:rPr>
                <w:rFonts w:hint="default" w:ascii="Times New Roman" w:hAnsi="Times New Roman" w:cs="Times New Roman"/>
                <w:color w:val="000000" w:themeColor="text1"/>
                <w14:textFill>
                  <w14:solidFill>
                    <w14:schemeClr w14:val="tx1"/>
                  </w14:solidFill>
                </w14:textFill>
              </w:rPr>
              <w:t>浓度为134mg/L，TP浓度为4.18mg/L，TN浓度为37.6mg/L。</w:t>
            </w:r>
          </w:p>
          <w:p w14:paraId="01DB6EC1">
            <w:pPr>
              <w:pStyle w:val="84"/>
              <w:spacing w:line="360" w:lineRule="auto"/>
              <w:ind w:firstLine="480"/>
              <w:rPr>
                <w:rFonts w:hint="eastAsia" w:ascii="Times New Roman" w:hAnsi="Times New Roman" w:eastAsia="宋体" w:cs="Times New Roman"/>
                <w:color w:val="000000" w:themeColor="text1"/>
                <w:lang w:eastAsia="zh-CN"/>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根据《环境工程手册：水污染防治卷》（张自杰主编，高等教育出版社）防渗化粪池设计章节：明确防渗化粪池的HRT与SS去除率关系，提出“HRT≥24小时时，SS去除率可达50%”（P.215），即SS浓度为150mg/L，COD去除率保守值为30%，即COD浓度为238mg/L，氨氮去除率保守值为10%，即氨氮浓度为25.2mg/L、BOD</w:t>
            </w:r>
            <w:r>
              <w:rPr>
                <w:rFonts w:hint="default" w:ascii="Times New Roman" w:hAnsi="Times New Roman" w:cs="Times New Roman"/>
                <w:color w:val="000000" w:themeColor="text1"/>
                <w:vertAlign w:val="subscript"/>
                <w14:textFill>
                  <w14:solidFill>
                    <w14:schemeClr w14:val="tx1"/>
                  </w14:solidFill>
                </w14:textFill>
              </w:rPr>
              <w:t>5</w:t>
            </w:r>
            <w:r>
              <w:rPr>
                <w:rFonts w:hint="default" w:ascii="Times New Roman" w:hAnsi="Times New Roman" w:cs="Times New Roman"/>
                <w:color w:val="000000" w:themeColor="text1"/>
                <w14:textFill>
                  <w14:solidFill>
                    <w14:schemeClr w14:val="tx1"/>
                  </w14:solidFill>
                </w14:textFill>
              </w:rPr>
              <w:t>去除率保守值为40%，即BOD</w:t>
            </w:r>
            <w:r>
              <w:rPr>
                <w:rFonts w:hint="default" w:ascii="Times New Roman" w:hAnsi="Times New Roman" w:cs="Times New Roman"/>
                <w:color w:val="000000" w:themeColor="text1"/>
                <w:vertAlign w:val="subscript"/>
                <w14:textFill>
                  <w14:solidFill>
                    <w14:schemeClr w14:val="tx1"/>
                  </w14:solidFill>
                </w14:textFill>
              </w:rPr>
              <w:t>5</w:t>
            </w:r>
            <w:r>
              <w:rPr>
                <w:rFonts w:hint="default" w:ascii="Times New Roman" w:hAnsi="Times New Roman" w:cs="Times New Roman"/>
                <w:color w:val="000000" w:themeColor="text1"/>
                <w14:textFill>
                  <w14:solidFill>
                    <w14:schemeClr w14:val="tx1"/>
                  </w14:solidFill>
                </w14:textFill>
              </w:rPr>
              <w:t>浓度为80.4mg/L，TP去除率保守值为20%即TP浓度为3.34mg/L，TN去除率保守值为10%，即TN浓度为33.84mg/L</w:t>
            </w:r>
            <w:r>
              <w:rPr>
                <w:rFonts w:hint="eastAsia" w:ascii="Times New Roman" w:hAnsi="Times New Roman" w:cs="Times New Roman"/>
                <w:color w:val="000000" w:themeColor="text1"/>
                <w:lang w:eastAsia="zh-CN"/>
                <w14:textFill>
                  <w14:solidFill>
                    <w14:schemeClr w14:val="tx1"/>
                  </w14:solidFill>
                </w14:textFill>
              </w:rPr>
              <w:t>。</w:t>
            </w:r>
          </w:p>
          <w:p w14:paraId="5A349CEE">
            <w:pPr>
              <w:pStyle w:val="84"/>
              <w:spacing w:line="360" w:lineRule="auto"/>
              <w:ind w:firstLine="480"/>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（2）生产废水</w:t>
            </w:r>
          </w:p>
          <w:p w14:paraId="2F7546DB">
            <w:pPr>
              <w:pStyle w:val="84"/>
              <w:spacing w:line="360" w:lineRule="auto"/>
              <w:ind w:firstLine="480"/>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1）汽车发动机清洗废水</w:t>
            </w:r>
          </w:p>
          <w:p w14:paraId="2131990C">
            <w:pPr>
              <w:spacing w:line="360" w:lineRule="auto"/>
              <w:ind w:firstLine="480" w:firstLineChars="200"/>
              <w:rPr>
                <w:color w:val="000000"/>
                <w:sz w:val="24"/>
                <w:szCs w:val="32"/>
              </w:rPr>
            </w:pPr>
            <w:r>
              <w:rPr>
                <w:color w:val="000000"/>
                <w:sz w:val="24"/>
                <w:szCs w:val="32"/>
              </w:rPr>
              <w:t>报废机动车发动机在贮存拆解后需对发动机进行全面冲洗，去掉发动机内部油污，冲洗使用高压水枪，不添加任何洗涤剂。</w:t>
            </w:r>
            <w:r>
              <w:rPr>
                <w:color w:val="FF0000"/>
                <w:sz w:val="24"/>
                <w:szCs w:val="32"/>
              </w:rPr>
              <w:t>发动机清洗用水量参考《建筑给水排水设计规范</w:t>
            </w:r>
            <w:r>
              <w:rPr>
                <w:rFonts w:hint="eastAsia"/>
                <w:color w:val="FF0000"/>
                <w:sz w:val="24"/>
                <w:szCs w:val="32"/>
                <w:lang w:eastAsia="zh-CN"/>
              </w:rPr>
              <w:t>》（</w:t>
            </w:r>
            <w:r>
              <w:rPr>
                <w:color w:val="FF0000"/>
                <w:sz w:val="24"/>
                <w:szCs w:val="32"/>
              </w:rPr>
              <w:t>MGB/T50015-2003）中高压水枪冲洗水用定额：40~60L/辆•次计算</w:t>
            </w:r>
            <w:r>
              <w:rPr>
                <w:color w:val="000000"/>
                <w:sz w:val="24"/>
                <w:szCs w:val="32"/>
              </w:rPr>
              <w:t>，本项目清洗用水按60L/辆•次计，则项目机动车发动机清洗用水量为900</w:t>
            </w:r>
            <w:r>
              <w:rPr>
                <w:rFonts w:hint="eastAsia"/>
                <w:color w:val="000000"/>
                <w:sz w:val="24"/>
                <w:szCs w:val="32"/>
              </w:rPr>
              <w:t>t</w:t>
            </w:r>
            <w:r>
              <w:rPr>
                <w:color w:val="000000"/>
                <w:sz w:val="24"/>
                <w:szCs w:val="32"/>
              </w:rPr>
              <w:t>/a。</w:t>
            </w:r>
            <w:r>
              <w:rPr>
                <w:color w:val="000000"/>
                <w:sz w:val="24"/>
              </w:rPr>
              <w:t>本项目清洗废水产生系数取</w:t>
            </w:r>
            <w:r>
              <w:rPr>
                <w:color w:val="000000"/>
                <w:sz w:val="24"/>
                <w:lang w:bidi="en-US"/>
              </w:rPr>
              <w:t>0.9，</w:t>
            </w:r>
            <w:r>
              <w:rPr>
                <w:color w:val="000000"/>
                <w:sz w:val="24"/>
              </w:rPr>
              <w:t>则</w:t>
            </w:r>
            <w:r>
              <w:rPr>
                <w:color w:val="000000"/>
                <w:sz w:val="24"/>
                <w:szCs w:val="32"/>
              </w:rPr>
              <w:t>汽车发动机清洗用水</w:t>
            </w:r>
            <w:r>
              <w:rPr>
                <w:color w:val="000000"/>
                <w:sz w:val="24"/>
              </w:rPr>
              <w:t>产生</w:t>
            </w:r>
            <w:r>
              <w:rPr>
                <w:rFonts w:hint="eastAsia"/>
                <w:color w:val="000000"/>
                <w:sz w:val="24"/>
              </w:rPr>
              <w:t>量为810</w:t>
            </w:r>
            <w:r>
              <w:rPr>
                <w:rFonts w:hint="eastAsia"/>
                <w:color w:val="000000"/>
                <w:sz w:val="24"/>
                <w:szCs w:val="32"/>
              </w:rPr>
              <w:t>t</w:t>
            </w:r>
            <w:r>
              <w:rPr>
                <w:color w:val="000000"/>
                <w:sz w:val="24"/>
                <w:szCs w:val="32"/>
              </w:rPr>
              <w:t>/a</w:t>
            </w:r>
            <w:r>
              <w:rPr>
                <w:rFonts w:hint="eastAsia"/>
                <w:color w:val="000000"/>
                <w:sz w:val="24"/>
                <w:szCs w:val="32"/>
              </w:rPr>
              <w:t>，自然蒸发量为90t</w:t>
            </w:r>
            <w:r>
              <w:rPr>
                <w:color w:val="000000"/>
                <w:sz w:val="24"/>
                <w:szCs w:val="32"/>
              </w:rPr>
              <w:t>/a</w:t>
            </w:r>
            <w:r>
              <w:rPr>
                <w:rFonts w:hint="eastAsia"/>
                <w:color w:val="000000"/>
                <w:sz w:val="24"/>
                <w:szCs w:val="32"/>
              </w:rPr>
              <w:t>。</w:t>
            </w:r>
          </w:p>
          <w:p w14:paraId="54304BB7">
            <w:pPr>
              <w:spacing w:line="360" w:lineRule="auto"/>
              <w:ind w:firstLine="480" w:firstLineChars="200"/>
              <w:rPr>
                <w:rFonts w:hint="default" w:ascii="Times New Roman" w:hAnsi="Times New Roman" w:cs="Times New Roman"/>
                <w:color w:val="000000"/>
                <w:sz w:val="24"/>
                <w:szCs w:val="32"/>
              </w:rPr>
            </w:pPr>
            <w:r>
              <w:rPr>
                <w:rFonts w:hint="default" w:ascii="Times New Roman" w:hAnsi="Times New Roman" w:cs="Times New Roman"/>
                <w:color w:val="000000"/>
                <w:sz w:val="24"/>
                <w:szCs w:val="32"/>
              </w:rPr>
              <w:t>2）地面冲洗废水</w:t>
            </w:r>
          </w:p>
          <w:p w14:paraId="5BD59E92">
            <w:pPr>
              <w:spacing w:line="360" w:lineRule="auto"/>
              <w:ind w:firstLine="480" w:firstLineChars="200"/>
              <w:rPr>
                <w:rFonts w:hint="default" w:ascii="Times New Roman" w:hAnsi="Times New Roman" w:cs="Times New Roman"/>
                <w:color w:val="000000"/>
                <w:sz w:val="24"/>
                <w:szCs w:val="32"/>
              </w:rPr>
            </w:pPr>
            <w:r>
              <w:rPr>
                <w:rFonts w:hint="default" w:ascii="Times New Roman" w:hAnsi="Times New Roman" w:cs="Times New Roman"/>
                <w:color w:val="000000"/>
                <w:sz w:val="24"/>
                <w:szCs w:val="32"/>
              </w:rPr>
              <w:t>项目作业区（包括拆解车间和贮存场所等）存在少量油污及其他污物泄漏在地面，为保持车间清洁，需定期清洗。按每7天对车间清洗1次，全年除冬季外共清洗40次，冲洗水用量约为3L/m</w:t>
            </w:r>
            <w:r>
              <w:rPr>
                <w:rFonts w:hint="default" w:ascii="Times New Roman" w:hAnsi="Times New Roman" w:cs="Times New Roman"/>
                <w:color w:val="000000"/>
                <w:sz w:val="24"/>
                <w:szCs w:val="32"/>
                <w:vertAlign w:val="superscript"/>
              </w:rPr>
              <w:t>2</w:t>
            </w:r>
            <w:r>
              <w:rPr>
                <w:rFonts w:hint="default" w:ascii="Times New Roman" w:hAnsi="Times New Roman" w:cs="Times New Roman"/>
                <w:color w:val="000000"/>
                <w:sz w:val="24"/>
                <w:szCs w:val="32"/>
              </w:rPr>
              <w:t>•次，冲洗面积为9000m</w:t>
            </w:r>
            <w:r>
              <w:rPr>
                <w:rFonts w:hint="default" w:ascii="Times New Roman" w:hAnsi="Times New Roman" w:cs="Times New Roman"/>
                <w:color w:val="000000"/>
                <w:sz w:val="24"/>
                <w:szCs w:val="32"/>
                <w:vertAlign w:val="superscript"/>
              </w:rPr>
              <w:t>2</w:t>
            </w:r>
            <w:r>
              <w:rPr>
                <w:rFonts w:hint="default" w:ascii="Times New Roman" w:hAnsi="Times New Roman" w:cs="Times New Roman"/>
                <w:color w:val="000000"/>
                <w:sz w:val="24"/>
                <w:szCs w:val="32"/>
              </w:rPr>
              <w:t>，则项目地面冲洗用水1080t/a。</w:t>
            </w:r>
            <w:r>
              <w:rPr>
                <w:rFonts w:hint="default" w:ascii="Times New Roman" w:hAnsi="Times New Roman" w:cs="Times New Roman"/>
                <w:color w:val="000000"/>
                <w:sz w:val="24"/>
              </w:rPr>
              <w:t>本项目</w:t>
            </w:r>
            <w:r>
              <w:rPr>
                <w:rFonts w:hint="default" w:ascii="Times New Roman" w:hAnsi="Times New Roman" w:cs="Times New Roman"/>
                <w:color w:val="000000"/>
                <w:sz w:val="24"/>
                <w:szCs w:val="32"/>
              </w:rPr>
              <w:t>地面冲洗</w:t>
            </w:r>
            <w:r>
              <w:rPr>
                <w:rFonts w:hint="default" w:ascii="Times New Roman" w:hAnsi="Times New Roman" w:cs="Times New Roman"/>
                <w:color w:val="000000"/>
                <w:sz w:val="24"/>
              </w:rPr>
              <w:t>废水产生系数取</w:t>
            </w:r>
            <w:r>
              <w:rPr>
                <w:rFonts w:hint="default" w:ascii="Times New Roman" w:hAnsi="Times New Roman" w:cs="Times New Roman"/>
                <w:color w:val="000000"/>
                <w:sz w:val="24"/>
                <w:lang w:bidi="en-US"/>
              </w:rPr>
              <w:t>0.9，</w:t>
            </w:r>
            <w:r>
              <w:rPr>
                <w:rFonts w:hint="default" w:ascii="Times New Roman" w:hAnsi="Times New Roman" w:cs="Times New Roman"/>
                <w:color w:val="000000"/>
                <w:sz w:val="24"/>
              </w:rPr>
              <w:t>则</w:t>
            </w:r>
            <w:r>
              <w:rPr>
                <w:rFonts w:hint="default" w:ascii="Times New Roman" w:hAnsi="Times New Roman" w:cs="Times New Roman"/>
                <w:color w:val="000000"/>
                <w:sz w:val="24"/>
                <w:szCs w:val="32"/>
              </w:rPr>
              <w:t>地面冲洗废水</w:t>
            </w:r>
            <w:r>
              <w:rPr>
                <w:rFonts w:hint="default" w:ascii="Times New Roman" w:hAnsi="Times New Roman" w:cs="Times New Roman"/>
                <w:color w:val="000000"/>
                <w:sz w:val="24"/>
              </w:rPr>
              <w:t>产生量为972</w:t>
            </w:r>
            <w:r>
              <w:rPr>
                <w:rFonts w:hint="default" w:ascii="Times New Roman" w:hAnsi="Times New Roman" w:cs="Times New Roman"/>
                <w:color w:val="000000"/>
                <w:sz w:val="24"/>
                <w:szCs w:val="32"/>
              </w:rPr>
              <w:t>t/a。</w:t>
            </w:r>
          </w:p>
          <w:p w14:paraId="2D3120E1">
            <w:pPr>
              <w:spacing w:line="360" w:lineRule="auto"/>
              <w:ind w:firstLine="480" w:firstLineChars="200"/>
              <w:rPr>
                <w:rFonts w:hint="default" w:ascii="Times New Roman" w:hAnsi="Times New Roman" w:cs="Times New Roman"/>
                <w:color w:val="000000"/>
                <w:sz w:val="24"/>
                <w:szCs w:val="32"/>
              </w:rPr>
            </w:pPr>
            <w:r>
              <w:rPr>
                <w:rFonts w:hint="default" w:ascii="Times New Roman" w:hAnsi="Times New Roman" w:cs="Times New Roman"/>
                <w:color w:val="000000"/>
                <w:sz w:val="24"/>
                <w:szCs w:val="32"/>
              </w:rPr>
              <w:t>3）初期雨水</w:t>
            </w:r>
          </w:p>
          <w:p w14:paraId="17D200A9">
            <w:pPr>
              <w:spacing w:line="360" w:lineRule="auto"/>
              <w:ind w:firstLine="480" w:firstLineChars="200"/>
              <w:rPr>
                <w:color w:val="FF0000"/>
                <w:sz w:val="24"/>
                <w:szCs w:val="32"/>
              </w:rPr>
            </w:pPr>
            <w:r>
              <w:rPr>
                <w:rFonts w:hint="default" w:ascii="Times New Roman" w:hAnsi="Times New Roman" w:cs="Times New Roman"/>
                <w:color w:val="000000"/>
                <w:sz w:val="24"/>
                <w:szCs w:val="32"/>
              </w:rPr>
              <w:t>本项目报废车辆进厂运输过程中可能有少量油污滴落，雨水冲刷后可能对周边水环境产生影响，故对初期雨水进行收集处理。初期雨水径流（前15分钟）中所含污染物浓度较大，随后逐渐降低，在降雨后 1h 趋于平稳。</w:t>
            </w:r>
            <w:r>
              <w:rPr>
                <w:rFonts w:hint="eastAsia"/>
                <w:color w:val="FF0000"/>
                <w:sz w:val="24"/>
                <w:szCs w:val="32"/>
              </w:rPr>
              <w:t>同时，根据《报废机动车拆解企业污染控制技术规范》（HJ348-2022）中 5.</w:t>
            </w:r>
            <w:r>
              <w:rPr>
                <w:rFonts w:hint="eastAsia"/>
                <w:color w:val="FF0000"/>
                <w:sz w:val="24"/>
                <w:szCs w:val="32"/>
                <w:lang w:val="en-US" w:eastAsia="zh-CN"/>
              </w:rPr>
              <w:t>4</w:t>
            </w:r>
            <w:r>
              <w:rPr>
                <w:rFonts w:hint="eastAsia"/>
                <w:color w:val="FF0000"/>
                <w:sz w:val="24"/>
                <w:szCs w:val="32"/>
              </w:rPr>
              <w:t>条“报废机动车回收拆解企业应做到雨污分流，在作业区内产生的初期雨水、清洗水和其他非生活废水应设置专门的收集设施和污水处理设施。厂区内应按照 GB/T 50483 的要求设置初期雨水收集池。”要求建设单位对厂区初期雨水进行收集处理。</w:t>
            </w:r>
          </w:p>
          <w:p w14:paraId="038C7A8A">
            <w:pPr>
              <w:spacing w:line="360" w:lineRule="auto"/>
              <w:ind w:firstLine="480" w:firstLineChars="200"/>
              <w:rPr>
                <w:rFonts w:hint="default" w:ascii="Times New Roman" w:hAnsi="Times New Roman" w:cs="Times New Roman"/>
                <w:color w:val="000000"/>
                <w:sz w:val="24"/>
                <w:szCs w:val="32"/>
              </w:rPr>
            </w:pPr>
            <w:r>
              <w:rPr>
                <w:rFonts w:hint="default" w:ascii="Times New Roman" w:hAnsi="Times New Roman" w:cs="Times New Roman"/>
                <w:color w:val="000000"/>
                <w:sz w:val="24"/>
                <w:szCs w:val="32"/>
              </w:rPr>
              <w:t>初期雨水主要污染物为 CODcr 、SS 、石油类。初期雨水暂存于初期雨水池，经厂区污水处理站处理达标后，再通过管网排入北票市污水处理站。</w:t>
            </w:r>
          </w:p>
          <w:p w14:paraId="3F45A7FF">
            <w:pPr>
              <w:pStyle w:val="49"/>
              <w:adjustRightInd w:val="0"/>
              <w:snapToGrid w:val="0"/>
              <w:spacing w:line="360" w:lineRule="auto"/>
              <w:ind w:firstLine="480" w:firstLineChars="200"/>
              <w:rPr>
                <w:rFonts w:hint="default" w:ascii="Times New Roman" w:hAnsi="Times New Roman" w:cs="Times New Roman" w:eastAsiaTheme="minorEastAsia"/>
              </w:rPr>
            </w:pPr>
            <w:r>
              <w:rPr>
                <w:rFonts w:hint="default" w:ascii="Times New Roman" w:hAnsi="Times New Roman" w:cs="Times New Roman" w:eastAsiaTheme="minorEastAsia"/>
              </w:rPr>
              <w:t>采用北票市暴雨强度公式：</w:t>
            </w:r>
          </w:p>
          <w:p w14:paraId="6E4AAD63">
            <w:pPr>
              <w:adjustRightInd w:val="0"/>
              <w:snapToGrid w:val="0"/>
              <w:spacing w:line="360" w:lineRule="auto"/>
              <w:jc w:val="center"/>
              <w:rPr>
                <w:rFonts w:hint="default" w:ascii="Times New Roman" w:hAnsi="Times New Roman" w:cs="Times New Roman" w:eastAsiaTheme="minorEastAsia"/>
              </w:rPr>
            </w:pPr>
            <w:r>
              <w:rPr>
                <w:rFonts w:hint="default" w:ascii="Times New Roman" w:hAnsi="Times New Roman" w:cs="Times New Roman" w:eastAsiaTheme="minorEastAsia"/>
                <w:position w:val="-28"/>
              </w:rPr>
              <w:object>
                <v:shape id="_x0000_i1026" o:spt="75" type="#_x0000_t75" style="height:36pt;width:115.2pt;" o:ole="t" filled="f" o:preferrelative="t" stroked="f" coordsize="21600,21600">
                  <v:path/>
                  <v:fill on="f" focussize="0,0"/>
                  <v:stroke on="f" joinstyle="miter"/>
                  <v:imagedata r:id="rId31" o:title=""/>
                  <o:lock v:ext="edit" aspectratio="t"/>
                  <w10:wrap type="none"/>
                  <w10:anchorlock/>
                </v:shape>
                <o:OLEObject Type="Embed" ProgID="Equation.KSEE3" ShapeID="_x0000_i1026" DrawAspect="Content" ObjectID="_1468075726" r:id="rId30">
                  <o:LockedField>false</o:LockedField>
                </o:OLEObject>
              </w:object>
            </w:r>
          </w:p>
          <w:p w14:paraId="41EAA14E">
            <w:pPr>
              <w:pStyle w:val="49"/>
              <w:adjustRightInd w:val="0"/>
              <w:snapToGrid w:val="0"/>
              <w:spacing w:line="360" w:lineRule="auto"/>
              <w:ind w:firstLine="480" w:firstLineChars="200"/>
              <w:rPr>
                <w:rFonts w:hint="default" w:ascii="Times New Roman" w:hAnsi="Times New Roman" w:cs="Times New Roman" w:eastAsiaTheme="minorEastAsia"/>
              </w:rPr>
            </w:pPr>
            <w:r>
              <w:rPr>
                <w:rFonts w:hint="default" w:ascii="Times New Roman" w:hAnsi="Times New Roman" w:cs="Times New Roman" w:eastAsiaTheme="minorEastAsia"/>
              </w:rPr>
              <w:t>式中：P——设计重现期，年，本项目取1；</w:t>
            </w:r>
          </w:p>
          <w:p w14:paraId="613B0E5E">
            <w:pPr>
              <w:spacing w:line="360" w:lineRule="auto"/>
              <w:ind w:firstLine="480" w:firstLineChars="200"/>
              <w:rPr>
                <w:rFonts w:hint="default" w:ascii="Times New Roman" w:hAnsi="Times New Roman" w:cs="Times New Roman"/>
                <w:color w:val="000000"/>
                <w:sz w:val="24"/>
                <w:szCs w:val="32"/>
              </w:rPr>
            </w:pPr>
            <w:r>
              <w:rPr>
                <w:rFonts w:hint="default" w:ascii="Times New Roman" w:hAnsi="Times New Roman" w:cs="Times New Roman"/>
                <w:color w:val="000000"/>
                <w:sz w:val="24"/>
                <w:szCs w:val="32"/>
              </w:rPr>
              <w:t>t——降雨历时，min，本项目取5；</w:t>
            </w:r>
          </w:p>
          <w:p w14:paraId="31A30E9B">
            <w:pPr>
              <w:pStyle w:val="84"/>
              <w:spacing w:line="360" w:lineRule="auto"/>
              <w:ind w:firstLine="480"/>
              <w:rPr>
                <w:rFonts w:hint="default" w:ascii="Times New Roman" w:hAnsi="Times New Roman" w:cs="Times New Roman"/>
                <w:color w:val="FF0000"/>
                <w:szCs w:val="32"/>
              </w:rPr>
            </w:pPr>
            <w:r>
              <w:rPr>
                <w:rFonts w:hint="default" w:ascii="Times New Roman" w:hAnsi="Times New Roman" w:cs="Times New Roman" w:eastAsiaTheme="minorEastAsia"/>
              </w:rPr>
              <w:t>经计算，暴雨强度q为214.44L/S·hm</w:t>
            </w:r>
            <w:r>
              <w:rPr>
                <w:rFonts w:hint="default" w:ascii="Times New Roman" w:hAnsi="Times New Roman" w:cs="Times New Roman" w:eastAsiaTheme="minorEastAsia"/>
                <w:vertAlign w:val="superscript"/>
              </w:rPr>
              <w:t>2</w:t>
            </w:r>
            <w:r>
              <w:rPr>
                <w:rFonts w:hint="default" w:ascii="Times New Roman" w:hAnsi="Times New Roman" w:cs="Times New Roman" w:eastAsiaTheme="minorEastAsia"/>
              </w:rPr>
              <w:t>,本项目厂区每次收集前5分钟初期雨水量为171.96m</w:t>
            </w:r>
            <w:r>
              <w:rPr>
                <w:rFonts w:hint="default" w:ascii="Times New Roman" w:hAnsi="Times New Roman" w:cs="Times New Roman" w:eastAsiaTheme="minorEastAsia"/>
                <w:vertAlign w:val="superscript"/>
              </w:rPr>
              <w:t>3</w:t>
            </w:r>
            <w:r>
              <w:rPr>
                <w:rFonts w:hint="default" w:ascii="Times New Roman" w:hAnsi="Times New Roman" w:cs="Times New Roman" w:eastAsiaTheme="minorEastAsia"/>
              </w:rPr>
              <w:t>。本项目设置初期雨水池一座，容量200m</w:t>
            </w:r>
            <w:r>
              <w:rPr>
                <w:rFonts w:hint="default" w:ascii="Times New Roman" w:hAnsi="Times New Roman" w:cs="Times New Roman" w:eastAsiaTheme="minorEastAsia"/>
                <w:vertAlign w:val="superscript"/>
              </w:rPr>
              <w:t>3</w:t>
            </w:r>
            <w:r>
              <w:rPr>
                <w:rFonts w:hint="default" w:ascii="Times New Roman" w:hAnsi="Times New Roman" w:cs="Times New Roman" w:eastAsiaTheme="minorEastAsia"/>
              </w:rPr>
              <w:t>，收集初期雨水可满足要求。朝阳地区干旱少雨，每年暴雨次数按2次计，则初期雨水量为343.92m</w:t>
            </w:r>
            <w:r>
              <w:rPr>
                <w:rFonts w:hint="default" w:ascii="Times New Roman" w:hAnsi="Times New Roman" w:cs="Times New Roman" w:eastAsiaTheme="minorEastAsia"/>
                <w:vertAlign w:val="superscript"/>
              </w:rPr>
              <w:t>3</w:t>
            </w:r>
            <w:r>
              <w:rPr>
                <w:rFonts w:hint="default" w:ascii="Times New Roman" w:hAnsi="Times New Roman" w:cs="Times New Roman" w:eastAsiaTheme="minorEastAsia"/>
              </w:rPr>
              <w:t>/a。本项目初期雨水收集后排入厂内污水处理站处理，</w:t>
            </w:r>
            <w:r>
              <w:rPr>
                <w:rFonts w:hint="default" w:ascii="Times New Roman" w:hAnsi="Times New Roman" w:cs="Times New Roman"/>
                <w:color w:val="000000"/>
                <w:szCs w:val="32"/>
              </w:rPr>
              <w:t>通过管网排入北票市污水处理站。</w:t>
            </w:r>
            <w:r>
              <w:rPr>
                <w:rFonts w:hint="default" w:ascii="Times New Roman" w:hAnsi="Times New Roman" w:cs="Times New Roman"/>
                <w:color w:val="000000"/>
                <w:szCs w:val="32"/>
              </w:rPr>
              <w:br w:type="textWrapping"/>
            </w:r>
            <w:r>
              <w:rPr>
                <w:rFonts w:hint="default" w:ascii="Times New Roman" w:hAnsi="Times New Roman" w:cs="Times New Roman"/>
                <w:color w:val="000000"/>
                <w:szCs w:val="32"/>
              </w:rPr>
              <w:t xml:space="preserve">   </w:t>
            </w:r>
            <w:r>
              <w:rPr>
                <w:rFonts w:hint="default" w:ascii="Times New Roman" w:hAnsi="Times New Roman" w:cs="Times New Roman"/>
                <w:color w:val="FF0000"/>
                <w:szCs w:val="32"/>
              </w:rPr>
              <w:t>4）源强计算</w:t>
            </w:r>
          </w:p>
          <w:p w14:paraId="57741DB5">
            <w:pPr>
              <w:spacing w:line="360" w:lineRule="auto"/>
              <w:ind w:firstLine="480" w:firstLineChars="200"/>
              <w:rPr>
                <w:rFonts w:hint="default" w:ascii="Times New Roman" w:hAnsi="Times New Roman" w:cs="Times New Roman"/>
                <w:color w:val="FF0000"/>
                <w:sz w:val="24"/>
                <w:szCs w:val="32"/>
              </w:rPr>
            </w:pPr>
            <w:r>
              <w:rPr>
                <w:rFonts w:hint="default" w:ascii="Times New Roman" w:hAnsi="Times New Roman" w:cs="Times New Roman"/>
                <w:color w:val="FF0000"/>
                <w:sz w:val="24"/>
                <w:szCs w:val="32"/>
              </w:rPr>
              <w:t>根据《再生资源与循环经济》（2012年第08期，作者：陈清后，余海军，李长东）之《浅析报废汽车拆解厂废水循环处理技术的应用现状》的研究，报废汽车拆解厂的废水水质范围约：</w:t>
            </w:r>
            <w:r>
              <w:rPr>
                <w:rFonts w:hint="eastAsia" w:cs="Times New Roman"/>
                <w:color w:val="FF0000"/>
                <w:sz w:val="24"/>
                <w:szCs w:val="32"/>
                <w:lang w:val="en-US" w:eastAsia="zh-CN"/>
              </w:rPr>
              <w:t>pH：7.2</w:t>
            </w:r>
            <w:r>
              <w:rPr>
                <w:rFonts w:hint="default" w:ascii="Times New Roman" w:hAnsi="Times New Roman" w:cs="Times New Roman"/>
                <w:color w:val="FF0000"/>
                <w:sz w:val="24"/>
                <w:szCs w:val="32"/>
              </w:rPr>
              <w:t>~</w:t>
            </w:r>
            <w:r>
              <w:rPr>
                <w:rFonts w:hint="eastAsia" w:cs="Times New Roman"/>
                <w:color w:val="FF0000"/>
                <w:sz w:val="24"/>
                <w:szCs w:val="32"/>
                <w:lang w:val="en-US" w:eastAsia="zh-CN"/>
              </w:rPr>
              <w:t>10，</w:t>
            </w:r>
            <w:r>
              <w:rPr>
                <w:rFonts w:hint="default" w:ascii="Times New Roman" w:hAnsi="Times New Roman" w:cs="Times New Roman"/>
                <w:color w:val="FF0000"/>
                <w:sz w:val="24"/>
                <w:szCs w:val="32"/>
              </w:rPr>
              <w:t>COD：283~562 mg/L，SS：50~73 mg/L，石油类：130~380 mg/L。参照上述取值范围取其最大值进行核算，即</w:t>
            </w:r>
            <w:r>
              <w:rPr>
                <w:rFonts w:hint="eastAsia" w:cs="Times New Roman"/>
                <w:color w:val="FF0000"/>
                <w:sz w:val="24"/>
                <w:szCs w:val="32"/>
                <w:lang w:val="en-US" w:eastAsia="zh-CN"/>
              </w:rPr>
              <w:t>pH：7.2</w:t>
            </w:r>
            <w:r>
              <w:rPr>
                <w:rFonts w:hint="default" w:ascii="Times New Roman" w:hAnsi="Times New Roman" w:cs="Times New Roman"/>
                <w:color w:val="FF0000"/>
                <w:sz w:val="24"/>
                <w:szCs w:val="32"/>
              </w:rPr>
              <w:t>~</w:t>
            </w:r>
            <w:r>
              <w:rPr>
                <w:rFonts w:hint="eastAsia" w:cs="Times New Roman"/>
                <w:color w:val="FF0000"/>
                <w:sz w:val="24"/>
                <w:szCs w:val="32"/>
                <w:lang w:val="en-US" w:eastAsia="zh-CN"/>
              </w:rPr>
              <w:t>10，</w:t>
            </w:r>
            <w:r>
              <w:rPr>
                <w:rFonts w:hint="default" w:ascii="Times New Roman" w:hAnsi="Times New Roman" w:cs="Times New Roman"/>
                <w:color w:val="FF0000"/>
                <w:sz w:val="24"/>
                <w:szCs w:val="32"/>
              </w:rPr>
              <w:t>COD：562 mg/L，SS：73 mg/L，石油类：380mg/L。根据《报废机动车拆解企业污染控制技术规范》</w:t>
            </w:r>
            <w:r>
              <w:rPr>
                <w:rFonts w:hint="default" w:ascii="Times New Roman" w:hAnsi="Times New Roman" w:cs="Times New Roman"/>
                <w:color w:val="FF0000"/>
                <w:sz w:val="24"/>
                <w:szCs w:val="32"/>
                <w:lang w:eastAsia="zh-CN"/>
              </w:rPr>
              <w:t>（</w:t>
            </w:r>
            <w:r>
              <w:rPr>
                <w:rFonts w:hint="default" w:ascii="Times New Roman" w:hAnsi="Times New Roman" w:cs="Times New Roman"/>
                <w:color w:val="FF0000"/>
                <w:sz w:val="24"/>
                <w:szCs w:val="32"/>
              </w:rPr>
              <w:t>HJ348-20</w:t>
            </w:r>
            <w:r>
              <w:rPr>
                <w:rFonts w:hint="default" w:ascii="Times New Roman" w:hAnsi="Times New Roman" w:cs="Times New Roman"/>
                <w:color w:val="FF0000"/>
                <w:sz w:val="24"/>
                <w:szCs w:val="32"/>
                <w:lang w:val="en-US" w:eastAsia="zh-CN"/>
              </w:rPr>
              <w:t>22</w:t>
            </w:r>
            <w:r>
              <w:rPr>
                <w:rFonts w:hint="default" w:ascii="Times New Roman" w:hAnsi="Times New Roman" w:cs="Times New Roman"/>
                <w:color w:val="FF0000"/>
                <w:sz w:val="24"/>
                <w:szCs w:val="32"/>
                <w:lang w:eastAsia="zh-CN"/>
              </w:rPr>
              <w:t>）</w:t>
            </w:r>
            <w:r>
              <w:rPr>
                <w:rFonts w:hint="default" w:ascii="Times New Roman" w:hAnsi="Times New Roman" w:cs="Times New Roman"/>
                <w:color w:val="FF0000"/>
                <w:sz w:val="24"/>
                <w:szCs w:val="32"/>
              </w:rPr>
              <w:t>，初期雨水需收集处理，但其氨氮浓度通常较低（&lt;10 mg/L），氨氮浓度均取最大值10mg/L预测计算，详情见下表。</w:t>
            </w:r>
          </w:p>
          <w:p w14:paraId="1CA49AF2">
            <w:pPr>
              <w:numPr>
                <w:ilvl w:val="0"/>
                <w:numId w:val="5"/>
              </w:numPr>
              <w:autoSpaceDE w:val="0"/>
              <w:autoSpaceDN w:val="0"/>
              <w:adjustRightInd w:val="0"/>
              <w:snapToGrid w:val="0"/>
              <w:spacing w:line="360" w:lineRule="auto"/>
              <w:ind w:firstLine="482" w:firstLineChars="200"/>
              <w:rPr>
                <w:rFonts w:hint="default" w:ascii="Times New Roman" w:hAnsi="Times New Roman" w:cs="Times New Roman"/>
                <w:b/>
                <w:bCs/>
                <w:color w:val="FF0000"/>
                <w:sz w:val="24"/>
              </w:rPr>
            </w:pPr>
            <w:r>
              <w:rPr>
                <w:rFonts w:hint="default" w:ascii="Times New Roman" w:hAnsi="Times New Roman" w:cs="Times New Roman"/>
                <w:b/>
                <w:bCs/>
                <w:color w:val="FF0000"/>
                <w:sz w:val="24"/>
              </w:rPr>
              <w:t>废水污染物产、排情况</w:t>
            </w:r>
          </w:p>
          <w:p w14:paraId="71D908DB">
            <w:pPr>
              <w:jc w:val="center"/>
              <w:rPr>
                <w:rFonts w:hint="default" w:ascii="Times New Roman" w:hAnsi="Times New Roman" w:cs="Times New Roman"/>
                <w:b/>
                <w:bCs/>
                <w:color w:val="FF0000"/>
                <w:highlight w:val="yellow"/>
              </w:rPr>
            </w:pPr>
            <w:r>
              <w:rPr>
                <w:rFonts w:hint="default" w:ascii="Times New Roman" w:hAnsi="Times New Roman" w:cs="Times New Roman"/>
                <w:b/>
                <w:bCs/>
                <w:color w:val="FF0000"/>
              </w:rPr>
              <w:t>表4-</w:t>
            </w:r>
            <w:r>
              <w:rPr>
                <w:rFonts w:hint="eastAsia" w:cs="Times New Roman"/>
                <w:b/>
                <w:bCs/>
                <w:color w:val="FF0000"/>
                <w:lang w:val="en-US" w:eastAsia="zh-CN"/>
              </w:rPr>
              <w:t xml:space="preserve">23  </w:t>
            </w:r>
            <w:r>
              <w:rPr>
                <w:rFonts w:hint="default" w:ascii="Times New Roman" w:hAnsi="Times New Roman" w:cs="Times New Roman"/>
                <w:b/>
                <w:bCs/>
                <w:color w:val="FF0000"/>
              </w:rPr>
              <w:t>废水污染物产生情况</w:t>
            </w:r>
          </w:p>
          <w:tbl>
            <w:tblPr>
              <w:tblStyle w:val="34"/>
              <w:tblW w:w="4998" w:type="pct"/>
              <w:jc w:val="center"/>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185"/>
              <w:gridCol w:w="1574"/>
              <w:gridCol w:w="1561"/>
              <w:gridCol w:w="1529"/>
              <w:gridCol w:w="1622"/>
            </w:tblGrid>
            <w:tr w14:paraId="73E6E27D">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90" w:type="pct"/>
                  <w:tcBorders>
                    <w:tl2br w:val="nil"/>
                    <w:tr2bl w:val="nil"/>
                  </w:tcBorders>
                  <w:vAlign w:val="center"/>
                </w:tcPr>
                <w:p w14:paraId="2E35BCAF">
                  <w:pPr>
                    <w:widowControl/>
                    <w:jc w:val="center"/>
                    <w:rPr>
                      <w:rFonts w:hint="default" w:ascii="Times New Roman" w:hAnsi="Times New Roman" w:cs="Times New Roman"/>
                      <w:color w:val="FF0000"/>
                      <w:kern w:val="0"/>
                      <w:szCs w:val="21"/>
                      <w:lang w:bidi="ar"/>
                    </w:rPr>
                  </w:pPr>
                  <w:r>
                    <w:rPr>
                      <w:rFonts w:hint="default" w:ascii="Times New Roman" w:hAnsi="Times New Roman" w:cs="Times New Roman"/>
                      <w:color w:val="FF0000"/>
                      <w:kern w:val="0"/>
                      <w:szCs w:val="21"/>
                      <w:lang w:bidi="ar"/>
                    </w:rPr>
                    <w:t>产污环节</w:t>
                  </w:r>
                </w:p>
              </w:tc>
              <w:tc>
                <w:tcPr>
                  <w:tcW w:w="929" w:type="pct"/>
                  <w:tcBorders>
                    <w:tl2br w:val="nil"/>
                    <w:tr2bl w:val="nil"/>
                  </w:tcBorders>
                  <w:vAlign w:val="center"/>
                </w:tcPr>
                <w:p w14:paraId="5E945A9E">
                  <w:pPr>
                    <w:widowControl/>
                    <w:jc w:val="center"/>
                    <w:rPr>
                      <w:rFonts w:hint="default" w:ascii="Times New Roman" w:hAnsi="Times New Roman" w:cs="Times New Roman"/>
                      <w:color w:val="FF0000"/>
                      <w:kern w:val="0"/>
                      <w:szCs w:val="21"/>
                      <w:lang w:bidi="ar"/>
                    </w:rPr>
                  </w:pPr>
                  <w:r>
                    <w:rPr>
                      <w:rFonts w:hint="default" w:ascii="Times New Roman" w:hAnsi="Times New Roman" w:cs="Times New Roman"/>
                      <w:color w:val="FF0000"/>
                      <w:kern w:val="0"/>
                      <w:szCs w:val="21"/>
                      <w:lang w:bidi="ar"/>
                    </w:rPr>
                    <w:t>废水产生量</w:t>
                  </w:r>
                </w:p>
              </w:tc>
              <w:tc>
                <w:tcPr>
                  <w:tcW w:w="921" w:type="pct"/>
                  <w:tcBorders>
                    <w:tl2br w:val="nil"/>
                    <w:tr2bl w:val="nil"/>
                  </w:tcBorders>
                  <w:vAlign w:val="center"/>
                </w:tcPr>
                <w:p w14:paraId="7C653F74">
                  <w:pPr>
                    <w:widowControl/>
                    <w:jc w:val="center"/>
                    <w:rPr>
                      <w:rFonts w:hint="default" w:ascii="Times New Roman" w:hAnsi="Times New Roman" w:cs="Times New Roman"/>
                      <w:color w:val="FF0000"/>
                      <w:kern w:val="0"/>
                      <w:szCs w:val="21"/>
                      <w:lang w:bidi="ar"/>
                    </w:rPr>
                  </w:pPr>
                  <w:r>
                    <w:rPr>
                      <w:rFonts w:hint="default" w:ascii="Times New Roman" w:hAnsi="Times New Roman" w:cs="Times New Roman"/>
                      <w:color w:val="FF0000"/>
                      <w:kern w:val="0"/>
                      <w:szCs w:val="21"/>
                      <w:lang w:bidi="ar"/>
                    </w:rPr>
                    <w:t>污染物种类</w:t>
                  </w:r>
                </w:p>
              </w:tc>
              <w:tc>
                <w:tcPr>
                  <w:tcW w:w="902" w:type="pct"/>
                  <w:tcBorders>
                    <w:tl2br w:val="nil"/>
                    <w:tr2bl w:val="nil"/>
                  </w:tcBorders>
                  <w:vAlign w:val="center"/>
                </w:tcPr>
                <w:p w14:paraId="53404019">
                  <w:pPr>
                    <w:widowControl/>
                    <w:jc w:val="center"/>
                    <w:rPr>
                      <w:rFonts w:hint="default" w:ascii="Times New Roman" w:hAnsi="Times New Roman" w:cs="Times New Roman"/>
                      <w:color w:val="FF0000"/>
                      <w:kern w:val="0"/>
                      <w:szCs w:val="21"/>
                      <w:lang w:bidi="ar"/>
                    </w:rPr>
                  </w:pPr>
                  <w:r>
                    <w:rPr>
                      <w:rFonts w:hint="default" w:ascii="Times New Roman" w:hAnsi="Times New Roman" w:cs="Times New Roman"/>
                      <w:color w:val="FF0000"/>
                      <w:kern w:val="0"/>
                      <w:szCs w:val="21"/>
                      <w:lang w:bidi="ar"/>
                    </w:rPr>
                    <w:t>污染物产生量（t/a）</w:t>
                  </w:r>
                </w:p>
              </w:tc>
              <w:tc>
                <w:tcPr>
                  <w:tcW w:w="956" w:type="pct"/>
                  <w:tcBorders>
                    <w:tl2br w:val="nil"/>
                    <w:tr2bl w:val="nil"/>
                  </w:tcBorders>
                  <w:vAlign w:val="center"/>
                </w:tcPr>
                <w:p w14:paraId="62E7DBC4">
                  <w:pPr>
                    <w:widowControl/>
                    <w:jc w:val="center"/>
                    <w:rPr>
                      <w:rFonts w:hint="default" w:ascii="Times New Roman" w:hAnsi="Times New Roman" w:cs="Times New Roman"/>
                      <w:color w:val="FF0000"/>
                      <w:kern w:val="0"/>
                      <w:szCs w:val="21"/>
                      <w:lang w:bidi="ar"/>
                    </w:rPr>
                  </w:pPr>
                  <w:r>
                    <w:rPr>
                      <w:rFonts w:hint="default" w:ascii="Times New Roman" w:hAnsi="Times New Roman" w:cs="Times New Roman"/>
                      <w:color w:val="FF0000"/>
                      <w:kern w:val="0"/>
                      <w:szCs w:val="21"/>
                      <w:lang w:bidi="ar"/>
                    </w:rPr>
                    <w:t>污染物产生浓度（mg/L）</w:t>
                  </w:r>
                </w:p>
              </w:tc>
            </w:tr>
            <w:tr w14:paraId="38D9E8A6">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290" w:type="pct"/>
                  <w:vMerge w:val="restart"/>
                  <w:tcBorders>
                    <w:tl2br w:val="nil"/>
                    <w:tr2bl w:val="nil"/>
                  </w:tcBorders>
                  <w:vAlign w:val="center"/>
                </w:tcPr>
                <w:p w14:paraId="28E9B4B2">
                  <w:pPr>
                    <w:widowControl/>
                    <w:jc w:val="center"/>
                    <w:textAlignment w:val="center"/>
                    <w:rPr>
                      <w:rFonts w:hint="default" w:ascii="Times New Roman" w:hAnsi="Times New Roman" w:cs="Times New Roman"/>
                      <w:color w:val="FF0000"/>
                      <w:kern w:val="0"/>
                      <w:szCs w:val="21"/>
                      <w:lang w:bidi="ar"/>
                    </w:rPr>
                  </w:pPr>
                  <w:r>
                    <w:rPr>
                      <w:rFonts w:hint="default" w:ascii="Times New Roman" w:hAnsi="Times New Roman" w:cs="Times New Roman"/>
                      <w:color w:val="FF0000"/>
                      <w:kern w:val="0"/>
                      <w:szCs w:val="21"/>
                      <w:lang w:bidi="ar"/>
                    </w:rPr>
                    <w:t>报废汽车发动机清洗W1、车间冲洗W2、初期雨水</w:t>
                  </w:r>
                </w:p>
              </w:tc>
              <w:tc>
                <w:tcPr>
                  <w:tcW w:w="929" w:type="pct"/>
                  <w:tcBorders>
                    <w:tl2br w:val="nil"/>
                    <w:tr2bl w:val="nil"/>
                  </w:tcBorders>
                  <w:vAlign w:val="center"/>
                </w:tcPr>
                <w:p w14:paraId="36C48956">
                  <w:pPr>
                    <w:widowControl/>
                    <w:jc w:val="center"/>
                    <w:textAlignment w:val="center"/>
                    <w:rPr>
                      <w:rFonts w:hint="default" w:ascii="Times New Roman" w:hAnsi="Times New Roman" w:cs="Times New Roman"/>
                      <w:color w:val="FF0000"/>
                      <w:kern w:val="0"/>
                      <w:szCs w:val="21"/>
                      <w:lang w:bidi="ar"/>
                    </w:rPr>
                  </w:pPr>
                  <w:r>
                    <w:rPr>
                      <w:rFonts w:hint="default" w:ascii="Times New Roman" w:hAnsi="Times New Roman" w:cs="Times New Roman"/>
                      <w:color w:val="FF0000"/>
                      <w:kern w:val="0"/>
                      <w:szCs w:val="21"/>
                      <w:lang w:bidi="ar"/>
                    </w:rPr>
                    <w:t>2125.92</w:t>
                  </w:r>
                </w:p>
              </w:tc>
              <w:tc>
                <w:tcPr>
                  <w:tcW w:w="921" w:type="pct"/>
                  <w:tcBorders>
                    <w:tl2br w:val="nil"/>
                    <w:tr2bl w:val="nil"/>
                  </w:tcBorders>
                  <w:vAlign w:val="center"/>
                </w:tcPr>
                <w:p w14:paraId="55002350">
                  <w:pPr>
                    <w:widowControl/>
                    <w:jc w:val="center"/>
                    <w:textAlignment w:val="center"/>
                    <w:rPr>
                      <w:rFonts w:hint="default" w:ascii="Times New Roman" w:hAnsi="Times New Roman" w:eastAsia="宋体" w:cs="Times New Roman"/>
                      <w:color w:val="FF0000"/>
                      <w:kern w:val="0"/>
                      <w:szCs w:val="21"/>
                      <w:lang w:val="en-US" w:eastAsia="zh-CN" w:bidi="ar"/>
                    </w:rPr>
                  </w:pPr>
                  <w:r>
                    <w:rPr>
                      <w:rFonts w:hint="eastAsia" w:cs="Times New Roman"/>
                      <w:color w:val="FF0000"/>
                      <w:kern w:val="0"/>
                      <w:szCs w:val="21"/>
                      <w:lang w:val="en-US" w:eastAsia="zh-CN" w:bidi="ar"/>
                    </w:rPr>
                    <w:t>pH</w:t>
                  </w:r>
                </w:p>
              </w:tc>
              <w:tc>
                <w:tcPr>
                  <w:tcW w:w="1859" w:type="pct"/>
                  <w:gridSpan w:val="2"/>
                  <w:tcBorders>
                    <w:tl2br w:val="nil"/>
                    <w:tr2bl w:val="nil"/>
                  </w:tcBorders>
                  <w:vAlign w:val="center"/>
                </w:tcPr>
                <w:p w14:paraId="1EB926C0">
                  <w:pPr>
                    <w:widowControl/>
                    <w:jc w:val="center"/>
                    <w:textAlignment w:val="center"/>
                    <w:rPr>
                      <w:rFonts w:hint="default" w:ascii="Times New Roman" w:hAnsi="Times New Roman" w:eastAsia="宋体" w:cs="Times New Roman"/>
                      <w:color w:val="FF0000"/>
                      <w:kern w:val="0"/>
                      <w:szCs w:val="21"/>
                      <w:lang w:val="en-US" w:eastAsia="zh-CN" w:bidi="ar"/>
                    </w:rPr>
                  </w:pPr>
                  <w:r>
                    <w:rPr>
                      <w:rFonts w:hint="default" w:ascii="Times New Roman" w:hAnsi="Times New Roman" w:eastAsia="宋体" w:cs="Times New Roman"/>
                      <w:color w:val="FF0000"/>
                      <w:kern w:val="0"/>
                      <w:szCs w:val="21"/>
                      <w:lang w:val="en-US" w:eastAsia="zh-CN" w:bidi="ar"/>
                    </w:rPr>
                    <w:t>7.2~10</w:t>
                  </w:r>
                </w:p>
              </w:tc>
            </w:tr>
            <w:tr w14:paraId="73269F69">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290" w:type="pct"/>
                  <w:vMerge w:val="continue"/>
                  <w:tcBorders>
                    <w:tl2br w:val="nil"/>
                    <w:tr2bl w:val="nil"/>
                  </w:tcBorders>
                  <w:vAlign w:val="center"/>
                </w:tcPr>
                <w:p w14:paraId="7B8BD203">
                  <w:pPr>
                    <w:widowControl/>
                    <w:jc w:val="center"/>
                    <w:textAlignment w:val="center"/>
                    <w:rPr>
                      <w:rFonts w:hint="default" w:ascii="Times New Roman" w:hAnsi="Times New Roman" w:cs="Times New Roman"/>
                      <w:color w:val="FF0000"/>
                      <w:kern w:val="0"/>
                      <w:szCs w:val="21"/>
                      <w:lang w:bidi="ar"/>
                    </w:rPr>
                  </w:pPr>
                </w:p>
              </w:tc>
              <w:tc>
                <w:tcPr>
                  <w:tcW w:w="929" w:type="pct"/>
                  <w:tcBorders>
                    <w:tl2br w:val="nil"/>
                    <w:tr2bl w:val="nil"/>
                  </w:tcBorders>
                  <w:vAlign w:val="center"/>
                </w:tcPr>
                <w:p w14:paraId="3E04BFFD">
                  <w:pPr>
                    <w:widowControl/>
                    <w:jc w:val="center"/>
                    <w:textAlignment w:val="center"/>
                    <w:rPr>
                      <w:rFonts w:hint="default" w:ascii="Times New Roman" w:hAnsi="Times New Roman" w:cs="Times New Roman"/>
                      <w:color w:val="FF0000"/>
                      <w:kern w:val="0"/>
                      <w:szCs w:val="21"/>
                      <w:lang w:bidi="ar"/>
                    </w:rPr>
                  </w:pPr>
                  <w:r>
                    <w:rPr>
                      <w:rFonts w:hint="default" w:ascii="Times New Roman" w:hAnsi="Times New Roman" w:cs="Times New Roman"/>
                      <w:color w:val="FF0000"/>
                      <w:kern w:val="0"/>
                      <w:szCs w:val="21"/>
                      <w:lang w:bidi="ar"/>
                    </w:rPr>
                    <w:t>2125.92</w:t>
                  </w:r>
                </w:p>
              </w:tc>
              <w:tc>
                <w:tcPr>
                  <w:tcW w:w="921" w:type="pct"/>
                  <w:tcBorders>
                    <w:tl2br w:val="nil"/>
                    <w:tr2bl w:val="nil"/>
                  </w:tcBorders>
                  <w:vAlign w:val="center"/>
                </w:tcPr>
                <w:p w14:paraId="57463356">
                  <w:pPr>
                    <w:widowControl/>
                    <w:jc w:val="center"/>
                    <w:textAlignment w:val="center"/>
                    <w:rPr>
                      <w:rFonts w:hint="default" w:ascii="Times New Roman" w:hAnsi="Times New Roman" w:cs="Times New Roman"/>
                      <w:color w:val="FF0000"/>
                      <w:kern w:val="0"/>
                      <w:szCs w:val="21"/>
                      <w:lang w:bidi="ar"/>
                    </w:rPr>
                  </w:pPr>
                  <w:r>
                    <w:rPr>
                      <w:rFonts w:hint="default" w:ascii="Times New Roman" w:hAnsi="Times New Roman" w:cs="Times New Roman"/>
                      <w:color w:val="FF0000"/>
                      <w:kern w:val="0"/>
                      <w:szCs w:val="21"/>
                      <w:lang w:bidi="ar"/>
                    </w:rPr>
                    <w:t>COD</w:t>
                  </w:r>
                </w:p>
              </w:tc>
              <w:tc>
                <w:tcPr>
                  <w:tcW w:w="902" w:type="pct"/>
                  <w:tcBorders>
                    <w:tl2br w:val="nil"/>
                    <w:tr2bl w:val="nil"/>
                  </w:tcBorders>
                  <w:vAlign w:val="center"/>
                </w:tcPr>
                <w:p w14:paraId="3B2C4FB2">
                  <w:pPr>
                    <w:widowControl/>
                    <w:jc w:val="center"/>
                    <w:textAlignment w:val="center"/>
                    <w:rPr>
                      <w:rFonts w:hint="default" w:ascii="Times New Roman" w:hAnsi="Times New Roman" w:cs="Times New Roman"/>
                      <w:color w:val="FF0000"/>
                      <w:kern w:val="0"/>
                      <w:szCs w:val="21"/>
                      <w:lang w:bidi="ar"/>
                    </w:rPr>
                  </w:pPr>
                  <w:r>
                    <w:rPr>
                      <w:rFonts w:hint="default" w:ascii="Times New Roman" w:hAnsi="Times New Roman" w:cs="Times New Roman"/>
                      <w:color w:val="FF0000"/>
                      <w:kern w:val="0"/>
                      <w:szCs w:val="21"/>
                      <w:lang w:bidi="ar"/>
                    </w:rPr>
                    <w:t>0.001195</w:t>
                  </w:r>
                </w:p>
              </w:tc>
              <w:tc>
                <w:tcPr>
                  <w:tcW w:w="956" w:type="pct"/>
                  <w:tcBorders>
                    <w:tl2br w:val="nil"/>
                    <w:tr2bl w:val="nil"/>
                  </w:tcBorders>
                  <w:vAlign w:val="center"/>
                </w:tcPr>
                <w:p w14:paraId="2DFA3742">
                  <w:pPr>
                    <w:widowControl/>
                    <w:jc w:val="center"/>
                    <w:textAlignment w:val="center"/>
                    <w:rPr>
                      <w:rFonts w:hint="default" w:ascii="Times New Roman" w:hAnsi="Times New Roman" w:cs="Times New Roman"/>
                      <w:color w:val="FF0000"/>
                      <w:kern w:val="0"/>
                      <w:szCs w:val="21"/>
                      <w:lang w:bidi="ar"/>
                    </w:rPr>
                  </w:pPr>
                  <w:r>
                    <w:rPr>
                      <w:rFonts w:hint="default" w:ascii="Times New Roman" w:hAnsi="Times New Roman" w:cs="Times New Roman"/>
                      <w:color w:val="FF0000"/>
                      <w:kern w:val="0"/>
                      <w:szCs w:val="21"/>
                      <w:lang w:bidi="ar"/>
                    </w:rPr>
                    <w:t>562</w:t>
                  </w:r>
                </w:p>
              </w:tc>
            </w:tr>
            <w:tr w14:paraId="7B8047A9">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67" w:hRule="atLeast"/>
                <w:jc w:val="center"/>
              </w:trPr>
              <w:tc>
                <w:tcPr>
                  <w:tcW w:w="1290" w:type="pct"/>
                  <w:vMerge w:val="continue"/>
                  <w:tcBorders>
                    <w:tl2br w:val="nil"/>
                    <w:tr2bl w:val="nil"/>
                  </w:tcBorders>
                  <w:vAlign w:val="center"/>
                </w:tcPr>
                <w:p w14:paraId="2BBE8771">
                  <w:pPr>
                    <w:widowControl/>
                    <w:jc w:val="center"/>
                    <w:textAlignment w:val="center"/>
                    <w:rPr>
                      <w:rFonts w:hint="default" w:ascii="Times New Roman" w:hAnsi="Times New Roman" w:cs="Times New Roman"/>
                      <w:color w:val="FF0000"/>
                      <w:kern w:val="0"/>
                      <w:szCs w:val="21"/>
                      <w:lang w:bidi="ar"/>
                    </w:rPr>
                  </w:pPr>
                </w:p>
              </w:tc>
              <w:tc>
                <w:tcPr>
                  <w:tcW w:w="929" w:type="pct"/>
                  <w:tcBorders>
                    <w:tl2br w:val="nil"/>
                    <w:tr2bl w:val="nil"/>
                  </w:tcBorders>
                  <w:shd w:val="clear" w:color="auto" w:fill="auto"/>
                  <w:vAlign w:val="center"/>
                </w:tcPr>
                <w:p w14:paraId="475EBD1D">
                  <w:pPr>
                    <w:widowControl/>
                    <w:jc w:val="center"/>
                    <w:textAlignment w:val="center"/>
                    <w:rPr>
                      <w:rFonts w:hint="default" w:ascii="Times New Roman" w:hAnsi="Times New Roman" w:cs="Times New Roman"/>
                      <w:color w:val="FF0000"/>
                      <w:kern w:val="0"/>
                      <w:szCs w:val="21"/>
                      <w:lang w:bidi="ar"/>
                    </w:rPr>
                  </w:pPr>
                  <w:r>
                    <w:rPr>
                      <w:rFonts w:hint="default" w:ascii="Times New Roman" w:hAnsi="Times New Roman" w:cs="Times New Roman"/>
                      <w:color w:val="FF0000"/>
                      <w:kern w:val="0"/>
                      <w:szCs w:val="21"/>
                      <w:lang w:bidi="ar"/>
                    </w:rPr>
                    <w:t>2125.92</w:t>
                  </w:r>
                </w:p>
              </w:tc>
              <w:tc>
                <w:tcPr>
                  <w:tcW w:w="921" w:type="pct"/>
                  <w:tcBorders>
                    <w:tl2br w:val="nil"/>
                    <w:tr2bl w:val="nil"/>
                  </w:tcBorders>
                  <w:shd w:val="clear" w:color="auto" w:fill="auto"/>
                  <w:vAlign w:val="center"/>
                </w:tcPr>
                <w:p w14:paraId="1889CAD1">
                  <w:pPr>
                    <w:widowControl/>
                    <w:jc w:val="center"/>
                    <w:textAlignment w:val="center"/>
                    <w:rPr>
                      <w:rFonts w:hint="default" w:ascii="Times New Roman" w:hAnsi="Times New Roman" w:cs="Times New Roman"/>
                      <w:color w:val="FF0000"/>
                      <w:kern w:val="0"/>
                      <w:szCs w:val="21"/>
                      <w:lang w:bidi="ar"/>
                    </w:rPr>
                  </w:pPr>
                  <w:r>
                    <w:rPr>
                      <w:rFonts w:hint="default" w:ascii="Times New Roman" w:hAnsi="Times New Roman" w:cs="Times New Roman"/>
                      <w:color w:val="FF0000"/>
                      <w:kern w:val="0"/>
                      <w:szCs w:val="21"/>
                      <w:lang w:bidi="ar"/>
                    </w:rPr>
                    <w:t>SS</w:t>
                  </w:r>
                </w:p>
              </w:tc>
              <w:tc>
                <w:tcPr>
                  <w:tcW w:w="902" w:type="pct"/>
                  <w:tcBorders>
                    <w:tl2br w:val="nil"/>
                    <w:tr2bl w:val="nil"/>
                  </w:tcBorders>
                  <w:vAlign w:val="center"/>
                </w:tcPr>
                <w:p w14:paraId="79368020">
                  <w:pPr>
                    <w:widowControl/>
                    <w:jc w:val="center"/>
                    <w:textAlignment w:val="center"/>
                    <w:rPr>
                      <w:rFonts w:hint="default" w:ascii="Times New Roman" w:hAnsi="Times New Roman" w:cs="Times New Roman"/>
                      <w:color w:val="FF0000"/>
                      <w:kern w:val="0"/>
                      <w:szCs w:val="21"/>
                      <w:lang w:bidi="ar"/>
                    </w:rPr>
                  </w:pPr>
                  <w:r>
                    <w:rPr>
                      <w:rFonts w:hint="default" w:ascii="Times New Roman" w:hAnsi="Times New Roman" w:cs="Times New Roman"/>
                      <w:color w:val="FF0000"/>
                      <w:kern w:val="0"/>
                      <w:szCs w:val="21"/>
                      <w:lang w:bidi="ar"/>
                    </w:rPr>
                    <w:t>0.000155</w:t>
                  </w:r>
                </w:p>
              </w:tc>
              <w:tc>
                <w:tcPr>
                  <w:tcW w:w="956" w:type="pct"/>
                  <w:tcBorders>
                    <w:tl2br w:val="nil"/>
                    <w:tr2bl w:val="nil"/>
                  </w:tcBorders>
                  <w:vAlign w:val="center"/>
                </w:tcPr>
                <w:p w14:paraId="3ADE416A">
                  <w:pPr>
                    <w:widowControl/>
                    <w:jc w:val="center"/>
                    <w:textAlignment w:val="center"/>
                    <w:rPr>
                      <w:rFonts w:hint="default" w:ascii="Times New Roman" w:hAnsi="Times New Roman" w:cs="Times New Roman"/>
                      <w:color w:val="FF0000"/>
                      <w:kern w:val="0"/>
                      <w:szCs w:val="21"/>
                      <w:lang w:bidi="ar"/>
                    </w:rPr>
                  </w:pPr>
                  <w:r>
                    <w:rPr>
                      <w:rFonts w:hint="default" w:ascii="Times New Roman" w:hAnsi="Times New Roman" w:cs="Times New Roman"/>
                      <w:color w:val="FF0000"/>
                      <w:kern w:val="0"/>
                      <w:szCs w:val="21"/>
                      <w:lang w:bidi="ar"/>
                    </w:rPr>
                    <w:t>73</w:t>
                  </w:r>
                </w:p>
              </w:tc>
            </w:tr>
            <w:tr w14:paraId="2FC298A8">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67" w:hRule="atLeast"/>
                <w:jc w:val="center"/>
              </w:trPr>
              <w:tc>
                <w:tcPr>
                  <w:tcW w:w="1290" w:type="pct"/>
                  <w:vMerge w:val="continue"/>
                  <w:tcBorders>
                    <w:tl2br w:val="nil"/>
                    <w:tr2bl w:val="nil"/>
                  </w:tcBorders>
                  <w:vAlign w:val="center"/>
                </w:tcPr>
                <w:p w14:paraId="034A1B87">
                  <w:pPr>
                    <w:widowControl/>
                    <w:jc w:val="center"/>
                    <w:textAlignment w:val="center"/>
                    <w:rPr>
                      <w:rFonts w:hint="default" w:ascii="Times New Roman" w:hAnsi="Times New Roman" w:cs="Times New Roman"/>
                      <w:color w:val="FF0000"/>
                      <w:kern w:val="0"/>
                      <w:szCs w:val="21"/>
                      <w:lang w:bidi="ar"/>
                    </w:rPr>
                  </w:pPr>
                </w:p>
              </w:tc>
              <w:tc>
                <w:tcPr>
                  <w:tcW w:w="929" w:type="pct"/>
                  <w:tcBorders>
                    <w:tl2br w:val="nil"/>
                    <w:tr2bl w:val="nil"/>
                  </w:tcBorders>
                  <w:shd w:val="clear" w:color="auto" w:fill="auto"/>
                  <w:vAlign w:val="center"/>
                </w:tcPr>
                <w:p w14:paraId="4D0ECAB5">
                  <w:pPr>
                    <w:widowControl/>
                    <w:jc w:val="center"/>
                    <w:textAlignment w:val="center"/>
                    <w:rPr>
                      <w:rFonts w:hint="default" w:ascii="Times New Roman" w:hAnsi="Times New Roman" w:cs="Times New Roman"/>
                      <w:color w:val="FF0000"/>
                      <w:kern w:val="0"/>
                      <w:szCs w:val="21"/>
                      <w:lang w:bidi="ar"/>
                    </w:rPr>
                  </w:pPr>
                  <w:r>
                    <w:rPr>
                      <w:rFonts w:hint="default" w:ascii="Times New Roman" w:hAnsi="Times New Roman" w:cs="Times New Roman"/>
                      <w:color w:val="FF0000"/>
                      <w:kern w:val="0"/>
                      <w:szCs w:val="21"/>
                      <w:lang w:bidi="ar"/>
                    </w:rPr>
                    <w:t>2125.92</w:t>
                  </w:r>
                </w:p>
              </w:tc>
              <w:tc>
                <w:tcPr>
                  <w:tcW w:w="921" w:type="pct"/>
                  <w:tcBorders>
                    <w:tl2br w:val="nil"/>
                    <w:tr2bl w:val="nil"/>
                  </w:tcBorders>
                  <w:shd w:val="clear" w:color="auto" w:fill="auto"/>
                  <w:vAlign w:val="center"/>
                </w:tcPr>
                <w:p w14:paraId="4B83523B">
                  <w:pPr>
                    <w:widowControl/>
                    <w:jc w:val="center"/>
                    <w:textAlignment w:val="center"/>
                    <w:rPr>
                      <w:rFonts w:hint="default" w:ascii="Times New Roman" w:hAnsi="Times New Roman" w:cs="Times New Roman"/>
                      <w:color w:val="FF0000"/>
                      <w:kern w:val="0"/>
                      <w:szCs w:val="21"/>
                      <w:lang w:bidi="ar"/>
                    </w:rPr>
                  </w:pPr>
                  <w:r>
                    <w:rPr>
                      <w:rFonts w:hint="default" w:ascii="Times New Roman" w:hAnsi="Times New Roman" w:cs="Times New Roman"/>
                      <w:color w:val="FF0000"/>
                      <w:kern w:val="0"/>
                      <w:szCs w:val="21"/>
                      <w:lang w:bidi="ar"/>
                    </w:rPr>
                    <w:t>NH</w:t>
                  </w:r>
                  <w:r>
                    <w:rPr>
                      <w:rFonts w:hint="default" w:ascii="Times New Roman" w:hAnsi="Times New Roman" w:cs="Times New Roman"/>
                      <w:color w:val="FF0000"/>
                      <w:kern w:val="0"/>
                      <w:szCs w:val="21"/>
                      <w:vertAlign w:val="subscript"/>
                      <w:lang w:bidi="ar"/>
                    </w:rPr>
                    <w:t>3</w:t>
                  </w:r>
                  <w:r>
                    <w:rPr>
                      <w:rFonts w:hint="default" w:ascii="Times New Roman" w:hAnsi="Times New Roman" w:cs="Times New Roman"/>
                      <w:color w:val="FF0000"/>
                      <w:kern w:val="0"/>
                      <w:szCs w:val="21"/>
                      <w:lang w:bidi="ar"/>
                    </w:rPr>
                    <w:t>-N</w:t>
                  </w:r>
                </w:p>
              </w:tc>
              <w:tc>
                <w:tcPr>
                  <w:tcW w:w="902" w:type="pct"/>
                  <w:tcBorders>
                    <w:tl2br w:val="nil"/>
                    <w:tr2bl w:val="nil"/>
                  </w:tcBorders>
                  <w:vAlign w:val="center"/>
                </w:tcPr>
                <w:p w14:paraId="07F66F10">
                  <w:pPr>
                    <w:widowControl/>
                    <w:jc w:val="center"/>
                    <w:textAlignment w:val="center"/>
                    <w:rPr>
                      <w:rFonts w:hint="default" w:ascii="Times New Roman" w:hAnsi="Times New Roman" w:cs="Times New Roman"/>
                      <w:color w:val="FF0000"/>
                      <w:kern w:val="0"/>
                      <w:szCs w:val="21"/>
                      <w:lang w:bidi="ar"/>
                    </w:rPr>
                  </w:pPr>
                  <w:r>
                    <w:rPr>
                      <w:rFonts w:hint="default" w:ascii="Times New Roman" w:hAnsi="Times New Roman" w:cs="Times New Roman"/>
                      <w:color w:val="FF0000"/>
                      <w:kern w:val="0"/>
                      <w:szCs w:val="21"/>
                      <w:lang w:bidi="ar"/>
                    </w:rPr>
                    <w:t>0.000021</w:t>
                  </w:r>
                </w:p>
              </w:tc>
              <w:tc>
                <w:tcPr>
                  <w:tcW w:w="956" w:type="pct"/>
                  <w:tcBorders>
                    <w:tl2br w:val="nil"/>
                    <w:tr2bl w:val="nil"/>
                  </w:tcBorders>
                  <w:vAlign w:val="center"/>
                </w:tcPr>
                <w:p w14:paraId="140F732F">
                  <w:pPr>
                    <w:widowControl/>
                    <w:jc w:val="center"/>
                    <w:textAlignment w:val="center"/>
                    <w:rPr>
                      <w:rFonts w:hint="default" w:ascii="Times New Roman" w:hAnsi="Times New Roman" w:cs="Times New Roman"/>
                      <w:color w:val="FF0000"/>
                      <w:kern w:val="0"/>
                      <w:szCs w:val="21"/>
                      <w:lang w:bidi="ar"/>
                    </w:rPr>
                  </w:pPr>
                  <w:r>
                    <w:rPr>
                      <w:rFonts w:hint="default" w:ascii="Times New Roman" w:hAnsi="Times New Roman" w:cs="Times New Roman"/>
                      <w:color w:val="FF0000"/>
                      <w:kern w:val="0"/>
                      <w:szCs w:val="21"/>
                      <w:lang w:bidi="ar"/>
                    </w:rPr>
                    <w:t>10</w:t>
                  </w:r>
                </w:p>
              </w:tc>
            </w:tr>
            <w:tr w14:paraId="3A410A67">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67" w:hRule="atLeast"/>
                <w:jc w:val="center"/>
              </w:trPr>
              <w:tc>
                <w:tcPr>
                  <w:tcW w:w="1290" w:type="pct"/>
                  <w:vMerge w:val="continue"/>
                  <w:tcBorders>
                    <w:tl2br w:val="nil"/>
                    <w:tr2bl w:val="nil"/>
                  </w:tcBorders>
                  <w:vAlign w:val="center"/>
                </w:tcPr>
                <w:p w14:paraId="576742EA">
                  <w:pPr>
                    <w:widowControl/>
                    <w:jc w:val="center"/>
                    <w:textAlignment w:val="center"/>
                    <w:rPr>
                      <w:rFonts w:hint="default" w:ascii="Times New Roman" w:hAnsi="Times New Roman" w:cs="Times New Roman"/>
                      <w:color w:val="FF0000"/>
                      <w:kern w:val="0"/>
                      <w:szCs w:val="21"/>
                      <w:lang w:bidi="ar"/>
                    </w:rPr>
                  </w:pPr>
                </w:p>
              </w:tc>
              <w:tc>
                <w:tcPr>
                  <w:tcW w:w="929" w:type="pct"/>
                  <w:tcBorders>
                    <w:tl2br w:val="nil"/>
                    <w:tr2bl w:val="nil"/>
                  </w:tcBorders>
                  <w:vAlign w:val="center"/>
                </w:tcPr>
                <w:p w14:paraId="2F7EFBB4">
                  <w:pPr>
                    <w:widowControl/>
                    <w:jc w:val="center"/>
                    <w:textAlignment w:val="center"/>
                    <w:rPr>
                      <w:rFonts w:hint="default" w:ascii="Times New Roman" w:hAnsi="Times New Roman" w:cs="Times New Roman"/>
                      <w:color w:val="FF0000"/>
                      <w:kern w:val="0"/>
                      <w:szCs w:val="21"/>
                      <w:lang w:bidi="ar"/>
                    </w:rPr>
                  </w:pPr>
                  <w:r>
                    <w:rPr>
                      <w:rFonts w:hint="default" w:ascii="Times New Roman" w:hAnsi="Times New Roman" w:cs="Times New Roman"/>
                      <w:color w:val="FF0000"/>
                      <w:kern w:val="0"/>
                      <w:szCs w:val="21"/>
                      <w:lang w:bidi="ar"/>
                    </w:rPr>
                    <w:t>2125.92</w:t>
                  </w:r>
                </w:p>
              </w:tc>
              <w:tc>
                <w:tcPr>
                  <w:tcW w:w="921" w:type="pct"/>
                  <w:tcBorders>
                    <w:tl2br w:val="nil"/>
                    <w:tr2bl w:val="nil"/>
                  </w:tcBorders>
                  <w:vAlign w:val="center"/>
                </w:tcPr>
                <w:p w14:paraId="358AE30F">
                  <w:pPr>
                    <w:widowControl/>
                    <w:jc w:val="center"/>
                    <w:textAlignment w:val="center"/>
                    <w:rPr>
                      <w:rFonts w:hint="default" w:ascii="Times New Roman" w:hAnsi="Times New Roman" w:cs="Times New Roman"/>
                      <w:color w:val="FF0000"/>
                      <w:kern w:val="0"/>
                      <w:szCs w:val="21"/>
                      <w:lang w:bidi="ar"/>
                    </w:rPr>
                  </w:pPr>
                  <w:r>
                    <w:rPr>
                      <w:rFonts w:hint="default" w:ascii="Times New Roman" w:hAnsi="Times New Roman" w:cs="Times New Roman"/>
                      <w:color w:val="FF0000"/>
                      <w:kern w:val="0"/>
                      <w:szCs w:val="21"/>
                      <w:lang w:bidi="ar"/>
                    </w:rPr>
                    <w:t>石油类</w:t>
                  </w:r>
                </w:p>
              </w:tc>
              <w:tc>
                <w:tcPr>
                  <w:tcW w:w="902" w:type="pct"/>
                  <w:tcBorders>
                    <w:tl2br w:val="nil"/>
                    <w:tr2bl w:val="nil"/>
                  </w:tcBorders>
                  <w:vAlign w:val="center"/>
                </w:tcPr>
                <w:p w14:paraId="2C3598E8">
                  <w:pPr>
                    <w:widowControl/>
                    <w:jc w:val="center"/>
                    <w:textAlignment w:val="center"/>
                    <w:rPr>
                      <w:rFonts w:hint="default" w:ascii="Times New Roman" w:hAnsi="Times New Roman" w:cs="Times New Roman"/>
                      <w:color w:val="FF0000"/>
                      <w:kern w:val="0"/>
                      <w:szCs w:val="21"/>
                      <w:lang w:bidi="ar"/>
                    </w:rPr>
                  </w:pPr>
                  <w:r>
                    <w:rPr>
                      <w:rFonts w:hint="default" w:ascii="Times New Roman" w:hAnsi="Times New Roman" w:cs="Times New Roman"/>
                      <w:color w:val="FF0000"/>
                      <w:kern w:val="0"/>
                      <w:szCs w:val="21"/>
                      <w:lang w:bidi="ar"/>
                    </w:rPr>
                    <w:t>0.000808</w:t>
                  </w:r>
                </w:p>
              </w:tc>
              <w:tc>
                <w:tcPr>
                  <w:tcW w:w="956" w:type="pct"/>
                  <w:tcBorders>
                    <w:tl2br w:val="nil"/>
                    <w:tr2bl w:val="nil"/>
                  </w:tcBorders>
                  <w:vAlign w:val="center"/>
                </w:tcPr>
                <w:p w14:paraId="1F37C9AF">
                  <w:pPr>
                    <w:widowControl/>
                    <w:jc w:val="center"/>
                    <w:textAlignment w:val="center"/>
                    <w:rPr>
                      <w:rFonts w:hint="default" w:ascii="Times New Roman" w:hAnsi="Times New Roman" w:cs="Times New Roman"/>
                      <w:color w:val="FF0000"/>
                      <w:kern w:val="0"/>
                      <w:szCs w:val="21"/>
                      <w:lang w:bidi="ar"/>
                    </w:rPr>
                  </w:pPr>
                  <w:r>
                    <w:rPr>
                      <w:rFonts w:hint="default" w:ascii="Times New Roman" w:hAnsi="Times New Roman" w:cs="Times New Roman"/>
                      <w:color w:val="FF0000"/>
                      <w:kern w:val="0"/>
                      <w:szCs w:val="21"/>
                      <w:lang w:bidi="ar"/>
                    </w:rPr>
                    <w:t>380</w:t>
                  </w:r>
                </w:p>
              </w:tc>
            </w:tr>
            <w:tr w14:paraId="0586E520">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290" w:type="pct"/>
                  <w:vMerge w:val="restart"/>
                  <w:tcBorders>
                    <w:tl2br w:val="nil"/>
                    <w:tr2bl w:val="nil"/>
                  </w:tcBorders>
                  <w:vAlign w:val="center"/>
                </w:tcPr>
                <w:p w14:paraId="6C38E45C">
                  <w:pPr>
                    <w:pStyle w:val="128"/>
                    <w:spacing w:line="360" w:lineRule="exact"/>
                    <w:jc w:val="center"/>
                    <w:rPr>
                      <w:rFonts w:hint="default" w:ascii="Times New Roman" w:hAnsi="Times New Roman" w:cs="Times New Roman"/>
                      <w:color w:val="FF0000"/>
                      <w:kern w:val="0"/>
                      <w:sz w:val="21"/>
                      <w:szCs w:val="21"/>
                      <w:lang w:val="en-US" w:eastAsia="zh-CN" w:bidi="ar"/>
                    </w:rPr>
                  </w:pPr>
                  <w:r>
                    <w:rPr>
                      <w:rFonts w:hint="default" w:ascii="Times New Roman" w:hAnsi="Times New Roman" w:cs="Times New Roman"/>
                      <w:color w:val="FF0000"/>
                      <w:sz w:val="21"/>
                      <w:szCs w:val="21"/>
                    </w:rPr>
                    <w:t>生活污水</w:t>
                  </w:r>
                </w:p>
              </w:tc>
              <w:tc>
                <w:tcPr>
                  <w:tcW w:w="929" w:type="pct"/>
                  <w:tcBorders>
                    <w:tl2br w:val="nil"/>
                    <w:tr2bl w:val="nil"/>
                  </w:tcBorders>
                  <w:shd w:val="clear" w:color="auto" w:fill="auto"/>
                  <w:vAlign w:val="center"/>
                </w:tcPr>
                <w:p w14:paraId="5D9DA08B">
                  <w:pPr>
                    <w:widowControl/>
                    <w:jc w:val="center"/>
                    <w:textAlignment w:val="center"/>
                    <w:rPr>
                      <w:rFonts w:hint="default" w:ascii="Times New Roman" w:hAnsi="Times New Roman" w:eastAsia="Times New Roman" w:cs="Times New Roman"/>
                      <w:color w:val="FF0000"/>
                    </w:rPr>
                  </w:pPr>
                  <w:r>
                    <w:rPr>
                      <w:rFonts w:hint="default" w:ascii="Times New Roman" w:hAnsi="Times New Roman" w:cs="Times New Roman"/>
                      <w:color w:val="FF0000"/>
                      <w:kern w:val="0"/>
                      <w:szCs w:val="21"/>
                      <w:lang w:bidi="ar"/>
                    </w:rPr>
                    <w:t>216</w:t>
                  </w:r>
                </w:p>
              </w:tc>
              <w:tc>
                <w:tcPr>
                  <w:tcW w:w="921" w:type="pct"/>
                  <w:tcBorders>
                    <w:tl2br w:val="nil"/>
                    <w:tr2bl w:val="nil"/>
                  </w:tcBorders>
                  <w:shd w:val="clear" w:color="auto" w:fill="auto"/>
                  <w:vAlign w:val="center"/>
                </w:tcPr>
                <w:p w14:paraId="0324EFE8">
                  <w:pPr>
                    <w:widowControl/>
                    <w:jc w:val="center"/>
                    <w:textAlignment w:val="center"/>
                    <w:rPr>
                      <w:rFonts w:hint="default" w:ascii="Times New Roman" w:hAnsi="Times New Roman" w:eastAsia="Times New Roman" w:cs="Times New Roman"/>
                      <w:color w:val="FF0000"/>
                      <w:szCs w:val="21"/>
                    </w:rPr>
                  </w:pPr>
                  <w:r>
                    <w:rPr>
                      <w:rFonts w:hint="default" w:ascii="Times New Roman" w:hAnsi="Times New Roman" w:cs="Times New Roman"/>
                      <w:color w:val="FF0000"/>
                      <w:kern w:val="0"/>
                      <w:szCs w:val="21"/>
                      <w:lang w:bidi="ar"/>
                    </w:rPr>
                    <w:t>COD</w:t>
                  </w:r>
                </w:p>
              </w:tc>
              <w:tc>
                <w:tcPr>
                  <w:tcW w:w="902" w:type="pct"/>
                  <w:tcBorders>
                    <w:tl2br w:val="nil"/>
                    <w:tr2bl w:val="nil"/>
                  </w:tcBorders>
                  <w:vAlign w:val="center"/>
                </w:tcPr>
                <w:p w14:paraId="3B1450FA">
                  <w:pPr>
                    <w:widowControl/>
                    <w:jc w:val="center"/>
                    <w:textAlignment w:val="center"/>
                    <w:rPr>
                      <w:rFonts w:hint="default" w:ascii="Times New Roman" w:hAnsi="Times New Roman" w:cs="Times New Roman"/>
                      <w:color w:val="FF0000"/>
                      <w:kern w:val="0"/>
                      <w:szCs w:val="21"/>
                      <w:lang w:bidi="ar"/>
                    </w:rPr>
                  </w:pPr>
                  <w:r>
                    <w:rPr>
                      <w:rFonts w:hint="default" w:ascii="Times New Roman" w:hAnsi="Times New Roman" w:cs="Times New Roman"/>
                      <w:color w:val="FF0000"/>
                      <w:kern w:val="0"/>
                      <w:szCs w:val="21"/>
                      <w:lang w:bidi="ar"/>
                    </w:rPr>
                    <w:t>0.000073</w:t>
                  </w:r>
                </w:p>
              </w:tc>
              <w:tc>
                <w:tcPr>
                  <w:tcW w:w="956" w:type="pct"/>
                  <w:tcBorders>
                    <w:tl2br w:val="nil"/>
                    <w:tr2bl w:val="nil"/>
                  </w:tcBorders>
                  <w:vAlign w:val="center"/>
                </w:tcPr>
                <w:p w14:paraId="15735B6B">
                  <w:pPr>
                    <w:widowControl/>
                    <w:jc w:val="center"/>
                    <w:textAlignment w:val="center"/>
                    <w:rPr>
                      <w:rFonts w:hint="default" w:ascii="Times New Roman" w:hAnsi="Times New Roman" w:cs="Times New Roman"/>
                      <w:color w:val="FF0000"/>
                      <w:kern w:val="0"/>
                      <w:szCs w:val="21"/>
                      <w:lang w:bidi="ar"/>
                    </w:rPr>
                  </w:pPr>
                  <w:r>
                    <w:rPr>
                      <w:rFonts w:hint="default" w:ascii="Times New Roman" w:hAnsi="Times New Roman" w:cs="Times New Roman"/>
                      <w:color w:val="FF0000"/>
                      <w:kern w:val="0"/>
                      <w:szCs w:val="21"/>
                      <w:lang w:bidi="ar"/>
                    </w:rPr>
                    <w:t>340</w:t>
                  </w:r>
                </w:p>
              </w:tc>
            </w:tr>
            <w:tr w14:paraId="305748F1">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290" w:type="pct"/>
                  <w:vMerge w:val="continue"/>
                  <w:tcBorders>
                    <w:tl2br w:val="nil"/>
                    <w:tr2bl w:val="nil"/>
                  </w:tcBorders>
                  <w:vAlign w:val="center"/>
                </w:tcPr>
                <w:p w14:paraId="2310BA85">
                  <w:pPr>
                    <w:widowControl/>
                    <w:jc w:val="center"/>
                    <w:textAlignment w:val="center"/>
                    <w:rPr>
                      <w:rFonts w:hint="default" w:ascii="Times New Roman" w:hAnsi="Times New Roman" w:cs="Times New Roman"/>
                      <w:color w:val="FF0000"/>
                    </w:rPr>
                  </w:pPr>
                </w:p>
              </w:tc>
              <w:tc>
                <w:tcPr>
                  <w:tcW w:w="929" w:type="pct"/>
                  <w:tcBorders>
                    <w:tl2br w:val="nil"/>
                    <w:tr2bl w:val="nil"/>
                  </w:tcBorders>
                  <w:shd w:val="clear" w:color="auto" w:fill="auto"/>
                  <w:vAlign w:val="center"/>
                </w:tcPr>
                <w:p w14:paraId="53D03524">
                  <w:pPr>
                    <w:widowControl/>
                    <w:jc w:val="center"/>
                    <w:textAlignment w:val="center"/>
                    <w:rPr>
                      <w:rFonts w:hint="default" w:ascii="Times New Roman" w:hAnsi="Times New Roman" w:eastAsia="Times New Roman" w:cs="Times New Roman"/>
                      <w:color w:val="FF0000"/>
                    </w:rPr>
                  </w:pPr>
                  <w:r>
                    <w:rPr>
                      <w:rFonts w:hint="default" w:ascii="Times New Roman" w:hAnsi="Times New Roman" w:cs="Times New Roman"/>
                      <w:color w:val="FF0000"/>
                      <w:kern w:val="0"/>
                      <w:szCs w:val="21"/>
                      <w:lang w:bidi="ar"/>
                    </w:rPr>
                    <w:t>216</w:t>
                  </w:r>
                </w:p>
              </w:tc>
              <w:tc>
                <w:tcPr>
                  <w:tcW w:w="921" w:type="pct"/>
                  <w:tcBorders>
                    <w:tl2br w:val="nil"/>
                    <w:tr2bl w:val="nil"/>
                  </w:tcBorders>
                  <w:shd w:val="clear" w:color="auto" w:fill="auto"/>
                  <w:vAlign w:val="center"/>
                </w:tcPr>
                <w:p w14:paraId="75938216">
                  <w:pPr>
                    <w:widowControl/>
                    <w:jc w:val="center"/>
                    <w:textAlignment w:val="center"/>
                    <w:rPr>
                      <w:rFonts w:hint="default" w:ascii="Times New Roman" w:hAnsi="Times New Roman" w:eastAsia="Times New Roman" w:cs="Times New Roman"/>
                      <w:color w:val="FF0000"/>
                      <w:szCs w:val="21"/>
                    </w:rPr>
                  </w:pPr>
                  <w:r>
                    <w:rPr>
                      <w:rFonts w:hint="default" w:ascii="Times New Roman" w:hAnsi="Times New Roman" w:cs="Times New Roman"/>
                      <w:color w:val="FF0000"/>
                      <w:kern w:val="0"/>
                      <w:szCs w:val="21"/>
                      <w:lang w:bidi="ar"/>
                    </w:rPr>
                    <w:t>BOD</w:t>
                  </w:r>
                  <w:r>
                    <w:rPr>
                      <w:rFonts w:hint="default" w:ascii="Times New Roman" w:hAnsi="Times New Roman" w:cs="Times New Roman"/>
                      <w:color w:val="FF0000"/>
                      <w:kern w:val="0"/>
                      <w:szCs w:val="21"/>
                      <w:vertAlign w:val="subscript"/>
                      <w:lang w:bidi="ar"/>
                    </w:rPr>
                    <w:t>5</w:t>
                  </w:r>
                </w:p>
              </w:tc>
              <w:tc>
                <w:tcPr>
                  <w:tcW w:w="902" w:type="pct"/>
                  <w:tcBorders>
                    <w:tl2br w:val="nil"/>
                    <w:tr2bl w:val="nil"/>
                  </w:tcBorders>
                  <w:vAlign w:val="center"/>
                </w:tcPr>
                <w:p w14:paraId="36F2884B">
                  <w:pPr>
                    <w:widowControl/>
                    <w:jc w:val="center"/>
                    <w:textAlignment w:val="center"/>
                    <w:rPr>
                      <w:rFonts w:hint="default" w:ascii="Times New Roman" w:hAnsi="Times New Roman" w:cs="Times New Roman"/>
                      <w:color w:val="FF0000"/>
                      <w:kern w:val="0"/>
                      <w:szCs w:val="21"/>
                      <w:lang w:bidi="ar"/>
                    </w:rPr>
                  </w:pPr>
                  <w:r>
                    <w:rPr>
                      <w:rFonts w:hint="default" w:ascii="Times New Roman" w:hAnsi="Times New Roman" w:cs="Times New Roman"/>
                      <w:color w:val="FF0000"/>
                      <w:kern w:val="0"/>
                      <w:szCs w:val="21"/>
                      <w:lang w:bidi="ar"/>
                    </w:rPr>
                    <w:t>0.000029</w:t>
                  </w:r>
                </w:p>
              </w:tc>
              <w:tc>
                <w:tcPr>
                  <w:tcW w:w="956" w:type="pct"/>
                  <w:tcBorders>
                    <w:tl2br w:val="nil"/>
                    <w:tr2bl w:val="nil"/>
                  </w:tcBorders>
                  <w:vAlign w:val="center"/>
                </w:tcPr>
                <w:p w14:paraId="11637A4B">
                  <w:pPr>
                    <w:widowControl/>
                    <w:jc w:val="center"/>
                    <w:textAlignment w:val="center"/>
                    <w:rPr>
                      <w:rFonts w:hint="default" w:ascii="Times New Roman" w:hAnsi="Times New Roman" w:cs="Times New Roman"/>
                      <w:color w:val="FF0000"/>
                      <w:kern w:val="0"/>
                      <w:szCs w:val="21"/>
                      <w:lang w:bidi="ar"/>
                    </w:rPr>
                  </w:pPr>
                  <w:r>
                    <w:rPr>
                      <w:rFonts w:hint="default" w:ascii="Times New Roman" w:hAnsi="Times New Roman" w:cs="Times New Roman"/>
                      <w:color w:val="FF0000"/>
                      <w:kern w:val="0"/>
                      <w:szCs w:val="21"/>
                      <w:lang w:bidi="ar"/>
                    </w:rPr>
                    <w:t>134</w:t>
                  </w:r>
                </w:p>
              </w:tc>
            </w:tr>
            <w:tr w14:paraId="48662922">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290" w:type="pct"/>
                  <w:vMerge w:val="continue"/>
                  <w:tcBorders>
                    <w:tl2br w:val="nil"/>
                    <w:tr2bl w:val="nil"/>
                  </w:tcBorders>
                  <w:vAlign w:val="center"/>
                </w:tcPr>
                <w:p w14:paraId="1F961A26">
                  <w:pPr>
                    <w:widowControl/>
                    <w:jc w:val="center"/>
                    <w:textAlignment w:val="center"/>
                    <w:rPr>
                      <w:rFonts w:hint="default" w:ascii="Times New Roman" w:hAnsi="Times New Roman" w:cs="Times New Roman"/>
                      <w:color w:val="FF0000"/>
                      <w:kern w:val="0"/>
                      <w:szCs w:val="21"/>
                      <w:lang w:bidi="ar"/>
                    </w:rPr>
                  </w:pPr>
                </w:p>
              </w:tc>
              <w:tc>
                <w:tcPr>
                  <w:tcW w:w="929" w:type="pct"/>
                  <w:tcBorders>
                    <w:tl2br w:val="nil"/>
                    <w:tr2bl w:val="nil"/>
                  </w:tcBorders>
                  <w:shd w:val="clear" w:color="auto" w:fill="auto"/>
                  <w:vAlign w:val="center"/>
                </w:tcPr>
                <w:p w14:paraId="5C75DA0D">
                  <w:pPr>
                    <w:widowControl/>
                    <w:jc w:val="center"/>
                    <w:textAlignment w:val="center"/>
                    <w:rPr>
                      <w:rFonts w:hint="default" w:ascii="Times New Roman" w:hAnsi="Times New Roman" w:eastAsia="Times New Roman" w:cs="Times New Roman"/>
                      <w:color w:val="FF0000"/>
                    </w:rPr>
                  </w:pPr>
                  <w:r>
                    <w:rPr>
                      <w:rFonts w:hint="default" w:ascii="Times New Roman" w:hAnsi="Times New Roman" w:cs="Times New Roman"/>
                      <w:color w:val="FF0000"/>
                      <w:kern w:val="0"/>
                      <w:szCs w:val="21"/>
                      <w:lang w:bidi="ar"/>
                    </w:rPr>
                    <w:t>216</w:t>
                  </w:r>
                </w:p>
              </w:tc>
              <w:tc>
                <w:tcPr>
                  <w:tcW w:w="921" w:type="pct"/>
                  <w:tcBorders>
                    <w:tl2br w:val="nil"/>
                    <w:tr2bl w:val="nil"/>
                  </w:tcBorders>
                  <w:shd w:val="clear" w:color="auto" w:fill="auto"/>
                  <w:vAlign w:val="center"/>
                </w:tcPr>
                <w:p w14:paraId="303B120B">
                  <w:pPr>
                    <w:widowControl/>
                    <w:jc w:val="center"/>
                    <w:textAlignment w:val="center"/>
                    <w:rPr>
                      <w:rFonts w:hint="default" w:ascii="Times New Roman" w:hAnsi="Times New Roman" w:eastAsia="Times New Roman" w:cs="Times New Roman"/>
                      <w:color w:val="FF0000"/>
                      <w:szCs w:val="21"/>
                    </w:rPr>
                  </w:pPr>
                  <w:r>
                    <w:rPr>
                      <w:rFonts w:hint="default" w:ascii="Times New Roman" w:hAnsi="Times New Roman" w:cs="Times New Roman"/>
                      <w:color w:val="FF0000"/>
                      <w:kern w:val="0"/>
                      <w:szCs w:val="21"/>
                      <w:lang w:bidi="ar"/>
                    </w:rPr>
                    <w:t>SS</w:t>
                  </w:r>
                </w:p>
              </w:tc>
              <w:tc>
                <w:tcPr>
                  <w:tcW w:w="902" w:type="pct"/>
                  <w:tcBorders>
                    <w:tl2br w:val="nil"/>
                    <w:tr2bl w:val="nil"/>
                  </w:tcBorders>
                  <w:vAlign w:val="center"/>
                </w:tcPr>
                <w:p w14:paraId="65300A5C">
                  <w:pPr>
                    <w:widowControl/>
                    <w:jc w:val="center"/>
                    <w:textAlignment w:val="center"/>
                    <w:rPr>
                      <w:rFonts w:hint="default" w:ascii="Times New Roman" w:hAnsi="Times New Roman" w:cs="Times New Roman"/>
                      <w:color w:val="FF0000"/>
                      <w:kern w:val="0"/>
                      <w:szCs w:val="21"/>
                      <w:lang w:bidi="ar"/>
                    </w:rPr>
                  </w:pPr>
                  <w:r>
                    <w:rPr>
                      <w:rFonts w:hint="default" w:ascii="Times New Roman" w:hAnsi="Times New Roman" w:cs="Times New Roman"/>
                      <w:color w:val="FF0000"/>
                      <w:kern w:val="0"/>
                      <w:szCs w:val="21"/>
                      <w:lang w:bidi="ar"/>
                    </w:rPr>
                    <w:t>0.000065</w:t>
                  </w:r>
                </w:p>
              </w:tc>
              <w:tc>
                <w:tcPr>
                  <w:tcW w:w="956" w:type="pct"/>
                  <w:tcBorders>
                    <w:tl2br w:val="nil"/>
                    <w:tr2bl w:val="nil"/>
                  </w:tcBorders>
                  <w:vAlign w:val="center"/>
                </w:tcPr>
                <w:p w14:paraId="7F0A4781">
                  <w:pPr>
                    <w:widowControl/>
                    <w:jc w:val="center"/>
                    <w:textAlignment w:val="center"/>
                    <w:rPr>
                      <w:rFonts w:hint="default" w:ascii="Times New Roman" w:hAnsi="Times New Roman" w:cs="Times New Roman"/>
                      <w:color w:val="FF0000"/>
                      <w:kern w:val="0"/>
                      <w:szCs w:val="21"/>
                      <w:lang w:bidi="ar"/>
                    </w:rPr>
                  </w:pPr>
                  <w:r>
                    <w:rPr>
                      <w:rFonts w:hint="default" w:ascii="Times New Roman" w:hAnsi="Times New Roman" w:cs="Times New Roman"/>
                      <w:color w:val="FF0000"/>
                      <w:kern w:val="0"/>
                      <w:szCs w:val="21"/>
                      <w:lang w:bidi="ar"/>
                    </w:rPr>
                    <w:t>300</w:t>
                  </w:r>
                </w:p>
              </w:tc>
            </w:tr>
            <w:tr w14:paraId="07C4367D">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290" w:type="pct"/>
                  <w:vMerge w:val="continue"/>
                  <w:tcBorders>
                    <w:tl2br w:val="nil"/>
                    <w:tr2bl w:val="nil"/>
                  </w:tcBorders>
                  <w:vAlign w:val="center"/>
                </w:tcPr>
                <w:p w14:paraId="1244CE34">
                  <w:pPr>
                    <w:widowControl/>
                    <w:jc w:val="center"/>
                    <w:textAlignment w:val="center"/>
                    <w:rPr>
                      <w:rFonts w:hint="default" w:ascii="Times New Roman" w:hAnsi="Times New Roman" w:cs="Times New Roman"/>
                      <w:color w:val="FF0000"/>
                      <w:kern w:val="0"/>
                      <w:szCs w:val="21"/>
                      <w:lang w:bidi="ar"/>
                    </w:rPr>
                  </w:pPr>
                </w:p>
              </w:tc>
              <w:tc>
                <w:tcPr>
                  <w:tcW w:w="929" w:type="pct"/>
                  <w:tcBorders>
                    <w:tl2br w:val="nil"/>
                    <w:tr2bl w:val="nil"/>
                  </w:tcBorders>
                  <w:shd w:val="clear" w:color="auto" w:fill="auto"/>
                  <w:vAlign w:val="center"/>
                </w:tcPr>
                <w:p w14:paraId="74A753FD">
                  <w:pPr>
                    <w:widowControl/>
                    <w:jc w:val="center"/>
                    <w:textAlignment w:val="center"/>
                    <w:rPr>
                      <w:rFonts w:hint="default" w:ascii="Times New Roman" w:hAnsi="Times New Roman" w:eastAsia="Times New Roman" w:cs="Times New Roman"/>
                      <w:color w:val="FF0000"/>
                    </w:rPr>
                  </w:pPr>
                  <w:r>
                    <w:rPr>
                      <w:rFonts w:hint="default" w:ascii="Times New Roman" w:hAnsi="Times New Roman" w:cs="Times New Roman"/>
                      <w:color w:val="FF0000"/>
                      <w:kern w:val="0"/>
                      <w:szCs w:val="21"/>
                      <w:lang w:bidi="ar"/>
                    </w:rPr>
                    <w:t>216</w:t>
                  </w:r>
                </w:p>
              </w:tc>
              <w:tc>
                <w:tcPr>
                  <w:tcW w:w="921" w:type="pct"/>
                  <w:tcBorders>
                    <w:tl2br w:val="nil"/>
                    <w:tr2bl w:val="nil"/>
                  </w:tcBorders>
                  <w:shd w:val="clear" w:color="auto" w:fill="auto"/>
                  <w:vAlign w:val="center"/>
                </w:tcPr>
                <w:p w14:paraId="524E0C77">
                  <w:pPr>
                    <w:widowControl/>
                    <w:jc w:val="center"/>
                    <w:textAlignment w:val="center"/>
                    <w:rPr>
                      <w:rFonts w:hint="default" w:ascii="Times New Roman" w:hAnsi="Times New Roman" w:eastAsia="Times New Roman" w:cs="Times New Roman"/>
                      <w:color w:val="FF0000"/>
                      <w:szCs w:val="21"/>
                    </w:rPr>
                  </w:pPr>
                  <w:r>
                    <w:rPr>
                      <w:rFonts w:hint="default" w:ascii="Times New Roman" w:hAnsi="Times New Roman" w:cs="Times New Roman"/>
                      <w:color w:val="FF0000"/>
                      <w:kern w:val="0"/>
                      <w:szCs w:val="21"/>
                      <w:lang w:bidi="ar"/>
                    </w:rPr>
                    <w:t>NH</w:t>
                  </w:r>
                  <w:r>
                    <w:rPr>
                      <w:rFonts w:hint="default" w:ascii="Times New Roman" w:hAnsi="Times New Roman" w:cs="Times New Roman"/>
                      <w:color w:val="FF0000"/>
                      <w:kern w:val="0"/>
                      <w:szCs w:val="21"/>
                      <w:vertAlign w:val="subscript"/>
                      <w:lang w:bidi="ar"/>
                    </w:rPr>
                    <w:t>3</w:t>
                  </w:r>
                  <w:r>
                    <w:rPr>
                      <w:rFonts w:hint="default" w:ascii="Times New Roman" w:hAnsi="Times New Roman" w:cs="Times New Roman"/>
                      <w:color w:val="FF0000"/>
                      <w:kern w:val="0"/>
                      <w:szCs w:val="21"/>
                      <w:lang w:bidi="ar"/>
                    </w:rPr>
                    <w:t>-N</w:t>
                  </w:r>
                </w:p>
              </w:tc>
              <w:tc>
                <w:tcPr>
                  <w:tcW w:w="902" w:type="pct"/>
                  <w:tcBorders>
                    <w:tl2br w:val="nil"/>
                    <w:tr2bl w:val="nil"/>
                  </w:tcBorders>
                  <w:vAlign w:val="center"/>
                </w:tcPr>
                <w:p w14:paraId="17411F4E">
                  <w:pPr>
                    <w:widowControl/>
                    <w:jc w:val="center"/>
                    <w:textAlignment w:val="center"/>
                    <w:rPr>
                      <w:rFonts w:hint="default" w:ascii="Times New Roman" w:hAnsi="Times New Roman" w:cs="Times New Roman"/>
                      <w:color w:val="FF0000"/>
                      <w:kern w:val="0"/>
                      <w:szCs w:val="21"/>
                      <w:lang w:bidi="ar"/>
                    </w:rPr>
                  </w:pPr>
                  <w:r>
                    <w:rPr>
                      <w:rFonts w:hint="default" w:ascii="Times New Roman" w:hAnsi="Times New Roman" w:cs="Times New Roman"/>
                      <w:color w:val="FF0000"/>
                      <w:kern w:val="0"/>
                      <w:szCs w:val="21"/>
                      <w:lang w:bidi="ar"/>
                    </w:rPr>
                    <w:t>0.000006</w:t>
                  </w:r>
                </w:p>
              </w:tc>
              <w:tc>
                <w:tcPr>
                  <w:tcW w:w="956" w:type="pct"/>
                  <w:tcBorders>
                    <w:tl2br w:val="nil"/>
                    <w:tr2bl w:val="nil"/>
                  </w:tcBorders>
                  <w:vAlign w:val="center"/>
                </w:tcPr>
                <w:p w14:paraId="385AA04B">
                  <w:pPr>
                    <w:widowControl/>
                    <w:jc w:val="center"/>
                    <w:textAlignment w:val="center"/>
                    <w:rPr>
                      <w:rFonts w:hint="default" w:ascii="Times New Roman" w:hAnsi="Times New Roman" w:cs="Times New Roman"/>
                      <w:color w:val="FF0000"/>
                      <w:kern w:val="0"/>
                      <w:szCs w:val="21"/>
                      <w:lang w:bidi="ar"/>
                    </w:rPr>
                  </w:pPr>
                  <w:r>
                    <w:rPr>
                      <w:rFonts w:hint="default" w:ascii="Times New Roman" w:hAnsi="Times New Roman" w:cs="Times New Roman"/>
                      <w:color w:val="FF0000"/>
                      <w:kern w:val="0"/>
                      <w:szCs w:val="21"/>
                      <w:lang w:bidi="ar"/>
                    </w:rPr>
                    <w:t>28</w:t>
                  </w:r>
                </w:p>
              </w:tc>
            </w:tr>
            <w:tr w14:paraId="28864829">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290" w:type="pct"/>
                  <w:vMerge w:val="continue"/>
                  <w:tcBorders>
                    <w:tl2br w:val="nil"/>
                    <w:tr2bl w:val="nil"/>
                  </w:tcBorders>
                  <w:vAlign w:val="center"/>
                </w:tcPr>
                <w:p w14:paraId="0D6B19B4">
                  <w:pPr>
                    <w:widowControl/>
                    <w:jc w:val="center"/>
                    <w:textAlignment w:val="center"/>
                    <w:rPr>
                      <w:rFonts w:hint="default" w:ascii="Times New Roman" w:hAnsi="Times New Roman" w:cs="Times New Roman"/>
                      <w:color w:val="FF0000"/>
                      <w:kern w:val="0"/>
                      <w:szCs w:val="21"/>
                      <w:lang w:bidi="ar"/>
                    </w:rPr>
                  </w:pPr>
                </w:p>
              </w:tc>
              <w:tc>
                <w:tcPr>
                  <w:tcW w:w="929" w:type="pct"/>
                  <w:tcBorders>
                    <w:tl2br w:val="nil"/>
                    <w:tr2bl w:val="nil"/>
                  </w:tcBorders>
                  <w:shd w:val="clear" w:color="auto" w:fill="auto"/>
                  <w:vAlign w:val="center"/>
                </w:tcPr>
                <w:p w14:paraId="60C5BC05">
                  <w:pPr>
                    <w:widowControl/>
                    <w:jc w:val="center"/>
                    <w:textAlignment w:val="center"/>
                    <w:rPr>
                      <w:rFonts w:hint="default" w:ascii="Times New Roman" w:hAnsi="Times New Roman" w:eastAsia="Times New Roman" w:cs="Times New Roman"/>
                      <w:color w:val="FF0000"/>
                    </w:rPr>
                  </w:pPr>
                  <w:r>
                    <w:rPr>
                      <w:rFonts w:hint="default" w:ascii="Times New Roman" w:hAnsi="Times New Roman" w:cs="Times New Roman"/>
                      <w:color w:val="FF0000"/>
                      <w:kern w:val="0"/>
                      <w:szCs w:val="21"/>
                      <w:lang w:bidi="ar"/>
                    </w:rPr>
                    <w:t>216</w:t>
                  </w:r>
                </w:p>
              </w:tc>
              <w:tc>
                <w:tcPr>
                  <w:tcW w:w="921" w:type="pct"/>
                  <w:tcBorders>
                    <w:tl2br w:val="nil"/>
                    <w:tr2bl w:val="nil"/>
                  </w:tcBorders>
                  <w:shd w:val="clear" w:color="auto" w:fill="auto"/>
                  <w:vAlign w:val="center"/>
                </w:tcPr>
                <w:p w14:paraId="1CCAFD69">
                  <w:pPr>
                    <w:widowControl/>
                    <w:jc w:val="center"/>
                    <w:textAlignment w:val="center"/>
                    <w:rPr>
                      <w:rFonts w:hint="default" w:ascii="Times New Roman" w:hAnsi="Times New Roman" w:eastAsia="Times New Roman" w:cs="Times New Roman"/>
                      <w:color w:val="FF0000"/>
                      <w:szCs w:val="21"/>
                    </w:rPr>
                  </w:pPr>
                  <w:r>
                    <w:rPr>
                      <w:rFonts w:hint="default" w:ascii="Times New Roman" w:hAnsi="Times New Roman" w:cs="Times New Roman"/>
                      <w:color w:val="FF0000"/>
                      <w:kern w:val="0"/>
                      <w:szCs w:val="21"/>
                      <w:lang w:bidi="ar"/>
                    </w:rPr>
                    <w:t>TP</w:t>
                  </w:r>
                </w:p>
              </w:tc>
              <w:tc>
                <w:tcPr>
                  <w:tcW w:w="902" w:type="pct"/>
                  <w:tcBorders>
                    <w:tl2br w:val="nil"/>
                    <w:tr2bl w:val="nil"/>
                  </w:tcBorders>
                  <w:vAlign w:val="center"/>
                </w:tcPr>
                <w:p w14:paraId="326866B5">
                  <w:pPr>
                    <w:widowControl/>
                    <w:jc w:val="center"/>
                    <w:textAlignment w:val="center"/>
                    <w:rPr>
                      <w:rFonts w:hint="default" w:ascii="Times New Roman" w:hAnsi="Times New Roman" w:cs="Times New Roman"/>
                      <w:color w:val="FF0000"/>
                      <w:kern w:val="0"/>
                      <w:szCs w:val="21"/>
                      <w:lang w:bidi="ar"/>
                    </w:rPr>
                  </w:pPr>
                  <w:r>
                    <w:rPr>
                      <w:rFonts w:hint="default" w:ascii="Times New Roman" w:hAnsi="Times New Roman" w:cs="Times New Roman"/>
                      <w:color w:val="FF0000"/>
                      <w:kern w:val="0"/>
                      <w:szCs w:val="21"/>
                      <w:lang w:bidi="ar"/>
                    </w:rPr>
                    <w:t>0.000001</w:t>
                  </w:r>
                </w:p>
              </w:tc>
              <w:tc>
                <w:tcPr>
                  <w:tcW w:w="956" w:type="pct"/>
                  <w:tcBorders>
                    <w:tl2br w:val="nil"/>
                    <w:tr2bl w:val="nil"/>
                  </w:tcBorders>
                  <w:vAlign w:val="center"/>
                </w:tcPr>
                <w:p w14:paraId="6A39051E">
                  <w:pPr>
                    <w:widowControl/>
                    <w:jc w:val="center"/>
                    <w:textAlignment w:val="center"/>
                    <w:rPr>
                      <w:rFonts w:hint="default" w:ascii="Times New Roman" w:hAnsi="Times New Roman" w:cs="Times New Roman"/>
                      <w:color w:val="FF0000"/>
                      <w:kern w:val="0"/>
                      <w:szCs w:val="21"/>
                      <w:lang w:bidi="ar"/>
                    </w:rPr>
                  </w:pPr>
                  <w:r>
                    <w:rPr>
                      <w:rFonts w:hint="default" w:ascii="Times New Roman" w:hAnsi="Times New Roman" w:cs="Times New Roman"/>
                      <w:color w:val="FF0000"/>
                      <w:kern w:val="0"/>
                      <w:szCs w:val="21"/>
                      <w:lang w:bidi="ar"/>
                    </w:rPr>
                    <w:t>4.18</w:t>
                  </w:r>
                </w:p>
              </w:tc>
            </w:tr>
            <w:tr w14:paraId="7D801E10">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290" w:type="pct"/>
                  <w:vMerge w:val="continue"/>
                  <w:tcBorders>
                    <w:tl2br w:val="nil"/>
                    <w:tr2bl w:val="nil"/>
                  </w:tcBorders>
                  <w:vAlign w:val="center"/>
                </w:tcPr>
                <w:p w14:paraId="428B14D3">
                  <w:pPr>
                    <w:widowControl/>
                    <w:jc w:val="center"/>
                    <w:textAlignment w:val="center"/>
                    <w:rPr>
                      <w:rFonts w:hint="default" w:ascii="Times New Roman" w:hAnsi="Times New Roman" w:cs="Times New Roman"/>
                      <w:color w:val="FF0000"/>
                      <w:kern w:val="0"/>
                      <w:szCs w:val="21"/>
                      <w:lang w:bidi="ar"/>
                    </w:rPr>
                  </w:pPr>
                </w:p>
              </w:tc>
              <w:tc>
                <w:tcPr>
                  <w:tcW w:w="929" w:type="pct"/>
                  <w:tcBorders>
                    <w:tl2br w:val="nil"/>
                    <w:tr2bl w:val="nil"/>
                  </w:tcBorders>
                  <w:shd w:val="clear" w:color="auto" w:fill="auto"/>
                  <w:vAlign w:val="center"/>
                </w:tcPr>
                <w:p w14:paraId="6CAACAE0">
                  <w:pPr>
                    <w:widowControl/>
                    <w:jc w:val="center"/>
                    <w:textAlignment w:val="center"/>
                    <w:rPr>
                      <w:rFonts w:hint="default" w:ascii="Times New Roman" w:hAnsi="Times New Roman" w:eastAsia="Times New Roman" w:cs="Times New Roman"/>
                      <w:color w:val="FF0000"/>
                    </w:rPr>
                  </w:pPr>
                  <w:r>
                    <w:rPr>
                      <w:rFonts w:hint="default" w:ascii="Times New Roman" w:hAnsi="Times New Roman" w:cs="Times New Roman"/>
                      <w:color w:val="FF0000"/>
                      <w:kern w:val="0"/>
                      <w:szCs w:val="21"/>
                      <w:lang w:bidi="ar"/>
                    </w:rPr>
                    <w:t>216</w:t>
                  </w:r>
                </w:p>
              </w:tc>
              <w:tc>
                <w:tcPr>
                  <w:tcW w:w="921" w:type="pct"/>
                  <w:tcBorders>
                    <w:tl2br w:val="nil"/>
                    <w:tr2bl w:val="nil"/>
                  </w:tcBorders>
                  <w:shd w:val="clear" w:color="auto" w:fill="auto"/>
                  <w:vAlign w:val="center"/>
                </w:tcPr>
                <w:p w14:paraId="6F35E69D">
                  <w:pPr>
                    <w:widowControl/>
                    <w:jc w:val="center"/>
                    <w:textAlignment w:val="center"/>
                    <w:rPr>
                      <w:rFonts w:hint="default" w:ascii="Times New Roman" w:hAnsi="Times New Roman" w:eastAsia="Times New Roman" w:cs="Times New Roman"/>
                      <w:color w:val="FF0000"/>
                    </w:rPr>
                  </w:pPr>
                  <w:r>
                    <w:rPr>
                      <w:rFonts w:hint="default" w:ascii="Times New Roman" w:hAnsi="Times New Roman" w:cs="Times New Roman"/>
                      <w:color w:val="FF0000"/>
                      <w:kern w:val="0"/>
                      <w:szCs w:val="21"/>
                      <w:lang w:bidi="ar"/>
                    </w:rPr>
                    <w:t>TN</w:t>
                  </w:r>
                </w:p>
              </w:tc>
              <w:tc>
                <w:tcPr>
                  <w:tcW w:w="902" w:type="pct"/>
                  <w:tcBorders>
                    <w:tl2br w:val="nil"/>
                    <w:tr2bl w:val="nil"/>
                  </w:tcBorders>
                  <w:vAlign w:val="center"/>
                </w:tcPr>
                <w:p w14:paraId="01DCFCF7">
                  <w:pPr>
                    <w:widowControl/>
                    <w:jc w:val="center"/>
                    <w:textAlignment w:val="center"/>
                    <w:rPr>
                      <w:rFonts w:hint="default" w:ascii="Times New Roman" w:hAnsi="Times New Roman" w:cs="Times New Roman"/>
                      <w:color w:val="FF0000"/>
                      <w:kern w:val="0"/>
                      <w:szCs w:val="21"/>
                      <w:lang w:bidi="ar"/>
                    </w:rPr>
                  </w:pPr>
                  <w:r>
                    <w:rPr>
                      <w:rFonts w:hint="default" w:ascii="Times New Roman" w:hAnsi="Times New Roman" w:cs="Times New Roman"/>
                      <w:color w:val="FF0000"/>
                      <w:kern w:val="0"/>
                      <w:szCs w:val="21"/>
                      <w:lang w:bidi="ar"/>
                    </w:rPr>
                    <w:t>0.000008</w:t>
                  </w:r>
                </w:p>
              </w:tc>
              <w:tc>
                <w:tcPr>
                  <w:tcW w:w="956" w:type="pct"/>
                  <w:tcBorders>
                    <w:tl2br w:val="nil"/>
                    <w:tr2bl w:val="nil"/>
                  </w:tcBorders>
                  <w:vAlign w:val="center"/>
                </w:tcPr>
                <w:p w14:paraId="15E140D0">
                  <w:pPr>
                    <w:widowControl/>
                    <w:jc w:val="center"/>
                    <w:textAlignment w:val="center"/>
                    <w:rPr>
                      <w:rFonts w:hint="default" w:ascii="Times New Roman" w:hAnsi="Times New Roman" w:cs="Times New Roman"/>
                      <w:color w:val="FF0000"/>
                      <w:kern w:val="0"/>
                      <w:szCs w:val="21"/>
                      <w:lang w:bidi="ar"/>
                    </w:rPr>
                  </w:pPr>
                  <w:r>
                    <w:rPr>
                      <w:rFonts w:hint="default" w:ascii="Times New Roman" w:hAnsi="Times New Roman" w:cs="Times New Roman"/>
                      <w:color w:val="FF0000"/>
                      <w:kern w:val="0"/>
                      <w:szCs w:val="21"/>
                      <w:lang w:bidi="ar"/>
                    </w:rPr>
                    <w:t>37.6</w:t>
                  </w:r>
                </w:p>
              </w:tc>
            </w:tr>
          </w:tbl>
          <w:p w14:paraId="370E4CFD">
            <w:pPr>
              <w:pStyle w:val="19"/>
              <w:spacing w:after="0"/>
              <w:ind w:left="0" w:leftChars="0" w:firstLine="422"/>
              <w:jc w:val="center"/>
              <w:rPr>
                <w:rFonts w:hint="default" w:ascii="Times New Roman" w:hAnsi="Times New Roman" w:cs="Times New Roman"/>
                <w:b/>
                <w:bCs/>
                <w:color w:val="FF0000"/>
              </w:rPr>
            </w:pPr>
            <w:r>
              <w:rPr>
                <w:rFonts w:hint="default" w:ascii="Times New Roman" w:hAnsi="Times New Roman" w:cs="Times New Roman"/>
                <w:b/>
                <w:bCs/>
                <w:color w:val="FF0000"/>
              </w:rPr>
              <w:t>表4-2</w:t>
            </w:r>
            <w:r>
              <w:rPr>
                <w:rFonts w:hint="eastAsia" w:cs="Times New Roman"/>
                <w:b/>
                <w:bCs/>
                <w:color w:val="FF0000"/>
                <w:lang w:val="en-US" w:eastAsia="zh-CN"/>
              </w:rPr>
              <w:t>4</w:t>
            </w:r>
            <w:r>
              <w:rPr>
                <w:rFonts w:hint="default" w:ascii="Times New Roman" w:hAnsi="Times New Roman" w:cs="Times New Roman"/>
                <w:b/>
                <w:bCs/>
                <w:color w:val="FF0000"/>
              </w:rPr>
              <w:t xml:space="preserve">  废水污染物排放情况</w:t>
            </w:r>
          </w:p>
          <w:tbl>
            <w:tblPr>
              <w:tblStyle w:val="34"/>
              <w:tblW w:w="4998" w:type="pct"/>
              <w:jc w:val="center"/>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186"/>
              <w:gridCol w:w="1568"/>
              <w:gridCol w:w="1568"/>
              <w:gridCol w:w="1537"/>
              <w:gridCol w:w="1612"/>
            </w:tblGrid>
            <w:tr w14:paraId="1B8FEEF2">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90" w:type="pct"/>
                  <w:tcBorders>
                    <w:tl2br w:val="nil"/>
                    <w:tr2bl w:val="nil"/>
                  </w:tcBorders>
                  <w:vAlign w:val="center"/>
                </w:tcPr>
                <w:p w14:paraId="3AAC6572">
                  <w:pPr>
                    <w:widowControl/>
                    <w:jc w:val="center"/>
                    <w:rPr>
                      <w:rFonts w:hint="default" w:ascii="Times New Roman" w:hAnsi="Times New Roman" w:cs="Times New Roman"/>
                      <w:color w:val="FF0000"/>
                      <w:kern w:val="0"/>
                      <w:szCs w:val="21"/>
                      <w:lang w:bidi="ar"/>
                    </w:rPr>
                  </w:pPr>
                  <w:r>
                    <w:rPr>
                      <w:rFonts w:hint="default" w:ascii="Times New Roman" w:hAnsi="Times New Roman" w:cs="Times New Roman"/>
                      <w:color w:val="FF0000"/>
                      <w:kern w:val="0"/>
                      <w:szCs w:val="21"/>
                      <w:lang w:bidi="ar"/>
                    </w:rPr>
                    <w:t>产污环节</w:t>
                  </w:r>
                </w:p>
              </w:tc>
              <w:tc>
                <w:tcPr>
                  <w:tcW w:w="925" w:type="pct"/>
                  <w:tcBorders>
                    <w:tl2br w:val="nil"/>
                    <w:tr2bl w:val="nil"/>
                  </w:tcBorders>
                  <w:vAlign w:val="center"/>
                </w:tcPr>
                <w:p w14:paraId="02BC9099">
                  <w:pPr>
                    <w:widowControl/>
                    <w:jc w:val="center"/>
                    <w:rPr>
                      <w:rFonts w:hint="default" w:ascii="Times New Roman" w:hAnsi="Times New Roman" w:cs="Times New Roman"/>
                      <w:color w:val="FF0000"/>
                      <w:kern w:val="0"/>
                      <w:szCs w:val="21"/>
                      <w:lang w:bidi="ar"/>
                    </w:rPr>
                  </w:pPr>
                  <w:r>
                    <w:rPr>
                      <w:rFonts w:hint="default" w:ascii="Times New Roman" w:hAnsi="Times New Roman" w:cs="Times New Roman"/>
                      <w:color w:val="FF0000"/>
                      <w:kern w:val="0"/>
                      <w:szCs w:val="21"/>
                      <w:lang w:bidi="ar"/>
                    </w:rPr>
                    <w:t>污染物种类</w:t>
                  </w:r>
                </w:p>
              </w:tc>
              <w:tc>
                <w:tcPr>
                  <w:tcW w:w="925" w:type="pct"/>
                  <w:tcBorders>
                    <w:tl2br w:val="nil"/>
                    <w:tr2bl w:val="nil"/>
                  </w:tcBorders>
                  <w:vAlign w:val="center"/>
                </w:tcPr>
                <w:p w14:paraId="1703EA51">
                  <w:pPr>
                    <w:widowControl/>
                    <w:jc w:val="center"/>
                    <w:rPr>
                      <w:rFonts w:hint="default" w:ascii="Times New Roman" w:hAnsi="Times New Roman" w:cs="Times New Roman"/>
                      <w:color w:val="FF0000"/>
                      <w:kern w:val="0"/>
                      <w:szCs w:val="21"/>
                      <w:lang w:bidi="ar"/>
                    </w:rPr>
                  </w:pPr>
                  <w:r>
                    <w:rPr>
                      <w:rFonts w:hint="default" w:ascii="Times New Roman" w:hAnsi="Times New Roman" w:cs="Times New Roman"/>
                      <w:color w:val="FF0000"/>
                    </w:rPr>
                    <w:t>治理措施</w:t>
                  </w:r>
                </w:p>
              </w:tc>
              <w:tc>
                <w:tcPr>
                  <w:tcW w:w="907" w:type="pct"/>
                  <w:tcBorders>
                    <w:tl2br w:val="nil"/>
                    <w:tr2bl w:val="nil"/>
                  </w:tcBorders>
                  <w:vAlign w:val="center"/>
                </w:tcPr>
                <w:p w14:paraId="0C40E9C4">
                  <w:pPr>
                    <w:widowControl/>
                    <w:jc w:val="center"/>
                    <w:rPr>
                      <w:rFonts w:hint="default" w:ascii="Times New Roman" w:hAnsi="Times New Roman" w:cs="Times New Roman"/>
                      <w:color w:val="FF0000"/>
                      <w:kern w:val="0"/>
                      <w:szCs w:val="21"/>
                      <w:lang w:bidi="ar"/>
                    </w:rPr>
                  </w:pPr>
                  <w:r>
                    <w:rPr>
                      <w:rFonts w:hint="default" w:ascii="Times New Roman" w:hAnsi="Times New Roman" w:cs="Times New Roman"/>
                      <w:color w:val="FF0000"/>
                      <w:kern w:val="0"/>
                      <w:szCs w:val="21"/>
                      <w:lang w:bidi="ar"/>
                    </w:rPr>
                    <w:t>污染物排放量（t/a）</w:t>
                  </w:r>
                </w:p>
              </w:tc>
              <w:tc>
                <w:tcPr>
                  <w:tcW w:w="951" w:type="pct"/>
                  <w:tcBorders>
                    <w:tl2br w:val="nil"/>
                    <w:tr2bl w:val="nil"/>
                  </w:tcBorders>
                  <w:vAlign w:val="center"/>
                </w:tcPr>
                <w:p w14:paraId="3154C17F">
                  <w:pPr>
                    <w:widowControl/>
                    <w:jc w:val="center"/>
                    <w:rPr>
                      <w:rFonts w:hint="default" w:ascii="Times New Roman" w:hAnsi="Times New Roman" w:cs="Times New Roman"/>
                      <w:color w:val="FF0000"/>
                      <w:kern w:val="0"/>
                      <w:szCs w:val="21"/>
                      <w:lang w:bidi="ar"/>
                    </w:rPr>
                  </w:pPr>
                  <w:r>
                    <w:rPr>
                      <w:rFonts w:hint="default" w:ascii="Times New Roman" w:hAnsi="Times New Roman" w:cs="Times New Roman"/>
                      <w:color w:val="FF0000"/>
                      <w:kern w:val="0"/>
                      <w:szCs w:val="21"/>
                      <w:lang w:bidi="ar"/>
                    </w:rPr>
                    <w:t>污染物排放浓度（mg/L）</w:t>
                  </w:r>
                </w:p>
              </w:tc>
            </w:tr>
            <w:tr w14:paraId="7B49F428">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290" w:type="pct"/>
                  <w:vMerge w:val="restart"/>
                  <w:tcBorders>
                    <w:tl2br w:val="nil"/>
                    <w:tr2bl w:val="nil"/>
                  </w:tcBorders>
                  <w:vAlign w:val="center"/>
                </w:tcPr>
                <w:p w14:paraId="13EF24E4">
                  <w:pPr>
                    <w:pStyle w:val="128"/>
                    <w:spacing w:line="360" w:lineRule="exact"/>
                    <w:jc w:val="center"/>
                    <w:rPr>
                      <w:rFonts w:hint="default" w:ascii="Times New Roman" w:hAnsi="Times New Roman" w:cs="Times New Roman"/>
                      <w:color w:val="FF0000"/>
                      <w:kern w:val="0"/>
                      <w:sz w:val="21"/>
                      <w:szCs w:val="21"/>
                      <w:lang w:val="en-US" w:eastAsia="zh-CN" w:bidi="ar"/>
                    </w:rPr>
                  </w:pPr>
                  <w:r>
                    <w:rPr>
                      <w:rFonts w:hint="default" w:ascii="Times New Roman" w:hAnsi="Times New Roman" w:cs="Times New Roman"/>
                      <w:color w:val="FF0000"/>
                      <w:sz w:val="21"/>
                      <w:szCs w:val="21"/>
                    </w:rPr>
                    <w:t>报废汽车</w:t>
                  </w:r>
                  <w:r>
                    <w:rPr>
                      <w:rFonts w:hint="default" w:ascii="Times New Roman" w:hAnsi="Times New Roman" w:cs="Times New Roman"/>
                      <w:color w:val="FF0000"/>
                      <w:sz w:val="21"/>
                      <w:szCs w:val="21"/>
                      <w:lang w:val="en-US" w:eastAsia="zh-CN"/>
                    </w:rPr>
                    <w:t>发动机</w:t>
                  </w:r>
                  <w:r>
                    <w:rPr>
                      <w:rFonts w:hint="default" w:ascii="Times New Roman" w:hAnsi="Times New Roman" w:cs="Times New Roman"/>
                      <w:color w:val="FF0000"/>
                      <w:sz w:val="21"/>
                      <w:szCs w:val="21"/>
                    </w:rPr>
                    <w:t>清洗</w:t>
                  </w:r>
                  <w:r>
                    <w:rPr>
                      <w:rFonts w:hint="default" w:ascii="Times New Roman" w:hAnsi="Times New Roman" w:cs="Times New Roman"/>
                      <w:color w:val="FF0000"/>
                      <w:sz w:val="21"/>
                      <w:szCs w:val="21"/>
                      <w:lang w:val="en-US" w:eastAsia="zh-CN" w:bidi="en-US"/>
                    </w:rPr>
                    <w:t>W1、</w:t>
                  </w:r>
                  <w:r>
                    <w:rPr>
                      <w:rFonts w:hint="default" w:ascii="Times New Roman" w:hAnsi="Times New Roman" w:cs="Times New Roman"/>
                      <w:color w:val="FF0000"/>
                      <w:sz w:val="21"/>
                      <w:szCs w:val="21"/>
                    </w:rPr>
                    <w:t>车间冲洗</w:t>
                  </w:r>
                  <w:r>
                    <w:rPr>
                      <w:rFonts w:hint="default" w:ascii="Times New Roman" w:hAnsi="Times New Roman" w:cs="Times New Roman"/>
                      <w:color w:val="FF0000"/>
                      <w:sz w:val="21"/>
                      <w:szCs w:val="21"/>
                      <w:lang w:val="en-US" w:eastAsia="zh-CN" w:bidi="en-US"/>
                    </w:rPr>
                    <w:t>W2、</w:t>
                  </w:r>
                  <w:r>
                    <w:rPr>
                      <w:rFonts w:hint="default" w:ascii="Times New Roman" w:hAnsi="Times New Roman" w:cs="Times New Roman"/>
                      <w:color w:val="FF0000"/>
                      <w:sz w:val="21"/>
                      <w:szCs w:val="21"/>
                      <w:lang w:val="en-US" w:eastAsia="zh-CN"/>
                    </w:rPr>
                    <w:t>初期雨水</w:t>
                  </w:r>
                </w:p>
              </w:tc>
              <w:tc>
                <w:tcPr>
                  <w:tcW w:w="925" w:type="pct"/>
                  <w:tcBorders>
                    <w:tl2br w:val="nil"/>
                    <w:tr2bl w:val="nil"/>
                  </w:tcBorders>
                  <w:vAlign w:val="center"/>
                </w:tcPr>
                <w:p w14:paraId="3EDDB6DE">
                  <w:pPr>
                    <w:pStyle w:val="128"/>
                    <w:spacing w:line="360" w:lineRule="exact"/>
                    <w:jc w:val="center"/>
                    <w:rPr>
                      <w:rFonts w:hint="default" w:ascii="Times New Roman" w:hAnsi="Times New Roman" w:eastAsia="宋体" w:cs="Times New Roman"/>
                      <w:color w:val="FF0000"/>
                      <w:sz w:val="21"/>
                      <w:szCs w:val="21"/>
                      <w:lang w:val="en-US" w:eastAsia="zh-CN" w:bidi="en-US"/>
                    </w:rPr>
                  </w:pPr>
                  <w:r>
                    <w:rPr>
                      <w:rFonts w:hint="eastAsia" w:ascii="Times New Roman" w:hAnsi="Times New Roman" w:cs="Times New Roman"/>
                      <w:color w:val="FF0000"/>
                      <w:sz w:val="21"/>
                      <w:szCs w:val="21"/>
                      <w:lang w:val="en-US" w:eastAsia="zh-CN" w:bidi="en-US"/>
                    </w:rPr>
                    <w:t>pH</w:t>
                  </w:r>
                </w:p>
              </w:tc>
              <w:tc>
                <w:tcPr>
                  <w:tcW w:w="925" w:type="pct"/>
                  <w:vMerge w:val="restart"/>
                  <w:tcBorders>
                    <w:tl2br w:val="nil"/>
                    <w:tr2bl w:val="nil"/>
                  </w:tcBorders>
                  <w:vAlign w:val="center"/>
                </w:tcPr>
                <w:p w14:paraId="6385F2D2">
                  <w:pPr>
                    <w:widowControl/>
                    <w:jc w:val="center"/>
                    <w:textAlignment w:val="center"/>
                    <w:rPr>
                      <w:rFonts w:hint="default" w:ascii="Times New Roman" w:hAnsi="Times New Roman" w:cs="Times New Roman"/>
                      <w:color w:val="FF0000"/>
                      <w:kern w:val="0"/>
                      <w:szCs w:val="21"/>
                      <w:lang w:bidi="ar"/>
                    </w:rPr>
                  </w:pPr>
                  <w:r>
                    <w:rPr>
                      <w:rFonts w:hint="default" w:ascii="Times New Roman" w:hAnsi="Times New Roman" w:cs="Times New Roman"/>
                      <w:color w:val="FF0000"/>
                      <w:kern w:val="0"/>
                      <w:szCs w:val="21"/>
                      <w:lang w:bidi="ar"/>
                    </w:rPr>
                    <w:t>均质+隔油+气浮+沉淀+过滤</w:t>
                  </w:r>
                </w:p>
              </w:tc>
              <w:tc>
                <w:tcPr>
                  <w:tcW w:w="1858" w:type="pct"/>
                  <w:gridSpan w:val="2"/>
                  <w:tcBorders>
                    <w:tl2br w:val="nil"/>
                    <w:tr2bl w:val="nil"/>
                  </w:tcBorders>
                  <w:vAlign w:val="center"/>
                </w:tcPr>
                <w:p w14:paraId="17CFE2A4">
                  <w:pPr>
                    <w:widowControl/>
                    <w:jc w:val="center"/>
                    <w:textAlignment w:val="center"/>
                    <w:rPr>
                      <w:rFonts w:hint="default" w:ascii="Times New Roman" w:hAnsi="Times New Roman" w:eastAsia="宋体" w:cs="Times New Roman"/>
                      <w:color w:val="FF0000"/>
                      <w:kern w:val="0"/>
                      <w:szCs w:val="21"/>
                      <w:lang w:val="en-US" w:eastAsia="zh-CN" w:bidi="ar"/>
                    </w:rPr>
                  </w:pPr>
                  <w:r>
                    <w:rPr>
                      <w:rFonts w:hint="eastAsia" w:cs="Times New Roman"/>
                      <w:color w:val="FF0000"/>
                      <w:kern w:val="0"/>
                      <w:szCs w:val="21"/>
                      <w:lang w:val="en-US" w:eastAsia="zh-CN" w:bidi="ar"/>
                    </w:rPr>
                    <w:t>6~9</w:t>
                  </w:r>
                </w:p>
              </w:tc>
            </w:tr>
            <w:tr w14:paraId="2BE97D8D">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290" w:type="pct"/>
                  <w:vMerge w:val="continue"/>
                  <w:tcBorders>
                    <w:tl2br w:val="nil"/>
                    <w:tr2bl w:val="nil"/>
                  </w:tcBorders>
                  <w:vAlign w:val="center"/>
                </w:tcPr>
                <w:p w14:paraId="7BCE6A2A">
                  <w:pPr>
                    <w:pStyle w:val="128"/>
                    <w:spacing w:line="360" w:lineRule="exact"/>
                    <w:jc w:val="center"/>
                    <w:rPr>
                      <w:rFonts w:hint="default" w:ascii="Times New Roman" w:hAnsi="Times New Roman" w:cs="Times New Roman"/>
                      <w:color w:val="FF0000"/>
                      <w:kern w:val="0"/>
                      <w:sz w:val="21"/>
                      <w:szCs w:val="21"/>
                      <w:lang w:val="en-US" w:eastAsia="zh-CN" w:bidi="ar"/>
                    </w:rPr>
                  </w:pPr>
                </w:p>
              </w:tc>
              <w:tc>
                <w:tcPr>
                  <w:tcW w:w="925" w:type="pct"/>
                  <w:tcBorders>
                    <w:tl2br w:val="nil"/>
                    <w:tr2bl w:val="nil"/>
                  </w:tcBorders>
                  <w:vAlign w:val="center"/>
                </w:tcPr>
                <w:p w14:paraId="38CBCC90">
                  <w:pPr>
                    <w:pStyle w:val="128"/>
                    <w:spacing w:line="360" w:lineRule="exact"/>
                    <w:jc w:val="center"/>
                    <w:rPr>
                      <w:rFonts w:hint="default" w:ascii="Times New Roman" w:hAnsi="Times New Roman" w:cs="Times New Roman"/>
                      <w:color w:val="FF0000"/>
                      <w:kern w:val="0"/>
                      <w:sz w:val="21"/>
                      <w:szCs w:val="21"/>
                      <w:lang w:val="en-US" w:eastAsia="zh-CN" w:bidi="ar"/>
                    </w:rPr>
                  </w:pPr>
                  <w:r>
                    <w:rPr>
                      <w:rFonts w:hint="default" w:ascii="Times New Roman" w:hAnsi="Times New Roman" w:cs="Times New Roman"/>
                      <w:color w:val="FF0000"/>
                      <w:sz w:val="21"/>
                      <w:szCs w:val="21"/>
                      <w:lang w:val="en-US" w:eastAsia="en-US" w:bidi="en-US"/>
                    </w:rPr>
                    <w:t>COD</w:t>
                  </w:r>
                </w:p>
              </w:tc>
              <w:tc>
                <w:tcPr>
                  <w:tcW w:w="925" w:type="pct"/>
                  <w:vMerge w:val="continue"/>
                  <w:tcBorders>
                    <w:tl2br w:val="nil"/>
                    <w:tr2bl w:val="nil"/>
                  </w:tcBorders>
                  <w:vAlign w:val="center"/>
                </w:tcPr>
                <w:p w14:paraId="7D737B2A">
                  <w:pPr>
                    <w:widowControl/>
                    <w:jc w:val="center"/>
                    <w:textAlignment w:val="center"/>
                    <w:rPr>
                      <w:rFonts w:hint="default" w:ascii="Times New Roman" w:hAnsi="Times New Roman" w:cs="Times New Roman"/>
                      <w:color w:val="FF0000"/>
                      <w:kern w:val="0"/>
                      <w:szCs w:val="21"/>
                      <w:lang w:bidi="ar"/>
                    </w:rPr>
                  </w:pPr>
                </w:p>
              </w:tc>
              <w:tc>
                <w:tcPr>
                  <w:tcW w:w="907" w:type="pct"/>
                  <w:tcBorders>
                    <w:tl2br w:val="nil"/>
                    <w:tr2bl w:val="nil"/>
                  </w:tcBorders>
                  <w:vAlign w:val="center"/>
                </w:tcPr>
                <w:p w14:paraId="5248E5B4">
                  <w:pPr>
                    <w:widowControl/>
                    <w:jc w:val="center"/>
                    <w:textAlignment w:val="center"/>
                    <w:rPr>
                      <w:rFonts w:hint="default" w:ascii="Times New Roman" w:hAnsi="Times New Roman" w:cs="Times New Roman"/>
                      <w:color w:val="FF0000"/>
                      <w:kern w:val="0"/>
                      <w:szCs w:val="21"/>
                      <w:lang w:bidi="ar"/>
                    </w:rPr>
                  </w:pPr>
                  <w:r>
                    <w:rPr>
                      <w:rFonts w:hint="default" w:ascii="Times New Roman" w:hAnsi="Times New Roman" w:cs="Times New Roman"/>
                      <w:color w:val="FF0000"/>
                      <w:kern w:val="0"/>
                      <w:szCs w:val="21"/>
                      <w:lang w:bidi="ar"/>
                    </w:rPr>
                    <w:t>0.000335</w:t>
                  </w:r>
                </w:p>
              </w:tc>
              <w:tc>
                <w:tcPr>
                  <w:tcW w:w="951" w:type="pct"/>
                  <w:tcBorders>
                    <w:tl2br w:val="nil"/>
                    <w:tr2bl w:val="nil"/>
                  </w:tcBorders>
                  <w:vAlign w:val="center"/>
                </w:tcPr>
                <w:p w14:paraId="51A11683">
                  <w:pPr>
                    <w:widowControl/>
                    <w:jc w:val="center"/>
                    <w:textAlignment w:val="center"/>
                    <w:rPr>
                      <w:rFonts w:hint="default" w:ascii="Times New Roman" w:hAnsi="Times New Roman" w:cs="Times New Roman"/>
                      <w:color w:val="FF0000"/>
                      <w:kern w:val="0"/>
                      <w:szCs w:val="21"/>
                      <w:lang w:bidi="ar"/>
                    </w:rPr>
                  </w:pPr>
                  <w:r>
                    <w:rPr>
                      <w:rFonts w:hint="default" w:ascii="Times New Roman" w:hAnsi="Times New Roman" w:cs="Times New Roman"/>
                      <w:color w:val="FF0000"/>
                      <w:kern w:val="0"/>
                      <w:szCs w:val="21"/>
                      <w:lang w:bidi="ar"/>
                    </w:rPr>
                    <w:t>157.36</w:t>
                  </w:r>
                </w:p>
              </w:tc>
            </w:tr>
            <w:tr w14:paraId="57E48C7B">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290" w:type="pct"/>
                  <w:vMerge w:val="continue"/>
                  <w:tcBorders>
                    <w:tl2br w:val="nil"/>
                    <w:tr2bl w:val="nil"/>
                  </w:tcBorders>
                  <w:vAlign w:val="center"/>
                </w:tcPr>
                <w:p w14:paraId="37825B85">
                  <w:pPr>
                    <w:widowControl/>
                    <w:jc w:val="center"/>
                    <w:textAlignment w:val="center"/>
                    <w:rPr>
                      <w:rFonts w:hint="default" w:ascii="Times New Roman" w:hAnsi="Times New Roman" w:cs="Times New Roman"/>
                      <w:color w:val="FF0000"/>
                    </w:rPr>
                  </w:pPr>
                </w:p>
              </w:tc>
              <w:tc>
                <w:tcPr>
                  <w:tcW w:w="925" w:type="pct"/>
                  <w:tcBorders>
                    <w:tl2br w:val="nil"/>
                    <w:tr2bl w:val="nil"/>
                  </w:tcBorders>
                  <w:shd w:val="clear" w:color="auto" w:fill="auto"/>
                  <w:vAlign w:val="center"/>
                </w:tcPr>
                <w:p w14:paraId="1EFDDA3B">
                  <w:pPr>
                    <w:pStyle w:val="86"/>
                    <w:rPr>
                      <w:rFonts w:hint="default" w:ascii="Times New Roman" w:hAnsi="Times New Roman" w:cs="Times New Roman"/>
                      <w:color w:val="FF0000"/>
                    </w:rPr>
                  </w:pPr>
                  <w:r>
                    <w:rPr>
                      <w:rFonts w:hint="default" w:ascii="Times New Roman" w:hAnsi="Times New Roman" w:cs="Times New Roman"/>
                      <w:color w:val="FF0000"/>
                    </w:rPr>
                    <w:t>SS</w:t>
                  </w:r>
                </w:p>
              </w:tc>
              <w:tc>
                <w:tcPr>
                  <w:tcW w:w="925" w:type="pct"/>
                  <w:vMerge w:val="continue"/>
                  <w:tcBorders>
                    <w:tl2br w:val="nil"/>
                    <w:tr2bl w:val="nil"/>
                  </w:tcBorders>
                  <w:vAlign w:val="center"/>
                </w:tcPr>
                <w:p w14:paraId="0BA9C5E7">
                  <w:pPr>
                    <w:widowControl/>
                    <w:jc w:val="center"/>
                    <w:textAlignment w:val="center"/>
                    <w:rPr>
                      <w:rFonts w:hint="default" w:ascii="Times New Roman" w:hAnsi="Times New Roman" w:cs="Times New Roman"/>
                      <w:color w:val="FF0000"/>
                      <w:kern w:val="0"/>
                      <w:szCs w:val="21"/>
                      <w:lang w:bidi="ar"/>
                    </w:rPr>
                  </w:pPr>
                </w:p>
              </w:tc>
              <w:tc>
                <w:tcPr>
                  <w:tcW w:w="907" w:type="pct"/>
                  <w:tcBorders>
                    <w:tl2br w:val="nil"/>
                    <w:tr2bl w:val="nil"/>
                  </w:tcBorders>
                  <w:vAlign w:val="center"/>
                </w:tcPr>
                <w:p w14:paraId="0B19F8CD">
                  <w:pPr>
                    <w:widowControl/>
                    <w:jc w:val="center"/>
                    <w:textAlignment w:val="center"/>
                    <w:rPr>
                      <w:rFonts w:hint="default" w:ascii="Times New Roman" w:hAnsi="Times New Roman" w:cs="Times New Roman"/>
                      <w:color w:val="FF0000"/>
                      <w:kern w:val="0"/>
                      <w:szCs w:val="21"/>
                      <w:lang w:bidi="ar"/>
                    </w:rPr>
                  </w:pPr>
                  <w:r>
                    <w:rPr>
                      <w:rFonts w:hint="default" w:ascii="Times New Roman" w:hAnsi="Times New Roman" w:cs="Times New Roman"/>
                      <w:color w:val="FF0000"/>
                      <w:kern w:val="0"/>
                      <w:szCs w:val="21"/>
                      <w:lang w:bidi="ar"/>
                    </w:rPr>
                    <w:t>0.000021</w:t>
                  </w:r>
                </w:p>
              </w:tc>
              <w:tc>
                <w:tcPr>
                  <w:tcW w:w="951" w:type="pct"/>
                  <w:tcBorders>
                    <w:tl2br w:val="nil"/>
                    <w:tr2bl w:val="nil"/>
                  </w:tcBorders>
                  <w:vAlign w:val="center"/>
                </w:tcPr>
                <w:p w14:paraId="7E6A87B1">
                  <w:pPr>
                    <w:widowControl/>
                    <w:jc w:val="center"/>
                    <w:textAlignment w:val="center"/>
                    <w:rPr>
                      <w:rFonts w:hint="default" w:ascii="Times New Roman" w:hAnsi="Times New Roman" w:cs="Times New Roman"/>
                      <w:color w:val="FF0000"/>
                      <w:kern w:val="0"/>
                      <w:szCs w:val="21"/>
                      <w:lang w:bidi="ar"/>
                    </w:rPr>
                  </w:pPr>
                  <w:r>
                    <w:rPr>
                      <w:rFonts w:hint="default" w:ascii="Times New Roman" w:hAnsi="Times New Roman" w:cs="Times New Roman"/>
                      <w:color w:val="FF0000"/>
                      <w:kern w:val="0"/>
                      <w:szCs w:val="21"/>
                      <w:lang w:bidi="ar"/>
                    </w:rPr>
                    <w:t>9.855</w:t>
                  </w:r>
                </w:p>
              </w:tc>
            </w:tr>
            <w:tr w14:paraId="2B8D63E7">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67" w:hRule="atLeast"/>
                <w:jc w:val="center"/>
              </w:trPr>
              <w:tc>
                <w:tcPr>
                  <w:tcW w:w="1290" w:type="pct"/>
                  <w:vMerge w:val="continue"/>
                  <w:tcBorders>
                    <w:tl2br w:val="nil"/>
                    <w:tr2bl w:val="nil"/>
                  </w:tcBorders>
                  <w:vAlign w:val="center"/>
                </w:tcPr>
                <w:p w14:paraId="75EE3C32">
                  <w:pPr>
                    <w:widowControl/>
                    <w:jc w:val="center"/>
                    <w:textAlignment w:val="center"/>
                    <w:rPr>
                      <w:rFonts w:hint="default" w:ascii="Times New Roman" w:hAnsi="Times New Roman" w:cs="Times New Roman"/>
                      <w:color w:val="FF0000"/>
                      <w:kern w:val="0"/>
                      <w:szCs w:val="21"/>
                      <w:lang w:bidi="ar"/>
                    </w:rPr>
                  </w:pPr>
                </w:p>
              </w:tc>
              <w:tc>
                <w:tcPr>
                  <w:tcW w:w="925" w:type="pct"/>
                  <w:tcBorders>
                    <w:tl2br w:val="nil"/>
                    <w:tr2bl w:val="nil"/>
                  </w:tcBorders>
                  <w:shd w:val="clear" w:color="auto" w:fill="auto"/>
                  <w:vAlign w:val="center"/>
                </w:tcPr>
                <w:p w14:paraId="4F88517C">
                  <w:pPr>
                    <w:pStyle w:val="86"/>
                    <w:rPr>
                      <w:rFonts w:hint="default" w:ascii="Times New Roman" w:hAnsi="Times New Roman" w:cs="Times New Roman"/>
                      <w:color w:val="FF0000"/>
                    </w:rPr>
                  </w:pPr>
                  <w:r>
                    <w:rPr>
                      <w:rFonts w:hint="default" w:ascii="Times New Roman" w:hAnsi="Times New Roman" w:cs="Times New Roman"/>
                      <w:color w:val="FF0000"/>
                    </w:rPr>
                    <w:t>NH</w:t>
                  </w:r>
                  <w:r>
                    <w:rPr>
                      <w:rFonts w:hint="default" w:ascii="Times New Roman" w:hAnsi="Times New Roman" w:cs="Times New Roman"/>
                      <w:color w:val="FF0000"/>
                      <w:vertAlign w:val="subscript"/>
                    </w:rPr>
                    <w:t>3</w:t>
                  </w:r>
                  <w:r>
                    <w:rPr>
                      <w:rFonts w:hint="default" w:ascii="Times New Roman" w:hAnsi="Times New Roman" w:cs="Times New Roman"/>
                      <w:color w:val="FF0000"/>
                    </w:rPr>
                    <w:t>-N</w:t>
                  </w:r>
                </w:p>
              </w:tc>
              <w:tc>
                <w:tcPr>
                  <w:tcW w:w="925" w:type="pct"/>
                  <w:vMerge w:val="continue"/>
                  <w:tcBorders>
                    <w:tl2br w:val="nil"/>
                    <w:tr2bl w:val="nil"/>
                  </w:tcBorders>
                  <w:vAlign w:val="center"/>
                </w:tcPr>
                <w:p w14:paraId="3BAADDAF">
                  <w:pPr>
                    <w:widowControl/>
                    <w:jc w:val="center"/>
                    <w:textAlignment w:val="center"/>
                    <w:rPr>
                      <w:rFonts w:hint="default" w:ascii="Times New Roman" w:hAnsi="Times New Roman" w:cs="Times New Roman"/>
                      <w:color w:val="FF0000"/>
                      <w:kern w:val="0"/>
                      <w:szCs w:val="21"/>
                      <w:lang w:bidi="ar"/>
                    </w:rPr>
                  </w:pPr>
                </w:p>
              </w:tc>
              <w:tc>
                <w:tcPr>
                  <w:tcW w:w="907" w:type="pct"/>
                  <w:tcBorders>
                    <w:tl2br w:val="nil"/>
                    <w:tr2bl w:val="nil"/>
                  </w:tcBorders>
                  <w:vAlign w:val="center"/>
                </w:tcPr>
                <w:p w14:paraId="25076209">
                  <w:pPr>
                    <w:widowControl/>
                    <w:jc w:val="center"/>
                    <w:textAlignment w:val="center"/>
                    <w:rPr>
                      <w:rFonts w:hint="default" w:ascii="Times New Roman" w:hAnsi="Times New Roman" w:cs="Times New Roman"/>
                      <w:color w:val="FF0000"/>
                      <w:kern w:val="0"/>
                      <w:szCs w:val="21"/>
                      <w:lang w:bidi="ar"/>
                    </w:rPr>
                  </w:pPr>
                  <w:r>
                    <w:rPr>
                      <w:rFonts w:hint="default" w:ascii="Times New Roman" w:hAnsi="Times New Roman" w:cs="Times New Roman"/>
                      <w:color w:val="FF0000"/>
                      <w:kern w:val="0"/>
                      <w:szCs w:val="21"/>
                      <w:lang w:bidi="ar"/>
                    </w:rPr>
                    <w:t xml:space="preserve">0.000007 </w:t>
                  </w:r>
                </w:p>
              </w:tc>
              <w:tc>
                <w:tcPr>
                  <w:tcW w:w="951" w:type="pct"/>
                  <w:tcBorders>
                    <w:tl2br w:val="nil"/>
                    <w:tr2bl w:val="nil"/>
                  </w:tcBorders>
                  <w:vAlign w:val="center"/>
                </w:tcPr>
                <w:p w14:paraId="2748B67B">
                  <w:pPr>
                    <w:widowControl/>
                    <w:jc w:val="center"/>
                    <w:textAlignment w:val="center"/>
                    <w:rPr>
                      <w:rFonts w:hint="default" w:ascii="Times New Roman" w:hAnsi="Times New Roman" w:cs="Times New Roman"/>
                      <w:color w:val="FF0000"/>
                      <w:kern w:val="0"/>
                      <w:szCs w:val="21"/>
                      <w:lang w:bidi="ar"/>
                    </w:rPr>
                  </w:pPr>
                  <w:r>
                    <w:rPr>
                      <w:rFonts w:hint="default" w:ascii="Times New Roman" w:hAnsi="Times New Roman" w:cs="Times New Roman"/>
                      <w:color w:val="FF0000"/>
                      <w:kern w:val="0"/>
                      <w:szCs w:val="21"/>
                      <w:lang w:bidi="ar"/>
                    </w:rPr>
                    <w:t>3.3</w:t>
                  </w:r>
                </w:p>
              </w:tc>
            </w:tr>
            <w:tr w14:paraId="75FFEFAF">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67" w:hRule="atLeast"/>
                <w:jc w:val="center"/>
              </w:trPr>
              <w:tc>
                <w:tcPr>
                  <w:tcW w:w="1290" w:type="pct"/>
                  <w:vMerge w:val="continue"/>
                  <w:tcBorders>
                    <w:tl2br w:val="nil"/>
                    <w:tr2bl w:val="nil"/>
                  </w:tcBorders>
                  <w:vAlign w:val="center"/>
                </w:tcPr>
                <w:p w14:paraId="6A3E58E0">
                  <w:pPr>
                    <w:widowControl/>
                    <w:jc w:val="center"/>
                    <w:textAlignment w:val="center"/>
                    <w:rPr>
                      <w:rFonts w:hint="default" w:ascii="Times New Roman" w:hAnsi="Times New Roman" w:cs="Times New Roman"/>
                      <w:color w:val="FF0000"/>
                      <w:kern w:val="0"/>
                      <w:szCs w:val="21"/>
                      <w:lang w:bidi="ar"/>
                    </w:rPr>
                  </w:pPr>
                </w:p>
              </w:tc>
              <w:tc>
                <w:tcPr>
                  <w:tcW w:w="925" w:type="pct"/>
                  <w:tcBorders>
                    <w:tl2br w:val="nil"/>
                    <w:tr2bl w:val="nil"/>
                  </w:tcBorders>
                  <w:vAlign w:val="center"/>
                </w:tcPr>
                <w:p w14:paraId="74E47FE9">
                  <w:pPr>
                    <w:widowControl/>
                    <w:jc w:val="center"/>
                    <w:textAlignment w:val="center"/>
                    <w:rPr>
                      <w:rFonts w:hint="default" w:ascii="Times New Roman" w:hAnsi="Times New Roman" w:cs="Times New Roman"/>
                      <w:color w:val="FF0000"/>
                      <w:kern w:val="0"/>
                      <w:szCs w:val="21"/>
                      <w:lang w:bidi="ar"/>
                    </w:rPr>
                  </w:pPr>
                  <w:r>
                    <w:rPr>
                      <w:rFonts w:hint="default" w:ascii="Times New Roman" w:hAnsi="Times New Roman" w:eastAsia="Times New Roman" w:cs="Times New Roman"/>
                      <w:color w:val="FF0000"/>
                    </w:rPr>
                    <w:t>石油类</w:t>
                  </w:r>
                </w:p>
              </w:tc>
              <w:tc>
                <w:tcPr>
                  <w:tcW w:w="925" w:type="pct"/>
                  <w:vMerge w:val="continue"/>
                  <w:tcBorders>
                    <w:tl2br w:val="nil"/>
                    <w:tr2bl w:val="nil"/>
                  </w:tcBorders>
                  <w:vAlign w:val="center"/>
                </w:tcPr>
                <w:p w14:paraId="7D0BF51E">
                  <w:pPr>
                    <w:widowControl/>
                    <w:jc w:val="center"/>
                    <w:textAlignment w:val="center"/>
                    <w:rPr>
                      <w:rFonts w:hint="default" w:ascii="Times New Roman" w:hAnsi="Times New Roman" w:cs="Times New Roman"/>
                      <w:color w:val="FF0000"/>
                      <w:kern w:val="0"/>
                      <w:szCs w:val="21"/>
                      <w:lang w:bidi="ar"/>
                    </w:rPr>
                  </w:pPr>
                </w:p>
              </w:tc>
              <w:tc>
                <w:tcPr>
                  <w:tcW w:w="907" w:type="pct"/>
                  <w:tcBorders>
                    <w:tl2br w:val="nil"/>
                    <w:tr2bl w:val="nil"/>
                  </w:tcBorders>
                  <w:vAlign w:val="center"/>
                </w:tcPr>
                <w:p w14:paraId="4EC77A41">
                  <w:pPr>
                    <w:widowControl/>
                    <w:jc w:val="center"/>
                    <w:textAlignment w:val="center"/>
                    <w:rPr>
                      <w:rFonts w:hint="default" w:ascii="Times New Roman" w:hAnsi="Times New Roman" w:cs="Times New Roman"/>
                      <w:color w:val="FF0000"/>
                      <w:kern w:val="0"/>
                      <w:szCs w:val="21"/>
                      <w:lang w:bidi="ar"/>
                    </w:rPr>
                  </w:pPr>
                  <w:r>
                    <w:rPr>
                      <w:rFonts w:hint="default" w:ascii="Times New Roman" w:hAnsi="Times New Roman" w:cs="Times New Roman"/>
                      <w:color w:val="FF0000"/>
                      <w:kern w:val="0"/>
                      <w:szCs w:val="21"/>
                      <w:lang w:bidi="ar"/>
                    </w:rPr>
                    <w:t>0.000032</w:t>
                  </w:r>
                </w:p>
              </w:tc>
              <w:tc>
                <w:tcPr>
                  <w:tcW w:w="951" w:type="pct"/>
                  <w:tcBorders>
                    <w:tl2br w:val="nil"/>
                    <w:tr2bl w:val="nil"/>
                  </w:tcBorders>
                  <w:vAlign w:val="center"/>
                </w:tcPr>
                <w:p w14:paraId="55AA0147">
                  <w:pPr>
                    <w:widowControl/>
                    <w:jc w:val="center"/>
                    <w:textAlignment w:val="center"/>
                    <w:rPr>
                      <w:rFonts w:hint="default" w:ascii="Times New Roman" w:hAnsi="Times New Roman" w:cs="Times New Roman"/>
                      <w:color w:val="FF0000"/>
                      <w:kern w:val="0"/>
                      <w:szCs w:val="21"/>
                      <w:lang w:bidi="ar"/>
                    </w:rPr>
                  </w:pPr>
                  <w:r>
                    <w:rPr>
                      <w:rFonts w:hint="default" w:ascii="Times New Roman" w:hAnsi="Times New Roman" w:cs="Times New Roman"/>
                      <w:color w:val="FF0000"/>
                      <w:kern w:val="0"/>
                      <w:szCs w:val="21"/>
                      <w:lang w:bidi="ar"/>
                    </w:rPr>
                    <w:t>15.2</w:t>
                  </w:r>
                </w:p>
              </w:tc>
            </w:tr>
            <w:tr w14:paraId="6556D4DB">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290" w:type="pct"/>
                  <w:vMerge w:val="restart"/>
                  <w:tcBorders>
                    <w:tl2br w:val="nil"/>
                    <w:tr2bl w:val="nil"/>
                  </w:tcBorders>
                  <w:vAlign w:val="center"/>
                </w:tcPr>
                <w:p w14:paraId="769B062E">
                  <w:pPr>
                    <w:pStyle w:val="128"/>
                    <w:spacing w:line="360" w:lineRule="exact"/>
                    <w:jc w:val="center"/>
                    <w:rPr>
                      <w:rFonts w:hint="default" w:ascii="Times New Roman" w:hAnsi="Times New Roman" w:cs="Times New Roman"/>
                      <w:color w:val="FF0000"/>
                      <w:kern w:val="0"/>
                      <w:sz w:val="21"/>
                      <w:szCs w:val="21"/>
                      <w:lang w:val="en-US" w:eastAsia="zh-CN" w:bidi="ar"/>
                    </w:rPr>
                  </w:pPr>
                  <w:r>
                    <w:rPr>
                      <w:rFonts w:hint="default" w:ascii="Times New Roman" w:hAnsi="Times New Roman" w:cs="Times New Roman"/>
                      <w:color w:val="FF0000"/>
                      <w:sz w:val="21"/>
                      <w:szCs w:val="21"/>
                    </w:rPr>
                    <w:t>生活污水</w:t>
                  </w:r>
                </w:p>
              </w:tc>
              <w:tc>
                <w:tcPr>
                  <w:tcW w:w="925" w:type="pct"/>
                  <w:tcBorders>
                    <w:tl2br w:val="nil"/>
                    <w:tr2bl w:val="nil"/>
                  </w:tcBorders>
                  <w:shd w:val="clear" w:color="auto" w:fill="auto"/>
                  <w:vAlign w:val="center"/>
                </w:tcPr>
                <w:p w14:paraId="34490B6C">
                  <w:pPr>
                    <w:pStyle w:val="86"/>
                    <w:rPr>
                      <w:rFonts w:hint="default" w:ascii="Times New Roman" w:hAnsi="Times New Roman" w:cs="Times New Roman"/>
                      <w:color w:val="FF0000"/>
                    </w:rPr>
                  </w:pPr>
                  <w:r>
                    <w:rPr>
                      <w:rFonts w:hint="default" w:ascii="Times New Roman" w:hAnsi="Times New Roman" w:cs="Times New Roman"/>
                      <w:color w:val="FF0000"/>
                    </w:rPr>
                    <w:t>COD</w:t>
                  </w:r>
                </w:p>
              </w:tc>
              <w:tc>
                <w:tcPr>
                  <w:tcW w:w="925" w:type="pct"/>
                  <w:vMerge w:val="restart"/>
                  <w:tcBorders>
                    <w:tl2br w:val="nil"/>
                    <w:tr2bl w:val="nil"/>
                  </w:tcBorders>
                  <w:vAlign w:val="center"/>
                </w:tcPr>
                <w:p w14:paraId="7147F9AF">
                  <w:pPr>
                    <w:widowControl/>
                    <w:jc w:val="center"/>
                    <w:textAlignment w:val="center"/>
                    <w:rPr>
                      <w:rFonts w:hint="default" w:ascii="Times New Roman" w:hAnsi="Times New Roman" w:cs="Times New Roman"/>
                      <w:color w:val="FF0000"/>
                      <w:kern w:val="0"/>
                      <w:szCs w:val="21"/>
                      <w:lang w:bidi="ar"/>
                    </w:rPr>
                  </w:pPr>
                  <w:r>
                    <w:rPr>
                      <w:rFonts w:hint="default" w:ascii="Times New Roman" w:hAnsi="Times New Roman" w:cs="Times New Roman"/>
                      <w:color w:val="FF0000"/>
                      <w:kern w:val="0"/>
                      <w:szCs w:val="21"/>
                      <w:lang w:bidi="ar"/>
                    </w:rPr>
                    <w:t>防渗化粪池</w:t>
                  </w:r>
                </w:p>
              </w:tc>
              <w:tc>
                <w:tcPr>
                  <w:tcW w:w="907" w:type="pct"/>
                  <w:tcBorders>
                    <w:tl2br w:val="nil"/>
                    <w:tr2bl w:val="nil"/>
                  </w:tcBorders>
                  <w:vAlign w:val="center"/>
                </w:tcPr>
                <w:p w14:paraId="7142AB67">
                  <w:pPr>
                    <w:widowControl/>
                    <w:jc w:val="center"/>
                    <w:textAlignment w:val="center"/>
                    <w:rPr>
                      <w:rFonts w:hint="default" w:ascii="Times New Roman" w:hAnsi="Times New Roman" w:cs="Times New Roman"/>
                      <w:color w:val="FF0000"/>
                      <w:kern w:val="0"/>
                      <w:szCs w:val="21"/>
                      <w:lang w:bidi="ar"/>
                    </w:rPr>
                  </w:pPr>
                  <w:r>
                    <w:rPr>
                      <w:rFonts w:hint="default" w:ascii="Times New Roman" w:hAnsi="Times New Roman" w:cs="Times New Roman"/>
                      <w:color w:val="FF0000"/>
                      <w:kern w:val="0"/>
                      <w:szCs w:val="21"/>
                      <w:lang w:bidi="ar"/>
                    </w:rPr>
                    <w:t xml:space="preserve">0.000051 </w:t>
                  </w:r>
                </w:p>
              </w:tc>
              <w:tc>
                <w:tcPr>
                  <w:tcW w:w="951" w:type="pct"/>
                  <w:tcBorders>
                    <w:tl2br w:val="nil"/>
                    <w:tr2bl w:val="nil"/>
                  </w:tcBorders>
                  <w:vAlign w:val="center"/>
                </w:tcPr>
                <w:p w14:paraId="25B67FF0">
                  <w:pPr>
                    <w:widowControl/>
                    <w:jc w:val="center"/>
                    <w:textAlignment w:val="center"/>
                    <w:rPr>
                      <w:rFonts w:hint="default" w:ascii="Times New Roman" w:hAnsi="Times New Roman" w:cs="Times New Roman"/>
                      <w:color w:val="FF0000"/>
                      <w:kern w:val="0"/>
                      <w:szCs w:val="21"/>
                      <w:lang w:bidi="ar"/>
                    </w:rPr>
                  </w:pPr>
                  <w:r>
                    <w:rPr>
                      <w:rFonts w:hint="default" w:ascii="Times New Roman" w:hAnsi="Times New Roman" w:cs="Times New Roman"/>
                      <w:color w:val="FF0000"/>
                      <w:kern w:val="0"/>
                      <w:szCs w:val="21"/>
                      <w:lang w:bidi="ar"/>
                    </w:rPr>
                    <w:t>238</w:t>
                  </w:r>
                </w:p>
              </w:tc>
            </w:tr>
            <w:tr w14:paraId="11814CAE">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290" w:type="pct"/>
                  <w:vMerge w:val="continue"/>
                  <w:tcBorders>
                    <w:tl2br w:val="nil"/>
                    <w:tr2bl w:val="nil"/>
                  </w:tcBorders>
                  <w:vAlign w:val="center"/>
                </w:tcPr>
                <w:p w14:paraId="4F30B804">
                  <w:pPr>
                    <w:widowControl/>
                    <w:jc w:val="center"/>
                    <w:textAlignment w:val="center"/>
                    <w:rPr>
                      <w:rFonts w:hint="default" w:ascii="Times New Roman" w:hAnsi="Times New Roman" w:cs="Times New Roman"/>
                      <w:color w:val="FF0000"/>
                    </w:rPr>
                  </w:pPr>
                </w:p>
              </w:tc>
              <w:tc>
                <w:tcPr>
                  <w:tcW w:w="925" w:type="pct"/>
                  <w:tcBorders>
                    <w:tl2br w:val="nil"/>
                    <w:tr2bl w:val="nil"/>
                  </w:tcBorders>
                  <w:shd w:val="clear" w:color="auto" w:fill="auto"/>
                  <w:vAlign w:val="center"/>
                </w:tcPr>
                <w:p w14:paraId="1B103EDB">
                  <w:pPr>
                    <w:pStyle w:val="86"/>
                    <w:rPr>
                      <w:rFonts w:hint="default" w:ascii="Times New Roman" w:hAnsi="Times New Roman" w:cs="Times New Roman"/>
                      <w:color w:val="FF0000"/>
                    </w:rPr>
                  </w:pPr>
                  <w:r>
                    <w:rPr>
                      <w:rFonts w:hint="default" w:ascii="Times New Roman" w:hAnsi="Times New Roman" w:cs="Times New Roman"/>
                      <w:color w:val="FF0000"/>
                    </w:rPr>
                    <w:t>BOD</w:t>
                  </w:r>
                  <w:r>
                    <w:rPr>
                      <w:rFonts w:hint="default" w:ascii="Times New Roman" w:hAnsi="Times New Roman" w:cs="Times New Roman"/>
                      <w:color w:val="FF0000"/>
                      <w:vertAlign w:val="subscript"/>
                    </w:rPr>
                    <w:t>5</w:t>
                  </w:r>
                </w:p>
              </w:tc>
              <w:tc>
                <w:tcPr>
                  <w:tcW w:w="925" w:type="pct"/>
                  <w:vMerge w:val="continue"/>
                  <w:tcBorders>
                    <w:tl2br w:val="nil"/>
                    <w:tr2bl w:val="nil"/>
                  </w:tcBorders>
                  <w:vAlign w:val="center"/>
                </w:tcPr>
                <w:p w14:paraId="59482363">
                  <w:pPr>
                    <w:widowControl/>
                    <w:jc w:val="center"/>
                    <w:textAlignment w:val="center"/>
                    <w:rPr>
                      <w:rFonts w:hint="default" w:ascii="Times New Roman" w:hAnsi="Times New Roman" w:cs="Times New Roman"/>
                      <w:color w:val="FF0000"/>
                      <w:kern w:val="0"/>
                      <w:szCs w:val="21"/>
                      <w:lang w:bidi="ar"/>
                    </w:rPr>
                  </w:pPr>
                </w:p>
              </w:tc>
              <w:tc>
                <w:tcPr>
                  <w:tcW w:w="907" w:type="pct"/>
                  <w:tcBorders>
                    <w:tl2br w:val="nil"/>
                    <w:tr2bl w:val="nil"/>
                  </w:tcBorders>
                  <w:vAlign w:val="center"/>
                </w:tcPr>
                <w:p w14:paraId="3F825FE9">
                  <w:pPr>
                    <w:widowControl/>
                    <w:jc w:val="center"/>
                    <w:textAlignment w:val="center"/>
                    <w:rPr>
                      <w:rFonts w:hint="default" w:ascii="Times New Roman" w:hAnsi="Times New Roman" w:cs="Times New Roman"/>
                      <w:color w:val="FF0000"/>
                      <w:kern w:val="0"/>
                      <w:szCs w:val="21"/>
                      <w:lang w:bidi="ar"/>
                    </w:rPr>
                  </w:pPr>
                  <w:r>
                    <w:rPr>
                      <w:rFonts w:hint="default" w:ascii="Times New Roman" w:hAnsi="Times New Roman" w:cs="Times New Roman"/>
                      <w:color w:val="FF0000"/>
                      <w:kern w:val="0"/>
                      <w:szCs w:val="21"/>
                      <w:lang w:bidi="ar"/>
                    </w:rPr>
                    <w:t xml:space="preserve">0.000017 </w:t>
                  </w:r>
                </w:p>
              </w:tc>
              <w:tc>
                <w:tcPr>
                  <w:tcW w:w="951" w:type="pct"/>
                  <w:tcBorders>
                    <w:tl2br w:val="nil"/>
                    <w:tr2bl w:val="nil"/>
                  </w:tcBorders>
                  <w:vAlign w:val="center"/>
                </w:tcPr>
                <w:p w14:paraId="07A64A69">
                  <w:pPr>
                    <w:widowControl/>
                    <w:jc w:val="center"/>
                    <w:textAlignment w:val="center"/>
                    <w:rPr>
                      <w:rFonts w:hint="default" w:ascii="Times New Roman" w:hAnsi="Times New Roman" w:cs="Times New Roman"/>
                      <w:color w:val="FF0000"/>
                      <w:kern w:val="0"/>
                      <w:szCs w:val="21"/>
                      <w:lang w:bidi="ar"/>
                    </w:rPr>
                  </w:pPr>
                  <w:r>
                    <w:rPr>
                      <w:rFonts w:hint="default" w:ascii="Times New Roman" w:hAnsi="Times New Roman" w:cs="Times New Roman"/>
                      <w:color w:val="FF0000"/>
                      <w:kern w:val="0"/>
                      <w:szCs w:val="21"/>
                      <w:lang w:bidi="ar"/>
                    </w:rPr>
                    <w:t>80.4</w:t>
                  </w:r>
                </w:p>
              </w:tc>
            </w:tr>
            <w:tr w14:paraId="5406A694">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PrEx>
              <w:trPr>
                <w:trHeight w:val="90" w:hRule="atLeast"/>
                <w:jc w:val="center"/>
              </w:trPr>
              <w:tc>
                <w:tcPr>
                  <w:tcW w:w="1290" w:type="pct"/>
                  <w:vMerge w:val="continue"/>
                  <w:tcBorders>
                    <w:tl2br w:val="nil"/>
                    <w:tr2bl w:val="nil"/>
                  </w:tcBorders>
                  <w:vAlign w:val="center"/>
                </w:tcPr>
                <w:p w14:paraId="28675AF9">
                  <w:pPr>
                    <w:widowControl/>
                    <w:jc w:val="center"/>
                    <w:textAlignment w:val="center"/>
                    <w:rPr>
                      <w:rFonts w:hint="default" w:ascii="Times New Roman" w:hAnsi="Times New Roman" w:cs="Times New Roman"/>
                      <w:color w:val="FF0000"/>
                      <w:kern w:val="0"/>
                      <w:szCs w:val="21"/>
                      <w:lang w:bidi="ar"/>
                    </w:rPr>
                  </w:pPr>
                </w:p>
              </w:tc>
              <w:tc>
                <w:tcPr>
                  <w:tcW w:w="925" w:type="pct"/>
                  <w:tcBorders>
                    <w:tl2br w:val="nil"/>
                    <w:tr2bl w:val="nil"/>
                  </w:tcBorders>
                  <w:shd w:val="clear" w:color="auto" w:fill="auto"/>
                  <w:vAlign w:val="center"/>
                </w:tcPr>
                <w:p w14:paraId="2019B8EF">
                  <w:pPr>
                    <w:pStyle w:val="86"/>
                    <w:rPr>
                      <w:rFonts w:hint="default" w:ascii="Times New Roman" w:hAnsi="Times New Roman" w:cs="Times New Roman"/>
                      <w:color w:val="FF0000"/>
                    </w:rPr>
                  </w:pPr>
                  <w:r>
                    <w:rPr>
                      <w:rFonts w:hint="default" w:ascii="Times New Roman" w:hAnsi="Times New Roman" w:cs="Times New Roman"/>
                      <w:color w:val="FF0000"/>
                    </w:rPr>
                    <w:t>SS</w:t>
                  </w:r>
                </w:p>
              </w:tc>
              <w:tc>
                <w:tcPr>
                  <w:tcW w:w="925" w:type="pct"/>
                  <w:vMerge w:val="continue"/>
                  <w:tcBorders>
                    <w:tl2br w:val="nil"/>
                    <w:tr2bl w:val="nil"/>
                  </w:tcBorders>
                  <w:vAlign w:val="center"/>
                </w:tcPr>
                <w:p w14:paraId="15D85E53">
                  <w:pPr>
                    <w:widowControl/>
                    <w:jc w:val="center"/>
                    <w:textAlignment w:val="center"/>
                    <w:rPr>
                      <w:rFonts w:hint="default" w:ascii="Times New Roman" w:hAnsi="Times New Roman" w:cs="Times New Roman"/>
                      <w:color w:val="FF0000"/>
                      <w:kern w:val="0"/>
                      <w:szCs w:val="21"/>
                      <w:lang w:bidi="ar"/>
                    </w:rPr>
                  </w:pPr>
                </w:p>
              </w:tc>
              <w:tc>
                <w:tcPr>
                  <w:tcW w:w="907" w:type="pct"/>
                  <w:tcBorders>
                    <w:tl2br w:val="nil"/>
                    <w:tr2bl w:val="nil"/>
                  </w:tcBorders>
                  <w:vAlign w:val="center"/>
                </w:tcPr>
                <w:p w14:paraId="28A76428">
                  <w:pPr>
                    <w:widowControl/>
                    <w:jc w:val="center"/>
                    <w:textAlignment w:val="center"/>
                    <w:rPr>
                      <w:rFonts w:hint="default" w:ascii="Times New Roman" w:hAnsi="Times New Roman" w:cs="Times New Roman"/>
                      <w:color w:val="FF0000"/>
                      <w:kern w:val="0"/>
                      <w:szCs w:val="21"/>
                      <w:lang w:bidi="ar"/>
                    </w:rPr>
                  </w:pPr>
                  <w:r>
                    <w:rPr>
                      <w:rFonts w:hint="default" w:ascii="Times New Roman" w:hAnsi="Times New Roman" w:cs="Times New Roman"/>
                      <w:color w:val="FF0000"/>
                      <w:kern w:val="0"/>
                      <w:szCs w:val="21"/>
                      <w:lang w:bidi="ar"/>
                    </w:rPr>
                    <w:t xml:space="preserve">0.000032 </w:t>
                  </w:r>
                </w:p>
              </w:tc>
              <w:tc>
                <w:tcPr>
                  <w:tcW w:w="951" w:type="pct"/>
                  <w:tcBorders>
                    <w:tl2br w:val="nil"/>
                    <w:tr2bl w:val="nil"/>
                  </w:tcBorders>
                  <w:vAlign w:val="center"/>
                </w:tcPr>
                <w:p w14:paraId="38BA0961">
                  <w:pPr>
                    <w:widowControl/>
                    <w:jc w:val="center"/>
                    <w:textAlignment w:val="center"/>
                    <w:rPr>
                      <w:rFonts w:hint="default" w:ascii="Times New Roman" w:hAnsi="Times New Roman" w:cs="Times New Roman"/>
                      <w:color w:val="FF0000"/>
                      <w:kern w:val="0"/>
                      <w:szCs w:val="21"/>
                      <w:lang w:bidi="ar"/>
                    </w:rPr>
                  </w:pPr>
                  <w:r>
                    <w:rPr>
                      <w:rFonts w:hint="default" w:ascii="Times New Roman" w:hAnsi="Times New Roman" w:cs="Times New Roman"/>
                      <w:color w:val="FF0000"/>
                      <w:kern w:val="0"/>
                      <w:szCs w:val="21"/>
                      <w:lang w:bidi="ar"/>
                    </w:rPr>
                    <w:t>150</w:t>
                  </w:r>
                </w:p>
              </w:tc>
            </w:tr>
            <w:tr w14:paraId="6DCEAF1B">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290" w:type="pct"/>
                  <w:vMerge w:val="continue"/>
                  <w:tcBorders>
                    <w:tl2br w:val="nil"/>
                    <w:tr2bl w:val="nil"/>
                  </w:tcBorders>
                  <w:vAlign w:val="center"/>
                </w:tcPr>
                <w:p w14:paraId="1E315B87">
                  <w:pPr>
                    <w:widowControl/>
                    <w:jc w:val="center"/>
                    <w:textAlignment w:val="center"/>
                    <w:rPr>
                      <w:rFonts w:hint="default" w:ascii="Times New Roman" w:hAnsi="Times New Roman" w:cs="Times New Roman"/>
                      <w:color w:val="FF0000"/>
                      <w:kern w:val="0"/>
                      <w:szCs w:val="21"/>
                      <w:lang w:bidi="ar"/>
                    </w:rPr>
                  </w:pPr>
                </w:p>
              </w:tc>
              <w:tc>
                <w:tcPr>
                  <w:tcW w:w="925" w:type="pct"/>
                  <w:tcBorders>
                    <w:tl2br w:val="nil"/>
                    <w:tr2bl w:val="nil"/>
                  </w:tcBorders>
                  <w:shd w:val="clear" w:color="auto" w:fill="auto"/>
                  <w:vAlign w:val="center"/>
                </w:tcPr>
                <w:p w14:paraId="669102C3">
                  <w:pPr>
                    <w:pStyle w:val="86"/>
                    <w:rPr>
                      <w:rFonts w:hint="default" w:ascii="Times New Roman" w:hAnsi="Times New Roman" w:cs="Times New Roman"/>
                      <w:color w:val="FF0000"/>
                    </w:rPr>
                  </w:pPr>
                  <w:r>
                    <w:rPr>
                      <w:rFonts w:hint="default" w:ascii="Times New Roman" w:hAnsi="Times New Roman" w:cs="Times New Roman"/>
                      <w:color w:val="FF0000"/>
                    </w:rPr>
                    <w:t>NH</w:t>
                  </w:r>
                  <w:r>
                    <w:rPr>
                      <w:rFonts w:hint="default" w:ascii="Times New Roman" w:hAnsi="Times New Roman" w:cs="Times New Roman"/>
                      <w:color w:val="FF0000"/>
                      <w:vertAlign w:val="subscript"/>
                    </w:rPr>
                    <w:t>3</w:t>
                  </w:r>
                  <w:r>
                    <w:rPr>
                      <w:rFonts w:hint="default" w:ascii="Times New Roman" w:hAnsi="Times New Roman" w:cs="Times New Roman"/>
                      <w:color w:val="FF0000"/>
                    </w:rPr>
                    <w:t>-N</w:t>
                  </w:r>
                </w:p>
              </w:tc>
              <w:tc>
                <w:tcPr>
                  <w:tcW w:w="925" w:type="pct"/>
                  <w:vMerge w:val="continue"/>
                  <w:tcBorders>
                    <w:tl2br w:val="nil"/>
                    <w:tr2bl w:val="nil"/>
                  </w:tcBorders>
                  <w:vAlign w:val="center"/>
                </w:tcPr>
                <w:p w14:paraId="6423DFEF">
                  <w:pPr>
                    <w:widowControl/>
                    <w:jc w:val="center"/>
                    <w:textAlignment w:val="center"/>
                    <w:rPr>
                      <w:rFonts w:hint="default" w:ascii="Times New Roman" w:hAnsi="Times New Roman" w:cs="Times New Roman"/>
                      <w:color w:val="FF0000"/>
                      <w:kern w:val="0"/>
                      <w:szCs w:val="21"/>
                      <w:lang w:bidi="ar"/>
                    </w:rPr>
                  </w:pPr>
                </w:p>
              </w:tc>
              <w:tc>
                <w:tcPr>
                  <w:tcW w:w="907" w:type="pct"/>
                  <w:tcBorders>
                    <w:tl2br w:val="nil"/>
                    <w:tr2bl w:val="nil"/>
                  </w:tcBorders>
                  <w:vAlign w:val="center"/>
                </w:tcPr>
                <w:p w14:paraId="4F52BFA5">
                  <w:pPr>
                    <w:widowControl/>
                    <w:jc w:val="center"/>
                    <w:textAlignment w:val="center"/>
                    <w:rPr>
                      <w:rFonts w:hint="default" w:ascii="Times New Roman" w:hAnsi="Times New Roman" w:cs="Times New Roman"/>
                      <w:color w:val="FF0000"/>
                      <w:kern w:val="0"/>
                      <w:szCs w:val="21"/>
                      <w:lang w:bidi="ar"/>
                    </w:rPr>
                  </w:pPr>
                  <w:r>
                    <w:rPr>
                      <w:rFonts w:hint="default" w:ascii="Times New Roman" w:hAnsi="Times New Roman" w:cs="Times New Roman"/>
                      <w:color w:val="FF0000"/>
                      <w:kern w:val="0"/>
                      <w:szCs w:val="21"/>
                      <w:lang w:bidi="ar"/>
                    </w:rPr>
                    <w:t xml:space="preserve">0.000005 </w:t>
                  </w:r>
                </w:p>
              </w:tc>
              <w:tc>
                <w:tcPr>
                  <w:tcW w:w="951" w:type="pct"/>
                  <w:tcBorders>
                    <w:tl2br w:val="nil"/>
                    <w:tr2bl w:val="nil"/>
                  </w:tcBorders>
                  <w:vAlign w:val="center"/>
                </w:tcPr>
                <w:p w14:paraId="348F0564">
                  <w:pPr>
                    <w:widowControl/>
                    <w:jc w:val="center"/>
                    <w:textAlignment w:val="center"/>
                    <w:rPr>
                      <w:rFonts w:hint="default" w:ascii="Times New Roman" w:hAnsi="Times New Roman" w:cs="Times New Roman"/>
                      <w:color w:val="FF0000"/>
                      <w:kern w:val="0"/>
                      <w:szCs w:val="21"/>
                      <w:lang w:bidi="ar"/>
                    </w:rPr>
                  </w:pPr>
                  <w:r>
                    <w:rPr>
                      <w:rFonts w:hint="default" w:ascii="Times New Roman" w:hAnsi="Times New Roman" w:cs="Times New Roman"/>
                      <w:color w:val="FF0000"/>
                      <w:kern w:val="0"/>
                      <w:szCs w:val="21"/>
                      <w:lang w:bidi="ar"/>
                    </w:rPr>
                    <w:t>25.2</w:t>
                  </w:r>
                </w:p>
              </w:tc>
            </w:tr>
            <w:tr w14:paraId="60C2DBD1">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290" w:type="pct"/>
                  <w:vMerge w:val="continue"/>
                  <w:tcBorders>
                    <w:tl2br w:val="nil"/>
                    <w:tr2bl w:val="nil"/>
                  </w:tcBorders>
                  <w:vAlign w:val="center"/>
                </w:tcPr>
                <w:p w14:paraId="2D20A096">
                  <w:pPr>
                    <w:widowControl/>
                    <w:jc w:val="center"/>
                    <w:textAlignment w:val="center"/>
                    <w:rPr>
                      <w:rFonts w:hint="default" w:ascii="Times New Roman" w:hAnsi="Times New Roman" w:cs="Times New Roman"/>
                      <w:color w:val="FF0000"/>
                      <w:kern w:val="0"/>
                      <w:szCs w:val="21"/>
                      <w:lang w:bidi="ar"/>
                    </w:rPr>
                  </w:pPr>
                </w:p>
              </w:tc>
              <w:tc>
                <w:tcPr>
                  <w:tcW w:w="925" w:type="pct"/>
                  <w:tcBorders>
                    <w:tl2br w:val="nil"/>
                    <w:tr2bl w:val="nil"/>
                  </w:tcBorders>
                  <w:shd w:val="clear" w:color="auto" w:fill="auto"/>
                  <w:vAlign w:val="center"/>
                </w:tcPr>
                <w:p w14:paraId="57BD650B">
                  <w:pPr>
                    <w:pStyle w:val="86"/>
                    <w:rPr>
                      <w:rFonts w:hint="default" w:ascii="Times New Roman" w:hAnsi="Times New Roman" w:cs="Times New Roman"/>
                      <w:color w:val="FF0000"/>
                    </w:rPr>
                  </w:pPr>
                  <w:r>
                    <w:rPr>
                      <w:rFonts w:hint="default" w:ascii="Times New Roman" w:hAnsi="Times New Roman" w:cs="Times New Roman"/>
                      <w:color w:val="FF0000"/>
                    </w:rPr>
                    <w:t>TP</w:t>
                  </w:r>
                </w:p>
              </w:tc>
              <w:tc>
                <w:tcPr>
                  <w:tcW w:w="925" w:type="pct"/>
                  <w:vMerge w:val="continue"/>
                  <w:tcBorders>
                    <w:tl2br w:val="nil"/>
                    <w:tr2bl w:val="nil"/>
                  </w:tcBorders>
                  <w:vAlign w:val="center"/>
                </w:tcPr>
                <w:p w14:paraId="17DA4CF0">
                  <w:pPr>
                    <w:widowControl/>
                    <w:jc w:val="center"/>
                    <w:textAlignment w:val="center"/>
                    <w:rPr>
                      <w:rFonts w:hint="default" w:ascii="Times New Roman" w:hAnsi="Times New Roman" w:cs="Times New Roman"/>
                      <w:color w:val="FF0000"/>
                      <w:kern w:val="0"/>
                      <w:szCs w:val="21"/>
                      <w:lang w:bidi="ar"/>
                    </w:rPr>
                  </w:pPr>
                </w:p>
              </w:tc>
              <w:tc>
                <w:tcPr>
                  <w:tcW w:w="907" w:type="pct"/>
                  <w:tcBorders>
                    <w:tl2br w:val="nil"/>
                    <w:tr2bl w:val="nil"/>
                  </w:tcBorders>
                  <w:vAlign w:val="center"/>
                </w:tcPr>
                <w:p w14:paraId="2CC642EB">
                  <w:pPr>
                    <w:widowControl/>
                    <w:jc w:val="center"/>
                    <w:textAlignment w:val="center"/>
                    <w:rPr>
                      <w:rFonts w:hint="default" w:ascii="Times New Roman" w:hAnsi="Times New Roman" w:cs="Times New Roman"/>
                      <w:color w:val="FF0000"/>
                      <w:kern w:val="0"/>
                      <w:szCs w:val="21"/>
                      <w:lang w:bidi="ar"/>
                    </w:rPr>
                  </w:pPr>
                  <w:r>
                    <w:rPr>
                      <w:rFonts w:hint="default" w:ascii="Times New Roman" w:hAnsi="Times New Roman" w:cs="Times New Roman"/>
                      <w:color w:val="FF0000"/>
                      <w:kern w:val="0"/>
                      <w:szCs w:val="21"/>
                      <w:lang w:bidi="ar"/>
                    </w:rPr>
                    <w:t xml:space="preserve">0.000001 </w:t>
                  </w:r>
                </w:p>
              </w:tc>
              <w:tc>
                <w:tcPr>
                  <w:tcW w:w="951" w:type="pct"/>
                  <w:tcBorders>
                    <w:tl2br w:val="nil"/>
                    <w:tr2bl w:val="nil"/>
                  </w:tcBorders>
                  <w:vAlign w:val="center"/>
                </w:tcPr>
                <w:p w14:paraId="4D01FFE5">
                  <w:pPr>
                    <w:widowControl/>
                    <w:jc w:val="center"/>
                    <w:textAlignment w:val="center"/>
                    <w:rPr>
                      <w:rFonts w:hint="default" w:ascii="Times New Roman" w:hAnsi="Times New Roman" w:cs="Times New Roman"/>
                      <w:color w:val="FF0000"/>
                      <w:kern w:val="0"/>
                      <w:szCs w:val="21"/>
                      <w:lang w:bidi="ar"/>
                    </w:rPr>
                  </w:pPr>
                  <w:r>
                    <w:rPr>
                      <w:rFonts w:hint="default" w:ascii="Times New Roman" w:hAnsi="Times New Roman" w:cs="Times New Roman"/>
                      <w:color w:val="FF0000"/>
                      <w:kern w:val="0"/>
                      <w:szCs w:val="21"/>
                      <w:lang w:bidi="ar"/>
                    </w:rPr>
                    <w:t>3.34</w:t>
                  </w:r>
                </w:p>
              </w:tc>
            </w:tr>
            <w:tr w14:paraId="4754A351">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290" w:type="pct"/>
                  <w:vMerge w:val="continue"/>
                  <w:tcBorders>
                    <w:tl2br w:val="nil"/>
                    <w:tr2bl w:val="nil"/>
                  </w:tcBorders>
                  <w:vAlign w:val="center"/>
                </w:tcPr>
                <w:p w14:paraId="2E77C2C9">
                  <w:pPr>
                    <w:widowControl/>
                    <w:jc w:val="center"/>
                    <w:textAlignment w:val="center"/>
                    <w:rPr>
                      <w:rFonts w:hint="default" w:ascii="Times New Roman" w:hAnsi="Times New Roman" w:cs="Times New Roman"/>
                      <w:color w:val="FF0000"/>
                      <w:kern w:val="0"/>
                      <w:szCs w:val="21"/>
                      <w:lang w:bidi="ar"/>
                    </w:rPr>
                  </w:pPr>
                </w:p>
              </w:tc>
              <w:tc>
                <w:tcPr>
                  <w:tcW w:w="925" w:type="pct"/>
                  <w:tcBorders>
                    <w:tl2br w:val="nil"/>
                    <w:tr2bl w:val="nil"/>
                  </w:tcBorders>
                  <w:shd w:val="clear" w:color="auto" w:fill="auto"/>
                  <w:vAlign w:val="center"/>
                </w:tcPr>
                <w:p w14:paraId="4378550A">
                  <w:pPr>
                    <w:pStyle w:val="86"/>
                    <w:rPr>
                      <w:rFonts w:hint="default" w:ascii="Times New Roman" w:hAnsi="Times New Roman" w:cs="Times New Roman"/>
                      <w:color w:val="FF0000"/>
                    </w:rPr>
                  </w:pPr>
                  <w:r>
                    <w:rPr>
                      <w:rFonts w:hint="default" w:ascii="Times New Roman" w:hAnsi="Times New Roman" w:cs="Times New Roman"/>
                      <w:color w:val="FF0000"/>
                    </w:rPr>
                    <w:t>TN</w:t>
                  </w:r>
                </w:p>
              </w:tc>
              <w:tc>
                <w:tcPr>
                  <w:tcW w:w="925" w:type="pct"/>
                  <w:vMerge w:val="continue"/>
                  <w:tcBorders>
                    <w:tl2br w:val="nil"/>
                    <w:tr2bl w:val="nil"/>
                  </w:tcBorders>
                  <w:vAlign w:val="center"/>
                </w:tcPr>
                <w:p w14:paraId="7A632710">
                  <w:pPr>
                    <w:widowControl/>
                    <w:jc w:val="center"/>
                    <w:textAlignment w:val="center"/>
                    <w:rPr>
                      <w:rFonts w:hint="default" w:ascii="Times New Roman" w:hAnsi="Times New Roman" w:cs="Times New Roman"/>
                      <w:color w:val="FF0000"/>
                      <w:kern w:val="0"/>
                      <w:szCs w:val="21"/>
                      <w:lang w:bidi="ar"/>
                    </w:rPr>
                  </w:pPr>
                </w:p>
              </w:tc>
              <w:tc>
                <w:tcPr>
                  <w:tcW w:w="907" w:type="pct"/>
                  <w:tcBorders>
                    <w:tl2br w:val="nil"/>
                    <w:tr2bl w:val="nil"/>
                  </w:tcBorders>
                  <w:vAlign w:val="center"/>
                </w:tcPr>
                <w:p w14:paraId="48DE8720">
                  <w:pPr>
                    <w:widowControl/>
                    <w:jc w:val="center"/>
                    <w:textAlignment w:val="center"/>
                    <w:rPr>
                      <w:rFonts w:hint="default" w:ascii="Times New Roman" w:hAnsi="Times New Roman" w:cs="Times New Roman"/>
                      <w:color w:val="FF0000"/>
                      <w:kern w:val="0"/>
                      <w:szCs w:val="21"/>
                      <w:lang w:bidi="ar"/>
                    </w:rPr>
                  </w:pPr>
                  <w:r>
                    <w:rPr>
                      <w:rFonts w:hint="default" w:ascii="Times New Roman" w:hAnsi="Times New Roman" w:cs="Times New Roman"/>
                      <w:color w:val="FF0000"/>
                      <w:kern w:val="0"/>
                      <w:szCs w:val="21"/>
                      <w:lang w:bidi="ar"/>
                    </w:rPr>
                    <w:t xml:space="preserve">0.000007 </w:t>
                  </w:r>
                </w:p>
              </w:tc>
              <w:tc>
                <w:tcPr>
                  <w:tcW w:w="951" w:type="pct"/>
                  <w:tcBorders>
                    <w:tl2br w:val="nil"/>
                    <w:tr2bl w:val="nil"/>
                  </w:tcBorders>
                  <w:vAlign w:val="center"/>
                </w:tcPr>
                <w:p w14:paraId="1BF2A946">
                  <w:pPr>
                    <w:widowControl/>
                    <w:jc w:val="center"/>
                    <w:textAlignment w:val="center"/>
                    <w:rPr>
                      <w:rFonts w:hint="default" w:ascii="Times New Roman" w:hAnsi="Times New Roman" w:cs="Times New Roman"/>
                      <w:color w:val="FF0000"/>
                      <w:kern w:val="0"/>
                      <w:szCs w:val="21"/>
                      <w:lang w:bidi="ar"/>
                    </w:rPr>
                  </w:pPr>
                  <w:r>
                    <w:rPr>
                      <w:rFonts w:hint="default" w:ascii="Times New Roman" w:hAnsi="Times New Roman" w:cs="Times New Roman"/>
                      <w:color w:val="FF0000"/>
                      <w:kern w:val="0"/>
                      <w:szCs w:val="21"/>
                      <w:lang w:bidi="ar"/>
                    </w:rPr>
                    <w:t>33.84</w:t>
                  </w:r>
                </w:p>
              </w:tc>
            </w:tr>
          </w:tbl>
          <w:p w14:paraId="150A3FCF">
            <w:pPr>
              <w:pStyle w:val="19"/>
              <w:spacing w:after="0"/>
              <w:ind w:left="0" w:leftChars="0" w:firstLine="422"/>
              <w:jc w:val="center"/>
              <w:rPr>
                <w:rFonts w:hint="default" w:ascii="Times New Roman" w:hAnsi="Times New Roman" w:cs="Times New Roman"/>
                <w:b/>
                <w:bCs/>
                <w:color w:val="FF0000"/>
              </w:rPr>
            </w:pPr>
            <w:r>
              <w:rPr>
                <w:rFonts w:hint="default" w:ascii="Times New Roman" w:hAnsi="Times New Roman" w:cs="Times New Roman"/>
                <w:b/>
                <w:bCs/>
                <w:color w:val="FF0000"/>
              </w:rPr>
              <w:t>表4-2</w:t>
            </w:r>
            <w:r>
              <w:rPr>
                <w:rFonts w:hint="eastAsia" w:cs="Times New Roman"/>
                <w:b/>
                <w:bCs/>
                <w:color w:val="FF0000"/>
                <w:lang w:val="en-US" w:eastAsia="zh-CN"/>
              </w:rPr>
              <w:t>5</w:t>
            </w:r>
            <w:r>
              <w:rPr>
                <w:rFonts w:hint="default" w:ascii="Times New Roman" w:hAnsi="Times New Roman" w:cs="Times New Roman"/>
                <w:b/>
                <w:bCs/>
                <w:color w:val="FF0000"/>
              </w:rPr>
              <w:t xml:space="preserve">  排污口基本情况</w:t>
            </w:r>
          </w:p>
          <w:tbl>
            <w:tblPr>
              <w:tblStyle w:val="34"/>
              <w:tblW w:w="4995" w:type="pct"/>
              <w:tblInd w:w="0" w:type="dxa"/>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020"/>
              <w:gridCol w:w="1274"/>
              <w:gridCol w:w="1100"/>
              <w:gridCol w:w="1560"/>
              <w:gridCol w:w="1379"/>
              <w:gridCol w:w="669"/>
              <w:gridCol w:w="723"/>
              <w:gridCol w:w="741"/>
            </w:tblGrid>
            <w:tr w14:paraId="46A7FA26">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86" w:hRule="atLeast"/>
              </w:trPr>
              <w:tc>
                <w:tcPr>
                  <w:tcW w:w="602" w:type="pct"/>
                  <w:vMerge w:val="restart"/>
                  <w:tcBorders>
                    <w:tl2br w:val="nil"/>
                    <w:tr2bl w:val="nil"/>
                  </w:tcBorders>
                  <w:vAlign w:val="center"/>
                </w:tcPr>
                <w:p w14:paraId="453E9275">
                  <w:pPr>
                    <w:snapToGrid w:val="0"/>
                    <w:jc w:val="center"/>
                    <w:rPr>
                      <w:rFonts w:hint="default" w:ascii="Times New Roman" w:hAnsi="Times New Roman" w:cs="Times New Roman"/>
                      <w:color w:val="FF0000"/>
                      <w:szCs w:val="21"/>
                    </w:rPr>
                  </w:pPr>
                  <w:r>
                    <w:rPr>
                      <w:rFonts w:hint="default" w:ascii="Times New Roman" w:hAnsi="Times New Roman" w:cs="Times New Roman"/>
                      <w:color w:val="FF0000"/>
                      <w:szCs w:val="21"/>
                    </w:rPr>
                    <w:t>编号</w:t>
                  </w:r>
                </w:p>
              </w:tc>
              <w:tc>
                <w:tcPr>
                  <w:tcW w:w="752" w:type="pct"/>
                  <w:vMerge w:val="restart"/>
                  <w:tcBorders>
                    <w:tl2br w:val="nil"/>
                    <w:tr2bl w:val="nil"/>
                  </w:tcBorders>
                  <w:vAlign w:val="center"/>
                </w:tcPr>
                <w:p w14:paraId="0C857D6E">
                  <w:pPr>
                    <w:snapToGrid w:val="0"/>
                    <w:jc w:val="center"/>
                    <w:rPr>
                      <w:rFonts w:hint="default" w:ascii="Times New Roman" w:hAnsi="Times New Roman" w:cs="Times New Roman"/>
                      <w:color w:val="FF0000"/>
                      <w:szCs w:val="21"/>
                    </w:rPr>
                  </w:pPr>
                  <w:r>
                    <w:rPr>
                      <w:rFonts w:hint="default" w:ascii="Times New Roman" w:hAnsi="Times New Roman" w:cs="Times New Roman"/>
                      <w:color w:val="FF0000"/>
                      <w:szCs w:val="21"/>
                    </w:rPr>
                    <w:t>名称</w:t>
                  </w:r>
                </w:p>
              </w:tc>
              <w:tc>
                <w:tcPr>
                  <w:tcW w:w="649" w:type="pct"/>
                  <w:vMerge w:val="restart"/>
                  <w:tcBorders>
                    <w:tl2br w:val="nil"/>
                    <w:tr2bl w:val="nil"/>
                  </w:tcBorders>
                  <w:vAlign w:val="center"/>
                </w:tcPr>
                <w:p w14:paraId="7829A027">
                  <w:pPr>
                    <w:snapToGrid w:val="0"/>
                    <w:jc w:val="center"/>
                    <w:rPr>
                      <w:rFonts w:hint="default" w:ascii="Times New Roman" w:hAnsi="Times New Roman" w:cs="Times New Roman"/>
                      <w:color w:val="FF0000"/>
                      <w:szCs w:val="21"/>
                    </w:rPr>
                  </w:pPr>
                  <w:r>
                    <w:rPr>
                      <w:rFonts w:hint="default" w:ascii="Times New Roman" w:hAnsi="Times New Roman" w:cs="Times New Roman"/>
                      <w:color w:val="FF0000"/>
                      <w:szCs w:val="21"/>
                    </w:rPr>
                    <w:t>类型</w:t>
                  </w:r>
                </w:p>
              </w:tc>
              <w:tc>
                <w:tcPr>
                  <w:tcW w:w="1735" w:type="pct"/>
                  <w:gridSpan w:val="2"/>
                  <w:tcBorders>
                    <w:tl2br w:val="nil"/>
                    <w:tr2bl w:val="nil"/>
                  </w:tcBorders>
                  <w:vAlign w:val="center"/>
                </w:tcPr>
                <w:p w14:paraId="6FF1E509">
                  <w:pPr>
                    <w:snapToGrid w:val="0"/>
                    <w:jc w:val="center"/>
                    <w:rPr>
                      <w:rFonts w:hint="default" w:ascii="Times New Roman" w:hAnsi="Times New Roman" w:cs="Times New Roman"/>
                      <w:color w:val="FF0000"/>
                      <w:szCs w:val="21"/>
                    </w:rPr>
                  </w:pPr>
                  <w:r>
                    <w:rPr>
                      <w:rFonts w:hint="default" w:ascii="Times New Roman" w:hAnsi="Times New Roman" w:cs="Times New Roman"/>
                      <w:color w:val="FF0000"/>
                      <w:szCs w:val="21"/>
                    </w:rPr>
                    <w:t>地理坐标</w:t>
                  </w:r>
                </w:p>
              </w:tc>
              <w:tc>
                <w:tcPr>
                  <w:tcW w:w="395" w:type="pct"/>
                  <w:vMerge w:val="restart"/>
                  <w:tcBorders>
                    <w:tl2br w:val="nil"/>
                    <w:tr2bl w:val="nil"/>
                  </w:tcBorders>
                  <w:vAlign w:val="center"/>
                </w:tcPr>
                <w:p w14:paraId="2DEC87A0">
                  <w:pPr>
                    <w:snapToGrid w:val="0"/>
                    <w:jc w:val="center"/>
                    <w:rPr>
                      <w:rFonts w:hint="default" w:ascii="Times New Roman" w:hAnsi="Times New Roman" w:cs="Times New Roman"/>
                      <w:color w:val="FF0000"/>
                      <w:szCs w:val="21"/>
                    </w:rPr>
                  </w:pPr>
                  <w:r>
                    <w:rPr>
                      <w:rFonts w:hint="default" w:ascii="Times New Roman" w:hAnsi="Times New Roman" w:cs="Times New Roman"/>
                      <w:color w:val="FF0000"/>
                      <w:szCs w:val="21"/>
                    </w:rPr>
                    <w:t>排放去向</w:t>
                  </w:r>
                </w:p>
              </w:tc>
              <w:tc>
                <w:tcPr>
                  <w:tcW w:w="427" w:type="pct"/>
                  <w:vMerge w:val="restart"/>
                  <w:tcBorders>
                    <w:tl2br w:val="nil"/>
                    <w:tr2bl w:val="nil"/>
                  </w:tcBorders>
                  <w:vAlign w:val="center"/>
                </w:tcPr>
                <w:p w14:paraId="661BDA9E">
                  <w:pPr>
                    <w:snapToGrid w:val="0"/>
                    <w:jc w:val="center"/>
                    <w:rPr>
                      <w:rFonts w:hint="default" w:ascii="Times New Roman" w:hAnsi="Times New Roman" w:cs="Times New Roman"/>
                      <w:color w:val="FF0000"/>
                      <w:szCs w:val="21"/>
                    </w:rPr>
                  </w:pPr>
                  <w:r>
                    <w:rPr>
                      <w:rFonts w:hint="default" w:ascii="Times New Roman" w:hAnsi="Times New Roman" w:cs="Times New Roman"/>
                      <w:color w:val="FF0000"/>
                      <w:szCs w:val="21"/>
                    </w:rPr>
                    <w:t>排放 方式</w:t>
                  </w:r>
                </w:p>
              </w:tc>
              <w:tc>
                <w:tcPr>
                  <w:tcW w:w="437" w:type="pct"/>
                  <w:vMerge w:val="restart"/>
                  <w:tcBorders>
                    <w:tl2br w:val="nil"/>
                    <w:tr2bl w:val="nil"/>
                  </w:tcBorders>
                  <w:vAlign w:val="center"/>
                </w:tcPr>
                <w:p w14:paraId="559EC2E7">
                  <w:pPr>
                    <w:snapToGrid w:val="0"/>
                    <w:jc w:val="center"/>
                    <w:rPr>
                      <w:rFonts w:hint="default" w:ascii="Times New Roman" w:hAnsi="Times New Roman" w:cs="Times New Roman"/>
                      <w:color w:val="FF0000"/>
                      <w:szCs w:val="21"/>
                    </w:rPr>
                  </w:pPr>
                  <w:r>
                    <w:rPr>
                      <w:rFonts w:hint="eastAsia" w:cs="Times New Roman"/>
                      <w:color w:val="FF0000"/>
                      <w:szCs w:val="21"/>
                      <w:lang w:val="en-US" w:eastAsia="zh-CN"/>
                    </w:rPr>
                    <w:t>运行及</w:t>
                  </w:r>
                  <w:r>
                    <w:rPr>
                      <w:rFonts w:hint="default" w:ascii="Times New Roman" w:hAnsi="Times New Roman" w:cs="Times New Roman"/>
                      <w:color w:val="FF0000"/>
                      <w:szCs w:val="21"/>
                    </w:rPr>
                    <w:t>排放 规律</w:t>
                  </w:r>
                </w:p>
              </w:tc>
            </w:tr>
            <w:tr w14:paraId="7CAA05A5">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02" w:type="pct"/>
                  <w:vMerge w:val="continue"/>
                  <w:tcBorders>
                    <w:tl2br w:val="nil"/>
                    <w:tr2bl w:val="nil"/>
                  </w:tcBorders>
                  <w:vAlign w:val="center"/>
                </w:tcPr>
                <w:p w14:paraId="353462AA">
                  <w:pPr>
                    <w:snapToGrid w:val="0"/>
                    <w:jc w:val="center"/>
                    <w:rPr>
                      <w:rFonts w:hint="default" w:ascii="Times New Roman" w:hAnsi="Times New Roman" w:cs="Times New Roman"/>
                      <w:color w:val="FF0000"/>
                      <w:szCs w:val="21"/>
                    </w:rPr>
                  </w:pPr>
                </w:p>
              </w:tc>
              <w:tc>
                <w:tcPr>
                  <w:tcW w:w="752" w:type="pct"/>
                  <w:vMerge w:val="continue"/>
                  <w:tcBorders>
                    <w:tl2br w:val="nil"/>
                    <w:tr2bl w:val="nil"/>
                  </w:tcBorders>
                  <w:vAlign w:val="center"/>
                </w:tcPr>
                <w:p w14:paraId="35B9EBF3">
                  <w:pPr>
                    <w:snapToGrid w:val="0"/>
                    <w:jc w:val="center"/>
                    <w:rPr>
                      <w:rFonts w:hint="default" w:ascii="Times New Roman" w:hAnsi="Times New Roman" w:cs="Times New Roman"/>
                      <w:color w:val="FF0000"/>
                      <w:szCs w:val="21"/>
                    </w:rPr>
                  </w:pPr>
                </w:p>
              </w:tc>
              <w:tc>
                <w:tcPr>
                  <w:tcW w:w="649" w:type="pct"/>
                  <w:vMerge w:val="continue"/>
                  <w:tcBorders>
                    <w:tl2br w:val="nil"/>
                    <w:tr2bl w:val="nil"/>
                  </w:tcBorders>
                  <w:vAlign w:val="center"/>
                </w:tcPr>
                <w:p w14:paraId="389D9B1A">
                  <w:pPr>
                    <w:snapToGrid w:val="0"/>
                    <w:jc w:val="center"/>
                    <w:rPr>
                      <w:rFonts w:hint="default" w:ascii="Times New Roman" w:hAnsi="Times New Roman" w:cs="Times New Roman"/>
                      <w:color w:val="FF0000"/>
                      <w:szCs w:val="21"/>
                    </w:rPr>
                  </w:pPr>
                </w:p>
              </w:tc>
              <w:tc>
                <w:tcPr>
                  <w:tcW w:w="921" w:type="pct"/>
                  <w:tcBorders>
                    <w:tl2br w:val="nil"/>
                    <w:tr2bl w:val="nil"/>
                  </w:tcBorders>
                  <w:vAlign w:val="center"/>
                </w:tcPr>
                <w:p w14:paraId="1153F569">
                  <w:pPr>
                    <w:snapToGrid w:val="0"/>
                    <w:jc w:val="center"/>
                    <w:rPr>
                      <w:rFonts w:hint="default" w:ascii="Times New Roman" w:hAnsi="Times New Roman" w:cs="Times New Roman"/>
                      <w:color w:val="FF0000"/>
                      <w:szCs w:val="21"/>
                    </w:rPr>
                  </w:pPr>
                  <w:r>
                    <w:rPr>
                      <w:rFonts w:hint="default" w:ascii="Times New Roman" w:hAnsi="Times New Roman" w:cs="Times New Roman"/>
                      <w:color w:val="FF0000"/>
                      <w:szCs w:val="21"/>
                    </w:rPr>
                    <w:t>经度</w:t>
                  </w:r>
                </w:p>
              </w:tc>
              <w:tc>
                <w:tcPr>
                  <w:tcW w:w="814" w:type="pct"/>
                  <w:tcBorders>
                    <w:tl2br w:val="nil"/>
                    <w:tr2bl w:val="nil"/>
                  </w:tcBorders>
                  <w:vAlign w:val="center"/>
                </w:tcPr>
                <w:p w14:paraId="5CFA8320">
                  <w:pPr>
                    <w:snapToGrid w:val="0"/>
                    <w:jc w:val="center"/>
                    <w:rPr>
                      <w:rFonts w:hint="default" w:ascii="Times New Roman" w:hAnsi="Times New Roman" w:cs="Times New Roman"/>
                      <w:color w:val="FF0000"/>
                      <w:szCs w:val="21"/>
                    </w:rPr>
                  </w:pPr>
                  <w:r>
                    <w:rPr>
                      <w:rFonts w:hint="default" w:ascii="Times New Roman" w:hAnsi="Times New Roman" w:cs="Times New Roman"/>
                      <w:color w:val="FF0000"/>
                      <w:szCs w:val="21"/>
                    </w:rPr>
                    <w:t>纬度</w:t>
                  </w:r>
                </w:p>
              </w:tc>
              <w:tc>
                <w:tcPr>
                  <w:tcW w:w="395" w:type="pct"/>
                  <w:vMerge w:val="continue"/>
                  <w:tcBorders>
                    <w:tl2br w:val="nil"/>
                    <w:tr2bl w:val="nil"/>
                  </w:tcBorders>
                  <w:vAlign w:val="center"/>
                </w:tcPr>
                <w:p w14:paraId="1185557E">
                  <w:pPr>
                    <w:snapToGrid w:val="0"/>
                    <w:jc w:val="center"/>
                    <w:rPr>
                      <w:rFonts w:hint="default" w:ascii="Times New Roman" w:hAnsi="Times New Roman" w:cs="Times New Roman"/>
                      <w:color w:val="FF0000"/>
                      <w:szCs w:val="21"/>
                    </w:rPr>
                  </w:pPr>
                </w:p>
              </w:tc>
              <w:tc>
                <w:tcPr>
                  <w:tcW w:w="427" w:type="pct"/>
                  <w:vMerge w:val="continue"/>
                  <w:tcBorders>
                    <w:tl2br w:val="nil"/>
                    <w:tr2bl w:val="nil"/>
                  </w:tcBorders>
                  <w:vAlign w:val="center"/>
                </w:tcPr>
                <w:p w14:paraId="432D87B5">
                  <w:pPr>
                    <w:snapToGrid w:val="0"/>
                    <w:jc w:val="center"/>
                    <w:rPr>
                      <w:rFonts w:hint="default" w:ascii="Times New Roman" w:hAnsi="Times New Roman" w:cs="Times New Roman"/>
                      <w:color w:val="FF0000"/>
                      <w:szCs w:val="21"/>
                    </w:rPr>
                  </w:pPr>
                </w:p>
              </w:tc>
              <w:tc>
                <w:tcPr>
                  <w:tcW w:w="437" w:type="pct"/>
                  <w:vMerge w:val="continue"/>
                  <w:tcBorders>
                    <w:tl2br w:val="nil"/>
                    <w:tr2bl w:val="nil"/>
                  </w:tcBorders>
                  <w:vAlign w:val="center"/>
                </w:tcPr>
                <w:p w14:paraId="44BC08CA">
                  <w:pPr>
                    <w:snapToGrid w:val="0"/>
                    <w:jc w:val="center"/>
                    <w:rPr>
                      <w:rFonts w:hint="default" w:ascii="Times New Roman" w:hAnsi="Times New Roman" w:cs="Times New Roman"/>
                      <w:color w:val="FF0000"/>
                      <w:szCs w:val="21"/>
                    </w:rPr>
                  </w:pPr>
                </w:p>
              </w:tc>
            </w:tr>
            <w:tr w14:paraId="3E892A8E">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49" w:hRule="atLeast"/>
              </w:trPr>
              <w:tc>
                <w:tcPr>
                  <w:tcW w:w="602" w:type="pct"/>
                  <w:tcBorders>
                    <w:tl2br w:val="nil"/>
                    <w:tr2bl w:val="nil"/>
                  </w:tcBorders>
                  <w:vAlign w:val="center"/>
                </w:tcPr>
                <w:p w14:paraId="21A78A19">
                  <w:pPr>
                    <w:snapToGrid w:val="0"/>
                    <w:jc w:val="center"/>
                    <w:rPr>
                      <w:rFonts w:hint="default" w:ascii="Times New Roman" w:hAnsi="Times New Roman" w:cs="Times New Roman"/>
                      <w:color w:val="FF0000"/>
                      <w:szCs w:val="21"/>
                    </w:rPr>
                  </w:pPr>
                  <w:r>
                    <w:rPr>
                      <w:rFonts w:hint="default" w:ascii="Times New Roman" w:hAnsi="Times New Roman" w:cs="Times New Roman"/>
                      <w:color w:val="FF0000"/>
                      <w:szCs w:val="21"/>
                    </w:rPr>
                    <w:t>DW001</w:t>
                  </w:r>
                </w:p>
              </w:tc>
              <w:tc>
                <w:tcPr>
                  <w:tcW w:w="752" w:type="pct"/>
                  <w:tcBorders>
                    <w:tl2br w:val="nil"/>
                    <w:tr2bl w:val="nil"/>
                  </w:tcBorders>
                  <w:vAlign w:val="center"/>
                </w:tcPr>
                <w:p w14:paraId="33699E00">
                  <w:pPr>
                    <w:snapToGrid w:val="0"/>
                    <w:jc w:val="center"/>
                    <w:rPr>
                      <w:rFonts w:hint="default" w:ascii="Times New Roman" w:hAnsi="Times New Roman" w:cs="Times New Roman"/>
                      <w:color w:val="FF0000"/>
                      <w:szCs w:val="21"/>
                    </w:rPr>
                  </w:pPr>
                  <w:r>
                    <w:rPr>
                      <w:rFonts w:hint="default" w:ascii="Times New Roman" w:hAnsi="Times New Roman" w:cs="Times New Roman"/>
                      <w:color w:val="FF0000"/>
                      <w:szCs w:val="21"/>
                    </w:rPr>
                    <w:t>厂区污水总排口</w:t>
                  </w:r>
                </w:p>
              </w:tc>
              <w:tc>
                <w:tcPr>
                  <w:tcW w:w="649" w:type="pct"/>
                  <w:tcBorders>
                    <w:tl2br w:val="nil"/>
                    <w:tr2bl w:val="nil"/>
                  </w:tcBorders>
                  <w:vAlign w:val="center"/>
                </w:tcPr>
                <w:p w14:paraId="75DF3353">
                  <w:pPr>
                    <w:snapToGrid w:val="0"/>
                    <w:jc w:val="center"/>
                    <w:rPr>
                      <w:rFonts w:hint="default" w:ascii="Times New Roman" w:hAnsi="Times New Roman" w:cs="Times New Roman"/>
                      <w:color w:val="FF0000"/>
                      <w:szCs w:val="21"/>
                    </w:rPr>
                  </w:pPr>
                  <w:r>
                    <w:rPr>
                      <w:rFonts w:hint="default" w:ascii="Times New Roman" w:hAnsi="Times New Roman" w:cs="Times New Roman"/>
                      <w:color w:val="FF0000"/>
                      <w:szCs w:val="21"/>
                    </w:rPr>
                    <w:t>一般排放 口</w:t>
                  </w:r>
                </w:p>
              </w:tc>
              <w:tc>
                <w:tcPr>
                  <w:tcW w:w="921" w:type="pct"/>
                  <w:tcBorders>
                    <w:tl2br w:val="nil"/>
                    <w:tr2bl w:val="nil"/>
                  </w:tcBorders>
                  <w:vAlign w:val="center"/>
                </w:tcPr>
                <w:p w14:paraId="0EC0E261">
                  <w:pPr>
                    <w:snapToGrid w:val="0"/>
                    <w:jc w:val="center"/>
                    <w:rPr>
                      <w:rFonts w:hint="default" w:ascii="Times New Roman" w:hAnsi="Times New Roman" w:cs="Times New Roman"/>
                      <w:color w:val="FF0000"/>
                      <w:szCs w:val="21"/>
                    </w:rPr>
                  </w:pPr>
                  <w:r>
                    <w:rPr>
                      <w:rFonts w:hint="default" w:ascii="Times New Roman" w:hAnsi="Times New Roman" w:cs="Times New Roman"/>
                      <w:color w:val="FF0000"/>
                      <w:szCs w:val="21"/>
                    </w:rPr>
                    <w:t>120°45′14.68842″</w:t>
                  </w:r>
                </w:p>
              </w:tc>
              <w:tc>
                <w:tcPr>
                  <w:tcW w:w="814" w:type="pct"/>
                  <w:tcBorders>
                    <w:tl2br w:val="nil"/>
                    <w:tr2bl w:val="nil"/>
                  </w:tcBorders>
                  <w:vAlign w:val="center"/>
                </w:tcPr>
                <w:p w14:paraId="18B95405">
                  <w:pPr>
                    <w:snapToGrid w:val="0"/>
                    <w:jc w:val="center"/>
                    <w:rPr>
                      <w:rFonts w:hint="default" w:ascii="Times New Roman" w:hAnsi="Times New Roman" w:cs="Times New Roman"/>
                      <w:color w:val="FF0000"/>
                      <w:szCs w:val="21"/>
                    </w:rPr>
                  </w:pPr>
                  <w:r>
                    <w:rPr>
                      <w:rFonts w:hint="default" w:ascii="Times New Roman" w:hAnsi="Times New Roman" w:cs="Times New Roman"/>
                      <w:color w:val="FF0000"/>
                      <w:szCs w:val="21"/>
                    </w:rPr>
                    <w:t>41°46′39.03606″</w:t>
                  </w:r>
                </w:p>
              </w:tc>
              <w:tc>
                <w:tcPr>
                  <w:tcW w:w="395" w:type="pct"/>
                  <w:tcBorders>
                    <w:tl2br w:val="nil"/>
                    <w:tr2bl w:val="nil"/>
                  </w:tcBorders>
                  <w:vAlign w:val="center"/>
                </w:tcPr>
                <w:p w14:paraId="18D900D0">
                  <w:pPr>
                    <w:snapToGrid w:val="0"/>
                    <w:jc w:val="center"/>
                    <w:rPr>
                      <w:rFonts w:hint="default" w:ascii="Times New Roman" w:hAnsi="Times New Roman" w:cs="Times New Roman"/>
                      <w:color w:val="FF0000"/>
                      <w:szCs w:val="21"/>
                    </w:rPr>
                  </w:pPr>
                  <w:r>
                    <w:rPr>
                      <w:rFonts w:hint="default" w:ascii="Times New Roman" w:hAnsi="Times New Roman" w:cs="Times New Roman"/>
                      <w:color w:val="FF0000"/>
                      <w:szCs w:val="21"/>
                    </w:rPr>
                    <w:t>北票市污水处理 厂</w:t>
                  </w:r>
                </w:p>
              </w:tc>
              <w:tc>
                <w:tcPr>
                  <w:tcW w:w="427" w:type="pct"/>
                  <w:tcBorders>
                    <w:tl2br w:val="nil"/>
                    <w:tr2bl w:val="nil"/>
                  </w:tcBorders>
                  <w:vAlign w:val="center"/>
                </w:tcPr>
                <w:p w14:paraId="5800D97E">
                  <w:pPr>
                    <w:snapToGrid w:val="0"/>
                    <w:jc w:val="center"/>
                    <w:rPr>
                      <w:rFonts w:hint="default" w:ascii="Times New Roman" w:hAnsi="Times New Roman" w:cs="Times New Roman"/>
                      <w:color w:val="FF0000"/>
                      <w:szCs w:val="21"/>
                    </w:rPr>
                  </w:pPr>
                </w:p>
                <w:p w14:paraId="33A49DE0">
                  <w:pPr>
                    <w:snapToGrid w:val="0"/>
                    <w:jc w:val="center"/>
                    <w:rPr>
                      <w:rFonts w:hint="default" w:ascii="Times New Roman" w:hAnsi="Times New Roman" w:cs="Times New Roman"/>
                      <w:color w:val="FF0000"/>
                      <w:szCs w:val="21"/>
                    </w:rPr>
                  </w:pPr>
                  <w:r>
                    <w:rPr>
                      <w:rFonts w:hint="default" w:ascii="Times New Roman" w:hAnsi="Times New Roman" w:cs="Times New Roman"/>
                      <w:color w:val="FF0000"/>
                      <w:szCs w:val="21"/>
                    </w:rPr>
                    <w:t>间接</w:t>
                  </w:r>
                </w:p>
              </w:tc>
              <w:tc>
                <w:tcPr>
                  <w:tcW w:w="437" w:type="pct"/>
                  <w:tcBorders>
                    <w:tl2br w:val="nil"/>
                    <w:tr2bl w:val="nil"/>
                  </w:tcBorders>
                  <w:vAlign w:val="center"/>
                </w:tcPr>
                <w:p w14:paraId="4D4971D1">
                  <w:pPr>
                    <w:snapToGrid w:val="0"/>
                    <w:jc w:val="center"/>
                    <w:rPr>
                      <w:rFonts w:hint="default" w:ascii="Times New Roman" w:hAnsi="Times New Roman" w:cs="Times New Roman"/>
                      <w:color w:val="FF0000"/>
                      <w:szCs w:val="21"/>
                    </w:rPr>
                  </w:pPr>
                </w:p>
                <w:p w14:paraId="15A037CB">
                  <w:pPr>
                    <w:snapToGrid w:val="0"/>
                    <w:jc w:val="center"/>
                    <w:rPr>
                      <w:rFonts w:hint="default" w:ascii="Times New Roman" w:hAnsi="Times New Roman" w:cs="Times New Roman"/>
                      <w:color w:val="FF0000"/>
                      <w:szCs w:val="21"/>
                    </w:rPr>
                  </w:pPr>
                  <w:r>
                    <w:rPr>
                      <w:rFonts w:hint="default" w:ascii="Times New Roman" w:hAnsi="Times New Roman" w:cs="Times New Roman"/>
                      <w:color w:val="FF0000"/>
                      <w:szCs w:val="21"/>
                    </w:rPr>
                    <w:t>间歇</w:t>
                  </w:r>
                </w:p>
              </w:tc>
            </w:tr>
          </w:tbl>
          <w:p w14:paraId="2F327230">
            <w:pPr>
              <w:numPr>
                <w:ilvl w:val="0"/>
                <w:numId w:val="5"/>
              </w:numPr>
              <w:autoSpaceDE w:val="0"/>
              <w:autoSpaceDN w:val="0"/>
              <w:adjustRightInd w:val="0"/>
              <w:snapToGrid w:val="0"/>
              <w:spacing w:line="360" w:lineRule="auto"/>
              <w:ind w:firstLine="482" w:firstLineChars="200"/>
              <w:rPr>
                <w:rFonts w:hint="default" w:ascii="Times New Roman" w:hAnsi="Times New Roman" w:cs="Times New Roman"/>
                <w:b/>
                <w:bCs/>
                <w:color w:val="FF0000"/>
                <w:sz w:val="24"/>
              </w:rPr>
            </w:pPr>
            <w:r>
              <w:rPr>
                <w:rFonts w:hint="default" w:ascii="Times New Roman" w:hAnsi="Times New Roman" w:cs="Times New Roman"/>
                <w:b/>
                <w:bCs/>
                <w:color w:val="FF0000"/>
                <w:sz w:val="24"/>
              </w:rPr>
              <w:t>废水污染物达标排放分析</w:t>
            </w:r>
          </w:p>
          <w:p w14:paraId="3D5364CB">
            <w:pPr>
              <w:pStyle w:val="65"/>
              <w:spacing w:before="0" w:after="0" w:line="240" w:lineRule="auto"/>
              <w:ind w:right="0"/>
              <w:rPr>
                <w:rFonts w:hint="default" w:ascii="Times New Roman" w:hAnsi="Times New Roman" w:eastAsia="宋体" w:cs="Times New Roman"/>
                <w:b/>
                <w:bCs/>
                <w:color w:val="FF0000"/>
                <w:sz w:val="21"/>
                <w:szCs w:val="21"/>
              </w:rPr>
            </w:pPr>
            <w:r>
              <w:rPr>
                <w:rFonts w:hint="default" w:ascii="Times New Roman" w:hAnsi="Times New Roman" w:eastAsia="宋体" w:cs="Times New Roman"/>
                <w:b/>
                <w:bCs/>
                <w:color w:val="FF0000"/>
                <w:sz w:val="21"/>
                <w:szCs w:val="21"/>
              </w:rPr>
              <w:t>表4-</w:t>
            </w:r>
            <w:r>
              <w:rPr>
                <w:rFonts w:hint="eastAsia" w:ascii="Times New Roman" w:eastAsia="宋体" w:cs="Times New Roman"/>
                <w:b/>
                <w:bCs/>
                <w:color w:val="FF0000"/>
                <w:sz w:val="21"/>
                <w:szCs w:val="21"/>
                <w:lang w:val="en-US" w:eastAsia="zh-CN"/>
              </w:rPr>
              <w:t>26</w:t>
            </w:r>
            <w:r>
              <w:rPr>
                <w:rFonts w:hint="default" w:ascii="Times New Roman" w:hAnsi="Times New Roman" w:eastAsia="宋体" w:cs="Times New Roman"/>
                <w:b/>
                <w:bCs/>
                <w:color w:val="FF0000"/>
                <w:sz w:val="21"/>
                <w:szCs w:val="21"/>
              </w:rPr>
              <w:t xml:space="preserve">  废水达标分析一览表</w:t>
            </w:r>
          </w:p>
          <w:tbl>
            <w:tblPr>
              <w:tblStyle w:val="34"/>
              <w:tblW w:w="5000" w:type="pct"/>
              <w:jc w:val="center"/>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014"/>
              <w:gridCol w:w="1319"/>
              <w:gridCol w:w="1345"/>
              <w:gridCol w:w="1345"/>
              <w:gridCol w:w="1345"/>
              <w:gridCol w:w="2106"/>
            </w:tblGrid>
            <w:tr w14:paraId="24011A39">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98" w:type="pct"/>
                  <w:tcBorders>
                    <w:tl2br w:val="nil"/>
                    <w:tr2bl w:val="nil"/>
                  </w:tcBorders>
                  <w:vAlign w:val="center"/>
                </w:tcPr>
                <w:p w14:paraId="434E92EB">
                  <w:pPr>
                    <w:pStyle w:val="86"/>
                    <w:rPr>
                      <w:rFonts w:hint="default" w:ascii="Times New Roman" w:hAnsi="Times New Roman" w:eastAsia="宋体" w:cs="Times New Roman"/>
                      <w:color w:val="FF0000"/>
                    </w:rPr>
                  </w:pPr>
                  <w:r>
                    <w:rPr>
                      <w:rFonts w:hint="default" w:ascii="Times New Roman" w:hAnsi="Times New Roman" w:eastAsia="宋体" w:cs="Times New Roman"/>
                      <w:color w:val="FF0000"/>
                    </w:rPr>
                    <w:t>排放口</w:t>
                  </w:r>
                </w:p>
              </w:tc>
              <w:tc>
                <w:tcPr>
                  <w:tcW w:w="778" w:type="pct"/>
                  <w:tcBorders>
                    <w:tl2br w:val="nil"/>
                    <w:tr2bl w:val="nil"/>
                  </w:tcBorders>
                  <w:vAlign w:val="center"/>
                </w:tcPr>
                <w:p w14:paraId="38670CAD">
                  <w:pPr>
                    <w:pStyle w:val="86"/>
                    <w:rPr>
                      <w:rFonts w:hint="default" w:ascii="Times New Roman" w:hAnsi="Times New Roman" w:cs="Times New Roman"/>
                      <w:color w:val="FF0000"/>
                    </w:rPr>
                  </w:pPr>
                  <w:r>
                    <w:rPr>
                      <w:rFonts w:hint="default" w:ascii="Times New Roman" w:hAnsi="Times New Roman" w:cs="Times New Roman"/>
                      <w:color w:val="FF0000"/>
                    </w:rPr>
                    <w:t>污染物</w:t>
                  </w:r>
                </w:p>
              </w:tc>
              <w:tc>
                <w:tcPr>
                  <w:tcW w:w="793" w:type="pct"/>
                  <w:tcBorders>
                    <w:tl2br w:val="nil"/>
                    <w:tr2bl w:val="nil"/>
                  </w:tcBorders>
                  <w:vAlign w:val="center"/>
                </w:tcPr>
                <w:p w14:paraId="645E1160">
                  <w:pPr>
                    <w:pStyle w:val="86"/>
                    <w:rPr>
                      <w:rFonts w:hint="default" w:ascii="Times New Roman" w:hAnsi="Times New Roman" w:eastAsia="宋体" w:cs="Times New Roman"/>
                      <w:color w:val="FF0000"/>
                    </w:rPr>
                  </w:pPr>
                  <w:r>
                    <w:rPr>
                      <w:rFonts w:hint="default" w:ascii="Times New Roman" w:hAnsi="Times New Roman" w:eastAsia="宋体" w:cs="Times New Roman"/>
                      <w:color w:val="FF0000"/>
                    </w:rPr>
                    <w:t>本项目废水污染物排放</w:t>
                  </w:r>
                  <w:r>
                    <w:rPr>
                      <w:rFonts w:hint="eastAsia" w:eastAsia="宋体" w:cs="Times New Roman"/>
                      <w:color w:val="FF0000"/>
                      <w:lang w:val="en-US" w:eastAsia="zh-CN"/>
                    </w:rPr>
                    <w:t>最大</w:t>
                  </w:r>
                  <w:r>
                    <w:rPr>
                      <w:rFonts w:hint="default" w:ascii="Times New Roman" w:hAnsi="Times New Roman" w:eastAsia="宋体" w:cs="Times New Roman"/>
                      <w:color w:val="FF0000"/>
                    </w:rPr>
                    <w:t>浓度</w:t>
                  </w:r>
                  <w:r>
                    <w:rPr>
                      <w:rFonts w:hint="default" w:ascii="Times New Roman" w:hAnsi="Times New Roman" w:cs="Times New Roman"/>
                      <w:color w:val="FF0000"/>
                    </w:rPr>
                    <w:t>（</w:t>
                  </w:r>
                  <w:r>
                    <w:rPr>
                      <w:rFonts w:hint="default" w:ascii="Times New Roman" w:hAnsi="Times New Roman" w:eastAsia="宋体" w:cs="Times New Roman"/>
                      <w:color w:val="FF0000"/>
                      <w:kern w:val="0"/>
                      <w:lang w:bidi="ar"/>
                    </w:rPr>
                    <w:t>mg/L</w:t>
                  </w:r>
                  <w:r>
                    <w:rPr>
                      <w:rFonts w:hint="default" w:ascii="Times New Roman" w:hAnsi="Times New Roman" w:cs="Times New Roman"/>
                      <w:color w:val="FF0000"/>
                    </w:rPr>
                    <w:t>）</w:t>
                  </w:r>
                </w:p>
              </w:tc>
              <w:tc>
                <w:tcPr>
                  <w:tcW w:w="793" w:type="pct"/>
                  <w:tcBorders>
                    <w:tl2br w:val="nil"/>
                    <w:tr2bl w:val="nil"/>
                  </w:tcBorders>
                  <w:vAlign w:val="center"/>
                </w:tcPr>
                <w:p w14:paraId="07CD897D">
                  <w:pPr>
                    <w:pStyle w:val="86"/>
                    <w:rPr>
                      <w:rFonts w:hint="default" w:ascii="Times New Roman" w:hAnsi="Times New Roman" w:cs="Times New Roman"/>
                      <w:color w:val="FF0000"/>
                    </w:rPr>
                  </w:pPr>
                  <w:r>
                    <w:rPr>
                      <w:rFonts w:hint="default" w:ascii="Times New Roman" w:hAnsi="Times New Roman" w:eastAsia="宋体" w:cs="Times New Roman"/>
                      <w:color w:val="FF0000"/>
                    </w:rPr>
                    <w:t>水</w:t>
                  </w:r>
                  <w:r>
                    <w:rPr>
                      <w:rFonts w:hint="default" w:ascii="Times New Roman" w:hAnsi="Times New Roman" w:cs="Times New Roman"/>
                      <w:color w:val="FF0000"/>
                    </w:rPr>
                    <w:t>污染物排放限值（</w:t>
                  </w:r>
                  <w:r>
                    <w:rPr>
                      <w:rFonts w:hint="default" w:ascii="Times New Roman" w:hAnsi="Times New Roman" w:eastAsia="宋体" w:cs="Times New Roman"/>
                      <w:color w:val="FF0000"/>
                      <w:kern w:val="0"/>
                      <w:lang w:bidi="ar"/>
                    </w:rPr>
                    <w:t>mg/L</w:t>
                  </w:r>
                  <w:r>
                    <w:rPr>
                      <w:rFonts w:hint="default" w:ascii="Times New Roman" w:hAnsi="Times New Roman" w:cs="Times New Roman"/>
                      <w:color w:val="FF0000"/>
                    </w:rPr>
                    <w:t>）</w:t>
                  </w:r>
                </w:p>
              </w:tc>
              <w:tc>
                <w:tcPr>
                  <w:tcW w:w="793" w:type="pct"/>
                  <w:tcBorders>
                    <w:tl2br w:val="nil"/>
                    <w:tr2bl w:val="nil"/>
                  </w:tcBorders>
                  <w:vAlign w:val="center"/>
                </w:tcPr>
                <w:p w14:paraId="73202C51">
                  <w:pPr>
                    <w:pStyle w:val="86"/>
                    <w:rPr>
                      <w:rFonts w:hint="default" w:ascii="Times New Roman" w:hAnsi="Times New Roman" w:eastAsia="宋体" w:cs="Times New Roman"/>
                      <w:color w:val="FF0000"/>
                    </w:rPr>
                  </w:pPr>
                  <w:r>
                    <w:rPr>
                      <w:rFonts w:hint="default" w:ascii="Times New Roman" w:hAnsi="Times New Roman" w:eastAsia="宋体" w:cs="Times New Roman"/>
                      <w:color w:val="FF0000"/>
                    </w:rPr>
                    <w:t>达标情况</w:t>
                  </w:r>
                </w:p>
              </w:tc>
              <w:tc>
                <w:tcPr>
                  <w:tcW w:w="1242" w:type="pct"/>
                  <w:tcBorders>
                    <w:tl2br w:val="nil"/>
                    <w:tr2bl w:val="nil"/>
                  </w:tcBorders>
                  <w:vAlign w:val="center"/>
                </w:tcPr>
                <w:p w14:paraId="34510A33">
                  <w:pPr>
                    <w:pStyle w:val="86"/>
                    <w:rPr>
                      <w:rFonts w:hint="default" w:ascii="Times New Roman" w:hAnsi="Times New Roman" w:eastAsia="宋体" w:cs="Times New Roman"/>
                      <w:color w:val="FF0000"/>
                    </w:rPr>
                  </w:pPr>
                  <w:r>
                    <w:rPr>
                      <w:rFonts w:hint="default" w:ascii="Times New Roman" w:hAnsi="Times New Roman" w:eastAsia="宋体" w:cs="Times New Roman"/>
                      <w:color w:val="FF0000"/>
                    </w:rPr>
                    <w:t>执行标准</w:t>
                  </w:r>
                </w:p>
              </w:tc>
            </w:tr>
            <w:tr w14:paraId="50421F85">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98" w:type="pct"/>
                  <w:vMerge w:val="restart"/>
                  <w:tcBorders>
                    <w:tl2br w:val="nil"/>
                    <w:tr2bl w:val="nil"/>
                  </w:tcBorders>
                  <w:vAlign w:val="center"/>
                </w:tcPr>
                <w:p w14:paraId="737E562B">
                  <w:pPr>
                    <w:pStyle w:val="86"/>
                    <w:rPr>
                      <w:rFonts w:hint="default" w:ascii="Times New Roman" w:hAnsi="Times New Roman" w:eastAsia="宋体" w:cs="Times New Roman"/>
                      <w:color w:val="FF0000"/>
                    </w:rPr>
                  </w:pPr>
                  <w:r>
                    <w:rPr>
                      <w:rFonts w:hint="default" w:ascii="Times New Roman" w:hAnsi="Times New Roman" w:cs="Times New Roman"/>
                      <w:color w:val="FF0000"/>
                    </w:rPr>
                    <w:t>DW001</w:t>
                  </w:r>
                </w:p>
              </w:tc>
              <w:tc>
                <w:tcPr>
                  <w:tcW w:w="778" w:type="pct"/>
                  <w:tcBorders>
                    <w:tl2br w:val="nil"/>
                    <w:tr2bl w:val="nil"/>
                  </w:tcBorders>
                  <w:shd w:val="clear" w:color="auto" w:fill="auto"/>
                  <w:vAlign w:val="center"/>
                </w:tcPr>
                <w:p w14:paraId="52ED35FE">
                  <w:pPr>
                    <w:pStyle w:val="86"/>
                    <w:rPr>
                      <w:rFonts w:hint="default" w:ascii="Times New Roman" w:hAnsi="Times New Roman" w:eastAsia="宋体" w:cs="Times New Roman"/>
                      <w:color w:val="FF0000"/>
                      <w:lang w:val="en-US" w:eastAsia="zh-CN"/>
                    </w:rPr>
                  </w:pPr>
                  <w:r>
                    <w:rPr>
                      <w:rFonts w:hint="eastAsia" w:eastAsia="宋体" w:cs="Times New Roman"/>
                      <w:color w:val="FF0000"/>
                      <w:lang w:val="en-US" w:eastAsia="zh-CN"/>
                    </w:rPr>
                    <w:t>pH</w:t>
                  </w:r>
                </w:p>
              </w:tc>
              <w:tc>
                <w:tcPr>
                  <w:tcW w:w="793" w:type="pct"/>
                  <w:tcBorders>
                    <w:tl2br w:val="nil"/>
                    <w:tr2bl w:val="nil"/>
                  </w:tcBorders>
                  <w:vAlign w:val="center"/>
                </w:tcPr>
                <w:p w14:paraId="0A3FDE41">
                  <w:pPr>
                    <w:widowControl/>
                    <w:jc w:val="center"/>
                    <w:textAlignment w:val="center"/>
                    <w:rPr>
                      <w:rFonts w:hint="eastAsia" w:cs="Times New Roman"/>
                      <w:color w:val="FF0000"/>
                      <w:kern w:val="0"/>
                      <w:szCs w:val="21"/>
                      <w:lang w:val="en-US" w:eastAsia="zh-CN" w:bidi="ar"/>
                    </w:rPr>
                  </w:pPr>
                  <w:r>
                    <w:rPr>
                      <w:rFonts w:hint="eastAsia" w:cs="Times New Roman"/>
                      <w:color w:val="FF0000"/>
                      <w:kern w:val="0"/>
                      <w:szCs w:val="21"/>
                      <w:lang w:val="en-US" w:eastAsia="zh-CN" w:bidi="ar"/>
                    </w:rPr>
                    <w:t>7.2~10</w:t>
                  </w:r>
                </w:p>
              </w:tc>
              <w:tc>
                <w:tcPr>
                  <w:tcW w:w="793" w:type="pct"/>
                  <w:tcBorders>
                    <w:tl2br w:val="nil"/>
                    <w:tr2bl w:val="nil"/>
                  </w:tcBorders>
                  <w:vAlign w:val="center"/>
                </w:tcPr>
                <w:p w14:paraId="3BCA6435">
                  <w:pPr>
                    <w:pStyle w:val="86"/>
                    <w:rPr>
                      <w:rFonts w:hint="default" w:ascii="Times New Roman" w:hAnsi="Times New Roman" w:cs="Times New Roman"/>
                      <w:color w:val="FF0000"/>
                    </w:rPr>
                  </w:pPr>
                  <w:r>
                    <w:rPr>
                      <w:rFonts w:hint="eastAsia" w:cs="Times New Roman"/>
                      <w:color w:val="FF0000"/>
                      <w:kern w:val="0"/>
                      <w:szCs w:val="21"/>
                      <w:lang w:val="en-US" w:eastAsia="zh-CN" w:bidi="ar"/>
                    </w:rPr>
                    <w:t>6~9</w:t>
                  </w:r>
                </w:p>
              </w:tc>
              <w:tc>
                <w:tcPr>
                  <w:tcW w:w="793" w:type="pct"/>
                  <w:tcBorders>
                    <w:tl2br w:val="nil"/>
                    <w:tr2bl w:val="nil"/>
                  </w:tcBorders>
                  <w:vAlign w:val="center"/>
                </w:tcPr>
                <w:p w14:paraId="1E9A0405">
                  <w:pPr>
                    <w:pStyle w:val="86"/>
                    <w:rPr>
                      <w:rFonts w:hint="default" w:ascii="Times New Roman" w:hAnsi="Times New Roman" w:eastAsia="宋体" w:cs="Times New Roman"/>
                      <w:color w:val="FF0000"/>
                    </w:rPr>
                  </w:pPr>
                  <w:r>
                    <w:rPr>
                      <w:rFonts w:hint="default" w:ascii="Times New Roman" w:hAnsi="Times New Roman" w:eastAsia="宋体" w:cs="Times New Roman"/>
                      <w:color w:val="FF0000"/>
                    </w:rPr>
                    <w:t>达标</w:t>
                  </w:r>
                </w:p>
              </w:tc>
              <w:tc>
                <w:tcPr>
                  <w:tcW w:w="1242" w:type="pct"/>
                  <w:vMerge w:val="restart"/>
                  <w:tcBorders>
                    <w:tl2br w:val="nil"/>
                    <w:tr2bl w:val="nil"/>
                  </w:tcBorders>
                  <w:vAlign w:val="center"/>
                </w:tcPr>
                <w:p w14:paraId="5D4F6CA4">
                  <w:pPr>
                    <w:pStyle w:val="86"/>
                    <w:rPr>
                      <w:rFonts w:hint="default" w:ascii="Times New Roman" w:hAnsi="Times New Roman" w:cs="Times New Roman"/>
                      <w:color w:val="FF0000"/>
                    </w:rPr>
                  </w:pPr>
                  <w:r>
                    <w:rPr>
                      <w:rFonts w:hint="default" w:ascii="Times New Roman" w:hAnsi="Times New Roman" w:cs="Times New Roman"/>
                      <w:color w:val="FF0000"/>
                    </w:rPr>
                    <w:t>《辽宁省污水综合排放标准》（DB21/1627-2008）</w:t>
                  </w:r>
                </w:p>
              </w:tc>
            </w:tr>
            <w:tr w14:paraId="4745DD50">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98" w:type="pct"/>
                  <w:vMerge w:val="continue"/>
                  <w:tcBorders>
                    <w:tl2br w:val="nil"/>
                    <w:tr2bl w:val="nil"/>
                  </w:tcBorders>
                  <w:vAlign w:val="center"/>
                </w:tcPr>
                <w:p w14:paraId="5957D26C">
                  <w:pPr>
                    <w:pStyle w:val="86"/>
                    <w:rPr>
                      <w:rFonts w:hint="default" w:ascii="Times New Roman" w:hAnsi="Times New Roman" w:eastAsia="宋体" w:cs="Times New Roman"/>
                      <w:color w:val="FF0000"/>
                    </w:rPr>
                  </w:pPr>
                </w:p>
              </w:tc>
              <w:tc>
                <w:tcPr>
                  <w:tcW w:w="778" w:type="pct"/>
                  <w:tcBorders>
                    <w:tl2br w:val="nil"/>
                    <w:tr2bl w:val="nil"/>
                  </w:tcBorders>
                  <w:shd w:val="clear" w:color="auto" w:fill="auto"/>
                  <w:vAlign w:val="center"/>
                </w:tcPr>
                <w:p w14:paraId="193071A6">
                  <w:pPr>
                    <w:pStyle w:val="86"/>
                    <w:rPr>
                      <w:rFonts w:hint="default" w:ascii="Times New Roman" w:hAnsi="Times New Roman" w:cs="Times New Roman"/>
                      <w:color w:val="FF0000"/>
                    </w:rPr>
                  </w:pPr>
                  <w:r>
                    <w:rPr>
                      <w:rFonts w:hint="default" w:ascii="Times New Roman" w:hAnsi="Times New Roman" w:cs="Times New Roman"/>
                      <w:color w:val="FF0000"/>
                    </w:rPr>
                    <w:t>COD</w:t>
                  </w:r>
                </w:p>
              </w:tc>
              <w:tc>
                <w:tcPr>
                  <w:tcW w:w="793" w:type="pct"/>
                  <w:tcBorders>
                    <w:tl2br w:val="nil"/>
                    <w:tr2bl w:val="nil"/>
                  </w:tcBorders>
                  <w:vAlign w:val="center"/>
                </w:tcPr>
                <w:p w14:paraId="72849CCE">
                  <w:pPr>
                    <w:widowControl/>
                    <w:jc w:val="center"/>
                    <w:textAlignment w:val="center"/>
                    <w:rPr>
                      <w:rFonts w:hint="default" w:ascii="Times New Roman" w:hAnsi="Times New Roman" w:eastAsia="宋体" w:cs="Times New Roman"/>
                      <w:color w:val="FF0000"/>
                      <w:szCs w:val="21"/>
                      <w:lang w:val="en-US" w:eastAsia="zh-CN"/>
                    </w:rPr>
                  </w:pPr>
                  <w:r>
                    <w:rPr>
                      <w:rFonts w:hint="eastAsia" w:cs="Times New Roman"/>
                      <w:color w:val="FF0000"/>
                      <w:kern w:val="0"/>
                      <w:szCs w:val="21"/>
                      <w:lang w:val="en-US" w:eastAsia="zh-CN" w:bidi="ar"/>
                    </w:rPr>
                    <w:t>238</w:t>
                  </w:r>
                </w:p>
              </w:tc>
              <w:tc>
                <w:tcPr>
                  <w:tcW w:w="793" w:type="pct"/>
                  <w:tcBorders>
                    <w:tl2br w:val="nil"/>
                    <w:tr2bl w:val="nil"/>
                  </w:tcBorders>
                  <w:vAlign w:val="center"/>
                </w:tcPr>
                <w:p w14:paraId="6480912E">
                  <w:pPr>
                    <w:pStyle w:val="86"/>
                    <w:rPr>
                      <w:rFonts w:hint="default" w:ascii="Times New Roman" w:hAnsi="Times New Roman" w:cs="Times New Roman"/>
                      <w:color w:val="FF0000"/>
                    </w:rPr>
                  </w:pPr>
                  <w:r>
                    <w:rPr>
                      <w:rFonts w:hint="default" w:ascii="Times New Roman" w:hAnsi="Times New Roman" w:cs="Times New Roman"/>
                      <w:color w:val="FF0000"/>
                    </w:rPr>
                    <w:t>300</w:t>
                  </w:r>
                </w:p>
              </w:tc>
              <w:tc>
                <w:tcPr>
                  <w:tcW w:w="793" w:type="pct"/>
                  <w:tcBorders>
                    <w:tl2br w:val="nil"/>
                    <w:tr2bl w:val="nil"/>
                  </w:tcBorders>
                  <w:vAlign w:val="center"/>
                </w:tcPr>
                <w:p w14:paraId="334E85C7">
                  <w:pPr>
                    <w:pStyle w:val="86"/>
                    <w:rPr>
                      <w:rFonts w:hint="default" w:ascii="Times New Roman" w:hAnsi="Times New Roman" w:eastAsia="宋体" w:cs="Times New Roman"/>
                      <w:color w:val="FF0000"/>
                    </w:rPr>
                  </w:pPr>
                  <w:r>
                    <w:rPr>
                      <w:rFonts w:hint="default" w:ascii="Times New Roman" w:hAnsi="Times New Roman" w:eastAsia="宋体" w:cs="Times New Roman"/>
                      <w:color w:val="FF0000"/>
                    </w:rPr>
                    <w:t>达标</w:t>
                  </w:r>
                </w:p>
              </w:tc>
              <w:tc>
                <w:tcPr>
                  <w:tcW w:w="1242" w:type="pct"/>
                  <w:vMerge w:val="continue"/>
                  <w:tcBorders>
                    <w:tl2br w:val="nil"/>
                    <w:tr2bl w:val="nil"/>
                  </w:tcBorders>
                  <w:vAlign w:val="center"/>
                </w:tcPr>
                <w:p w14:paraId="666EE4A1">
                  <w:pPr>
                    <w:pStyle w:val="86"/>
                    <w:rPr>
                      <w:rFonts w:hint="default" w:ascii="Times New Roman" w:hAnsi="Times New Roman" w:cs="Times New Roman"/>
                      <w:color w:val="FF0000"/>
                    </w:rPr>
                  </w:pPr>
                </w:p>
              </w:tc>
            </w:tr>
            <w:tr w14:paraId="7F951EEA">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98" w:type="pct"/>
                  <w:vMerge w:val="continue"/>
                  <w:tcBorders>
                    <w:tl2br w:val="nil"/>
                    <w:tr2bl w:val="nil"/>
                  </w:tcBorders>
                  <w:vAlign w:val="center"/>
                </w:tcPr>
                <w:p w14:paraId="5E482452">
                  <w:pPr>
                    <w:pStyle w:val="86"/>
                    <w:rPr>
                      <w:rFonts w:hint="default" w:ascii="Times New Roman" w:hAnsi="Times New Roman" w:cs="Times New Roman"/>
                      <w:color w:val="FF0000"/>
                    </w:rPr>
                  </w:pPr>
                </w:p>
              </w:tc>
              <w:tc>
                <w:tcPr>
                  <w:tcW w:w="778" w:type="pct"/>
                  <w:tcBorders>
                    <w:tl2br w:val="nil"/>
                    <w:tr2bl w:val="nil"/>
                  </w:tcBorders>
                  <w:shd w:val="clear" w:color="auto" w:fill="auto"/>
                  <w:vAlign w:val="center"/>
                </w:tcPr>
                <w:p w14:paraId="10A64AF6">
                  <w:pPr>
                    <w:pStyle w:val="86"/>
                    <w:rPr>
                      <w:rFonts w:hint="default" w:ascii="Times New Roman" w:hAnsi="Times New Roman" w:cs="Times New Roman"/>
                      <w:color w:val="FF0000"/>
                    </w:rPr>
                  </w:pPr>
                  <w:r>
                    <w:rPr>
                      <w:rFonts w:hint="default" w:ascii="Times New Roman" w:hAnsi="Times New Roman" w:cs="Times New Roman"/>
                      <w:color w:val="FF0000"/>
                    </w:rPr>
                    <w:t>BOD</w:t>
                  </w:r>
                  <w:r>
                    <w:rPr>
                      <w:rFonts w:hint="default" w:ascii="Times New Roman" w:hAnsi="Times New Roman" w:cs="Times New Roman"/>
                      <w:color w:val="FF0000"/>
                      <w:vertAlign w:val="subscript"/>
                    </w:rPr>
                    <w:t>5</w:t>
                  </w:r>
                </w:p>
              </w:tc>
              <w:tc>
                <w:tcPr>
                  <w:tcW w:w="793" w:type="pct"/>
                  <w:tcBorders>
                    <w:tl2br w:val="nil"/>
                    <w:tr2bl w:val="nil"/>
                  </w:tcBorders>
                  <w:vAlign w:val="center"/>
                </w:tcPr>
                <w:p w14:paraId="56968BCB">
                  <w:pPr>
                    <w:widowControl/>
                    <w:jc w:val="center"/>
                    <w:textAlignment w:val="center"/>
                    <w:rPr>
                      <w:rFonts w:hint="default" w:ascii="Times New Roman" w:hAnsi="Times New Roman" w:cs="Times New Roman"/>
                      <w:color w:val="FF0000"/>
                      <w:szCs w:val="21"/>
                    </w:rPr>
                  </w:pPr>
                  <w:r>
                    <w:rPr>
                      <w:rFonts w:hint="default" w:ascii="Times New Roman" w:hAnsi="Times New Roman" w:cs="Times New Roman"/>
                      <w:color w:val="FF0000"/>
                      <w:kern w:val="0"/>
                      <w:szCs w:val="21"/>
                      <w:lang w:bidi="ar"/>
                    </w:rPr>
                    <w:t>80.4</w:t>
                  </w:r>
                </w:p>
              </w:tc>
              <w:tc>
                <w:tcPr>
                  <w:tcW w:w="793" w:type="pct"/>
                  <w:tcBorders>
                    <w:tl2br w:val="nil"/>
                    <w:tr2bl w:val="nil"/>
                  </w:tcBorders>
                  <w:vAlign w:val="center"/>
                </w:tcPr>
                <w:p w14:paraId="687DCF13">
                  <w:pPr>
                    <w:pStyle w:val="86"/>
                    <w:rPr>
                      <w:rFonts w:hint="default" w:ascii="Times New Roman" w:hAnsi="Times New Roman" w:cs="Times New Roman"/>
                      <w:color w:val="FF0000"/>
                    </w:rPr>
                  </w:pPr>
                  <w:r>
                    <w:rPr>
                      <w:rFonts w:hint="default" w:ascii="Times New Roman" w:hAnsi="Times New Roman" w:cs="Times New Roman"/>
                      <w:color w:val="FF0000"/>
                    </w:rPr>
                    <w:t>250</w:t>
                  </w:r>
                </w:p>
              </w:tc>
              <w:tc>
                <w:tcPr>
                  <w:tcW w:w="793" w:type="pct"/>
                  <w:tcBorders>
                    <w:tl2br w:val="nil"/>
                    <w:tr2bl w:val="nil"/>
                  </w:tcBorders>
                  <w:vAlign w:val="center"/>
                </w:tcPr>
                <w:p w14:paraId="3D7DEE0F">
                  <w:pPr>
                    <w:jc w:val="center"/>
                    <w:rPr>
                      <w:rFonts w:hint="default" w:ascii="Times New Roman" w:hAnsi="Times New Roman" w:cs="Times New Roman"/>
                      <w:color w:val="FF0000"/>
                    </w:rPr>
                  </w:pPr>
                  <w:r>
                    <w:rPr>
                      <w:rFonts w:hint="default" w:ascii="Times New Roman" w:hAnsi="Times New Roman" w:cs="Times New Roman"/>
                      <w:color w:val="FF0000"/>
                    </w:rPr>
                    <w:t>达标</w:t>
                  </w:r>
                </w:p>
              </w:tc>
              <w:tc>
                <w:tcPr>
                  <w:tcW w:w="1242" w:type="pct"/>
                  <w:vMerge w:val="continue"/>
                  <w:tcBorders>
                    <w:tl2br w:val="nil"/>
                    <w:tr2bl w:val="nil"/>
                  </w:tcBorders>
                  <w:vAlign w:val="center"/>
                </w:tcPr>
                <w:p w14:paraId="23228D58">
                  <w:pPr>
                    <w:pStyle w:val="86"/>
                    <w:rPr>
                      <w:rFonts w:hint="default" w:ascii="Times New Roman" w:hAnsi="Times New Roman" w:cs="Times New Roman"/>
                      <w:color w:val="FF0000"/>
                      <w:highlight w:val="green"/>
                    </w:rPr>
                  </w:pPr>
                </w:p>
              </w:tc>
            </w:tr>
            <w:tr w14:paraId="455E3E20">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98" w:type="pct"/>
                  <w:vMerge w:val="continue"/>
                  <w:tcBorders>
                    <w:tl2br w:val="nil"/>
                    <w:tr2bl w:val="nil"/>
                  </w:tcBorders>
                  <w:vAlign w:val="center"/>
                </w:tcPr>
                <w:p w14:paraId="16CFEED2">
                  <w:pPr>
                    <w:pStyle w:val="86"/>
                    <w:rPr>
                      <w:rFonts w:hint="default" w:ascii="Times New Roman" w:hAnsi="Times New Roman" w:cs="Times New Roman"/>
                      <w:color w:val="FF0000"/>
                    </w:rPr>
                  </w:pPr>
                </w:p>
              </w:tc>
              <w:tc>
                <w:tcPr>
                  <w:tcW w:w="778" w:type="pct"/>
                  <w:tcBorders>
                    <w:tl2br w:val="nil"/>
                    <w:tr2bl w:val="nil"/>
                  </w:tcBorders>
                  <w:shd w:val="clear" w:color="auto" w:fill="auto"/>
                  <w:vAlign w:val="center"/>
                </w:tcPr>
                <w:p w14:paraId="4209B2D9">
                  <w:pPr>
                    <w:pStyle w:val="86"/>
                    <w:rPr>
                      <w:rFonts w:hint="default" w:ascii="Times New Roman" w:hAnsi="Times New Roman" w:cs="Times New Roman"/>
                      <w:color w:val="FF0000"/>
                    </w:rPr>
                  </w:pPr>
                  <w:r>
                    <w:rPr>
                      <w:rFonts w:hint="default" w:ascii="Times New Roman" w:hAnsi="Times New Roman" w:cs="Times New Roman"/>
                      <w:color w:val="FF0000"/>
                    </w:rPr>
                    <w:t>SS</w:t>
                  </w:r>
                </w:p>
              </w:tc>
              <w:tc>
                <w:tcPr>
                  <w:tcW w:w="793" w:type="pct"/>
                  <w:tcBorders>
                    <w:tl2br w:val="nil"/>
                    <w:tr2bl w:val="nil"/>
                  </w:tcBorders>
                  <w:vAlign w:val="center"/>
                </w:tcPr>
                <w:p w14:paraId="091F1064">
                  <w:pPr>
                    <w:widowControl/>
                    <w:jc w:val="center"/>
                    <w:textAlignment w:val="center"/>
                    <w:rPr>
                      <w:rFonts w:hint="default" w:ascii="Times New Roman" w:hAnsi="Times New Roman" w:cs="Times New Roman"/>
                      <w:color w:val="FF0000"/>
                      <w:szCs w:val="21"/>
                    </w:rPr>
                  </w:pPr>
                  <w:r>
                    <w:rPr>
                      <w:rFonts w:hint="default" w:ascii="Times New Roman" w:hAnsi="Times New Roman" w:cs="Times New Roman"/>
                      <w:color w:val="FF0000"/>
                      <w:kern w:val="0"/>
                      <w:szCs w:val="21"/>
                      <w:lang w:bidi="ar"/>
                    </w:rPr>
                    <w:t>150</w:t>
                  </w:r>
                </w:p>
              </w:tc>
              <w:tc>
                <w:tcPr>
                  <w:tcW w:w="793" w:type="pct"/>
                  <w:tcBorders>
                    <w:tl2br w:val="nil"/>
                    <w:tr2bl w:val="nil"/>
                  </w:tcBorders>
                  <w:vAlign w:val="center"/>
                </w:tcPr>
                <w:p w14:paraId="07C492D7">
                  <w:pPr>
                    <w:pStyle w:val="86"/>
                    <w:rPr>
                      <w:rFonts w:hint="default" w:ascii="Times New Roman" w:hAnsi="Times New Roman" w:cs="Times New Roman"/>
                      <w:color w:val="FF0000"/>
                    </w:rPr>
                  </w:pPr>
                  <w:r>
                    <w:rPr>
                      <w:rFonts w:hint="default" w:ascii="Times New Roman" w:hAnsi="Times New Roman" w:cs="Times New Roman"/>
                      <w:color w:val="FF0000"/>
                    </w:rPr>
                    <w:t>300</w:t>
                  </w:r>
                </w:p>
              </w:tc>
              <w:tc>
                <w:tcPr>
                  <w:tcW w:w="793" w:type="pct"/>
                  <w:tcBorders>
                    <w:tl2br w:val="nil"/>
                    <w:tr2bl w:val="nil"/>
                  </w:tcBorders>
                  <w:vAlign w:val="center"/>
                </w:tcPr>
                <w:p w14:paraId="1B41F2A9">
                  <w:pPr>
                    <w:jc w:val="center"/>
                    <w:rPr>
                      <w:rFonts w:hint="default" w:ascii="Times New Roman" w:hAnsi="Times New Roman" w:cs="Times New Roman"/>
                      <w:color w:val="FF0000"/>
                    </w:rPr>
                  </w:pPr>
                  <w:r>
                    <w:rPr>
                      <w:rFonts w:hint="default" w:ascii="Times New Roman" w:hAnsi="Times New Roman" w:cs="Times New Roman"/>
                      <w:color w:val="FF0000"/>
                    </w:rPr>
                    <w:t>达标</w:t>
                  </w:r>
                </w:p>
              </w:tc>
              <w:tc>
                <w:tcPr>
                  <w:tcW w:w="1242" w:type="pct"/>
                  <w:vMerge w:val="continue"/>
                  <w:tcBorders>
                    <w:tl2br w:val="nil"/>
                    <w:tr2bl w:val="nil"/>
                  </w:tcBorders>
                  <w:vAlign w:val="center"/>
                </w:tcPr>
                <w:p w14:paraId="4C070BD8">
                  <w:pPr>
                    <w:pStyle w:val="86"/>
                    <w:rPr>
                      <w:rFonts w:hint="default" w:ascii="Times New Roman" w:hAnsi="Times New Roman" w:cs="Times New Roman"/>
                      <w:color w:val="FF0000"/>
                      <w:highlight w:val="green"/>
                    </w:rPr>
                  </w:pPr>
                </w:p>
              </w:tc>
            </w:tr>
            <w:tr w14:paraId="1AD16FC3">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98" w:type="pct"/>
                  <w:vMerge w:val="continue"/>
                  <w:tcBorders>
                    <w:tl2br w:val="nil"/>
                    <w:tr2bl w:val="nil"/>
                  </w:tcBorders>
                  <w:vAlign w:val="center"/>
                </w:tcPr>
                <w:p w14:paraId="4B82379A">
                  <w:pPr>
                    <w:pStyle w:val="86"/>
                    <w:rPr>
                      <w:rFonts w:hint="default" w:ascii="Times New Roman" w:hAnsi="Times New Roman" w:cs="Times New Roman"/>
                      <w:color w:val="FF0000"/>
                    </w:rPr>
                  </w:pPr>
                </w:p>
              </w:tc>
              <w:tc>
                <w:tcPr>
                  <w:tcW w:w="778" w:type="pct"/>
                  <w:tcBorders>
                    <w:tl2br w:val="nil"/>
                    <w:tr2bl w:val="nil"/>
                  </w:tcBorders>
                  <w:shd w:val="clear" w:color="auto" w:fill="auto"/>
                  <w:vAlign w:val="center"/>
                </w:tcPr>
                <w:p w14:paraId="5D9BF0F3">
                  <w:pPr>
                    <w:pStyle w:val="86"/>
                    <w:rPr>
                      <w:rFonts w:hint="default" w:ascii="Times New Roman" w:hAnsi="Times New Roman" w:cs="Times New Roman"/>
                      <w:color w:val="FF0000"/>
                    </w:rPr>
                  </w:pPr>
                  <w:r>
                    <w:rPr>
                      <w:rFonts w:hint="default" w:ascii="Times New Roman" w:hAnsi="Times New Roman" w:cs="Times New Roman"/>
                      <w:color w:val="FF0000"/>
                    </w:rPr>
                    <w:t>NH</w:t>
                  </w:r>
                  <w:r>
                    <w:rPr>
                      <w:rFonts w:hint="default" w:ascii="Times New Roman" w:hAnsi="Times New Roman" w:cs="Times New Roman"/>
                      <w:color w:val="FF0000"/>
                      <w:vertAlign w:val="subscript"/>
                    </w:rPr>
                    <w:t>3</w:t>
                  </w:r>
                  <w:r>
                    <w:rPr>
                      <w:rFonts w:hint="default" w:ascii="Times New Roman" w:hAnsi="Times New Roman" w:cs="Times New Roman"/>
                      <w:color w:val="FF0000"/>
                    </w:rPr>
                    <w:t>-N</w:t>
                  </w:r>
                </w:p>
              </w:tc>
              <w:tc>
                <w:tcPr>
                  <w:tcW w:w="793" w:type="pct"/>
                  <w:tcBorders>
                    <w:tl2br w:val="nil"/>
                    <w:tr2bl w:val="nil"/>
                  </w:tcBorders>
                  <w:vAlign w:val="center"/>
                </w:tcPr>
                <w:p w14:paraId="42778A98">
                  <w:pPr>
                    <w:widowControl/>
                    <w:jc w:val="center"/>
                    <w:textAlignment w:val="center"/>
                    <w:rPr>
                      <w:rFonts w:hint="default" w:ascii="Times New Roman" w:hAnsi="Times New Roman" w:cs="Times New Roman"/>
                      <w:color w:val="FF0000"/>
                      <w:szCs w:val="21"/>
                    </w:rPr>
                  </w:pPr>
                  <w:r>
                    <w:rPr>
                      <w:rFonts w:hint="default" w:ascii="Times New Roman" w:hAnsi="Times New Roman" w:cs="Times New Roman"/>
                      <w:color w:val="FF0000"/>
                      <w:kern w:val="0"/>
                      <w:szCs w:val="21"/>
                      <w:lang w:bidi="ar"/>
                    </w:rPr>
                    <w:t>25.2</w:t>
                  </w:r>
                </w:p>
              </w:tc>
              <w:tc>
                <w:tcPr>
                  <w:tcW w:w="793" w:type="pct"/>
                  <w:tcBorders>
                    <w:tl2br w:val="nil"/>
                    <w:tr2bl w:val="nil"/>
                  </w:tcBorders>
                  <w:vAlign w:val="center"/>
                </w:tcPr>
                <w:p w14:paraId="7F0CCDC5">
                  <w:pPr>
                    <w:pStyle w:val="86"/>
                    <w:rPr>
                      <w:rFonts w:hint="default" w:ascii="Times New Roman" w:hAnsi="Times New Roman" w:cs="Times New Roman"/>
                      <w:color w:val="FF0000"/>
                    </w:rPr>
                  </w:pPr>
                  <w:r>
                    <w:rPr>
                      <w:rFonts w:hint="default" w:ascii="Times New Roman" w:hAnsi="Times New Roman" w:cs="Times New Roman"/>
                      <w:color w:val="FF0000"/>
                    </w:rPr>
                    <w:t>30</w:t>
                  </w:r>
                </w:p>
              </w:tc>
              <w:tc>
                <w:tcPr>
                  <w:tcW w:w="793" w:type="pct"/>
                  <w:tcBorders>
                    <w:tl2br w:val="nil"/>
                    <w:tr2bl w:val="nil"/>
                  </w:tcBorders>
                  <w:vAlign w:val="center"/>
                </w:tcPr>
                <w:p w14:paraId="293EF5A1">
                  <w:pPr>
                    <w:jc w:val="center"/>
                    <w:rPr>
                      <w:rFonts w:hint="default" w:ascii="Times New Roman" w:hAnsi="Times New Roman" w:cs="Times New Roman"/>
                      <w:color w:val="FF0000"/>
                    </w:rPr>
                  </w:pPr>
                  <w:r>
                    <w:rPr>
                      <w:rFonts w:hint="default" w:ascii="Times New Roman" w:hAnsi="Times New Roman" w:cs="Times New Roman"/>
                      <w:color w:val="FF0000"/>
                    </w:rPr>
                    <w:t>达标</w:t>
                  </w:r>
                </w:p>
              </w:tc>
              <w:tc>
                <w:tcPr>
                  <w:tcW w:w="1242" w:type="pct"/>
                  <w:vMerge w:val="continue"/>
                  <w:tcBorders>
                    <w:tl2br w:val="nil"/>
                    <w:tr2bl w:val="nil"/>
                  </w:tcBorders>
                  <w:vAlign w:val="center"/>
                </w:tcPr>
                <w:p w14:paraId="6F61ED17">
                  <w:pPr>
                    <w:pStyle w:val="86"/>
                    <w:rPr>
                      <w:rFonts w:hint="default" w:ascii="Times New Roman" w:hAnsi="Times New Roman" w:cs="Times New Roman"/>
                      <w:color w:val="FF0000"/>
                      <w:highlight w:val="green"/>
                    </w:rPr>
                  </w:pPr>
                </w:p>
              </w:tc>
            </w:tr>
            <w:tr w14:paraId="2B3BD568">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98" w:type="pct"/>
                  <w:vMerge w:val="continue"/>
                  <w:tcBorders>
                    <w:tl2br w:val="nil"/>
                    <w:tr2bl w:val="nil"/>
                  </w:tcBorders>
                  <w:vAlign w:val="center"/>
                </w:tcPr>
                <w:p w14:paraId="6FB94E99">
                  <w:pPr>
                    <w:pStyle w:val="86"/>
                    <w:rPr>
                      <w:rFonts w:hint="default" w:ascii="Times New Roman" w:hAnsi="Times New Roman" w:cs="Times New Roman"/>
                      <w:color w:val="FF0000"/>
                    </w:rPr>
                  </w:pPr>
                </w:p>
              </w:tc>
              <w:tc>
                <w:tcPr>
                  <w:tcW w:w="778" w:type="pct"/>
                  <w:tcBorders>
                    <w:tl2br w:val="nil"/>
                    <w:tr2bl w:val="nil"/>
                  </w:tcBorders>
                  <w:shd w:val="clear" w:color="auto" w:fill="auto"/>
                  <w:vAlign w:val="center"/>
                </w:tcPr>
                <w:p w14:paraId="33093DB7">
                  <w:pPr>
                    <w:pStyle w:val="86"/>
                    <w:rPr>
                      <w:rFonts w:hint="default" w:ascii="Times New Roman" w:hAnsi="Times New Roman" w:cs="Times New Roman"/>
                      <w:color w:val="FF0000"/>
                    </w:rPr>
                  </w:pPr>
                  <w:r>
                    <w:rPr>
                      <w:rFonts w:hint="default" w:ascii="Times New Roman" w:hAnsi="Times New Roman" w:cs="Times New Roman"/>
                      <w:color w:val="FF0000"/>
                    </w:rPr>
                    <w:t>TP</w:t>
                  </w:r>
                </w:p>
              </w:tc>
              <w:tc>
                <w:tcPr>
                  <w:tcW w:w="793" w:type="pct"/>
                  <w:tcBorders>
                    <w:tl2br w:val="nil"/>
                    <w:tr2bl w:val="nil"/>
                  </w:tcBorders>
                  <w:vAlign w:val="center"/>
                </w:tcPr>
                <w:p w14:paraId="04917252">
                  <w:pPr>
                    <w:widowControl/>
                    <w:jc w:val="center"/>
                    <w:textAlignment w:val="center"/>
                    <w:rPr>
                      <w:rFonts w:hint="default" w:ascii="Times New Roman" w:hAnsi="Times New Roman" w:cs="Times New Roman"/>
                      <w:color w:val="FF0000"/>
                      <w:szCs w:val="21"/>
                    </w:rPr>
                  </w:pPr>
                  <w:r>
                    <w:rPr>
                      <w:rFonts w:hint="default" w:ascii="Times New Roman" w:hAnsi="Times New Roman" w:cs="Times New Roman"/>
                      <w:color w:val="FF0000"/>
                      <w:kern w:val="0"/>
                      <w:szCs w:val="21"/>
                      <w:lang w:bidi="ar"/>
                    </w:rPr>
                    <w:t>3.34</w:t>
                  </w:r>
                </w:p>
              </w:tc>
              <w:tc>
                <w:tcPr>
                  <w:tcW w:w="793" w:type="pct"/>
                  <w:tcBorders>
                    <w:tl2br w:val="nil"/>
                    <w:tr2bl w:val="nil"/>
                  </w:tcBorders>
                  <w:vAlign w:val="center"/>
                </w:tcPr>
                <w:p w14:paraId="5ADB6949">
                  <w:pPr>
                    <w:pStyle w:val="86"/>
                    <w:rPr>
                      <w:rFonts w:hint="default" w:ascii="Times New Roman" w:hAnsi="Times New Roman" w:cs="Times New Roman"/>
                      <w:color w:val="FF0000"/>
                    </w:rPr>
                  </w:pPr>
                  <w:r>
                    <w:rPr>
                      <w:rFonts w:hint="default" w:ascii="Times New Roman" w:hAnsi="Times New Roman" w:cs="Times New Roman"/>
                      <w:color w:val="FF0000"/>
                    </w:rPr>
                    <w:t>5</w:t>
                  </w:r>
                </w:p>
              </w:tc>
              <w:tc>
                <w:tcPr>
                  <w:tcW w:w="793" w:type="pct"/>
                  <w:tcBorders>
                    <w:tl2br w:val="nil"/>
                    <w:tr2bl w:val="nil"/>
                  </w:tcBorders>
                  <w:vAlign w:val="center"/>
                </w:tcPr>
                <w:p w14:paraId="2E6309E2">
                  <w:pPr>
                    <w:jc w:val="center"/>
                    <w:rPr>
                      <w:rFonts w:hint="default" w:ascii="Times New Roman" w:hAnsi="Times New Roman" w:cs="Times New Roman"/>
                      <w:color w:val="FF0000"/>
                    </w:rPr>
                  </w:pPr>
                  <w:r>
                    <w:rPr>
                      <w:rFonts w:hint="default" w:ascii="Times New Roman" w:hAnsi="Times New Roman" w:cs="Times New Roman"/>
                      <w:color w:val="FF0000"/>
                    </w:rPr>
                    <w:t>达标</w:t>
                  </w:r>
                </w:p>
              </w:tc>
              <w:tc>
                <w:tcPr>
                  <w:tcW w:w="1242" w:type="pct"/>
                  <w:vMerge w:val="continue"/>
                  <w:tcBorders>
                    <w:tl2br w:val="nil"/>
                    <w:tr2bl w:val="nil"/>
                  </w:tcBorders>
                  <w:vAlign w:val="center"/>
                </w:tcPr>
                <w:p w14:paraId="287F0050">
                  <w:pPr>
                    <w:pStyle w:val="86"/>
                    <w:rPr>
                      <w:rFonts w:hint="default" w:ascii="Times New Roman" w:hAnsi="Times New Roman" w:cs="Times New Roman"/>
                      <w:color w:val="FF0000"/>
                      <w:highlight w:val="green"/>
                    </w:rPr>
                  </w:pPr>
                </w:p>
              </w:tc>
            </w:tr>
            <w:tr w14:paraId="727654A2">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598" w:type="pct"/>
                  <w:vMerge w:val="continue"/>
                  <w:tcBorders>
                    <w:tl2br w:val="nil"/>
                    <w:tr2bl w:val="nil"/>
                  </w:tcBorders>
                  <w:vAlign w:val="center"/>
                </w:tcPr>
                <w:p w14:paraId="3176B02D">
                  <w:pPr>
                    <w:jc w:val="center"/>
                    <w:rPr>
                      <w:rFonts w:hint="default" w:ascii="Times New Roman" w:hAnsi="Times New Roman" w:cs="Times New Roman"/>
                      <w:color w:val="FF0000"/>
                    </w:rPr>
                  </w:pPr>
                </w:p>
              </w:tc>
              <w:tc>
                <w:tcPr>
                  <w:tcW w:w="778" w:type="pct"/>
                  <w:tcBorders>
                    <w:tl2br w:val="nil"/>
                    <w:tr2bl w:val="nil"/>
                  </w:tcBorders>
                  <w:shd w:val="clear" w:color="auto" w:fill="auto"/>
                  <w:vAlign w:val="center"/>
                </w:tcPr>
                <w:p w14:paraId="31518D6F">
                  <w:pPr>
                    <w:pStyle w:val="86"/>
                    <w:rPr>
                      <w:rFonts w:hint="default" w:ascii="Times New Roman" w:hAnsi="Times New Roman" w:cs="Times New Roman"/>
                      <w:color w:val="FF0000"/>
                    </w:rPr>
                  </w:pPr>
                  <w:r>
                    <w:rPr>
                      <w:rFonts w:hint="default" w:ascii="Times New Roman" w:hAnsi="Times New Roman" w:cs="Times New Roman"/>
                      <w:color w:val="FF0000"/>
                    </w:rPr>
                    <w:t>TN</w:t>
                  </w:r>
                </w:p>
              </w:tc>
              <w:tc>
                <w:tcPr>
                  <w:tcW w:w="793" w:type="pct"/>
                  <w:tcBorders>
                    <w:tl2br w:val="nil"/>
                    <w:tr2bl w:val="nil"/>
                  </w:tcBorders>
                  <w:vAlign w:val="center"/>
                </w:tcPr>
                <w:p w14:paraId="20ABA20F">
                  <w:pPr>
                    <w:widowControl/>
                    <w:jc w:val="center"/>
                    <w:textAlignment w:val="center"/>
                    <w:rPr>
                      <w:rFonts w:hint="default" w:ascii="Times New Roman" w:hAnsi="Times New Roman" w:cs="Times New Roman"/>
                      <w:color w:val="FF0000"/>
                      <w:szCs w:val="21"/>
                    </w:rPr>
                  </w:pPr>
                  <w:r>
                    <w:rPr>
                      <w:rFonts w:hint="default" w:ascii="Times New Roman" w:hAnsi="Times New Roman" w:cs="Times New Roman"/>
                      <w:color w:val="FF0000"/>
                      <w:kern w:val="0"/>
                      <w:szCs w:val="21"/>
                      <w:lang w:bidi="ar"/>
                    </w:rPr>
                    <w:t>33.84</w:t>
                  </w:r>
                </w:p>
              </w:tc>
              <w:tc>
                <w:tcPr>
                  <w:tcW w:w="793" w:type="pct"/>
                  <w:tcBorders>
                    <w:tl2br w:val="nil"/>
                    <w:tr2bl w:val="nil"/>
                  </w:tcBorders>
                  <w:vAlign w:val="center"/>
                </w:tcPr>
                <w:p w14:paraId="7374DEE8">
                  <w:pPr>
                    <w:pStyle w:val="86"/>
                    <w:rPr>
                      <w:rFonts w:hint="default" w:ascii="Times New Roman" w:hAnsi="Times New Roman" w:eastAsia="宋体" w:cs="Times New Roman"/>
                      <w:color w:val="FF0000"/>
                    </w:rPr>
                  </w:pPr>
                  <w:r>
                    <w:rPr>
                      <w:rFonts w:hint="default" w:ascii="Times New Roman" w:hAnsi="Times New Roman" w:eastAsia="宋体" w:cs="Times New Roman"/>
                      <w:color w:val="FF0000"/>
                    </w:rPr>
                    <w:t>50</w:t>
                  </w:r>
                </w:p>
              </w:tc>
              <w:tc>
                <w:tcPr>
                  <w:tcW w:w="793" w:type="pct"/>
                  <w:tcBorders>
                    <w:tl2br w:val="nil"/>
                    <w:tr2bl w:val="nil"/>
                  </w:tcBorders>
                  <w:vAlign w:val="center"/>
                </w:tcPr>
                <w:p w14:paraId="659852BB">
                  <w:pPr>
                    <w:jc w:val="center"/>
                    <w:rPr>
                      <w:rFonts w:hint="default" w:ascii="Times New Roman" w:hAnsi="Times New Roman" w:cs="Times New Roman"/>
                      <w:color w:val="FF0000"/>
                      <w:szCs w:val="21"/>
                    </w:rPr>
                  </w:pPr>
                  <w:r>
                    <w:rPr>
                      <w:rFonts w:hint="default" w:ascii="Times New Roman" w:hAnsi="Times New Roman" w:cs="Times New Roman"/>
                      <w:color w:val="FF0000"/>
                    </w:rPr>
                    <w:t>达标</w:t>
                  </w:r>
                </w:p>
              </w:tc>
              <w:tc>
                <w:tcPr>
                  <w:tcW w:w="1242" w:type="pct"/>
                  <w:vMerge w:val="continue"/>
                  <w:tcBorders>
                    <w:tl2br w:val="nil"/>
                    <w:tr2bl w:val="nil"/>
                  </w:tcBorders>
                  <w:vAlign w:val="center"/>
                </w:tcPr>
                <w:p w14:paraId="1FAAB1DE">
                  <w:pPr>
                    <w:pStyle w:val="86"/>
                    <w:rPr>
                      <w:rFonts w:hint="default" w:ascii="Times New Roman" w:hAnsi="Times New Roman" w:cs="Times New Roman"/>
                      <w:color w:val="FF0000"/>
                      <w:highlight w:val="green"/>
                    </w:rPr>
                  </w:pPr>
                </w:p>
              </w:tc>
            </w:tr>
            <w:tr w14:paraId="670BCF05">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98" w:type="pct"/>
                  <w:vMerge w:val="continue"/>
                  <w:tcBorders>
                    <w:tl2br w:val="nil"/>
                    <w:tr2bl w:val="nil"/>
                  </w:tcBorders>
                  <w:vAlign w:val="center"/>
                </w:tcPr>
                <w:p w14:paraId="4099B387">
                  <w:pPr>
                    <w:jc w:val="center"/>
                    <w:rPr>
                      <w:rFonts w:hint="default" w:ascii="Times New Roman" w:hAnsi="Times New Roman" w:cs="Times New Roman"/>
                      <w:color w:val="FF0000"/>
                    </w:rPr>
                  </w:pPr>
                </w:p>
              </w:tc>
              <w:tc>
                <w:tcPr>
                  <w:tcW w:w="778" w:type="pct"/>
                  <w:tcBorders>
                    <w:tl2br w:val="nil"/>
                    <w:tr2bl w:val="nil"/>
                  </w:tcBorders>
                  <w:vAlign w:val="center"/>
                </w:tcPr>
                <w:p w14:paraId="63891270">
                  <w:pPr>
                    <w:jc w:val="center"/>
                    <w:rPr>
                      <w:rFonts w:hint="default" w:ascii="Times New Roman" w:hAnsi="Times New Roman" w:cs="Times New Roman"/>
                      <w:color w:val="FF0000"/>
                    </w:rPr>
                  </w:pPr>
                  <w:r>
                    <w:rPr>
                      <w:rFonts w:hint="default" w:ascii="Times New Roman" w:hAnsi="Times New Roman" w:eastAsia="Times New Roman" w:cs="Times New Roman"/>
                      <w:color w:val="FF0000"/>
                    </w:rPr>
                    <w:t>石油类</w:t>
                  </w:r>
                </w:p>
              </w:tc>
              <w:tc>
                <w:tcPr>
                  <w:tcW w:w="793" w:type="pct"/>
                  <w:tcBorders>
                    <w:tl2br w:val="nil"/>
                    <w:tr2bl w:val="nil"/>
                  </w:tcBorders>
                  <w:vAlign w:val="center"/>
                </w:tcPr>
                <w:p w14:paraId="1C954F12">
                  <w:pPr>
                    <w:pStyle w:val="86"/>
                    <w:rPr>
                      <w:rFonts w:hint="default" w:ascii="Times New Roman" w:hAnsi="Times New Roman" w:eastAsia="宋体" w:cs="Times New Roman"/>
                      <w:color w:val="FF0000"/>
                    </w:rPr>
                  </w:pPr>
                  <w:r>
                    <w:rPr>
                      <w:rFonts w:hint="default" w:ascii="Times New Roman" w:hAnsi="Times New Roman" w:eastAsia="宋体" w:cs="Times New Roman"/>
                      <w:color w:val="FF0000"/>
                    </w:rPr>
                    <w:t>15.2</w:t>
                  </w:r>
                </w:p>
              </w:tc>
              <w:tc>
                <w:tcPr>
                  <w:tcW w:w="793" w:type="pct"/>
                  <w:tcBorders>
                    <w:tl2br w:val="nil"/>
                    <w:tr2bl w:val="nil"/>
                  </w:tcBorders>
                  <w:vAlign w:val="center"/>
                </w:tcPr>
                <w:p w14:paraId="27072D19">
                  <w:pPr>
                    <w:pStyle w:val="86"/>
                    <w:rPr>
                      <w:rFonts w:hint="default" w:ascii="Times New Roman" w:hAnsi="Times New Roman" w:eastAsia="宋体" w:cs="Times New Roman"/>
                      <w:color w:val="FF0000"/>
                    </w:rPr>
                  </w:pPr>
                  <w:r>
                    <w:rPr>
                      <w:rFonts w:hint="default" w:ascii="Times New Roman" w:hAnsi="Times New Roman" w:eastAsia="宋体" w:cs="Times New Roman"/>
                      <w:color w:val="FF0000"/>
                    </w:rPr>
                    <w:t>20</w:t>
                  </w:r>
                </w:p>
              </w:tc>
              <w:tc>
                <w:tcPr>
                  <w:tcW w:w="793" w:type="pct"/>
                  <w:tcBorders>
                    <w:tl2br w:val="nil"/>
                    <w:tr2bl w:val="nil"/>
                  </w:tcBorders>
                  <w:vAlign w:val="center"/>
                </w:tcPr>
                <w:p w14:paraId="5959DD77">
                  <w:pPr>
                    <w:jc w:val="center"/>
                    <w:rPr>
                      <w:rFonts w:hint="default" w:ascii="Times New Roman" w:hAnsi="Times New Roman" w:cs="Times New Roman"/>
                      <w:color w:val="FF0000"/>
                    </w:rPr>
                  </w:pPr>
                  <w:r>
                    <w:rPr>
                      <w:rFonts w:hint="default" w:ascii="Times New Roman" w:hAnsi="Times New Roman" w:cs="Times New Roman"/>
                      <w:color w:val="FF0000"/>
                    </w:rPr>
                    <w:t>达标</w:t>
                  </w:r>
                </w:p>
              </w:tc>
              <w:tc>
                <w:tcPr>
                  <w:tcW w:w="1242" w:type="pct"/>
                  <w:vMerge w:val="continue"/>
                  <w:tcBorders>
                    <w:tl2br w:val="nil"/>
                    <w:tr2bl w:val="nil"/>
                  </w:tcBorders>
                  <w:vAlign w:val="center"/>
                </w:tcPr>
                <w:p w14:paraId="6791FFB6">
                  <w:pPr>
                    <w:pStyle w:val="86"/>
                    <w:rPr>
                      <w:rFonts w:hint="default" w:ascii="Times New Roman" w:hAnsi="Times New Roman" w:cs="Times New Roman"/>
                      <w:color w:val="FF0000"/>
                      <w:highlight w:val="green"/>
                    </w:rPr>
                  </w:pPr>
                </w:p>
              </w:tc>
            </w:tr>
          </w:tbl>
          <w:p w14:paraId="4B11CDDB">
            <w:pPr>
              <w:numPr>
                <w:ilvl w:val="0"/>
                <w:numId w:val="5"/>
              </w:numPr>
              <w:autoSpaceDE w:val="0"/>
              <w:autoSpaceDN w:val="0"/>
              <w:adjustRightInd w:val="0"/>
              <w:snapToGrid w:val="0"/>
              <w:spacing w:line="360" w:lineRule="auto"/>
              <w:ind w:firstLine="482" w:firstLineChars="200"/>
              <w:rPr>
                <w:rFonts w:hint="default" w:ascii="Times New Roman" w:hAnsi="Times New Roman" w:cs="Times New Roman"/>
                <w:b/>
                <w:bCs/>
                <w:color w:val="FF0000"/>
                <w:sz w:val="24"/>
              </w:rPr>
            </w:pPr>
            <w:r>
              <w:rPr>
                <w:rFonts w:hint="default" w:ascii="Times New Roman" w:hAnsi="Times New Roman" w:cs="Times New Roman"/>
                <w:b/>
                <w:bCs/>
                <w:color w:val="FF0000"/>
                <w:kern w:val="0"/>
                <w:sz w:val="24"/>
                <w:lang w:bidi="ar"/>
              </w:rPr>
              <w:t>防治措施可行性及达标分析</w:t>
            </w:r>
          </w:p>
          <w:p w14:paraId="051318A3">
            <w:pPr>
              <w:pStyle w:val="5"/>
              <w:ind w:firstLine="482" w:firstLineChars="200"/>
              <w:rPr>
                <w:rFonts w:hint="default" w:ascii="Times New Roman" w:hAnsi="Times New Roman" w:cs="Times New Roman"/>
                <w:color w:val="FF0000"/>
              </w:rPr>
            </w:pPr>
            <w:r>
              <w:rPr>
                <w:rFonts w:hint="default" w:ascii="Times New Roman" w:hAnsi="Times New Roman" w:cs="Times New Roman"/>
                <w:color w:val="FF0000"/>
              </w:rPr>
              <w:t>（1）项目排水规划</w:t>
            </w:r>
          </w:p>
          <w:p w14:paraId="48A4E308">
            <w:pPr>
              <w:snapToGrid w:val="0"/>
              <w:spacing w:line="360" w:lineRule="auto"/>
              <w:ind w:firstLine="470" w:firstLineChars="196"/>
              <w:rPr>
                <w:rFonts w:hint="default" w:ascii="Times New Roman" w:hAnsi="Times New Roman" w:cs="Times New Roman"/>
                <w:color w:val="FF0000"/>
                <w:sz w:val="24"/>
              </w:rPr>
            </w:pPr>
            <w:r>
              <w:rPr>
                <w:rFonts w:hint="default" w:ascii="Times New Roman" w:hAnsi="Times New Roman" w:cs="Times New Roman"/>
                <w:color w:val="FF0000"/>
                <w:sz w:val="24"/>
              </w:rPr>
              <w:t>根据工程分析结果，拟建项目废水主要为车辆发动机清洗废水、地面冲洗废水、初期雨水和生活污水，废水排放量约为</w:t>
            </w:r>
            <w:r>
              <w:rPr>
                <w:rFonts w:hint="eastAsia" w:cs="Times New Roman"/>
                <w:color w:val="FF0000"/>
                <w:sz w:val="24"/>
                <w:lang w:val="en-US" w:eastAsia="zh-CN"/>
              </w:rPr>
              <w:t>2478</w:t>
            </w:r>
            <w:r>
              <w:rPr>
                <w:rFonts w:hint="default" w:ascii="Times New Roman" w:hAnsi="Times New Roman" w:cs="Times New Roman"/>
                <w:color w:val="FF0000"/>
                <w:sz w:val="24"/>
              </w:rPr>
              <w:t>t/a，其中车辆发动机清洗废水产生量约为810t/a，地面冲洗废水产生量约为972t/a，初期雨水产生量约为</w:t>
            </w:r>
            <w:r>
              <w:rPr>
                <w:rFonts w:hint="eastAsia" w:cs="Times New Roman"/>
                <w:color w:val="FF0000"/>
                <w:sz w:val="24"/>
                <w:lang w:val="en-US" w:eastAsia="zh-CN"/>
              </w:rPr>
              <w:t>480</w:t>
            </w:r>
            <w:r>
              <w:rPr>
                <w:rFonts w:hint="default" w:ascii="Times New Roman" w:hAnsi="Times New Roman" w:cs="Times New Roman"/>
                <w:color w:val="FF0000"/>
                <w:sz w:val="24"/>
              </w:rPr>
              <w:t>t/a，生活污水产生量约为216t/a。项目建成运营后，厂内实行雨污分流、污污分流的排水体制。</w:t>
            </w:r>
          </w:p>
          <w:p w14:paraId="78A67E1F">
            <w:pPr>
              <w:snapToGrid w:val="0"/>
              <w:spacing w:line="360" w:lineRule="auto"/>
              <w:ind w:firstLine="470" w:firstLineChars="196"/>
              <w:rPr>
                <w:rFonts w:hint="default" w:ascii="Times New Roman" w:hAnsi="Times New Roman" w:cs="Times New Roman"/>
                <w:color w:val="FF0000"/>
                <w:sz w:val="24"/>
              </w:rPr>
            </w:pPr>
            <w:r>
              <w:rPr>
                <w:rFonts w:hint="default" w:ascii="Times New Roman" w:hAnsi="Times New Roman" w:cs="Times New Roman"/>
                <w:color w:val="FF0000"/>
                <w:sz w:val="24"/>
              </w:rPr>
              <w:t>项目发动机清洗废水、地面冲洗废水、初期雨水采取“隔油+气浮+沉淀过滤”预处理后与生活污水一同接管入北票市污水处理厂处理，达标排放，尾水排入大凌河，北票市污水处理厂尾水排放执行《城镇污水处理厂污染物排放标准》（GB18918-2002）一级A标准。</w:t>
            </w:r>
          </w:p>
          <w:p w14:paraId="264171C3">
            <w:pPr>
              <w:widowControl/>
              <w:spacing w:line="360" w:lineRule="auto"/>
              <w:ind w:firstLine="480" w:firstLineChars="200"/>
              <w:jc w:val="left"/>
              <w:rPr>
                <w:rFonts w:hint="default" w:ascii="Times New Roman" w:hAnsi="Times New Roman" w:cs="Times New Roman"/>
                <w:color w:val="FF0000"/>
                <w:sz w:val="24"/>
              </w:rPr>
            </w:pPr>
            <w:r>
              <w:rPr>
                <w:rFonts w:hint="default" w:ascii="Times New Roman" w:hAnsi="Times New Roman" w:cs="Times New Roman"/>
                <w:color w:val="FF0000"/>
                <w:sz w:val="24"/>
              </w:rPr>
              <w:t>生产废水、初期雨水根据上文分析水质情况如下表所示。</w:t>
            </w:r>
          </w:p>
          <w:p w14:paraId="37B5FB1D">
            <w:pPr>
              <w:widowControl/>
              <w:jc w:val="center"/>
              <w:rPr>
                <w:rFonts w:hint="default" w:ascii="Times New Roman" w:hAnsi="Times New Roman" w:cs="Times New Roman"/>
                <w:b/>
                <w:color w:val="FF0000"/>
                <w:szCs w:val="21"/>
              </w:rPr>
            </w:pPr>
            <w:r>
              <w:rPr>
                <w:rFonts w:hint="default" w:ascii="Times New Roman" w:hAnsi="Times New Roman" w:cs="Times New Roman"/>
                <w:b/>
                <w:color w:val="FF0000"/>
                <w:szCs w:val="21"/>
              </w:rPr>
              <w:t>表4-2</w:t>
            </w:r>
            <w:r>
              <w:rPr>
                <w:rFonts w:hint="eastAsia" w:cs="Times New Roman"/>
                <w:b/>
                <w:color w:val="FF0000"/>
                <w:szCs w:val="21"/>
                <w:lang w:val="en-US" w:eastAsia="zh-CN"/>
              </w:rPr>
              <w:t>7</w:t>
            </w:r>
            <w:r>
              <w:rPr>
                <w:rFonts w:hint="default" w:ascii="Times New Roman" w:hAnsi="Times New Roman" w:cs="Times New Roman"/>
                <w:b/>
                <w:color w:val="FF0000"/>
                <w:szCs w:val="21"/>
              </w:rPr>
              <w:t xml:space="preserve">  生产废水水质参数一览表   单位：mg/L（除pH）</w:t>
            </w:r>
          </w:p>
          <w:tbl>
            <w:tblPr>
              <w:tblStyle w:val="34"/>
              <w:tblW w:w="4998" w:type="pct"/>
              <w:jc w:val="center"/>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323"/>
              <w:gridCol w:w="1229"/>
              <w:gridCol w:w="1229"/>
              <w:gridCol w:w="1229"/>
              <w:gridCol w:w="1229"/>
              <w:gridCol w:w="1232"/>
            </w:tblGrid>
            <w:tr w14:paraId="143134DE">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92" w:hRule="atLeast"/>
                <w:jc w:val="center"/>
              </w:trPr>
              <w:tc>
                <w:tcPr>
                  <w:tcW w:w="1370" w:type="pct"/>
                  <w:tcBorders>
                    <w:tl2br w:val="nil"/>
                    <w:tr2bl w:val="nil"/>
                  </w:tcBorders>
                  <w:vAlign w:val="center"/>
                </w:tcPr>
                <w:p w14:paraId="5B6F66FE">
                  <w:pPr>
                    <w:snapToGrid w:val="0"/>
                    <w:jc w:val="center"/>
                    <w:rPr>
                      <w:rFonts w:hint="default" w:ascii="Times New Roman" w:hAnsi="Times New Roman" w:cs="Times New Roman"/>
                      <w:b/>
                      <w:color w:val="FF0000"/>
                      <w:szCs w:val="21"/>
                    </w:rPr>
                  </w:pPr>
                  <w:r>
                    <w:rPr>
                      <w:rFonts w:hint="default" w:ascii="Times New Roman" w:hAnsi="Times New Roman" w:cs="Times New Roman"/>
                      <w:b/>
                      <w:color w:val="FF0000"/>
                      <w:szCs w:val="21"/>
                    </w:rPr>
                    <w:t>废水类别</w:t>
                  </w:r>
                </w:p>
              </w:tc>
              <w:tc>
                <w:tcPr>
                  <w:tcW w:w="725" w:type="pct"/>
                  <w:tcBorders>
                    <w:tl2br w:val="nil"/>
                    <w:tr2bl w:val="nil"/>
                  </w:tcBorders>
                  <w:vAlign w:val="center"/>
                </w:tcPr>
                <w:p w14:paraId="1E45443A">
                  <w:pPr>
                    <w:snapToGrid w:val="0"/>
                    <w:jc w:val="center"/>
                    <w:rPr>
                      <w:rFonts w:hint="default" w:ascii="Times New Roman" w:hAnsi="Times New Roman" w:cs="Times New Roman"/>
                      <w:b/>
                      <w:color w:val="FF0000"/>
                      <w:szCs w:val="21"/>
                    </w:rPr>
                  </w:pPr>
                  <w:r>
                    <w:rPr>
                      <w:rFonts w:hint="eastAsia" w:ascii="Times New Roman" w:hAnsi="Times New Roman" w:cs="Times New Roman"/>
                      <w:b/>
                      <w:color w:val="FF0000"/>
                      <w:szCs w:val="21"/>
                      <w:lang w:val="en-US" w:eastAsia="zh-CN"/>
                    </w:rPr>
                    <w:t>pH</w:t>
                  </w:r>
                </w:p>
              </w:tc>
              <w:tc>
                <w:tcPr>
                  <w:tcW w:w="725" w:type="pct"/>
                  <w:tcBorders>
                    <w:tl2br w:val="nil"/>
                    <w:tr2bl w:val="nil"/>
                  </w:tcBorders>
                  <w:vAlign w:val="center"/>
                </w:tcPr>
                <w:p w14:paraId="5BCF07D9">
                  <w:pPr>
                    <w:snapToGrid w:val="0"/>
                    <w:jc w:val="center"/>
                    <w:rPr>
                      <w:rFonts w:hint="default" w:ascii="Times New Roman" w:hAnsi="Times New Roman" w:cs="Times New Roman"/>
                      <w:b/>
                      <w:color w:val="FF0000"/>
                      <w:szCs w:val="21"/>
                    </w:rPr>
                  </w:pPr>
                  <w:r>
                    <w:rPr>
                      <w:rFonts w:hint="default" w:ascii="Times New Roman" w:hAnsi="Times New Roman" w:cs="Times New Roman"/>
                      <w:b/>
                      <w:color w:val="FF0000"/>
                      <w:szCs w:val="21"/>
                    </w:rPr>
                    <w:t>COD</w:t>
                  </w:r>
                </w:p>
              </w:tc>
              <w:tc>
                <w:tcPr>
                  <w:tcW w:w="725" w:type="pct"/>
                  <w:tcBorders>
                    <w:tl2br w:val="nil"/>
                    <w:tr2bl w:val="nil"/>
                  </w:tcBorders>
                  <w:vAlign w:val="center"/>
                </w:tcPr>
                <w:p w14:paraId="306CE70D">
                  <w:pPr>
                    <w:snapToGrid w:val="0"/>
                    <w:jc w:val="center"/>
                    <w:rPr>
                      <w:rFonts w:hint="default" w:ascii="Times New Roman" w:hAnsi="Times New Roman" w:cs="Times New Roman"/>
                      <w:b/>
                      <w:color w:val="FF0000"/>
                      <w:szCs w:val="21"/>
                    </w:rPr>
                  </w:pPr>
                  <w:r>
                    <w:rPr>
                      <w:rFonts w:hint="default" w:ascii="Times New Roman" w:hAnsi="Times New Roman" w:cs="Times New Roman"/>
                      <w:b/>
                      <w:color w:val="FF0000"/>
                      <w:szCs w:val="21"/>
                    </w:rPr>
                    <w:t>石油类</w:t>
                  </w:r>
                </w:p>
              </w:tc>
              <w:tc>
                <w:tcPr>
                  <w:tcW w:w="725" w:type="pct"/>
                  <w:tcBorders>
                    <w:tl2br w:val="nil"/>
                    <w:tr2bl w:val="nil"/>
                  </w:tcBorders>
                  <w:vAlign w:val="center"/>
                </w:tcPr>
                <w:p w14:paraId="5CE8A1AE">
                  <w:pPr>
                    <w:snapToGrid w:val="0"/>
                    <w:jc w:val="center"/>
                    <w:rPr>
                      <w:rFonts w:hint="default" w:ascii="Times New Roman" w:hAnsi="Times New Roman" w:cs="Times New Roman"/>
                      <w:b/>
                      <w:color w:val="FF0000"/>
                      <w:szCs w:val="21"/>
                    </w:rPr>
                  </w:pPr>
                  <w:r>
                    <w:rPr>
                      <w:rFonts w:hint="default" w:ascii="Times New Roman" w:hAnsi="Times New Roman" w:cs="Times New Roman"/>
                      <w:b/>
                      <w:color w:val="FF0000"/>
                      <w:szCs w:val="21"/>
                    </w:rPr>
                    <w:t>SS</w:t>
                  </w:r>
                </w:p>
              </w:tc>
              <w:tc>
                <w:tcPr>
                  <w:tcW w:w="726" w:type="pct"/>
                  <w:tcBorders>
                    <w:tl2br w:val="nil"/>
                    <w:tr2bl w:val="nil"/>
                  </w:tcBorders>
                  <w:vAlign w:val="center"/>
                </w:tcPr>
                <w:p w14:paraId="638F86BF">
                  <w:pPr>
                    <w:snapToGrid w:val="0"/>
                    <w:jc w:val="center"/>
                    <w:rPr>
                      <w:rFonts w:hint="default" w:ascii="Times New Roman" w:hAnsi="Times New Roman" w:cs="Times New Roman"/>
                      <w:b/>
                      <w:color w:val="FF0000"/>
                      <w:szCs w:val="21"/>
                    </w:rPr>
                  </w:pPr>
                  <w:r>
                    <w:rPr>
                      <w:rFonts w:hint="default" w:ascii="Times New Roman" w:hAnsi="Times New Roman" w:cs="Times New Roman"/>
                      <w:b/>
                      <w:color w:val="FF0000"/>
                      <w:szCs w:val="21"/>
                    </w:rPr>
                    <w:t>氨氮</w:t>
                  </w:r>
                </w:p>
              </w:tc>
            </w:tr>
            <w:tr w14:paraId="2E619906">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3" w:hRule="atLeast"/>
                <w:jc w:val="center"/>
              </w:trPr>
              <w:tc>
                <w:tcPr>
                  <w:tcW w:w="1370" w:type="pct"/>
                  <w:tcBorders>
                    <w:tl2br w:val="nil"/>
                    <w:tr2bl w:val="nil"/>
                  </w:tcBorders>
                  <w:vAlign w:val="center"/>
                </w:tcPr>
                <w:p w14:paraId="3EC5D635">
                  <w:pPr>
                    <w:snapToGrid w:val="0"/>
                    <w:jc w:val="center"/>
                    <w:rPr>
                      <w:rFonts w:hint="default" w:ascii="Times New Roman" w:hAnsi="Times New Roman" w:cs="Times New Roman"/>
                      <w:color w:val="FF0000"/>
                      <w:szCs w:val="21"/>
                    </w:rPr>
                  </w:pPr>
                  <w:r>
                    <w:rPr>
                      <w:rFonts w:hint="default" w:ascii="Times New Roman" w:hAnsi="Times New Roman" w:cs="Times New Roman"/>
                      <w:color w:val="FF0000"/>
                      <w:szCs w:val="21"/>
                    </w:rPr>
                    <w:t>生产废水、初期雨水</w:t>
                  </w:r>
                </w:p>
              </w:tc>
              <w:tc>
                <w:tcPr>
                  <w:tcW w:w="725" w:type="pct"/>
                  <w:tcBorders>
                    <w:tl2br w:val="nil"/>
                    <w:tr2bl w:val="nil"/>
                  </w:tcBorders>
                  <w:vAlign w:val="center"/>
                </w:tcPr>
                <w:p w14:paraId="5C7C5CF6">
                  <w:pPr>
                    <w:snapToGrid w:val="0"/>
                    <w:jc w:val="center"/>
                    <w:rPr>
                      <w:rFonts w:hint="default" w:ascii="Times New Roman" w:hAnsi="Times New Roman" w:cs="Times New Roman"/>
                      <w:color w:val="FF0000"/>
                      <w:szCs w:val="21"/>
                    </w:rPr>
                  </w:pPr>
                  <w:r>
                    <w:rPr>
                      <w:rFonts w:hint="default" w:ascii="Times New Roman" w:hAnsi="Times New Roman" w:cs="Times New Roman"/>
                      <w:color w:val="FF0000"/>
                      <w:szCs w:val="21"/>
                      <w:lang w:val="en-US" w:eastAsia="zh-CN"/>
                    </w:rPr>
                    <w:t>7.2~10</w:t>
                  </w:r>
                </w:p>
              </w:tc>
              <w:tc>
                <w:tcPr>
                  <w:tcW w:w="725" w:type="pct"/>
                  <w:tcBorders>
                    <w:tl2br w:val="nil"/>
                    <w:tr2bl w:val="nil"/>
                  </w:tcBorders>
                  <w:vAlign w:val="center"/>
                </w:tcPr>
                <w:p w14:paraId="46B77383">
                  <w:pPr>
                    <w:snapToGrid w:val="0"/>
                    <w:jc w:val="center"/>
                    <w:rPr>
                      <w:rFonts w:hint="default" w:ascii="Times New Roman" w:hAnsi="Times New Roman" w:cs="Times New Roman"/>
                      <w:color w:val="FF0000"/>
                      <w:szCs w:val="21"/>
                    </w:rPr>
                  </w:pPr>
                  <w:r>
                    <w:rPr>
                      <w:rFonts w:hint="default" w:ascii="Times New Roman" w:hAnsi="Times New Roman" w:cs="Times New Roman"/>
                      <w:color w:val="FF0000"/>
                      <w:szCs w:val="21"/>
                    </w:rPr>
                    <w:t>562</w:t>
                  </w:r>
                </w:p>
              </w:tc>
              <w:tc>
                <w:tcPr>
                  <w:tcW w:w="725" w:type="pct"/>
                  <w:tcBorders>
                    <w:tl2br w:val="nil"/>
                    <w:tr2bl w:val="nil"/>
                  </w:tcBorders>
                  <w:vAlign w:val="center"/>
                </w:tcPr>
                <w:p w14:paraId="06D754A4">
                  <w:pPr>
                    <w:snapToGrid w:val="0"/>
                    <w:jc w:val="center"/>
                    <w:rPr>
                      <w:rFonts w:hint="default" w:ascii="Times New Roman" w:hAnsi="Times New Roman" w:cs="Times New Roman"/>
                      <w:color w:val="FF0000"/>
                      <w:szCs w:val="21"/>
                    </w:rPr>
                  </w:pPr>
                  <w:r>
                    <w:rPr>
                      <w:rFonts w:hint="default" w:ascii="Times New Roman" w:hAnsi="Times New Roman" w:cs="Times New Roman"/>
                      <w:color w:val="FF0000"/>
                      <w:szCs w:val="21"/>
                    </w:rPr>
                    <w:t>380</w:t>
                  </w:r>
                </w:p>
              </w:tc>
              <w:tc>
                <w:tcPr>
                  <w:tcW w:w="725" w:type="pct"/>
                  <w:tcBorders>
                    <w:tl2br w:val="nil"/>
                    <w:tr2bl w:val="nil"/>
                  </w:tcBorders>
                  <w:vAlign w:val="center"/>
                </w:tcPr>
                <w:p w14:paraId="0DD6C836">
                  <w:pPr>
                    <w:snapToGrid w:val="0"/>
                    <w:jc w:val="center"/>
                    <w:rPr>
                      <w:rFonts w:hint="default" w:ascii="Times New Roman" w:hAnsi="Times New Roman" w:cs="Times New Roman"/>
                      <w:color w:val="FF0000"/>
                      <w:szCs w:val="21"/>
                    </w:rPr>
                  </w:pPr>
                  <w:r>
                    <w:rPr>
                      <w:rFonts w:hint="default" w:ascii="Times New Roman" w:hAnsi="Times New Roman" w:cs="Times New Roman"/>
                      <w:color w:val="FF0000"/>
                      <w:szCs w:val="21"/>
                    </w:rPr>
                    <w:t>73</w:t>
                  </w:r>
                </w:p>
              </w:tc>
              <w:tc>
                <w:tcPr>
                  <w:tcW w:w="726" w:type="pct"/>
                  <w:tcBorders>
                    <w:tl2br w:val="nil"/>
                    <w:tr2bl w:val="nil"/>
                  </w:tcBorders>
                  <w:vAlign w:val="center"/>
                </w:tcPr>
                <w:p w14:paraId="03CB6EAD">
                  <w:pPr>
                    <w:snapToGrid w:val="0"/>
                    <w:jc w:val="center"/>
                    <w:rPr>
                      <w:rFonts w:hint="default" w:ascii="Times New Roman" w:hAnsi="Times New Roman" w:cs="Times New Roman"/>
                      <w:color w:val="FF0000"/>
                      <w:szCs w:val="21"/>
                    </w:rPr>
                  </w:pPr>
                  <w:r>
                    <w:rPr>
                      <w:rFonts w:hint="default" w:ascii="Times New Roman" w:hAnsi="Times New Roman" w:cs="Times New Roman"/>
                      <w:color w:val="FF0000"/>
                      <w:szCs w:val="21"/>
                    </w:rPr>
                    <w:t>10</w:t>
                  </w:r>
                </w:p>
              </w:tc>
            </w:tr>
          </w:tbl>
          <w:p w14:paraId="71383B2A">
            <w:pPr>
              <w:widowControl/>
              <w:spacing w:line="360" w:lineRule="auto"/>
              <w:ind w:firstLine="480" w:firstLineChars="200"/>
              <w:jc w:val="left"/>
              <w:rPr>
                <w:rFonts w:hint="default" w:ascii="Times New Roman" w:hAnsi="Times New Roman" w:cs="Times New Roman"/>
                <w:color w:val="FF0000"/>
                <w:sz w:val="24"/>
              </w:rPr>
            </w:pPr>
            <w:r>
              <w:rPr>
                <w:rFonts w:hint="default" w:ascii="Times New Roman" w:hAnsi="Times New Roman" w:cs="Times New Roman"/>
                <w:color w:val="FF0000"/>
                <w:sz w:val="24"/>
              </w:rPr>
              <w:t>根据水质，本项目采用“均质+隔油+气浮+沉淀+过滤”的组合流程。</w:t>
            </w:r>
          </w:p>
          <w:p w14:paraId="49102062">
            <w:pPr>
              <w:widowControl/>
              <w:spacing w:line="360" w:lineRule="auto"/>
              <w:jc w:val="left"/>
              <w:rPr>
                <w:rFonts w:hint="default" w:ascii="Times New Roman" w:hAnsi="Times New Roman" w:cs="Times New Roman"/>
                <w:color w:val="000000"/>
                <w:sz w:val="24"/>
              </w:rPr>
            </w:pPr>
          </w:p>
          <w:p w14:paraId="7F73787F">
            <w:pPr>
              <w:widowControl/>
              <w:spacing w:line="360" w:lineRule="auto"/>
              <w:jc w:val="left"/>
              <w:rPr>
                <w:rFonts w:hint="default" w:ascii="Times New Roman" w:hAnsi="Times New Roman" w:cs="Times New Roman"/>
                <w:color w:val="000000"/>
                <w:sz w:val="24"/>
              </w:rPr>
            </w:pPr>
          </w:p>
          <w:p w14:paraId="52846A17">
            <w:pPr>
              <w:widowControl/>
              <w:spacing w:line="360" w:lineRule="auto"/>
              <w:jc w:val="left"/>
              <w:rPr>
                <w:rFonts w:hint="default" w:ascii="Times New Roman" w:hAnsi="Times New Roman" w:cs="Times New Roman"/>
                <w:color w:val="000000"/>
                <w:sz w:val="24"/>
              </w:rPr>
            </w:pPr>
          </w:p>
          <w:p w14:paraId="688F7465">
            <w:pPr>
              <w:widowControl/>
              <w:spacing w:line="360" w:lineRule="auto"/>
              <w:jc w:val="left"/>
              <w:rPr>
                <w:rFonts w:hint="default" w:ascii="Times New Roman" w:hAnsi="Times New Roman" w:cs="Times New Roman"/>
                <w:color w:val="000000"/>
                <w:sz w:val="24"/>
              </w:rPr>
            </w:pPr>
          </w:p>
          <w:p w14:paraId="72AEA390">
            <w:pPr>
              <w:widowControl/>
              <w:spacing w:line="360" w:lineRule="auto"/>
              <w:jc w:val="left"/>
              <w:rPr>
                <w:rFonts w:hint="eastAsia" w:ascii="Times New Roman" w:hAnsi="Times New Roman" w:eastAsia="宋体" w:cs="Times New Roman"/>
                <w:color w:val="000000"/>
                <w:sz w:val="24"/>
                <w:lang w:eastAsia="zh-CN"/>
              </w:rPr>
            </w:pPr>
            <w:r>
              <w:rPr>
                <w:rFonts w:hint="eastAsia" w:ascii="Times New Roman" w:hAnsi="Times New Roman" w:eastAsia="宋体" w:cs="Times New Roman"/>
                <w:color w:val="000000"/>
                <w:sz w:val="24"/>
                <w:lang w:eastAsia="zh-CN"/>
              </w:rPr>
              <w:drawing>
                <wp:inline distT="0" distB="0" distL="114300" distR="114300">
                  <wp:extent cx="5373370" cy="5673725"/>
                  <wp:effectExtent l="0" t="0" r="17780" b="3175"/>
                  <wp:docPr id="33" name="图片 33" descr="mermaid-2025717 145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descr="mermaid-2025717 145150"/>
                          <pic:cNvPicPr>
                            <a:picLocks noChangeAspect="1"/>
                          </pic:cNvPicPr>
                        </pic:nvPicPr>
                        <pic:blipFill>
                          <a:blip r:embed="rId32"/>
                          <a:stretch>
                            <a:fillRect/>
                          </a:stretch>
                        </pic:blipFill>
                        <pic:spPr>
                          <a:xfrm>
                            <a:off x="0" y="0"/>
                            <a:ext cx="5373370" cy="5673725"/>
                          </a:xfrm>
                          <a:prstGeom prst="rect">
                            <a:avLst/>
                          </a:prstGeom>
                        </pic:spPr>
                      </pic:pic>
                    </a:graphicData>
                  </a:graphic>
                </wp:inline>
              </w:drawing>
            </w:r>
          </w:p>
          <w:p w14:paraId="22CAA59F">
            <w:pPr>
              <w:widowControl/>
              <w:spacing w:line="360" w:lineRule="auto"/>
              <w:jc w:val="center"/>
              <w:rPr>
                <w:rFonts w:hint="default" w:ascii="Times New Roman" w:hAnsi="Times New Roman" w:cs="Times New Roman"/>
                <w:b/>
                <w:color w:val="000000"/>
              </w:rPr>
            </w:pPr>
            <w:r>
              <w:rPr>
                <w:rFonts w:hint="default" w:ascii="Times New Roman" w:hAnsi="Times New Roman" w:cs="Times New Roman"/>
                <w:b/>
                <w:color w:val="000000"/>
              </w:rPr>
              <w:t>图4-1  项目污水处理工艺流程图</w:t>
            </w:r>
          </w:p>
          <w:p w14:paraId="4EE69CF0">
            <w:pPr>
              <w:pStyle w:val="5"/>
              <w:ind w:firstLine="482" w:firstLineChars="200"/>
              <w:rPr>
                <w:rFonts w:hint="default" w:ascii="Times New Roman" w:hAnsi="Times New Roman" w:cs="Times New Roman"/>
                <w:color w:val="FF0000"/>
              </w:rPr>
            </w:pPr>
            <w:r>
              <w:rPr>
                <w:rFonts w:hint="default" w:ascii="Times New Roman" w:hAnsi="Times New Roman" w:cs="Times New Roman"/>
                <w:color w:val="FF0000"/>
              </w:rPr>
              <w:t>（</w:t>
            </w:r>
            <w:r>
              <w:rPr>
                <w:rFonts w:hint="eastAsia" w:ascii="Times New Roman" w:hAnsi="Times New Roman" w:cs="Times New Roman"/>
                <w:color w:val="FF0000"/>
                <w:lang w:val="en-US" w:eastAsia="zh-CN"/>
              </w:rPr>
              <w:t>2</w:t>
            </w:r>
            <w:r>
              <w:rPr>
                <w:rFonts w:hint="default" w:ascii="Times New Roman" w:hAnsi="Times New Roman" w:cs="Times New Roman"/>
                <w:color w:val="FF0000"/>
              </w:rPr>
              <w:t>）</w:t>
            </w:r>
            <w:r>
              <w:rPr>
                <w:rFonts w:hint="default" w:ascii="Times New Roman" w:hAnsi="Times New Roman" w:cs="Times New Roman"/>
                <w:color w:val="FF0000"/>
                <w:sz w:val="24"/>
                <w:szCs w:val="24"/>
              </w:rPr>
              <w:t>依托</w:t>
            </w:r>
            <w:r>
              <w:rPr>
                <w:rFonts w:hint="default" w:ascii="Times New Roman" w:hAnsi="Times New Roman" w:eastAsia="宋体" w:cs="Times New Roman"/>
                <w:color w:val="FF0000"/>
                <w:sz w:val="24"/>
                <w:szCs w:val="32"/>
                <w:lang w:val="en-US" w:eastAsia="zh-CN"/>
              </w:rPr>
              <w:t>北票市污水处理厂</w:t>
            </w:r>
            <w:r>
              <w:rPr>
                <w:rFonts w:hint="default" w:ascii="Times New Roman" w:hAnsi="Times New Roman" w:cs="Times New Roman"/>
                <w:color w:val="FF0000"/>
                <w:sz w:val="24"/>
                <w:szCs w:val="24"/>
              </w:rPr>
              <w:t>的可行性分析</w:t>
            </w:r>
          </w:p>
          <w:p w14:paraId="617CC7CA">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FF0000"/>
                <w:sz w:val="24"/>
                <w:szCs w:val="32"/>
                <w:lang w:eastAsia="zh-CN"/>
              </w:rPr>
            </w:pPr>
            <w:r>
              <w:rPr>
                <w:rFonts w:hint="default" w:ascii="Times New Roman" w:hAnsi="Times New Roman" w:eastAsia="宋体" w:cs="Times New Roman"/>
                <w:color w:val="FF0000"/>
                <w:sz w:val="24"/>
                <w:szCs w:val="32"/>
                <w:lang w:val="en-US" w:eastAsia="zh-CN"/>
              </w:rPr>
              <w:t>北票市污水处理厂位于北票市凉水河乡凉水河村，配套建设中水回用系统，初始建设污水处理量为5万t/d，已竣工验收；扩建工程污水处理量为5万t/d，其中一期工程2.5万t/d已竣工验收，总污水处理能力为7.5万t/d，现实际污水处理量约为6.5万m</w:t>
            </w:r>
            <w:r>
              <w:rPr>
                <w:rFonts w:hint="default" w:ascii="Times New Roman" w:hAnsi="Times New Roman" w:eastAsia="宋体" w:cs="Times New Roman"/>
                <w:color w:val="FF0000"/>
                <w:sz w:val="24"/>
                <w:szCs w:val="32"/>
                <w:vertAlign w:val="superscript"/>
                <w:lang w:val="en-US" w:eastAsia="zh-CN"/>
              </w:rPr>
              <w:t>3</w:t>
            </w:r>
            <w:r>
              <w:rPr>
                <w:rFonts w:hint="default" w:ascii="Times New Roman" w:hAnsi="Times New Roman" w:eastAsia="宋体" w:cs="Times New Roman"/>
                <w:color w:val="FF0000"/>
                <w:sz w:val="24"/>
                <w:szCs w:val="32"/>
                <w:lang w:val="en-US" w:eastAsia="zh-CN"/>
              </w:rPr>
              <w:t>/d，</w:t>
            </w:r>
            <w:r>
              <w:rPr>
                <w:rFonts w:hint="eastAsia" w:cs="Times New Roman"/>
                <w:color w:val="FF0000"/>
                <w:sz w:val="24"/>
                <w:szCs w:val="32"/>
                <w:lang w:val="en-US" w:eastAsia="zh-CN"/>
              </w:rPr>
              <w:t>剩余处理能力10000m</w:t>
            </w:r>
            <w:r>
              <w:rPr>
                <w:rFonts w:hint="eastAsia" w:cs="Times New Roman"/>
                <w:color w:val="FF0000"/>
                <w:sz w:val="24"/>
                <w:szCs w:val="32"/>
                <w:vertAlign w:val="superscript"/>
                <w:lang w:val="en-US" w:eastAsia="zh-CN"/>
              </w:rPr>
              <w:t>3</w:t>
            </w:r>
            <w:r>
              <w:rPr>
                <w:rFonts w:hint="eastAsia" w:cs="Times New Roman"/>
                <w:color w:val="FF0000"/>
                <w:sz w:val="24"/>
                <w:szCs w:val="32"/>
                <w:lang w:val="en-US" w:eastAsia="zh-CN"/>
              </w:rPr>
              <w:t>/d，</w:t>
            </w:r>
            <w:r>
              <w:rPr>
                <w:rFonts w:hint="default" w:ascii="Times New Roman" w:hAnsi="Times New Roman" w:eastAsia="宋体" w:cs="Times New Roman"/>
                <w:color w:val="FF0000"/>
                <w:sz w:val="24"/>
                <w:szCs w:val="32"/>
                <w:lang w:val="en-US" w:eastAsia="zh-CN"/>
              </w:rPr>
              <w:t>本项目污水产生量约为</w:t>
            </w:r>
            <w:r>
              <w:rPr>
                <w:rFonts w:hint="eastAsia" w:cs="Times New Roman"/>
                <w:color w:val="FF0000"/>
                <w:sz w:val="24"/>
                <w:szCs w:val="32"/>
                <w:lang w:val="en-US" w:eastAsia="zh-CN"/>
              </w:rPr>
              <w:t>8.26</w:t>
            </w:r>
            <w:r>
              <w:rPr>
                <w:rFonts w:hint="default" w:ascii="Times New Roman" w:hAnsi="Times New Roman" w:eastAsia="宋体" w:cs="Times New Roman"/>
                <w:color w:val="FF0000"/>
                <w:sz w:val="24"/>
                <w:szCs w:val="32"/>
                <w:lang w:val="en-US" w:eastAsia="zh-CN"/>
              </w:rPr>
              <w:t>m</w:t>
            </w:r>
            <w:r>
              <w:rPr>
                <w:rFonts w:hint="default" w:ascii="Times New Roman" w:hAnsi="Times New Roman" w:eastAsia="宋体" w:cs="Times New Roman"/>
                <w:color w:val="FF0000"/>
                <w:sz w:val="24"/>
                <w:szCs w:val="32"/>
                <w:vertAlign w:val="superscript"/>
                <w:lang w:val="en-US" w:eastAsia="zh-CN"/>
              </w:rPr>
              <w:t>3</w:t>
            </w:r>
            <w:r>
              <w:rPr>
                <w:rFonts w:hint="default" w:ascii="Times New Roman" w:hAnsi="Times New Roman" w:eastAsia="宋体" w:cs="Times New Roman"/>
                <w:color w:val="FF0000"/>
                <w:sz w:val="24"/>
                <w:szCs w:val="32"/>
                <w:lang w:val="en-US" w:eastAsia="zh-CN"/>
              </w:rPr>
              <w:t>/d，污水量较少，污水处理厂可容纳本项目排放的污水。本项目污水</w:t>
            </w:r>
            <w:r>
              <w:rPr>
                <w:rFonts w:hint="eastAsia" w:ascii="Times New Roman" w:hAnsi="Times New Roman" w:eastAsia="宋体" w:cs="Times New Roman"/>
                <w:color w:val="FF0000"/>
                <w:sz w:val="24"/>
                <w:szCs w:val="32"/>
                <w:lang w:val="en-US" w:eastAsia="zh-CN"/>
              </w:rPr>
              <w:t>经厂内污水处理站及化粪池处理后，水质符合《辽宁省污水综合排放标准》（DB21/1627-2008）标准，</w:t>
            </w:r>
            <w:r>
              <w:rPr>
                <w:rFonts w:hint="default" w:ascii="Times New Roman" w:hAnsi="Times New Roman" w:eastAsia="宋体" w:cs="Times New Roman"/>
                <w:color w:val="FF0000"/>
                <w:sz w:val="24"/>
                <w:szCs w:val="32"/>
                <w:lang w:val="en-US" w:eastAsia="zh-CN"/>
              </w:rPr>
              <w:t>其水质可达到北票市污水处理厂接管要求。北票市污水处理厂处理工艺采用A</w:t>
            </w:r>
            <w:r>
              <w:rPr>
                <w:rFonts w:hint="default" w:ascii="Times New Roman" w:hAnsi="Times New Roman" w:eastAsia="宋体" w:cs="Times New Roman"/>
                <w:color w:val="FF0000"/>
                <w:sz w:val="24"/>
                <w:szCs w:val="32"/>
                <w:vertAlign w:val="superscript"/>
                <w:lang w:val="en-US" w:eastAsia="zh-CN"/>
              </w:rPr>
              <w:t>2</w:t>
            </w:r>
            <w:r>
              <w:rPr>
                <w:rFonts w:hint="default" w:ascii="Times New Roman" w:hAnsi="Times New Roman" w:eastAsia="宋体" w:cs="Times New Roman"/>
                <w:color w:val="FF0000"/>
                <w:sz w:val="24"/>
                <w:szCs w:val="32"/>
                <w:lang w:val="en-US" w:eastAsia="zh-CN"/>
              </w:rPr>
              <w:t>/O污水处理工艺，可以有效处理本项目产生的生产废水和生活污水中各项污染物，出水水质可满足城镇污水处理厂污染物排放标准一级标准的A标准，本项目依托北票市污水处理厂可行。</w:t>
            </w:r>
          </w:p>
          <w:p w14:paraId="53408BDE">
            <w:pPr>
              <w:spacing w:line="360" w:lineRule="auto"/>
              <w:rPr>
                <w:rFonts w:hint="default" w:ascii="Times New Roman" w:hAnsi="Times New Roman" w:cs="Times New Roman"/>
                <w:b/>
                <w:color w:val="000000"/>
                <w:sz w:val="24"/>
              </w:rPr>
            </w:pPr>
            <w:r>
              <w:rPr>
                <w:rFonts w:hint="eastAsia" w:cs="Times New Roman"/>
                <w:b/>
                <w:color w:val="000000"/>
                <w:sz w:val="24"/>
                <w:lang w:eastAsia="zh-CN"/>
              </w:rPr>
              <w:t>（</w:t>
            </w:r>
            <w:r>
              <w:rPr>
                <w:rFonts w:hint="eastAsia" w:cs="Times New Roman"/>
                <w:b/>
                <w:color w:val="000000"/>
                <w:sz w:val="24"/>
                <w:lang w:val="en-US" w:eastAsia="zh-CN"/>
              </w:rPr>
              <w:t>3</w:t>
            </w:r>
            <w:r>
              <w:rPr>
                <w:rFonts w:hint="eastAsia" w:cs="Times New Roman"/>
                <w:b/>
                <w:color w:val="000000"/>
                <w:sz w:val="24"/>
                <w:lang w:eastAsia="zh-CN"/>
              </w:rPr>
              <w:t>）</w:t>
            </w:r>
            <w:r>
              <w:rPr>
                <w:rFonts w:hint="default" w:ascii="Times New Roman" w:hAnsi="Times New Roman" w:cs="Times New Roman"/>
                <w:b/>
                <w:color w:val="000000"/>
                <w:sz w:val="24"/>
              </w:rPr>
              <w:t>工艺流程说明：</w:t>
            </w:r>
          </w:p>
          <w:p w14:paraId="6E42ABF2">
            <w:pPr>
              <w:widowControl/>
              <w:spacing w:line="360" w:lineRule="auto"/>
              <w:ind w:firstLine="480" w:firstLineChars="200"/>
              <w:jc w:val="left"/>
              <w:rPr>
                <w:rFonts w:hint="default" w:ascii="Times New Roman" w:hAnsi="Times New Roman" w:cs="Times New Roman"/>
                <w:color w:val="000000"/>
                <w:sz w:val="24"/>
              </w:rPr>
            </w:pPr>
            <w:r>
              <w:rPr>
                <w:rFonts w:hint="default" w:ascii="Times New Roman" w:hAnsi="Times New Roman" w:cs="Times New Roman"/>
                <w:color w:val="000000"/>
                <w:sz w:val="24"/>
              </w:rPr>
              <w:t>A、废水处理系统</w:t>
            </w:r>
          </w:p>
          <w:p w14:paraId="0ECB5D20">
            <w:pPr>
              <w:widowControl/>
              <w:spacing w:line="360" w:lineRule="auto"/>
              <w:ind w:firstLine="480" w:firstLineChars="200"/>
              <w:jc w:val="left"/>
              <w:rPr>
                <w:rFonts w:hint="default" w:ascii="Times New Roman" w:hAnsi="Times New Roman" w:cs="Times New Roman"/>
                <w:color w:val="000000"/>
                <w:sz w:val="24"/>
              </w:rPr>
            </w:pPr>
            <w:r>
              <w:rPr>
                <w:rFonts w:hint="default" w:ascii="Times New Roman" w:hAnsi="Times New Roman" w:cs="Times New Roman"/>
                <w:color w:val="000000"/>
                <w:sz w:val="24"/>
              </w:rPr>
              <w:t>本项目采用“均质+隔油+气浮+沉淀+滤池”五级组合工艺处理废水。首先通过均质调节池调节水质水量及pH值</w:t>
            </w:r>
            <w:r>
              <w:rPr>
                <w:rFonts w:hint="eastAsia" w:cs="Times New Roman"/>
                <w:color w:val="000000"/>
                <w:sz w:val="24"/>
                <w:lang w:eastAsia="zh-CN"/>
              </w:rPr>
              <w:t>，</w:t>
            </w:r>
            <w:r>
              <w:rPr>
                <w:rFonts w:hint="eastAsia" w:cs="Times New Roman"/>
                <w:color w:val="000000"/>
                <w:sz w:val="24"/>
                <w:lang w:val="en-US" w:eastAsia="zh-CN"/>
              </w:rPr>
              <w:t>将pH调节至6~9</w:t>
            </w:r>
            <w:r>
              <w:rPr>
                <w:rFonts w:hint="default" w:ascii="Times New Roman" w:hAnsi="Times New Roman" w:cs="Times New Roman"/>
                <w:color w:val="000000"/>
                <w:sz w:val="24"/>
              </w:rPr>
              <w:t>，利用搅拌装置均衡水质波动；随后废水进入隔油池，借助重力分离原理去除浮油和大颗粒悬浮物，并通过集油管和排泥装置定期清理表层浮油与底部污泥。继而采用气浮工艺，通过微气泡吸附乳化油及细小悬浮物形成浮渣，经刮渣机清除以降低COD和SS含量；后续投加PAM等药剂进行混凝反应，使污染物凝聚为矾花后于沉淀池中固液分离，进一步去除胶体及溶解性物质。最终通过过滤池对废水进行深度处理，池内设置多层滤料在沉淀残留悬浮物的同时通过过滤截留细微颗粒，并吸附部分溶解性污染物，沉淀过滤掉大部分悬浮物，最后清水达到排放标准后，达标排放。</w:t>
            </w:r>
          </w:p>
          <w:p w14:paraId="2AC051FE">
            <w:pPr>
              <w:widowControl/>
              <w:spacing w:line="360" w:lineRule="auto"/>
              <w:ind w:firstLine="480" w:firstLineChars="200"/>
              <w:jc w:val="left"/>
              <w:rPr>
                <w:rFonts w:hint="default" w:ascii="Times New Roman" w:hAnsi="Times New Roman" w:cs="Times New Roman"/>
                <w:color w:val="FF0000"/>
                <w:sz w:val="24"/>
              </w:rPr>
            </w:pPr>
            <w:r>
              <w:rPr>
                <w:rFonts w:hint="default" w:ascii="Times New Roman" w:hAnsi="Times New Roman" w:cs="Times New Roman"/>
                <w:color w:val="FF0000"/>
                <w:sz w:val="24"/>
              </w:rPr>
              <w:t>B、油泥</w:t>
            </w:r>
            <w:r>
              <w:rPr>
                <w:rFonts w:hint="eastAsia" w:cs="Times New Roman"/>
                <w:color w:val="FF0000"/>
                <w:sz w:val="24"/>
                <w:lang w:val="en-US" w:eastAsia="zh-CN"/>
              </w:rPr>
              <w:t>及沉渣</w:t>
            </w:r>
            <w:r>
              <w:rPr>
                <w:rFonts w:hint="default" w:ascii="Times New Roman" w:hAnsi="Times New Roman" w:cs="Times New Roman"/>
                <w:color w:val="FF0000"/>
                <w:sz w:val="24"/>
              </w:rPr>
              <w:t>处理</w:t>
            </w:r>
          </w:p>
          <w:p w14:paraId="2F164E0C">
            <w:pPr>
              <w:widowControl/>
              <w:spacing w:line="360" w:lineRule="auto"/>
              <w:ind w:firstLine="480" w:firstLineChars="200"/>
              <w:jc w:val="left"/>
              <w:rPr>
                <w:rFonts w:hint="default" w:ascii="Times New Roman" w:hAnsi="Times New Roman" w:cs="Times New Roman"/>
                <w:color w:val="FF0000"/>
                <w:sz w:val="24"/>
              </w:rPr>
            </w:pPr>
            <w:r>
              <w:rPr>
                <w:rFonts w:hint="default" w:ascii="Times New Roman" w:hAnsi="Times New Roman" w:cs="Times New Roman"/>
                <w:color w:val="FF0000"/>
                <w:sz w:val="24"/>
              </w:rPr>
              <w:t>将废水处理系统产生的物化油泥和生化油泥</w:t>
            </w:r>
            <w:r>
              <w:rPr>
                <w:rFonts w:hint="eastAsia" w:cs="Times New Roman"/>
                <w:color w:val="FF0000"/>
                <w:sz w:val="24"/>
                <w:lang w:eastAsia="zh-CN"/>
              </w:rPr>
              <w:t>、</w:t>
            </w:r>
            <w:r>
              <w:rPr>
                <w:rFonts w:hint="eastAsia" w:cs="Times New Roman"/>
                <w:color w:val="FF0000"/>
                <w:sz w:val="24"/>
                <w:lang w:val="en-US" w:eastAsia="zh-CN"/>
              </w:rPr>
              <w:t>沉渣</w:t>
            </w:r>
            <w:r>
              <w:rPr>
                <w:rFonts w:hint="default" w:ascii="Times New Roman" w:hAnsi="Times New Roman" w:cs="Times New Roman"/>
                <w:color w:val="FF0000"/>
                <w:sz w:val="24"/>
              </w:rPr>
              <w:t>收集到油泥池，然后通过压滤机压滤，滤液回到均质池，经过脱水处理的油泥</w:t>
            </w:r>
            <w:r>
              <w:rPr>
                <w:rFonts w:hint="eastAsia" w:cs="Times New Roman"/>
                <w:color w:val="FF0000"/>
                <w:sz w:val="24"/>
                <w:lang w:val="en-US" w:eastAsia="zh-CN"/>
              </w:rPr>
              <w:t>及沉渣</w:t>
            </w:r>
            <w:r>
              <w:rPr>
                <w:rFonts w:hint="default" w:ascii="Times New Roman" w:hAnsi="Times New Roman" w:cs="Times New Roman"/>
                <w:color w:val="FF0000"/>
                <w:sz w:val="24"/>
              </w:rPr>
              <w:t>暂存于</w:t>
            </w:r>
            <w:r>
              <w:rPr>
                <w:rFonts w:hint="eastAsia" w:cs="Times New Roman"/>
                <w:color w:val="FF0000"/>
                <w:sz w:val="24"/>
                <w:lang w:val="en-US" w:eastAsia="zh-CN"/>
              </w:rPr>
              <w:t>油泥池内</w:t>
            </w:r>
            <w:r>
              <w:rPr>
                <w:rFonts w:hint="default" w:ascii="Times New Roman" w:hAnsi="Times New Roman" w:cs="Times New Roman"/>
                <w:color w:val="FF0000"/>
                <w:sz w:val="24"/>
              </w:rPr>
              <w:t>，定期</w:t>
            </w:r>
            <w:r>
              <w:rPr>
                <w:rFonts w:hint="default" w:ascii="Times New Roman" w:hAnsi="Times New Roman" w:cs="Times New Roman"/>
                <w:color w:val="FF0000"/>
                <w:sz w:val="24"/>
                <w:lang w:val="en-US" w:eastAsia="zh-CN"/>
              </w:rPr>
              <w:t>定期</w:t>
            </w:r>
            <w:r>
              <w:rPr>
                <w:rFonts w:hint="default" w:ascii="Times New Roman" w:hAnsi="Times New Roman" w:cs="Times New Roman"/>
                <w:color w:val="FF0000"/>
                <w:sz w:val="24"/>
              </w:rPr>
              <w:t>交由持有相应类别危险废物经营许可证的单位处理。</w:t>
            </w:r>
          </w:p>
          <w:p w14:paraId="05BCF4DC">
            <w:pPr>
              <w:pStyle w:val="12"/>
              <w:ind w:firstLine="482" w:firstLineChars="200"/>
              <w:rPr>
                <w:rFonts w:hint="default" w:ascii="Times New Roman" w:hAnsi="Times New Roman" w:cs="Times New Roman"/>
                <w:b/>
                <w:bCs/>
                <w:color w:val="FF0000"/>
                <w:sz w:val="24"/>
              </w:rPr>
            </w:pPr>
            <w:r>
              <w:rPr>
                <w:rFonts w:hint="default" w:ascii="Times New Roman" w:hAnsi="Times New Roman" w:cs="Times New Roman"/>
                <w:b/>
                <w:bCs/>
                <w:color w:val="FF0000"/>
                <w:sz w:val="24"/>
              </w:rPr>
              <w:t>油泥产生量计算：</w:t>
            </w:r>
          </w:p>
          <w:p w14:paraId="3D0A4EE0">
            <w:pPr>
              <w:pStyle w:val="12"/>
              <w:rPr>
                <w:rFonts w:hint="default" w:ascii="Times New Roman" w:hAnsi="Times New Roman" w:cs="Times New Roman"/>
                <w:color w:val="FF0000"/>
                <w:sz w:val="24"/>
              </w:rPr>
            </w:pPr>
            <w:r>
              <w:rPr>
                <w:rFonts w:hint="default" w:ascii="Times New Roman" w:hAnsi="Times New Roman" w:cs="Times New Roman"/>
                <w:color w:val="FF0000"/>
              </w:rPr>
              <w:drawing>
                <wp:inline distT="0" distB="0" distL="114300" distR="114300">
                  <wp:extent cx="5414010" cy="809625"/>
                  <wp:effectExtent l="0" t="0" r="15240" b="9525"/>
                  <wp:docPr id="211"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图片 4"/>
                          <pic:cNvPicPr>
                            <a:picLocks noChangeAspect="1"/>
                          </pic:cNvPicPr>
                        </pic:nvPicPr>
                        <pic:blipFill>
                          <a:blip r:embed="rId33"/>
                          <a:stretch>
                            <a:fillRect/>
                          </a:stretch>
                        </pic:blipFill>
                        <pic:spPr>
                          <a:xfrm>
                            <a:off x="0" y="0"/>
                            <a:ext cx="5414010" cy="809625"/>
                          </a:xfrm>
                          <a:prstGeom prst="rect">
                            <a:avLst/>
                          </a:prstGeom>
                          <a:noFill/>
                          <a:ln>
                            <a:noFill/>
                          </a:ln>
                        </pic:spPr>
                      </pic:pic>
                    </a:graphicData>
                  </a:graphic>
                </wp:inline>
              </w:drawing>
            </w:r>
          </w:p>
          <w:p w14:paraId="4F80AEA2">
            <w:pPr>
              <w:widowControl/>
              <w:spacing w:line="360" w:lineRule="auto"/>
              <w:ind w:firstLine="480" w:firstLineChars="200"/>
              <w:jc w:val="left"/>
              <w:rPr>
                <w:rFonts w:hint="default" w:ascii="Times New Roman" w:hAnsi="Times New Roman" w:cs="Times New Roman"/>
                <w:color w:val="FF0000"/>
                <w:sz w:val="24"/>
              </w:rPr>
            </w:pPr>
            <w:r>
              <w:rPr>
                <w:rFonts w:hint="default" w:ascii="Times New Roman" w:hAnsi="Times New Roman" w:cs="Times New Roman"/>
                <w:color w:val="FF0000"/>
                <w:sz w:val="24"/>
              </w:rPr>
              <w:t>式中：</w:t>
            </w:r>
          </w:p>
          <w:p w14:paraId="16B84CBA">
            <w:pPr>
              <w:widowControl/>
              <w:spacing w:line="360" w:lineRule="auto"/>
              <w:ind w:firstLine="480" w:firstLineChars="200"/>
              <w:jc w:val="left"/>
              <w:rPr>
                <w:rFonts w:hint="default" w:ascii="Times New Roman" w:hAnsi="Times New Roman" w:cs="Times New Roman"/>
                <w:color w:val="FF0000"/>
                <w:sz w:val="24"/>
              </w:rPr>
            </w:pPr>
            <w:r>
              <w:rPr>
                <w:rFonts w:hint="default" w:ascii="Times New Roman" w:hAnsi="Times New Roman" w:cs="Times New Roman"/>
                <w:color w:val="FF0000"/>
                <w:sz w:val="24"/>
              </w:rPr>
              <w:t>Ci：各单元石油类浓度（mg/L）见下表；</w:t>
            </w:r>
          </w:p>
          <w:p w14:paraId="3764472C">
            <w:pPr>
              <w:widowControl/>
              <w:spacing w:line="360" w:lineRule="auto"/>
              <w:ind w:left="479" w:leftChars="228"/>
              <w:jc w:val="left"/>
              <w:rPr>
                <w:rFonts w:hint="default" w:ascii="Times New Roman" w:hAnsi="Times New Roman" w:cs="Times New Roman"/>
                <w:color w:val="FF0000"/>
                <w:sz w:val="24"/>
              </w:rPr>
            </w:pPr>
            <w:r>
              <w:rPr>
                <w:rFonts w:hint="default" w:ascii="Times New Roman" w:hAnsi="Times New Roman" w:cs="Times New Roman"/>
                <w:color w:val="FF0000"/>
                <w:sz w:val="24"/>
              </w:rPr>
              <w:t xml:space="preserve">Q：污水总量（吨/年）为 </w:t>
            </w:r>
            <w:r>
              <w:rPr>
                <w:rFonts w:hint="eastAsia" w:cs="Times New Roman"/>
                <w:color w:val="FF0000"/>
                <w:sz w:val="24"/>
                <w:lang w:val="en-US" w:eastAsia="zh-CN"/>
              </w:rPr>
              <w:t>2478</w:t>
            </w:r>
            <w:r>
              <w:rPr>
                <w:rFonts w:hint="default" w:ascii="Times New Roman" w:hAnsi="Times New Roman" w:cs="Times New Roman"/>
                <w:color w:val="FF0000"/>
                <w:sz w:val="24"/>
              </w:rPr>
              <w:t>t/a。</w:t>
            </w:r>
            <w:r>
              <w:rPr>
                <w:rFonts w:hint="default" w:ascii="Times New Roman" w:hAnsi="Times New Roman" w:cs="Times New Roman"/>
                <w:color w:val="FF0000"/>
                <w:sz w:val="24"/>
              </w:rPr>
              <w:br w:type="textWrapping"/>
            </w:r>
            <w:r>
              <w:rPr>
                <w:rFonts w:hint="default" w:ascii="Times New Roman" w:hAnsi="Times New Roman" w:cs="Times New Roman"/>
                <w:color w:val="FF0000"/>
                <w:sz w:val="24"/>
              </w:rPr>
              <w:t>经计算本项目油泥产生量约为0.</w:t>
            </w:r>
            <w:r>
              <w:rPr>
                <w:rFonts w:hint="eastAsia" w:cs="Times New Roman"/>
                <w:color w:val="FF0000"/>
                <w:sz w:val="24"/>
                <w:lang w:val="en-US" w:eastAsia="zh-CN"/>
              </w:rPr>
              <w:t>982</w:t>
            </w:r>
            <w:r>
              <w:rPr>
                <w:rFonts w:hint="default" w:ascii="Times New Roman" w:hAnsi="Times New Roman" w:cs="Times New Roman"/>
                <w:color w:val="FF0000"/>
                <w:sz w:val="24"/>
              </w:rPr>
              <w:t>t/a</w:t>
            </w:r>
          </w:p>
          <w:p w14:paraId="7A5E346B">
            <w:pPr>
              <w:widowControl/>
              <w:spacing w:line="360" w:lineRule="auto"/>
              <w:ind w:firstLine="482" w:firstLineChars="200"/>
              <w:jc w:val="left"/>
              <w:rPr>
                <w:rFonts w:hint="default" w:ascii="Times New Roman" w:hAnsi="Times New Roman" w:cs="Times New Roman"/>
                <w:b/>
                <w:bCs/>
                <w:color w:val="FF0000"/>
                <w:sz w:val="24"/>
              </w:rPr>
            </w:pPr>
            <w:r>
              <w:rPr>
                <w:rFonts w:hint="default" w:ascii="Times New Roman" w:hAnsi="Times New Roman" w:cs="Times New Roman"/>
                <w:b/>
                <w:bCs/>
                <w:color w:val="FF0000"/>
                <w:sz w:val="24"/>
              </w:rPr>
              <w:t>沉淀渣产生量计算：</w:t>
            </w:r>
          </w:p>
          <w:p w14:paraId="0B566292">
            <w:pPr>
              <w:widowControl/>
              <w:spacing w:line="360" w:lineRule="auto"/>
              <w:ind w:firstLine="480" w:firstLineChars="200"/>
              <w:jc w:val="left"/>
              <w:rPr>
                <w:rFonts w:hint="default" w:ascii="Times New Roman" w:hAnsi="Times New Roman" w:cs="Times New Roman"/>
                <w:color w:val="FF0000"/>
                <w:sz w:val="24"/>
              </w:rPr>
            </w:pPr>
            <w:r>
              <w:rPr>
                <w:rFonts w:hint="default" w:ascii="Times New Roman" w:hAnsi="Times New Roman" w:cs="Times New Roman"/>
                <w:color w:val="FF0000"/>
                <w:sz w:val="24"/>
              </w:rPr>
              <w:t>沉淀单元主要去除SS和胶体物质，去除率按设计值</w:t>
            </w:r>
            <w:r>
              <w:rPr>
                <w:rFonts w:hint="eastAsia" w:cs="Times New Roman"/>
                <w:color w:val="FF0000"/>
                <w:sz w:val="24"/>
                <w:lang w:val="en-US" w:eastAsia="zh-CN"/>
              </w:rPr>
              <w:t>86.5</w:t>
            </w:r>
            <w:r>
              <w:rPr>
                <w:rFonts w:hint="default" w:ascii="Times New Roman" w:hAnsi="Times New Roman" w:cs="Times New Roman"/>
                <w:color w:val="FF0000"/>
                <w:sz w:val="24"/>
              </w:rPr>
              <w:t>%计。</w:t>
            </w:r>
          </w:p>
          <w:p w14:paraId="72082CA8">
            <w:pPr>
              <w:widowControl/>
              <w:spacing w:line="360" w:lineRule="auto"/>
              <w:ind w:left="1919" w:leftChars="228" w:hanging="1440" w:hangingChars="600"/>
              <w:jc w:val="left"/>
              <w:rPr>
                <w:rFonts w:hint="default" w:ascii="Times New Roman" w:hAnsi="Times New Roman" w:cs="Times New Roman"/>
                <w:color w:val="FF0000"/>
                <w:sz w:val="24"/>
              </w:rPr>
            </w:pPr>
            <w:r>
              <w:rPr>
                <w:rFonts w:hint="default" w:ascii="Times New Roman" w:hAnsi="Times New Roman" w:cs="Times New Roman"/>
                <w:color w:val="FF0000"/>
                <w:sz w:val="24"/>
              </w:rPr>
              <w:t>SS去除总量 = 气浮出水SS浓度 × 处理水量 × 去除率</w:t>
            </w:r>
          </w:p>
          <w:p w14:paraId="0A218A82">
            <w:pPr>
              <w:widowControl/>
              <w:spacing w:line="360" w:lineRule="auto"/>
              <w:ind w:left="1919" w:leftChars="228" w:hanging="1440" w:hangingChars="600"/>
              <w:jc w:val="left"/>
              <w:rPr>
                <w:rFonts w:hint="default" w:ascii="Times New Roman" w:hAnsi="Times New Roman" w:cs="Times New Roman"/>
                <w:color w:val="FF0000"/>
                <w:sz w:val="24"/>
              </w:rPr>
            </w:pPr>
            <w:r>
              <w:rPr>
                <w:rFonts w:hint="default" w:ascii="Times New Roman" w:hAnsi="Times New Roman" w:cs="Times New Roman"/>
                <w:color w:val="FF0000"/>
                <w:sz w:val="24"/>
              </w:rPr>
              <w:t xml:space="preserve">= 19.71 mg/L × </w:t>
            </w:r>
            <w:r>
              <w:rPr>
                <w:rFonts w:hint="eastAsia" w:cs="Times New Roman"/>
                <w:color w:val="FF0000"/>
                <w:sz w:val="24"/>
                <w:lang w:val="en-US" w:eastAsia="zh-CN"/>
              </w:rPr>
              <w:t>2478</w:t>
            </w:r>
            <w:r>
              <w:rPr>
                <w:rFonts w:hint="default" w:ascii="Times New Roman" w:hAnsi="Times New Roman" w:cs="Times New Roman"/>
                <w:color w:val="FF0000"/>
                <w:sz w:val="24"/>
              </w:rPr>
              <w:t xml:space="preserve"> t/a × </w:t>
            </w:r>
            <w:r>
              <w:rPr>
                <w:rFonts w:hint="eastAsia" w:cs="Times New Roman"/>
                <w:color w:val="FF0000"/>
                <w:sz w:val="24"/>
                <w:lang w:val="en-US" w:eastAsia="zh-CN"/>
              </w:rPr>
              <w:t>86.5</w:t>
            </w:r>
            <w:r>
              <w:rPr>
                <w:rFonts w:hint="default" w:ascii="Times New Roman" w:hAnsi="Times New Roman" w:cs="Times New Roman"/>
                <w:color w:val="FF0000"/>
                <w:sz w:val="24"/>
              </w:rPr>
              <w:t>% ≈ 0.0</w:t>
            </w:r>
            <w:r>
              <w:rPr>
                <w:rFonts w:hint="eastAsia" w:cs="Times New Roman"/>
                <w:color w:val="FF0000"/>
                <w:sz w:val="24"/>
                <w:lang w:val="en-US" w:eastAsia="zh-CN"/>
              </w:rPr>
              <w:t>42</w:t>
            </w:r>
            <w:r>
              <w:rPr>
                <w:rFonts w:hint="default" w:ascii="Times New Roman" w:hAnsi="Times New Roman" w:cs="Times New Roman"/>
                <w:color w:val="FF0000"/>
                <w:sz w:val="24"/>
              </w:rPr>
              <w:t xml:space="preserve"> t/a</w:t>
            </w:r>
          </w:p>
          <w:p w14:paraId="2B7B3F83">
            <w:pPr>
              <w:widowControl/>
              <w:spacing w:line="360" w:lineRule="auto"/>
              <w:ind w:firstLine="480" w:firstLineChars="200"/>
              <w:jc w:val="left"/>
              <w:rPr>
                <w:rFonts w:hint="default" w:ascii="Times New Roman" w:hAnsi="Times New Roman" w:cs="Times New Roman"/>
                <w:color w:val="FF0000"/>
                <w:sz w:val="24"/>
              </w:rPr>
            </w:pPr>
            <w:r>
              <w:rPr>
                <w:rFonts w:hint="default" w:ascii="Times New Roman" w:hAnsi="Times New Roman" w:cs="Times New Roman"/>
                <w:color w:val="FF0000"/>
                <w:sz w:val="24"/>
              </w:rPr>
              <w:t>经计算本项目</w:t>
            </w:r>
            <w:r>
              <w:rPr>
                <w:rFonts w:hint="eastAsia" w:cs="Times New Roman"/>
                <w:color w:val="FF0000"/>
                <w:sz w:val="24"/>
                <w:lang w:val="en-US" w:eastAsia="zh-CN"/>
              </w:rPr>
              <w:t>沉渣</w:t>
            </w:r>
            <w:r>
              <w:rPr>
                <w:rFonts w:hint="default" w:ascii="Times New Roman" w:hAnsi="Times New Roman" w:cs="Times New Roman"/>
                <w:color w:val="FF0000"/>
                <w:sz w:val="24"/>
              </w:rPr>
              <w:t>产生量约为0.0</w:t>
            </w:r>
            <w:r>
              <w:rPr>
                <w:rFonts w:hint="eastAsia" w:cs="Times New Roman"/>
                <w:color w:val="FF0000"/>
                <w:sz w:val="24"/>
                <w:lang w:val="en-US" w:eastAsia="zh-CN"/>
              </w:rPr>
              <w:t>42</w:t>
            </w:r>
            <w:r>
              <w:rPr>
                <w:rFonts w:hint="default" w:ascii="Times New Roman" w:hAnsi="Times New Roman" w:cs="Times New Roman"/>
                <w:color w:val="FF0000"/>
                <w:sz w:val="24"/>
              </w:rPr>
              <w:t>t/a</w:t>
            </w:r>
          </w:p>
          <w:p w14:paraId="3CA66225">
            <w:pPr>
              <w:widowControl/>
              <w:spacing w:line="360" w:lineRule="auto"/>
              <w:ind w:firstLine="480" w:firstLineChars="200"/>
              <w:jc w:val="left"/>
              <w:rPr>
                <w:rFonts w:hint="eastAsia" w:ascii="Times New Roman" w:hAnsi="Times New Roman" w:eastAsia="宋体" w:cs="Times New Roman"/>
                <w:color w:val="FF0000"/>
                <w:sz w:val="24"/>
                <w:lang w:val="en-US" w:eastAsia="zh-CN"/>
              </w:rPr>
            </w:pPr>
            <w:r>
              <w:rPr>
                <w:rFonts w:hint="eastAsia" w:cs="Times New Roman"/>
                <w:color w:val="FF0000"/>
                <w:sz w:val="24"/>
                <w:lang w:val="en-US" w:eastAsia="zh-CN"/>
              </w:rPr>
              <w:t>综上所述，</w:t>
            </w:r>
            <w:r>
              <w:rPr>
                <w:rFonts w:hint="default" w:ascii="Times New Roman" w:hAnsi="Times New Roman" w:cs="Times New Roman"/>
                <w:color w:val="FF0000"/>
                <w:sz w:val="24"/>
              </w:rPr>
              <w:t>油泥</w:t>
            </w:r>
            <w:r>
              <w:rPr>
                <w:rFonts w:hint="eastAsia" w:cs="Times New Roman"/>
                <w:color w:val="FF0000"/>
                <w:sz w:val="24"/>
                <w:lang w:val="en-US" w:eastAsia="zh-CN"/>
              </w:rPr>
              <w:t>及沉渣合计产生量为1.024</w:t>
            </w:r>
            <w:r>
              <w:rPr>
                <w:rFonts w:hint="default" w:ascii="Times New Roman" w:hAnsi="Times New Roman" w:cs="Times New Roman"/>
                <w:color w:val="FF0000"/>
                <w:sz w:val="24"/>
              </w:rPr>
              <w:t>t/a</w:t>
            </w:r>
            <w:r>
              <w:rPr>
                <w:rFonts w:hint="eastAsia" w:cs="Times New Roman"/>
                <w:color w:val="FF0000"/>
                <w:sz w:val="24"/>
                <w:lang w:eastAsia="zh-CN"/>
              </w:rPr>
              <w:t>，</w:t>
            </w:r>
            <w:r>
              <w:rPr>
                <w:rFonts w:hint="eastAsia" w:cs="Times New Roman"/>
                <w:color w:val="FF0000"/>
                <w:sz w:val="24"/>
                <w:lang w:val="en-US" w:eastAsia="zh-CN"/>
              </w:rPr>
              <w:t>共同</w:t>
            </w:r>
            <w:r>
              <w:rPr>
                <w:rFonts w:hint="eastAsia" w:cs="Times New Roman"/>
                <w:color w:val="FF0000"/>
                <w:sz w:val="24"/>
                <w:lang w:eastAsia="zh-CN"/>
              </w:rPr>
              <w:t>经过脱水处理的油泥</w:t>
            </w:r>
            <w:r>
              <w:rPr>
                <w:rFonts w:hint="eastAsia" w:cs="Times New Roman"/>
                <w:color w:val="FF0000"/>
                <w:sz w:val="24"/>
                <w:lang w:val="en-US" w:eastAsia="zh-CN"/>
              </w:rPr>
              <w:t>及沉渣</w:t>
            </w:r>
            <w:r>
              <w:rPr>
                <w:rFonts w:hint="eastAsia" w:cs="Times New Roman"/>
                <w:color w:val="FF0000"/>
                <w:sz w:val="24"/>
                <w:lang w:eastAsia="zh-CN"/>
              </w:rPr>
              <w:t>暂存于</w:t>
            </w:r>
            <w:r>
              <w:rPr>
                <w:rFonts w:hint="eastAsia" w:cs="Times New Roman"/>
                <w:color w:val="FF0000"/>
                <w:sz w:val="24"/>
                <w:lang w:val="en-US" w:eastAsia="zh-CN"/>
              </w:rPr>
              <w:t>油泥池内</w:t>
            </w:r>
            <w:r>
              <w:rPr>
                <w:rFonts w:hint="eastAsia" w:cs="Times New Roman"/>
                <w:color w:val="FF0000"/>
                <w:sz w:val="24"/>
                <w:lang w:eastAsia="zh-CN"/>
              </w:rPr>
              <w:t>，定期</w:t>
            </w:r>
            <w:r>
              <w:rPr>
                <w:rFonts w:hint="eastAsia" w:cs="Times New Roman"/>
                <w:color w:val="FF0000"/>
                <w:sz w:val="24"/>
                <w:lang w:val="en-US" w:eastAsia="zh-CN"/>
              </w:rPr>
              <w:t>定期</w:t>
            </w:r>
            <w:r>
              <w:rPr>
                <w:rFonts w:hint="eastAsia" w:cs="Times New Roman"/>
                <w:color w:val="FF0000"/>
                <w:sz w:val="24"/>
                <w:lang w:eastAsia="zh-CN"/>
              </w:rPr>
              <w:t>交由持有相应类别危险废物经营许可证的单位处理。</w:t>
            </w:r>
          </w:p>
          <w:p w14:paraId="1496963B">
            <w:pPr>
              <w:widowControl/>
              <w:spacing w:line="360" w:lineRule="auto"/>
              <w:ind w:firstLine="480" w:firstLineChars="200"/>
              <w:jc w:val="left"/>
              <w:rPr>
                <w:rFonts w:hint="default" w:ascii="Times New Roman" w:hAnsi="Times New Roman" w:eastAsia="宋体" w:cs="Times New Roman"/>
                <w:color w:val="FF0000"/>
                <w:sz w:val="24"/>
                <w:lang w:val="en-US" w:eastAsia="zh-CN"/>
              </w:rPr>
            </w:pPr>
            <w:r>
              <w:rPr>
                <w:rFonts w:hint="eastAsia" w:cs="Times New Roman"/>
                <w:color w:val="FF0000"/>
                <w:sz w:val="24"/>
                <w:lang w:val="en-US" w:eastAsia="zh-CN"/>
              </w:rPr>
              <w:t>C、絮凝剂理化性质</w:t>
            </w:r>
          </w:p>
          <w:p w14:paraId="0AC4CE2E">
            <w:pPr>
              <w:keepNext w:val="0"/>
              <w:keepLines w:val="0"/>
              <w:pageBreakBefore w:val="0"/>
              <w:widowControl w:val="0"/>
              <w:tabs>
                <w:tab w:val="left" w:pos="4665"/>
                <w:tab w:val="left" w:pos="8970"/>
              </w:tabs>
              <w:kinsoku/>
              <w:wordWrap/>
              <w:overflowPunct/>
              <w:topLinePunct w:val="0"/>
              <w:autoSpaceDE/>
              <w:autoSpaceDN/>
              <w:bidi w:val="0"/>
              <w:adjustRightInd/>
              <w:snapToGrid/>
              <w:spacing w:line="360" w:lineRule="auto"/>
              <w:ind w:firstLine="420"/>
              <w:jc w:val="both"/>
              <w:textAlignment w:val="auto"/>
              <w:rPr>
                <w:rFonts w:hint="default" w:ascii="Times New Roman" w:hAnsi="Times New Roman" w:eastAsia="宋体" w:cs="Times New Roman"/>
                <w:color w:val="FF0000"/>
                <w:kern w:val="2"/>
                <w:sz w:val="24"/>
                <w:szCs w:val="24"/>
                <w:lang w:val="en-US" w:eastAsia="zh-CN" w:bidi="ar-SA"/>
              </w:rPr>
            </w:pPr>
            <w:r>
              <w:rPr>
                <w:rFonts w:hint="default" w:ascii="Times New Roman" w:hAnsi="Times New Roman" w:eastAsia="宋体" w:cs="Times New Roman"/>
                <w:color w:val="FF0000"/>
                <w:kern w:val="2"/>
                <w:sz w:val="24"/>
                <w:szCs w:val="24"/>
                <w:lang w:val="en-US" w:eastAsia="zh-CN" w:bidi="ar-SA"/>
              </w:rPr>
              <w:t>本项目使用的高效絮凝剂是以聚丙烯酰胺(PAM)为主体，引入特定增效离子改性而成，比普通聚丙烯酰胺（PAM）具有更好的絮凝、脱色、助滤性能。是一种新型、高效、环保净水剂。用来提高水处理过程中沉降、澄清、过滤、离心等工艺的效率。广泛应用于各种工业污水和饮用水的处理。</w:t>
            </w:r>
          </w:p>
          <w:p w14:paraId="265C18F4">
            <w:pPr>
              <w:keepNext w:val="0"/>
              <w:keepLines w:val="0"/>
              <w:pageBreakBefore w:val="0"/>
              <w:widowControl w:val="0"/>
              <w:tabs>
                <w:tab w:val="left" w:pos="4665"/>
                <w:tab w:val="left" w:pos="8970"/>
              </w:tabs>
              <w:kinsoku/>
              <w:wordWrap/>
              <w:overflowPunct/>
              <w:topLinePunct w:val="0"/>
              <w:autoSpaceDE/>
              <w:autoSpaceDN/>
              <w:bidi w:val="0"/>
              <w:adjustRightInd/>
              <w:snapToGrid/>
              <w:spacing w:line="360" w:lineRule="auto"/>
              <w:ind w:firstLine="420"/>
              <w:jc w:val="both"/>
              <w:textAlignment w:val="auto"/>
              <w:rPr>
                <w:rFonts w:hint="default" w:ascii="Times New Roman" w:hAnsi="Times New Roman" w:eastAsia="宋体" w:cs="Times New Roman"/>
                <w:color w:val="FF0000"/>
                <w:kern w:val="2"/>
                <w:sz w:val="24"/>
                <w:szCs w:val="24"/>
                <w:lang w:val="en-US" w:eastAsia="zh-CN" w:bidi="ar-SA"/>
              </w:rPr>
            </w:pPr>
            <w:r>
              <w:rPr>
                <w:rFonts w:hint="default" w:ascii="Times New Roman" w:hAnsi="Times New Roman" w:eastAsia="宋体" w:cs="Times New Roman"/>
                <w:color w:val="FF0000"/>
                <w:kern w:val="2"/>
                <w:sz w:val="24"/>
                <w:szCs w:val="24"/>
                <w:lang w:val="en-US" w:eastAsia="zh-CN" w:bidi="ar-SA"/>
              </w:rPr>
              <w:t>物化性质</w:t>
            </w:r>
            <w:r>
              <w:rPr>
                <w:rFonts w:hint="eastAsia" w:cs="Times New Roman"/>
                <w:color w:val="FF0000"/>
                <w:kern w:val="2"/>
                <w:sz w:val="24"/>
                <w:szCs w:val="24"/>
                <w:lang w:val="en-US" w:eastAsia="zh-CN" w:bidi="ar-SA"/>
              </w:rPr>
              <w:t>：</w:t>
            </w:r>
          </w:p>
          <w:p w14:paraId="4C5F501C">
            <w:pPr>
              <w:keepNext w:val="0"/>
              <w:keepLines w:val="0"/>
              <w:pageBreakBefore w:val="0"/>
              <w:widowControl w:val="0"/>
              <w:tabs>
                <w:tab w:val="left" w:pos="4665"/>
                <w:tab w:val="left" w:pos="8970"/>
              </w:tabs>
              <w:kinsoku/>
              <w:wordWrap/>
              <w:overflowPunct/>
              <w:topLinePunct w:val="0"/>
              <w:autoSpaceDE/>
              <w:autoSpaceDN/>
              <w:bidi w:val="0"/>
              <w:adjustRightInd/>
              <w:snapToGrid/>
              <w:spacing w:line="360" w:lineRule="auto"/>
              <w:ind w:firstLine="420"/>
              <w:jc w:val="both"/>
              <w:textAlignment w:val="auto"/>
              <w:rPr>
                <w:rFonts w:hint="default" w:ascii="Times New Roman" w:hAnsi="Times New Roman" w:eastAsia="宋体" w:cs="Times New Roman"/>
                <w:color w:val="FF0000"/>
                <w:kern w:val="2"/>
                <w:sz w:val="24"/>
                <w:szCs w:val="24"/>
                <w:lang w:val="en-US" w:eastAsia="zh-CN" w:bidi="ar-SA"/>
              </w:rPr>
            </w:pPr>
            <w:r>
              <w:rPr>
                <w:rFonts w:hint="default" w:ascii="Times New Roman" w:hAnsi="Times New Roman" w:eastAsia="宋体" w:cs="Times New Roman"/>
                <w:color w:val="FF0000"/>
                <w:kern w:val="2"/>
                <w:sz w:val="24"/>
                <w:szCs w:val="24"/>
                <w:lang w:val="en-US" w:eastAsia="zh-CN" w:bidi="ar-SA"/>
              </w:rPr>
              <w:t>水溶性高分子聚电解质，白色晶体，无毒、无味，易吸潮、易溶于水，不溶于乙醇、丙酮等有机溶剂，分子链上带有活性基团，有优异的絮凝作用。</w:t>
            </w:r>
          </w:p>
          <w:p w14:paraId="245B5BEC">
            <w:pPr>
              <w:keepNext w:val="0"/>
              <w:keepLines w:val="0"/>
              <w:pageBreakBefore w:val="0"/>
              <w:widowControl w:val="0"/>
              <w:tabs>
                <w:tab w:val="left" w:pos="4665"/>
                <w:tab w:val="left" w:pos="8970"/>
              </w:tabs>
              <w:kinsoku/>
              <w:wordWrap/>
              <w:overflowPunct/>
              <w:topLinePunct w:val="0"/>
              <w:autoSpaceDE/>
              <w:autoSpaceDN/>
              <w:bidi w:val="0"/>
              <w:adjustRightInd/>
              <w:snapToGrid/>
              <w:spacing w:line="360" w:lineRule="auto"/>
              <w:ind w:firstLine="420"/>
              <w:jc w:val="both"/>
              <w:textAlignment w:val="auto"/>
              <w:rPr>
                <w:rFonts w:hint="default" w:ascii="Times New Roman" w:hAnsi="Times New Roman" w:eastAsia="宋体" w:cs="Times New Roman"/>
                <w:color w:val="FF0000"/>
                <w:kern w:val="2"/>
                <w:sz w:val="24"/>
                <w:szCs w:val="24"/>
                <w:lang w:val="en-US" w:eastAsia="zh-CN" w:bidi="ar-SA"/>
              </w:rPr>
            </w:pPr>
            <w:r>
              <w:rPr>
                <w:rFonts w:hint="default" w:ascii="Times New Roman" w:hAnsi="Times New Roman" w:eastAsia="宋体" w:cs="Times New Roman"/>
                <w:color w:val="FF0000"/>
                <w:kern w:val="2"/>
                <w:sz w:val="24"/>
                <w:szCs w:val="24"/>
                <w:lang w:val="en-US" w:eastAsia="zh-CN" w:bidi="ar-SA"/>
              </w:rPr>
              <w:t>产品特性</w:t>
            </w:r>
            <w:r>
              <w:rPr>
                <w:rFonts w:hint="eastAsia" w:cs="Times New Roman"/>
                <w:color w:val="FF0000"/>
                <w:kern w:val="2"/>
                <w:sz w:val="24"/>
                <w:szCs w:val="24"/>
                <w:lang w:val="en-US" w:eastAsia="zh-CN" w:bidi="ar-SA"/>
              </w:rPr>
              <w:t>：</w:t>
            </w:r>
          </w:p>
          <w:p w14:paraId="3D177F67">
            <w:pPr>
              <w:keepNext w:val="0"/>
              <w:keepLines w:val="0"/>
              <w:pageBreakBefore w:val="0"/>
              <w:widowControl w:val="0"/>
              <w:tabs>
                <w:tab w:val="left" w:pos="4665"/>
                <w:tab w:val="left" w:pos="8970"/>
              </w:tabs>
              <w:kinsoku/>
              <w:wordWrap/>
              <w:overflowPunct/>
              <w:topLinePunct w:val="0"/>
              <w:autoSpaceDE/>
              <w:autoSpaceDN/>
              <w:bidi w:val="0"/>
              <w:adjustRightInd/>
              <w:snapToGrid/>
              <w:spacing w:line="360" w:lineRule="auto"/>
              <w:ind w:firstLine="420"/>
              <w:jc w:val="both"/>
              <w:textAlignment w:val="auto"/>
              <w:rPr>
                <w:rFonts w:hint="default" w:ascii="Times New Roman" w:hAnsi="Times New Roman" w:eastAsia="宋体" w:cs="Times New Roman"/>
                <w:color w:val="FF0000"/>
                <w:kern w:val="2"/>
                <w:sz w:val="24"/>
                <w:szCs w:val="24"/>
                <w:lang w:val="en-US" w:eastAsia="zh-CN" w:bidi="ar-SA"/>
              </w:rPr>
            </w:pPr>
            <w:r>
              <w:rPr>
                <w:rFonts w:hint="default" w:ascii="Times New Roman" w:hAnsi="Times New Roman" w:eastAsia="宋体" w:cs="Times New Roman"/>
                <w:color w:val="FF0000"/>
                <w:kern w:val="2"/>
                <w:sz w:val="24"/>
                <w:szCs w:val="24"/>
                <w:lang w:val="en-US" w:eastAsia="zh-CN" w:bidi="ar-SA"/>
              </w:rPr>
              <w:t>Ⅰ引入了特定增效离子，具有更好的絮凝和脱色性能。</w:t>
            </w:r>
          </w:p>
          <w:p w14:paraId="0C049460">
            <w:pPr>
              <w:keepNext w:val="0"/>
              <w:keepLines w:val="0"/>
              <w:pageBreakBefore w:val="0"/>
              <w:widowControl w:val="0"/>
              <w:tabs>
                <w:tab w:val="left" w:pos="4665"/>
                <w:tab w:val="left" w:pos="8970"/>
              </w:tabs>
              <w:kinsoku/>
              <w:wordWrap/>
              <w:overflowPunct/>
              <w:topLinePunct w:val="0"/>
              <w:autoSpaceDE/>
              <w:autoSpaceDN/>
              <w:bidi w:val="0"/>
              <w:adjustRightInd/>
              <w:snapToGrid/>
              <w:spacing w:line="360" w:lineRule="auto"/>
              <w:ind w:firstLine="420"/>
              <w:jc w:val="both"/>
              <w:textAlignment w:val="auto"/>
              <w:rPr>
                <w:rFonts w:hint="default" w:ascii="Times New Roman" w:hAnsi="Times New Roman" w:eastAsia="宋体" w:cs="Times New Roman"/>
                <w:color w:val="FF0000"/>
                <w:kern w:val="2"/>
                <w:sz w:val="24"/>
                <w:szCs w:val="24"/>
                <w:lang w:val="en-US" w:eastAsia="zh-CN" w:bidi="ar-SA"/>
              </w:rPr>
            </w:pPr>
            <w:r>
              <w:rPr>
                <w:rFonts w:hint="default" w:ascii="Times New Roman" w:hAnsi="Times New Roman" w:eastAsia="宋体" w:cs="Times New Roman"/>
                <w:color w:val="FF0000"/>
                <w:kern w:val="2"/>
                <w:sz w:val="24"/>
                <w:szCs w:val="24"/>
                <w:lang w:val="en-US" w:eastAsia="zh-CN" w:bidi="ar-SA"/>
              </w:rPr>
              <w:t>Ⅱ用量少，相当于聚丙烯酰胺（PAM）的一半，降低水处理成本。</w:t>
            </w:r>
          </w:p>
          <w:p w14:paraId="291C807C">
            <w:pPr>
              <w:keepNext w:val="0"/>
              <w:keepLines w:val="0"/>
              <w:pageBreakBefore w:val="0"/>
              <w:widowControl w:val="0"/>
              <w:tabs>
                <w:tab w:val="left" w:pos="4665"/>
                <w:tab w:val="left" w:pos="8970"/>
              </w:tabs>
              <w:kinsoku/>
              <w:wordWrap/>
              <w:overflowPunct/>
              <w:topLinePunct w:val="0"/>
              <w:autoSpaceDE/>
              <w:autoSpaceDN/>
              <w:bidi w:val="0"/>
              <w:adjustRightInd/>
              <w:snapToGrid/>
              <w:spacing w:line="360" w:lineRule="auto"/>
              <w:ind w:firstLine="420"/>
              <w:jc w:val="both"/>
              <w:textAlignment w:val="auto"/>
              <w:rPr>
                <w:rFonts w:hint="default" w:ascii="Times New Roman" w:hAnsi="Times New Roman" w:eastAsia="宋体" w:cs="Times New Roman"/>
                <w:color w:val="FF0000"/>
                <w:kern w:val="2"/>
                <w:sz w:val="24"/>
                <w:szCs w:val="24"/>
                <w:lang w:val="en-US" w:eastAsia="zh-CN" w:bidi="ar-SA"/>
              </w:rPr>
            </w:pPr>
            <w:r>
              <w:rPr>
                <w:rFonts w:hint="default" w:ascii="Times New Roman" w:hAnsi="Times New Roman" w:eastAsia="宋体" w:cs="Times New Roman"/>
                <w:color w:val="FF0000"/>
                <w:kern w:val="2"/>
                <w:sz w:val="24"/>
                <w:szCs w:val="24"/>
                <w:lang w:val="en-US" w:eastAsia="zh-CN" w:bidi="ar-SA"/>
              </w:rPr>
              <w:t>Ⅲ无毒无害，安全环保。</w:t>
            </w:r>
          </w:p>
          <w:p w14:paraId="0A90C429">
            <w:pPr>
              <w:keepNext w:val="0"/>
              <w:keepLines w:val="0"/>
              <w:pageBreakBefore w:val="0"/>
              <w:widowControl w:val="0"/>
              <w:tabs>
                <w:tab w:val="left" w:pos="4665"/>
                <w:tab w:val="left" w:pos="8970"/>
              </w:tabs>
              <w:kinsoku/>
              <w:wordWrap/>
              <w:overflowPunct/>
              <w:topLinePunct w:val="0"/>
              <w:autoSpaceDE/>
              <w:autoSpaceDN/>
              <w:bidi w:val="0"/>
              <w:adjustRightInd/>
              <w:snapToGrid/>
              <w:spacing w:line="360" w:lineRule="auto"/>
              <w:ind w:firstLine="420"/>
              <w:jc w:val="both"/>
              <w:textAlignment w:val="auto"/>
              <w:rPr>
                <w:rFonts w:hint="default" w:ascii="Times New Roman" w:hAnsi="Times New Roman" w:eastAsia="宋体" w:cs="Times New Roman"/>
                <w:color w:val="FF0000"/>
                <w:kern w:val="2"/>
                <w:sz w:val="24"/>
                <w:szCs w:val="24"/>
                <w:lang w:val="en-US" w:eastAsia="zh-CN" w:bidi="ar-SA"/>
              </w:rPr>
            </w:pPr>
            <w:r>
              <w:rPr>
                <w:rFonts w:hint="default" w:ascii="Times New Roman" w:hAnsi="Times New Roman" w:eastAsia="宋体" w:cs="Times New Roman"/>
                <w:color w:val="FF0000"/>
                <w:kern w:val="2"/>
                <w:sz w:val="24"/>
                <w:szCs w:val="24"/>
                <w:lang w:val="en-US" w:eastAsia="zh-CN" w:bidi="ar-SA"/>
              </w:rPr>
              <w:t>主要用途：</w:t>
            </w:r>
          </w:p>
          <w:p w14:paraId="0054044C">
            <w:pPr>
              <w:keepNext w:val="0"/>
              <w:keepLines w:val="0"/>
              <w:pageBreakBefore w:val="0"/>
              <w:widowControl w:val="0"/>
              <w:tabs>
                <w:tab w:val="left" w:pos="4665"/>
                <w:tab w:val="left" w:pos="8970"/>
              </w:tabs>
              <w:kinsoku/>
              <w:wordWrap/>
              <w:overflowPunct/>
              <w:topLinePunct w:val="0"/>
              <w:autoSpaceDE/>
              <w:autoSpaceDN/>
              <w:bidi w:val="0"/>
              <w:adjustRightInd/>
              <w:snapToGrid/>
              <w:spacing w:line="360" w:lineRule="auto"/>
              <w:ind w:firstLine="420"/>
              <w:jc w:val="both"/>
              <w:textAlignment w:val="auto"/>
              <w:rPr>
                <w:rFonts w:hint="default" w:ascii="Times New Roman" w:hAnsi="Times New Roman" w:eastAsia="宋体" w:cs="Times New Roman"/>
                <w:color w:val="FF0000"/>
                <w:kern w:val="2"/>
                <w:sz w:val="24"/>
                <w:szCs w:val="24"/>
                <w:lang w:val="en-US" w:eastAsia="zh-CN" w:bidi="ar-SA"/>
              </w:rPr>
            </w:pPr>
            <w:r>
              <w:rPr>
                <w:rFonts w:hint="default" w:ascii="Times New Roman" w:hAnsi="Times New Roman" w:eastAsia="宋体" w:cs="Times New Roman"/>
                <w:color w:val="FF0000"/>
                <w:kern w:val="2"/>
                <w:sz w:val="24"/>
                <w:szCs w:val="24"/>
                <w:lang w:val="en-US" w:eastAsia="zh-CN" w:bidi="ar-SA"/>
              </w:rPr>
              <w:t>Ⅰ石油开采领域,主要作为三次采油驱油剂。特高分子量聚丙烯酰胺广泛应用于石油工业、采油、钻井泥浆、废泥浆处理。能防止水串,降低摩阻,并提高采收率,其抗盐性能、抗温性能完全能替代同类产品；聚丙烯酰胺在第三次采油中也可用作增稠剂,提高采油率；除此以外,聚丙烯酰胺还可用作钻井泥浆的增稠剂、稳定剂和沉降絮凝剂、水油比控制剂、压裂液添加剂、润滑剂等。</w:t>
            </w:r>
          </w:p>
          <w:p w14:paraId="4F8EFEA0">
            <w:pPr>
              <w:keepNext w:val="0"/>
              <w:keepLines w:val="0"/>
              <w:pageBreakBefore w:val="0"/>
              <w:widowControl w:val="0"/>
              <w:tabs>
                <w:tab w:val="left" w:pos="4665"/>
                <w:tab w:val="left" w:pos="8970"/>
              </w:tabs>
              <w:kinsoku/>
              <w:wordWrap/>
              <w:overflowPunct/>
              <w:topLinePunct w:val="0"/>
              <w:autoSpaceDE/>
              <w:autoSpaceDN/>
              <w:bidi w:val="0"/>
              <w:adjustRightInd/>
              <w:snapToGrid/>
              <w:spacing w:line="360" w:lineRule="auto"/>
              <w:ind w:firstLine="420"/>
              <w:jc w:val="both"/>
              <w:textAlignment w:val="auto"/>
              <w:rPr>
                <w:rFonts w:hint="default" w:ascii="Times New Roman" w:hAnsi="Times New Roman" w:eastAsia="宋体" w:cs="Times New Roman"/>
                <w:color w:val="FF0000"/>
                <w:kern w:val="2"/>
                <w:sz w:val="24"/>
                <w:szCs w:val="24"/>
                <w:lang w:val="en-US" w:eastAsia="zh-CN" w:bidi="ar-SA"/>
              </w:rPr>
            </w:pPr>
            <w:r>
              <w:rPr>
                <w:rFonts w:hint="default" w:ascii="Times New Roman" w:hAnsi="Times New Roman" w:eastAsia="宋体" w:cs="Times New Roman"/>
                <w:color w:val="FF0000"/>
                <w:kern w:val="2"/>
                <w:sz w:val="24"/>
                <w:szCs w:val="24"/>
                <w:lang w:val="en-US" w:eastAsia="zh-CN" w:bidi="ar-SA"/>
              </w:rPr>
              <w:t>Ⅱ废水处理,对带正电荷的金属氧化物沉降有特效,以阴离子为主。</w:t>
            </w:r>
          </w:p>
          <w:p w14:paraId="70841B43">
            <w:pPr>
              <w:keepNext w:val="0"/>
              <w:keepLines w:val="0"/>
              <w:pageBreakBefore w:val="0"/>
              <w:widowControl w:val="0"/>
              <w:tabs>
                <w:tab w:val="left" w:pos="4665"/>
                <w:tab w:val="left" w:pos="8970"/>
              </w:tabs>
              <w:kinsoku/>
              <w:wordWrap/>
              <w:overflowPunct/>
              <w:topLinePunct w:val="0"/>
              <w:autoSpaceDE/>
              <w:autoSpaceDN/>
              <w:bidi w:val="0"/>
              <w:adjustRightInd/>
              <w:snapToGrid/>
              <w:spacing w:line="360" w:lineRule="auto"/>
              <w:ind w:firstLine="420"/>
              <w:jc w:val="both"/>
              <w:textAlignment w:val="auto"/>
              <w:rPr>
                <w:rFonts w:hint="default" w:ascii="Times New Roman" w:hAnsi="Times New Roman" w:eastAsia="宋体" w:cs="Times New Roman"/>
                <w:color w:val="FF0000"/>
                <w:kern w:val="2"/>
                <w:sz w:val="24"/>
                <w:szCs w:val="24"/>
                <w:lang w:val="en-US" w:eastAsia="zh-CN" w:bidi="ar-SA"/>
              </w:rPr>
            </w:pPr>
            <w:r>
              <w:rPr>
                <w:rFonts w:hint="default" w:ascii="Times New Roman" w:hAnsi="Times New Roman" w:eastAsia="宋体" w:cs="Times New Roman"/>
                <w:color w:val="FF0000"/>
                <w:kern w:val="2"/>
                <w:sz w:val="24"/>
                <w:szCs w:val="24"/>
                <w:lang w:val="en-US" w:eastAsia="zh-CN" w:bidi="ar-SA"/>
              </w:rPr>
              <w:t>Ⅲ生活污水处理,对有机胶体悬浮物沉降有特效,以阳离子为主。</w:t>
            </w:r>
          </w:p>
          <w:p w14:paraId="77D67004">
            <w:pPr>
              <w:keepNext w:val="0"/>
              <w:keepLines w:val="0"/>
              <w:pageBreakBefore w:val="0"/>
              <w:widowControl w:val="0"/>
              <w:tabs>
                <w:tab w:val="left" w:pos="4665"/>
                <w:tab w:val="left" w:pos="8970"/>
              </w:tabs>
              <w:kinsoku/>
              <w:wordWrap/>
              <w:overflowPunct/>
              <w:topLinePunct w:val="0"/>
              <w:autoSpaceDE/>
              <w:autoSpaceDN/>
              <w:bidi w:val="0"/>
              <w:adjustRightInd/>
              <w:snapToGrid/>
              <w:spacing w:line="360" w:lineRule="auto"/>
              <w:ind w:firstLine="420"/>
              <w:jc w:val="both"/>
              <w:textAlignment w:val="auto"/>
              <w:rPr>
                <w:rFonts w:hint="default" w:ascii="Times New Roman" w:hAnsi="Times New Roman" w:eastAsia="宋体" w:cs="Times New Roman"/>
                <w:color w:val="FF0000"/>
                <w:kern w:val="2"/>
                <w:sz w:val="24"/>
                <w:szCs w:val="24"/>
                <w:lang w:val="en-US" w:eastAsia="zh-CN" w:bidi="ar-SA"/>
              </w:rPr>
            </w:pPr>
            <w:r>
              <w:rPr>
                <w:rFonts w:hint="default" w:ascii="Times New Roman" w:hAnsi="Times New Roman" w:eastAsia="宋体" w:cs="Times New Roman"/>
                <w:color w:val="FF0000"/>
                <w:kern w:val="2"/>
                <w:sz w:val="24"/>
                <w:szCs w:val="24"/>
                <w:lang w:val="en-US" w:eastAsia="zh-CN" w:bidi="ar-SA"/>
              </w:rPr>
              <w:t>Ⅳ造纸,聚丙烯酰胺广泛用于纸张干、湿增强剂,助留阻滤剂、表面增强剂和纤维分散剂。具有很好的抗白水性,能适用于各种苛刻的PH条件,适应于各类纸张的生产过程。可以有效提高纸张的强度,改善纸页的均匀度,并有助于提高产量,大量节约工艺用水。聚丙烯酰胺可使纸张的湿纸拉力提高20-30倍,干纸拉力提高50%,主要以阳离子为主。</w:t>
            </w:r>
          </w:p>
          <w:p w14:paraId="176F0AE0">
            <w:pPr>
              <w:keepNext w:val="0"/>
              <w:keepLines w:val="0"/>
              <w:pageBreakBefore w:val="0"/>
              <w:widowControl w:val="0"/>
              <w:tabs>
                <w:tab w:val="left" w:pos="4665"/>
                <w:tab w:val="left" w:pos="8970"/>
              </w:tabs>
              <w:kinsoku/>
              <w:wordWrap/>
              <w:overflowPunct/>
              <w:topLinePunct w:val="0"/>
              <w:autoSpaceDE/>
              <w:autoSpaceDN/>
              <w:bidi w:val="0"/>
              <w:adjustRightInd/>
              <w:snapToGrid/>
              <w:spacing w:line="360" w:lineRule="auto"/>
              <w:ind w:firstLine="420"/>
              <w:jc w:val="both"/>
              <w:textAlignment w:val="auto"/>
              <w:rPr>
                <w:rFonts w:hint="default" w:ascii="Times New Roman" w:hAnsi="Times New Roman" w:eastAsia="宋体" w:cs="Times New Roman"/>
                <w:color w:val="FF0000"/>
                <w:kern w:val="2"/>
                <w:sz w:val="24"/>
                <w:szCs w:val="24"/>
                <w:lang w:val="en-US" w:eastAsia="zh-CN" w:bidi="ar-SA"/>
              </w:rPr>
            </w:pPr>
            <w:r>
              <w:rPr>
                <w:rFonts w:hint="default" w:ascii="Times New Roman" w:hAnsi="Times New Roman" w:eastAsia="宋体" w:cs="Times New Roman"/>
                <w:color w:val="FF0000"/>
                <w:kern w:val="2"/>
                <w:sz w:val="24"/>
                <w:szCs w:val="24"/>
                <w:lang w:val="en-US" w:eastAsia="zh-CN" w:bidi="ar-SA"/>
              </w:rPr>
              <w:t>使用方法</w:t>
            </w:r>
            <w:r>
              <w:rPr>
                <w:rFonts w:hint="eastAsia" w:cs="Times New Roman"/>
                <w:color w:val="FF0000"/>
                <w:kern w:val="2"/>
                <w:sz w:val="24"/>
                <w:szCs w:val="24"/>
                <w:lang w:val="en-US" w:eastAsia="zh-CN" w:bidi="ar-SA"/>
              </w:rPr>
              <w:t>：</w:t>
            </w:r>
          </w:p>
          <w:p w14:paraId="3FCD100D">
            <w:pPr>
              <w:keepNext w:val="0"/>
              <w:keepLines w:val="0"/>
              <w:pageBreakBefore w:val="0"/>
              <w:widowControl w:val="0"/>
              <w:tabs>
                <w:tab w:val="left" w:pos="4665"/>
                <w:tab w:val="left" w:pos="8970"/>
              </w:tabs>
              <w:kinsoku/>
              <w:wordWrap/>
              <w:overflowPunct/>
              <w:topLinePunct w:val="0"/>
              <w:autoSpaceDE/>
              <w:autoSpaceDN/>
              <w:bidi w:val="0"/>
              <w:adjustRightInd/>
              <w:snapToGrid/>
              <w:spacing w:line="360" w:lineRule="auto"/>
              <w:ind w:firstLine="420"/>
              <w:jc w:val="both"/>
              <w:textAlignment w:val="auto"/>
              <w:rPr>
                <w:rFonts w:hint="default" w:ascii="Times New Roman" w:hAnsi="Times New Roman" w:eastAsia="宋体" w:cs="Times New Roman"/>
                <w:color w:val="FF0000"/>
                <w:kern w:val="2"/>
                <w:sz w:val="24"/>
                <w:szCs w:val="24"/>
                <w:lang w:val="en-US" w:eastAsia="zh-CN" w:bidi="ar-SA"/>
              </w:rPr>
            </w:pPr>
            <w:r>
              <w:rPr>
                <w:rFonts w:hint="default" w:ascii="Times New Roman" w:hAnsi="Times New Roman" w:eastAsia="宋体" w:cs="Times New Roman"/>
                <w:color w:val="FF0000"/>
                <w:kern w:val="2"/>
                <w:sz w:val="24"/>
                <w:szCs w:val="24"/>
                <w:lang w:val="en-US" w:eastAsia="zh-CN" w:bidi="ar-SA"/>
              </w:rPr>
              <w:t>Ⅰ溶解本产品的水应量洁净的水（如自来水），将其酿成质量浓度0.1%-0.3%（不高于0.5%）的水溶度。</w:t>
            </w:r>
          </w:p>
          <w:p w14:paraId="1B97600A">
            <w:pPr>
              <w:keepNext w:val="0"/>
              <w:keepLines w:val="0"/>
              <w:pageBreakBefore w:val="0"/>
              <w:widowControl w:val="0"/>
              <w:tabs>
                <w:tab w:val="left" w:pos="4665"/>
                <w:tab w:val="left" w:pos="8970"/>
              </w:tabs>
              <w:kinsoku/>
              <w:wordWrap/>
              <w:overflowPunct/>
              <w:topLinePunct w:val="0"/>
              <w:autoSpaceDE/>
              <w:autoSpaceDN/>
              <w:bidi w:val="0"/>
              <w:adjustRightInd/>
              <w:snapToGrid/>
              <w:spacing w:line="360" w:lineRule="auto"/>
              <w:ind w:firstLine="420"/>
              <w:jc w:val="both"/>
              <w:textAlignment w:val="auto"/>
              <w:rPr>
                <w:rFonts w:hint="default" w:ascii="Times New Roman" w:hAnsi="Times New Roman" w:eastAsia="宋体" w:cs="Times New Roman"/>
                <w:color w:val="FF0000"/>
                <w:kern w:val="2"/>
                <w:sz w:val="24"/>
                <w:szCs w:val="24"/>
                <w:lang w:val="en-US" w:eastAsia="zh-CN" w:bidi="ar-SA"/>
              </w:rPr>
            </w:pPr>
            <w:r>
              <w:rPr>
                <w:rFonts w:hint="default" w:ascii="Times New Roman" w:hAnsi="Times New Roman" w:eastAsia="宋体" w:cs="Times New Roman"/>
                <w:color w:val="FF0000"/>
                <w:kern w:val="2"/>
                <w:sz w:val="24"/>
                <w:szCs w:val="24"/>
                <w:lang w:val="en-US" w:eastAsia="zh-CN" w:bidi="ar-SA"/>
              </w:rPr>
              <w:t>Ⅱ溶解时将聚合物慢慢撒入水的旋涡中，应避免聚合物颗粒进入水中后互相粘连。然后再搅拌一段时间，使充分溶解，最后成为均匀、透明、粘稠的溶液，要加一小时的熟化期，保证其絮凝性能。</w:t>
            </w:r>
          </w:p>
          <w:p w14:paraId="696D501A">
            <w:pPr>
              <w:keepNext w:val="0"/>
              <w:keepLines w:val="0"/>
              <w:pageBreakBefore w:val="0"/>
              <w:widowControl w:val="0"/>
              <w:tabs>
                <w:tab w:val="left" w:pos="4665"/>
                <w:tab w:val="left" w:pos="8970"/>
              </w:tabs>
              <w:kinsoku/>
              <w:wordWrap/>
              <w:overflowPunct/>
              <w:topLinePunct w:val="0"/>
              <w:autoSpaceDE/>
              <w:autoSpaceDN/>
              <w:bidi w:val="0"/>
              <w:adjustRightInd/>
              <w:snapToGrid/>
              <w:spacing w:line="360" w:lineRule="auto"/>
              <w:ind w:firstLine="420"/>
              <w:jc w:val="both"/>
              <w:textAlignment w:val="auto"/>
              <w:rPr>
                <w:rFonts w:hint="default" w:ascii="Times New Roman" w:hAnsi="Times New Roman" w:eastAsia="宋体" w:cs="Times New Roman"/>
                <w:color w:val="FF0000"/>
                <w:kern w:val="2"/>
                <w:sz w:val="24"/>
                <w:szCs w:val="24"/>
                <w:lang w:val="en-US" w:eastAsia="zh-CN" w:bidi="ar-SA"/>
              </w:rPr>
            </w:pPr>
            <w:r>
              <w:rPr>
                <w:rFonts w:hint="default" w:ascii="Times New Roman" w:hAnsi="Times New Roman" w:eastAsia="宋体" w:cs="Times New Roman"/>
                <w:color w:val="FF0000"/>
                <w:kern w:val="2"/>
                <w:sz w:val="24"/>
                <w:szCs w:val="24"/>
                <w:lang w:val="en-US" w:eastAsia="zh-CN" w:bidi="ar-SA"/>
              </w:rPr>
              <w:t>Ⅲ本品溶解及搅拌时间根据水温情况有所不同，一般为1-3小时。</w:t>
            </w:r>
          </w:p>
          <w:p w14:paraId="58BB742D">
            <w:pPr>
              <w:keepNext w:val="0"/>
              <w:keepLines w:val="0"/>
              <w:pageBreakBefore w:val="0"/>
              <w:widowControl w:val="0"/>
              <w:tabs>
                <w:tab w:val="left" w:pos="4665"/>
                <w:tab w:val="left" w:pos="8970"/>
              </w:tabs>
              <w:kinsoku/>
              <w:wordWrap/>
              <w:overflowPunct/>
              <w:topLinePunct w:val="0"/>
              <w:autoSpaceDE/>
              <w:autoSpaceDN/>
              <w:bidi w:val="0"/>
              <w:adjustRightInd/>
              <w:snapToGrid/>
              <w:spacing w:line="360" w:lineRule="auto"/>
              <w:ind w:firstLine="420"/>
              <w:jc w:val="both"/>
              <w:textAlignment w:val="auto"/>
              <w:rPr>
                <w:rFonts w:hint="default" w:ascii="Times New Roman" w:hAnsi="Times New Roman" w:eastAsia="宋体" w:cs="Times New Roman"/>
                <w:color w:val="FF0000"/>
                <w:kern w:val="2"/>
                <w:sz w:val="24"/>
                <w:szCs w:val="24"/>
                <w:lang w:val="en-US" w:eastAsia="zh-CN" w:bidi="ar-SA"/>
              </w:rPr>
            </w:pPr>
            <w:r>
              <w:rPr>
                <w:rFonts w:hint="default" w:ascii="Times New Roman" w:hAnsi="Times New Roman" w:eastAsia="宋体" w:cs="Times New Roman"/>
                <w:color w:val="FF0000"/>
                <w:kern w:val="2"/>
                <w:sz w:val="24"/>
                <w:szCs w:val="24"/>
                <w:lang w:val="en-US" w:eastAsia="zh-CN" w:bidi="ar-SA"/>
              </w:rPr>
              <w:t>注意事项</w:t>
            </w:r>
            <w:r>
              <w:rPr>
                <w:rFonts w:hint="eastAsia" w:cs="Times New Roman"/>
                <w:color w:val="FF0000"/>
                <w:kern w:val="2"/>
                <w:sz w:val="24"/>
                <w:szCs w:val="24"/>
                <w:lang w:val="en-US" w:eastAsia="zh-CN" w:bidi="ar-SA"/>
              </w:rPr>
              <w:t>：</w:t>
            </w:r>
          </w:p>
          <w:p w14:paraId="3096FFED">
            <w:pPr>
              <w:keepNext w:val="0"/>
              <w:keepLines w:val="0"/>
              <w:pageBreakBefore w:val="0"/>
              <w:widowControl w:val="0"/>
              <w:tabs>
                <w:tab w:val="left" w:pos="4665"/>
                <w:tab w:val="left" w:pos="8970"/>
              </w:tabs>
              <w:kinsoku/>
              <w:wordWrap/>
              <w:overflowPunct/>
              <w:topLinePunct w:val="0"/>
              <w:autoSpaceDE/>
              <w:autoSpaceDN/>
              <w:bidi w:val="0"/>
              <w:adjustRightInd/>
              <w:snapToGrid/>
              <w:spacing w:line="360" w:lineRule="auto"/>
              <w:ind w:firstLine="420"/>
              <w:jc w:val="both"/>
              <w:textAlignment w:val="auto"/>
              <w:rPr>
                <w:rFonts w:hint="default" w:ascii="Times New Roman" w:hAnsi="Times New Roman" w:eastAsia="宋体" w:cs="Times New Roman"/>
                <w:color w:val="FF0000"/>
                <w:kern w:val="2"/>
                <w:sz w:val="24"/>
                <w:szCs w:val="24"/>
                <w:lang w:val="en-US" w:eastAsia="zh-CN" w:bidi="ar-SA"/>
              </w:rPr>
            </w:pPr>
            <w:r>
              <w:rPr>
                <w:rFonts w:hint="default" w:ascii="Times New Roman" w:hAnsi="Times New Roman" w:eastAsia="宋体" w:cs="Times New Roman"/>
                <w:color w:val="FF0000"/>
                <w:kern w:val="2"/>
                <w:sz w:val="24"/>
                <w:szCs w:val="24"/>
                <w:lang w:val="en-US" w:eastAsia="zh-CN" w:bidi="ar-SA"/>
              </w:rPr>
              <w:t>溶解及贮存时，避免与铁质溶器接触；搅拦器叶片末端的线速度不要超过8米/秒，以免造成聚合物降解。</w:t>
            </w:r>
          </w:p>
          <w:p w14:paraId="1F417654">
            <w:pPr>
              <w:keepNext w:val="0"/>
              <w:keepLines w:val="0"/>
              <w:pageBreakBefore w:val="0"/>
              <w:widowControl w:val="0"/>
              <w:tabs>
                <w:tab w:val="left" w:pos="4665"/>
                <w:tab w:val="left" w:pos="8970"/>
              </w:tabs>
              <w:kinsoku/>
              <w:wordWrap/>
              <w:overflowPunct/>
              <w:topLinePunct w:val="0"/>
              <w:autoSpaceDE/>
              <w:autoSpaceDN/>
              <w:bidi w:val="0"/>
              <w:adjustRightInd/>
              <w:snapToGrid/>
              <w:spacing w:line="360" w:lineRule="auto"/>
              <w:ind w:firstLine="420"/>
              <w:jc w:val="both"/>
              <w:textAlignment w:val="auto"/>
              <w:rPr>
                <w:rFonts w:hint="default" w:ascii="Times New Roman" w:hAnsi="Times New Roman" w:eastAsia="宋体" w:cs="Times New Roman"/>
                <w:color w:val="FF0000"/>
                <w:kern w:val="2"/>
                <w:sz w:val="24"/>
                <w:szCs w:val="24"/>
                <w:lang w:val="en-US" w:eastAsia="zh-CN" w:bidi="ar-SA"/>
              </w:rPr>
            </w:pPr>
            <w:r>
              <w:rPr>
                <w:rFonts w:hint="default" w:ascii="Times New Roman" w:hAnsi="Times New Roman" w:eastAsia="宋体" w:cs="Times New Roman"/>
                <w:color w:val="FF0000"/>
                <w:kern w:val="2"/>
                <w:sz w:val="24"/>
                <w:szCs w:val="24"/>
                <w:lang w:val="en-US" w:eastAsia="zh-CN" w:bidi="ar-SA"/>
              </w:rPr>
              <w:t>包装贮藏:</w:t>
            </w:r>
          </w:p>
          <w:p w14:paraId="7F1A8C01">
            <w:pPr>
              <w:keepNext w:val="0"/>
              <w:keepLines w:val="0"/>
              <w:pageBreakBefore w:val="0"/>
              <w:widowControl w:val="0"/>
              <w:tabs>
                <w:tab w:val="left" w:pos="4665"/>
                <w:tab w:val="left" w:pos="8970"/>
              </w:tabs>
              <w:kinsoku/>
              <w:wordWrap/>
              <w:overflowPunct/>
              <w:topLinePunct w:val="0"/>
              <w:autoSpaceDE/>
              <w:autoSpaceDN/>
              <w:bidi w:val="0"/>
              <w:adjustRightInd/>
              <w:snapToGrid/>
              <w:spacing w:line="360" w:lineRule="auto"/>
              <w:ind w:firstLine="420"/>
              <w:jc w:val="both"/>
              <w:textAlignment w:val="auto"/>
              <w:rPr>
                <w:rFonts w:hint="default" w:ascii="Times New Roman" w:hAnsi="Times New Roman" w:eastAsia="宋体" w:cs="Times New Roman"/>
                <w:color w:val="FF0000"/>
                <w:kern w:val="2"/>
                <w:sz w:val="24"/>
                <w:szCs w:val="24"/>
                <w:lang w:val="en-US" w:eastAsia="zh-CN" w:bidi="ar-SA"/>
              </w:rPr>
            </w:pPr>
            <w:r>
              <w:rPr>
                <w:rFonts w:hint="default" w:ascii="Times New Roman" w:hAnsi="Times New Roman" w:eastAsia="宋体" w:cs="Times New Roman"/>
                <w:color w:val="FF0000"/>
                <w:kern w:val="2"/>
                <w:sz w:val="24"/>
                <w:szCs w:val="24"/>
                <w:lang w:val="en-US" w:eastAsia="zh-CN" w:bidi="ar-SA"/>
              </w:rPr>
              <w:t>塑料桶包装，25kg/桶或200kg/桶。本产品贮于通风、干燥库房，防潮湿、雨淋、勿裸露于空气中。干粉稳定期不低于两年。</w:t>
            </w:r>
          </w:p>
          <w:p w14:paraId="1D0B4764">
            <w:pPr>
              <w:widowControl/>
              <w:spacing w:line="360" w:lineRule="auto"/>
              <w:ind w:firstLine="480" w:firstLineChars="200"/>
              <w:jc w:val="left"/>
              <w:rPr>
                <w:rFonts w:hint="default" w:ascii="Times New Roman" w:hAnsi="Times New Roman" w:cs="Times New Roman"/>
                <w:color w:val="FF0000"/>
                <w:sz w:val="24"/>
              </w:rPr>
            </w:pPr>
            <w:r>
              <w:rPr>
                <w:rFonts w:hint="eastAsia" w:cs="Times New Roman"/>
                <w:color w:val="FF0000"/>
                <w:sz w:val="24"/>
                <w:lang w:val="en-US" w:eastAsia="zh-CN"/>
              </w:rPr>
              <w:t>D</w:t>
            </w:r>
            <w:r>
              <w:rPr>
                <w:rFonts w:hint="default" w:ascii="Times New Roman" w:hAnsi="Times New Roman" w:cs="Times New Roman"/>
                <w:color w:val="FF0000"/>
                <w:sz w:val="24"/>
              </w:rPr>
              <w:t>、处理预测</w:t>
            </w:r>
          </w:p>
          <w:p w14:paraId="54BE8A17">
            <w:pPr>
              <w:widowControl/>
              <w:spacing w:line="360" w:lineRule="auto"/>
              <w:ind w:firstLine="480" w:firstLineChars="200"/>
              <w:jc w:val="left"/>
              <w:rPr>
                <w:rFonts w:hint="default" w:ascii="Times New Roman" w:hAnsi="Times New Roman" w:cs="Times New Roman"/>
                <w:color w:val="FF0000"/>
                <w:sz w:val="24"/>
              </w:rPr>
            </w:pPr>
            <w:r>
              <w:rPr>
                <w:rFonts w:hint="eastAsia" w:cs="Times New Roman"/>
                <w:color w:val="FF0000"/>
                <w:sz w:val="24"/>
                <w:lang w:val="en-US" w:eastAsia="zh-CN"/>
              </w:rPr>
              <w:t>处理效率类比同类项目</w:t>
            </w:r>
            <w:r>
              <w:rPr>
                <w:rFonts w:hint="eastAsia" w:cs="Times New Roman"/>
                <w:color w:val="FF0000"/>
                <w:sz w:val="24"/>
                <w:lang w:eastAsia="zh-CN"/>
              </w:rPr>
              <w:t>《</w:t>
            </w:r>
            <w:r>
              <w:rPr>
                <w:rFonts w:hint="default" w:ascii="Times New Roman" w:hAnsi="Times New Roman" w:cs="Times New Roman"/>
                <w:color w:val="FF0000"/>
                <w:sz w:val="24"/>
                <w:lang w:eastAsia="zh-CN"/>
              </w:rPr>
              <w:t>安徽省茂鑫金属制品有限公司年拆解15000辆报废汽车项目</w:t>
            </w:r>
            <w:r>
              <w:rPr>
                <w:rFonts w:hint="eastAsia" w:cs="Times New Roman"/>
                <w:color w:val="FF0000"/>
                <w:sz w:val="24"/>
                <w:lang w:eastAsia="zh-CN"/>
              </w:rPr>
              <w:t>》</w:t>
            </w:r>
            <w:r>
              <w:rPr>
                <w:rFonts w:hint="default" w:ascii="Times New Roman" w:hAnsi="Times New Roman" w:cs="Times New Roman"/>
                <w:color w:val="FF0000"/>
                <w:sz w:val="24"/>
              </w:rPr>
              <w:t>的数据</w:t>
            </w:r>
            <w:r>
              <w:rPr>
                <w:rFonts w:hint="eastAsia" w:cs="Times New Roman"/>
                <w:color w:val="FF0000"/>
                <w:sz w:val="24"/>
                <w:lang w:val="en-US" w:eastAsia="zh-CN"/>
              </w:rPr>
              <w:t>进行分析</w:t>
            </w:r>
            <w:r>
              <w:rPr>
                <w:rFonts w:hint="default" w:ascii="Times New Roman" w:hAnsi="Times New Roman" w:cs="Times New Roman"/>
                <w:color w:val="FF0000"/>
                <w:sz w:val="24"/>
              </w:rPr>
              <w:t>，本项目污水处理站污染物处理情况见下表；</w:t>
            </w:r>
          </w:p>
          <w:p w14:paraId="2CC46820">
            <w:pPr>
              <w:jc w:val="center"/>
              <w:rPr>
                <w:rFonts w:hint="default" w:ascii="Times New Roman" w:hAnsi="Times New Roman" w:cs="Times New Roman"/>
                <w:b/>
                <w:bCs/>
                <w:color w:val="FF0000"/>
                <w:szCs w:val="21"/>
              </w:rPr>
            </w:pPr>
            <w:r>
              <w:rPr>
                <w:rFonts w:hint="default" w:ascii="Times New Roman" w:hAnsi="Times New Roman" w:cs="Times New Roman"/>
                <w:b/>
                <w:bCs/>
                <w:color w:val="FF0000"/>
                <w:szCs w:val="21"/>
              </w:rPr>
              <w:t>表4-2</w:t>
            </w:r>
            <w:r>
              <w:rPr>
                <w:rFonts w:hint="eastAsia" w:cs="Times New Roman"/>
                <w:b/>
                <w:bCs/>
                <w:color w:val="FF0000"/>
                <w:szCs w:val="21"/>
                <w:lang w:val="en-US" w:eastAsia="zh-CN"/>
              </w:rPr>
              <w:t>8</w:t>
            </w:r>
            <w:r>
              <w:rPr>
                <w:rFonts w:hint="default" w:ascii="Times New Roman" w:hAnsi="Times New Roman" w:cs="Times New Roman"/>
                <w:b/>
                <w:bCs/>
                <w:color w:val="FF0000"/>
                <w:szCs w:val="21"/>
              </w:rPr>
              <w:t xml:space="preserve">   重点污染物处理效果预测表</w:t>
            </w:r>
          </w:p>
          <w:tbl>
            <w:tblPr>
              <w:tblStyle w:val="34"/>
              <w:tblW w:w="4998" w:type="pct"/>
              <w:jc w:val="center"/>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949"/>
              <w:gridCol w:w="658"/>
              <w:gridCol w:w="658"/>
              <w:gridCol w:w="766"/>
              <w:gridCol w:w="637"/>
              <w:gridCol w:w="631"/>
              <w:gridCol w:w="636"/>
              <w:gridCol w:w="666"/>
              <w:gridCol w:w="600"/>
              <w:gridCol w:w="631"/>
              <w:gridCol w:w="639"/>
            </w:tblGrid>
            <w:tr w14:paraId="4AF39E9E">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150" w:type="pct"/>
                  <w:vMerge w:val="restart"/>
                  <w:tcBorders>
                    <w:tl2br w:val="nil"/>
                    <w:tr2bl w:val="nil"/>
                  </w:tcBorders>
                  <w:vAlign w:val="center"/>
                </w:tcPr>
                <w:p w14:paraId="05DB7051">
                  <w:pPr>
                    <w:spacing w:line="240" w:lineRule="exact"/>
                    <w:ind w:left="-105" w:leftChars="-50" w:right="-105" w:rightChars="-50"/>
                    <w:jc w:val="center"/>
                    <w:rPr>
                      <w:rFonts w:hint="default" w:ascii="Times New Roman" w:hAnsi="Times New Roman" w:cs="Times New Roman"/>
                      <w:b/>
                      <w:color w:val="FF0000"/>
                      <w:sz w:val="20"/>
                      <w:szCs w:val="21"/>
                    </w:rPr>
                  </w:pPr>
                  <w:r>
                    <w:rPr>
                      <w:rFonts w:hint="default" w:ascii="Times New Roman" w:hAnsi="Times New Roman" w:cs="Times New Roman"/>
                      <w:b/>
                      <w:color w:val="FF0000"/>
                      <w:sz w:val="20"/>
                      <w:szCs w:val="21"/>
                    </w:rPr>
                    <w:t>处理单元</w:t>
                  </w:r>
                </w:p>
              </w:tc>
              <w:tc>
                <w:tcPr>
                  <w:tcW w:w="776" w:type="pct"/>
                  <w:gridSpan w:val="2"/>
                  <w:tcBorders>
                    <w:tl2br w:val="nil"/>
                    <w:tr2bl w:val="nil"/>
                  </w:tcBorders>
                  <w:vAlign w:val="center"/>
                </w:tcPr>
                <w:p w14:paraId="1A0241F7">
                  <w:pPr>
                    <w:spacing w:line="240" w:lineRule="exact"/>
                    <w:ind w:left="-105" w:leftChars="-50" w:right="-105" w:rightChars="-50"/>
                    <w:jc w:val="center"/>
                    <w:rPr>
                      <w:rFonts w:hint="default" w:ascii="Times New Roman" w:hAnsi="Times New Roman" w:eastAsia="宋体" w:cs="Times New Roman"/>
                      <w:b/>
                      <w:color w:val="FF0000"/>
                      <w:sz w:val="20"/>
                      <w:szCs w:val="21"/>
                      <w:lang w:val="en-US" w:eastAsia="zh-CN"/>
                    </w:rPr>
                  </w:pPr>
                  <w:r>
                    <w:rPr>
                      <w:rFonts w:hint="eastAsia" w:cs="Times New Roman"/>
                      <w:b/>
                      <w:color w:val="FF0000"/>
                      <w:sz w:val="20"/>
                      <w:szCs w:val="21"/>
                      <w:lang w:val="en-US" w:eastAsia="zh-CN"/>
                    </w:rPr>
                    <w:t>pH</w:t>
                  </w:r>
                </w:p>
              </w:tc>
              <w:tc>
                <w:tcPr>
                  <w:tcW w:w="828" w:type="pct"/>
                  <w:gridSpan w:val="2"/>
                  <w:tcBorders>
                    <w:tl2br w:val="nil"/>
                    <w:tr2bl w:val="nil"/>
                  </w:tcBorders>
                  <w:vAlign w:val="center"/>
                </w:tcPr>
                <w:p w14:paraId="4E707AFD">
                  <w:pPr>
                    <w:spacing w:line="240" w:lineRule="exact"/>
                    <w:ind w:left="-105" w:leftChars="-50" w:right="-105" w:rightChars="-50"/>
                    <w:jc w:val="center"/>
                    <w:rPr>
                      <w:rFonts w:hint="default" w:ascii="Times New Roman" w:hAnsi="Times New Roman" w:cs="Times New Roman"/>
                      <w:b/>
                      <w:color w:val="FF0000"/>
                      <w:sz w:val="20"/>
                      <w:szCs w:val="21"/>
                    </w:rPr>
                  </w:pPr>
                  <w:r>
                    <w:rPr>
                      <w:rFonts w:hint="default" w:ascii="Times New Roman" w:hAnsi="Times New Roman" w:cs="Times New Roman"/>
                      <w:b/>
                      <w:color w:val="FF0000"/>
                      <w:sz w:val="20"/>
                      <w:szCs w:val="21"/>
                    </w:rPr>
                    <w:t>CODcr（mg/L）</w:t>
                  </w:r>
                </w:p>
              </w:tc>
              <w:tc>
                <w:tcPr>
                  <w:tcW w:w="747" w:type="pct"/>
                  <w:gridSpan w:val="2"/>
                  <w:tcBorders>
                    <w:tl2br w:val="nil"/>
                    <w:tr2bl w:val="nil"/>
                  </w:tcBorders>
                  <w:vAlign w:val="center"/>
                </w:tcPr>
                <w:p w14:paraId="4C2B1227">
                  <w:pPr>
                    <w:spacing w:line="240" w:lineRule="exact"/>
                    <w:ind w:left="-105" w:leftChars="-50" w:right="-105" w:rightChars="-50"/>
                    <w:jc w:val="center"/>
                    <w:rPr>
                      <w:rFonts w:hint="default" w:ascii="Times New Roman" w:hAnsi="Times New Roman" w:cs="Times New Roman"/>
                      <w:b/>
                      <w:color w:val="FF0000"/>
                      <w:sz w:val="20"/>
                      <w:szCs w:val="21"/>
                    </w:rPr>
                  </w:pPr>
                  <w:r>
                    <w:rPr>
                      <w:rFonts w:hint="default" w:ascii="Times New Roman" w:hAnsi="Times New Roman" w:cs="Times New Roman"/>
                      <w:b/>
                      <w:color w:val="FF0000"/>
                      <w:sz w:val="20"/>
                      <w:szCs w:val="21"/>
                    </w:rPr>
                    <w:t>NH</w:t>
                  </w:r>
                  <w:r>
                    <w:rPr>
                      <w:rFonts w:hint="default" w:ascii="Times New Roman" w:hAnsi="Times New Roman" w:cs="Times New Roman"/>
                      <w:b/>
                      <w:color w:val="FF0000"/>
                      <w:sz w:val="20"/>
                      <w:szCs w:val="21"/>
                      <w:vertAlign w:val="subscript"/>
                    </w:rPr>
                    <w:t>3</w:t>
                  </w:r>
                  <w:r>
                    <w:rPr>
                      <w:rFonts w:hint="default" w:ascii="Times New Roman" w:hAnsi="Times New Roman" w:cs="Times New Roman"/>
                      <w:b/>
                      <w:color w:val="FF0000"/>
                      <w:sz w:val="20"/>
                      <w:szCs w:val="21"/>
                    </w:rPr>
                    <w:t>-N（mg/L）</w:t>
                  </w:r>
                </w:p>
              </w:tc>
              <w:tc>
                <w:tcPr>
                  <w:tcW w:w="747" w:type="pct"/>
                  <w:gridSpan w:val="2"/>
                  <w:tcBorders>
                    <w:tl2br w:val="nil"/>
                    <w:tr2bl w:val="nil"/>
                  </w:tcBorders>
                  <w:vAlign w:val="center"/>
                </w:tcPr>
                <w:p w14:paraId="2B643EA2">
                  <w:pPr>
                    <w:spacing w:line="240" w:lineRule="exact"/>
                    <w:ind w:left="-105" w:leftChars="-50" w:right="-105" w:rightChars="-50"/>
                    <w:jc w:val="center"/>
                    <w:rPr>
                      <w:rFonts w:hint="default" w:ascii="Times New Roman" w:hAnsi="Times New Roman" w:cs="Times New Roman"/>
                      <w:b/>
                      <w:color w:val="FF0000"/>
                      <w:sz w:val="20"/>
                      <w:szCs w:val="21"/>
                    </w:rPr>
                  </w:pPr>
                  <w:r>
                    <w:rPr>
                      <w:rFonts w:hint="default" w:ascii="Times New Roman" w:hAnsi="Times New Roman" w:cs="Times New Roman"/>
                      <w:b/>
                      <w:color w:val="FF0000"/>
                      <w:sz w:val="20"/>
                      <w:szCs w:val="21"/>
                    </w:rPr>
                    <w:t>SS（mg/L）</w:t>
                  </w:r>
                </w:p>
              </w:tc>
              <w:tc>
                <w:tcPr>
                  <w:tcW w:w="749" w:type="pct"/>
                  <w:gridSpan w:val="2"/>
                  <w:tcBorders>
                    <w:tl2br w:val="nil"/>
                    <w:tr2bl w:val="nil"/>
                  </w:tcBorders>
                  <w:vAlign w:val="center"/>
                </w:tcPr>
                <w:p w14:paraId="3FC385DF">
                  <w:pPr>
                    <w:spacing w:line="240" w:lineRule="exact"/>
                    <w:ind w:left="-105" w:leftChars="-50" w:right="-105" w:rightChars="-50"/>
                    <w:jc w:val="center"/>
                    <w:rPr>
                      <w:rFonts w:hint="default" w:ascii="Times New Roman" w:hAnsi="Times New Roman" w:cs="Times New Roman"/>
                      <w:b/>
                      <w:color w:val="FF0000"/>
                      <w:sz w:val="20"/>
                      <w:szCs w:val="21"/>
                    </w:rPr>
                  </w:pPr>
                  <w:r>
                    <w:rPr>
                      <w:rFonts w:hint="default" w:ascii="Times New Roman" w:hAnsi="Times New Roman" w:cs="Times New Roman"/>
                      <w:b/>
                      <w:color w:val="FF0000"/>
                      <w:sz w:val="20"/>
                      <w:szCs w:val="21"/>
                    </w:rPr>
                    <w:t>石油类（mg/L）</w:t>
                  </w:r>
                </w:p>
              </w:tc>
            </w:tr>
            <w:tr w14:paraId="2A2725B6">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80" w:hRule="atLeast"/>
                <w:jc w:val="center"/>
              </w:trPr>
              <w:tc>
                <w:tcPr>
                  <w:tcW w:w="1150" w:type="pct"/>
                  <w:vMerge w:val="continue"/>
                  <w:tcBorders>
                    <w:tl2br w:val="nil"/>
                    <w:tr2bl w:val="nil"/>
                  </w:tcBorders>
                  <w:vAlign w:val="center"/>
                </w:tcPr>
                <w:p w14:paraId="7F18EEBC">
                  <w:pPr>
                    <w:spacing w:line="240" w:lineRule="exact"/>
                    <w:ind w:left="-105" w:leftChars="-50" w:right="-105" w:rightChars="-50"/>
                    <w:jc w:val="center"/>
                    <w:rPr>
                      <w:rFonts w:hint="default" w:ascii="Times New Roman" w:hAnsi="Times New Roman" w:cs="Times New Roman"/>
                      <w:b/>
                      <w:color w:val="FF0000"/>
                      <w:sz w:val="20"/>
                      <w:szCs w:val="21"/>
                    </w:rPr>
                  </w:pPr>
                </w:p>
              </w:tc>
              <w:tc>
                <w:tcPr>
                  <w:tcW w:w="658" w:type="dxa"/>
                  <w:tcBorders>
                    <w:tl2br w:val="nil"/>
                    <w:tr2bl w:val="nil"/>
                  </w:tcBorders>
                  <w:vAlign w:val="center"/>
                </w:tcPr>
                <w:p w14:paraId="48827675">
                  <w:pPr>
                    <w:spacing w:line="240" w:lineRule="exact"/>
                    <w:ind w:left="-105" w:leftChars="-50" w:right="-105" w:rightChars="-50"/>
                    <w:jc w:val="center"/>
                    <w:rPr>
                      <w:rFonts w:hint="default" w:ascii="Times New Roman" w:hAnsi="Times New Roman" w:cs="Times New Roman"/>
                      <w:b/>
                      <w:color w:val="FF0000"/>
                      <w:sz w:val="20"/>
                      <w:szCs w:val="21"/>
                    </w:rPr>
                  </w:pPr>
                  <w:r>
                    <w:rPr>
                      <w:rFonts w:hint="default" w:ascii="Times New Roman" w:hAnsi="Times New Roman" w:cs="Times New Roman"/>
                      <w:b/>
                      <w:color w:val="FF0000"/>
                      <w:sz w:val="20"/>
                      <w:szCs w:val="21"/>
                    </w:rPr>
                    <w:t>出水</w:t>
                  </w:r>
                </w:p>
              </w:tc>
              <w:tc>
                <w:tcPr>
                  <w:tcW w:w="658" w:type="dxa"/>
                  <w:tcBorders>
                    <w:tl2br w:val="nil"/>
                    <w:tr2bl w:val="nil"/>
                  </w:tcBorders>
                  <w:vAlign w:val="center"/>
                </w:tcPr>
                <w:p w14:paraId="1EAD580D">
                  <w:pPr>
                    <w:spacing w:line="240" w:lineRule="exact"/>
                    <w:ind w:left="-105" w:leftChars="-50" w:right="-105" w:rightChars="-50"/>
                    <w:jc w:val="center"/>
                    <w:rPr>
                      <w:rFonts w:hint="default" w:ascii="Times New Roman" w:hAnsi="Times New Roman" w:cs="Times New Roman"/>
                      <w:b/>
                      <w:color w:val="FF0000"/>
                      <w:sz w:val="20"/>
                      <w:szCs w:val="21"/>
                    </w:rPr>
                  </w:pPr>
                  <w:r>
                    <w:rPr>
                      <w:rFonts w:hint="default" w:ascii="Times New Roman" w:hAnsi="Times New Roman" w:cs="Times New Roman"/>
                      <w:b/>
                      <w:color w:val="FF0000"/>
                      <w:sz w:val="20"/>
                      <w:szCs w:val="21"/>
                    </w:rPr>
                    <w:t>去除率</w:t>
                  </w:r>
                </w:p>
              </w:tc>
              <w:tc>
                <w:tcPr>
                  <w:tcW w:w="452" w:type="pct"/>
                  <w:tcBorders>
                    <w:tl2br w:val="nil"/>
                    <w:tr2bl w:val="nil"/>
                  </w:tcBorders>
                  <w:vAlign w:val="center"/>
                </w:tcPr>
                <w:p w14:paraId="7A8B8C3E">
                  <w:pPr>
                    <w:spacing w:line="240" w:lineRule="exact"/>
                    <w:ind w:left="-105" w:leftChars="-50" w:right="-105" w:rightChars="-50"/>
                    <w:jc w:val="center"/>
                    <w:rPr>
                      <w:rFonts w:hint="default" w:ascii="Times New Roman" w:hAnsi="Times New Roman" w:cs="Times New Roman"/>
                      <w:b/>
                      <w:color w:val="FF0000"/>
                      <w:sz w:val="20"/>
                      <w:szCs w:val="21"/>
                    </w:rPr>
                  </w:pPr>
                  <w:r>
                    <w:rPr>
                      <w:rFonts w:hint="default" w:ascii="Times New Roman" w:hAnsi="Times New Roman" w:cs="Times New Roman"/>
                      <w:b/>
                      <w:color w:val="FF0000"/>
                      <w:sz w:val="20"/>
                      <w:szCs w:val="21"/>
                    </w:rPr>
                    <w:t>出水</w:t>
                  </w:r>
                </w:p>
              </w:tc>
              <w:tc>
                <w:tcPr>
                  <w:tcW w:w="376" w:type="pct"/>
                  <w:tcBorders>
                    <w:tl2br w:val="nil"/>
                    <w:tr2bl w:val="nil"/>
                  </w:tcBorders>
                  <w:vAlign w:val="center"/>
                </w:tcPr>
                <w:p w14:paraId="569020BB">
                  <w:pPr>
                    <w:spacing w:line="240" w:lineRule="exact"/>
                    <w:ind w:left="-105" w:leftChars="-50" w:right="-105" w:rightChars="-50"/>
                    <w:jc w:val="center"/>
                    <w:rPr>
                      <w:rFonts w:hint="default" w:ascii="Times New Roman" w:hAnsi="Times New Roman" w:cs="Times New Roman"/>
                      <w:b/>
                      <w:color w:val="FF0000"/>
                      <w:sz w:val="20"/>
                      <w:szCs w:val="21"/>
                    </w:rPr>
                  </w:pPr>
                  <w:r>
                    <w:rPr>
                      <w:rFonts w:hint="default" w:ascii="Times New Roman" w:hAnsi="Times New Roman" w:cs="Times New Roman"/>
                      <w:b/>
                      <w:color w:val="FF0000"/>
                      <w:sz w:val="20"/>
                      <w:szCs w:val="21"/>
                    </w:rPr>
                    <w:t>去除率</w:t>
                  </w:r>
                </w:p>
              </w:tc>
              <w:tc>
                <w:tcPr>
                  <w:tcW w:w="372" w:type="pct"/>
                  <w:tcBorders>
                    <w:tl2br w:val="nil"/>
                    <w:tr2bl w:val="nil"/>
                  </w:tcBorders>
                  <w:vAlign w:val="center"/>
                </w:tcPr>
                <w:p w14:paraId="724489A9">
                  <w:pPr>
                    <w:spacing w:line="240" w:lineRule="exact"/>
                    <w:ind w:left="-105" w:leftChars="-50" w:right="-105" w:rightChars="-50"/>
                    <w:jc w:val="center"/>
                    <w:rPr>
                      <w:rFonts w:hint="default" w:ascii="Times New Roman" w:hAnsi="Times New Roman" w:cs="Times New Roman"/>
                      <w:b/>
                      <w:color w:val="FF0000"/>
                      <w:sz w:val="20"/>
                      <w:szCs w:val="21"/>
                    </w:rPr>
                  </w:pPr>
                  <w:r>
                    <w:rPr>
                      <w:rFonts w:hint="default" w:ascii="Times New Roman" w:hAnsi="Times New Roman" w:cs="Times New Roman"/>
                      <w:b/>
                      <w:color w:val="FF0000"/>
                      <w:sz w:val="20"/>
                      <w:szCs w:val="21"/>
                    </w:rPr>
                    <w:t>出水</w:t>
                  </w:r>
                </w:p>
              </w:tc>
              <w:tc>
                <w:tcPr>
                  <w:tcW w:w="375" w:type="pct"/>
                  <w:tcBorders>
                    <w:tl2br w:val="nil"/>
                    <w:tr2bl w:val="nil"/>
                  </w:tcBorders>
                  <w:vAlign w:val="center"/>
                </w:tcPr>
                <w:p w14:paraId="4A620F88">
                  <w:pPr>
                    <w:spacing w:line="240" w:lineRule="exact"/>
                    <w:ind w:left="-105" w:leftChars="-50" w:right="-105" w:rightChars="-50"/>
                    <w:jc w:val="center"/>
                    <w:rPr>
                      <w:rFonts w:hint="default" w:ascii="Times New Roman" w:hAnsi="Times New Roman" w:cs="Times New Roman"/>
                      <w:b/>
                      <w:color w:val="FF0000"/>
                      <w:sz w:val="20"/>
                      <w:szCs w:val="21"/>
                    </w:rPr>
                  </w:pPr>
                  <w:r>
                    <w:rPr>
                      <w:rFonts w:hint="default" w:ascii="Times New Roman" w:hAnsi="Times New Roman" w:cs="Times New Roman"/>
                      <w:b/>
                      <w:color w:val="FF0000"/>
                      <w:sz w:val="20"/>
                      <w:szCs w:val="21"/>
                    </w:rPr>
                    <w:t>去除率</w:t>
                  </w:r>
                </w:p>
              </w:tc>
              <w:tc>
                <w:tcPr>
                  <w:tcW w:w="393" w:type="pct"/>
                  <w:tcBorders>
                    <w:tl2br w:val="nil"/>
                    <w:tr2bl w:val="nil"/>
                  </w:tcBorders>
                  <w:vAlign w:val="center"/>
                </w:tcPr>
                <w:p w14:paraId="2EFAA70E">
                  <w:pPr>
                    <w:spacing w:line="240" w:lineRule="exact"/>
                    <w:ind w:left="-105" w:leftChars="-50" w:right="-105" w:rightChars="-50"/>
                    <w:jc w:val="center"/>
                    <w:rPr>
                      <w:rFonts w:hint="default" w:ascii="Times New Roman" w:hAnsi="Times New Roman" w:cs="Times New Roman"/>
                      <w:b/>
                      <w:color w:val="FF0000"/>
                      <w:sz w:val="20"/>
                      <w:szCs w:val="21"/>
                    </w:rPr>
                  </w:pPr>
                  <w:r>
                    <w:rPr>
                      <w:rFonts w:hint="default" w:ascii="Times New Roman" w:hAnsi="Times New Roman" w:cs="Times New Roman"/>
                      <w:b/>
                      <w:color w:val="FF0000"/>
                      <w:sz w:val="20"/>
                      <w:szCs w:val="21"/>
                    </w:rPr>
                    <w:t>出水</w:t>
                  </w:r>
                </w:p>
              </w:tc>
              <w:tc>
                <w:tcPr>
                  <w:tcW w:w="354" w:type="pct"/>
                  <w:tcBorders>
                    <w:tl2br w:val="nil"/>
                    <w:tr2bl w:val="nil"/>
                  </w:tcBorders>
                  <w:vAlign w:val="center"/>
                </w:tcPr>
                <w:p w14:paraId="60E784F9">
                  <w:pPr>
                    <w:spacing w:line="240" w:lineRule="exact"/>
                    <w:ind w:left="-105" w:leftChars="-50" w:right="-105" w:rightChars="-50"/>
                    <w:jc w:val="center"/>
                    <w:rPr>
                      <w:rFonts w:hint="default" w:ascii="Times New Roman" w:hAnsi="Times New Roman" w:cs="Times New Roman"/>
                      <w:b/>
                      <w:color w:val="FF0000"/>
                      <w:sz w:val="20"/>
                      <w:szCs w:val="21"/>
                    </w:rPr>
                  </w:pPr>
                  <w:r>
                    <w:rPr>
                      <w:rFonts w:hint="default" w:ascii="Times New Roman" w:hAnsi="Times New Roman" w:cs="Times New Roman"/>
                      <w:b/>
                      <w:color w:val="FF0000"/>
                      <w:sz w:val="20"/>
                      <w:szCs w:val="21"/>
                    </w:rPr>
                    <w:t>去除率</w:t>
                  </w:r>
                </w:p>
              </w:tc>
              <w:tc>
                <w:tcPr>
                  <w:tcW w:w="372" w:type="pct"/>
                  <w:tcBorders>
                    <w:tl2br w:val="nil"/>
                    <w:tr2bl w:val="nil"/>
                  </w:tcBorders>
                  <w:vAlign w:val="center"/>
                </w:tcPr>
                <w:p w14:paraId="2CE529D6">
                  <w:pPr>
                    <w:spacing w:line="240" w:lineRule="exact"/>
                    <w:ind w:left="-105" w:leftChars="-50" w:right="-105" w:rightChars="-50"/>
                    <w:jc w:val="center"/>
                    <w:rPr>
                      <w:rFonts w:hint="default" w:ascii="Times New Roman" w:hAnsi="Times New Roman" w:cs="Times New Roman"/>
                      <w:b/>
                      <w:color w:val="FF0000"/>
                      <w:sz w:val="20"/>
                      <w:szCs w:val="21"/>
                    </w:rPr>
                  </w:pPr>
                  <w:r>
                    <w:rPr>
                      <w:rFonts w:hint="default" w:ascii="Times New Roman" w:hAnsi="Times New Roman" w:cs="Times New Roman"/>
                      <w:b/>
                      <w:color w:val="FF0000"/>
                      <w:sz w:val="20"/>
                      <w:szCs w:val="21"/>
                    </w:rPr>
                    <w:t>出水</w:t>
                  </w:r>
                </w:p>
              </w:tc>
              <w:tc>
                <w:tcPr>
                  <w:tcW w:w="376" w:type="pct"/>
                  <w:tcBorders>
                    <w:tl2br w:val="nil"/>
                    <w:tr2bl w:val="nil"/>
                  </w:tcBorders>
                  <w:vAlign w:val="center"/>
                </w:tcPr>
                <w:p w14:paraId="6E82C75D">
                  <w:pPr>
                    <w:spacing w:line="240" w:lineRule="exact"/>
                    <w:ind w:left="-105" w:leftChars="-50" w:right="-105" w:rightChars="-50"/>
                    <w:jc w:val="center"/>
                    <w:rPr>
                      <w:rFonts w:hint="default" w:ascii="Times New Roman" w:hAnsi="Times New Roman" w:cs="Times New Roman"/>
                      <w:b/>
                      <w:color w:val="FF0000"/>
                      <w:sz w:val="20"/>
                      <w:szCs w:val="21"/>
                    </w:rPr>
                  </w:pPr>
                  <w:r>
                    <w:rPr>
                      <w:rFonts w:hint="default" w:ascii="Times New Roman" w:hAnsi="Times New Roman" w:cs="Times New Roman"/>
                      <w:b/>
                      <w:color w:val="FF0000"/>
                      <w:sz w:val="20"/>
                      <w:szCs w:val="21"/>
                    </w:rPr>
                    <w:t>去除率</w:t>
                  </w:r>
                </w:p>
              </w:tc>
            </w:tr>
            <w:tr w14:paraId="3E77EE9D">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4" w:hRule="atLeast"/>
                <w:jc w:val="center"/>
              </w:trPr>
              <w:tc>
                <w:tcPr>
                  <w:tcW w:w="1150" w:type="pct"/>
                  <w:tcBorders>
                    <w:tl2br w:val="nil"/>
                    <w:tr2bl w:val="nil"/>
                  </w:tcBorders>
                  <w:vAlign w:val="center"/>
                </w:tcPr>
                <w:p w14:paraId="3ADE7263">
                  <w:pPr>
                    <w:jc w:val="center"/>
                    <w:rPr>
                      <w:rFonts w:hint="default" w:ascii="Times New Roman" w:hAnsi="Times New Roman" w:cs="Times New Roman"/>
                      <w:color w:val="FF0000"/>
                      <w:sz w:val="20"/>
                      <w:szCs w:val="21"/>
                    </w:rPr>
                  </w:pPr>
                  <w:r>
                    <w:rPr>
                      <w:rFonts w:hint="default" w:ascii="Times New Roman" w:hAnsi="Times New Roman" w:cs="Times New Roman"/>
                      <w:color w:val="FF0000"/>
                      <w:sz w:val="20"/>
                      <w:szCs w:val="21"/>
                    </w:rPr>
                    <w:t>均质调节池</w:t>
                  </w:r>
                </w:p>
              </w:tc>
              <w:tc>
                <w:tcPr>
                  <w:tcW w:w="388" w:type="pct"/>
                  <w:tcBorders>
                    <w:tl2br w:val="nil"/>
                    <w:tr2bl w:val="nil"/>
                  </w:tcBorders>
                  <w:vAlign w:val="center"/>
                </w:tcPr>
                <w:p w14:paraId="1F928AFC">
                  <w:pPr>
                    <w:widowControl/>
                    <w:jc w:val="center"/>
                    <w:textAlignment w:val="center"/>
                    <w:rPr>
                      <w:rFonts w:hint="default" w:ascii="Times New Roman" w:hAnsi="Times New Roman" w:eastAsia="宋体" w:cs="Times New Roman"/>
                      <w:color w:val="FF0000"/>
                      <w:kern w:val="0"/>
                      <w:sz w:val="20"/>
                      <w:szCs w:val="20"/>
                      <w:lang w:val="en-US" w:eastAsia="zh-CN" w:bidi="ar"/>
                    </w:rPr>
                  </w:pPr>
                  <w:r>
                    <w:rPr>
                      <w:rFonts w:hint="eastAsia" w:cs="Times New Roman"/>
                      <w:color w:val="FF0000"/>
                      <w:kern w:val="0"/>
                      <w:sz w:val="20"/>
                      <w:szCs w:val="20"/>
                      <w:lang w:val="en-US" w:eastAsia="zh-CN" w:bidi="ar"/>
                    </w:rPr>
                    <w:t>7.2~10</w:t>
                  </w:r>
                </w:p>
              </w:tc>
              <w:tc>
                <w:tcPr>
                  <w:tcW w:w="388" w:type="pct"/>
                  <w:tcBorders>
                    <w:tl2br w:val="nil"/>
                    <w:tr2bl w:val="nil"/>
                  </w:tcBorders>
                  <w:vAlign w:val="center"/>
                </w:tcPr>
                <w:p w14:paraId="7A7A3CA2">
                  <w:pPr>
                    <w:widowControl/>
                    <w:jc w:val="center"/>
                    <w:textAlignment w:val="center"/>
                    <w:rPr>
                      <w:rFonts w:hint="default" w:ascii="Times New Roman" w:hAnsi="Times New Roman" w:cs="Times New Roman"/>
                      <w:color w:val="FF0000"/>
                      <w:kern w:val="0"/>
                      <w:sz w:val="20"/>
                      <w:szCs w:val="20"/>
                      <w:lang w:bidi="ar"/>
                    </w:rPr>
                  </w:pPr>
                  <w:r>
                    <w:rPr>
                      <w:rFonts w:hint="default" w:ascii="Times New Roman" w:hAnsi="Times New Roman" w:cs="Times New Roman"/>
                      <w:color w:val="FF0000"/>
                      <w:sz w:val="20"/>
                      <w:szCs w:val="21"/>
                    </w:rPr>
                    <w:t>/</w:t>
                  </w:r>
                </w:p>
              </w:tc>
              <w:tc>
                <w:tcPr>
                  <w:tcW w:w="452" w:type="pct"/>
                  <w:tcBorders>
                    <w:tl2br w:val="nil"/>
                    <w:tr2bl w:val="nil"/>
                  </w:tcBorders>
                  <w:vAlign w:val="center"/>
                </w:tcPr>
                <w:p w14:paraId="02D70D72">
                  <w:pPr>
                    <w:widowControl/>
                    <w:jc w:val="center"/>
                    <w:textAlignment w:val="center"/>
                    <w:rPr>
                      <w:rFonts w:hint="default" w:ascii="Times New Roman" w:hAnsi="Times New Roman" w:cs="Times New Roman"/>
                      <w:color w:val="FF0000"/>
                      <w:sz w:val="20"/>
                      <w:szCs w:val="21"/>
                    </w:rPr>
                  </w:pPr>
                  <w:r>
                    <w:rPr>
                      <w:rFonts w:hint="default" w:ascii="Times New Roman" w:hAnsi="Times New Roman" w:cs="Times New Roman"/>
                      <w:color w:val="FF0000"/>
                      <w:kern w:val="0"/>
                      <w:sz w:val="20"/>
                      <w:szCs w:val="20"/>
                      <w:lang w:bidi="ar"/>
                    </w:rPr>
                    <w:t>562</w:t>
                  </w:r>
                </w:p>
              </w:tc>
              <w:tc>
                <w:tcPr>
                  <w:tcW w:w="376" w:type="pct"/>
                  <w:tcBorders>
                    <w:tl2br w:val="nil"/>
                    <w:tr2bl w:val="nil"/>
                  </w:tcBorders>
                  <w:vAlign w:val="center"/>
                </w:tcPr>
                <w:p w14:paraId="0F2B7ADA">
                  <w:pPr>
                    <w:widowControl/>
                    <w:jc w:val="center"/>
                    <w:textAlignment w:val="center"/>
                    <w:rPr>
                      <w:rFonts w:hint="default" w:ascii="Times New Roman" w:hAnsi="Times New Roman" w:cs="Times New Roman"/>
                      <w:color w:val="FF0000"/>
                      <w:sz w:val="20"/>
                      <w:szCs w:val="21"/>
                    </w:rPr>
                  </w:pPr>
                  <w:r>
                    <w:rPr>
                      <w:rFonts w:hint="default" w:ascii="Times New Roman" w:hAnsi="Times New Roman" w:cs="Times New Roman"/>
                      <w:color w:val="FF0000"/>
                      <w:sz w:val="20"/>
                      <w:szCs w:val="21"/>
                    </w:rPr>
                    <w:t>/</w:t>
                  </w:r>
                </w:p>
              </w:tc>
              <w:tc>
                <w:tcPr>
                  <w:tcW w:w="372" w:type="pct"/>
                  <w:tcBorders>
                    <w:tl2br w:val="nil"/>
                    <w:tr2bl w:val="nil"/>
                  </w:tcBorders>
                  <w:vAlign w:val="center"/>
                </w:tcPr>
                <w:p w14:paraId="1214A5A9">
                  <w:pPr>
                    <w:widowControl/>
                    <w:jc w:val="center"/>
                    <w:textAlignment w:val="center"/>
                    <w:rPr>
                      <w:rFonts w:hint="default" w:ascii="Times New Roman" w:hAnsi="Times New Roman" w:cs="Times New Roman"/>
                      <w:color w:val="FF0000"/>
                      <w:sz w:val="20"/>
                      <w:szCs w:val="21"/>
                    </w:rPr>
                  </w:pPr>
                  <w:r>
                    <w:rPr>
                      <w:rFonts w:hint="default" w:ascii="Times New Roman" w:hAnsi="Times New Roman" w:cs="Times New Roman"/>
                      <w:color w:val="FF0000"/>
                      <w:kern w:val="0"/>
                      <w:sz w:val="20"/>
                      <w:szCs w:val="20"/>
                      <w:lang w:bidi="ar"/>
                    </w:rPr>
                    <w:t>10</w:t>
                  </w:r>
                </w:p>
              </w:tc>
              <w:tc>
                <w:tcPr>
                  <w:tcW w:w="375" w:type="pct"/>
                  <w:tcBorders>
                    <w:tl2br w:val="nil"/>
                    <w:tr2bl w:val="nil"/>
                  </w:tcBorders>
                  <w:vAlign w:val="center"/>
                </w:tcPr>
                <w:p w14:paraId="3D24122C">
                  <w:pPr>
                    <w:widowControl/>
                    <w:jc w:val="center"/>
                    <w:textAlignment w:val="center"/>
                    <w:rPr>
                      <w:rFonts w:hint="default" w:ascii="Times New Roman" w:hAnsi="Times New Roman" w:cs="Times New Roman"/>
                      <w:color w:val="FF0000"/>
                      <w:sz w:val="20"/>
                      <w:szCs w:val="21"/>
                    </w:rPr>
                  </w:pPr>
                  <w:r>
                    <w:rPr>
                      <w:rFonts w:hint="default" w:ascii="Times New Roman" w:hAnsi="Times New Roman" w:cs="Times New Roman"/>
                      <w:color w:val="FF0000"/>
                      <w:sz w:val="20"/>
                      <w:szCs w:val="21"/>
                    </w:rPr>
                    <w:t>/</w:t>
                  </w:r>
                </w:p>
              </w:tc>
              <w:tc>
                <w:tcPr>
                  <w:tcW w:w="393" w:type="pct"/>
                  <w:tcBorders>
                    <w:tl2br w:val="nil"/>
                    <w:tr2bl w:val="nil"/>
                  </w:tcBorders>
                  <w:vAlign w:val="center"/>
                </w:tcPr>
                <w:p w14:paraId="2BD9EA4B">
                  <w:pPr>
                    <w:widowControl/>
                    <w:jc w:val="center"/>
                    <w:textAlignment w:val="center"/>
                    <w:rPr>
                      <w:rFonts w:hint="default" w:ascii="Times New Roman" w:hAnsi="Times New Roman" w:cs="Times New Roman"/>
                      <w:color w:val="FF0000"/>
                      <w:sz w:val="20"/>
                      <w:szCs w:val="21"/>
                    </w:rPr>
                  </w:pPr>
                  <w:r>
                    <w:rPr>
                      <w:rFonts w:hint="default" w:ascii="Times New Roman" w:hAnsi="Times New Roman" w:cs="Times New Roman"/>
                      <w:color w:val="FF0000"/>
                      <w:kern w:val="0"/>
                      <w:sz w:val="20"/>
                      <w:szCs w:val="20"/>
                      <w:lang w:bidi="ar"/>
                    </w:rPr>
                    <w:t>73</w:t>
                  </w:r>
                </w:p>
              </w:tc>
              <w:tc>
                <w:tcPr>
                  <w:tcW w:w="354" w:type="pct"/>
                  <w:tcBorders>
                    <w:tl2br w:val="nil"/>
                    <w:tr2bl w:val="nil"/>
                  </w:tcBorders>
                  <w:vAlign w:val="center"/>
                </w:tcPr>
                <w:p w14:paraId="61FDFD96">
                  <w:pPr>
                    <w:widowControl/>
                    <w:jc w:val="center"/>
                    <w:textAlignment w:val="center"/>
                    <w:rPr>
                      <w:rFonts w:hint="default" w:ascii="Times New Roman" w:hAnsi="Times New Roman" w:cs="Times New Roman"/>
                      <w:color w:val="FF0000"/>
                      <w:sz w:val="20"/>
                      <w:szCs w:val="21"/>
                    </w:rPr>
                  </w:pPr>
                  <w:r>
                    <w:rPr>
                      <w:rFonts w:hint="default" w:ascii="Times New Roman" w:hAnsi="Times New Roman" w:cs="Times New Roman"/>
                      <w:color w:val="FF0000"/>
                      <w:sz w:val="20"/>
                      <w:szCs w:val="21"/>
                    </w:rPr>
                    <w:t>/</w:t>
                  </w:r>
                </w:p>
              </w:tc>
              <w:tc>
                <w:tcPr>
                  <w:tcW w:w="372" w:type="pct"/>
                  <w:tcBorders>
                    <w:tl2br w:val="nil"/>
                    <w:tr2bl w:val="nil"/>
                  </w:tcBorders>
                  <w:vAlign w:val="center"/>
                </w:tcPr>
                <w:p w14:paraId="67F64220">
                  <w:pPr>
                    <w:widowControl/>
                    <w:jc w:val="center"/>
                    <w:textAlignment w:val="center"/>
                    <w:rPr>
                      <w:rFonts w:hint="default" w:ascii="Times New Roman" w:hAnsi="Times New Roman" w:cs="Times New Roman"/>
                      <w:color w:val="FF0000"/>
                      <w:sz w:val="20"/>
                      <w:szCs w:val="21"/>
                    </w:rPr>
                  </w:pPr>
                  <w:r>
                    <w:rPr>
                      <w:rFonts w:hint="default" w:ascii="Times New Roman" w:hAnsi="Times New Roman" w:cs="Times New Roman"/>
                      <w:color w:val="FF0000"/>
                      <w:kern w:val="0"/>
                      <w:sz w:val="20"/>
                      <w:szCs w:val="20"/>
                      <w:lang w:bidi="ar"/>
                    </w:rPr>
                    <w:t>380</w:t>
                  </w:r>
                </w:p>
              </w:tc>
              <w:tc>
                <w:tcPr>
                  <w:tcW w:w="376" w:type="pct"/>
                  <w:tcBorders>
                    <w:tl2br w:val="nil"/>
                    <w:tr2bl w:val="nil"/>
                  </w:tcBorders>
                  <w:vAlign w:val="center"/>
                </w:tcPr>
                <w:p w14:paraId="6D53AF45">
                  <w:pPr>
                    <w:widowControl/>
                    <w:jc w:val="center"/>
                    <w:textAlignment w:val="center"/>
                    <w:rPr>
                      <w:rFonts w:hint="default" w:ascii="Times New Roman" w:hAnsi="Times New Roman" w:cs="Times New Roman"/>
                      <w:color w:val="FF0000"/>
                      <w:sz w:val="20"/>
                      <w:szCs w:val="21"/>
                    </w:rPr>
                  </w:pPr>
                  <w:r>
                    <w:rPr>
                      <w:rFonts w:hint="default" w:ascii="Times New Roman" w:hAnsi="Times New Roman" w:cs="Times New Roman"/>
                      <w:color w:val="FF0000"/>
                      <w:sz w:val="20"/>
                      <w:szCs w:val="21"/>
                    </w:rPr>
                    <w:t>/</w:t>
                  </w:r>
                </w:p>
              </w:tc>
            </w:tr>
            <w:tr w14:paraId="40A7D6F9">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150" w:type="pct"/>
                  <w:tcBorders>
                    <w:tl2br w:val="nil"/>
                    <w:tr2bl w:val="nil"/>
                  </w:tcBorders>
                  <w:vAlign w:val="center"/>
                </w:tcPr>
                <w:p w14:paraId="1A09E351">
                  <w:pPr>
                    <w:jc w:val="center"/>
                    <w:rPr>
                      <w:rFonts w:hint="default" w:ascii="Times New Roman" w:hAnsi="Times New Roman" w:cs="Times New Roman"/>
                      <w:color w:val="FF0000"/>
                      <w:sz w:val="20"/>
                      <w:szCs w:val="21"/>
                    </w:rPr>
                  </w:pPr>
                  <w:r>
                    <w:rPr>
                      <w:rFonts w:hint="default" w:ascii="Times New Roman" w:hAnsi="Times New Roman" w:cs="Times New Roman"/>
                      <w:color w:val="FF0000"/>
                      <w:sz w:val="20"/>
                      <w:szCs w:val="21"/>
                    </w:rPr>
                    <w:t>隔油池</w:t>
                  </w:r>
                </w:p>
              </w:tc>
              <w:tc>
                <w:tcPr>
                  <w:tcW w:w="388" w:type="pct"/>
                  <w:tcBorders>
                    <w:tl2br w:val="nil"/>
                    <w:tr2bl w:val="nil"/>
                  </w:tcBorders>
                  <w:vAlign w:val="center"/>
                </w:tcPr>
                <w:p w14:paraId="7594825E">
                  <w:pPr>
                    <w:widowControl/>
                    <w:jc w:val="center"/>
                    <w:textAlignment w:val="center"/>
                    <w:rPr>
                      <w:rFonts w:hint="default" w:ascii="Times New Roman" w:hAnsi="Times New Roman" w:cs="Times New Roman"/>
                      <w:color w:val="FF0000"/>
                      <w:kern w:val="0"/>
                      <w:sz w:val="20"/>
                      <w:szCs w:val="20"/>
                      <w:lang w:bidi="ar"/>
                    </w:rPr>
                  </w:pPr>
                  <w:r>
                    <w:rPr>
                      <w:rFonts w:hint="eastAsia" w:cs="Times New Roman"/>
                      <w:color w:val="FF0000"/>
                      <w:kern w:val="0"/>
                      <w:sz w:val="20"/>
                      <w:szCs w:val="20"/>
                      <w:lang w:val="en-US" w:eastAsia="zh-CN" w:bidi="ar"/>
                    </w:rPr>
                    <w:t>6~9</w:t>
                  </w:r>
                </w:p>
              </w:tc>
              <w:tc>
                <w:tcPr>
                  <w:tcW w:w="388" w:type="pct"/>
                  <w:tcBorders>
                    <w:tl2br w:val="nil"/>
                    <w:tr2bl w:val="nil"/>
                  </w:tcBorders>
                  <w:vAlign w:val="center"/>
                </w:tcPr>
                <w:p w14:paraId="67427EE4">
                  <w:pPr>
                    <w:widowControl/>
                    <w:jc w:val="center"/>
                    <w:textAlignment w:val="center"/>
                    <w:rPr>
                      <w:rFonts w:hint="default" w:ascii="Times New Roman" w:hAnsi="Times New Roman" w:cs="Times New Roman"/>
                      <w:color w:val="FF0000"/>
                      <w:kern w:val="0"/>
                      <w:sz w:val="20"/>
                      <w:szCs w:val="20"/>
                      <w:lang w:bidi="ar"/>
                    </w:rPr>
                  </w:pPr>
                  <w:r>
                    <w:rPr>
                      <w:rFonts w:hint="default" w:ascii="Times New Roman" w:hAnsi="Times New Roman" w:cs="Times New Roman"/>
                      <w:color w:val="FF0000"/>
                      <w:sz w:val="20"/>
                      <w:szCs w:val="21"/>
                    </w:rPr>
                    <w:t>/</w:t>
                  </w:r>
                </w:p>
              </w:tc>
              <w:tc>
                <w:tcPr>
                  <w:tcW w:w="452" w:type="pct"/>
                  <w:tcBorders>
                    <w:tl2br w:val="nil"/>
                    <w:tr2bl w:val="nil"/>
                  </w:tcBorders>
                  <w:vAlign w:val="center"/>
                </w:tcPr>
                <w:p w14:paraId="08624B95">
                  <w:pPr>
                    <w:widowControl/>
                    <w:jc w:val="center"/>
                    <w:textAlignment w:val="center"/>
                    <w:rPr>
                      <w:rFonts w:hint="default" w:ascii="Times New Roman" w:hAnsi="Times New Roman" w:cs="Times New Roman"/>
                      <w:color w:val="FF0000"/>
                      <w:sz w:val="20"/>
                      <w:szCs w:val="21"/>
                    </w:rPr>
                  </w:pPr>
                  <w:r>
                    <w:rPr>
                      <w:rFonts w:hint="default" w:ascii="Times New Roman" w:hAnsi="Times New Roman" w:cs="Times New Roman"/>
                      <w:color w:val="FF0000"/>
                      <w:kern w:val="0"/>
                      <w:sz w:val="20"/>
                      <w:szCs w:val="20"/>
                      <w:lang w:bidi="ar"/>
                    </w:rPr>
                    <w:t>449.6</w:t>
                  </w:r>
                </w:p>
              </w:tc>
              <w:tc>
                <w:tcPr>
                  <w:tcW w:w="376" w:type="pct"/>
                  <w:tcBorders>
                    <w:tl2br w:val="nil"/>
                    <w:tr2bl w:val="nil"/>
                  </w:tcBorders>
                  <w:vAlign w:val="center"/>
                </w:tcPr>
                <w:p w14:paraId="3DFA4C99">
                  <w:pPr>
                    <w:widowControl/>
                    <w:jc w:val="center"/>
                    <w:textAlignment w:val="center"/>
                    <w:rPr>
                      <w:rFonts w:hint="default" w:ascii="Times New Roman" w:hAnsi="Times New Roman" w:cs="Times New Roman"/>
                      <w:color w:val="FF0000"/>
                      <w:sz w:val="20"/>
                      <w:szCs w:val="21"/>
                    </w:rPr>
                  </w:pPr>
                  <w:r>
                    <w:rPr>
                      <w:rFonts w:hint="default" w:ascii="Times New Roman" w:hAnsi="Times New Roman" w:cs="Times New Roman"/>
                      <w:color w:val="FF0000"/>
                      <w:kern w:val="0"/>
                      <w:sz w:val="20"/>
                      <w:szCs w:val="20"/>
                      <w:lang w:bidi="ar"/>
                    </w:rPr>
                    <w:t>20%</w:t>
                  </w:r>
                </w:p>
              </w:tc>
              <w:tc>
                <w:tcPr>
                  <w:tcW w:w="372" w:type="pct"/>
                  <w:tcBorders>
                    <w:tl2br w:val="nil"/>
                    <w:tr2bl w:val="nil"/>
                  </w:tcBorders>
                  <w:vAlign w:val="center"/>
                </w:tcPr>
                <w:p w14:paraId="46596FA2">
                  <w:pPr>
                    <w:widowControl/>
                    <w:jc w:val="center"/>
                    <w:textAlignment w:val="center"/>
                    <w:rPr>
                      <w:rFonts w:hint="default" w:ascii="Times New Roman" w:hAnsi="Times New Roman" w:cs="Times New Roman"/>
                      <w:color w:val="FF0000"/>
                      <w:sz w:val="20"/>
                      <w:szCs w:val="21"/>
                    </w:rPr>
                  </w:pPr>
                  <w:r>
                    <w:rPr>
                      <w:rFonts w:hint="default" w:ascii="Times New Roman" w:hAnsi="Times New Roman" w:cs="Times New Roman"/>
                      <w:color w:val="FF0000"/>
                      <w:kern w:val="0"/>
                      <w:sz w:val="20"/>
                      <w:szCs w:val="20"/>
                      <w:lang w:bidi="ar"/>
                    </w:rPr>
                    <w:t>8</w:t>
                  </w:r>
                </w:p>
              </w:tc>
              <w:tc>
                <w:tcPr>
                  <w:tcW w:w="375" w:type="pct"/>
                  <w:tcBorders>
                    <w:tl2br w:val="nil"/>
                    <w:tr2bl w:val="nil"/>
                  </w:tcBorders>
                  <w:vAlign w:val="center"/>
                </w:tcPr>
                <w:p w14:paraId="701C82D3">
                  <w:pPr>
                    <w:widowControl/>
                    <w:jc w:val="center"/>
                    <w:textAlignment w:val="center"/>
                    <w:rPr>
                      <w:rFonts w:hint="default" w:ascii="Times New Roman" w:hAnsi="Times New Roman" w:cs="Times New Roman"/>
                      <w:color w:val="FF0000"/>
                      <w:sz w:val="20"/>
                      <w:szCs w:val="21"/>
                    </w:rPr>
                  </w:pPr>
                  <w:r>
                    <w:rPr>
                      <w:rFonts w:hint="default" w:ascii="Times New Roman" w:hAnsi="Times New Roman" w:cs="Times New Roman"/>
                      <w:color w:val="FF0000"/>
                      <w:kern w:val="0"/>
                      <w:sz w:val="20"/>
                      <w:szCs w:val="20"/>
                      <w:lang w:bidi="ar"/>
                    </w:rPr>
                    <w:t>20%</w:t>
                  </w:r>
                </w:p>
              </w:tc>
              <w:tc>
                <w:tcPr>
                  <w:tcW w:w="393" w:type="pct"/>
                  <w:tcBorders>
                    <w:tl2br w:val="nil"/>
                    <w:tr2bl w:val="nil"/>
                  </w:tcBorders>
                  <w:vAlign w:val="center"/>
                </w:tcPr>
                <w:p w14:paraId="10D3C4DA">
                  <w:pPr>
                    <w:widowControl/>
                    <w:jc w:val="center"/>
                    <w:textAlignment w:val="center"/>
                    <w:rPr>
                      <w:rFonts w:hint="default" w:ascii="Times New Roman" w:hAnsi="Times New Roman" w:cs="Times New Roman"/>
                      <w:color w:val="FF0000"/>
                      <w:sz w:val="20"/>
                      <w:szCs w:val="21"/>
                    </w:rPr>
                  </w:pPr>
                  <w:r>
                    <w:rPr>
                      <w:rFonts w:hint="default" w:ascii="Times New Roman" w:hAnsi="Times New Roman" w:cs="Times New Roman"/>
                      <w:color w:val="FF0000"/>
                      <w:kern w:val="0"/>
                      <w:sz w:val="20"/>
                      <w:szCs w:val="20"/>
                      <w:lang w:bidi="ar"/>
                    </w:rPr>
                    <w:t>65.7</w:t>
                  </w:r>
                </w:p>
              </w:tc>
              <w:tc>
                <w:tcPr>
                  <w:tcW w:w="354" w:type="pct"/>
                  <w:tcBorders>
                    <w:tl2br w:val="nil"/>
                    <w:tr2bl w:val="nil"/>
                  </w:tcBorders>
                  <w:vAlign w:val="center"/>
                </w:tcPr>
                <w:p w14:paraId="27339DC3">
                  <w:pPr>
                    <w:widowControl/>
                    <w:jc w:val="center"/>
                    <w:textAlignment w:val="center"/>
                    <w:rPr>
                      <w:rFonts w:hint="default" w:ascii="Times New Roman" w:hAnsi="Times New Roman" w:cs="Times New Roman"/>
                      <w:color w:val="FF0000"/>
                      <w:sz w:val="20"/>
                      <w:szCs w:val="21"/>
                    </w:rPr>
                  </w:pPr>
                  <w:r>
                    <w:rPr>
                      <w:rFonts w:hint="default" w:ascii="Times New Roman" w:hAnsi="Times New Roman" w:cs="Times New Roman"/>
                      <w:color w:val="FF0000"/>
                      <w:kern w:val="0"/>
                      <w:sz w:val="20"/>
                      <w:szCs w:val="20"/>
                      <w:lang w:bidi="ar"/>
                    </w:rPr>
                    <w:t>10%</w:t>
                  </w:r>
                </w:p>
              </w:tc>
              <w:tc>
                <w:tcPr>
                  <w:tcW w:w="372" w:type="pct"/>
                  <w:tcBorders>
                    <w:tl2br w:val="nil"/>
                    <w:tr2bl w:val="nil"/>
                  </w:tcBorders>
                  <w:vAlign w:val="center"/>
                </w:tcPr>
                <w:p w14:paraId="02380F05">
                  <w:pPr>
                    <w:widowControl/>
                    <w:jc w:val="center"/>
                    <w:textAlignment w:val="center"/>
                    <w:rPr>
                      <w:rFonts w:hint="default" w:ascii="Times New Roman" w:hAnsi="Times New Roman" w:cs="Times New Roman"/>
                      <w:color w:val="FF0000"/>
                      <w:sz w:val="20"/>
                      <w:szCs w:val="21"/>
                    </w:rPr>
                  </w:pPr>
                  <w:r>
                    <w:rPr>
                      <w:rFonts w:hint="default" w:ascii="Times New Roman" w:hAnsi="Times New Roman" w:cs="Times New Roman"/>
                      <w:color w:val="FF0000"/>
                      <w:kern w:val="0"/>
                      <w:sz w:val="20"/>
                      <w:szCs w:val="20"/>
                      <w:lang w:bidi="ar"/>
                    </w:rPr>
                    <w:t>38</w:t>
                  </w:r>
                </w:p>
              </w:tc>
              <w:tc>
                <w:tcPr>
                  <w:tcW w:w="376" w:type="pct"/>
                  <w:tcBorders>
                    <w:tl2br w:val="nil"/>
                    <w:tr2bl w:val="nil"/>
                  </w:tcBorders>
                  <w:vAlign w:val="center"/>
                </w:tcPr>
                <w:p w14:paraId="3BA4E9BD">
                  <w:pPr>
                    <w:widowControl/>
                    <w:jc w:val="center"/>
                    <w:textAlignment w:val="center"/>
                    <w:rPr>
                      <w:rFonts w:hint="default" w:ascii="Times New Roman" w:hAnsi="Times New Roman" w:cs="Times New Roman"/>
                      <w:color w:val="FF0000"/>
                      <w:sz w:val="20"/>
                      <w:szCs w:val="21"/>
                    </w:rPr>
                  </w:pPr>
                  <w:r>
                    <w:rPr>
                      <w:rFonts w:hint="default" w:ascii="Times New Roman" w:hAnsi="Times New Roman" w:cs="Times New Roman"/>
                      <w:color w:val="FF0000"/>
                      <w:kern w:val="0"/>
                      <w:sz w:val="20"/>
                      <w:szCs w:val="20"/>
                      <w:lang w:bidi="ar"/>
                    </w:rPr>
                    <w:t>90%</w:t>
                  </w:r>
                </w:p>
              </w:tc>
            </w:tr>
            <w:tr w14:paraId="5971BF3A">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150" w:type="pct"/>
                  <w:tcBorders>
                    <w:tl2br w:val="nil"/>
                    <w:tr2bl w:val="nil"/>
                  </w:tcBorders>
                  <w:vAlign w:val="center"/>
                </w:tcPr>
                <w:p w14:paraId="01EEDABD">
                  <w:pPr>
                    <w:jc w:val="center"/>
                    <w:rPr>
                      <w:rFonts w:hint="default" w:ascii="Times New Roman" w:hAnsi="Times New Roman" w:cs="Times New Roman"/>
                      <w:color w:val="FF0000"/>
                      <w:sz w:val="20"/>
                      <w:szCs w:val="21"/>
                    </w:rPr>
                  </w:pPr>
                  <w:r>
                    <w:rPr>
                      <w:rFonts w:hint="default" w:ascii="Times New Roman" w:hAnsi="Times New Roman" w:cs="Times New Roman"/>
                      <w:color w:val="FF0000"/>
                      <w:sz w:val="20"/>
                      <w:szCs w:val="21"/>
                    </w:rPr>
                    <w:t>絮凝气浮池</w:t>
                  </w:r>
                </w:p>
              </w:tc>
              <w:tc>
                <w:tcPr>
                  <w:tcW w:w="388" w:type="pct"/>
                  <w:tcBorders>
                    <w:tl2br w:val="nil"/>
                    <w:tr2bl w:val="nil"/>
                  </w:tcBorders>
                  <w:vAlign w:val="center"/>
                </w:tcPr>
                <w:p w14:paraId="06AABBD5">
                  <w:pPr>
                    <w:widowControl/>
                    <w:jc w:val="center"/>
                    <w:textAlignment w:val="center"/>
                    <w:rPr>
                      <w:rFonts w:hint="default" w:ascii="Times New Roman" w:hAnsi="Times New Roman" w:cs="Times New Roman"/>
                      <w:color w:val="FF0000"/>
                      <w:kern w:val="0"/>
                      <w:sz w:val="20"/>
                      <w:szCs w:val="20"/>
                      <w:lang w:bidi="ar"/>
                    </w:rPr>
                  </w:pPr>
                  <w:r>
                    <w:rPr>
                      <w:rFonts w:hint="eastAsia" w:cs="Times New Roman"/>
                      <w:color w:val="FF0000"/>
                      <w:kern w:val="0"/>
                      <w:sz w:val="20"/>
                      <w:szCs w:val="20"/>
                      <w:lang w:val="en-US" w:eastAsia="zh-CN" w:bidi="ar"/>
                    </w:rPr>
                    <w:t>6~9</w:t>
                  </w:r>
                </w:p>
              </w:tc>
              <w:tc>
                <w:tcPr>
                  <w:tcW w:w="388" w:type="pct"/>
                  <w:tcBorders>
                    <w:tl2br w:val="nil"/>
                    <w:tr2bl w:val="nil"/>
                  </w:tcBorders>
                  <w:vAlign w:val="center"/>
                </w:tcPr>
                <w:p w14:paraId="7D1F3BF5">
                  <w:pPr>
                    <w:widowControl/>
                    <w:jc w:val="center"/>
                    <w:textAlignment w:val="center"/>
                    <w:rPr>
                      <w:rFonts w:hint="default" w:ascii="Times New Roman" w:hAnsi="Times New Roman" w:cs="Times New Roman"/>
                      <w:color w:val="FF0000"/>
                      <w:kern w:val="0"/>
                      <w:sz w:val="20"/>
                      <w:szCs w:val="20"/>
                      <w:lang w:bidi="ar"/>
                    </w:rPr>
                  </w:pPr>
                  <w:r>
                    <w:rPr>
                      <w:rFonts w:hint="default" w:ascii="Times New Roman" w:hAnsi="Times New Roman" w:cs="Times New Roman"/>
                      <w:color w:val="FF0000"/>
                      <w:sz w:val="20"/>
                      <w:szCs w:val="21"/>
                    </w:rPr>
                    <w:t>/</w:t>
                  </w:r>
                </w:p>
              </w:tc>
              <w:tc>
                <w:tcPr>
                  <w:tcW w:w="452" w:type="pct"/>
                  <w:tcBorders>
                    <w:tl2br w:val="nil"/>
                    <w:tr2bl w:val="nil"/>
                  </w:tcBorders>
                  <w:vAlign w:val="center"/>
                </w:tcPr>
                <w:p w14:paraId="434A34B0">
                  <w:pPr>
                    <w:widowControl/>
                    <w:jc w:val="center"/>
                    <w:textAlignment w:val="center"/>
                    <w:rPr>
                      <w:rFonts w:hint="default" w:ascii="Times New Roman" w:hAnsi="Times New Roman" w:cs="Times New Roman"/>
                      <w:color w:val="FF0000"/>
                      <w:sz w:val="20"/>
                      <w:szCs w:val="21"/>
                    </w:rPr>
                  </w:pPr>
                  <w:r>
                    <w:rPr>
                      <w:rFonts w:hint="default" w:ascii="Times New Roman" w:hAnsi="Times New Roman" w:cs="Times New Roman"/>
                      <w:color w:val="FF0000"/>
                      <w:kern w:val="0"/>
                      <w:sz w:val="20"/>
                      <w:szCs w:val="20"/>
                      <w:lang w:bidi="ar"/>
                    </w:rPr>
                    <w:t>224.8</w:t>
                  </w:r>
                </w:p>
              </w:tc>
              <w:tc>
                <w:tcPr>
                  <w:tcW w:w="376" w:type="pct"/>
                  <w:tcBorders>
                    <w:tl2br w:val="nil"/>
                    <w:tr2bl w:val="nil"/>
                  </w:tcBorders>
                  <w:vAlign w:val="center"/>
                </w:tcPr>
                <w:p w14:paraId="10D42E57">
                  <w:pPr>
                    <w:widowControl/>
                    <w:jc w:val="center"/>
                    <w:textAlignment w:val="center"/>
                    <w:rPr>
                      <w:rFonts w:hint="default" w:ascii="Times New Roman" w:hAnsi="Times New Roman" w:cs="Times New Roman"/>
                      <w:color w:val="FF0000"/>
                      <w:sz w:val="20"/>
                      <w:szCs w:val="21"/>
                    </w:rPr>
                  </w:pPr>
                  <w:r>
                    <w:rPr>
                      <w:rFonts w:hint="default" w:ascii="Times New Roman" w:hAnsi="Times New Roman" w:cs="Times New Roman"/>
                      <w:color w:val="FF0000"/>
                      <w:kern w:val="0"/>
                      <w:sz w:val="20"/>
                      <w:szCs w:val="20"/>
                      <w:lang w:bidi="ar"/>
                    </w:rPr>
                    <w:t>50%</w:t>
                  </w:r>
                </w:p>
              </w:tc>
              <w:tc>
                <w:tcPr>
                  <w:tcW w:w="372" w:type="pct"/>
                  <w:tcBorders>
                    <w:tl2br w:val="nil"/>
                    <w:tr2bl w:val="nil"/>
                  </w:tcBorders>
                  <w:vAlign w:val="center"/>
                </w:tcPr>
                <w:p w14:paraId="37028763">
                  <w:pPr>
                    <w:widowControl/>
                    <w:jc w:val="center"/>
                    <w:textAlignment w:val="center"/>
                    <w:rPr>
                      <w:rFonts w:hint="default" w:ascii="Times New Roman" w:hAnsi="Times New Roman" w:cs="Times New Roman"/>
                      <w:color w:val="FF0000"/>
                      <w:sz w:val="20"/>
                      <w:szCs w:val="21"/>
                    </w:rPr>
                  </w:pPr>
                  <w:r>
                    <w:rPr>
                      <w:rFonts w:hint="default" w:ascii="Times New Roman" w:hAnsi="Times New Roman" w:cs="Times New Roman"/>
                      <w:color w:val="FF0000"/>
                      <w:kern w:val="0"/>
                      <w:sz w:val="20"/>
                      <w:szCs w:val="20"/>
                      <w:lang w:bidi="ar"/>
                    </w:rPr>
                    <w:t>4.4</w:t>
                  </w:r>
                </w:p>
              </w:tc>
              <w:tc>
                <w:tcPr>
                  <w:tcW w:w="375" w:type="pct"/>
                  <w:tcBorders>
                    <w:tl2br w:val="nil"/>
                    <w:tr2bl w:val="nil"/>
                  </w:tcBorders>
                  <w:vAlign w:val="center"/>
                </w:tcPr>
                <w:p w14:paraId="7710BB40">
                  <w:pPr>
                    <w:widowControl/>
                    <w:jc w:val="center"/>
                    <w:textAlignment w:val="center"/>
                    <w:rPr>
                      <w:rFonts w:hint="default" w:ascii="Times New Roman" w:hAnsi="Times New Roman" w:cs="Times New Roman"/>
                      <w:color w:val="FF0000"/>
                      <w:sz w:val="20"/>
                      <w:szCs w:val="21"/>
                    </w:rPr>
                  </w:pPr>
                  <w:r>
                    <w:rPr>
                      <w:rFonts w:hint="default" w:ascii="Times New Roman" w:hAnsi="Times New Roman" w:cs="Times New Roman"/>
                      <w:color w:val="FF0000"/>
                      <w:kern w:val="0"/>
                      <w:sz w:val="20"/>
                      <w:szCs w:val="20"/>
                      <w:lang w:bidi="ar"/>
                    </w:rPr>
                    <w:t>45%</w:t>
                  </w:r>
                </w:p>
              </w:tc>
              <w:tc>
                <w:tcPr>
                  <w:tcW w:w="393" w:type="pct"/>
                  <w:tcBorders>
                    <w:tl2br w:val="nil"/>
                    <w:tr2bl w:val="nil"/>
                  </w:tcBorders>
                  <w:vAlign w:val="center"/>
                </w:tcPr>
                <w:p w14:paraId="57EC81BB">
                  <w:pPr>
                    <w:widowControl/>
                    <w:jc w:val="center"/>
                    <w:textAlignment w:val="center"/>
                    <w:rPr>
                      <w:rFonts w:hint="default" w:ascii="Times New Roman" w:hAnsi="Times New Roman" w:cs="Times New Roman"/>
                      <w:color w:val="FF0000"/>
                      <w:sz w:val="20"/>
                      <w:szCs w:val="21"/>
                    </w:rPr>
                  </w:pPr>
                  <w:r>
                    <w:rPr>
                      <w:rFonts w:hint="default" w:ascii="Times New Roman" w:hAnsi="Times New Roman" w:cs="Times New Roman"/>
                      <w:color w:val="FF0000"/>
                      <w:kern w:val="0"/>
                      <w:sz w:val="20"/>
                      <w:szCs w:val="20"/>
                      <w:lang w:bidi="ar"/>
                    </w:rPr>
                    <w:t>19.71</w:t>
                  </w:r>
                </w:p>
              </w:tc>
              <w:tc>
                <w:tcPr>
                  <w:tcW w:w="354" w:type="pct"/>
                  <w:tcBorders>
                    <w:tl2br w:val="nil"/>
                    <w:tr2bl w:val="nil"/>
                  </w:tcBorders>
                  <w:vAlign w:val="center"/>
                </w:tcPr>
                <w:p w14:paraId="2739C9F6">
                  <w:pPr>
                    <w:widowControl/>
                    <w:jc w:val="center"/>
                    <w:textAlignment w:val="center"/>
                    <w:rPr>
                      <w:rFonts w:hint="default" w:ascii="Times New Roman" w:hAnsi="Times New Roman" w:cs="Times New Roman"/>
                      <w:color w:val="FF0000"/>
                      <w:sz w:val="20"/>
                      <w:szCs w:val="21"/>
                    </w:rPr>
                  </w:pPr>
                  <w:r>
                    <w:rPr>
                      <w:rFonts w:hint="default" w:ascii="Times New Roman" w:hAnsi="Times New Roman" w:cs="Times New Roman"/>
                      <w:color w:val="FF0000"/>
                      <w:kern w:val="0"/>
                      <w:sz w:val="20"/>
                      <w:szCs w:val="20"/>
                      <w:lang w:bidi="ar"/>
                    </w:rPr>
                    <w:t>70%</w:t>
                  </w:r>
                </w:p>
              </w:tc>
              <w:tc>
                <w:tcPr>
                  <w:tcW w:w="372" w:type="pct"/>
                  <w:tcBorders>
                    <w:tl2br w:val="nil"/>
                    <w:tr2bl w:val="nil"/>
                  </w:tcBorders>
                  <w:vAlign w:val="center"/>
                </w:tcPr>
                <w:p w14:paraId="6F05B2D6">
                  <w:pPr>
                    <w:widowControl/>
                    <w:jc w:val="center"/>
                    <w:textAlignment w:val="center"/>
                    <w:rPr>
                      <w:rFonts w:hint="default" w:ascii="Times New Roman" w:hAnsi="Times New Roman" w:cs="Times New Roman"/>
                      <w:color w:val="FF0000"/>
                      <w:sz w:val="20"/>
                      <w:szCs w:val="21"/>
                    </w:rPr>
                  </w:pPr>
                  <w:r>
                    <w:rPr>
                      <w:rFonts w:hint="default" w:ascii="Times New Roman" w:hAnsi="Times New Roman" w:cs="Times New Roman"/>
                      <w:color w:val="FF0000"/>
                      <w:kern w:val="0"/>
                      <w:sz w:val="20"/>
                      <w:szCs w:val="20"/>
                      <w:lang w:bidi="ar"/>
                    </w:rPr>
                    <w:t>19</w:t>
                  </w:r>
                </w:p>
              </w:tc>
              <w:tc>
                <w:tcPr>
                  <w:tcW w:w="376" w:type="pct"/>
                  <w:tcBorders>
                    <w:tl2br w:val="nil"/>
                    <w:tr2bl w:val="nil"/>
                  </w:tcBorders>
                  <w:vAlign w:val="center"/>
                </w:tcPr>
                <w:p w14:paraId="48AABF17">
                  <w:pPr>
                    <w:widowControl/>
                    <w:jc w:val="center"/>
                    <w:textAlignment w:val="center"/>
                    <w:rPr>
                      <w:rFonts w:hint="default" w:ascii="Times New Roman" w:hAnsi="Times New Roman" w:cs="Times New Roman"/>
                      <w:color w:val="FF0000"/>
                      <w:sz w:val="20"/>
                      <w:szCs w:val="21"/>
                    </w:rPr>
                  </w:pPr>
                  <w:r>
                    <w:rPr>
                      <w:rFonts w:hint="default" w:ascii="Times New Roman" w:hAnsi="Times New Roman" w:cs="Times New Roman"/>
                      <w:color w:val="FF0000"/>
                      <w:kern w:val="0"/>
                      <w:sz w:val="20"/>
                      <w:szCs w:val="20"/>
                      <w:lang w:bidi="ar"/>
                    </w:rPr>
                    <w:t>50%</w:t>
                  </w:r>
                </w:p>
              </w:tc>
            </w:tr>
            <w:tr w14:paraId="493CB095">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150" w:type="pct"/>
                  <w:tcBorders>
                    <w:tl2br w:val="nil"/>
                    <w:tr2bl w:val="nil"/>
                  </w:tcBorders>
                  <w:vAlign w:val="center"/>
                </w:tcPr>
                <w:p w14:paraId="7BC20728">
                  <w:pPr>
                    <w:jc w:val="center"/>
                    <w:rPr>
                      <w:rFonts w:hint="default" w:ascii="Times New Roman" w:hAnsi="Times New Roman" w:cs="Times New Roman"/>
                      <w:color w:val="FF0000"/>
                      <w:sz w:val="20"/>
                      <w:szCs w:val="21"/>
                    </w:rPr>
                  </w:pPr>
                  <w:r>
                    <w:rPr>
                      <w:rFonts w:hint="default" w:ascii="Times New Roman" w:hAnsi="Times New Roman" w:cs="Times New Roman"/>
                      <w:color w:val="FF0000"/>
                      <w:sz w:val="20"/>
                      <w:szCs w:val="21"/>
                    </w:rPr>
                    <w:t>沉淀过滤池</w:t>
                  </w:r>
                </w:p>
              </w:tc>
              <w:tc>
                <w:tcPr>
                  <w:tcW w:w="388" w:type="pct"/>
                  <w:tcBorders>
                    <w:tl2br w:val="nil"/>
                    <w:tr2bl w:val="nil"/>
                  </w:tcBorders>
                  <w:vAlign w:val="center"/>
                </w:tcPr>
                <w:p w14:paraId="4247FDDC">
                  <w:pPr>
                    <w:widowControl/>
                    <w:jc w:val="center"/>
                    <w:textAlignment w:val="center"/>
                    <w:rPr>
                      <w:rFonts w:hint="default" w:ascii="Times New Roman" w:hAnsi="Times New Roman" w:cs="Times New Roman"/>
                      <w:color w:val="FF0000"/>
                      <w:kern w:val="0"/>
                      <w:sz w:val="20"/>
                      <w:szCs w:val="20"/>
                      <w:lang w:bidi="ar"/>
                    </w:rPr>
                  </w:pPr>
                  <w:r>
                    <w:rPr>
                      <w:rFonts w:hint="eastAsia" w:cs="Times New Roman"/>
                      <w:color w:val="FF0000"/>
                      <w:kern w:val="0"/>
                      <w:sz w:val="20"/>
                      <w:szCs w:val="20"/>
                      <w:lang w:val="en-US" w:eastAsia="zh-CN" w:bidi="ar"/>
                    </w:rPr>
                    <w:t>6~9</w:t>
                  </w:r>
                </w:p>
              </w:tc>
              <w:tc>
                <w:tcPr>
                  <w:tcW w:w="388" w:type="pct"/>
                  <w:tcBorders>
                    <w:tl2br w:val="nil"/>
                    <w:tr2bl w:val="nil"/>
                  </w:tcBorders>
                  <w:vAlign w:val="center"/>
                </w:tcPr>
                <w:p w14:paraId="186FB716">
                  <w:pPr>
                    <w:widowControl/>
                    <w:jc w:val="center"/>
                    <w:textAlignment w:val="center"/>
                    <w:rPr>
                      <w:rFonts w:hint="default" w:ascii="Times New Roman" w:hAnsi="Times New Roman" w:cs="Times New Roman"/>
                      <w:color w:val="FF0000"/>
                      <w:kern w:val="0"/>
                      <w:sz w:val="20"/>
                      <w:szCs w:val="20"/>
                      <w:lang w:bidi="ar"/>
                    </w:rPr>
                  </w:pPr>
                  <w:r>
                    <w:rPr>
                      <w:rFonts w:hint="default" w:ascii="Times New Roman" w:hAnsi="Times New Roman" w:cs="Times New Roman"/>
                      <w:color w:val="FF0000"/>
                      <w:sz w:val="20"/>
                      <w:szCs w:val="21"/>
                    </w:rPr>
                    <w:t>/</w:t>
                  </w:r>
                </w:p>
              </w:tc>
              <w:tc>
                <w:tcPr>
                  <w:tcW w:w="452" w:type="pct"/>
                  <w:tcBorders>
                    <w:tl2br w:val="nil"/>
                    <w:tr2bl w:val="nil"/>
                  </w:tcBorders>
                  <w:vAlign w:val="center"/>
                </w:tcPr>
                <w:p w14:paraId="5D9989BB">
                  <w:pPr>
                    <w:widowControl/>
                    <w:jc w:val="center"/>
                    <w:textAlignment w:val="center"/>
                    <w:rPr>
                      <w:rFonts w:hint="default" w:ascii="Times New Roman" w:hAnsi="Times New Roman" w:cs="Times New Roman"/>
                      <w:color w:val="FF0000"/>
                      <w:sz w:val="20"/>
                      <w:szCs w:val="21"/>
                    </w:rPr>
                  </w:pPr>
                  <w:r>
                    <w:rPr>
                      <w:rFonts w:hint="default" w:ascii="Times New Roman" w:hAnsi="Times New Roman" w:cs="Times New Roman"/>
                      <w:color w:val="FF0000"/>
                      <w:kern w:val="0"/>
                      <w:sz w:val="20"/>
                      <w:szCs w:val="20"/>
                      <w:lang w:bidi="ar"/>
                    </w:rPr>
                    <w:t>157.36</w:t>
                  </w:r>
                </w:p>
              </w:tc>
              <w:tc>
                <w:tcPr>
                  <w:tcW w:w="376" w:type="pct"/>
                  <w:tcBorders>
                    <w:tl2br w:val="nil"/>
                    <w:tr2bl w:val="nil"/>
                  </w:tcBorders>
                  <w:vAlign w:val="center"/>
                </w:tcPr>
                <w:p w14:paraId="6645C30B">
                  <w:pPr>
                    <w:widowControl/>
                    <w:jc w:val="center"/>
                    <w:textAlignment w:val="center"/>
                    <w:rPr>
                      <w:rFonts w:hint="default" w:ascii="Times New Roman" w:hAnsi="Times New Roman" w:cs="Times New Roman"/>
                      <w:color w:val="FF0000"/>
                      <w:sz w:val="20"/>
                      <w:szCs w:val="21"/>
                    </w:rPr>
                  </w:pPr>
                  <w:r>
                    <w:rPr>
                      <w:rFonts w:hint="default" w:ascii="Times New Roman" w:hAnsi="Times New Roman" w:cs="Times New Roman"/>
                      <w:color w:val="FF0000"/>
                      <w:kern w:val="0"/>
                      <w:sz w:val="20"/>
                      <w:szCs w:val="20"/>
                      <w:lang w:bidi="ar"/>
                    </w:rPr>
                    <w:t>30%</w:t>
                  </w:r>
                </w:p>
              </w:tc>
              <w:tc>
                <w:tcPr>
                  <w:tcW w:w="372" w:type="pct"/>
                  <w:tcBorders>
                    <w:tl2br w:val="nil"/>
                    <w:tr2bl w:val="nil"/>
                  </w:tcBorders>
                  <w:vAlign w:val="center"/>
                </w:tcPr>
                <w:p w14:paraId="1D585D5B">
                  <w:pPr>
                    <w:widowControl/>
                    <w:jc w:val="center"/>
                    <w:textAlignment w:val="center"/>
                    <w:rPr>
                      <w:rFonts w:hint="default" w:ascii="Times New Roman" w:hAnsi="Times New Roman" w:cs="Times New Roman"/>
                      <w:color w:val="FF0000"/>
                      <w:sz w:val="20"/>
                      <w:szCs w:val="21"/>
                    </w:rPr>
                  </w:pPr>
                  <w:r>
                    <w:rPr>
                      <w:rFonts w:hint="default" w:ascii="Times New Roman" w:hAnsi="Times New Roman" w:cs="Times New Roman"/>
                      <w:color w:val="FF0000"/>
                      <w:kern w:val="0"/>
                      <w:sz w:val="20"/>
                      <w:szCs w:val="20"/>
                      <w:lang w:bidi="ar"/>
                    </w:rPr>
                    <w:t>3.3</w:t>
                  </w:r>
                </w:p>
              </w:tc>
              <w:tc>
                <w:tcPr>
                  <w:tcW w:w="375" w:type="pct"/>
                  <w:tcBorders>
                    <w:tl2br w:val="nil"/>
                    <w:tr2bl w:val="nil"/>
                  </w:tcBorders>
                  <w:vAlign w:val="center"/>
                </w:tcPr>
                <w:p w14:paraId="62023629">
                  <w:pPr>
                    <w:widowControl/>
                    <w:jc w:val="center"/>
                    <w:textAlignment w:val="center"/>
                    <w:rPr>
                      <w:rFonts w:hint="default" w:ascii="Times New Roman" w:hAnsi="Times New Roman" w:cs="Times New Roman"/>
                      <w:color w:val="FF0000"/>
                      <w:sz w:val="20"/>
                      <w:szCs w:val="21"/>
                    </w:rPr>
                  </w:pPr>
                  <w:r>
                    <w:rPr>
                      <w:rFonts w:hint="default" w:ascii="Times New Roman" w:hAnsi="Times New Roman" w:cs="Times New Roman"/>
                      <w:color w:val="FF0000"/>
                      <w:kern w:val="0"/>
                      <w:sz w:val="20"/>
                      <w:szCs w:val="20"/>
                      <w:lang w:bidi="ar"/>
                    </w:rPr>
                    <w:t>25%</w:t>
                  </w:r>
                </w:p>
              </w:tc>
              <w:tc>
                <w:tcPr>
                  <w:tcW w:w="393" w:type="pct"/>
                  <w:tcBorders>
                    <w:tl2br w:val="nil"/>
                    <w:tr2bl w:val="nil"/>
                  </w:tcBorders>
                  <w:vAlign w:val="center"/>
                </w:tcPr>
                <w:p w14:paraId="09E4B563">
                  <w:pPr>
                    <w:widowControl/>
                    <w:jc w:val="center"/>
                    <w:textAlignment w:val="center"/>
                    <w:rPr>
                      <w:rFonts w:hint="default" w:ascii="Times New Roman" w:hAnsi="Times New Roman" w:cs="Times New Roman"/>
                      <w:color w:val="FF0000"/>
                      <w:sz w:val="20"/>
                      <w:szCs w:val="21"/>
                    </w:rPr>
                  </w:pPr>
                  <w:r>
                    <w:rPr>
                      <w:rFonts w:hint="default" w:ascii="Times New Roman" w:hAnsi="Times New Roman" w:cs="Times New Roman"/>
                      <w:color w:val="FF0000"/>
                      <w:kern w:val="0"/>
                      <w:sz w:val="20"/>
                      <w:szCs w:val="20"/>
                      <w:lang w:bidi="ar"/>
                    </w:rPr>
                    <w:t>9.855</w:t>
                  </w:r>
                </w:p>
              </w:tc>
              <w:tc>
                <w:tcPr>
                  <w:tcW w:w="354" w:type="pct"/>
                  <w:tcBorders>
                    <w:tl2br w:val="nil"/>
                    <w:tr2bl w:val="nil"/>
                  </w:tcBorders>
                  <w:vAlign w:val="center"/>
                </w:tcPr>
                <w:p w14:paraId="260F5F6C">
                  <w:pPr>
                    <w:widowControl/>
                    <w:jc w:val="center"/>
                    <w:textAlignment w:val="center"/>
                    <w:rPr>
                      <w:rFonts w:hint="default" w:ascii="Times New Roman" w:hAnsi="Times New Roman" w:cs="Times New Roman"/>
                      <w:color w:val="FF0000"/>
                      <w:sz w:val="20"/>
                      <w:szCs w:val="21"/>
                    </w:rPr>
                  </w:pPr>
                  <w:r>
                    <w:rPr>
                      <w:rFonts w:hint="default" w:ascii="Times New Roman" w:hAnsi="Times New Roman" w:cs="Times New Roman"/>
                      <w:color w:val="FF0000"/>
                      <w:kern w:val="0"/>
                      <w:sz w:val="20"/>
                      <w:szCs w:val="20"/>
                      <w:lang w:bidi="ar"/>
                    </w:rPr>
                    <w:t>50%</w:t>
                  </w:r>
                </w:p>
              </w:tc>
              <w:tc>
                <w:tcPr>
                  <w:tcW w:w="372" w:type="pct"/>
                  <w:tcBorders>
                    <w:tl2br w:val="nil"/>
                    <w:tr2bl w:val="nil"/>
                  </w:tcBorders>
                  <w:vAlign w:val="center"/>
                </w:tcPr>
                <w:p w14:paraId="36CC7E83">
                  <w:pPr>
                    <w:widowControl/>
                    <w:jc w:val="center"/>
                    <w:textAlignment w:val="center"/>
                    <w:rPr>
                      <w:rFonts w:hint="default" w:ascii="Times New Roman" w:hAnsi="Times New Roman" w:cs="Times New Roman"/>
                      <w:color w:val="FF0000"/>
                      <w:sz w:val="20"/>
                      <w:szCs w:val="21"/>
                    </w:rPr>
                  </w:pPr>
                  <w:r>
                    <w:rPr>
                      <w:rFonts w:hint="default" w:ascii="Times New Roman" w:hAnsi="Times New Roman" w:cs="Times New Roman"/>
                      <w:color w:val="FF0000"/>
                      <w:kern w:val="0"/>
                      <w:sz w:val="20"/>
                      <w:szCs w:val="20"/>
                      <w:lang w:bidi="ar"/>
                    </w:rPr>
                    <w:t>15.2</w:t>
                  </w:r>
                </w:p>
              </w:tc>
              <w:tc>
                <w:tcPr>
                  <w:tcW w:w="376" w:type="pct"/>
                  <w:tcBorders>
                    <w:tl2br w:val="nil"/>
                    <w:tr2bl w:val="nil"/>
                  </w:tcBorders>
                  <w:vAlign w:val="center"/>
                </w:tcPr>
                <w:p w14:paraId="5E1E3DFB">
                  <w:pPr>
                    <w:widowControl/>
                    <w:jc w:val="center"/>
                    <w:textAlignment w:val="center"/>
                    <w:rPr>
                      <w:rFonts w:hint="default" w:ascii="Times New Roman" w:hAnsi="Times New Roman" w:cs="Times New Roman"/>
                      <w:color w:val="FF0000"/>
                      <w:sz w:val="20"/>
                      <w:szCs w:val="21"/>
                    </w:rPr>
                  </w:pPr>
                  <w:r>
                    <w:rPr>
                      <w:rFonts w:hint="default" w:ascii="Times New Roman" w:hAnsi="Times New Roman" w:cs="Times New Roman"/>
                      <w:color w:val="FF0000"/>
                      <w:kern w:val="0"/>
                      <w:sz w:val="20"/>
                      <w:szCs w:val="20"/>
                      <w:lang w:bidi="ar"/>
                    </w:rPr>
                    <w:t>20%</w:t>
                  </w:r>
                </w:p>
              </w:tc>
            </w:tr>
            <w:tr w14:paraId="2BD22813">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97" w:hRule="atLeast"/>
                <w:jc w:val="center"/>
              </w:trPr>
              <w:tc>
                <w:tcPr>
                  <w:tcW w:w="1150" w:type="pct"/>
                  <w:tcBorders>
                    <w:tl2br w:val="nil"/>
                    <w:tr2bl w:val="nil"/>
                  </w:tcBorders>
                  <w:vAlign w:val="center"/>
                </w:tcPr>
                <w:p w14:paraId="384F1B45">
                  <w:pPr>
                    <w:jc w:val="center"/>
                    <w:rPr>
                      <w:rFonts w:hint="default" w:ascii="Times New Roman" w:hAnsi="Times New Roman" w:cs="Times New Roman"/>
                      <w:color w:val="FF0000"/>
                      <w:sz w:val="20"/>
                      <w:szCs w:val="21"/>
                    </w:rPr>
                  </w:pPr>
                  <w:r>
                    <w:rPr>
                      <w:rFonts w:hint="default" w:ascii="Times New Roman" w:hAnsi="Times New Roman" w:cs="Times New Roman"/>
                      <w:color w:val="FF0000"/>
                      <w:sz w:val="20"/>
                      <w:szCs w:val="21"/>
                    </w:rPr>
                    <w:t>排放要求</w:t>
                  </w:r>
                </w:p>
                <w:p w14:paraId="4DD6096C">
                  <w:pPr>
                    <w:pStyle w:val="12"/>
                    <w:rPr>
                      <w:rFonts w:hint="default" w:ascii="Times New Roman" w:hAnsi="Times New Roman" w:cs="Times New Roman"/>
                      <w:color w:val="FF0000"/>
                    </w:rPr>
                  </w:pPr>
                  <w:r>
                    <w:rPr>
                      <w:rFonts w:hint="default" w:ascii="Times New Roman" w:hAnsi="Times New Roman" w:cs="Times New Roman"/>
                      <w:color w:val="FF0000"/>
                    </w:rPr>
                    <w:t>《辽宁省污水综合排放标准》（DB21/1627-2008）</w:t>
                  </w:r>
                </w:p>
              </w:tc>
              <w:tc>
                <w:tcPr>
                  <w:tcW w:w="388" w:type="pct"/>
                  <w:tcBorders>
                    <w:tl2br w:val="nil"/>
                    <w:tr2bl w:val="nil"/>
                  </w:tcBorders>
                  <w:vAlign w:val="center"/>
                </w:tcPr>
                <w:p w14:paraId="6F3D88BB">
                  <w:pPr>
                    <w:widowControl/>
                    <w:jc w:val="center"/>
                    <w:textAlignment w:val="center"/>
                    <w:rPr>
                      <w:rFonts w:hint="default" w:ascii="Times New Roman" w:hAnsi="Times New Roman" w:eastAsia="宋体" w:cs="Times New Roman"/>
                      <w:color w:val="FF0000"/>
                      <w:kern w:val="0"/>
                      <w:sz w:val="20"/>
                      <w:szCs w:val="20"/>
                      <w:lang w:val="en-US" w:eastAsia="zh-CN" w:bidi="ar"/>
                    </w:rPr>
                  </w:pPr>
                  <w:r>
                    <w:rPr>
                      <w:rFonts w:hint="eastAsia" w:cs="Times New Roman"/>
                      <w:color w:val="FF0000"/>
                      <w:sz w:val="20"/>
                      <w:szCs w:val="21"/>
                      <w:lang w:val="en-US" w:eastAsia="zh-CN"/>
                    </w:rPr>
                    <w:t>6~9</w:t>
                  </w:r>
                </w:p>
              </w:tc>
              <w:tc>
                <w:tcPr>
                  <w:tcW w:w="388" w:type="pct"/>
                  <w:tcBorders>
                    <w:tl2br w:val="nil"/>
                    <w:tr2bl w:val="nil"/>
                  </w:tcBorders>
                  <w:vAlign w:val="center"/>
                </w:tcPr>
                <w:p w14:paraId="09580BC0">
                  <w:pPr>
                    <w:widowControl/>
                    <w:jc w:val="center"/>
                    <w:textAlignment w:val="center"/>
                    <w:rPr>
                      <w:rFonts w:hint="default" w:ascii="Times New Roman" w:hAnsi="Times New Roman" w:cs="Times New Roman"/>
                      <w:color w:val="FF0000"/>
                      <w:kern w:val="0"/>
                      <w:sz w:val="20"/>
                      <w:szCs w:val="20"/>
                      <w:lang w:bidi="ar"/>
                    </w:rPr>
                  </w:pPr>
                  <w:r>
                    <w:rPr>
                      <w:rFonts w:hint="default" w:ascii="Times New Roman" w:hAnsi="Times New Roman" w:cs="Times New Roman"/>
                      <w:color w:val="FF0000"/>
                      <w:sz w:val="20"/>
                      <w:szCs w:val="21"/>
                    </w:rPr>
                    <w:t>/</w:t>
                  </w:r>
                </w:p>
              </w:tc>
              <w:tc>
                <w:tcPr>
                  <w:tcW w:w="452" w:type="pct"/>
                  <w:tcBorders>
                    <w:tl2br w:val="nil"/>
                    <w:tr2bl w:val="nil"/>
                  </w:tcBorders>
                  <w:vAlign w:val="center"/>
                </w:tcPr>
                <w:p w14:paraId="27344888">
                  <w:pPr>
                    <w:widowControl/>
                    <w:jc w:val="center"/>
                    <w:textAlignment w:val="center"/>
                    <w:rPr>
                      <w:rFonts w:hint="default" w:ascii="Times New Roman" w:hAnsi="Times New Roman" w:cs="Times New Roman"/>
                      <w:color w:val="FF0000"/>
                      <w:sz w:val="20"/>
                      <w:szCs w:val="21"/>
                    </w:rPr>
                  </w:pPr>
                  <w:r>
                    <w:rPr>
                      <w:rFonts w:hint="default" w:ascii="Times New Roman" w:hAnsi="Times New Roman" w:cs="Times New Roman"/>
                      <w:color w:val="FF0000"/>
                      <w:kern w:val="0"/>
                      <w:sz w:val="20"/>
                      <w:szCs w:val="20"/>
                      <w:lang w:bidi="ar"/>
                    </w:rPr>
                    <w:t>450</w:t>
                  </w:r>
                </w:p>
              </w:tc>
              <w:tc>
                <w:tcPr>
                  <w:tcW w:w="376" w:type="pct"/>
                  <w:tcBorders>
                    <w:tl2br w:val="nil"/>
                    <w:tr2bl w:val="nil"/>
                  </w:tcBorders>
                  <w:vAlign w:val="center"/>
                </w:tcPr>
                <w:p w14:paraId="1BCF4A26">
                  <w:pPr>
                    <w:jc w:val="center"/>
                    <w:rPr>
                      <w:rFonts w:hint="default" w:ascii="Times New Roman" w:hAnsi="Times New Roman" w:cs="Times New Roman"/>
                      <w:color w:val="FF0000"/>
                      <w:sz w:val="20"/>
                      <w:szCs w:val="21"/>
                    </w:rPr>
                  </w:pPr>
                  <w:r>
                    <w:rPr>
                      <w:rFonts w:hint="default" w:ascii="Times New Roman" w:hAnsi="Times New Roman" w:cs="Times New Roman"/>
                      <w:color w:val="FF0000"/>
                      <w:sz w:val="20"/>
                      <w:szCs w:val="21"/>
                    </w:rPr>
                    <w:t>/</w:t>
                  </w:r>
                </w:p>
              </w:tc>
              <w:tc>
                <w:tcPr>
                  <w:tcW w:w="372" w:type="pct"/>
                  <w:tcBorders>
                    <w:tl2br w:val="nil"/>
                    <w:tr2bl w:val="nil"/>
                  </w:tcBorders>
                  <w:vAlign w:val="center"/>
                </w:tcPr>
                <w:p w14:paraId="7A5C44E1">
                  <w:pPr>
                    <w:widowControl/>
                    <w:jc w:val="center"/>
                    <w:textAlignment w:val="center"/>
                    <w:rPr>
                      <w:rFonts w:hint="default" w:ascii="Times New Roman" w:hAnsi="Times New Roman" w:cs="Times New Roman"/>
                      <w:color w:val="FF0000"/>
                      <w:sz w:val="20"/>
                      <w:szCs w:val="21"/>
                    </w:rPr>
                  </w:pPr>
                  <w:r>
                    <w:rPr>
                      <w:rFonts w:hint="default" w:ascii="Times New Roman" w:hAnsi="Times New Roman" w:cs="Times New Roman"/>
                      <w:color w:val="FF0000"/>
                      <w:kern w:val="0"/>
                      <w:sz w:val="20"/>
                      <w:szCs w:val="20"/>
                      <w:lang w:bidi="ar"/>
                    </w:rPr>
                    <w:t>30</w:t>
                  </w:r>
                </w:p>
              </w:tc>
              <w:tc>
                <w:tcPr>
                  <w:tcW w:w="375" w:type="pct"/>
                  <w:tcBorders>
                    <w:tl2br w:val="nil"/>
                    <w:tr2bl w:val="nil"/>
                  </w:tcBorders>
                  <w:vAlign w:val="center"/>
                </w:tcPr>
                <w:p w14:paraId="40CB6AF8">
                  <w:pPr>
                    <w:jc w:val="center"/>
                    <w:rPr>
                      <w:rFonts w:hint="default" w:ascii="Times New Roman" w:hAnsi="Times New Roman" w:cs="Times New Roman"/>
                      <w:color w:val="FF0000"/>
                      <w:sz w:val="20"/>
                      <w:szCs w:val="21"/>
                    </w:rPr>
                  </w:pPr>
                  <w:r>
                    <w:rPr>
                      <w:rFonts w:hint="default" w:ascii="Times New Roman" w:hAnsi="Times New Roman" w:cs="Times New Roman"/>
                      <w:color w:val="FF0000"/>
                      <w:sz w:val="20"/>
                      <w:szCs w:val="21"/>
                    </w:rPr>
                    <w:t>/</w:t>
                  </w:r>
                </w:p>
              </w:tc>
              <w:tc>
                <w:tcPr>
                  <w:tcW w:w="393" w:type="pct"/>
                  <w:tcBorders>
                    <w:tl2br w:val="nil"/>
                    <w:tr2bl w:val="nil"/>
                  </w:tcBorders>
                  <w:vAlign w:val="center"/>
                </w:tcPr>
                <w:p w14:paraId="56D3700D">
                  <w:pPr>
                    <w:widowControl/>
                    <w:jc w:val="center"/>
                    <w:textAlignment w:val="center"/>
                    <w:rPr>
                      <w:rFonts w:hint="default" w:ascii="Times New Roman" w:hAnsi="Times New Roman" w:cs="Times New Roman"/>
                      <w:color w:val="FF0000"/>
                      <w:sz w:val="20"/>
                      <w:szCs w:val="21"/>
                    </w:rPr>
                  </w:pPr>
                  <w:r>
                    <w:rPr>
                      <w:rFonts w:hint="default" w:ascii="Times New Roman" w:hAnsi="Times New Roman" w:cs="Times New Roman"/>
                      <w:color w:val="FF0000"/>
                      <w:kern w:val="0"/>
                      <w:sz w:val="20"/>
                      <w:szCs w:val="20"/>
                      <w:lang w:bidi="ar"/>
                    </w:rPr>
                    <w:t>300</w:t>
                  </w:r>
                </w:p>
              </w:tc>
              <w:tc>
                <w:tcPr>
                  <w:tcW w:w="354" w:type="pct"/>
                  <w:tcBorders>
                    <w:tl2br w:val="nil"/>
                    <w:tr2bl w:val="nil"/>
                  </w:tcBorders>
                  <w:vAlign w:val="center"/>
                </w:tcPr>
                <w:p w14:paraId="087E9943">
                  <w:pPr>
                    <w:jc w:val="center"/>
                    <w:rPr>
                      <w:rFonts w:hint="default" w:ascii="Times New Roman" w:hAnsi="Times New Roman" w:cs="Times New Roman"/>
                      <w:color w:val="FF0000"/>
                      <w:sz w:val="20"/>
                      <w:szCs w:val="21"/>
                    </w:rPr>
                  </w:pPr>
                  <w:r>
                    <w:rPr>
                      <w:rFonts w:hint="default" w:ascii="Times New Roman" w:hAnsi="Times New Roman" w:cs="Times New Roman"/>
                      <w:color w:val="FF0000"/>
                      <w:sz w:val="20"/>
                      <w:szCs w:val="21"/>
                    </w:rPr>
                    <w:t>/</w:t>
                  </w:r>
                </w:p>
              </w:tc>
              <w:tc>
                <w:tcPr>
                  <w:tcW w:w="372" w:type="pct"/>
                  <w:tcBorders>
                    <w:tl2br w:val="nil"/>
                    <w:tr2bl w:val="nil"/>
                  </w:tcBorders>
                  <w:vAlign w:val="center"/>
                </w:tcPr>
                <w:p w14:paraId="7BCA6073">
                  <w:pPr>
                    <w:widowControl/>
                    <w:jc w:val="center"/>
                    <w:textAlignment w:val="center"/>
                    <w:rPr>
                      <w:rFonts w:hint="default" w:ascii="Times New Roman" w:hAnsi="Times New Roman" w:cs="Times New Roman"/>
                      <w:color w:val="FF0000"/>
                      <w:sz w:val="20"/>
                      <w:szCs w:val="21"/>
                    </w:rPr>
                  </w:pPr>
                  <w:r>
                    <w:rPr>
                      <w:rFonts w:hint="default" w:ascii="Times New Roman" w:hAnsi="Times New Roman" w:cs="Times New Roman"/>
                      <w:color w:val="FF0000"/>
                      <w:kern w:val="0"/>
                      <w:sz w:val="20"/>
                      <w:szCs w:val="20"/>
                      <w:lang w:bidi="ar"/>
                    </w:rPr>
                    <w:t>20</w:t>
                  </w:r>
                </w:p>
              </w:tc>
              <w:tc>
                <w:tcPr>
                  <w:tcW w:w="376" w:type="pct"/>
                  <w:tcBorders>
                    <w:tl2br w:val="nil"/>
                    <w:tr2bl w:val="nil"/>
                  </w:tcBorders>
                  <w:vAlign w:val="center"/>
                </w:tcPr>
                <w:p w14:paraId="1DE31610">
                  <w:pPr>
                    <w:jc w:val="center"/>
                    <w:rPr>
                      <w:rFonts w:hint="default" w:ascii="Times New Roman" w:hAnsi="Times New Roman" w:cs="Times New Roman"/>
                      <w:color w:val="FF0000"/>
                      <w:sz w:val="20"/>
                      <w:szCs w:val="21"/>
                    </w:rPr>
                  </w:pPr>
                  <w:r>
                    <w:rPr>
                      <w:rFonts w:hint="default" w:ascii="Times New Roman" w:hAnsi="Times New Roman" w:cs="Times New Roman"/>
                      <w:color w:val="FF0000"/>
                      <w:sz w:val="20"/>
                      <w:szCs w:val="21"/>
                    </w:rPr>
                    <w:t>/</w:t>
                  </w:r>
                </w:p>
              </w:tc>
            </w:tr>
          </w:tbl>
          <w:p w14:paraId="38582696">
            <w:pPr>
              <w:widowControl/>
              <w:spacing w:line="360" w:lineRule="auto"/>
              <w:ind w:firstLine="480" w:firstLineChars="200"/>
              <w:jc w:val="left"/>
              <w:rPr>
                <w:rFonts w:hint="default" w:ascii="Times New Roman" w:hAnsi="Times New Roman" w:cs="Times New Roman"/>
                <w:color w:val="000000"/>
                <w:sz w:val="24"/>
              </w:rPr>
            </w:pPr>
            <w:r>
              <w:rPr>
                <w:rFonts w:hint="default" w:ascii="Times New Roman" w:hAnsi="Times New Roman" w:cs="Times New Roman"/>
                <w:color w:val="FF0000"/>
                <w:sz w:val="24"/>
              </w:rPr>
              <w:t>项目污水处理站设计处理能力为10.0t/d，每天需要经过污水处理站处理的生产废水、初期雨水废水最大量为</w:t>
            </w:r>
            <w:r>
              <w:rPr>
                <w:rFonts w:hint="eastAsia" w:cs="Times New Roman"/>
                <w:color w:val="FF0000"/>
                <w:sz w:val="24"/>
                <w:lang w:val="en-US" w:eastAsia="zh-CN"/>
              </w:rPr>
              <w:t>8.26</w:t>
            </w:r>
            <w:r>
              <w:rPr>
                <w:rFonts w:hint="default" w:ascii="Times New Roman" w:hAnsi="Times New Roman" w:cs="Times New Roman"/>
                <w:color w:val="FF0000"/>
                <w:sz w:val="24"/>
              </w:rPr>
              <w:t>t，</w:t>
            </w:r>
            <w:r>
              <w:rPr>
                <w:rFonts w:hint="eastAsia" w:cs="Times New Roman"/>
                <w:color w:val="FF0000"/>
                <w:sz w:val="24"/>
                <w:lang w:val="en-US" w:eastAsia="zh-CN"/>
              </w:rPr>
              <w:t>因此本次设计的</w:t>
            </w:r>
            <w:r>
              <w:rPr>
                <w:rFonts w:hint="default" w:ascii="Times New Roman" w:hAnsi="Times New Roman" w:cs="Times New Roman"/>
                <w:color w:val="FF0000"/>
                <w:sz w:val="24"/>
              </w:rPr>
              <w:t>污水处理站可以满足</w:t>
            </w:r>
            <w:r>
              <w:rPr>
                <w:rFonts w:hint="eastAsia" w:cs="Times New Roman"/>
                <w:color w:val="FF0000"/>
                <w:sz w:val="24"/>
                <w:lang w:val="en-US" w:eastAsia="zh-CN"/>
              </w:rPr>
              <w:t>本项目对污水</w:t>
            </w:r>
            <w:r>
              <w:rPr>
                <w:rFonts w:hint="default" w:ascii="Times New Roman" w:hAnsi="Times New Roman" w:cs="Times New Roman"/>
                <w:color w:val="FF0000"/>
                <w:sz w:val="24"/>
              </w:rPr>
              <w:t>处理量的需要。且项目排水可以满足《辽宁省污水综合排放标准》（DB21/1627-2008）污水排放标准要求。</w:t>
            </w:r>
          </w:p>
          <w:p w14:paraId="382AFA13">
            <w:pPr>
              <w:widowControl/>
              <w:spacing w:line="360" w:lineRule="auto"/>
              <w:ind w:firstLine="480" w:firstLineChars="200"/>
              <w:jc w:val="left"/>
              <w:rPr>
                <w:rFonts w:hint="default" w:ascii="Times New Roman" w:hAnsi="Times New Roman" w:eastAsia="宋体" w:cs="Times New Roman"/>
                <w:color w:val="FF0000"/>
                <w:sz w:val="24"/>
                <w:lang w:val="en-US" w:eastAsia="zh-CN"/>
              </w:rPr>
            </w:pPr>
            <w:r>
              <w:rPr>
                <w:rFonts w:hint="eastAsia" w:cs="Times New Roman"/>
                <w:color w:val="FF0000"/>
                <w:sz w:val="24"/>
                <w:lang w:val="en-US" w:eastAsia="zh-CN"/>
              </w:rPr>
              <w:t>E、处理技术可行性分析</w:t>
            </w:r>
          </w:p>
          <w:p w14:paraId="28CD1F7C">
            <w:pPr>
              <w:widowControl/>
              <w:spacing w:line="360" w:lineRule="auto"/>
              <w:ind w:firstLine="480" w:firstLineChars="200"/>
              <w:jc w:val="left"/>
              <w:rPr>
                <w:rFonts w:hint="default" w:ascii="Times New Roman" w:hAnsi="Times New Roman" w:cs="Times New Roman"/>
                <w:color w:val="FF0000"/>
                <w:sz w:val="24"/>
              </w:rPr>
            </w:pPr>
            <w:r>
              <w:rPr>
                <w:rFonts w:hint="default" w:ascii="Times New Roman" w:hAnsi="Times New Roman" w:cs="Times New Roman"/>
                <w:color w:val="FF0000"/>
                <w:sz w:val="24"/>
              </w:rPr>
              <w:t>根据《排污许可证申请与核发技术规范-废弃资源加工工业》（HJ1034-2019） 附录 A 废弃资源加工工业排污单位污染防治可行技术参照表，本项目废水治理设施属于可行技术。</w:t>
            </w:r>
          </w:p>
          <w:p w14:paraId="603DAD77">
            <w:pPr>
              <w:jc w:val="center"/>
              <w:rPr>
                <w:rFonts w:hint="default" w:ascii="Times New Roman" w:hAnsi="Times New Roman" w:cs="Times New Roman"/>
                <w:b/>
                <w:bCs/>
                <w:color w:val="FF0000"/>
                <w:szCs w:val="21"/>
              </w:rPr>
            </w:pPr>
            <w:r>
              <w:rPr>
                <w:rFonts w:hint="default" w:ascii="Times New Roman" w:hAnsi="Times New Roman" w:cs="Times New Roman"/>
                <w:b/>
                <w:bCs/>
                <w:color w:val="FF0000"/>
                <w:szCs w:val="21"/>
              </w:rPr>
              <w:t>表4-2</w:t>
            </w:r>
            <w:r>
              <w:rPr>
                <w:rFonts w:hint="eastAsia" w:cs="Times New Roman"/>
                <w:b/>
                <w:bCs/>
                <w:color w:val="FF0000"/>
                <w:szCs w:val="21"/>
                <w:lang w:val="en-US" w:eastAsia="zh-CN"/>
              </w:rPr>
              <w:t>9</w:t>
            </w:r>
            <w:r>
              <w:rPr>
                <w:rFonts w:hint="default" w:ascii="Times New Roman" w:hAnsi="Times New Roman" w:cs="Times New Roman"/>
                <w:b/>
                <w:bCs/>
                <w:color w:val="FF0000"/>
                <w:szCs w:val="21"/>
              </w:rPr>
              <w:t xml:space="preserve">   废弃资源加工工业排污单位污染防治可行技术参考表</w:t>
            </w:r>
          </w:p>
          <w:tbl>
            <w:tblPr>
              <w:tblStyle w:val="34"/>
              <w:tblW w:w="4998" w:type="pct"/>
              <w:jc w:val="center"/>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044"/>
              <w:gridCol w:w="2041"/>
              <w:gridCol w:w="2086"/>
              <w:gridCol w:w="2300"/>
            </w:tblGrid>
            <w:tr w14:paraId="20D4ECAE">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06" w:type="pct"/>
                  <w:tcBorders>
                    <w:tl2br w:val="nil"/>
                    <w:tr2bl w:val="nil"/>
                  </w:tcBorders>
                  <w:vAlign w:val="center"/>
                </w:tcPr>
                <w:p w14:paraId="39348AC5">
                  <w:pPr>
                    <w:pStyle w:val="86"/>
                    <w:rPr>
                      <w:rFonts w:hint="default" w:ascii="Times New Roman" w:hAnsi="Times New Roman" w:cs="Times New Roman"/>
                      <w:color w:val="FF0000"/>
                    </w:rPr>
                  </w:pPr>
                  <w:r>
                    <w:rPr>
                      <w:rFonts w:hint="default" w:ascii="Times New Roman" w:hAnsi="Times New Roman" w:cs="Times New Roman"/>
                      <w:color w:val="FF0000"/>
                    </w:rPr>
                    <w:t>废弃资源种类</w:t>
                  </w:r>
                </w:p>
              </w:tc>
              <w:tc>
                <w:tcPr>
                  <w:tcW w:w="1204" w:type="pct"/>
                  <w:tcBorders>
                    <w:tl2br w:val="nil"/>
                    <w:tr2bl w:val="nil"/>
                  </w:tcBorders>
                  <w:vAlign w:val="center"/>
                </w:tcPr>
                <w:p w14:paraId="2FBC678E">
                  <w:pPr>
                    <w:pStyle w:val="86"/>
                    <w:rPr>
                      <w:rFonts w:hint="default" w:ascii="Times New Roman" w:hAnsi="Times New Roman" w:cs="Times New Roman"/>
                      <w:color w:val="FF0000"/>
                    </w:rPr>
                  </w:pPr>
                  <w:r>
                    <w:rPr>
                      <w:rFonts w:hint="default" w:ascii="Times New Roman" w:hAnsi="Times New Roman" w:cs="Times New Roman"/>
                      <w:color w:val="FF0000"/>
                    </w:rPr>
                    <w:t>废水类别</w:t>
                  </w:r>
                </w:p>
              </w:tc>
              <w:tc>
                <w:tcPr>
                  <w:tcW w:w="1231" w:type="pct"/>
                  <w:tcBorders>
                    <w:tl2br w:val="nil"/>
                    <w:tr2bl w:val="nil"/>
                  </w:tcBorders>
                  <w:vAlign w:val="center"/>
                </w:tcPr>
                <w:p w14:paraId="69DD9111">
                  <w:pPr>
                    <w:pStyle w:val="86"/>
                    <w:rPr>
                      <w:rFonts w:hint="default" w:ascii="Times New Roman" w:hAnsi="Times New Roman" w:cs="Times New Roman"/>
                      <w:color w:val="FF0000"/>
                    </w:rPr>
                  </w:pPr>
                  <w:r>
                    <w:rPr>
                      <w:rFonts w:hint="default" w:ascii="Times New Roman" w:hAnsi="Times New Roman" w:cs="Times New Roman"/>
                      <w:color w:val="FF0000"/>
                    </w:rPr>
                    <w:t>污染物种类</w:t>
                  </w:r>
                </w:p>
              </w:tc>
              <w:tc>
                <w:tcPr>
                  <w:tcW w:w="1357" w:type="pct"/>
                  <w:tcBorders>
                    <w:tl2br w:val="nil"/>
                    <w:tr2bl w:val="nil"/>
                  </w:tcBorders>
                  <w:vAlign w:val="center"/>
                </w:tcPr>
                <w:p w14:paraId="74133B40">
                  <w:pPr>
                    <w:pStyle w:val="86"/>
                    <w:rPr>
                      <w:rFonts w:hint="default" w:ascii="Times New Roman" w:hAnsi="Times New Roman" w:cs="Times New Roman"/>
                      <w:color w:val="FF0000"/>
                    </w:rPr>
                  </w:pPr>
                  <w:r>
                    <w:rPr>
                      <w:rFonts w:hint="default" w:ascii="Times New Roman" w:hAnsi="Times New Roman" w:cs="Times New Roman"/>
                      <w:color w:val="FF0000"/>
                    </w:rPr>
                    <w:t>可行技术</w:t>
                  </w:r>
                </w:p>
              </w:tc>
            </w:tr>
            <w:tr w14:paraId="24A6F759">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67" w:hRule="atLeast"/>
                <w:jc w:val="center"/>
              </w:trPr>
              <w:tc>
                <w:tcPr>
                  <w:tcW w:w="1206" w:type="pct"/>
                  <w:tcBorders>
                    <w:tl2br w:val="nil"/>
                    <w:tr2bl w:val="nil"/>
                  </w:tcBorders>
                  <w:vAlign w:val="center"/>
                </w:tcPr>
                <w:p w14:paraId="23888E61">
                  <w:pPr>
                    <w:pStyle w:val="86"/>
                    <w:rPr>
                      <w:rFonts w:hint="default" w:ascii="Times New Roman" w:hAnsi="Times New Roman" w:cs="Times New Roman"/>
                      <w:color w:val="FF0000"/>
                    </w:rPr>
                  </w:pPr>
                  <w:r>
                    <w:rPr>
                      <w:rFonts w:hint="default" w:ascii="Times New Roman" w:hAnsi="Times New Roman" w:cs="Times New Roman"/>
                      <w:color w:val="FF0000"/>
                    </w:rPr>
                    <w:t>废弃电器电子产品、废机动车、废电机、废五金、其他废弃资</w:t>
                  </w:r>
                </w:p>
                <w:p w14:paraId="48CAD76F">
                  <w:pPr>
                    <w:pStyle w:val="86"/>
                    <w:rPr>
                      <w:rFonts w:hint="default" w:ascii="Times New Roman" w:hAnsi="Times New Roman" w:cs="Times New Roman"/>
                      <w:color w:val="FF0000"/>
                    </w:rPr>
                  </w:pPr>
                  <w:r>
                    <w:rPr>
                      <w:rFonts w:hint="default" w:ascii="Times New Roman" w:hAnsi="Times New Roman" w:cs="Times New Roman"/>
                      <w:color w:val="FF0000"/>
                    </w:rPr>
                    <w:t>源</w:t>
                  </w:r>
                </w:p>
              </w:tc>
              <w:tc>
                <w:tcPr>
                  <w:tcW w:w="1204" w:type="pct"/>
                  <w:tcBorders>
                    <w:tl2br w:val="nil"/>
                    <w:tr2bl w:val="nil"/>
                  </w:tcBorders>
                  <w:vAlign w:val="center"/>
                </w:tcPr>
                <w:p w14:paraId="28B7A002">
                  <w:pPr>
                    <w:pStyle w:val="86"/>
                    <w:rPr>
                      <w:rFonts w:hint="default" w:ascii="Times New Roman" w:hAnsi="Times New Roman" w:cs="Times New Roman"/>
                      <w:color w:val="FF0000"/>
                      <w:lang w:eastAsia="en-US"/>
                    </w:rPr>
                  </w:pPr>
                  <w:r>
                    <w:rPr>
                      <w:rFonts w:hint="default" w:ascii="Times New Roman" w:hAnsi="Times New Roman" w:cs="Times New Roman"/>
                      <w:color w:val="FF0000"/>
                    </w:rPr>
                    <w:t>综合废水</w:t>
                  </w:r>
                </w:p>
              </w:tc>
              <w:tc>
                <w:tcPr>
                  <w:tcW w:w="1231" w:type="pct"/>
                  <w:tcBorders>
                    <w:tl2br w:val="nil"/>
                    <w:tr2bl w:val="nil"/>
                  </w:tcBorders>
                  <w:vAlign w:val="center"/>
                </w:tcPr>
                <w:p w14:paraId="278228AC">
                  <w:pPr>
                    <w:pStyle w:val="86"/>
                    <w:rPr>
                      <w:rFonts w:hint="default" w:ascii="Times New Roman" w:hAnsi="Times New Roman" w:cs="Times New Roman"/>
                      <w:color w:val="FF0000"/>
                    </w:rPr>
                  </w:pPr>
                  <w:r>
                    <w:rPr>
                      <w:rFonts w:hint="default" w:ascii="Times New Roman" w:hAnsi="Times New Roman" w:cs="Times New Roman"/>
                      <w:color w:val="FF0000"/>
                    </w:rPr>
                    <w:t>pH值、化学需氧量、石油类、氨氮、悬浮物</w:t>
                  </w:r>
                </w:p>
              </w:tc>
              <w:tc>
                <w:tcPr>
                  <w:tcW w:w="1357" w:type="pct"/>
                  <w:tcBorders>
                    <w:tl2br w:val="nil"/>
                    <w:tr2bl w:val="nil"/>
                  </w:tcBorders>
                  <w:vAlign w:val="center"/>
                </w:tcPr>
                <w:p w14:paraId="475F0DF3">
                  <w:pPr>
                    <w:pStyle w:val="86"/>
                    <w:rPr>
                      <w:rFonts w:hint="default" w:ascii="Times New Roman" w:hAnsi="Times New Roman" w:cs="Times New Roman"/>
                      <w:color w:val="FF0000"/>
                    </w:rPr>
                  </w:pPr>
                  <w:r>
                    <w:rPr>
                      <w:rFonts w:hint="default" w:ascii="Times New Roman" w:hAnsi="Times New Roman" w:cs="Times New Roman"/>
                      <w:color w:val="FF0000"/>
                    </w:rPr>
                    <w:t>均质+隔油池+絮凝+沉淀，均质+隔油池+絮凝+沉淀+过滤等组合处理技术</w:t>
                  </w:r>
                </w:p>
              </w:tc>
            </w:tr>
          </w:tbl>
          <w:p w14:paraId="346BE388">
            <w:pPr>
              <w:adjustRightInd w:val="0"/>
              <w:snapToGrid w:val="0"/>
              <w:rPr>
                <w:rFonts w:hint="default" w:ascii="Times New Roman" w:hAnsi="Times New Roman" w:cs="Times New Roman"/>
                <w:b/>
                <w:spacing w:val="-10"/>
                <w:sz w:val="24"/>
              </w:rPr>
            </w:pPr>
          </w:p>
          <w:p w14:paraId="2A0495D9">
            <w:pPr>
              <w:adjustRightInd w:val="0"/>
              <w:snapToGrid w:val="0"/>
              <w:rPr>
                <w:rFonts w:hint="default" w:ascii="Times New Roman" w:hAnsi="Times New Roman" w:cs="Times New Roman"/>
                <w:b/>
                <w:spacing w:val="-10"/>
                <w:sz w:val="24"/>
              </w:rPr>
            </w:pPr>
            <w:r>
              <w:rPr>
                <w:rFonts w:hint="default" w:ascii="Times New Roman" w:hAnsi="Times New Roman" w:cs="Times New Roman"/>
                <w:b/>
                <w:spacing w:val="-10"/>
                <w:sz w:val="24"/>
              </w:rPr>
              <w:t>三、噪声</w:t>
            </w:r>
          </w:p>
          <w:p w14:paraId="0CF57D94">
            <w:pPr>
              <w:pStyle w:val="84"/>
              <w:ind w:firstLine="482"/>
              <w:rPr>
                <w:rFonts w:hint="default" w:ascii="Times New Roman" w:hAnsi="Times New Roman" w:cs="Times New Roman"/>
                <w:b/>
                <w:bCs/>
                <w:color w:val="FF0000"/>
              </w:rPr>
            </w:pPr>
            <w:r>
              <w:rPr>
                <w:rFonts w:hint="default" w:ascii="Times New Roman" w:hAnsi="Times New Roman" w:cs="Times New Roman"/>
                <w:b/>
                <w:bCs/>
                <w:color w:val="FF0000"/>
              </w:rPr>
              <w:t>1.噪声源强及达标分析</w:t>
            </w:r>
          </w:p>
          <w:p w14:paraId="40DF3EC7">
            <w:pPr>
              <w:pStyle w:val="84"/>
              <w:ind w:firstLine="480"/>
              <w:rPr>
                <w:rFonts w:hint="default" w:ascii="Times New Roman" w:hAnsi="Times New Roman" w:cs="Times New Roman"/>
                <w:snapToGrid w:val="0"/>
                <w:color w:val="FF0000"/>
                <w:kern w:val="0"/>
              </w:rPr>
            </w:pPr>
            <w:r>
              <w:rPr>
                <w:rFonts w:hint="default" w:ascii="Times New Roman" w:hAnsi="Times New Roman" w:cs="Times New Roman"/>
                <w:color w:val="FF0000"/>
              </w:rPr>
              <w:t>本项目噪声源主要来自生产设备运行产生的噪声，根据《污染源源强核算技术指南 准则》（HJ884-2018）源强在70~95dB（A）之间。</w:t>
            </w:r>
            <w:r>
              <w:rPr>
                <w:rFonts w:hint="default" w:ascii="Times New Roman" w:hAnsi="Times New Roman" w:cs="Times New Roman"/>
                <w:bCs/>
                <w:color w:val="FF0000"/>
                <w:szCs w:val="22"/>
              </w:rPr>
              <w:t>本项目厂房的室内噪声源建筑物插入损失值，取自机械工业出版社《噪声与振动控制工程手册》（主编 马大猷，2002年9月第1版）第5篇第1章 “表5.1—25普通单层玻璃窗的隔声量”（第353页），按照不利原则取平均隔声量最低值25.5dB（A）。项目各产噪设备和相应降噪措施后主要噪声源情况见下表。</w:t>
            </w:r>
            <w:r>
              <w:rPr>
                <w:rFonts w:hint="default" w:ascii="Times New Roman" w:hAnsi="Times New Roman" w:cs="Times New Roman"/>
                <w:snapToGrid w:val="0"/>
                <w:color w:val="FF0000"/>
                <w:kern w:val="0"/>
              </w:rPr>
              <w:t>建设项目运营期主要设备噪声源强如下表所示。</w:t>
            </w:r>
          </w:p>
          <w:p w14:paraId="4F7831FB">
            <w:pPr>
              <w:ind w:firstLine="480"/>
              <w:jc w:val="center"/>
              <w:rPr>
                <w:rFonts w:hint="default" w:ascii="Times New Roman" w:hAnsi="Times New Roman" w:cs="Times New Roman"/>
                <w:b/>
                <w:color w:val="FF0000"/>
                <w:szCs w:val="21"/>
              </w:rPr>
            </w:pPr>
            <w:r>
              <w:rPr>
                <w:rFonts w:hint="default" w:ascii="Times New Roman" w:hAnsi="Times New Roman" w:cs="Times New Roman"/>
                <w:b/>
                <w:color w:val="FF0000"/>
                <w:szCs w:val="21"/>
              </w:rPr>
              <w:t>表4-</w:t>
            </w:r>
            <w:r>
              <w:rPr>
                <w:rFonts w:hint="eastAsia" w:cs="Times New Roman"/>
                <w:b/>
                <w:color w:val="FF0000"/>
                <w:szCs w:val="21"/>
                <w:lang w:val="en-US" w:eastAsia="zh-CN"/>
              </w:rPr>
              <w:t xml:space="preserve">30 </w:t>
            </w:r>
            <w:r>
              <w:rPr>
                <w:rFonts w:hint="default" w:ascii="Times New Roman" w:hAnsi="Times New Roman" w:cs="Times New Roman"/>
                <w:b/>
                <w:color w:val="FF0000"/>
                <w:szCs w:val="21"/>
              </w:rPr>
              <w:t xml:space="preserve"> </w:t>
            </w:r>
            <w:r>
              <w:rPr>
                <w:rFonts w:hint="default" w:ascii="Times New Roman" w:hAnsi="Times New Roman" w:cs="Times New Roman"/>
                <w:b/>
                <w:bCs/>
                <w:snapToGrid w:val="0"/>
                <w:color w:val="FF0000"/>
                <w:szCs w:val="16"/>
              </w:rPr>
              <w:t>工业企业噪声源强调查清单</w:t>
            </w:r>
            <w:r>
              <w:rPr>
                <w:rFonts w:hint="default" w:ascii="Times New Roman" w:hAnsi="Times New Roman" w:cs="Times New Roman"/>
                <w:b/>
                <w:color w:val="FF0000"/>
                <w:szCs w:val="21"/>
              </w:rPr>
              <w:t>（室外声源）</w:t>
            </w:r>
          </w:p>
          <w:tbl>
            <w:tblPr>
              <w:tblStyle w:val="34"/>
              <w:tblW w:w="4998" w:type="pct"/>
              <w:tblInd w:w="5" w:type="dxa"/>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26"/>
              <w:gridCol w:w="1406"/>
              <w:gridCol w:w="1406"/>
              <w:gridCol w:w="732"/>
              <w:gridCol w:w="732"/>
              <w:gridCol w:w="738"/>
              <w:gridCol w:w="1189"/>
              <w:gridCol w:w="770"/>
              <w:gridCol w:w="1072"/>
            </w:tblGrid>
            <w:tr w14:paraId="2E073036">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33" w:hRule="atLeast"/>
              </w:trPr>
              <w:tc>
                <w:tcPr>
                  <w:tcW w:w="252" w:type="pct"/>
                  <w:vMerge w:val="restart"/>
                  <w:tcBorders>
                    <w:tl2br w:val="nil"/>
                    <w:tr2bl w:val="nil"/>
                  </w:tcBorders>
                  <w:vAlign w:val="center"/>
                </w:tcPr>
                <w:p w14:paraId="51225448">
                  <w:pPr>
                    <w:jc w:val="center"/>
                    <w:rPr>
                      <w:rFonts w:hint="default" w:ascii="Times New Roman" w:hAnsi="Times New Roman" w:cs="Times New Roman"/>
                      <w:b/>
                      <w:color w:val="FF0000"/>
                      <w:szCs w:val="21"/>
                    </w:rPr>
                  </w:pPr>
                  <w:r>
                    <w:rPr>
                      <w:rFonts w:hint="default" w:ascii="Times New Roman" w:hAnsi="Times New Roman" w:cs="Times New Roman"/>
                      <w:b/>
                      <w:color w:val="FF0000"/>
                      <w:szCs w:val="21"/>
                    </w:rPr>
                    <w:t>序号</w:t>
                  </w:r>
                </w:p>
              </w:tc>
              <w:tc>
                <w:tcPr>
                  <w:tcW w:w="829" w:type="pct"/>
                  <w:vMerge w:val="restart"/>
                  <w:tcBorders>
                    <w:tl2br w:val="nil"/>
                    <w:tr2bl w:val="nil"/>
                  </w:tcBorders>
                  <w:vAlign w:val="center"/>
                </w:tcPr>
                <w:p w14:paraId="2D082FCA">
                  <w:pPr>
                    <w:jc w:val="center"/>
                    <w:rPr>
                      <w:rFonts w:hint="default" w:ascii="Times New Roman" w:hAnsi="Times New Roman" w:cs="Times New Roman"/>
                      <w:b/>
                      <w:color w:val="FF0000"/>
                      <w:szCs w:val="21"/>
                    </w:rPr>
                  </w:pPr>
                  <w:r>
                    <w:rPr>
                      <w:rFonts w:hint="default" w:ascii="Times New Roman" w:hAnsi="Times New Roman" w:cs="Times New Roman"/>
                      <w:b/>
                      <w:color w:val="FF0000"/>
                      <w:szCs w:val="21"/>
                    </w:rPr>
                    <w:t>声源名称</w:t>
                  </w:r>
                </w:p>
              </w:tc>
              <w:tc>
                <w:tcPr>
                  <w:tcW w:w="829" w:type="pct"/>
                  <w:vMerge w:val="restart"/>
                  <w:tcBorders>
                    <w:tl2br w:val="nil"/>
                    <w:tr2bl w:val="nil"/>
                  </w:tcBorders>
                  <w:vAlign w:val="center"/>
                </w:tcPr>
                <w:p w14:paraId="2E1E25DC">
                  <w:pPr>
                    <w:jc w:val="center"/>
                    <w:rPr>
                      <w:rFonts w:hint="default" w:ascii="Times New Roman" w:hAnsi="Times New Roman" w:cs="Times New Roman"/>
                      <w:b/>
                      <w:color w:val="FF0000"/>
                      <w:szCs w:val="21"/>
                    </w:rPr>
                  </w:pPr>
                  <w:r>
                    <w:rPr>
                      <w:rFonts w:hint="default" w:ascii="Times New Roman" w:hAnsi="Times New Roman" w:cs="Times New Roman"/>
                      <w:b/>
                      <w:color w:val="FF0000"/>
                      <w:szCs w:val="21"/>
                    </w:rPr>
                    <w:t>型号</w:t>
                  </w:r>
                </w:p>
              </w:tc>
              <w:tc>
                <w:tcPr>
                  <w:tcW w:w="1299" w:type="pct"/>
                  <w:gridSpan w:val="3"/>
                  <w:tcBorders>
                    <w:tl2br w:val="nil"/>
                    <w:tr2bl w:val="nil"/>
                  </w:tcBorders>
                  <w:vAlign w:val="center"/>
                </w:tcPr>
                <w:p w14:paraId="559F3BB7">
                  <w:pPr>
                    <w:jc w:val="center"/>
                    <w:rPr>
                      <w:rFonts w:hint="default" w:ascii="Times New Roman" w:hAnsi="Times New Roman" w:cs="Times New Roman"/>
                      <w:b/>
                      <w:color w:val="FF0000"/>
                      <w:szCs w:val="21"/>
                    </w:rPr>
                  </w:pPr>
                  <w:r>
                    <w:rPr>
                      <w:rFonts w:hint="default" w:ascii="Times New Roman" w:hAnsi="Times New Roman" w:cs="Times New Roman"/>
                      <w:b/>
                      <w:color w:val="FF0000"/>
                      <w:szCs w:val="21"/>
                    </w:rPr>
                    <w:t>空间相对位置（m）</w:t>
                  </w:r>
                </w:p>
              </w:tc>
              <w:tc>
                <w:tcPr>
                  <w:tcW w:w="701" w:type="pct"/>
                  <w:vMerge w:val="restart"/>
                  <w:tcBorders>
                    <w:tl2br w:val="nil"/>
                    <w:tr2bl w:val="nil"/>
                  </w:tcBorders>
                  <w:vAlign w:val="center"/>
                </w:tcPr>
                <w:p w14:paraId="58C2D0AB">
                  <w:pPr>
                    <w:jc w:val="center"/>
                    <w:rPr>
                      <w:rFonts w:hint="default" w:ascii="Times New Roman" w:hAnsi="Times New Roman" w:cs="Times New Roman"/>
                      <w:b/>
                      <w:color w:val="FF0000"/>
                      <w:szCs w:val="21"/>
                    </w:rPr>
                  </w:pPr>
                  <w:r>
                    <w:rPr>
                      <w:rFonts w:hint="default" w:ascii="Times New Roman" w:hAnsi="Times New Roman" w:cs="Times New Roman"/>
                      <w:b/>
                      <w:color w:val="FF0000"/>
                      <w:szCs w:val="21"/>
                    </w:rPr>
                    <w:t>声功率级（dB(A)）</w:t>
                  </w:r>
                </w:p>
              </w:tc>
              <w:tc>
                <w:tcPr>
                  <w:tcW w:w="454" w:type="pct"/>
                  <w:vMerge w:val="restart"/>
                  <w:tcBorders>
                    <w:tl2br w:val="nil"/>
                    <w:tr2bl w:val="nil"/>
                  </w:tcBorders>
                  <w:vAlign w:val="center"/>
                </w:tcPr>
                <w:p w14:paraId="44CC0D42">
                  <w:pPr>
                    <w:jc w:val="center"/>
                    <w:rPr>
                      <w:rFonts w:hint="default" w:ascii="Times New Roman" w:hAnsi="Times New Roman" w:cs="Times New Roman"/>
                      <w:b/>
                      <w:color w:val="FF0000"/>
                      <w:szCs w:val="21"/>
                    </w:rPr>
                  </w:pPr>
                  <w:r>
                    <w:rPr>
                      <w:rFonts w:hint="default" w:ascii="Times New Roman" w:hAnsi="Times New Roman" w:cs="Times New Roman"/>
                      <w:b/>
                      <w:color w:val="FF0000"/>
                      <w:szCs w:val="21"/>
                    </w:rPr>
                    <w:t>声源控制措施</w:t>
                  </w:r>
                </w:p>
              </w:tc>
              <w:tc>
                <w:tcPr>
                  <w:tcW w:w="632" w:type="pct"/>
                  <w:vMerge w:val="restart"/>
                  <w:tcBorders>
                    <w:tl2br w:val="nil"/>
                    <w:tr2bl w:val="nil"/>
                  </w:tcBorders>
                  <w:vAlign w:val="center"/>
                </w:tcPr>
                <w:p w14:paraId="63256E59">
                  <w:pPr>
                    <w:jc w:val="center"/>
                    <w:rPr>
                      <w:rFonts w:hint="default" w:ascii="Times New Roman" w:hAnsi="Times New Roman" w:cs="Times New Roman"/>
                      <w:b/>
                      <w:color w:val="FF0000"/>
                      <w:szCs w:val="21"/>
                    </w:rPr>
                  </w:pPr>
                  <w:r>
                    <w:rPr>
                      <w:rFonts w:hint="default" w:ascii="Times New Roman" w:hAnsi="Times New Roman" w:cs="Times New Roman"/>
                      <w:b/>
                      <w:color w:val="FF0000"/>
                      <w:szCs w:val="21"/>
                    </w:rPr>
                    <w:t>运行时段</w:t>
                  </w:r>
                </w:p>
              </w:tc>
            </w:tr>
            <w:tr w14:paraId="29CE4DB5">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03" w:hRule="atLeast"/>
              </w:trPr>
              <w:tc>
                <w:tcPr>
                  <w:tcW w:w="252" w:type="pct"/>
                  <w:vMerge w:val="continue"/>
                  <w:tcBorders>
                    <w:tl2br w:val="nil"/>
                    <w:tr2bl w:val="nil"/>
                  </w:tcBorders>
                  <w:vAlign w:val="center"/>
                </w:tcPr>
                <w:p w14:paraId="64D16653">
                  <w:pPr>
                    <w:jc w:val="center"/>
                    <w:rPr>
                      <w:rFonts w:hint="default" w:ascii="Times New Roman" w:hAnsi="Times New Roman" w:cs="Times New Roman"/>
                      <w:b/>
                      <w:color w:val="FF0000"/>
                      <w:szCs w:val="21"/>
                    </w:rPr>
                  </w:pPr>
                </w:p>
              </w:tc>
              <w:tc>
                <w:tcPr>
                  <w:tcW w:w="829" w:type="pct"/>
                  <w:vMerge w:val="continue"/>
                  <w:tcBorders>
                    <w:tl2br w:val="nil"/>
                    <w:tr2bl w:val="nil"/>
                  </w:tcBorders>
                  <w:vAlign w:val="center"/>
                </w:tcPr>
                <w:p w14:paraId="504F6EC5">
                  <w:pPr>
                    <w:jc w:val="center"/>
                    <w:rPr>
                      <w:rFonts w:hint="default" w:ascii="Times New Roman" w:hAnsi="Times New Roman" w:cs="Times New Roman"/>
                      <w:b/>
                      <w:color w:val="FF0000"/>
                      <w:szCs w:val="21"/>
                    </w:rPr>
                  </w:pPr>
                </w:p>
              </w:tc>
              <w:tc>
                <w:tcPr>
                  <w:tcW w:w="829" w:type="pct"/>
                  <w:vMerge w:val="continue"/>
                  <w:tcBorders>
                    <w:tl2br w:val="nil"/>
                    <w:tr2bl w:val="nil"/>
                  </w:tcBorders>
                  <w:vAlign w:val="center"/>
                </w:tcPr>
                <w:p w14:paraId="125955A2">
                  <w:pPr>
                    <w:jc w:val="center"/>
                    <w:rPr>
                      <w:rFonts w:hint="default" w:ascii="Times New Roman" w:hAnsi="Times New Roman" w:cs="Times New Roman"/>
                      <w:b/>
                      <w:color w:val="FF0000"/>
                      <w:szCs w:val="21"/>
                    </w:rPr>
                  </w:pPr>
                </w:p>
              </w:tc>
              <w:tc>
                <w:tcPr>
                  <w:tcW w:w="432" w:type="pct"/>
                  <w:tcBorders>
                    <w:tl2br w:val="nil"/>
                    <w:tr2bl w:val="nil"/>
                  </w:tcBorders>
                  <w:vAlign w:val="center"/>
                </w:tcPr>
                <w:p w14:paraId="0836E812">
                  <w:pPr>
                    <w:jc w:val="center"/>
                    <w:rPr>
                      <w:rFonts w:hint="default" w:ascii="Times New Roman" w:hAnsi="Times New Roman" w:cs="Times New Roman"/>
                      <w:b/>
                      <w:color w:val="FF0000"/>
                      <w:szCs w:val="21"/>
                    </w:rPr>
                  </w:pPr>
                  <w:r>
                    <w:rPr>
                      <w:rFonts w:hint="default" w:ascii="Times New Roman" w:hAnsi="Times New Roman" w:cs="Times New Roman"/>
                      <w:b/>
                      <w:color w:val="FF0000"/>
                      <w:szCs w:val="21"/>
                    </w:rPr>
                    <w:t>X</w:t>
                  </w:r>
                </w:p>
              </w:tc>
              <w:tc>
                <w:tcPr>
                  <w:tcW w:w="432" w:type="pct"/>
                  <w:tcBorders>
                    <w:tl2br w:val="nil"/>
                    <w:tr2bl w:val="nil"/>
                  </w:tcBorders>
                  <w:vAlign w:val="center"/>
                </w:tcPr>
                <w:p w14:paraId="3D71A134">
                  <w:pPr>
                    <w:jc w:val="center"/>
                    <w:rPr>
                      <w:rFonts w:hint="default" w:ascii="Times New Roman" w:hAnsi="Times New Roman" w:cs="Times New Roman"/>
                      <w:b/>
                      <w:color w:val="FF0000"/>
                      <w:szCs w:val="21"/>
                    </w:rPr>
                  </w:pPr>
                  <w:r>
                    <w:rPr>
                      <w:rFonts w:hint="default" w:ascii="Times New Roman" w:hAnsi="Times New Roman" w:cs="Times New Roman"/>
                      <w:b/>
                      <w:color w:val="FF0000"/>
                      <w:szCs w:val="21"/>
                    </w:rPr>
                    <w:t>Y</w:t>
                  </w:r>
                </w:p>
              </w:tc>
              <w:tc>
                <w:tcPr>
                  <w:tcW w:w="435" w:type="pct"/>
                  <w:tcBorders>
                    <w:tl2br w:val="nil"/>
                    <w:tr2bl w:val="nil"/>
                  </w:tcBorders>
                  <w:vAlign w:val="center"/>
                </w:tcPr>
                <w:p w14:paraId="4B42173D">
                  <w:pPr>
                    <w:jc w:val="center"/>
                    <w:rPr>
                      <w:rFonts w:hint="default" w:ascii="Times New Roman" w:hAnsi="Times New Roman" w:cs="Times New Roman"/>
                      <w:b/>
                      <w:color w:val="FF0000"/>
                      <w:szCs w:val="21"/>
                    </w:rPr>
                  </w:pPr>
                  <w:r>
                    <w:rPr>
                      <w:rFonts w:hint="default" w:ascii="Times New Roman" w:hAnsi="Times New Roman" w:cs="Times New Roman"/>
                      <w:b/>
                      <w:color w:val="FF0000"/>
                      <w:szCs w:val="21"/>
                    </w:rPr>
                    <w:t>Z</w:t>
                  </w:r>
                </w:p>
              </w:tc>
              <w:tc>
                <w:tcPr>
                  <w:tcW w:w="701" w:type="pct"/>
                  <w:vMerge w:val="continue"/>
                  <w:tcBorders>
                    <w:tl2br w:val="nil"/>
                    <w:tr2bl w:val="nil"/>
                  </w:tcBorders>
                  <w:vAlign w:val="center"/>
                </w:tcPr>
                <w:p w14:paraId="418266B6">
                  <w:pPr>
                    <w:jc w:val="center"/>
                    <w:rPr>
                      <w:rFonts w:hint="default" w:ascii="Times New Roman" w:hAnsi="Times New Roman" w:cs="Times New Roman"/>
                      <w:color w:val="FF0000"/>
                      <w:szCs w:val="21"/>
                    </w:rPr>
                  </w:pPr>
                </w:p>
              </w:tc>
              <w:tc>
                <w:tcPr>
                  <w:tcW w:w="454" w:type="pct"/>
                  <w:vMerge w:val="continue"/>
                  <w:tcBorders>
                    <w:tl2br w:val="nil"/>
                    <w:tr2bl w:val="nil"/>
                  </w:tcBorders>
                  <w:vAlign w:val="center"/>
                </w:tcPr>
                <w:p w14:paraId="42AB2F01">
                  <w:pPr>
                    <w:jc w:val="center"/>
                    <w:rPr>
                      <w:rFonts w:hint="default" w:ascii="Times New Roman" w:hAnsi="Times New Roman" w:cs="Times New Roman"/>
                      <w:color w:val="FF0000"/>
                      <w:szCs w:val="21"/>
                    </w:rPr>
                  </w:pPr>
                </w:p>
              </w:tc>
              <w:tc>
                <w:tcPr>
                  <w:tcW w:w="632" w:type="pct"/>
                  <w:vMerge w:val="continue"/>
                  <w:tcBorders>
                    <w:tl2br w:val="nil"/>
                    <w:tr2bl w:val="nil"/>
                  </w:tcBorders>
                  <w:vAlign w:val="center"/>
                </w:tcPr>
                <w:p w14:paraId="3C371FDE">
                  <w:pPr>
                    <w:jc w:val="center"/>
                    <w:rPr>
                      <w:rFonts w:hint="default" w:ascii="Times New Roman" w:hAnsi="Times New Roman" w:cs="Times New Roman"/>
                      <w:color w:val="FF0000"/>
                      <w:szCs w:val="21"/>
                    </w:rPr>
                  </w:pPr>
                </w:p>
              </w:tc>
            </w:tr>
            <w:tr w14:paraId="3C6374B0">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86" w:hRule="atLeast"/>
              </w:trPr>
              <w:tc>
                <w:tcPr>
                  <w:tcW w:w="252" w:type="pct"/>
                  <w:tcBorders>
                    <w:tl2br w:val="nil"/>
                    <w:tr2bl w:val="nil"/>
                  </w:tcBorders>
                  <w:vAlign w:val="center"/>
                </w:tcPr>
                <w:p w14:paraId="6A87EC39">
                  <w:pPr>
                    <w:jc w:val="center"/>
                    <w:rPr>
                      <w:rFonts w:hint="default" w:ascii="Times New Roman" w:hAnsi="Times New Roman" w:cs="Times New Roman"/>
                      <w:color w:val="FF0000"/>
                      <w:szCs w:val="21"/>
                    </w:rPr>
                  </w:pPr>
                  <w:r>
                    <w:rPr>
                      <w:rFonts w:hint="default" w:ascii="Times New Roman" w:hAnsi="Times New Roman" w:cs="Times New Roman"/>
                      <w:color w:val="FF0000"/>
                      <w:szCs w:val="21"/>
                    </w:rPr>
                    <w:t>1</w:t>
                  </w:r>
                </w:p>
              </w:tc>
              <w:tc>
                <w:tcPr>
                  <w:tcW w:w="829" w:type="pct"/>
                  <w:tcBorders>
                    <w:tl2br w:val="nil"/>
                    <w:tr2bl w:val="nil"/>
                  </w:tcBorders>
                  <w:vAlign w:val="center"/>
                </w:tcPr>
                <w:p w14:paraId="7B7E2DE1">
                  <w:pPr>
                    <w:jc w:val="center"/>
                    <w:rPr>
                      <w:rFonts w:hint="default" w:ascii="Times New Roman" w:hAnsi="Times New Roman" w:cs="Times New Roman"/>
                      <w:color w:val="FF0000"/>
                      <w:szCs w:val="21"/>
                    </w:rPr>
                  </w:pPr>
                  <w:r>
                    <w:rPr>
                      <w:rFonts w:hint="default" w:ascii="Times New Roman" w:hAnsi="Times New Roman" w:cs="Times New Roman"/>
                      <w:color w:val="FF0000"/>
                      <w:szCs w:val="21"/>
                    </w:rPr>
                    <w:t>1#风机</w:t>
                  </w:r>
                </w:p>
              </w:tc>
              <w:tc>
                <w:tcPr>
                  <w:tcW w:w="829" w:type="pct"/>
                  <w:tcBorders>
                    <w:tl2br w:val="nil"/>
                    <w:tr2bl w:val="nil"/>
                  </w:tcBorders>
                  <w:vAlign w:val="center"/>
                </w:tcPr>
                <w:p w14:paraId="32B31583">
                  <w:pPr>
                    <w:jc w:val="center"/>
                    <w:rPr>
                      <w:rFonts w:hint="default" w:ascii="Times New Roman" w:hAnsi="Times New Roman" w:cs="Times New Roman"/>
                      <w:color w:val="FF0000"/>
                      <w:szCs w:val="21"/>
                    </w:rPr>
                  </w:pPr>
                  <w:r>
                    <w:rPr>
                      <w:rFonts w:hint="default" w:ascii="Times New Roman" w:hAnsi="Times New Roman" w:cs="Times New Roman"/>
                      <w:color w:val="FF0000"/>
                      <w:szCs w:val="21"/>
                    </w:rPr>
                    <w:t>/</w:t>
                  </w:r>
                </w:p>
              </w:tc>
              <w:tc>
                <w:tcPr>
                  <w:tcW w:w="432" w:type="pct"/>
                  <w:tcBorders>
                    <w:tl2br w:val="nil"/>
                    <w:tr2bl w:val="nil"/>
                  </w:tcBorders>
                  <w:vAlign w:val="center"/>
                </w:tcPr>
                <w:p w14:paraId="1B4D1756">
                  <w:pPr>
                    <w:jc w:val="center"/>
                    <w:rPr>
                      <w:rFonts w:hint="default" w:ascii="Times New Roman" w:hAnsi="Times New Roman" w:cs="Times New Roman"/>
                      <w:color w:val="FF0000"/>
                      <w:szCs w:val="21"/>
                    </w:rPr>
                  </w:pPr>
                  <w:r>
                    <w:rPr>
                      <w:rFonts w:hint="default" w:ascii="Times New Roman" w:hAnsi="Times New Roman" w:cs="Times New Roman"/>
                      <w:color w:val="FF0000"/>
                      <w:szCs w:val="21"/>
                    </w:rPr>
                    <w:t>20</w:t>
                  </w:r>
                </w:p>
              </w:tc>
              <w:tc>
                <w:tcPr>
                  <w:tcW w:w="432" w:type="pct"/>
                  <w:tcBorders>
                    <w:tl2br w:val="nil"/>
                    <w:tr2bl w:val="nil"/>
                  </w:tcBorders>
                  <w:vAlign w:val="center"/>
                </w:tcPr>
                <w:p w14:paraId="7785026D">
                  <w:pPr>
                    <w:jc w:val="center"/>
                    <w:rPr>
                      <w:rFonts w:hint="default" w:ascii="Times New Roman" w:hAnsi="Times New Roman" w:cs="Times New Roman"/>
                      <w:color w:val="FF0000"/>
                      <w:szCs w:val="21"/>
                    </w:rPr>
                  </w:pPr>
                  <w:r>
                    <w:rPr>
                      <w:rFonts w:hint="default" w:ascii="Times New Roman" w:hAnsi="Times New Roman" w:cs="Times New Roman"/>
                      <w:color w:val="FF0000"/>
                      <w:szCs w:val="21"/>
                    </w:rPr>
                    <w:t>47</w:t>
                  </w:r>
                </w:p>
              </w:tc>
              <w:tc>
                <w:tcPr>
                  <w:tcW w:w="435" w:type="pct"/>
                  <w:tcBorders>
                    <w:tl2br w:val="nil"/>
                    <w:tr2bl w:val="nil"/>
                  </w:tcBorders>
                  <w:vAlign w:val="center"/>
                </w:tcPr>
                <w:p w14:paraId="44BAF4AD">
                  <w:pPr>
                    <w:jc w:val="center"/>
                    <w:rPr>
                      <w:rFonts w:hint="default" w:ascii="Times New Roman" w:hAnsi="Times New Roman" w:cs="Times New Roman"/>
                      <w:color w:val="FF0000"/>
                      <w:szCs w:val="21"/>
                    </w:rPr>
                  </w:pPr>
                  <w:r>
                    <w:rPr>
                      <w:rFonts w:hint="default" w:ascii="Times New Roman" w:hAnsi="Times New Roman" w:cs="Times New Roman"/>
                      <w:color w:val="FF0000"/>
                      <w:szCs w:val="21"/>
                    </w:rPr>
                    <w:t>0.5</w:t>
                  </w:r>
                </w:p>
              </w:tc>
              <w:tc>
                <w:tcPr>
                  <w:tcW w:w="701" w:type="pct"/>
                  <w:tcBorders>
                    <w:tl2br w:val="nil"/>
                    <w:tr2bl w:val="nil"/>
                  </w:tcBorders>
                  <w:vAlign w:val="center"/>
                </w:tcPr>
                <w:p w14:paraId="53496C09">
                  <w:pPr>
                    <w:jc w:val="center"/>
                    <w:rPr>
                      <w:rFonts w:hint="default" w:ascii="Times New Roman" w:hAnsi="Times New Roman" w:cs="Times New Roman"/>
                      <w:color w:val="FF0000"/>
                      <w:szCs w:val="21"/>
                    </w:rPr>
                  </w:pPr>
                  <w:r>
                    <w:rPr>
                      <w:rFonts w:hint="default" w:ascii="Times New Roman" w:hAnsi="Times New Roman" w:cs="Times New Roman"/>
                      <w:color w:val="FF0000"/>
                      <w:szCs w:val="21"/>
                    </w:rPr>
                    <w:t>90</w:t>
                  </w:r>
                </w:p>
              </w:tc>
              <w:tc>
                <w:tcPr>
                  <w:tcW w:w="454" w:type="pct"/>
                  <w:vMerge w:val="restart"/>
                  <w:tcBorders>
                    <w:tl2br w:val="nil"/>
                    <w:tr2bl w:val="nil"/>
                  </w:tcBorders>
                  <w:vAlign w:val="center"/>
                </w:tcPr>
                <w:p w14:paraId="42C27148">
                  <w:pPr>
                    <w:jc w:val="center"/>
                    <w:rPr>
                      <w:rFonts w:hint="default" w:ascii="Times New Roman" w:hAnsi="Times New Roman" w:cs="Times New Roman"/>
                      <w:color w:val="FF0000"/>
                      <w:szCs w:val="21"/>
                    </w:rPr>
                  </w:pPr>
                  <w:r>
                    <w:rPr>
                      <w:rFonts w:hint="default" w:ascii="Times New Roman" w:hAnsi="Times New Roman" w:cs="Times New Roman"/>
                      <w:color w:val="FF0000"/>
                      <w:szCs w:val="21"/>
                    </w:rPr>
                    <w:t>低噪 音设 备、隔声、基 础减 震</w:t>
                  </w:r>
                </w:p>
              </w:tc>
              <w:tc>
                <w:tcPr>
                  <w:tcW w:w="632" w:type="pct"/>
                  <w:tcBorders>
                    <w:tl2br w:val="nil"/>
                    <w:tr2bl w:val="nil"/>
                  </w:tcBorders>
                  <w:vAlign w:val="center"/>
                </w:tcPr>
                <w:p w14:paraId="3880B318">
                  <w:pPr>
                    <w:jc w:val="center"/>
                    <w:rPr>
                      <w:rFonts w:hint="default" w:ascii="Times New Roman" w:hAnsi="Times New Roman" w:cs="Times New Roman"/>
                      <w:color w:val="FF0000"/>
                      <w:sz w:val="18"/>
                      <w:szCs w:val="18"/>
                    </w:rPr>
                  </w:pPr>
                  <w:r>
                    <w:rPr>
                      <w:rFonts w:hint="default" w:ascii="Times New Roman" w:hAnsi="Times New Roman" w:cs="Times New Roman"/>
                      <w:color w:val="FF0000"/>
                      <w:szCs w:val="21"/>
                    </w:rPr>
                    <w:t>昼间</w:t>
                  </w:r>
                </w:p>
              </w:tc>
            </w:tr>
            <w:tr w14:paraId="7FB14A16">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13" w:hRule="atLeast"/>
              </w:trPr>
              <w:tc>
                <w:tcPr>
                  <w:tcW w:w="252" w:type="pct"/>
                  <w:tcBorders>
                    <w:tl2br w:val="nil"/>
                    <w:tr2bl w:val="nil"/>
                  </w:tcBorders>
                  <w:vAlign w:val="center"/>
                </w:tcPr>
                <w:p w14:paraId="4E805D07">
                  <w:pPr>
                    <w:jc w:val="center"/>
                    <w:rPr>
                      <w:rFonts w:hint="default" w:ascii="Times New Roman" w:hAnsi="Times New Roman" w:cs="Times New Roman"/>
                      <w:color w:val="FF0000"/>
                      <w:szCs w:val="21"/>
                    </w:rPr>
                  </w:pPr>
                  <w:r>
                    <w:rPr>
                      <w:rFonts w:hint="default" w:ascii="Times New Roman" w:hAnsi="Times New Roman" w:cs="Times New Roman"/>
                      <w:color w:val="FF0000"/>
                      <w:szCs w:val="21"/>
                    </w:rPr>
                    <w:t>2</w:t>
                  </w:r>
                </w:p>
              </w:tc>
              <w:tc>
                <w:tcPr>
                  <w:tcW w:w="829" w:type="pct"/>
                  <w:tcBorders>
                    <w:tl2br w:val="nil"/>
                    <w:tr2bl w:val="nil"/>
                  </w:tcBorders>
                  <w:vAlign w:val="center"/>
                </w:tcPr>
                <w:p w14:paraId="2D7DAE42">
                  <w:pPr>
                    <w:jc w:val="center"/>
                    <w:rPr>
                      <w:rFonts w:hint="default" w:ascii="Times New Roman" w:hAnsi="Times New Roman" w:cs="Times New Roman"/>
                      <w:color w:val="FF0000"/>
                      <w:szCs w:val="21"/>
                    </w:rPr>
                  </w:pPr>
                  <w:r>
                    <w:rPr>
                      <w:rFonts w:hint="default" w:ascii="Times New Roman" w:hAnsi="Times New Roman" w:cs="Times New Roman"/>
                      <w:color w:val="FF0000"/>
                      <w:szCs w:val="21"/>
                    </w:rPr>
                    <w:t>2#风机</w:t>
                  </w:r>
                </w:p>
              </w:tc>
              <w:tc>
                <w:tcPr>
                  <w:tcW w:w="829" w:type="pct"/>
                  <w:tcBorders>
                    <w:tl2br w:val="nil"/>
                    <w:tr2bl w:val="nil"/>
                  </w:tcBorders>
                  <w:vAlign w:val="center"/>
                </w:tcPr>
                <w:p w14:paraId="4992F637">
                  <w:pPr>
                    <w:jc w:val="center"/>
                    <w:rPr>
                      <w:rFonts w:hint="default" w:ascii="Times New Roman" w:hAnsi="Times New Roman" w:cs="Times New Roman"/>
                      <w:color w:val="FF0000"/>
                      <w:szCs w:val="21"/>
                    </w:rPr>
                  </w:pPr>
                  <w:r>
                    <w:rPr>
                      <w:rFonts w:hint="default" w:ascii="Times New Roman" w:hAnsi="Times New Roman" w:cs="Times New Roman"/>
                      <w:color w:val="FF0000"/>
                      <w:szCs w:val="21"/>
                    </w:rPr>
                    <w:t>/</w:t>
                  </w:r>
                </w:p>
              </w:tc>
              <w:tc>
                <w:tcPr>
                  <w:tcW w:w="432" w:type="pct"/>
                  <w:tcBorders>
                    <w:tl2br w:val="nil"/>
                    <w:tr2bl w:val="nil"/>
                  </w:tcBorders>
                  <w:vAlign w:val="center"/>
                </w:tcPr>
                <w:p w14:paraId="25FC6676">
                  <w:pPr>
                    <w:jc w:val="center"/>
                    <w:rPr>
                      <w:rFonts w:hint="default" w:ascii="Times New Roman" w:hAnsi="Times New Roman" w:cs="Times New Roman"/>
                      <w:color w:val="FF0000"/>
                      <w:szCs w:val="21"/>
                    </w:rPr>
                  </w:pPr>
                  <w:r>
                    <w:rPr>
                      <w:rFonts w:hint="default" w:ascii="Times New Roman" w:hAnsi="Times New Roman" w:cs="Times New Roman"/>
                      <w:color w:val="FF0000"/>
                      <w:szCs w:val="21"/>
                    </w:rPr>
                    <w:t>70</w:t>
                  </w:r>
                </w:p>
              </w:tc>
              <w:tc>
                <w:tcPr>
                  <w:tcW w:w="432" w:type="pct"/>
                  <w:tcBorders>
                    <w:tl2br w:val="nil"/>
                    <w:tr2bl w:val="nil"/>
                  </w:tcBorders>
                  <w:vAlign w:val="center"/>
                </w:tcPr>
                <w:p w14:paraId="5EF38579">
                  <w:pPr>
                    <w:jc w:val="center"/>
                    <w:rPr>
                      <w:rFonts w:hint="default" w:ascii="Times New Roman" w:hAnsi="Times New Roman" w:cs="Times New Roman"/>
                      <w:color w:val="FF0000"/>
                      <w:szCs w:val="21"/>
                    </w:rPr>
                  </w:pPr>
                  <w:r>
                    <w:rPr>
                      <w:rFonts w:hint="default" w:ascii="Times New Roman" w:hAnsi="Times New Roman" w:cs="Times New Roman"/>
                      <w:color w:val="FF0000"/>
                      <w:szCs w:val="21"/>
                    </w:rPr>
                    <w:t>47</w:t>
                  </w:r>
                </w:p>
              </w:tc>
              <w:tc>
                <w:tcPr>
                  <w:tcW w:w="435" w:type="pct"/>
                  <w:tcBorders>
                    <w:tl2br w:val="nil"/>
                    <w:tr2bl w:val="nil"/>
                  </w:tcBorders>
                  <w:vAlign w:val="center"/>
                </w:tcPr>
                <w:p w14:paraId="3F544D2C">
                  <w:pPr>
                    <w:jc w:val="center"/>
                    <w:rPr>
                      <w:rFonts w:hint="default" w:ascii="Times New Roman" w:hAnsi="Times New Roman" w:cs="Times New Roman"/>
                      <w:color w:val="FF0000"/>
                      <w:szCs w:val="21"/>
                    </w:rPr>
                  </w:pPr>
                  <w:r>
                    <w:rPr>
                      <w:rFonts w:hint="default" w:ascii="Times New Roman" w:hAnsi="Times New Roman" w:cs="Times New Roman"/>
                      <w:color w:val="FF0000"/>
                      <w:szCs w:val="21"/>
                    </w:rPr>
                    <w:t>0.5</w:t>
                  </w:r>
                </w:p>
              </w:tc>
              <w:tc>
                <w:tcPr>
                  <w:tcW w:w="701" w:type="pct"/>
                  <w:tcBorders>
                    <w:tl2br w:val="nil"/>
                    <w:tr2bl w:val="nil"/>
                  </w:tcBorders>
                  <w:vAlign w:val="center"/>
                </w:tcPr>
                <w:p w14:paraId="20215F23">
                  <w:pPr>
                    <w:jc w:val="center"/>
                    <w:rPr>
                      <w:rFonts w:hint="default" w:ascii="Times New Roman" w:hAnsi="Times New Roman" w:cs="Times New Roman"/>
                      <w:color w:val="FF0000"/>
                      <w:szCs w:val="21"/>
                    </w:rPr>
                  </w:pPr>
                  <w:r>
                    <w:rPr>
                      <w:rFonts w:hint="default" w:ascii="Times New Roman" w:hAnsi="Times New Roman" w:cs="Times New Roman"/>
                      <w:color w:val="FF0000"/>
                      <w:szCs w:val="21"/>
                    </w:rPr>
                    <w:t>90</w:t>
                  </w:r>
                </w:p>
              </w:tc>
              <w:tc>
                <w:tcPr>
                  <w:tcW w:w="454" w:type="pct"/>
                  <w:vMerge w:val="continue"/>
                  <w:tcBorders>
                    <w:tl2br w:val="nil"/>
                    <w:tr2bl w:val="nil"/>
                  </w:tcBorders>
                  <w:vAlign w:val="center"/>
                </w:tcPr>
                <w:p w14:paraId="3B4B8680">
                  <w:pPr>
                    <w:jc w:val="center"/>
                    <w:rPr>
                      <w:rFonts w:hint="default" w:ascii="Times New Roman" w:hAnsi="Times New Roman" w:cs="Times New Roman"/>
                      <w:color w:val="FF0000"/>
                      <w:szCs w:val="21"/>
                    </w:rPr>
                  </w:pPr>
                </w:p>
              </w:tc>
              <w:tc>
                <w:tcPr>
                  <w:tcW w:w="632" w:type="pct"/>
                  <w:tcBorders>
                    <w:tl2br w:val="nil"/>
                    <w:tr2bl w:val="nil"/>
                  </w:tcBorders>
                  <w:vAlign w:val="center"/>
                </w:tcPr>
                <w:p w14:paraId="5B73AC99">
                  <w:pPr>
                    <w:jc w:val="center"/>
                    <w:rPr>
                      <w:rFonts w:hint="default" w:ascii="Times New Roman" w:hAnsi="Times New Roman" w:cs="Times New Roman"/>
                      <w:color w:val="FF0000"/>
                      <w:sz w:val="18"/>
                      <w:szCs w:val="18"/>
                    </w:rPr>
                  </w:pPr>
                  <w:r>
                    <w:rPr>
                      <w:rFonts w:hint="default" w:ascii="Times New Roman" w:hAnsi="Times New Roman" w:cs="Times New Roman"/>
                      <w:color w:val="FF0000"/>
                      <w:szCs w:val="21"/>
                    </w:rPr>
                    <w:t>昼间</w:t>
                  </w:r>
                </w:p>
              </w:tc>
            </w:tr>
          </w:tbl>
          <w:p w14:paraId="5DDF27AC">
            <w:pPr>
              <w:pStyle w:val="65"/>
              <w:rPr>
                <w:rFonts w:hint="default" w:ascii="Times New Roman" w:hAnsi="Times New Roman" w:eastAsia="宋体" w:cs="Times New Roman"/>
                <w:b/>
                <w:bCs/>
                <w:snapToGrid w:val="0"/>
                <w:color w:val="FF0000"/>
                <w:sz w:val="21"/>
                <w:szCs w:val="16"/>
              </w:rPr>
            </w:pPr>
            <w:r>
              <w:rPr>
                <w:rFonts w:hint="default" w:ascii="Times New Roman" w:hAnsi="Times New Roman" w:eastAsia="宋体" w:cs="Times New Roman"/>
                <w:b/>
                <w:bCs/>
                <w:snapToGrid w:val="0"/>
                <w:color w:val="FF0000"/>
                <w:sz w:val="21"/>
                <w:szCs w:val="16"/>
              </w:rPr>
              <w:t>表4-</w:t>
            </w:r>
            <w:r>
              <w:rPr>
                <w:rFonts w:hint="eastAsia" w:ascii="Times New Roman" w:eastAsia="宋体" w:cs="Times New Roman"/>
                <w:b/>
                <w:bCs/>
                <w:snapToGrid w:val="0"/>
                <w:color w:val="FF0000"/>
                <w:sz w:val="21"/>
                <w:szCs w:val="16"/>
                <w:lang w:val="en-US" w:eastAsia="zh-CN"/>
              </w:rPr>
              <w:t>31</w:t>
            </w:r>
            <w:r>
              <w:rPr>
                <w:rFonts w:hint="default" w:ascii="Times New Roman" w:hAnsi="Times New Roman" w:eastAsia="宋体" w:cs="Times New Roman"/>
                <w:b/>
                <w:bCs/>
                <w:snapToGrid w:val="0"/>
                <w:color w:val="FF0000"/>
                <w:sz w:val="21"/>
                <w:szCs w:val="16"/>
              </w:rPr>
              <w:t xml:space="preserve">  工业企业噪声源强调查清单（室内声源）</w:t>
            </w:r>
          </w:p>
          <w:tbl>
            <w:tblPr>
              <w:tblStyle w:val="80"/>
              <w:tblW w:w="4907" w:type="pct"/>
              <w:tblInd w:w="0" w:type="dxa"/>
              <w:tblBorders>
                <w:top w:val="double" w:color="000000" w:sz="4" w:space="0"/>
                <w:left w:val="none" w:color="auto" w:sz="0" w:space="0"/>
                <w:bottom w:val="double" w:color="000000" w:sz="4" w:space="0"/>
                <w:right w:val="none" w:color="auto" w:sz="0" w:space="0"/>
                <w:insideH w:val="single" w:color="000000" w:sz="2" w:space="0"/>
                <w:insideV w:val="single" w:color="000000" w:sz="2" w:space="0"/>
              </w:tblBorders>
              <w:tblLayout w:type="fixed"/>
              <w:tblCellMar>
                <w:top w:w="0" w:type="dxa"/>
                <w:left w:w="0" w:type="dxa"/>
                <w:bottom w:w="0" w:type="dxa"/>
                <w:right w:w="0" w:type="dxa"/>
              </w:tblCellMar>
            </w:tblPr>
            <w:tblGrid>
              <w:gridCol w:w="286"/>
              <w:gridCol w:w="386"/>
              <w:gridCol w:w="1274"/>
              <w:gridCol w:w="1405"/>
              <w:gridCol w:w="608"/>
              <w:gridCol w:w="453"/>
              <w:gridCol w:w="281"/>
              <w:gridCol w:w="331"/>
              <w:gridCol w:w="358"/>
              <w:gridCol w:w="549"/>
              <w:gridCol w:w="591"/>
              <w:gridCol w:w="420"/>
              <w:gridCol w:w="534"/>
              <w:gridCol w:w="591"/>
              <w:gridCol w:w="249"/>
            </w:tblGrid>
            <w:tr w14:paraId="02206B6D">
              <w:tblPrEx>
                <w:tblBorders>
                  <w:top w:val="double" w:color="000000" w:sz="4" w:space="0"/>
                  <w:left w:val="none" w:color="auto" w:sz="0" w:space="0"/>
                  <w:bottom w:val="double" w:color="000000" w:sz="4"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598" w:hRule="atLeast"/>
              </w:trPr>
              <w:tc>
                <w:tcPr>
                  <w:tcW w:w="172" w:type="pct"/>
                  <w:vMerge w:val="restart"/>
                  <w:tcBorders>
                    <w:tl2br w:val="nil"/>
                    <w:tr2bl w:val="nil"/>
                  </w:tcBorders>
                  <w:textDirection w:val="tbRlV"/>
                  <w:vAlign w:val="center"/>
                </w:tcPr>
                <w:p w14:paraId="5501D01E">
                  <w:pPr>
                    <w:autoSpaceDE w:val="0"/>
                    <w:autoSpaceDN w:val="0"/>
                    <w:jc w:val="center"/>
                    <w:rPr>
                      <w:rFonts w:hint="default" w:ascii="Times New Roman" w:hAnsi="Times New Roman" w:cs="Times New Roman"/>
                      <w:color w:val="FF0000"/>
                      <w:szCs w:val="21"/>
                      <w:lang w:eastAsia="en-US"/>
                    </w:rPr>
                  </w:pPr>
                  <w:r>
                    <w:rPr>
                      <w:rFonts w:hint="default" w:ascii="Times New Roman" w:hAnsi="Times New Roman" w:cs="Times New Roman"/>
                      <w:color w:val="FF0000"/>
                      <w:szCs w:val="21"/>
                      <w:lang w:eastAsia="en-US"/>
                    </w:rPr>
                    <w:t>序 号</w:t>
                  </w:r>
                </w:p>
              </w:tc>
              <w:tc>
                <w:tcPr>
                  <w:tcW w:w="232" w:type="pct"/>
                  <w:vMerge w:val="restart"/>
                  <w:tcBorders>
                    <w:tl2br w:val="nil"/>
                    <w:tr2bl w:val="nil"/>
                  </w:tcBorders>
                  <w:vAlign w:val="center"/>
                </w:tcPr>
                <w:p w14:paraId="4199F88C">
                  <w:pPr>
                    <w:autoSpaceDE w:val="0"/>
                    <w:autoSpaceDN w:val="0"/>
                    <w:jc w:val="center"/>
                    <w:rPr>
                      <w:rFonts w:hint="default" w:ascii="Times New Roman" w:hAnsi="Times New Roman" w:cs="Times New Roman"/>
                      <w:color w:val="FF0000"/>
                      <w:szCs w:val="21"/>
                      <w:lang w:eastAsia="en-US"/>
                    </w:rPr>
                  </w:pPr>
                </w:p>
                <w:p w14:paraId="4AE0F10B">
                  <w:pPr>
                    <w:autoSpaceDE w:val="0"/>
                    <w:autoSpaceDN w:val="0"/>
                    <w:jc w:val="center"/>
                    <w:rPr>
                      <w:rFonts w:hint="default" w:ascii="Times New Roman" w:hAnsi="Times New Roman" w:cs="Times New Roman"/>
                      <w:color w:val="FF0000"/>
                      <w:szCs w:val="21"/>
                      <w:lang w:eastAsia="en-US"/>
                    </w:rPr>
                  </w:pPr>
                  <w:r>
                    <w:rPr>
                      <w:rFonts w:hint="default" w:ascii="Times New Roman" w:hAnsi="Times New Roman" w:cs="Times New Roman"/>
                      <w:color w:val="FF0000"/>
                      <w:szCs w:val="21"/>
                      <w:lang w:eastAsia="en-US"/>
                    </w:rPr>
                    <w:t>建筑物 名称</w:t>
                  </w:r>
                </w:p>
              </w:tc>
              <w:tc>
                <w:tcPr>
                  <w:tcW w:w="765" w:type="pct"/>
                  <w:vMerge w:val="restart"/>
                  <w:tcBorders>
                    <w:tl2br w:val="nil"/>
                    <w:tr2bl w:val="nil"/>
                  </w:tcBorders>
                  <w:vAlign w:val="center"/>
                </w:tcPr>
                <w:p w14:paraId="328C1933">
                  <w:pPr>
                    <w:autoSpaceDE w:val="0"/>
                    <w:autoSpaceDN w:val="0"/>
                    <w:jc w:val="center"/>
                    <w:rPr>
                      <w:rFonts w:hint="default" w:ascii="Times New Roman" w:hAnsi="Times New Roman" w:cs="Times New Roman"/>
                      <w:color w:val="FF0000"/>
                      <w:szCs w:val="21"/>
                      <w:lang w:eastAsia="en-US"/>
                    </w:rPr>
                  </w:pPr>
                </w:p>
                <w:p w14:paraId="43AF8A13">
                  <w:pPr>
                    <w:autoSpaceDE w:val="0"/>
                    <w:autoSpaceDN w:val="0"/>
                    <w:jc w:val="center"/>
                    <w:rPr>
                      <w:rFonts w:hint="default" w:ascii="Times New Roman" w:hAnsi="Times New Roman" w:cs="Times New Roman"/>
                      <w:color w:val="FF0000"/>
                      <w:szCs w:val="21"/>
                      <w:lang w:eastAsia="en-US"/>
                    </w:rPr>
                  </w:pPr>
                  <w:r>
                    <w:rPr>
                      <w:rFonts w:hint="default" w:ascii="Times New Roman" w:hAnsi="Times New Roman" w:cs="Times New Roman"/>
                      <w:color w:val="FF0000"/>
                      <w:szCs w:val="21"/>
                      <w:lang w:eastAsia="en-US"/>
                    </w:rPr>
                    <w:t>声源名 称</w:t>
                  </w:r>
                </w:p>
              </w:tc>
              <w:tc>
                <w:tcPr>
                  <w:tcW w:w="844" w:type="pct"/>
                  <w:vMerge w:val="restart"/>
                  <w:tcBorders>
                    <w:tl2br w:val="nil"/>
                    <w:tr2bl w:val="nil"/>
                  </w:tcBorders>
                  <w:vAlign w:val="center"/>
                </w:tcPr>
                <w:p w14:paraId="4050DEDB">
                  <w:pPr>
                    <w:autoSpaceDE w:val="0"/>
                    <w:autoSpaceDN w:val="0"/>
                    <w:jc w:val="center"/>
                    <w:rPr>
                      <w:rFonts w:hint="default" w:ascii="Times New Roman" w:hAnsi="Times New Roman" w:cs="Times New Roman"/>
                      <w:color w:val="FF0000"/>
                      <w:szCs w:val="21"/>
                      <w:lang w:eastAsia="en-US"/>
                    </w:rPr>
                  </w:pPr>
                </w:p>
                <w:p w14:paraId="79825D3C">
                  <w:pPr>
                    <w:autoSpaceDE w:val="0"/>
                    <w:autoSpaceDN w:val="0"/>
                    <w:jc w:val="center"/>
                    <w:rPr>
                      <w:rFonts w:hint="default" w:ascii="Times New Roman" w:hAnsi="Times New Roman" w:cs="Times New Roman"/>
                      <w:color w:val="FF0000"/>
                      <w:szCs w:val="21"/>
                      <w:lang w:eastAsia="en-US"/>
                    </w:rPr>
                  </w:pPr>
                  <w:r>
                    <w:rPr>
                      <w:rFonts w:hint="default" w:ascii="Times New Roman" w:hAnsi="Times New Roman" w:cs="Times New Roman"/>
                      <w:color w:val="FF0000"/>
                      <w:szCs w:val="21"/>
                      <w:lang w:eastAsia="en-US"/>
                    </w:rPr>
                    <w:t>型号</w:t>
                  </w:r>
                </w:p>
              </w:tc>
              <w:tc>
                <w:tcPr>
                  <w:tcW w:w="365" w:type="pct"/>
                  <w:tcBorders>
                    <w:tl2br w:val="nil"/>
                    <w:tr2bl w:val="nil"/>
                  </w:tcBorders>
                  <w:vAlign w:val="center"/>
                </w:tcPr>
                <w:p w14:paraId="193FB34C">
                  <w:pPr>
                    <w:autoSpaceDE w:val="0"/>
                    <w:autoSpaceDN w:val="0"/>
                    <w:jc w:val="center"/>
                    <w:rPr>
                      <w:rFonts w:hint="default" w:ascii="Times New Roman" w:hAnsi="Times New Roman" w:cs="Times New Roman"/>
                      <w:color w:val="FF0000"/>
                      <w:szCs w:val="21"/>
                      <w:lang w:eastAsia="en-US"/>
                    </w:rPr>
                  </w:pPr>
                  <w:r>
                    <w:rPr>
                      <w:rFonts w:hint="default" w:ascii="Times New Roman" w:hAnsi="Times New Roman" w:cs="Times New Roman"/>
                      <w:color w:val="FF0000"/>
                      <w:szCs w:val="21"/>
                      <w:lang w:eastAsia="en-US"/>
                    </w:rPr>
                    <w:t>声源源强</w:t>
                  </w:r>
                </w:p>
              </w:tc>
              <w:tc>
                <w:tcPr>
                  <w:tcW w:w="272" w:type="pct"/>
                  <w:vMerge w:val="restart"/>
                  <w:tcBorders>
                    <w:tl2br w:val="nil"/>
                    <w:tr2bl w:val="nil"/>
                  </w:tcBorders>
                  <w:vAlign w:val="center"/>
                </w:tcPr>
                <w:p w14:paraId="3BCE1EAF">
                  <w:pPr>
                    <w:autoSpaceDE w:val="0"/>
                    <w:autoSpaceDN w:val="0"/>
                    <w:jc w:val="center"/>
                    <w:rPr>
                      <w:rFonts w:hint="default" w:ascii="Times New Roman" w:hAnsi="Times New Roman" w:cs="Times New Roman"/>
                      <w:color w:val="FF0000"/>
                      <w:szCs w:val="21"/>
                      <w:lang w:eastAsia="en-US"/>
                    </w:rPr>
                  </w:pPr>
                </w:p>
                <w:p w14:paraId="6D7C02A1">
                  <w:pPr>
                    <w:autoSpaceDE w:val="0"/>
                    <w:autoSpaceDN w:val="0"/>
                    <w:jc w:val="center"/>
                    <w:rPr>
                      <w:rFonts w:hint="default" w:ascii="Times New Roman" w:hAnsi="Times New Roman" w:cs="Times New Roman"/>
                      <w:color w:val="FF0000"/>
                      <w:szCs w:val="21"/>
                      <w:lang w:eastAsia="en-US"/>
                    </w:rPr>
                  </w:pPr>
                  <w:r>
                    <w:rPr>
                      <w:rFonts w:hint="default" w:ascii="Times New Roman" w:hAnsi="Times New Roman" w:cs="Times New Roman"/>
                      <w:color w:val="FF0000"/>
                      <w:szCs w:val="21"/>
                      <w:lang w:eastAsia="en-US"/>
                    </w:rPr>
                    <w:t>声源控 制措施</w:t>
                  </w:r>
                </w:p>
              </w:tc>
              <w:tc>
                <w:tcPr>
                  <w:tcW w:w="583" w:type="pct"/>
                  <w:gridSpan w:val="3"/>
                  <w:tcBorders>
                    <w:tl2br w:val="nil"/>
                    <w:tr2bl w:val="nil"/>
                  </w:tcBorders>
                  <w:vAlign w:val="center"/>
                </w:tcPr>
                <w:p w14:paraId="497DB946">
                  <w:pPr>
                    <w:autoSpaceDE w:val="0"/>
                    <w:autoSpaceDN w:val="0"/>
                    <w:jc w:val="center"/>
                    <w:rPr>
                      <w:rFonts w:hint="default" w:ascii="Times New Roman" w:hAnsi="Times New Roman" w:cs="Times New Roman"/>
                      <w:color w:val="FF0000"/>
                      <w:szCs w:val="21"/>
                      <w:lang w:eastAsia="en-US"/>
                    </w:rPr>
                  </w:pPr>
                  <w:r>
                    <w:rPr>
                      <w:rFonts w:hint="default" w:ascii="Times New Roman" w:hAnsi="Times New Roman" w:cs="Times New Roman"/>
                      <w:color w:val="FF0000"/>
                      <w:szCs w:val="21"/>
                      <w:lang w:eastAsia="en-US"/>
                    </w:rPr>
                    <w:t>空间相对位置/m</w:t>
                  </w:r>
                </w:p>
              </w:tc>
              <w:tc>
                <w:tcPr>
                  <w:tcW w:w="330" w:type="pct"/>
                  <w:vMerge w:val="restart"/>
                  <w:tcBorders>
                    <w:tl2br w:val="nil"/>
                    <w:tr2bl w:val="nil"/>
                  </w:tcBorders>
                  <w:vAlign w:val="center"/>
                </w:tcPr>
                <w:p w14:paraId="773983B9">
                  <w:pPr>
                    <w:autoSpaceDE w:val="0"/>
                    <w:autoSpaceDN w:val="0"/>
                    <w:jc w:val="center"/>
                    <w:rPr>
                      <w:rFonts w:hint="default" w:ascii="Times New Roman" w:hAnsi="Times New Roman" w:cs="Times New Roman"/>
                      <w:color w:val="FF0000"/>
                      <w:szCs w:val="21"/>
                      <w:lang w:eastAsia="en-US"/>
                    </w:rPr>
                  </w:pPr>
                </w:p>
                <w:p w14:paraId="747F537B">
                  <w:pPr>
                    <w:autoSpaceDE w:val="0"/>
                    <w:autoSpaceDN w:val="0"/>
                    <w:jc w:val="center"/>
                    <w:rPr>
                      <w:rFonts w:hint="default" w:ascii="Times New Roman" w:hAnsi="Times New Roman" w:cs="Times New Roman"/>
                      <w:color w:val="FF0000"/>
                      <w:szCs w:val="21"/>
                      <w:lang w:eastAsia="en-US"/>
                    </w:rPr>
                  </w:pPr>
                  <w:r>
                    <w:rPr>
                      <w:rFonts w:hint="default" w:ascii="Times New Roman" w:hAnsi="Times New Roman" w:cs="Times New Roman"/>
                      <w:color w:val="FF0000"/>
                      <w:szCs w:val="21"/>
                      <w:lang w:eastAsia="en-US"/>
                    </w:rPr>
                    <w:t>距室内边 界距离/m</w:t>
                  </w:r>
                </w:p>
              </w:tc>
              <w:tc>
                <w:tcPr>
                  <w:tcW w:w="355" w:type="pct"/>
                  <w:vMerge w:val="restart"/>
                  <w:tcBorders>
                    <w:tl2br w:val="nil"/>
                    <w:tr2bl w:val="nil"/>
                  </w:tcBorders>
                  <w:vAlign w:val="center"/>
                </w:tcPr>
                <w:p w14:paraId="53B27883">
                  <w:pPr>
                    <w:autoSpaceDE w:val="0"/>
                    <w:autoSpaceDN w:val="0"/>
                    <w:jc w:val="center"/>
                    <w:rPr>
                      <w:rFonts w:hint="default" w:ascii="Times New Roman" w:hAnsi="Times New Roman" w:cs="Times New Roman"/>
                      <w:color w:val="FF0000"/>
                      <w:szCs w:val="21"/>
                      <w:lang w:eastAsia="en-US"/>
                    </w:rPr>
                  </w:pPr>
                  <w:r>
                    <w:rPr>
                      <w:rFonts w:hint="default" w:ascii="Times New Roman" w:hAnsi="Times New Roman" w:cs="Times New Roman"/>
                      <w:color w:val="FF0000"/>
                      <w:szCs w:val="21"/>
                      <w:lang w:eastAsia="en-US"/>
                    </w:rPr>
                    <w:t>室内边界</w:t>
                  </w:r>
                </w:p>
                <w:p w14:paraId="00C629E9">
                  <w:pPr>
                    <w:autoSpaceDE w:val="0"/>
                    <w:autoSpaceDN w:val="0"/>
                    <w:jc w:val="center"/>
                    <w:rPr>
                      <w:rFonts w:hint="default" w:ascii="Times New Roman" w:hAnsi="Times New Roman" w:cs="Times New Roman"/>
                      <w:color w:val="FF0000"/>
                      <w:szCs w:val="21"/>
                      <w:lang w:eastAsia="en-US"/>
                    </w:rPr>
                  </w:pPr>
                  <w:r>
                    <w:rPr>
                      <w:rFonts w:hint="default" w:ascii="Times New Roman" w:hAnsi="Times New Roman" w:cs="Times New Roman"/>
                      <w:color w:val="FF0000"/>
                      <w:szCs w:val="21"/>
                      <w:lang w:eastAsia="en-US"/>
                    </w:rPr>
                    <w:t>声级</w:t>
                  </w:r>
                </w:p>
                <w:p w14:paraId="4D428DD6">
                  <w:pPr>
                    <w:autoSpaceDE w:val="0"/>
                    <w:autoSpaceDN w:val="0"/>
                    <w:jc w:val="center"/>
                    <w:rPr>
                      <w:rFonts w:hint="default" w:ascii="Times New Roman" w:hAnsi="Times New Roman" w:cs="Times New Roman"/>
                      <w:color w:val="FF0000"/>
                      <w:szCs w:val="21"/>
                      <w:lang w:eastAsia="en-US"/>
                    </w:rPr>
                  </w:pPr>
                  <w:r>
                    <w:rPr>
                      <w:rFonts w:hint="default" w:ascii="Times New Roman" w:hAnsi="Times New Roman" w:cs="Times New Roman"/>
                      <w:color w:val="FF0000"/>
                      <w:szCs w:val="21"/>
                      <w:lang w:eastAsia="en-US"/>
                    </w:rPr>
                    <w:t>/dB(A)</w:t>
                  </w:r>
                </w:p>
              </w:tc>
              <w:tc>
                <w:tcPr>
                  <w:tcW w:w="252" w:type="pct"/>
                  <w:vMerge w:val="restart"/>
                  <w:tcBorders>
                    <w:tl2br w:val="nil"/>
                    <w:tr2bl w:val="nil"/>
                  </w:tcBorders>
                  <w:vAlign w:val="center"/>
                </w:tcPr>
                <w:p w14:paraId="0D481B72">
                  <w:pPr>
                    <w:autoSpaceDE w:val="0"/>
                    <w:autoSpaceDN w:val="0"/>
                    <w:jc w:val="center"/>
                    <w:rPr>
                      <w:rFonts w:hint="default" w:ascii="Times New Roman" w:hAnsi="Times New Roman" w:cs="Times New Roman"/>
                      <w:color w:val="FF0000"/>
                      <w:szCs w:val="21"/>
                      <w:lang w:eastAsia="en-US"/>
                    </w:rPr>
                  </w:pPr>
                </w:p>
                <w:p w14:paraId="2251950B">
                  <w:pPr>
                    <w:autoSpaceDE w:val="0"/>
                    <w:autoSpaceDN w:val="0"/>
                    <w:jc w:val="center"/>
                    <w:rPr>
                      <w:rFonts w:hint="default" w:ascii="Times New Roman" w:hAnsi="Times New Roman" w:cs="Times New Roman"/>
                      <w:color w:val="FF0000"/>
                      <w:szCs w:val="21"/>
                      <w:lang w:eastAsia="en-US"/>
                    </w:rPr>
                  </w:pPr>
                  <w:r>
                    <w:rPr>
                      <w:rFonts w:hint="default" w:ascii="Times New Roman" w:hAnsi="Times New Roman" w:cs="Times New Roman"/>
                      <w:color w:val="FF0000"/>
                      <w:szCs w:val="21"/>
                      <w:lang w:eastAsia="en-US"/>
                    </w:rPr>
                    <w:t>运行时 段</w:t>
                  </w:r>
                </w:p>
              </w:tc>
              <w:tc>
                <w:tcPr>
                  <w:tcW w:w="321" w:type="pct"/>
                  <w:vMerge w:val="restart"/>
                  <w:tcBorders>
                    <w:tl2br w:val="nil"/>
                    <w:tr2bl w:val="nil"/>
                  </w:tcBorders>
                  <w:vAlign w:val="center"/>
                </w:tcPr>
                <w:p w14:paraId="2ECF9C6A">
                  <w:pPr>
                    <w:autoSpaceDE w:val="0"/>
                    <w:autoSpaceDN w:val="0"/>
                    <w:jc w:val="center"/>
                    <w:rPr>
                      <w:rFonts w:hint="default" w:ascii="Times New Roman" w:hAnsi="Times New Roman" w:cs="Times New Roman"/>
                      <w:color w:val="FF0000"/>
                      <w:szCs w:val="21"/>
                      <w:lang w:eastAsia="en-US"/>
                    </w:rPr>
                  </w:pPr>
                  <w:r>
                    <w:rPr>
                      <w:rFonts w:hint="default" w:ascii="Times New Roman" w:hAnsi="Times New Roman" w:cs="Times New Roman"/>
                      <w:color w:val="FF0000"/>
                      <w:szCs w:val="21"/>
                      <w:lang w:eastAsia="en-US"/>
                    </w:rPr>
                    <w:t>建筑物</w:t>
                  </w:r>
                </w:p>
                <w:p w14:paraId="6DB06B0B">
                  <w:pPr>
                    <w:autoSpaceDE w:val="0"/>
                    <w:autoSpaceDN w:val="0"/>
                    <w:jc w:val="center"/>
                    <w:rPr>
                      <w:rFonts w:hint="default" w:ascii="Times New Roman" w:hAnsi="Times New Roman" w:cs="Times New Roman"/>
                      <w:color w:val="FF0000"/>
                      <w:szCs w:val="21"/>
                      <w:lang w:eastAsia="en-US"/>
                    </w:rPr>
                  </w:pPr>
                  <w:r>
                    <w:rPr>
                      <w:rFonts w:hint="default" w:ascii="Times New Roman" w:hAnsi="Times New Roman" w:cs="Times New Roman"/>
                      <w:color w:val="FF0000"/>
                      <w:szCs w:val="21"/>
                      <w:lang w:eastAsia="en-US"/>
                    </w:rPr>
                    <w:t>插入损</w:t>
                  </w:r>
                </w:p>
                <w:p w14:paraId="24076B5A">
                  <w:pPr>
                    <w:autoSpaceDE w:val="0"/>
                    <w:autoSpaceDN w:val="0"/>
                    <w:jc w:val="center"/>
                    <w:rPr>
                      <w:rFonts w:hint="default" w:ascii="Times New Roman" w:hAnsi="Times New Roman" w:cs="Times New Roman"/>
                      <w:color w:val="FF0000"/>
                      <w:szCs w:val="21"/>
                      <w:lang w:eastAsia="en-US"/>
                    </w:rPr>
                  </w:pPr>
                  <w:r>
                    <w:rPr>
                      <w:rFonts w:hint="default" w:ascii="Times New Roman" w:hAnsi="Times New Roman" w:cs="Times New Roman"/>
                      <w:color w:val="FF0000"/>
                      <w:szCs w:val="21"/>
                      <w:lang w:eastAsia="en-US"/>
                    </w:rPr>
                    <w:t>失/</w:t>
                  </w:r>
                </w:p>
                <w:p w14:paraId="4BAE13F7">
                  <w:pPr>
                    <w:autoSpaceDE w:val="0"/>
                    <w:autoSpaceDN w:val="0"/>
                    <w:jc w:val="center"/>
                    <w:rPr>
                      <w:rFonts w:hint="default" w:ascii="Times New Roman" w:hAnsi="Times New Roman" w:cs="Times New Roman"/>
                      <w:color w:val="FF0000"/>
                      <w:szCs w:val="21"/>
                      <w:lang w:eastAsia="en-US"/>
                    </w:rPr>
                  </w:pPr>
                  <w:r>
                    <w:rPr>
                      <w:rFonts w:hint="default" w:ascii="Times New Roman" w:hAnsi="Times New Roman" w:cs="Times New Roman"/>
                      <w:color w:val="FF0000"/>
                      <w:szCs w:val="21"/>
                      <w:lang w:eastAsia="en-US"/>
                    </w:rPr>
                    <w:t>dB(A)</w:t>
                  </w:r>
                </w:p>
              </w:tc>
              <w:tc>
                <w:tcPr>
                  <w:tcW w:w="504" w:type="pct"/>
                  <w:gridSpan w:val="2"/>
                  <w:tcBorders>
                    <w:tl2br w:val="nil"/>
                    <w:tr2bl w:val="nil"/>
                  </w:tcBorders>
                  <w:vAlign w:val="center"/>
                </w:tcPr>
                <w:p w14:paraId="7040D460">
                  <w:pPr>
                    <w:autoSpaceDE w:val="0"/>
                    <w:autoSpaceDN w:val="0"/>
                    <w:jc w:val="center"/>
                    <w:rPr>
                      <w:rFonts w:hint="default" w:ascii="Times New Roman" w:hAnsi="Times New Roman" w:cs="Times New Roman"/>
                      <w:color w:val="FF0000"/>
                      <w:szCs w:val="21"/>
                      <w:lang w:eastAsia="en-US"/>
                    </w:rPr>
                  </w:pPr>
                  <w:r>
                    <w:rPr>
                      <w:rFonts w:hint="default" w:ascii="Times New Roman" w:hAnsi="Times New Roman" w:cs="Times New Roman"/>
                      <w:color w:val="FF0000"/>
                      <w:szCs w:val="21"/>
                      <w:lang w:eastAsia="en-US"/>
                    </w:rPr>
                    <w:t>建筑物外噪声</w:t>
                  </w:r>
                </w:p>
              </w:tc>
            </w:tr>
            <w:tr w14:paraId="2094C80A">
              <w:tblPrEx>
                <w:tblBorders>
                  <w:top w:val="double" w:color="000000" w:sz="4" w:space="0"/>
                  <w:left w:val="none" w:color="auto" w:sz="0" w:space="0"/>
                  <w:bottom w:val="double" w:color="000000" w:sz="4"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1087" w:hRule="atLeast"/>
              </w:trPr>
              <w:tc>
                <w:tcPr>
                  <w:tcW w:w="172" w:type="pct"/>
                  <w:vMerge w:val="continue"/>
                  <w:tcBorders>
                    <w:tl2br w:val="nil"/>
                    <w:tr2bl w:val="nil"/>
                  </w:tcBorders>
                  <w:textDirection w:val="tbRlV"/>
                  <w:vAlign w:val="center"/>
                </w:tcPr>
                <w:p w14:paraId="30C5F483">
                  <w:pPr>
                    <w:autoSpaceDE w:val="0"/>
                    <w:autoSpaceDN w:val="0"/>
                    <w:jc w:val="center"/>
                    <w:rPr>
                      <w:rFonts w:hint="default" w:ascii="Times New Roman" w:hAnsi="Times New Roman" w:cs="Times New Roman"/>
                      <w:color w:val="FF0000"/>
                      <w:szCs w:val="21"/>
                      <w:lang w:eastAsia="en-US"/>
                    </w:rPr>
                  </w:pPr>
                </w:p>
              </w:tc>
              <w:tc>
                <w:tcPr>
                  <w:tcW w:w="232" w:type="pct"/>
                  <w:vMerge w:val="continue"/>
                  <w:tcBorders>
                    <w:tl2br w:val="nil"/>
                    <w:tr2bl w:val="nil"/>
                  </w:tcBorders>
                  <w:vAlign w:val="center"/>
                </w:tcPr>
                <w:p w14:paraId="35421D1C">
                  <w:pPr>
                    <w:autoSpaceDE w:val="0"/>
                    <w:autoSpaceDN w:val="0"/>
                    <w:jc w:val="center"/>
                    <w:rPr>
                      <w:rFonts w:hint="default" w:ascii="Times New Roman" w:hAnsi="Times New Roman" w:cs="Times New Roman"/>
                      <w:color w:val="FF0000"/>
                      <w:szCs w:val="21"/>
                      <w:lang w:eastAsia="en-US"/>
                    </w:rPr>
                  </w:pPr>
                </w:p>
              </w:tc>
              <w:tc>
                <w:tcPr>
                  <w:tcW w:w="765" w:type="pct"/>
                  <w:vMerge w:val="continue"/>
                  <w:tcBorders>
                    <w:tl2br w:val="nil"/>
                    <w:tr2bl w:val="nil"/>
                  </w:tcBorders>
                  <w:vAlign w:val="center"/>
                </w:tcPr>
                <w:p w14:paraId="44638BA5">
                  <w:pPr>
                    <w:autoSpaceDE w:val="0"/>
                    <w:autoSpaceDN w:val="0"/>
                    <w:jc w:val="center"/>
                    <w:rPr>
                      <w:rFonts w:hint="default" w:ascii="Times New Roman" w:hAnsi="Times New Roman" w:cs="Times New Roman"/>
                      <w:color w:val="FF0000"/>
                      <w:szCs w:val="21"/>
                      <w:lang w:eastAsia="en-US"/>
                    </w:rPr>
                  </w:pPr>
                </w:p>
              </w:tc>
              <w:tc>
                <w:tcPr>
                  <w:tcW w:w="844" w:type="pct"/>
                  <w:vMerge w:val="continue"/>
                  <w:tcBorders>
                    <w:tl2br w:val="nil"/>
                    <w:tr2bl w:val="nil"/>
                  </w:tcBorders>
                  <w:vAlign w:val="center"/>
                </w:tcPr>
                <w:p w14:paraId="39F115EE">
                  <w:pPr>
                    <w:autoSpaceDE w:val="0"/>
                    <w:autoSpaceDN w:val="0"/>
                    <w:jc w:val="center"/>
                    <w:rPr>
                      <w:rFonts w:hint="default" w:ascii="Times New Roman" w:hAnsi="Times New Roman" w:cs="Times New Roman"/>
                      <w:color w:val="FF0000"/>
                      <w:szCs w:val="21"/>
                      <w:lang w:eastAsia="en-US"/>
                    </w:rPr>
                  </w:pPr>
                </w:p>
              </w:tc>
              <w:tc>
                <w:tcPr>
                  <w:tcW w:w="365" w:type="pct"/>
                  <w:tcBorders>
                    <w:tl2br w:val="nil"/>
                    <w:tr2bl w:val="nil"/>
                  </w:tcBorders>
                  <w:vAlign w:val="center"/>
                </w:tcPr>
                <w:p w14:paraId="70E30EE5">
                  <w:pPr>
                    <w:autoSpaceDE w:val="0"/>
                    <w:autoSpaceDN w:val="0"/>
                    <w:jc w:val="center"/>
                    <w:rPr>
                      <w:rFonts w:hint="default" w:ascii="Times New Roman" w:hAnsi="Times New Roman" w:cs="Times New Roman"/>
                      <w:color w:val="FF0000"/>
                      <w:szCs w:val="21"/>
                      <w:lang w:eastAsia="en-US"/>
                    </w:rPr>
                  </w:pPr>
                  <w:r>
                    <w:rPr>
                      <w:rFonts w:hint="default" w:ascii="Times New Roman" w:hAnsi="Times New Roman" w:cs="Times New Roman"/>
                      <w:color w:val="FF0000"/>
                      <w:szCs w:val="21"/>
                      <w:lang w:eastAsia="en-US"/>
                    </w:rPr>
                    <w:t>声功率级</w:t>
                  </w:r>
                </w:p>
                <w:p w14:paraId="51BF5350">
                  <w:pPr>
                    <w:autoSpaceDE w:val="0"/>
                    <w:autoSpaceDN w:val="0"/>
                    <w:jc w:val="center"/>
                    <w:rPr>
                      <w:rFonts w:hint="default" w:ascii="Times New Roman" w:hAnsi="Times New Roman" w:cs="Times New Roman"/>
                      <w:color w:val="FF0000"/>
                      <w:szCs w:val="21"/>
                      <w:lang w:eastAsia="en-US"/>
                    </w:rPr>
                  </w:pPr>
                  <w:r>
                    <w:rPr>
                      <w:rFonts w:hint="default" w:ascii="Times New Roman" w:hAnsi="Times New Roman" w:cs="Times New Roman"/>
                      <w:color w:val="FF0000"/>
                      <w:szCs w:val="21"/>
                      <w:lang w:eastAsia="en-US"/>
                    </w:rPr>
                    <w:t>/dB(A)</w:t>
                  </w:r>
                </w:p>
              </w:tc>
              <w:tc>
                <w:tcPr>
                  <w:tcW w:w="272" w:type="pct"/>
                  <w:vMerge w:val="continue"/>
                  <w:tcBorders>
                    <w:tl2br w:val="nil"/>
                    <w:tr2bl w:val="nil"/>
                  </w:tcBorders>
                  <w:vAlign w:val="center"/>
                </w:tcPr>
                <w:p w14:paraId="33EC0219">
                  <w:pPr>
                    <w:autoSpaceDE w:val="0"/>
                    <w:autoSpaceDN w:val="0"/>
                    <w:jc w:val="center"/>
                    <w:rPr>
                      <w:rFonts w:hint="default" w:ascii="Times New Roman" w:hAnsi="Times New Roman" w:cs="Times New Roman"/>
                      <w:color w:val="FF0000"/>
                      <w:szCs w:val="21"/>
                      <w:lang w:eastAsia="en-US"/>
                    </w:rPr>
                  </w:pPr>
                </w:p>
              </w:tc>
              <w:tc>
                <w:tcPr>
                  <w:tcW w:w="169" w:type="pct"/>
                  <w:tcBorders>
                    <w:tl2br w:val="nil"/>
                    <w:tr2bl w:val="nil"/>
                  </w:tcBorders>
                  <w:vAlign w:val="center"/>
                </w:tcPr>
                <w:p w14:paraId="0019515A">
                  <w:pPr>
                    <w:autoSpaceDE w:val="0"/>
                    <w:autoSpaceDN w:val="0"/>
                    <w:jc w:val="center"/>
                    <w:rPr>
                      <w:rFonts w:hint="default" w:ascii="Times New Roman" w:hAnsi="Times New Roman" w:cs="Times New Roman"/>
                      <w:color w:val="FF0000"/>
                      <w:szCs w:val="21"/>
                      <w:lang w:eastAsia="en-US"/>
                    </w:rPr>
                  </w:pPr>
                  <w:r>
                    <w:rPr>
                      <w:rFonts w:hint="default" w:ascii="Times New Roman" w:hAnsi="Times New Roman" w:cs="Times New Roman"/>
                      <w:color w:val="FF0000"/>
                      <w:szCs w:val="21"/>
                      <w:lang w:eastAsia="en-US"/>
                    </w:rPr>
                    <w:t>X</w:t>
                  </w:r>
                </w:p>
              </w:tc>
              <w:tc>
                <w:tcPr>
                  <w:tcW w:w="199" w:type="pct"/>
                  <w:tcBorders>
                    <w:tl2br w:val="nil"/>
                    <w:tr2bl w:val="nil"/>
                  </w:tcBorders>
                  <w:vAlign w:val="center"/>
                </w:tcPr>
                <w:p w14:paraId="66529C1F">
                  <w:pPr>
                    <w:autoSpaceDE w:val="0"/>
                    <w:autoSpaceDN w:val="0"/>
                    <w:jc w:val="center"/>
                    <w:rPr>
                      <w:rFonts w:hint="default" w:ascii="Times New Roman" w:hAnsi="Times New Roman" w:cs="Times New Roman"/>
                      <w:color w:val="FF0000"/>
                      <w:szCs w:val="21"/>
                      <w:lang w:eastAsia="en-US"/>
                    </w:rPr>
                  </w:pPr>
                  <w:r>
                    <w:rPr>
                      <w:rFonts w:hint="default" w:ascii="Times New Roman" w:hAnsi="Times New Roman" w:cs="Times New Roman"/>
                      <w:color w:val="FF0000"/>
                      <w:szCs w:val="21"/>
                      <w:lang w:eastAsia="en-US"/>
                    </w:rPr>
                    <w:t>Y</w:t>
                  </w:r>
                </w:p>
              </w:tc>
              <w:tc>
                <w:tcPr>
                  <w:tcW w:w="215" w:type="pct"/>
                  <w:tcBorders>
                    <w:tl2br w:val="nil"/>
                    <w:tr2bl w:val="nil"/>
                  </w:tcBorders>
                  <w:vAlign w:val="center"/>
                </w:tcPr>
                <w:p w14:paraId="0A3C3479">
                  <w:pPr>
                    <w:autoSpaceDE w:val="0"/>
                    <w:autoSpaceDN w:val="0"/>
                    <w:jc w:val="center"/>
                    <w:rPr>
                      <w:rFonts w:hint="default" w:ascii="Times New Roman" w:hAnsi="Times New Roman" w:cs="Times New Roman"/>
                      <w:color w:val="FF0000"/>
                      <w:szCs w:val="21"/>
                      <w:lang w:eastAsia="en-US"/>
                    </w:rPr>
                  </w:pPr>
                  <w:r>
                    <w:rPr>
                      <w:rFonts w:hint="default" w:ascii="Times New Roman" w:hAnsi="Times New Roman" w:cs="Times New Roman"/>
                      <w:color w:val="FF0000"/>
                      <w:szCs w:val="21"/>
                      <w:lang w:eastAsia="en-US"/>
                    </w:rPr>
                    <w:t>Z</w:t>
                  </w:r>
                </w:p>
              </w:tc>
              <w:tc>
                <w:tcPr>
                  <w:tcW w:w="330" w:type="pct"/>
                  <w:vMerge w:val="continue"/>
                  <w:tcBorders>
                    <w:tl2br w:val="nil"/>
                    <w:tr2bl w:val="nil"/>
                  </w:tcBorders>
                  <w:vAlign w:val="center"/>
                </w:tcPr>
                <w:p w14:paraId="42B5B397">
                  <w:pPr>
                    <w:autoSpaceDE w:val="0"/>
                    <w:autoSpaceDN w:val="0"/>
                    <w:jc w:val="center"/>
                    <w:rPr>
                      <w:rFonts w:hint="default" w:ascii="Times New Roman" w:hAnsi="Times New Roman" w:cs="Times New Roman"/>
                      <w:color w:val="FF0000"/>
                      <w:szCs w:val="21"/>
                      <w:lang w:eastAsia="en-US"/>
                    </w:rPr>
                  </w:pPr>
                </w:p>
              </w:tc>
              <w:tc>
                <w:tcPr>
                  <w:tcW w:w="355" w:type="pct"/>
                  <w:vMerge w:val="continue"/>
                  <w:tcBorders>
                    <w:tl2br w:val="nil"/>
                    <w:tr2bl w:val="nil"/>
                  </w:tcBorders>
                  <w:vAlign w:val="center"/>
                </w:tcPr>
                <w:p w14:paraId="4FB77315">
                  <w:pPr>
                    <w:autoSpaceDE w:val="0"/>
                    <w:autoSpaceDN w:val="0"/>
                    <w:jc w:val="center"/>
                    <w:rPr>
                      <w:rFonts w:hint="default" w:ascii="Times New Roman" w:hAnsi="Times New Roman" w:cs="Times New Roman"/>
                      <w:color w:val="FF0000"/>
                      <w:szCs w:val="21"/>
                      <w:lang w:eastAsia="en-US"/>
                    </w:rPr>
                  </w:pPr>
                </w:p>
              </w:tc>
              <w:tc>
                <w:tcPr>
                  <w:tcW w:w="252" w:type="pct"/>
                  <w:vMerge w:val="continue"/>
                  <w:tcBorders>
                    <w:tl2br w:val="nil"/>
                    <w:tr2bl w:val="nil"/>
                  </w:tcBorders>
                  <w:vAlign w:val="center"/>
                </w:tcPr>
                <w:p w14:paraId="4BC6D48E">
                  <w:pPr>
                    <w:autoSpaceDE w:val="0"/>
                    <w:autoSpaceDN w:val="0"/>
                    <w:jc w:val="center"/>
                    <w:rPr>
                      <w:rFonts w:hint="default" w:ascii="Times New Roman" w:hAnsi="Times New Roman" w:cs="Times New Roman"/>
                      <w:color w:val="FF0000"/>
                      <w:szCs w:val="21"/>
                      <w:lang w:eastAsia="en-US"/>
                    </w:rPr>
                  </w:pPr>
                </w:p>
              </w:tc>
              <w:tc>
                <w:tcPr>
                  <w:tcW w:w="321" w:type="pct"/>
                  <w:vMerge w:val="continue"/>
                  <w:tcBorders>
                    <w:tl2br w:val="nil"/>
                    <w:tr2bl w:val="nil"/>
                  </w:tcBorders>
                  <w:vAlign w:val="center"/>
                </w:tcPr>
                <w:p w14:paraId="25D522F4">
                  <w:pPr>
                    <w:autoSpaceDE w:val="0"/>
                    <w:autoSpaceDN w:val="0"/>
                    <w:jc w:val="center"/>
                    <w:rPr>
                      <w:rFonts w:hint="default" w:ascii="Times New Roman" w:hAnsi="Times New Roman" w:cs="Times New Roman"/>
                      <w:color w:val="FF0000"/>
                      <w:szCs w:val="21"/>
                      <w:lang w:eastAsia="en-US"/>
                    </w:rPr>
                  </w:pPr>
                </w:p>
              </w:tc>
              <w:tc>
                <w:tcPr>
                  <w:tcW w:w="355" w:type="pct"/>
                  <w:tcBorders>
                    <w:tl2br w:val="nil"/>
                    <w:tr2bl w:val="nil"/>
                  </w:tcBorders>
                  <w:vAlign w:val="center"/>
                </w:tcPr>
                <w:p w14:paraId="7CAABC89">
                  <w:pPr>
                    <w:autoSpaceDE w:val="0"/>
                    <w:autoSpaceDN w:val="0"/>
                    <w:jc w:val="center"/>
                    <w:rPr>
                      <w:rFonts w:hint="default" w:ascii="Times New Roman" w:hAnsi="Times New Roman" w:cs="Times New Roman"/>
                      <w:color w:val="FF0000"/>
                      <w:szCs w:val="21"/>
                      <w:lang w:eastAsia="en-US"/>
                    </w:rPr>
                  </w:pPr>
                  <w:r>
                    <w:rPr>
                      <w:rFonts w:hint="default" w:ascii="Times New Roman" w:hAnsi="Times New Roman" w:cs="Times New Roman"/>
                      <w:color w:val="FF0000"/>
                      <w:szCs w:val="21"/>
                      <w:lang w:eastAsia="en-US"/>
                    </w:rPr>
                    <w:t>声压级 /dB(A)</w:t>
                  </w:r>
                </w:p>
              </w:tc>
              <w:tc>
                <w:tcPr>
                  <w:tcW w:w="149" w:type="pct"/>
                  <w:tcBorders>
                    <w:tl2br w:val="nil"/>
                    <w:tr2bl w:val="nil"/>
                  </w:tcBorders>
                  <w:vAlign w:val="center"/>
                </w:tcPr>
                <w:p w14:paraId="3D0FC211">
                  <w:pPr>
                    <w:autoSpaceDE w:val="0"/>
                    <w:autoSpaceDN w:val="0"/>
                    <w:jc w:val="center"/>
                    <w:rPr>
                      <w:rFonts w:hint="default" w:ascii="Times New Roman" w:hAnsi="Times New Roman" w:cs="Times New Roman"/>
                      <w:color w:val="FF0000"/>
                      <w:szCs w:val="21"/>
                      <w:lang w:eastAsia="en-US"/>
                    </w:rPr>
                  </w:pPr>
                  <w:r>
                    <w:rPr>
                      <w:rFonts w:hint="default" w:ascii="Times New Roman" w:hAnsi="Times New Roman" w:cs="Times New Roman"/>
                      <w:color w:val="FF0000"/>
                      <w:szCs w:val="21"/>
                      <w:lang w:eastAsia="en-US"/>
                    </w:rPr>
                    <w:t>建筑物 外距离</w:t>
                  </w:r>
                </w:p>
              </w:tc>
            </w:tr>
            <w:tr w14:paraId="341B7F19">
              <w:tblPrEx>
                <w:tblBorders>
                  <w:top w:val="double" w:color="000000" w:sz="4" w:space="0"/>
                  <w:left w:val="none" w:color="auto" w:sz="0" w:space="0"/>
                  <w:bottom w:val="double" w:color="000000" w:sz="4"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90" w:hRule="atLeast"/>
              </w:trPr>
              <w:tc>
                <w:tcPr>
                  <w:tcW w:w="172" w:type="pct"/>
                  <w:vMerge w:val="restart"/>
                  <w:tcBorders>
                    <w:tl2br w:val="nil"/>
                    <w:tr2bl w:val="nil"/>
                  </w:tcBorders>
                  <w:vAlign w:val="center"/>
                </w:tcPr>
                <w:p w14:paraId="06CAF483">
                  <w:pPr>
                    <w:pStyle w:val="129"/>
                    <w:widowControl w:val="0"/>
                    <w:autoSpaceDE/>
                    <w:autoSpaceDN/>
                    <w:rPr>
                      <w:rFonts w:hint="default" w:ascii="Times New Roman" w:hAnsi="Times New Roman" w:cs="Times New Roman"/>
                      <w:color w:val="FF0000"/>
                      <w:sz w:val="18"/>
                      <w:szCs w:val="18"/>
                      <w:lang w:eastAsia="en-US"/>
                    </w:rPr>
                  </w:pPr>
                  <w:r>
                    <w:rPr>
                      <w:rFonts w:hint="default" w:ascii="Times New Roman" w:hAnsi="Times New Roman" w:cs="Times New Roman"/>
                      <w:color w:val="FF0000"/>
                      <w:sz w:val="18"/>
                      <w:szCs w:val="18"/>
                      <w:lang w:eastAsia="en-US"/>
                    </w:rPr>
                    <w:t>1</w:t>
                  </w:r>
                </w:p>
              </w:tc>
              <w:tc>
                <w:tcPr>
                  <w:tcW w:w="232" w:type="pct"/>
                  <w:vMerge w:val="restart"/>
                  <w:tcBorders>
                    <w:tl2br w:val="nil"/>
                    <w:tr2bl w:val="nil"/>
                  </w:tcBorders>
                  <w:vAlign w:val="center"/>
                </w:tcPr>
                <w:p w14:paraId="33130701">
                  <w:pPr>
                    <w:pStyle w:val="129"/>
                    <w:widowControl w:val="0"/>
                    <w:autoSpaceDE/>
                    <w:autoSpaceDN/>
                    <w:rPr>
                      <w:rFonts w:hint="default" w:ascii="Times New Roman" w:hAnsi="Times New Roman" w:cs="Times New Roman"/>
                      <w:color w:val="FF0000"/>
                      <w:sz w:val="18"/>
                      <w:szCs w:val="18"/>
                      <w:lang w:eastAsia="en-US"/>
                    </w:rPr>
                  </w:pPr>
                  <w:r>
                    <w:rPr>
                      <w:rFonts w:hint="default" w:ascii="Times New Roman" w:hAnsi="Times New Roman" w:cs="Times New Roman"/>
                      <w:color w:val="FF0000"/>
                      <w:sz w:val="18"/>
                      <w:szCs w:val="18"/>
                      <w:lang w:eastAsia="en-US"/>
                    </w:rPr>
                    <w:t>1#生产车间</w:t>
                  </w:r>
                </w:p>
              </w:tc>
              <w:tc>
                <w:tcPr>
                  <w:tcW w:w="765" w:type="pct"/>
                  <w:tcBorders>
                    <w:tl2br w:val="nil"/>
                    <w:tr2bl w:val="nil"/>
                  </w:tcBorders>
                  <w:shd w:val="clear" w:color="auto" w:fill="auto"/>
                  <w:vAlign w:val="center"/>
                </w:tcPr>
                <w:p w14:paraId="7C007ACA">
                  <w:pPr>
                    <w:pStyle w:val="129"/>
                    <w:widowControl w:val="0"/>
                    <w:autoSpaceDE/>
                    <w:autoSpaceDN/>
                    <w:rPr>
                      <w:rFonts w:hint="default" w:ascii="Times New Roman" w:hAnsi="Times New Roman" w:cs="Times New Roman"/>
                      <w:color w:val="FF0000"/>
                      <w:sz w:val="18"/>
                      <w:szCs w:val="18"/>
                      <w:lang w:eastAsia="en-US"/>
                    </w:rPr>
                  </w:pPr>
                  <w:r>
                    <w:rPr>
                      <w:rFonts w:hint="default" w:ascii="Times New Roman" w:hAnsi="Times New Roman" w:cs="Times New Roman"/>
                      <w:color w:val="FF0000"/>
                      <w:sz w:val="18"/>
                      <w:szCs w:val="18"/>
                      <w:lang w:eastAsia="en-US"/>
                    </w:rPr>
                    <w:t>移动气动戳孔放油机</w:t>
                  </w:r>
                </w:p>
              </w:tc>
              <w:tc>
                <w:tcPr>
                  <w:tcW w:w="844" w:type="pct"/>
                  <w:tcBorders>
                    <w:tl2br w:val="nil"/>
                    <w:tr2bl w:val="nil"/>
                  </w:tcBorders>
                  <w:vAlign w:val="center"/>
                </w:tcPr>
                <w:p w14:paraId="397397E3">
                  <w:pPr>
                    <w:pStyle w:val="129"/>
                    <w:widowControl w:val="0"/>
                    <w:autoSpaceDE/>
                    <w:autoSpaceDN/>
                    <w:rPr>
                      <w:rFonts w:hint="default" w:ascii="Times New Roman" w:hAnsi="Times New Roman" w:cs="Times New Roman"/>
                      <w:color w:val="FF0000"/>
                      <w:sz w:val="18"/>
                      <w:szCs w:val="18"/>
                      <w:lang w:eastAsia="en-US"/>
                    </w:rPr>
                  </w:pPr>
                  <w:r>
                    <w:rPr>
                      <w:rFonts w:hint="default" w:ascii="Times New Roman" w:hAnsi="Times New Roman" w:cs="Times New Roman"/>
                      <w:color w:val="FF0000"/>
                      <w:sz w:val="18"/>
                      <w:szCs w:val="18"/>
                      <w:lang w:eastAsia="en-US"/>
                    </w:rPr>
                    <w:t>CK</w:t>
                  </w:r>
                </w:p>
              </w:tc>
              <w:tc>
                <w:tcPr>
                  <w:tcW w:w="365" w:type="pct"/>
                  <w:tcBorders>
                    <w:tl2br w:val="nil"/>
                    <w:tr2bl w:val="nil"/>
                  </w:tcBorders>
                  <w:vAlign w:val="center"/>
                </w:tcPr>
                <w:p w14:paraId="2296A6B9">
                  <w:pPr>
                    <w:pStyle w:val="129"/>
                    <w:widowControl w:val="0"/>
                    <w:autoSpaceDE/>
                    <w:autoSpaceDN/>
                    <w:rPr>
                      <w:rFonts w:hint="default" w:ascii="Times New Roman" w:hAnsi="Times New Roman" w:cs="Times New Roman"/>
                      <w:color w:val="FF0000"/>
                      <w:sz w:val="18"/>
                      <w:szCs w:val="18"/>
                      <w:lang w:eastAsia="en-US"/>
                    </w:rPr>
                  </w:pPr>
                  <w:r>
                    <w:rPr>
                      <w:rFonts w:hint="default" w:ascii="Times New Roman" w:hAnsi="Times New Roman" w:cs="Times New Roman"/>
                      <w:color w:val="FF0000"/>
                      <w:sz w:val="18"/>
                      <w:szCs w:val="18"/>
                      <w:lang w:eastAsia="en-US"/>
                    </w:rPr>
                    <w:t>85</w:t>
                  </w:r>
                </w:p>
              </w:tc>
              <w:tc>
                <w:tcPr>
                  <w:tcW w:w="272" w:type="pct"/>
                  <w:vMerge w:val="restart"/>
                  <w:tcBorders>
                    <w:tl2br w:val="nil"/>
                    <w:tr2bl w:val="nil"/>
                  </w:tcBorders>
                  <w:vAlign w:val="center"/>
                </w:tcPr>
                <w:p w14:paraId="0886D716">
                  <w:pPr>
                    <w:pStyle w:val="129"/>
                    <w:widowControl w:val="0"/>
                    <w:autoSpaceDE/>
                    <w:autoSpaceDN/>
                    <w:rPr>
                      <w:rFonts w:hint="default" w:ascii="Times New Roman" w:hAnsi="Times New Roman" w:cs="Times New Roman"/>
                      <w:color w:val="FF0000"/>
                      <w:sz w:val="18"/>
                      <w:szCs w:val="18"/>
                      <w:lang w:eastAsia="zh-CN"/>
                    </w:rPr>
                  </w:pPr>
                  <w:r>
                    <w:rPr>
                      <w:rFonts w:hint="default" w:ascii="Times New Roman" w:hAnsi="Times New Roman" w:cs="Times New Roman"/>
                      <w:color w:val="FF0000"/>
                      <w:sz w:val="18"/>
                      <w:szCs w:val="18"/>
                      <w:lang w:eastAsia="zh-CN"/>
                    </w:rPr>
                    <w:t>低噪 音设 备、厂房隔声、基 础减 震</w:t>
                  </w:r>
                </w:p>
              </w:tc>
              <w:tc>
                <w:tcPr>
                  <w:tcW w:w="169" w:type="pct"/>
                  <w:tcBorders>
                    <w:tl2br w:val="nil"/>
                    <w:tr2bl w:val="nil"/>
                  </w:tcBorders>
                  <w:shd w:val="clear" w:color="auto" w:fill="auto"/>
                  <w:vAlign w:val="center"/>
                </w:tcPr>
                <w:p w14:paraId="37F60C3B">
                  <w:pPr>
                    <w:pStyle w:val="129"/>
                    <w:widowControl w:val="0"/>
                    <w:autoSpaceDE/>
                    <w:autoSpaceDN/>
                    <w:rPr>
                      <w:rFonts w:hint="default" w:ascii="Times New Roman" w:hAnsi="Times New Roman" w:cs="Times New Roman"/>
                      <w:color w:val="FF0000"/>
                      <w:sz w:val="18"/>
                      <w:szCs w:val="18"/>
                      <w:lang w:eastAsia="en-US"/>
                    </w:rPr>
                  </w:pPr>
                  <w:r>
                    <w:rPr>
                      <w:rFonts w:hint="default" w:ascii="Times New Roman" w:hAnsi="Times New Roman" w:cs="Times New Roman"/>
                      <w:color w:val="FF0000"/>
                      <w:sz w:val="18"/>
                      <w:szCs w:val="18"/>
                      <w:lang w:eastAsia="en-US"/>
                    </w:rPr>
                    <w:t>70</w:t>
                  </w:r>
                </w:p>
              </w:tc>
              <w:tc>
                <w:tcPr>
                  <w:tcW w:w="199" w:type="pct"/>
                  <w:tcBorders>
                    <w:tl2br w:val="nil"/>
                    <w:tr2bl w:val="nil"/>
                  </w:tcBorders>
                  <w:shd w:val="clear" w:color="auto" w:fill="auto"/>
                  <w:vAlign w:val="center"/>
                </w:tcPr>
                <w:p w14:paraId="754017D6">
                  <w:pPr>
                    <w:pStyle w:val="129"/>
                    <w:widowControl w:val="0"/>
                    <w:autoSpaceDE/>
                    <w:autoSpaceDN/>
                    <w:rPr>
                      <w:rFonts w:hint="default" w:ascii="Times New Roman" w:hAnsi="Times New Roman" w:cs="Times New Roman"/>
                      <w:color w:val="FF0000"/>
                      <w:sz w:val="18"/>
                      <w:szCs w:val="18"/>
                      <w:lang w:eastAsia="en-US"/>
                    </w:rPr>
                  </w:pPr>
                  <w:r>
                    <w:rPr>
                      <w:rFonts w:hint="default" w:ascii="Times New Roman" w:hAnsi="Times New Roman" w:cs="Times New Roman"/>
                      <w:color w:val="FF0000"/>
                      <w:sz w:val="18"/>
                      <w:szCs w:val="18"/>
                      <w:lang w:eastAsia="en-US"/>
                    </w:rPr>
                    <w:t>43</w:t>
                  </w:r>
                </w:p>
              </w:tc>
              <w:tc>
                <w:tcPr>
                  <w:tcW w:w="215" w:type="pct"/>
                  <w:tcBorders>
                    <w:tl2br w:val="nil"/>
                    <w:tr2bl w:val="nil"/>
                  </w:tcBorders>
                  <w:shd w:val="clear" w:color="auto" w:fill="auto"/>
                  <w:vAlign w:val="center"/>
                </w:tcPr>
                <w:p w14:paraId="36DF55DE">
                  <w:pPr>
                    <w:pStyle w:val="129"/>
                    <w:widowControl w:val="0"/>
                    <w:autoSpaceDE/>
                    <w:autoSpaceDN/>
                    <w:rPr>
                      <w:rFonts w:hint="default" w:ascii="Times New Roman" w:hAnsi="Times New Roman" w:cs="Times New Roman"/>
                      <w:color w:val="FF0000"/>
                      <w:sz w:val="18"/>
                      <w:szCs w:val="18"/>
                      <w:lang w:eastAsia="en-US"/>
                    </w:rPr>
                  </w:pPr>
                  <w:r>
                    <w:rPr>
                      <w:rFonts w:hint="default" w:ascii="Times New Roman" w:hAnsi="Times New Roman" w:cs="Times New Roman"/>
                      <w:color w:val="FF0000"/>
                      <w:sz w:val="18"/>
                      <w:szCs w:val="18"/>
                      <w:lang w:eastAsia="en-US"/>
                    </w:rPr>
                    <w:t>1</w:t>
                  </w:r>
                </w:p>
              </w:tc>
              <w:tc>
                <w:tcPr>
                  <w:tcW w:w="330" w:type="pct"/>
                  <w:tcBorders>
                    <w:tl2br w:val="nil"/>
                    <w:tr2bl w:val="nil"/>
                  </w:tcBorders>
                  <w:vAlign w:val="center"/>
                </w:tcPr>
                <w:p w14:paraId="30EDF97F">
                  <w:pPr>
                    <w:pStyle w:val="129"/>
                    <w:widowControl w:val="0"/>
                    <w:autoSpaceDE/>
                    <w:autoSpaceDN/>
                    <w:rPr>
                      <w:rFonts w:hint="default" w:ascii="Times New Roman" w:hAnsi="Times New Roman" w:cs="Times New Roman"/>
                      <w:color w:val="FF0000"/>
                      <w:sz w:val="18"/>
                      <w:szCs w:val="18"/>
                      <w:lang w:eastAsia="en-US"/>
                    </w:rPr>
                  </w:pPr>
                  <w:r>
                    <w:rPr>
                      <w:rFonts w:hint="default" w:ascii="Times New Roman" w:hAnsi="Times New Roman" w:cs="Times New Roman"/>
                      <w:color w:val="FF0000"/>
                      <w:sz w:val="18"/>
                      <w:szCs w:val="18"/>
                      <w:lang w:eastAsia="en-US"/>
                    </w:rPr>
                    <w:t>5</w:t>
                  </w:r>
                </w:p>
              </w:tc>
              <w:tc>
                <w:tcPr>
                  <w:tcW w:w="355" w:type="pct"/>
                  <w:tcBorders>
                    <w:tl2br w:val="nil"/>
                    <w:tr2bl w:val="nil"/>
                  </w:tcBorders>
                  <w:vAlign w:val="center"/>
                </w:tcPr>
                <w:p w14:paraId="34893A6E">
                  <w:pPr>
                    <w:pStyle w:val="129"/>
                    <w:widowControl w:val="0"/>
                    <w:autoSpaceDE/>
                    <w:autoSpaceDN/>
                    <w:rPr>
                      <w:rFonts w:hint="default" w:ascii="Times New Roman" w:hAnsi="Times New Roman" w:cs="Times New Roman"/>
                      <w:color w:val="FF0000"/>
                      <w:sz w:val="18"/>
                      <w:szCs w:val="18"/>
                      <w:lang w:eastAsia="en-US"/>
                    </w:rPr>
                  </w:pPr>
                  <w:r>
                    <w:rPr>
                      <w:rFonts w:hint="default" w:ascii="Times New Roman" w:hAnsi="Times New Roman" w:cs="Times New Roman"/>
                      <w:color w:val="FF0000"/>
                      <w:sz w:val="18"/>
                      <w:szCs w:val="18"/>
                      <w:lang w:eastAsia="en-US"/>
                    </w:rPr>
                    <w:t>60</w:t>
                  </w:r>
                </w:p>
              </w:tc>
              <w:tc>
                <w:tcPr>
                  <w:tcW w:w="252" w:type="pct"/>
                  <w:vMerge w:val="restart"/>
                  <w:tcBorders>
                    <w:tl2br w:val="nil"/>
                    <w:tr2bl w:val="nil"/>
                  </w:tcBorders>
                  <w:vAlign w:val="center"/>
                </w:tcPr>
                <w:p w14:paraId="0F9357C5">
                  <w:pPr>
                    <w:pStyle w:val="129"/>
                    <w:widowControl w:val="0"/>
                    <w:autoSpaceDE/>
                    <w:autoSpaceDN/>
                    <w:rPr>
                      <w:rFonts w:hint="default" w:ascii="Times New Roman" w:hAnsi="Times New Roman" w:cs="Times New Roman"/>
                      <w:color w:val="FF0000"/>
                      <w:sz w:val="18"/>
                      <w:szCs w:val="18"/>
                      <w:lang w:eastAsia="en-US"/>
                    </w:rPr>
                  </w:pPr>
                  <w:r>
                    <w:rPr>
                      <w:rFonts w:hint="default" w:ascii="Times New Roman" w:hAnsi="Times New Roman" w:cs="Times New Roman"/>
                      <w:color w:val="FF0000"/>
                      <w:sz w:val="18"/>
                      <w:szCs w:val="18"/>
                      <w:lang w:eastAsia="en-US"/>
                    </w:rPr>
                    <w:t>昼间</w:t>
                  </w:r>
                </w:p>
              </w:tc>
              <w:tc>
                <w:tcPr>
                  <w:tcW w:w="321" w:type="pct"/>
                  <w:tcBorders>
                    <w:tl2br w:val="nil"/>
                    <w:tr2bl w:val="nil"/>
                  </w:tcBorders>
                  <w:vAlign w:val="center"/>
                </w:tcPr>
                <w:p w14:paraId="229AD0D3">
                  <w:pPr>
                    <w:pStyle w:val="129"/>
                    <w:widowControl w:val="0"/>
                    <w:autoSpaceDE/>
                    <w:autoSpaceDN/>
                    <w:rPr>
                      <w:rFonts w:hint="default" w:ascii="Times New Roman" w:hAnsi="Times New Roman" w:cs="Times New Roman"/>
                      <w:color w:val="FF0000"/>
                      <w:sz w:val="18"/>
                      <w:szCs w:val="18"/>
                      <w:lang w:eastAsia="en-US"/>
                    </w:rPr>
                  </w:pPr>
                  <w:r>
                    <w:rPr>
                      <w:rFonts w:hint="default" w:ascii="Times New Roman" w:hAnsi="Times New Roman" w:cs="Times New Roman"/>
                      <w:color w:val="FF0000"/>
                      <w:sz w:val="18"/>
                      <w:szCs w:val="18"/>
                      <w:lang w:eastAsia="en-US"/>
                    </w:rPr>
                    <w:t>25.5</w:t>
                  </w:r>
                </w:p>
              </w:tc>
              <w:tc>
                <w:tcPr>
                  <w:tcW w:w="355" w:type="pct"/>
                  <w:tcBorders>
                    <w:tl2br w:val="nil"/>
                    <w:tr2bl w:val="nil"/>
                  </w:tcBorders>
                  <w:shd w:val="clear" w:color="auto" w:fill="auto"/>
                  <w:vAlign w:val="center"/>
                </w:tcPr>
                <w:p w14:paraId="2849E13B">
                  <w:pPr>
                    <w:pStyle w:val="129"/>
                    <w:widowControl w:val="0"/>
                    <w:autoSpaceDE/>
                    <w:autoSpaceDN/>
                    <w:rPr>
                      <w:rFonts w:hint="default" w:ascii="Times New Roman" w:hAnsi="Times New Roman" w:cs="Times New Roman"/>
                      <w:color w:val="FF0000"/>
                      <w:sz w:val="18"/>
                      <w:szCs w:val="18"/>
                      <w:lang w:eastAsia="en-US"/>
                    </w:rPr>
                  </w:pPr>
                  <w:r>
                    <w:rPr>
                      <w:rFonts w:hint="default" w:ascii="Times New Roman" w:hAnsi="Times New Roman" w:cs="Times New Roman"/>
                      <w:color w:val="FF0000"/>
                      <w:sz w:val="18"/>
                      <w:szCs w:val="18"/>
                      <w:lang w:eastAsia="en-US"/>
                    </w:rPr>
                    <w:t>34.5</w:t>
                  </w:r>
                </w:p>
              </w:tc>
              <w:tc>
                <w:tcPr>
                  <w:tcW w:w="149" w:type="pct"/>
                  <w:tcBorders>
                    <w:tl2br w:val="nil"/>
                    <w:tr2bl w:val="nil"/>
                  </w:tcBorders>
                  <w:vAlign w:val="center"/>
                </w:tcPr>
                <w:p w14:paraId="35525F37">
                  <w:pPr>
                    <w:pStyle w:val="129"/>
                    <w:widowControl w:val="0"/>
                    <w:autoSpaceDE/>
                    <w:autoSpaceDN/>
                    <w:rPr>
                      <w:rFonts w:hint="default" w:ascii="Times New Roman" w:hAnsi="Times New Roman" w:cs="Times New Roman"/>
                      <w:color w:val="FF0000"/>
                      <w:sz w:val="18"/>
                      <w:szCs w:val="18"/>
                      <w:lang w:eastAsia="en-US"/>
                    </w:rPr>
                  </w:pPr>
                  <w:r>
                    <w:rPr>
                      <w:rFonts w:hint="default" w:ascii="Times New Roman" w:hAnsi="Times New Roman" w:cs="Times New Roman"/>
                      <w:color w:val="FF0000"/>
                      <w:sz w:val="18"/>
                      <w:szCs w:val="18"/>
                      <w:lang w:eastAsia="en-US"/>
                    </w:rPr>
                    <w:t>1</w:t>
                  </w:r>
                </w:p>
              </w:tc>
            </w:tr>
            <w:tr w14:paraId="008DC7E5">
              <w:tblPrEx>
                <w:tblBorders>
                  <w:top w:val="double" w:color="000000" w:sz="4" w:space="0"/>
                  <w:left w:val="none" w:color="auto" w:sz="0" w:space="0"/>
                  <w:bottom w:val="double" w:color="000000" w:sz="4"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90" w:hRule="atLeast"/>
              </w:trPr>
              <w:tc>
                <w:tcPr>
                  <w:tcW w:w="172" w:type="pct"/>
                  <w:vMerge w:val="continue"/>
                  <w:tcBorders>
                    <w:tl2br w:val="nil"/>
                    <w:tr2bl w:val="nil"/>
                  </w:tcBorders>
                  <w:vAlign w:val="center"/>
                </w:tcPr>
                <w:p w14:paraId="1DE7ABD0">
                  <w:pPr>
                    <w:pStyle w:val="129"/>
                    <w:widowControl w:val="0"/>
                    <w:autoSpaceDE/>
                    <w:autoSpaceDN/>
                    <w:rPr>
                      <w:rFonts w:hint="default" w:ascii="Times New Roman" w:hAnsi="Times New Roman" w:cs="Times New Roman"/>
                      <w:color w:val="FF0000"/>
                      <w:sz w:val="18"/>
                      <w:szCs w:val="18"/>
                      <w:lang w:eastAsia="en-US"/>
                    </w:rPr>
                  </w:pPr>
                </w:p>
              </w:tc>
              <w:tc>
                <w:tcPr>
                  <w:tcW w:w="232" w:type="pct"/>
                  <w:vMerge w:val="continue"/>
                  <w:tcBorders>
                    <w:tl2br w:val="nil"/>
                    <w:tr2bl w:val="nil"/>
                  </w:tcBorders>
                  <w:vAlign w:val="center"/>
                </w:tcPr>
                <w:p w14:paraId="5BB71A36">
                  <w:pPr>
                    <w:pStyle w:val="129"/>
                    <w:widowControl w:val="0"/>
                    <w:autoSpaceDE/>
                    <w:autoSpaceDN/>
                    <w:rPr>
                      <w:rFonts w:hint="default" w:ascii="Times New Roman" w:hAnsi="Times New Roman" w:cs="Times New Roman"/>
                      <w:color w:val="FF0000"/>
                      <w:sz w:val="18"/>
                      <w:szCs w:val="18"/>
                      <w:lang w:eastAsia="en-US"/>
                    </w:rPr>
                  </w:pPr>
                </w:p>
              </w:tc>
              <w:tc>
                <w:tcPr>
                  <w:tcW w:w="765" w:type="pct"/>
                  <w:tcBorders>
                    <w:tl2br w:val="nil"/>
                    <w:tr2bl w:val="nil"/>
                  </w:tcBorders>
                  <w:shd w:val="clear" w:color="auto" w:fill="auto"/>
                  <w:vAlign w:val="center"/>
                </w:tcPr>
                <w:p w14:paraId="1A7566AE">
                  <w:pPr>
                    <w:pStyle w:val="129"/>
                    <w:widowControl w:val="0"/>
                    <w:autoSpaceDE/>
                    <w:autoSpaceDN/>
                    <w:rPr>
                      <w:rFonts w:hint="default" w:ascii="Times New Roman" w:hAnsi="Times New Roman" w:cs="Times New Roman"/>
                      <w:color w:val="FF0000"/>
                      <w:sz w:val="18"/>
                      <w:szCs w:val="18"/>
                      <w:lang w:eastAsia="en-US"/>
                    </w:rPr>
                  </w:pPr>
                  <w:r>
                    <w:rPr>
                      <w:rFonts w:hint="default" w:ascii="Times New Roman" w:hAnsi="Times New Roman" w:cs="Times New Roman"/>
                      <w:color w:val="FF0000"/>
                      <w:sz w:val="18"/>
                      <w:szCs w:val="18"/>
                      <w:lang w:eastAsia="en-US"/>
                    </w:rPr>
                    <w:t>四柱举升机</w:t>
                  </w:r>
                </w:p>
              </w:tc>
              <w:tc>
                <w:tcPr>
                  <w:tcW w:w="844" w:type="pct"/>
                  <w:tcBorders>
                    <w:tl2br w:val="nil"/>
                    <w:tr2bl w:val="nil"/>
                  </w:tcBorders>
                  <w:vAlign w:val="center"/>
                </w:tcPr>
                <w:p w14:paraId="24F0EB9E">
                  <w:pPr>
                    <w:pStyle w:val="129"/>
                    <w:widowControl w:val="0"/>
                    <w:autoSpaceDE/>
                    <w:autoSpaceDN/>
                    <w:rPr>
                      <w:rFonts w:hint="default" w:ascii="Times New Roman" w:hAnsi="Times New Roman" w:cs="Times New Roman"/>
                      <w:color w:val="FF0000"/>
                      <w:sz w:val="18"/>
                      <w:szCs w:val="18"/>
                      <w:lang w:eastAsia="en-US"/>
                    </w:rPr>
                  </w:pPr>
                  <w:r>
                    <w:rPr>
                      <w:rFonts w:hint="default" w:ascii="Times New Roman" w:hAnsi="Times New Roman" w:cs="Times New Roman"/>
                      <w:color w:val="FF0000"/>
                      <w:sz w:val="18"/>
                      <w:szCs w:val="18"/>
                      <w:lang w:eastAsia="en-US"/>
                    </w:rPr>
                    <w:t>JS3000-4s</w:t>
                  </w:r>
                </w:p>
              </w:tc>
              <w:tc>
                <w:tcPr>
                  <w:tcW w:w="365" w:type="pct"/>
                  <w:tcBorders>
                    <w:tl2br w:val="nil"/>
                    <w:tr2bl w:val="nil"/>
                  </w:tcBorders>
                  <w:vAlign w:val="center"/>
                </w:tcPr>
                <w:p w14:paraId="498BCE09">
                  <w:pPr>
                    <w:pStyle w:val="129"/>
                    <w:widowControl w:val="0"/>
                    <w:autoSpaceDE/>
                    <w:autoSpaceDN/>
                    <w:rPr>
                      <w:rFonts w:hint="default" w:ascii="Times New Roman" w:hAnsi="Times New Roman" w:cs="Times New Roman"/>
                      <w:color w:val="FF0000"/>
                      <w:sz w:val="18"/>
                      <w:szCs w:val="18"/>
                      <w:lang w:eastAsia="en-US"/>
                    </w:rPr>
                  </w:pPr>
                  <w:r>
                    <w:rPr>
                      <w:rFonts w:hint="default" w:ascii="Times New Roman" w:hAnsi="Times New Roman" w:cs="Times New Roman"/>
                      <w:color w:val="FF0000"/>
                      <w:sz w:val="18"/>
                      <w:szCs w:val="18"/>
                      <w:lang w:eastAsia="en-US"/>
                    </w:rPr>
                    <w:t>85</w:t>
                  </w:r>
                </w:p>
              </w:tc>
              <w:tc>
                <w:tcPr>
                  <w:tcW w:w="272" w:type="pct"/>
                  <w:vMerge w:val="continue"/>
                  <w:tcBorders>
                    <w:tl2br w:val="nil"/>
                    <w:tr2bl w:val="nil"/>
                  </w:tcBorders>
                  <w:vAlign w:val="center"/>
                </w:tcPr>
                <w:p w14:paraId="136C0D9B">
                  <w:pPr>
                    <w:pStyle w:val="129"/>
                    <w:widowControl w:val="0"/>
                    <w:autoSpaceDE/>
                    <w:autoSpaceDN/>
                    <w:rPr>
                      <w:rFonts w:hint="default" w:ascii="Times New Roman" w:hAnsi="Times New Roman" w:cs="Times New Roman"/>
                      <w:color w:val="FF0000"/>
                      <w:sz w:val="18"/>
                      <w:szCs w:val="18"/>
                      <w:lang w:eastAsia="en-US"/>
                    </w:rPr>
                  </w:pPr>
                </w:p>
              </w:tc>
              <w:tc>
                <w:tcPr>
                  <w:tcW w:w="169" w:type="pct"/>
                  <w:tcBorders>
                    <w:tl2br w:val="nil"/>
                    <w:tr2bl w:val="nil"/>
                  </w:tcBorders>
                  <w:vAlign w:val="center"/>
                </w:tcPr>
                <w:p w14:paraId="3352C116">
                  <w:pPr>
                    <w:pStyle w:val="129"/>
                    <w:widowControl w:val="0"/>
                    <w:autoSpaceDE/>
                    <w:autoSpaceDN/>
                    <w:rPr>
                      <w:rFonts w:hint="default" w:ascii="Times New Roman" w:hAnsi="Times New Roman" w:cs="Times New Roman"/>
                      <w:color w:val="FF0000"/>
                      <w:sz w:val="18"/>
                      <w:szCs w:val="18"/>
                      <w:lang w:eastAsia="en-US"/>
                    </w:rPr>
                  </w:pPr>
                  <w:r>
                    <w:rPr>
                      <w:rFonts w:hint="default" w:ascii="Times New Roman" w:hAnsi="Times New Roman" w:cs="Times New Roman"/>
                      <w:color w:val="FF0000"/>
                      <w:sz w:val="18"/>
                      <w:szCs w:val="18"/>
                      <w:lang w:eastAsia="en-US"/>
                    </w:rPr>
                    <w:t>70</w:t>
                  </w:r>
                </w:p>
              </w:tc>
              <w:tc>
                <w:tcPr>
                  <w:tcW w:w="199" w:type="pct"/>
                  <w:tcBorders>
                    <w:tl2br w:val="nil"/>
                    <w:tr2bl w:val="nil"/>
                  </w:tcBorders>
                  <w:vAlign w:val="center"/>
                </w:tcPr>
                <w:p w14:paraId="08C6314D">
                  <w:pPr>
                    <w:pStyle w:val="129"/>
                    <w:widowControl w:val="0"/>
                    <w:autoSpaceDE/>
                    <w:autoSpaceDN/>
                    <w:rPr>
                      <w:rFonts w:hint="default" w:ascii="Times New Roman" w:hAnsi="Times New Roman" w:cs="Times New Roman"/>
                      <w:color w:val="FF0000"/>
                      <w:sz w:val="18"/>
                      <w:szCs w:val="18"/>
                      <w:lang w:eastAsia="en-US"/>
                    </w:rPr>
                  </w:pPr>
                  <w:r>
                    <w:rPr>
                      <w:rFonts w:hint="default" w:ascii="Times New Roman" w:hAnsi="Times New Roman" w:cs="Times New Roman"/>
                      <w:color w:val="FF0000"/>
                      <w:sz w:val="18"/>
                      <w:szCs w:val="18"/>
                      <w:lang w:eastAsia="en-US"/>
                    </w:rPr>
                    <w:t>43</w:t>
                  </w:r>
                </w:p>
              </w:tc>
              <w:tc>
                <w:tcPr>
                  <w:tcW w:w="215" w:type="pct"/>
                  <w:tcBorders>
                    <w:tl2br w:val="nil"/>
                    <w:tr2bl w:val="nil"/>
                  </w:tcBorders>
                  <w:vAlign w:val="center"/>
                </w:tcPr>
                <w:p w14:paraId="365E1550">
                  <w:pPr>
                    <w:pStyle w:val="129"/>
                    <w:widowControl w:val="0"/>
                    <w:autoSpaceDE/>
                    <w:autoSpaceDN/>
                    <w:rPr>
                      <w:rFonts w:hint="default" w:ascii="Times New Roman" w:hAnsi="Times New Roman" w:cs="Times New Roman"/>
                      <w:color w:val="FF0000"/>
                      <w:sz w:val="18"/>
                      <w:szCs w:val="18"/>
                      <w:lang w:eastAsia="en-US"/>
                    </w:rPr>
                  </w:pPr>
                  <w:r>
                    <w:rPr>
                      <w:rFonts w:hint="default" w:ascii="Times New Roman" w:hAnsi="Times New Roman" w:cs="Times New Roman"/>
                      <w:color w:val="FF0000"/>
                      <w:sz w:val="18"/>
                      <w:szCs w:val="18"/>
                      <w:lang w:eastAsia="en-US"/>
                    </w:rPr>
                    <w:t>1</w:t>
                  </w:r>
                </w:p>
              </w:tc>
              <w:tc>
                <w:tcPr>
                  <w:tcW w:w="330" w:type="pct"/>
                  <w:tcBorders>
                    <w:tl2br w:val="nil"/>
                    <w:tr2bl w:val="nil"/>
                  </w:tcBorders>
                  <w:vAlign w:val="center"/>
                </w:tcPr>
                <w:p w14:paraId="52647CB2">
                  <w:pPr>
                    <w:pStyle w:val="129"/>
                    <w:widowControl w:val="0"/>
                    <w:autoSpaceDE/>
                    <w:autoSpaceDN/>
                    <w:rPr>
                      <w:rFonts w:hint="default" w:ascii="Times New Roman" w:hAnsi="Times New Roman" w:cs="Times New Roman"/>
                      <w:color w:val="FF0000"/>
                      <w:sz w:val="18"/>
                      <w:szCs w:val="18"/>
                      <w:lang w:eastAsia="en-US"/>
                    </w:rPr>
                  </w:pPr>
                  <w:r>
                    <w:rPr>
                      <w:rFonts w:hint="default" w:ascii="Times New Roman" w:hAnsi="Times New Roman" w:cs="Times New Roman"/>
                      <w:color w:val="FF0000"/>
                      <w:sz w:val="18"/>
                      <w:szCs w:val="18"/>
                      <w:lang w:eastAsia="en-US"/>
                    </w:rPr>
                    <w:t>5</w:t>
                  </w:r>
                </w:p>
              </w:tc>
              <w:tc>
                <w:tcPr>
                  <w:tcW w:w="355" w:type="pct"/>
                  <w:tcBorders>
                    <w:tl2br w:val="nil"/>
                    <w:tr2bl w:val="nil"/>
                  </w:tcBorders>
                  <w:vAlign w:val="center"/>
                </w:tcPr>
                <w:p w14:paraId="7410A24F">
                  <w:pPr>
                    <w:pStyle w:val="129"/>
                    <w:widowControl w:val="0"/>
                    <w:autoSpaceDE/>
                    <w:autoSpaceDN/>
                    <w:rPr>
                      <w:rFonts w:hint="default" w:ascii="Times New Roman" w:hAnsi="Times New Roman" w:cs="Times New Roman"/>
                      <w:color w:val="FF0000"/>
                      <w:sz w:val="18"/>
                      <w:szCs w:val="18"/>
                      <w:lang w:eastAsia="en-US"/>
                    </w:rPr>
                  </w:pPr>
                  <w:r>
                    <w:rPr>
                      <w:rFonts w:hint="default" w:ascii="Times New Roman" w:hAnsi="Times New Roman" w:cs="Times New Roman"/>
                      <w:color w:val="FF0000"/>
                      <w:sz w:val="18"/>
                      <w:szCs w:val="18"/>
                      <w:lang w:eastAsia="en-US"/>
                    </w:rPr>
                    <w:t>60</w:t>
                  </w:r>
                </w:p>
              </w:tc>
              <w:tc>
                <w:tcPr>
                  <w:tcW w:w="252" w:type="pct"/>
                  <w:vMerge w:val="continue"/>
                  <w:tcBorders>
                    <w:tl2br w:val="nil"/>
                    <w:tr2bl w:val="nil"/>
                  </w:tcBorders>
                  <w:vAlign w:val="center"/>
                </w:tcPr>
                <w:p w14:paraId="3D2FB53F">
                  <w:pPr>
                    <w:pStyle w:val="129"/>
                    <w:widowControl w:val="0"/>
                    <w:autoSpaceDE/>
                    <w:autoSpaceDN/>
                    <w:rPr>
                      <w:rFonts w:hint="default" w:ascii="Times New Roman" w:hAnsi="Times New Roman" w:cs="Times New Roman"/>
                      <w:color w:val="FF0000"/>
                      <w:sz w:val="18"/>
                      <w:szCs w:val="18"/>
                      <w:lang w:eastAsia="en-US"/>
                    </w:rPr>
                  </w:pPr>
                </w:p>
              </w:tc>
              <w:tc>
                <w:tcPr>
                  <w:tcW w:w="321" w:type="pct"/>
                  <w:tcBorders>
                    <w:tl2br w:val="nil"/>
                    <w:tr2bl w:val="nil"/>
                  </w:tcBorders>
                  <w:vAlign w:val="center"/>
                </w:tcPr>
                <w:p w14:paraId="6A491829">
                  <w:pPr>
                    <w:pStyle w:val="129"/>
                    <w:widowControl w:val="0"/>
                    <w:autoSpaceDE/>
                    <w:autoSpaceDN/>
                    <w:rPr>
                      <w:rFonts w:hint="default" w:ascii="Times New Roman" w:hAnsi="Times New Roman" w:cs="Times New Roman"/>
                      <w:color w:val="FF0000"/>
                      <w:sz w:val="18"/>
                      <w:szCs w:val="18"/>
                      <w:lang w:eastAsia="en-US"/>
                    </w:rPr>
                  </w:pPr>
                  <w:r>
                    <w:rPr>
                      <w:rFonts w:hint="default" w:ascii="Times New Roman" w:hAnsi="Times New Roman" w:cs="Times New Roman"/>
                      <w:color w:val="FF0000"/>
                      <w:sz w:val="18"/>
                      <w:szCs w:val="18"/>
                      <w:lang w:eastAsia="en-US"/>
                    </w:rPr>
                    <w:t>25.5</w:t>
                  </w:r>
                </w:p>
              </w:tc>
              <w:tc>
                <w:tcPr>
                  <w:tcW w:w="355" w:type="pct"/>
                  <w:tcBorders>
                    <w:tl2br w:val="nil"/>
                    <w:tr2bl w:val="nil"/>
                  </w:tcBorders>
                  <w:shd w:val="clear" w:color="auto" w:fill="auto"/>
                  <w:vAlign w:val="center"/>
                </w:tcPr>
                <w:p w14:paraId="1130DAC7">
                  <w:pPr>
                    <w:pStyle w:val="129"/>
                    <w:widowControl w:val="0"/>
                    <w:autoSpaceDE/>
                    <w:autoSpaceDN/>
                    <w:rPr>
                      <w:rFonts w:hint="default" w:ascii="Times New Roman" w:hAnsi="Times New Roman" w:cs="Times New Roman"/>
                      <w:color w:val="FF0000"/>
                      <w:sz w:val="18"/>
                      <w:szCs w:val="18"/>
                      <w:lang w:eastAsia="en-US"/>
                    </w:rPr>
                  </w:pPr>
                  <w:r>
                    <w:rPr>
                      <w:rFonts w:hint="default" w:ascii="Times New Roman" w:hAnsi="Times New Roman" w:cs="Times New Roman"/>
                      <w:color w:val="FF0000"/>
                      <w:sz w:val="18"/>
                      <w:szCs w:val="18"/>
                      <w:lang w:eastAsia="en-US"/>
                    </w:rPr>
                    <w:t>34.5</w:t>
                  </w:r>
                </w:p>
              </w:tc>
              <w:tc>
                <w:tcPr>
                  <w:tcW w:w="149" w:type="pct"/>
                  <w:tcBorders>
                    <w:tl2br w:val="nil"/>
                    <w:tr2bl w:val="nil"/>
                  </w:tcBorders>
                  <w:vAlign w:val="center"/>
                </w:tcPr>
                <w:p w14:paraId="1A45BDC4">
                  <w:pPr>
                    <w:pStyle w:val="129"/>
                    <w:widowControl w:val="0"/>
                    <w:autoSpaceDE/>
                    <w:autoSpaceDN/>
                    <w:rPr>
                      <w:rFonts w:hint="default" w:ascii="Times New Roman" w:hAnsi="Times New Roman" w:cs="Times New Roman"/>
                      <w:color w:val="FF0000"/>
                      <w:sz w:val="18"/>
                      <w:szCs w:val="18"/>
                      <w:lang w:eastAsia="en-US"/>
                    </w:rPr>
                  </w:pPr>
                  <w:r>
                    <w:rPr>
                      <w:rFonts w:hint="default" w:ascii="Times New Roman" w:hAnsi="Times New Roman" w:cs="Times New Roman"/>
                      <w:color w:val="FF0000"/>
                      <w:sz w:val="18"/>
                      <w:szCs w:val="18"/>
                      <w:lang w:eastAsia="en-US"/>
                    </w:rPr>
                    <w:t>1</w:t>
                  </w:r>
                </w:p>
              </w:tc>
            </w:tr>
            <w:tr w14:paraId="4393FB15">
              <w:tblPrEx>
                <w:tblBorders>
                  <w:top w:val="double" w:color="000000" w:sz="4" w:space="0"/>
                  <w:left w:val="none" w:color="auto" w:sz="0" w:space="0"/>
                  <w:bottom w:val="double" w:color="000000" w:sz="4"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199" w:hRule="atLeast"/>
              </w:trPr>
              <w:tc>
                <w:tcPr>
                  <w:tcW w:w="172" w:type="pct"/>
                  <w:vMerge w:val="continue"/>
                  <w:tcBorders>
                    <w:tl2br w:val="nil"/>
                    <w:tr2bl w:val="nil"/>
                  </w:tcBorders>
                  <w:vAlign w:val="center"/>
                </w:tcPr>
                <w:p w14:paraId="5A3A5ECD">
                  <w:pPr>
                    <w:pStyle w:val="129"/>
                    <w:widowControl w:val="0"/>
                    <w:autoSpaceDE/>
                    <w:autoSpaceDN/>
                    <w:rPr>
                      <w:rFonts w:hint="default" w:ascii="Times New Roman" w:hAnsi="Times New Roman" w:cs="Times New Roman"/>
                      <w:color w:val="FF0000"/>
                      <w:sz w:val="18"/>
                      <w:szCs w:val="18"/>
                      <w:lang w:eastAsia="en-US"/>
                    </w:rPr>
                  </w:pPr>
                </w:p>
              </w:tc>
              <w:tc>
                <w:tcPr>
                  <w:tcW w:w="232" w:type="pct"/>
                  <w:vMerge w:val="continue"/>
                  <w:tcBorders>
                    <w:tl2br w:val="nil"/>
                    <w:tr2bl w:val="nil"/>
                  </w:tcBorders>
                  <w:vAlign w:val="center"/>
                </w:tcPr>
                <w:p w14:paraId="0C53CAAC">
                  <w:pPr>
                    <w:pStyle w:val="129"/>
                    <w:widowControl w:val="0"/>
                    <w:autoSpaceDE/>
                    <w:autoSpaceDN/>
                    <w:rPr>
                      <w:rFonts w:hint="default" w:ascii="Times New Roman" w:hAnsi="Times New Roman" w:cs="Times New Roman"/>
                      <w:color w:val="FF0000"/>
                      <w:sz w:val="18"/>
                      <w:szCs w:val="18"/>
                      <w:lang w:eastAsia="en-US"/>
                    </w:rPr>
                  </w:pPr>
                </w:p>
              </w:tc>
              <w:tc>
                <w:tcPr>
                  <w:tcW w:w="765" w:type="pct"/>
                  <w:tcBorders>
                    <w:tl2br w:val="nil"/>
                    <w:tr2bl w:val="nil"/>
                  </w:tcBorders>
                  <w:shd w:val="clear" w:color="auto" w:fill="auto"/>
                  <w:vAlign w:val="center"/>
                </w:tcPr>
                <w:p w14:paraId="0592F284">
                  <w:pPr>
                    <w:pStyle w:val="129"/>
                    <w:widowControl w:val="0"/>
                    <w:autoSpaceDE/>
                    <w:autoSpaceDN/>
                    <w:rPr>
                      <w:rFonts w:hint="default" w:ascii="Times New Roman" w:hAnsi="Times New Roman" w:cs="Times New Roman"/>
                      <w:color w:val="FF0000"/>
                      <w:sz w:val="18"/>
                      <w:szCs w:val="18"/>
                      <w:lang w:eastAsia="en-US"/>
                    </w:rPr>
                  </w:pPr>
                  <w:r>
                    <w:rPr>
                      <w:rFonts w:hint="default" w:ascii="Times New Roman" w:hAnsi="Times New Roman" w:cs="Times New Roman"/>
                      <w:color w:val="FF0000"/>
                      <w:sz w:val="18"/>
                      <w:szCs w:val="18"/>
                      <w:lang w:eastAsia="en-US"/>
                    </w:rPr>
                    <w:t>油液排放系统</w:t>
                  </w:r>
                </w:p>
              </w:tc>
              <w:tc>
                <w:tcPr>
                  <w:tcW w:w="844" w:type="pct"/>
                  <w:tcBorders>
                    <w:tl2br w:val="nil"/>
                    <w:tr2bl w:val="nil"/>
                  </w:tcBorders>
                  <w:vAlign w:val="center"/>
                </w:tcPr>
                <w:p w14:paraId="716E771C">
                  <w:pPr>
                    <w:pStyle w:val="129"/>
                    <w:widowControl w:val="0"/>
                    <w:autoSpaceDE/>
                    <w:autoSpaceDN/>
                    <w:rPr>
                      <w:rFonts w:hint="default" w:ascii="Times New Roman" w:hAnsi="Times New Roman" w:cs="Times New Roman"/>
                      <w:color w:val="FF0000"/>
                      <w:sz w:val="18"/>
                      <w:szCs w:val="18"/>
                      <w:lang w:eastAsia="en-US"/>
                    </w:rPr>
                  </w:pPr>
                  <w:r>
                    <w:rPr>
                      <w:rFonts w:hint="default" w:ascii="Times New Roman" w:hAnsi="Times New Roman" w:cs="Times New Roman"/>
                      <w:color w:val="FF0000"/>
                      <w:sz w:val="18"/>
                      <w:szCs w:val="18"/>
                      <w:lang w:eastAsia="en-US"/>
                    </w:rPr>
                    <w:t>YP5</w:t>
                  </w:r>
                </w:p>
              </w:tc>
              <w:tc>
                <w:tcPr>
                  <w:tcW w:w="365" w:type="pct"/>
                  <w:tcBorders>
                    <w:tl2br w:val="nil"/>
                    <w:tr2bl w:val="nil"/>
                  </w:tcBorders>
                  <w:vAlign w:val="center"/>
                </w:tcPr>
                <w:p w14:paraId="35DC601D">
                  <w:pPr>
                    <w:pStyle w:val="129"/>
                    <w:widowControl w:val="0"/>
                    <w:autoSpaceDE/>
                    <w:autoSpaceDN/>
                    <w:rPr>
                      <w:rFonts w:hint="default" w:ascii="Times New Roman" w:hAnsi="Times New Roman" w:cs="Times New Roman"/>
                      <w:color w:val="FF0000"/>
                      <w:sz w:val="18"/>
                      <w:szCs w:val="18"/>
                      <w:lang w:eastAsia="en-US"/>
                    </w:rPr>
                  </w:pPr>
                  <w:r>
                    <w:rPr>
                      <w:rFonts w:hint="default" w:ascii="Times New Roman" w:hAnsi="Times New Roman" w:cs="Times New Roman"/>
                      <w:color w:val="FF0000"/>
                      <w:sz w:val="18"/>
                      <w:szCs w:val="18"/>
                      <w:lang w:eastAsia="en-US"/>
                    </w:rPr>
                    <w:t>75</w:t>
                  </w:r>
                </w:p>
              </w:tc>
              <w:tc>
                <w:tcPr>
                  <w:tcW w:w="272" w:type="pct"/>
                  <w:vMerge w:val="continue"/>
                  <w:tcBorders>
                    <w:tl2br w:val="nil"/>
                    <w:tr2bl w:val="nil"/>
                  </w:tcBorders>
                  <w:vAlign w:val="center"/>
                </w:tcPr>
                <w:p w14:paraId="62600496">
                  <w:pPr>
                    <w:pStyle w:val="129"/>
                    <w:widowControl w:val="0"/>
                    <w:autoSpaceDE/>
                    <w:autoSpaceDN/>
                    <w:rPr>
                      <w:rFonts w:hint="default" w:ascii="Times New Roman" w:hAnsi="Times New Roman" w:cs="Times New Roman"/>
                      <w:color w:val="FF0000"/>
                      <w:sz w:val="18"/>
                      <w:szCs w:val="18"/>
                      <w:lang w:eastAsia="en-US"/>
                    </w:rPr>
                  </w:pPr>
                </w:p>
              </w:tc>
              <w:tc>
                <w:tcPr>
                  <w:tcW w:w="169" w:type="pct"/>
                  <w:tcBorders>
                    <w:tl2br w:val="nil"/>
                    <w:tr2bl w:val="nil"/>
                  </w:tcBorders>
                  <w:vAlign w:val="center"/>
                </w:tcPr>
                <w:p w14:paraId="189CD658">
                  <w:pPr>
                    <w:pStyle w:val="129"/>
                    <w:widowControl w:val="0"/>
                    <w:autoSpaceDE/>
                    <w:autoSpaceDN/>
                    <w:rPr>
                      <w:rFonts w:hint="default" w:ascii="Times New Roman" w:hAnsi="Times New Roman" w:cs="Times New Roman"/>
                      <w:color w:val="FF0000"/>
                      <w:sz w:val="18"/>
                      <w:szCs w:val="18"/>
                      <w:lang w:eastAsia="en-US"/>
                    </w:rPr>
                  </w:pPr>
                  <w:r>
                    <w:rPr>
                      <w:rFonts w:hint="default" w:ascii="Times New Roman" w:hAnsi="Times New Roman" w:cs="Times New Roman"/>
                      <w:color w:val="FF0000"/>
                      <w:sz w:val="18"/>
                      <w:szCs w:val="18"/>
                      <w:lang w:eastAsia="en-US"/>
                    </w:rPr>
                    <w:t>65</w:t>
                  </w:r>
                </w:p>
              </w:tc>
              <w:tc>
                <w:tcPr>
                  <w:tcW w:w="199" w:type="pct"/>
                  <w:tcBorders>
                    <w:tl2br w:val="nil"/>
                    <w:tr2bl w:val="nil"/>
                  </w:tcBorders>
                  <w:vAlign w:val="center"/>
                </w:tcPr>
                <w:p w14:paraId="53D7BE5E">
                  <w:pPr>
                    <w:pStyle w:val="129"/>
                    <w:widowControl w:val="0"/>
                    <w:autoSpaceDE/>
                    <w:autoSpaceDN/>
                    <w:rPr>
                      <w:rFonts w:hint="default" w:ascii="Times New Roman" w:hAnsi="Times New Roman" w:cs="Times New Roman"/>
                      <w:color w:val="FF0000"/>
                      <w:sz w:val="18"/>
                      <w:szCs w:val="18"/>
                      <w:lang w:eastAsia="en-US"/>
                    </w:rPr>
                  </w:pPr>
                  <w:r>
                    <w:rPr>
                      <w:rFonts w:hint="default" w:ascii="Times New Roman" w:hAnsi="Times New Roman" w:cs="Times New Roman"/>
                      <w:color w:val="FF0000"/>
                      <w:sz w:val="18"/>
                      <w:szCs w:val="18"/>
                      <w:lang w:eastAsia="en-US"/>
                    </w:rPr>
                    <w:t>43</w:t>
                  </w:r>
                </w:p>
              </w:tc>
              <w:tc>
                <w:tcPr>
                  <w:tcW w:w="215" w:type="pct"/>
                  <w:tcBorders>
                    <w:tl2br w:val="nil"/>
                    <w:tr2bl w:val="nil"/>
                  </w:tcBorders>
                  <w:vAlign w:val="center"/>
                </w:tcPr>
                <w:p w14:paraId="16AEF22B">
                  <w:pPr>
                    <w:pStyle w:val="129"/>
                    <w:widowControl w:val="0"/>
                    <w:autoSpaceDE/>
                    <w:autoSpaceDN/>
                    <w:rPr>
                      <w:rFonts w:hint="default" w:ascii="Times New Roman" w:hAnsi="Times New Roman" w:cs="Times New Roman"/>
                      <w:color w:val="FF0000"/>
                      <w:sz w:val="18"/>
                      <w:szCs w:val="18"/>
                      <w:lang w:eastAsia="en-US"/>
                    </w:rPr>
                  </w:pPr>
                  <w:r>
                    <w:rPr>
                      <w:rFonts w:hint="default" w:ascii="Times New Roman" w:hAnsi="Times New Roman" w:cs="Times New Roman"/>
                      <w:color w:val="FF0000"/>
                      <w:sz w:val="18"/>
                      <w:szCs w:val="18"/>
                      <w:lang w:eastAsia="en-US"/>
                    </w:rPr>
                    <w:t>1</w:t>
                  </w:r>
                </w:p>
              </w:tc>
              <w:tc>
                <w:tcPr>
                  <w:tcW w:w="330" w:type="pct"/>
                  <w:tcBorders>
                    <w:tl2br w:val="nil"/>
                    <w:tr2bl w:val="nil"/>
                  </w:tcBorders>
                  <w:vAlign w:val="center"/>
                </w:tcPr>
                <w:p w14:paraId="508D232D">
                  <w:pPr>
                    <w:pStyle w:val="129"/>
                    <w:widowControl w:val="0"/>
                    <w:autoSpaceDE/>
                    <w:autoSpaceDN/>
                    <w:rPr>
                      <w:rFonts w:hint="default" w:ascii="Times New Roman" w:hAnsi="Times New Roman" w:cs="Times New Roman"/>
                      <w:color w:val="FF0000"/>
                      <w:sz w:val="18"/>
                      <w:szCs w:val="18"/>
                      <w:lang w:eastAsia="en-US"/>
                    </w:rPr>
                  </w:pPr>
                  <w:r>
                    <w:rPr>
                      <w:rFonts w:hint="default" w:ascii="Times New Roman" w:hAnsi="Times New Roman" w:cs="Times New Roman"/>
                      <w:color w:val="FF0000"/>
                      <w:sz w:val="18"/>
                      <w:szCs w:val="18"/>
                      <w:lang w:eastAsia="en-US"/>
                    </w:rPr>
                    <w:t>5</w:t>
                  </w:r>
                </w:p>
              </w:tc>
              <w:tc>
                <w:tcPr>
                  <w:tcW w:w="355" w:type="pct"/>
                  <w:tcBorders>
                    <w:tl2br w:val="nil"/>
                    <w:tr2bl w:val="nil"/>
                  </w:tcBorders>
                  <w:vAlign w:val="center"/>
                </w:tcPr>
                <w:p w14:paraId="518B6118">
                  <w:pPr>
                    <w:pStyle w:val="129"/>
                    <w:widowControl w:val="0"/>
                    <w:autoSpaceDE/>
                    <w:autoSpaceDN/>
                    <w:rPr>
                      <w:rFonts w:hint="default" w:ascii="Times New Roman" w:hAnsi="Times New Roman" w:cs="Times New Roman"/>
                      <w:color w:val="FF0000"/>
                      <w:sz w:val="18"/>
                      <w:szCs w:val="18"/>
                      <w:lang w:eastAsia="en-US"/>
                    </w:rPr>
                  </w:pPr>
                  <w:r>
                    <w:rPr>
                      <w:rFonts w:hint="default" w:ascii="Times New Roman" w:hAnsi="Times New Roman" w:cs="Times New Roman"/>
                      <w:color w:val="FF0000"/>
                      <w:sz w:val="18"/>
                      <w:szCs w:val="18"/>
                      <w:lang w:eastAsia="en-US"/>
                    </w:rPr>
                    <w:t>50</w:t>
                  </w:r>
                </w:p>
              </w:tc>
              <w:tc>
                <w:tcPr>
                  <w:tcW w:w="252" w:type="pct"/>
                  <w:vMerge w:val="continue"/>
                  <w:tcBorders>
                    <w:tl2br w:val="nil"/>
                    <w:tr2bl w:val="nil"/>
                  </w:tcBorders>
                  <w:vAlign w:val="center"/>
                </w:tcPr>
                <w:p w14:paraId="6B18B733">
                  <w:pPr>
                    <w:pStyle w:val="129"/>
                    <w:widowControl w:val="0"/>
                    <w:autoSpaceDE/>
                    <w:autoSpaceDN/>
                    <w:rPr>
                      <w:rFonts w:hint="default" w:ascii="Times New Roman" w:hAnsi="Times New Roman" w:cs="Times New Roman"/>
                      <w:color w:val="FF0000"/>
                      <w:sz w:val="18"/>
                      <w:szCs w:val="18"/>
                      <w:lang w:eastAsia="en-US"/>
                    </w:rPr>
                  </w:pPr>
                </w:p>
              </w:tc>
              <w:tc>
                <w:tcPr>
                  <w:tcW w:w="321" w:type="pct"/>
                  <w:tcBorders>
                    <w:tl2br w:val="nil"/>
                    <w:tr2bl w:val="nil"/>
                  </w:tcBorders>
                  <w:vAlign w:val="center"/>
                </w:tcPr>
                <w:p w14:paraId="2E39056E">
                  <w:pPr>
                    <w:pStyle w:val="129"/>
                    <w:widowControl w:val="0"/>
                    <w:autoSpaceDE/>
                    <w:autoSpaceDN/>
                    <w:rPr>
                      <w:rFonts w:hint="default" w:ascii="Times New Roman" w:hAnsi="Times New Roman" w:cs="Times New Roman"/>
                      <w:color w:val="FF0000"/>
                      <w:sz w:val="18"/>
                      <w:szCs w:val="18"/>
                      <w:lang w:eastAsia="en-US"/>
                    </w:rPr>
                  </w:pPr>
                  <w:r>
                    <w:rPr>
                      <w:rFonts w:hint="default" w:ascii="Times New Roman" w:hAnsi="Times New Roman" w:cs="Times New Roman"/>
                      <w:color w:val="FF0000"/>
                      <w:sz w:val="18"/>
                      <w:szCs w:val="18"/>
                      <w:lang w:eastAsia="en-US"/>
                    </w:rPr>
                    <w:t>25.5</w:t>
                  </w:r>
                </w:p>
              </w:tc>
              <w:tc>
                <w:tcPr>
                  <w:tcW w:w="355" w:type="pct"/>
                  <w:tcBorders>
                    <w:tl2br w:val="nil"/>
                    <w:tr2bl w:val="nil"/>
                  </w:tcBorders>
                  <w:shd w:val="clear" w:color="auto" w:fill="auto"/>
                  <w:vAlign w:val="center"/>
                </w:tcPr>
                <w:p w14:paraId="5C9227FF">
                  <w:pPr>
                    <w:pStyle w:val="129"/>
                    <w:widowControl w:val="0"/>
                    <w:autoSpaceDE/>
                    <w:autoSpaceDN/>
                    <w:rPr>
                      <w:rFonts w:hint="default" w:ascii="Times New Roman" w:hAnsi="Times New Roman" w:cs="Times New Roman"/>
                      <w:color w:val="FF0000"/>
                      <w:sz w:val="18"/>
                      <w:szCs w:val="18"/>
                      <w:lang w:eastAsia="en-US"/>
                    </w:rPr>
                  </w:pPr>
                  <w:r>
                    <w:rPr>
                      <w:rFonts w:hint="default" w:ascii="Times New Roman" w:hAnsi="Times New Roman" w:cs="Times New Roman"/>
                      <w:color w:val="FF0000"/>
                      <w:sz w:val="18"/>
                      <w:szCs w:val="18"/>
                      <w:lang w:eastAsia="en-US"/>
                    </w:rPr>
                    <w:t>24.5</w:t>
                  </w:r>
                </w:p>
              </w:tc>
              <w:tc>
                <w:tcPr>
                  <w:tcW w:w="149" w:type="pct"/>
                  <w:tcBorders>
                    <w:tl2br w:val="nil"/>
                    <w:tr2bl w:val="nil"/>
                  </w:tcBorders>
                  <w:vAlign w:val="center"/>
                </w:tcPr>
                <w:p w14:paraId="6E155613">
                  <w:pPr>
                    <w:pStyle w:val="129"/>
                    <w:widowControl w:val="0"/>
                    <w:autoSpaceDE/>
                    <w:autoSpaceDN/>
                    <w:rPr>
                      <w:rFonts w:hint="default" w:ascii="Times New Roman" w:hAnsi="Times New Roman" w:cs="Times New Roman"/>
                      <w:color w:val="FF0000"/>
                      <w:sz w:val="18"/>
                      <w:szCs w:val="18"/>
                      <w:lang w:eastAsia="en-US"/>
                    </w:rPr>
                  </w:pPr>
                  <w:r>
                    <w:rPr>
                      <w:rFonts w:hint="default" w:ascii="Times New Roman" w:hAnsi="Times New Roman" w:cs="Times New Roman"/>
                      <w:color w:val="FF0000"/>
                      <w:sz w:val="18"/>
                      <w:szCs w:val="18"/>
                      <w:lang w:eastAsia="en-US"/>
                    </w:rPr>
                    <w:t>1</w:t>
                  </w:r>
                </w:p>
              </w:tc>
            </w:tr>
            <w:tr w14:paraId="20B08DAD">
              <w:tblPrEx>
                <w:tblBorders>
                  <w:top w:val="double" w:color="000000" w:sz="4" w:space="0"/>
                  <w:left w:val="none" w:color="auto" w:sz="0" w:space="0"/>
                  <w:bottom w:val="double" w:color="000000" w:sz="4"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125" w:hRule="atLeast"/>
              </w:trPr>
              <w:tc>
                <w:tcPr>
                  <w:tcW w:w="172" w:type="pct"/>
                  <w:vMerge w:val="continue"/>
                  <w:tcBorders>
                    <w:tl2br w:val="nil"/>
                    <w:tr2bl w:val="nil"/>
                  </w:tcBorders>
                  <w:vAlign w:val="center"/>
                </w:tcPr>
                <w:p w14:paraId="1F1428ED">
                  <w:pPr>
                    <w:pStyle w:val="129"/>
                    <w:widowControl w:val="0"/>
                    <w:autoSpaceDE/>
                    <w:autoSpaceDN/>
                    <w:rPr>
                      <w:rFonts w:hint="default" w:ascii="Times New Roman" w:hAnsi="Times New Roman" w:cs="Times New Roman"/>
                      <w:color w:val="FF0000"/>
                      <w:sz w:val="18"/>
                      <w:szCs w:val="18"/>
                      <w:lang w:eastAsia="en-US"/>
                    </w:rPr>
                  </w:pPr>
                </w:p>
              </w:tc>
              <w:tc>
                <w:tcPr>
                  <w:tcW w:w="232" w:type="pct"/>
                  <w:vMerge w:val="continue"/>
                  <w:tcBorders>
                    <w:tl2br w:val="nil"/>
                    <w:tr2bl w:val="nil"/>
                  </w:tcBorders>
                  <w:vAlign w:val="center"/>
                </w:tcPr>
                <w:p w14:paraId="6372CCD5">
                  <w:pPr>
                    <w:pStyle w:val="129"/>
                    <w:widowControl w:val="0"/>
                    <w:autoSpaceDE/>
                    <w:autoSpaceDN/>
                    <w:rPr>
                      <w:rFonts w:hint="default" w:ascii="Times New Roman" w:hAnsi="Times New Roman" w:cs="Times New Roman"/>
                      <w:color w:val="FF0000"/>
                      <w:sz w:val="18"/>
                      <w:szCs w:val="18"/>
                      <w:lang w:eastAsia="en-US"/>
                    </w:rPr>
                  </w:pPr>
                </w:p>
              </w:tc>
              <w:tc>
                <w:tcPr>
                  <w:tcW w:w="765" w:type="pct"/>
                  <w:tcBorders>
                    <w:tl2br w:val="nil"/>
                    <w:tr2bl w:val="nil"/>
                  </w:tcBorders>
                  <w:shd w:val="clear" w:color="auto" w:fill="auto"/>
                  <w:vAlign w:val="center"/>
                </w:tcPr>
                <w:p w14:paraId="4629052F">
                  <w:pPr>
                    <w:pStyle w:val="129"/>
                    <w:widowControl w:val="0"/>
                    <w:autoSpaceDE/>
                    <w:autoSpaceDN/>
                    <w:rPr>
                      <w:rFonts w:hint="default" w:ascii="Times New Roman" w:hAnsi="Times New Roman" w:cs="Times New Roman"/>
                      <w:color w:val="FF0000"/>
                      <w:sz w:val="18"/>
                      <w:szCs w:val="18"/>
                      <w:lang w:eastAsia="en-US"/>
                    </w:rPr>
                  </w:pPr>
                  <w:r>
                    <w:rPr>
                      <w:rFonts w:hint="default" w:ascii="Times New Roman" w:hAnsi="Times New Roman" w:cs="Times New Roman"/>
                      <w:color w:val="FF0000"/>
                      <w:sz w:val="18"/>
                      <w:szCs w:val="18"/>
                      <w:lang w:eastAsia="en-US"/>
                    </w:rPr>
                    <w:t>冷媒回收机</w:t>
                  </w:r>
                </w:p>
              </w:tc>
              <w:tc>
                <w:tcPr>
                  <w:tcW w:w="844" w:type="pct"/>
                  <w:tcBorders>
                    <w:tl2br w:val="nil"/>
                    <w:tr2bl w:val="nil"/>
                  </w:tcBorders>
                  <w:shd w:val="clear" w:color="auto" w:fill="auto"/>
                  <w:vAlign w:val="center"/>
                </w:tcPr>
                <w:p w14:paraId="2EB8B4F1">
                  <w:pPr>
                    <w:pStyle w:val="129"/>
                    <w:widowControl w:val="0"/>
                    <w:autoSpaceDE/>
                    <w:autoSpaceDN/>
                    <w:rPr>
                      <w:rFonts w:hint="default" w:ascii="Times New Roman" w:hAnsi="Times New Roman" w:cs="Times New Roman"/>
                      <w:color w:val="FF0000"/>
                      <w:sz w:val="18"/>
                      <w:szCs w:val="18"/>
                      <w:lang w:eastAsia="en-US"/>
                    </w:rPr>
                  </w:pPr>
                  <w:r>
                    <w:rPr>
                      <w:rFonts w:hint="default" w:ascii="Times New Roman" w:hAnsi="Times New Roman" w:cs="Times New Roman"/>
                      <w:color w:val="FF0000"/>
                      <w:sz w:val="18"/>
                      <w:szCs w:val="18"/>
                      <w:lang w:eastAsia="en-US"/>
                    </w:rPr>
                    <w:t>F05</w:t>
                  </w:r>
                </w:p>
              </w:tc>
              <w:tc>
                <w:tcPr>
                  <w:tcW w:w="365" w:type="pct"/>
                  <w:tcBorders>
                    <w:tl2br w:val="nil"/>
                    <w:tr2bl w:val="nil"/>
                  </w:tcBorders>
                  <w:shd w:val="clear" w:color="auto" w:fill="auto"/>
                  <w:vAlign w:val="center"/>
                </w:tcPr>
                <w:p w14:paraId="7F02455B">
                  <w:pPr>
                    <w:pStyle w:val="129"/>
                    <w:widowControl w:val="0"/>
                    <w:autoSpaceDE/>
                    <w:autoSpaceDN/>
                    <w:rPr>
                      <w:rFonts w:hint="default" w:ascii="Times New Roman" w:hAnsi="Times New Roman" w:cs="Times New Roman"/>
                      <w:color w:val="FF0000"/>
                      <w:sz w:val="18"/>
                      <w:szCs w:val="18"/>
                      <w:lang w:eastAsia="en-US"/>
                    </w:rPr>
                  </w:pPr>
                  <w:r>
                    <w:rPr>
                      <w:rFonts w:hint="default" w:ascii="Times New Roman" w:hAnsi="Times New Roman" w:cs="Times New Roman"/>
                      <w:color w:val="FF0000"/>
                      <w:sz w:val="18"/>
                      <w:szCs w:val="18"/>
                      <w:lang w:eastAsia="en-US"/>
                    </w:rPr>
                    <w:t>75</w:t>
                  </w:r>
                </w:p>
              </w:tc>
              <w:tc>
                <w:tcPr>
                  <w:tcW w:w="272" w:type="pct"/>
                  <w:vMerge w:val="continue"/>
                  <w:tcBorders>
                    <w:tl2br w:val="nil"/>
                    <w:tr2bl w:val="nil"/>
                  </w:tcBorders>
                  <w:shd w:val="clear" w:color="auto" w:fill="auto"/>
                  <w:vAlign w:val="center"/>
                </w:tcPr>
                <w:p w14:paraId="152BC306">
                  <w:pPr>
                    <w:pStyle w:val="129"/>
                    <w:widowControl w:val="0"/>
                    <w:autoSpaceDE/>
                    <w:autoSpaceDN/>
                    <w:rPr>
                      <w:rFonts w:hint="default" w:ascii="Times New Roman" w:hAnsi="Times New Roman" w:cs="Times New Roman"/>
                      <w:color w:val="FF0000"/>
                      <w:sz w:val="18"/>
                      <w:szCs w:val="18"/>
                      <w:lang w:eastAsia="en-US"/>
                    </w:rPr>
                  </w:pPr>
                </w:p>
              </w:tc>
              <w:tc>
                <w:tcPr>
                  <w:tcW w:w="169" w:type="pct"/>
                  <w:tcBorders>
                    <w:tl2br w:val="nil"/>
                    <w:tr2bl w:val="nil"/>
                  </w:tcBorders>
                  <w:shd w:val="clear" w:color="auto" w:fill="auto"/>
                  <w:vAlign w:val="center"/>
                </w:tcPr>
                <w:p w14:paraId="4AE58689">
                  <w:pPr>
                    <w:pStyle w:val="129"/>
                    <w:widowControl w:val="0"/>
                    <w:autoSpaceDE/>
                    <w:autoSpaceDN/>
                    <w:rPr>
                      <w:rFonts w:hint="default" w:ascii="Times New Roman" w:hAnsi="Times New Roman" w:cs="Times New Roman"/>
                      <w:color w:val="FF0000"/>
                      <w:sz w:val="18"/>
                      <w:szCs w:val="18"/>
                      <w:lang w:eastAsia="en-US"/>
                    </w:rPr>
                  </w:pPr>
                  <w:r>
                    <w:rPr>
                      <w:rFonts w:hint="default" w:ascii="Times New Roman" w:hAnsi="Times New Roman" w:cs="Times New Roman"/>
                      <w:color w:val="FF0000"/>
                      <w:sz w:val="18"/>
                      <w:szCs w:val="18"/>
                      <w:lang w:eastAsia="en-US"/>
                    </w:rPr>
                    <w:t>67</w:t>
                  </w:r>
                </w:p>
              </w:tc>
              <w:tc>
                <w:tcPr>
                  <w:tcW w:w="199" w:type="pct"/>
                  <w:tcBorders>
                    <w:tl2br w:val="nil"/>
                    <w:tr2bl w:val="nil"/>
                  </w:tcBorders>
                  <w:shd w:val="clear" w:color="auto" w:fill="auto"/>
                  <w:vAlign w:val="center"/>
                </w:tcPr>
                <w:p w14:paraId="626708F0">
                  <w:pPr>
                    <w:pStyle w:val="129"/>
                    <w:widowControl w:val="0"/>
                    <w:autoSpaceDE/>
                    <w:autoSpaceDN/>
                    <w:rPr>
                      <w:rFonts w:hint="default" w:ascii="Times New Roman" w:hAnsi="Times New Roman" w:cs="Times New Roman"/>
                      <w:color w:val="FF0000"/>
                      <w:sz w:val="18"/>
                      <w:szCs w:val="18"/>
                      <w:lang w:eastAsia="en-US"/>
                    </w:rPr>
                  </w:pPr>
                  <w:r>
                    <w:rPr>
                      <w:rFonts w:hint="default" w:ascii="Times New Roman" w:hAnsi="Times New Roman" w:cs="Times New Roman"/>
                      <w:color w:val="FF0000"/>
                      <w:sz w:val="18"/>
                      <w:szCs w:val="18"/>
                      <w:lang w:eastAsia="en-US"/>
                    </w:rPr>
                    <w:t>43</w:t>
                  </w:r>
                </w:p>
              </w:tc>
              <w:tc>
                <w:tcPr>
                  <w:tcW w:w="215" w:type="pct"/>
                  <w:tcBorders>
                    <w:tl2br w:val="nil"/>
                    <w:tr2bl w:val="nil"/>
                  </w:tcBorders>
                  <w:shd w:val="clear" w:color="auto" w:fill="auto"/>
                  <w:vAlign w:val="center"/>
                </w:tcPr>
                <w:p w14:paraId="25CED0DB">
                  <w:pPr>
                    <w:pStyle w:val="129"/>
                    <w:widowControl w:val="0"/>
                    <w:autoSpaceDE/>
                    <w:autoSpaceDN/>
                    <w:rPr>
                      <w:rFonts w:hint="default" w:ascii="Times New Roman" w:hAnsi="Times New Roman" w:cs="Times New Roman"/>
                      <w:color w:val="FF0000"/>
                      <w:sz w:val="18"/>
                      <w:szCs w:val="18"/>
                      <w:lang w:eastAsia="en-US"/>
                    </w:rPr>
                  </w:pPr>
                  <w:r>
                    <w:rPr>
                      <w:rFonts w:hint="default" w:ascii="Times New Roman" w:hAnsi="Times New Roman" w:cs="Times New Roman"/>
                      <w:color w:val="FF0000"/>
                      <w:sz w:val="18"/>
                      <w:szCs w:val="18"/>
                      <w:lang w:eastAsia="en-US"/>
                    </w:rPr>
                    <w:t>1</w:t>
                  </w:r>
                </w:p>
              </w:tc>
              <w:tc>
                <w:tcPr>
                  <w:tcW w:w="330" w:type="pct"/>
                  <w:tcBorders>
                    <w:tl2br w:val="nil"/>
                    <w:tr2bl w:val="nil"/>
                  </w:tcBorders>
                  <w:shd w:val="clear" w:color="auto" w:fill="auto"/>
                  <w:vAlign w:val="center"/>
                </w:tcPr>
                <w:p w14:paraId="0A2F2A18">
                  <w:pPr>
                    <w:pStyle w:val="129"/>
                    <w:widowControl w:val="0"/>
                    <w:autoSpaceDE/>
                    <w:autoSpaceDN/>
                    <w:rPr>
                      <w:rFonts w:hint="default" w:ascii="Times New Roman" w:hAnsi="Times New Roman" w:cs="Times New Roman"/>
                      <w:color w:val="FF0000"/>
                      <w:sz w:val="18"/>
                      <w:szCs w:val="18"/>
                      <w:lang w:eastAsia="en-US"/>
                    </w:rPr>
                  </w:pPr>
                  <w:r>
                    <w:rPr>
                      <w:rFonts w:hint="default" w:ascii="Times New Roman" w:hAnsi="Times New Roman" w:cs="Times New Roman"/>
                      <w:color w:val="FF0000"/>
                      <w:sz w:val="18"/>
                      <w:szCs w:val="18"/>
                      <w:lang w:eastAsia="en-US"/>
                    </w:rPr>
                    <w:t>5</w:t>
                  </w:r>
                </w:p>
              </w:tc>
              <w:tc>
                <w:tcPr>
                  <w:tcW w:w="355" w:type="pct"/>
                  <w:tcBorders>
                    <w:tl2br w:val="nil"/>
                    <w:tr2bl w:val="nil"/>
                  </w:tcBorders>
                  <w:shd w:val="clear" w:color="auto" w:fill="auto"/>
                  <w:vAlign w:val="center"/>
                </w:tcPr>
                <w:p w14:paraId="4E6E879A">
                  <w:pPr>
                    <w:pStyle w:val="129"/>
                    <w:widowControl w:val="0"/>
                    <w:autoSpaceDE/>
                    <w:autoSpaceDN/>
                    <w:rPr>
                      <w:rFonts w:hint="default" w:ascii="Times New Roman" w:hAnsi="Times New Roman" w:cs="Times New Roman"/>
                      <w:color w:val="FF0000"/>
                      <w:sz w:val="18"/>
                      <w:szCs w:val="18"/>
                      <w:lang w:eastAsia="en-US"/>
                    </w:rPr>
                  </w:pPr>
                  <w:r>
                    <w:rPr>
                      <w:rFonts w:hint="default" w:ascii="Times New Roman" w:hAnsi="Times New Roman" w:cs="Times New Roman"/>
                      <w:color w:val="FF0000"/>
                      <w:sz w:val="18"/>
                      <w:szCs w:val="18"/>
                      <w:lang w:eastAsia="en-US"/>
                    </w:rPr>
                    <w:t>50</w:t>
                  </w:r>
                </w:p>
              </w:tc>
              <w:tc>
                <w:tcPr>
                  <w:tcW w:w="252" w:type="pct"/>
                  <w:vMerge w:val="continue"/>
                  <w:tcBorders>
                    <w:tl2br w:val="nil"/>
                    <w:tr2bl w:val="nil"/>
                  </w:tcBorders>
                  <w:shd w:val="clear" w:color="auto" w:fill="auto"/>
                  <w:vAlign w:val="center"/>
                </w:tcPr>
                <w:p w14:paraId="0154F139">
                  <w:pPr>
                    <w:pStyle w:val="129"/>
                    <w:widowControl w:val="0"/>
                    <w:autoSpaceDE/>
                    <w:autoSpaceDN/>
                    <w:rPr>
                      <w:rFonts w:hint="default" w:ascii="Times New Roman" w:hAnsi="Times New Roman" w:cs="Times New Roman"/>
                      <w:color w:val="FF0000"/>
                      <w:sz w:val="18"/>
                      <w:szCs w:val="18"/>
                      <w:lang w:eastAsia="en-US"/>
                    </w:rPr>
                  </w:pPr>
                </w:p>
              </w:tc>
              <w:tc>
                <w:tcPr>
                  <w:tcW w:w="321" w:type="pct"/>
                  <w:tcBorders>
                    <w:tl2br w:val="nil"/>
                    <w:tr2bl w:val="nil"/>
                  </w:tcBorders>
                  <w:shd w:val="clear" w:color="auto" w:fill="auto"/>
                  <w:vAlign w:val="center"/>
                </w:tcPr>
                <w:p w14:paraId="32B6B5C1">
                  <w:pPr>
                    <w:pStyle w:val="129"/>
                    <w:widowControl w:val="0"/>
                    <w:autoSpaceDE/>
                    <w:autoSpaceDN/>
                    <w:rPr>
                      <w:rFonts w:hint="default" w:ascii="Times New Roman" w:hAnsi="Times New Roman" w:cs="Times New Roman"/>
                      <w:color w:val="FF0000"/>
                      <w:sz w:val="18"/>
                      <w:szCs w:val="18"/>
                      <w:lang w:eastAsia="en-US"/>
                    </w:rPr>
                  </w:pPr>
                  <w:r>
                    <w:rPr>
                      <w:rFonts w:hint="default" w:ascii="Times New Roman" w:hAnsi="Times New Roman" w:cs="Times New Roman"/>
                      <w:color w:val="FF0000"/>
                      <w:sz w:val="18"/>
                      <w:szCs w:val="18"/>
                      <w:lang w:eastAsia="en-US"/>
                    </w:rPr>
                    <w:t>25.5</w:t>
                  </w:r>
                </w:p>
              </w:tc>
              <w:tc>
                <w:tcPr>
                  <w:tcW w:w="355" w:type="pct"/>
                  <w:tcBorders>
                    <w:tl2br w:val="nil"/>
                    <w:tr2bl w:val="nil"/>
                  </w:tcBorders>
                  <w:shd w:val="clear" w:color="auto" w:fill="auto"/>
                  <w:vAlign w:val="center"/>
                </w:tcPr>
                <w:p w14:paraId="266780BC">
                  <w:pPr>
                    <w:pStyle w:val="129"/>
                    <w:widowControl w:val="0"/>
                    <w:autoSpaceDE/>
                    <w:autoSpaceDN/>
                    <w:rPr>
                      <w:rFonts w:hint="default" w:ascii="Times New Roman" w:hAnsi="Times New Roman" w:cs="Times New Roman"/>
                      <w:color w:val="FF0000"/>
                      <w:sz w:val="18"/>
                      <w:szCs w:val="18"/>
                      <w:lang w:eastAsia="en-US"/>
                    </w:rPr>
                  </w:pPr>
                  <w:r>
                    <w:rPr>
                      <w:rFonts w:hint="default" w:ascii="Times New Roman" w:hAnsi="Times New Roman" w:cs="Times New Roman"/>
                      <w:color w:val="FF0000"/>
                      <w:sz w:val="18"/>
                      <w:szCs w:val="18"/>
                      <w:lang w:eastAsia="en-US"/>
                    </w:rPr>
                    <w:t>24.5</w:t>
                  </w:r>
                </w:p>
              </w:tc>
              <w:tc>
                <w:tcPr>
                  <w:tcW w:w="149" w:type="pct"/>
                  <w:tcBorders>
                    <w:tl2br w:val="nil"/>
                    <w:tr2bl w:val="nil"/>
                  </w:tcBorders>
                  <w:shd w:val="clear" w:color="auto" w:fill="auto"/>
                  <w:vAlign w:val="center"/>
                </w:tcPr>
                <w:p w14:paraId="6BC2868C">
                  <w:pPr>
                    <w:pStyle w:val="129"/>
                    <w:widowControl w:val="0"/>
                    <w:autoSpaceDE/>
                    <w:autoSpaceDN/>
                    <w:rPr>
                      <w:rFonts w:hint="default" w:ascii="Times New Roman" w:hAnsi="Times New Roman" w:cs="Times New Roman"/>
                      <w:color w:val="FF0000"/>
                      <w:sz w:val="18"/>
                      <w:szCs w:val="18"/>
                      <w:lang w:eastAsia="en-US"/>
                    </w:rPr>
                  </w:pPr>
                  <w:r>
                    <w:rPr>
                      <w:rFonts w:hint="default" w:ascii="Times New Roman" w:hAnsi="Times New Roman" w:cs="Times New Roman"/>
                      <w:color w:val="FF0000"/>
                      <w:sz w:val="18"/>
                      <w:szCs w:val="18"/>
                      <w:lang w:eastAsia="en-US"/>
                    </w:rPr>
                    <w:t>1</w:t>
                  </w:r>
                </w:p>
              </w:tc>
            </w:tr>
            <w:tr w14:paraId="25F05E10">
              <w:tblPrEx>
                <w:tblBorders>
                  <w:top w:val="double" w:color="000000" w:sz="4" w:space="0"/>
                  <w:left w:val="none" w:color="auto" w:sz="0" w:space="0"/>
                  <w:bottom w:val="double" w:color="000000" w:sz="4"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162" w:hRule="atLeast"/>
              </w:trPr>
              <w:tc>
                <w:tcPr>
                  <w:tcW w:w="172" w:type="pct"/>
                  <w:vMerge w:val="continue"/>
                  <w:tcBorders>
                    <w:tl2br w:val="nil"/>
                    <w:tr2bl w:val="nil"/>
                  </w:tcBorders>
                  <w:vAlign w:val="center"/>
                </w:tcPr>
                <w:p w14:paraId="3037FBCB">
                  <w:pPr>
                    <w:pStyle w:val="129"/>
                    <w:widowControl w:val="0"/>
                    <w:autoSpaceDE/>
                    <w:autoSpaceDN/>
                    <w:rPr>
                      <w:rFonts w:hint="default" w:ascii="Times New Roman" w:hAnsi="Times New Roman" w:cs="Times New Roman"/>
                      <w:color w:val="FF0000"/>
                      <w:sz w:val="18"/>
                      <w:szCs w:val="18"/>
                      <w:lang w:eastAsia="en-US"/>
                    </w:rPr>
                  </w:pPr>
                </w:p>
              </w:tc>
              <w:tc>
                <w:tcPr>
                  <w:tcW w:w="232" w:type="pct"/>
                  <w:vMerge w:val="continue"/>
                  <w:tcBorders>
                    <w:tl2br w:val="nil"/>
                    <w:tr2bl w:val="nil"/>
                  </w:tcBorders>
                  <w:vAlign w:val="center"/>
                </w:tcPr>
                <w:p w14:paraId="6EC35B55">
                  <w:pPr>
                    <w:pStyle w:val="129"/>
                    <w:widowControl w:val="0"/>
                    <w:autoSpaceDE/>
                    <w:autoSpaceDN/>
                    <w:rPr>
                      <w:rFonts w:hint="default" w:ascii="Times New Roman" w:hAnsi="Times New Roman" w:cs="Times New Roman"/>
                      <w:color w:val="FF0000"/>
                      <w:sz w:val="18"/>
                      <w:szCs w:val="18"/>
                      <w:lang w:eastAsia="en-US"/>
                    </w:rPr>
                  </w:pPr>
                </w:p>
              </w:tc>
              <w:tc>
                <w:tcPr>
                  <w:tcW w:w="765" w:type="pct"/>
                  <w:tcBorders>
                    <w:tl2br w:val="nil"/>
                    <w:tr2bl w:val="nil"/>
                  </w:tcBorders>
                  <w:shd w:val="clear" w:color="auto" w:fill="auto"/>
                  <w:vAlign w:val="center"/>
                </w:tcPr>
                <w:p w14:paraId="5793BBBF">
                  <w:pPr>
                    <w:pStyle w:val="129"/>
                    <w:widowControl w:val="0"/>
                    <w:autoSpaceDE/>
                    <w:autoSpaceDN/>
                    <w:rPr>
                      <w:rFonts w:hint="default" w:ascii="Times New Roman" w:hAnsi="Times New Roman" w:cs="Times New Roman"/>
                      <w:color w:val="FF0000"/>
                      <w:sz w:val="18"/>
                      <w:szCs w:val="18"/>
                      <w:lang w:eastAsia="en-US"/>
                    </w:rPr>
                  </w:pPr>
                  <w:r>
                    <w:rPr>
                      <w:rFonts w:hint="default" w:ascii="Times New Roman" w:hAnsi="Times New Roman" w:cs="Times New Roman"/>
                      <w:color w:val="FF0000"/>
                      <w:sz w:val="18"/>
                      <w:szCs w:val="18"/>
                      <w:lang w:eastAsia="en-US"/>
                    </w:rPr>
                    <w:t>小车扒胎机</w:t>
                  </w:r>
                </w:p>
              </w:tc>
              <w:tc>
                <w:tcPr>
                  <w:tcW w:w="844" w:type="pct"/>
                  <w:tcBorders>
                    <w:tl2br w:val="nil"/>
                    <w:tr2bl w:val="nil"/>
                  </w:tcBorders>
                  <w:vAlign w:val="center"/>
                </w:tcPr>
                <w:p w14:paraId="59966F91">
                  <w:pPr>
                    <w:pStyle w:val="129"/>
                    <w:widowControl w:val="0"/>
                    <w:autoSpaceDE/>
                    <w:autoSpaceDN/>
                    <w:rPr>
                      <w:rFonts w:hint="default" w:ascii="Times New Roman" w:hAnsi="Times New Roman" w:cs="Times New Roman"/>
                      <w:color w:val="FF0000"/>
                      <w:sz w:val="18"/>
                      <w:szCs w:val="18"/>
                      <w:lang w:eastAsia="en-US"/>
                    </w:rPr>
                  </w:pPr>
                  <w:r>
                    <w:rPr>
                      <w:rFonts w:hint="default" w:ascii="Times New Roman" w:hAnsi="Times New Roman" w:cs="Times New Roman"/>
                      <w:color w:val="FF0000"/>
                      <w:sz w:val="18"/>
                      <w:szCs w:val="18"/>
                      <w:lang w:eastAsia="en-US"/>
                    </w:rPr>
                    <w:t>LTC-1040</w:t>
                  </w:r>
                </w:p>
              </w:tc>
              <w:tc>
                <w:tcPr>
                  <w:tcW w:w="365" w:type="pct"/>
                  <w:tcBorders>
                    <w:tl2br w:val="nil"/>
                    <w:tr2bl w:val="nil"/>
                  </w:tcBorders>
                  <w:vAlign w:val="center"/>
                </w:tcPr>
                <w:p w14:paraId="7B42FE11">
                  <w:pPr>
                    <w:pStyle w:val="129"/>
                    <w:widowControl w:val="0"/>
                    <w:autoSpaceDE/>
                    <w:autoSpaceDN/>
                    <w:rPr>
                      <w:rFonts w:hint="default" w:ascii="Times New Roman" w:hAnsi="Times New Roman" w:cs="Times New Roman"/>
                      <w:color w:val="FF0000"/>
                      <w:sz w:val="18"/>
                      <w:szCs w:val="18"/>
                      <w:lang w:eastAsia="en-US"/>
                    </w:rPr>
                  </w:pPr>
                  <w:r>
                    <w:rPr>
                      <w:rFonts w:hint="default" w:ascii="Times New Roman" w:hAnsi="Times New Roman" w:cs="Times New Roman"/>
                      <w:color w:val="FF0000"/>
                      <w:sz w:val="18"/>
                      <w:szCs w:val="18"/>
                      <w:lang w:eastAsia="en-US"/>
                    </w:rPr>
                    <w:t>85</w:t>
                  </w:r>
                </w:p>
              </w:tc>
              <w:tc>
                <w:tcPr>
                  <w:tcW w:w="272" w:type="pct"/>
                  <w:vMerge w:val="continue"/>
                  <w:tcBorders>
                    <w:tl2br w:val="nil"/>
                    <w:tr2bl w:val="nil"/>
                  </w:tcBorders>
                  <w:vAlign w:val="center"/>
                </w:tcPr>
                <w:p w14:paraId="5419BDB2">
                  <w:pPr>
                    <w:pStyle w:val="129"/>
                    <w:widowControl w:val="0"/>
                    <w:autoSpaceDE/>
                    <w:autoSpaceDN/>
                    <w:rPr>
                      <w:rFonts w:hint="default" w:ascii="Times New Roman" w:hAnsi="Times New Roman" w:cs="Times New Roman"/>
                      <w:color w:val="FF0000"/>
                      <w:sz w:val="18"/>
                      <w:szCs w:val="18"/>
                      <w:lang w:eastAsia="en-US"/>
                    </w:rPr>
                  </w:pPr>
                </w:p>
              </w:tc>
              <w:tc>
                <w:tcPr>
                  <w:tcW w:w="169" w:type="pct"/>
                  <w:tcBorders>
                    <w:tl2br w:val="nil"/>
                    <w:tr2bl w:val="nil"/>
                  </w:tcBorders>
                  <w:vAlign w:val="center"/>
                </w:tcPr>
                <w:p w14:paraId="7A8F48AD">
                  <w:pPr>
                    <w:pStyle w:val="129"/>
                    <w:widowControl w:val="0"/>
                    <w:autoSpaceDE/>
                    <w:autoSpaceDN/>
                    <w:rPr>
                      <w:rFonts w:hint="default" w:ascii="Times New Roman" w:hAnsi="Times New Roman" w:cs="Times New Roman"/>
                      <w:color w:val="FF0000"/>
                      <w:sz w:val="18"/>
                      <w:szCs w:val="18"/>
                      <w:lang w:eastAsia="en-US"/>
                    </w:rPr>
                  </w:pPr>
                  <w:r>
                    <w:rPr>
                      <w:rFonts w:hint="default" w:ascii="Times New Roman" w:hAnsi="Times New Roman" w:cs="Times New Roman"/>
                      <w:color w:val="FF0000"/>
                      <w:sz w:val="18"/>
                      <w:szCs w:val="18"/>
                      <w:lang w:eastAsia="en-US"/>
                    </w:rPr>
                    <w:t>55</w:t>
                  </w:r>
                </w:p>
              </w:tc>
              <w:tc>
                <w:tcPr>
                  <w:tcW w:w="199" w:type="pct"/>
                  <w:tcBorders>
                    <w:tl2br w:val="nil"/>
                    <w:tr2bl w:val="nil"/>
                  </w:tcBorders>
                  <w:vAlign w:val="center"/>
                </w:tcPr>
                <w:p w14:paraId="65E40E14">
                  <w:pPr>
                    <w:pStyle w:val="129"/>
                    <w:widowControl w:val="0"/>
                    <w:autoSpaceDE/>
                    <w:autoSpaceDN/>
                    <w:rPr>
                      <w:rFonts w:hint="default" w:ascii="Times New Roman" w:hAnsi="Times New Roman" w:cs="Times New Roman"/>
                      <w:color w:val="FF0000"/>
                      <w:sz w:val="18"/>
                      <w:szCs w:val="18"/>
                      <w:lang w:eastAsia="en-US"/>
                    </w:rPr>
                  </w:pPr>
                  <w:r>
                    <w:rPr>
                      <w:rFonts w:hint="default" w:ascii="Times New Roman" w:hAnsi="Times New Roman" w:cs="Times New Roman"/>
                      <w:color w:val="FF0000"/>
                      <w:sz w:val="18"/>
                      <w:szCs w:val="18"/>
                      <w:lang w:eastAsia="en-US"/>
                    </w:rPr>
                    <w:t>43</w:t>
                  </w:r>
                </w:p>
              </w:tc>
              <w:tc>
                <w:tcPr>
                  <w:tcW w:w="215" w:type="pct"/>
                  <w:tcBorders>
                    <w:tl2br w:val="nil"/>
                    <w:tr2bl w:val="nil"/>
                  </w:tcBorders>
                  <w:vAlign w:val="center"/>
                </w:tcPr>
                <w:p w14:paraId="78FD1192">
                  <w:pPr>
                    <w:pStyle w:val="129"/>
                    <w:widowControl w:val="0"/>
                    <w:autoSpaceDE/>
                    <w:autoSpaceDN/>
                    <w:rPr>
                      <w:rFonts w:hint="default" w:ascii="Times New Roman" w:hAnsi="Times New Roman" w:cs="Times New Roman"/>
                      <w:color w:val="FF0000"/>
                      <w:sz w:val="18"/>
                      <w:szCs w:val="18"/>
                      <w:lang w:eastAsia="en-US"/>
                    </w:rPr>
                  </w:pPr>
                  <w:r>
                    <w:rPr>
                      <w:rFonts w:hint="default" w:ascii="Times New Roman" w:hAnsi="Times New Roman" w:cs="Times New Roman"/>
                      <w:color w:val="FF0000"/>
                      <w:sz w:val="18"/>
                      <w:szCs w:val="18"/>
                      <w:lang w:eastAsia="en-US"/>
                    </w:rPr>
                    <w:t>1</w:t>
                  </w:r>
                </w:p>
              </w:tc>
              <w:tc>
                <w:tcPr>
                  <w:tcW w:w="330" w:type="pct"/>
                  <w:tcBorders>
                    <w:tl2br w:val="nil"/>
                    <w:tr2bl w:val="nil"/>
                  </w:tcBorders>
                  <w:vAlign w:val="center"/>
                </w:tcPr>
                <w:p w14:paraId="1F97F4FE">
                  <w:pPr>
                    <w:pStyle w:val="129"/>
                    <w:widowControl w:val="0"/>
                    <w:autoSpaceDE/>
                    <w:autoSpaceDN/>
                    <w:rPr>
                      <w:rFonts w:hint="default" w:ascii="Times New Roman" w:hAnsi="Times New Roman" w:cs="Times New Roman"/>
                      <w:color w:val="FF0000"/>
                      <w:sz w:val="18"/>
                      <w:szCs w:val="18"/>
                      <w:lang w:eastAsia="en-US"/>
                    </w:rPr>
                  </w:pPr>
                  <w:r>
                    <w:rPr>
                      <w:rFonts w:hint="default" w:ascii="Times New Roman" w:hAnsi="Times New Roman" w:cs="Times New Roman"/>
                      <w:color w:val="FF0000"/>
                      <w:sz w:val="18"/>
                      <w:szCs w:val="18"/>
                      <w:lang w:eastAsia="en-US"/>
                    </w:rPr>
                    <w:t>5</w:t>
                  </w:r>
                </w:p>
              </w:tc>
              <w:tc>
                <w:tcPr>
                  <w:tcW w:w="355" w:type="pct"/>
                  <w:tcBorders>
                    <w:tl2br w:val="nil"/>
                    <w:tr2bl w:val="nil"/>
                  </w:tcBorders>
                  <w:vAlign w:val="center"/>
                </w:tcPr>
                <w:p w14:paraId="239E7DEE">
                  <w:pPr>
                    <w:pStyle w:val="129"/>
                    <w:widowControl w:val="0"/>
                    <w:autoSpaceDE/>
                    <w:autoSpaceDN/>
                    <w:rPr>
                      <w:rFonts w:hint="default" w:ascii="Times New Roman" w:hAnsi="Times New Roman" w:cs="Times New Roman"/>
                      <w:color w:val="FF0000"/>
                      <w:sz w:val="18"/>
                      <w:szCs w:val="18"/>
                      <w:lang w:eastAsia="en-US"/>
                    </w:rPr>
                  </w:pPr>
                  <w:r>
                    <w:rPr>
                      <w:rFonts w:hint="default" w:ascii="Times New Roman" w:hAnsi="Times New Roman" w:cs="Times New Roman"/>
                      <w:color w:val="FF0000"/>
                      <w:sz w:val="18"/>
                      <w:szCs w:val="18"/>
                      <w:lang w:eastAsia="en-US"/>
                    </w:rPr>
                    <w:t>60</w:t>
                  </w:r>
                </w:p>
              </w:tc>
              <w:tc>
                <w:tcPr>
                  <w:tcW w:w="252" w:type="pct"/>
                  <w:vMerge w:val="continue"/>
                  <w:tcBorders>
                    <w:tl2br w:val="nil"/>
                    <w:tr2bl w:val="nil"/>
                  </w:tcBorders>
                  <w:vAlign w:val="center"/>
                </w:tcPr>
                <w:p w14:paraId="1251DC25">
                  <w:pPr>
                    <w:pStyle w:val="129"/>
                    <w:widowControl w:val="0"/>
                    <w:autoSpaceDE/>
                    <w:autoSpaceDN/>
                    <w:rPr>
                      <w:rFonts w:hint="default" w:ascii="Times New Roman" w:hAnsi="Times New Roman" w:cs="Times New Roman"/>
                      <w:color w:val="FF0000"/>
                      <w:sz w:val="18"/>
                      <w:szCs w:val="18"/>
                      <w:lang w:eastAsia="en-US"/>
                    </w:rPr>
                  </w:pPr>
                </w:p>
              </w:tc>
              <w:tc>
                <w:tcPr>
                  <w:tcW w:w="321" w:type="pct"/>
                  <w:tcBorders>
                    <w:tl2br w:val="nil"/>
                    <w:tr2bl w:val="nil"/>
                  </w:tcBorders>
                  <w:vAlign w:val="center"/>
                </w:tcPr>
                <w:p w14:paraId="69773242">
                  <w:pPr>
                    <w:pStyle w:val="129"/>
                    <w:widowControl w:val="0"/>
                    <w:autoSpaceDE/>
                    <w:autoSpaceDN/>
                    <w:rPr>
                      <w:rFonts w:hint="default" w:ascii="Times New Roman" w:hAnsi="Times New Roman" w:cs="Times New Roman"/>
                      <w:color w:val="FF0000"/>
                      <w:sz w:val="18"/>
                      <w:szCs w:val="18"/>
                      <w:lang w:eastAsia="en-US"/>
                    </w:rPr>
                  </w:pPr>
                  <w:r>
                    <w:rPr>
                      <w:rFonts w:hint="default" w:ascii="Times New Roman" w:hAnsi="Times New Roman" w:cs="Times New Roman"/>
                      <w:color w:val="FF0000"/>
                      <w:sz w:val="18"/>
                      <w:szCs w:val="18"/>
                      <w:lang w:eastAsia="en-US"/>
                    </w:rPr>
                    <w:t>25.5</w:t>
                  </w:r>
                </w:p>
              </w:tc>
              <w:tc>
                <w:tcPr>
                  <w:tcW w:w="355" w:type="pct"/>
                  <w:tcBorders>
                    <w:tl2br w:val="nil"/>
                    <w:tr2bl w:val="nil"/>
                  </w:tcBorders>
                  <w:shd w:val="clear" w:color="auto" w:fill="auto"/>
                  <w:vAlign w:val="center"/>
                </w:tcPr>
                <w:p w14:paraId="1CCFFE5F">
                  <w:pPr>
                    <w:pStyle w:val="129"/>
                    <w:widowControl w:val="0"/>
                    <w:autoSpaceDE/>
                    <w:autoSpaceDN/>
                    <w:rPr>
                      <w:rFonts w:hint="default" w:ascii="Times New Roman" w:hAnsi="Times New Roman" w:cs="Times New Roman"/>
                      <w:color w:val="FF0000"/>
                      <w:sz w:val="18"/>
                      <w:szCs w:val="18"/>
                      <w:lang w:eastAsia="en-US"/>
                    </w:rPr>
                  </w:pPr>
                  <w:r>
                    <w:rPr>
                      <w:rFonts w:hint="default" w:ascii="Times New Roman" w:hAnsi="Times New Roman" w:cs="Times New Roman"/>
                      <w:color w:val="FF0000"/>
                      <w:sz w:val="18"/>
                      <w:szCs w:val="18"/>
                      <w:lang w:eastAsia="en-US"/>
                    </w:rPr>
                    <w:t>34.5</w:t>
                  </w:r>
                </w:p>
              </w:tc>
              <w:tc>
                <w:tcPr>
                  <w:tcW w:w="149" w:type="pct"/>
                  <w:tcBorders>
                    <w:tl2br w:val="nil"/>
                    <w:tr2bl w:val="nil"/>
                  </w:tcBorders>
                  <w:vAlign w:val="center"/>
                </w:tcPr>
                <w:p w14:paraId="725E47AB">
                  <w:pPr>
                    <w:pStyle w:val="129"/>
                    <w:widowControl w:val="0"/>
                    <w:autoSpaceDE/>
                    <w:autoSpaceDN/>
                    <w:rPr>
                      <w:rFonts w:hint="default" w:ascii="Times New Roman" w:hAnsi="Times New Roman" w:cs="Times New Roman"/>
                      <w:color w:val="FF0000"/>
                      <w:sz w:val="18"/>
                      <w:szCs w:val="18"/>
                      <w:lang w:eastAsia="en-US"/>
                    </w:rPr>
                  </w:pPr>
                  <w:r>
                    <w:rPr>
                      <w:rFonts w:hint="default" w:ascii="Times New Roman" w:hAnsi="Times New Roman" w:cs="Times New Roman"/>
                      <w:color w:val="FF0000"/>
                      <w:sz w:val="18"/>
                      <w:szCs w:val="18"/>
                      <w:lang w:eastAsia="en-US"/>
                    </w:rPr>
                    <w:t>1</w:t>
                  </w:r>
                </w:p>
              </w:tc>
            </w:tr>
            <w:tr w14:paraId="3802C765">
              <w:tblPrEx>
                <w:tblBorders>
                  <w:top w:val="double" w:color="000000" w:sz="4" w:space="0"/>
                  <w:left w:val="none" w:color="auto" w:sz="0" w:space="0"/>
                  <w:bottom w:val="double" w:color="000000" w:sz="4"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90" w:hRule="atLeast"/>
              </w:trPr>
              <w:tc>
                <w:tcPr>
                  <w:tcW w:w="172" w:type="pct"/>
                  <w:vMerge w:val="continue"/>
                  <w:tcBorders>
                    <w:tl2br w:val="nil"/>
                    <w:tr2bl w:val="nil"/>
                  </w:tcBorders>
                  <w:vAlign w:val="center"/>
                </w:tcPr>
                <w:p w14:paraId="115557DE">
                  <w:pPr>
                    <w:pStyle w:val="129"/>
                    <w:widowControl w:val="0"/>
                    <w:autoSpaceDE/>
                    <w:autoSpaceDN/>
                    <w:rPr>
                      <w:rFonts w:hint="default" w:ascii="Times New Roman" w:hAnsi="Times New Roman" w:cs="Times New Roman"/>
                      <w:color w:val="FF0000"/>
                      <w:sz w:val="18"/>
                      <w:szCs w:val="18"/>
                      <w:lang w:eastAsia="en-US"/>
                    </w:rPr>
                  </w:pPr>
                </w:p>
              </w:tc>
              <w:tc>
                <w:tcPr>
                  <w:tcW w:w="232" w:type="pct"/>
                  <w:vMerge w:val="continue"/>
                  <w:tcBorders>
                    <w:tl2br w:val="nil"/>
                    <w:tr2bl w:val="nil"/>
                  </w:tcBorders>
                  <w:vAlign w:val="center"/>
                </w:tcPr>
                <w:p w14:paraId="1218A124">
                  <w:pPr>
                    <w:pStyle w:val="129"/>
                    <w:widowControl w:val="0"/>
                    <w:autoSpaceDE/>
                    <w:autoSpaceDN/>
                    <w:rPr>
                      <w:rFonts w:hint="default" w:ascii="Times New Roman" w:hAnsi="Times New Roman" w:cs="Times New Roman"/>
                      <w:color w:val="FF0000"/>
                      <w:sz w:val="18"/>
                      <w:szCs w:val="18"/>
                      <w:lang w:eastAsia="en-US"/>
                    </w:rPr>
                  </w:pPr>
                </w:p>
              </w:tc>
              <w:tc>
                <w:tcPr>
                  <w:tcW w:w="765" w:type="pct"/>
                  <w:tcBorders>
                    <w:tl2br w:val="nil"/>
                    <w:tr2bl w:val="nil"/>
                  </w:tcBorders>
                  <w:shd w:val="clear" w:color="auto" w:fill="auto"/>
                  <w:vAlign w:val="center"/>
                </w:tcPr>
                <w:p w14:paraId="55EA8C1D">
                  <w:pPr>
                    <w:pStyle w:val="129"/>
                    <w:widowControl w:val="0"/>
                    <w:autoSpaceDE/>
                    <w:autoSpaceDN/>
                    <w:rPr>
                      <w:rFonts w:hint="default" w:ascii="Times New Roman" w:hAnsi="Times New Roman" w:cs="Times New Roman"/>
                      <w:color w:val="FF0000"/>
                      <w:sz w:val="18"/>
                      <w:szCs w:val="18"/>
                      <w:lang w:eastAsia="en-US"/>
                    </w:rPr>
                  </w:pPr>
                  <w:r>
                    <w:rPr>
                      <w:rFonts w:hint="default" w:ascii="Times New Roman" w:hAnsi="Times New Roman" w:cs="Times New Roman"/>
                      <w:color w:val="FF0000"/>
                      <w:sz w:val="18"/>
                      <w:szCs w:val="18"/>
                      <w:lang w:eastAsia="en-US"/>
                    </w:rPr>
                    <w:t>安全气囊引爆器</w:t>
                  </w:r>
                </w:p>
              </w:tc>
              <w:tc>
                <w:tcPr>
                  <w:tcW w:w="844" w:type="pct"/>
                  <w:tcBorders>
                    <w:tl2br w:val="nil"/>
                    <w:tr2bl w:val="nil"/>
                  </w:tcBorders>
                  <w:vAlign w:val="center"/>
                </w:tcPr>
                <w:p w14:paraId="220E0A8E">
                  <w:pPr>
                    <w:pStyle w:val="129"/>
                    <w:widowControl w:val="0"/>
                    <w:autoSpaceDE/>
                    <w:autoSpaceDN/>
                    <w:rPr>
                      <w:rFonts w:hint="default" w:ascii="Times New Roman" w:hAnsi="Times New Roman" w:cs="Times New Roman"/>
                      <w:color w:val="FF0000"/>
                      <w:sz w:val="18"/>
                      <w:szCs w:val="18"/>
                      <w:lang w:eastAsia="en-US"/>
                    </w:rPr>
                  </w:pPr>
                  <w:r>
                    <w:rPr>
                      <w:rFonts w:hint="default" w:ascii="Times New Roman" w:hAnsi="Times New Roman" w:cs="Times New Roman"/>
                      <w:color w:val="FF0000"/>
                      <w:sz w:val="18"/>
                      <w:szCs w:val="18"/>
                      <w:lang w:eastAsia="en-US"/>
                    </w:rPr>
                    <w:t>QY</w:t>
                  </w:r>
                </w:p>
              </w:tc>
              <w:tc>
                <w:tcPr>
                  <w:tcW w:w="365" w:type="pct"/>
                  <w:tcBorders>
                    <w:tl2br w:val="nil"/>
                    <w:tr2bl w:val="nil"/>
                  </w:tcBorders>
                  <w:vAlign w:val="center"/>
                </w:tcPr>
                <w:p w14:paraId="0FB7B125">
                  <w:pPr>
                    <w:pStyle w:val="129"/>
                    <w:widowControl w:val="0"/>
                    <w:autoSpaceDE/>
                    <w:autoSpaceDN/>
                    <w:rPr>
                      <w:rFonts w:hint="default" w:ascii="Times New Roman" w:hAnsi="Times New Roman" w:cs="Times New Roman"/>
                      <w:color w:val="FF0000"/>
                      <w:sz w:val="18"/>
                      <w:szCs w:val="18"/>
                      <w:lang w:eastAsia="en-US"/>
                    </w:rPr>
                  </w:pPr>
                  <w:r>
                    <w:rPr>
                      <w:rFonts w:hint="default" w:ascii="Times New Roman" w:hAnsi="Times New Roman" w:cs="Times New Roman"/>
                      <w:color w:val="FF0000"/>
                      <w:sz w:val="18"/>
                      <w:szCs w:val="18"/>
                      <w:lang w:eastAsia="en-US"/>
                    </w:rPr>
                    <w:t>85</w:t>
                  </w:r>
                </w:p>
              </w:tc>
              <w:tc>
                <w:tcPr>
                  <w:tcW w:w="272" w:type="pct"/>
                  <w:vMerge w:val="continue"/>
                  <w:tcBorders>
                    <w:tl2br w:val="nil"/>
                    <w:tr2bl w:val="nil"/>
                  </w:tcBorders>
                  <w:vAlign w:val="center"/>
                </w:tcPr>
                <w:p w14:paraId="15139DD4">
                  <w:pPr>
                    <w:pStyle w:val="129"/>
                    <w:widowControl w:val="0"/>
                    <w:autoSpaceDE/>
                    <w:autoSpaceDN/>
                    <w:rPr>
                      <w:rFonts w:hint="default" w:ascii="Times New Roman" w:hAnsi="Times New Roman" w:cs="Times New Roman"/>
                      <w:color w:val="FF0000"/>
                      <w:sz w:val="18"/>
                      <w:szCs w:val="18"/>
                      <w:lang w:eastAsia="en-US"/>
                    </w:rPr>
                  </w:pPr>
                </w:p>
              </w:tc>
              <w:tc>
                <w:tcPr>
                  <w:tcW w:w="169" w:type="pct"/>
                  <w:tcBorders>
                    <w:tl2br w:val="nil"/>
                    <w:tr2bl w:val="nil"/>
                  </w:tcBorders>
                  <w:vAlign w:val="center"/>
                </w:tcPr>
                <w:p w14:paraId="2C9A8923">
                  <w:pPr>
                    <w:pStyle w:val="129"/>
                    <w:widowControl w:val="0"/>
                    <w:autoSpaceDE/>
                    <w:autoSpaceDN/>
                    <w:rPr>
                      <w:rFonts w:hint="default" w:ascii="Times New Roman" w:hAnsi="Times New Roman" w:cs="Times New Roman"/>
                      <w:color w:val="FF0000"/>
                      <w:sz w:val="18"/>
                      <w:szCs w:val="18"/>
                      <w:lang w:eastAsia="en-US"/>
                    </w:rPr>
                  </w:pPr>
                  <w:r>
                    <w:rPr>
                      <w:rFonts w:hint="default" w:ascii="Times New Roman" w:hAnsi="Times New Roman" w:cs="Times New Roman"/>
                      <w:color w:val="FF0000"/>
                      <w:sz w:val="18"/>
                      <w:szCs w:val="18"/>
                      <w:lang w:eastAsia="en-US"/>
                    </w:rPr>
                    <w:t>50</w:t>
                  </w:r>
                </w:p>
              </w:tc>
              <w:tc>
                <w:tcPr>
                  <w:tcW w:w="199" w:type="pct"/>
                  <w:tcBorders>
                    <w:tl2br w:val="nil"/>
                    <w:tr2bl w:val="nil"/>
                  </w:tcBorders>
                  <w:vAlign w:val="center"/>
                </w:tcPr>
                <w:p w14:paraId="3F8BC341">
                  <w:pPr>
                    <w:pStyle w:val="129"/>
                    <w:widowControl w:val="0"/>
                    <w:autoSpaceDE/>
                    <w:autoSpaceDN/>
                    <w:rPr>
                      <w:rFonts w:hint="default" w:ascii="Times New Roman" w:hAnsi="Times New Roman" w:cs="Times New Roman"/>
                      <w:color w:val="FF0000"/>
                      <w:sz w:val="18"/>
                      <w:szCs w:val="18"/>
                      <w:lang w:eastAsia="en-US"/>
                    </w:rPr>
                  </w:pPr>
                  <w:r>
                    <w:rPr>
                      <w:rFonts w:hint="default" w:ascii="Times New Roman" w:hAnsi="Times New Roman" w:cs="Times New Roman"/>
                      <w:color w:val="FF0000"/>
                      <w:sz w:val="18"/>
                      <w:szCs w:val="18"/>
                      <w:lang w:eastAsia="en-US"/>
                    </w:rPr>
                    <w:t>43</w:t>
                  </w:r>
                </w:p>
              </w:tc>
              <w:tc>
                <w:tcPr>
                  <w:tcW w:w="215" w:type="pct"/>
                  <w:tcBorders>
                    <w:tl2br w:val="nil"/>
                    <w:tr2bl w:val="nil"/>
                  </w:tcBorders>
                  <w:vAlign w:val="center"/>
                </w:tcPr>
                <w:p w14:paraId="6FCE6FA6">
                  <w:pPr>
                    <w:pStyle w:val="129"/>
                    <w:widowControl w:val="0"/>
                    <w:autoSpaceDE/>
                    <w:autoSpaceDN/>
                    <w:rPr>
                      <w:rFonts w:hint="default" w:ascii="Times New Roman" w:hAnsi="Times New Roman" w:cs="Times New Roman"/>
                      <w:color w:val="FF0000"/>
                      <w:sz w:val="18"/>
                      <w:szCs w:val="18"/>
                      <w:lang w:eastAsia="en-US"/>
                    </w:rPr>
                  </w:pPr>
                  <w:r>
                    <w:rPr>
                      <w:rFonts w:hint="default" w:ascii="Times New Roman" w:hAnsi="Times New Roman" w:cs="Times New Roman"/>
                      <w:color w:val="FF0000"/>
                      <w:sz w:val="18"/>
                      <w:szCs w:val="18"/>
                      <w:lang w:eastAsia="en-US"/>
                    </w:rPr>
                    <w:t>1</w:t>
                  </w:r>
                </w:p>
              </w:tc>
              <w:tc>
                <w:tcPr>
                  <w:tcW w:w="330" w:type="pct"/>
                  <w:tcBorders>
                    <w:tl2br w:val="nil"/>
                    <w:tr2bl w:val="nil"/>
                  </w:tcBorders>
                  <w:vAlign w:val="center"/>
                </w:tcPr>
                <w:p w14:paraId="5D9E27BE">
                  <w:pPr>
                    <w:pStyle w:val="129"/>
                    <w:widowControl w:val="0"/>
                    <w:autoSpaceDE/>
                    <w:autoSpaceDN/>
                    <w:rPr>
                      <w:rFonts w:hint="default" w:ascii="Times New Roman" w:hAnsi="Times New Roman" w:cs="Times New Roman"/>
                      <w:color w:val="FF0000"/>
                      <w:sz w:val="18"/>
                      <w:szCs w:val="18"/>
                      <w:lang w:eastAsia="en-US"/>
                    </w:rPr>
                  </w:pPr>
                  <w:r>
                    <w:rPr>
                      <w:rFonts w:hint="default" w:ascii="Times New Roman" w:hAnsi="Times New Roman" w:cs="Times New Roman"/>
                      <w:color w:val="FF0000"/>
                      <w:sz w:val="18"/>
                      <w:szCs w:val="18"/>
                      <w:lang w:eastAsia="en-US"/>
                    </w:rPr>
                    <w:t>5</w:t>
                  </w:r>
                </w:p>
              </w:tc>
              <w:tc>
                <w:tcPr>
                  <w:tcW w:w="355" w:type="pct"/>
                  <w:tcBorders>
                    <w:tl2br w:val="nil"/>
                    <w:tr2bl w:val="nil"/>
                  </w:tcBorders>
                  <w:vAlign w:val="center"/>
                </w:tcPr>
                <w:p w14:paraId="1767885B">
                  <w:pPr>
                    <w:pStyle w:val="129"/>
                    <w:widowControl w:val="0"/>
                    <w:autoSpaceDE/>
                    <w:autoSpaceDN/>
                    <w:rPr>
                      <w:rFonts w:hint="default" w:ascii="Times New Roman" w:hAnsi="Times New Roman" w:cs="Times New Roman"/>
                      <w:color w:val="FF0000"/>
                      <w:sz w:val="18"/>
                      <w:szCs w:val="18"/>
                      <w:lang w:eastAsia="en-US"/>
                    </w:rPr>
                  </w:pPr>
                  <w:r>
                    <w:rPr>
                      <w:rFonts w:hint="default" w:ascii="Times New Roman" w:hAnsi="Times New Roman" w:cs="Times New Roman"/>
                      <w:color w:val="FF0000"/>
                      <w:sz w:val="18"/>
                      <w:szCs w:val="18"/>
                      <w:lang w:eastAsia="en-US"/>
                    </w:rPr>
                    <w:t>60</w:t>
                  </w:r>
                </w:p>
              </w:tc>
              <w:tc>
                <w:tcPr>
                  <w:tcW w:w="252" w:type="pct"/>
                  <w:vMerge w:val="continue"/>
                  <w:tcBorders>
                    <w:tl2br w:val="nil"/>
                    <w:tr2bl w:val="nil"/>
                  </w:tcBorders>
                  <w:vAlign w:val="center"/>
                </w:tcPr>
                <w:p w14:paraId="79E6C6D9">
                  <w:pPr>
                    <w:pStyle w:val="129"/>
                    <w:widowControl w:val="0"/>
                    <w:autoSpaceDE/>
                    <w:autoSpaceDN/>
                    <w:rPr>
                      <w:rFonts w:hint="default" w:ascii="Times New Roman" w:hAnsi="Times New Roman" w:cs="Times New Roman"/>
                      <w:color w:val="FF0000"/>
                      <w:sz w:val="18"/>
                      <w:szCs w:val="18"/>
                      <w:lang w:eastAsia="en-US"/>
                    </w:rPr>
                  </w:pPr>
                </w:p>
              </w:tc>
              <w:tc>
                <w:tcPr>
                  <w:tcW w:w="321" w:type="pct"/>
                  <w:tcBorders>
                    <w:tl2br w:val="nil"/>
                    <w:tr2bl w:val="nil"/>
                  </w:tcBorders>
                  <w:vAlign w:val="center"/>
                </w:tcPr>
                <w:p w14:paraId="25677117">
                  <w:pPr>
                    <w:pStyle w:val="129"/>
                    <w:widowControl w:val="0"/>
                    <w:autoSpaceDE/>
                    <w:autoSpaceDN/>
                    <w:rPr>
                      <w:rFonts w:hint="default" w:ascii="Times New Roman" w:hAnsi="Times New Roman" w:cs="Times New Roman"/>
                      <w:color w:val="FF0000"/>
                      <w:sz w:val="18"/>
                      <w:szCs w:val="18"/>
                      <w:lang w:eastAsia="en-US"/>
                    </w:rPr>
                  </w:pPr>
                  <w:r>
                    <w:rPr>
                      <w:rFonts w:hint="default" w:ascii="Times New Roman" w:hAnsi="Times New Roman" w:cs="Times New Roman"/>
                      <w:color w:val="FF0000"/>
                      <w:sz w:val="18"/>
                      <w:szCs w:val="18"/>
                      <w:lang w:eastAsia="en-US"/>
                    </w:rPr>
                    <w:t>25.5</w:t>
                  </w:r>
                </w:p>
              </w:tc>
              <w:tc>
                <w:tcPr>
                  <w:tcW w:w="355" w:type="pct"/>
                  <w:tcBorders>
                    <w:tl2br w:val="nil"/>
                    <w:tr2bl w:val="nil"/>
                  </w:tcBorders>
                  <w:shd w:val="clear" w:color="auto" w:fill="auto"/>
                  <w:vAlign w:val="center"/>
                </w:tcPr>
                <w:p w14:paraId="0C6A3562">
                  <w:pPr>
                    <w:pStyle w:val="129"/>
                    <w:widowControl w:val="0"/>
                    <w:autoSpaceDE/>
                    <w:autoSpaceDN/>
                    <w:rPr>
                      <w:rFonts w:hint="default" w:ascii="Times New Roman" w:hAnsi="Times New Roman" w:cs="Times New Roman"/>
                      <w:color w:val="FF0000"/>
                      <w:sz w:val="18"/>
                      <w:szCs w:val="18"/>
                      <w:lang w:eastAsia="en-US"/>
                    </w:rPr>
                  </w:pPr>
                  <w:r>
                    <w:rPr>
                      <w:rFonts w:hint="default" w:ascii="Times New Roman" w:hAnsi="Times New Roman" w:cs="Times New Roman"/>
                      <w:color w:val="FF0000"/>
                      <w:sz w:val="18"/>
                      <w:szCs w:val="18"/>
                      <w:lang w:eastAsia="en-US"/>
                    </w:rPr>
                    <w:t>34.5</w:t>
                  </w:r>
                </w:p>
              </w:tc>
              <w:tc>
                <w:tcPr>
                  <w:tcW w:w="149" w:type="pct"/>
                  <w:tcBorders>
                    <w:tl2br w:val="nil"/>
                    <w:tr2bl w:val="nil"/>
                  </w:tcBorders>
                  <w:vAlign w:val="center"/>
                </w:tcPr>
                <w:p w14:paraId="618EA2A7">
                  <w:pPr>
                    <w:pStyle w:val="129"/>
                    <w:widowControl w:val="0"/>
                    <w:autoSpaceDE/>
                    <w:autoSpaceDN/>
                    <w:rPr>
                      <w:rFonts w:hint="default" w:ascii="Times New Roman" w:hAnsi="Times New Roman" w:cs="Times New Roman"/>
                      <w:color w:val="FF0000"/>
                      <w:sz w:val="18"/>
                      <w:szCs w:val="18"/>
                      <w:lang w:eastAsia="en-US"/>
                    </w:rPr>
                  </w:pPr>
                  <w:r>
                    <w:rPr>
                      <w:rFonts w:hint="default" w:ascii="Times New Roman" w:hAnsi="Times New Roman" w:cs="Times New Roman"/>
                      <w:color w:val="FF0000"/>
                      <w:sz w:val="18"/>
                      <w:szCs w:val="18"/>
                      <w:lang w:eastAsia="en-US"/>
                    </w:rPr>
                    <w:t>1</w:t>
                  </w:r>
                </w:p>
              </w:tc>
            </w:tr>
            <w:tr w14:paraId="4E1A0EBC">
              <w:tblPrEx>
                <w:tblBorders>
                  <w:top w:val="double" w:color="000000" w:sz="4" w:space="0"/>
                  <w:left w:val="none" w:color="auto" w:sz="0" w:space="0"/>
                  <w:bottom w:val="double" w:color="000000" w:sz="4"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90" w:hRule="atLeast"/>
              </w:trPr>
              <w:tc>
                <w:tcPr>
                  <w:tcW w:w="172" w:type="pct"/>
                  <w:vMerge w:val="continue"/>
                  <w:tcBorders>
                    <w:tl2br w:val="nil"/>
                    <w:tr2bl w:val="nil"/>
                  </w:tcBorders>
                  <w:vAlign w:val="center"/>
                </w:tcPr>
                <w:p w14:paraId="5DA848A7">
                  <w:pPr>
                    <w:pStyle w:val="129"/>
                    <w:widowControl w:val="0"/>
                    <w:autoSpaceDE/>
                    <w:autoSpaceDN/>
                    <w:rPr>
                      <w:rFonts w:hint="default" w:ascii="Times New Roman" w:hAnsi="Times New Roman" w:cs="Times New Roman"/>
                      <w:color w:val="FF0000"/>
                      <w:sz w:val="18"/>
                      <w:szCs w:val="18"/>
                      <w:lang w:eastAsia="en-US"/>
                    </w:rPr>
                  </w:pPr>
                </w:p>
              </w:tc>
              <w:tc>
                <w:tcPr>
                  <w:tcW w:w="232" w:type="pct"/>
                  <w:vMerge w:val="continue"/>
                  <w:tcBorders>
                    <w:tl2br w:val="nil"/>
                    <w:tr2bl w:val="nil"/>
                  </w:tcBorders>
                  <w:vAlign w:val="center"/>
                </w:tcPr>
                <w:p w14:paraId="1BF81C24">
                  <w:pPr>
                    <w:pStyle w:val="129"/>
                    <w:widowControl w:val="0"/>
                    <w:autoSpaceDE/>
                    <w:autoSpaceDN/>
                    <w:rPr>
                      <w:rFonts w:hint="default" w:ascii="Times New Roman" w:hAnsi="Times New Roman" w:cs="Times New Roman"/>
                      <w:color w:val="FF0000"/>
                      <w:sz w:val="18"/>
                      <w:szCs w:val="18"/>
                      <w:lang w:eastAsia="en-US"/>
                    </w:rPr>
                  </w:pPr>
                </w:p>
              </w:tc>
              <w:tc>
                <w:tcPr>
                  <w:tcW w:w="765" w:type="pct"/>
                  <w:tcBorders>
                    <w:tl2br w:val="nil"/>
                    <w:tr2bl w:val="nil"/>
                  </w:tcBorders>
                  <w:shd w:val="clear" w:color="auto" w:fill="auto"/>
                  <w:vAlign w:val="center"/>
                </w:tcPr>
                <w:p w14:paraId="185C5305">
                  <w:pPr>
                    <w:pStyle w:val="129"/>
                    <w:widowControl w:val="0"/>
                    <w:autoSpaceDE/>
                    <w:autoSpaceDN/>
                    <w:rPr>
                      <w:rFonts w:hint="default" w:ascii="Times New Roman" w:hAnsi="Times New Roman" w:cs="Times New Roman"/>
                      <w:color w:val="FF0000"/>
                      <w:sz w:val="18"/>
                      <w:szCs w:val="18"/>
                      <w:lang w:eastAsia="en-US"/>
                    </w:rPr>
                  </w:pPr>
                  <w:r>
                    <w:rPr>
                      <w:rFonts w:hint="default" w:ascii="Times New Roman" w:hAnsi="Times New Roman" w:cs="Times New Roman"/>
                      <w:color w:val="FF0000"/>
                      <w:sz w:val="18"/>
                      <w:szCs w:val="18"/>
                      <w:lang w:eastAsia="en-US"/>
                    </w:rPr>
                    <w:t>移动式液压剪</w:t>
                  </w:r>
                </w:p>
              </w:tc>
              <w:tc>
                <w:tcPr>
                  <w:tcW w:w="844" w:type="pct"/>
                  <w:tcBorders>
                    <w:tl2br w:val="nil"/>
                    <w:tr2bl w:val="nil"/>
                  </w:tcBorders>
                  <w:shd w:val="clear" w:color="auto" w:fill="auto"/>
                  <w:vAlign w:val="center"/>
                </w:tcPr>
                <w:p w14:paraId="28E9944D">
                  <w:pPr>
                    <w:pStyle w:val="129"/>
                    <w:widowControl w:val="0"/>
                    <w:autoSpaceDE/>
                    <w:autoSpaceDN/>
                    <w:rPr>
                      <w:rFonts w:hint="default" w:ascii="Times New Roman" w:hAnsi="Times New Roman" w:cs="Times New Roman"/>
                      <w:color w:val="FF0000"/>
                      <w:sz w:val="18"/>
                      <w:szCs w:val="18"/>
                      <w:lang w:eastAsia="en-US"/>
                    </w:rPr>
                  </w:pPr>
                  <w:r>
                    <w:rPr>
                      <w:rFonts w:hint="default" w:ascii="Times New Roman" w:hAnsi="Times New Roman" w:cs="Times New Roman"/>
                      <w:color w:val="FF0000"/>
                      <w:sz w:val="18"/>
                      <w:szCs w:val="18"/>
                      <w:lang w:eastAsia="en-US"/>
                    </w:rPr>
                    <w:t>10A30/IPU-M12W</w:t>
                  </w:r>
                </w:p>
              </w:tc>
              <w:tc>
                <w:tcPr>
                  <w:tcW w:w="365" w:type="pct"/>
                  <w:tcBorders>
                    <w:tl2br w:val="nil"/>
                    <w:tr2bl w:val="nil"/>
                  </w:tcBorders>
                  <w:shd w:val="clear" w:color="auto" w:fill="auto"/>
                  <w:vAlign w:val="center"/>
                </w:tcPr>
                <w:p w14:paraId="23EB0B44">
                  <w:pPr>
                    <w:pStyle w:val="129"/>
                    <w:widowControl w:val="0"/>
                    <w:autoSpaceDE/>
                    <w:autoSpaceDN/>
                    <w:rPr>
                      <w:rFonts w:hint="default" w:ascii="Times New Roman" w:hAnsi="Times New Roman" w:cs="Times New Roman"/>
                      <w:color w:val="FF0000"/>
                      <w:sz w:val="18"/>
                      <w:szCs w:val="18"/>
                      <w:lang w:eastAsia="en-US"/>
                    </w:rPr>
                  </w:pPr>
                  <w:r>
                    <w:rPr>
                      <w:rFonts w:hint="default" w:ascii="Times New Roman" w:hAnsi="Times New Roman" w:cs="Times New Roman"/>
                      <w:color w:val="FF0000"/>
                      <w:sz w:val="18"/>
                      <w:szCs w:val="18"/>
                      <w:lang w:eastAsia="en-US"/>
                    </w:rPr>
                    <w:t>85</w:t>
                  </w:r>
                </w:p>
              </w:tc>
              <w:tc>
                <w:tcPr>
                  <w:tcW w:w="272" w:type="pct"/>
                  <w:vMerge w:val="continue"/>
                  <w:tcBorders>
                    <w:tl2br w:val="nil"/>
                    <w:tr2bl w:val="nil"/>
                  </w:tcBorders>
                  <w:shd w:val="clear" w:color="auto" w:fill="auto"/>
                  <w:vAlign w:val="center"/>
                </w:tcPr>
                <w:p w14:paraId="0B1BF983">
                  <w:pPr>
                    <w:pStyle w:val="129"/>
                    <w:widowControl w:val="0"/>
                    <w:autoSpaceDE/>
                    <w:autoSpaceDN/>
                    <w:rPr>
                      <w:rFonts w:hint="default" w:ascii="Times New Roman" w:hAnsi="Times New Roman" w:cs="Times New Roman"/>
                      <w:color w:val="FF0000"/>
                      <w:sz w:val="18"/>
                      <w:szCs w:val="18"/>
                      <w:lang w:eastAsia="en-US"/>
                    </w:rPr>
                  </w:pPr>
                </w:p>
              </w:tc>
              <w:tc>
                <w:tcPr>
                  <w:tcW w:w="169" w:type="pct"/>
                  <w:tcBorders>
                    <w:tl2br w:val="nil"/>
                    <w:tr2bl w:val="nil"/>
                  </w:tcBorders>
                  <w:shd w:val="clear" w:color="auto" w:fill="auto"/>
                  <w:vAlign w:val="center"/>
                </w:tcPr>
                <w:p w14:paraId="4B3FC6D8">
                  <w:pPr>
                    <w:pStyle w:val="129"/>
                    <w:widowControl w:val="0"/>
                    <w:autoSpaceDE/>
                    <w:autoSpaceDN/>
                    <w:rPr>
                      <w:rFonts w:hint="default" w:ascii="Times New Roman" w:hAnsi="Times New Roman" w:cs="Times New Roman"/>
                      <w:color w:val="FF0000"/>
                      <w:sz w:val="18"/>
                      <w:szCs w:val="18"/>
                      <w:lang w:eastAsia="en-US"/>
                    </w:rPr>
                  </w:pPr>
                  <w:r>
                    <w:rPr>
                      <w:rFonts w:hint="default" w:ascii="Times New Roman" w:hAnsi="Times New Roman" w:cs="Times New Roman"/>
                      <w:color w:val="FF0000"/>
                      <w:sz w:val="18"/>
                      <w:szCs w:val="18"/>
                      <w:lang w:eastAsia="en-US"/>
                    </w:rPr>
                    <w:t>70</w:t>
                  </w:r>
                </w:p>
              </w:tc>
              <w:tc>
                <w:tcPr>
                  <w:tcW w:w="199" w:type="pct"/>
                  <w:tcBorders>
                    <w:tl2br w:val="nil"/>
                    <w:tr2bl w:val="nil"/>
                  </w:tcBorders>
                  <w:shd w:val="clear" w:color="auto" w:fill="auto"/>
                  <w:vAlign w:val="center"/>
                </w:tcPr>
                <w:p w14:paraId="68BC2568">
                  <w:pPr>
                    <w:pStyle w:val="129"/>
                    <w:widowControl w:val="0"/>
                    <w:autoSpaceDE/>
                    <w:autoSpaceDN/>
                    <w:rPr>
                      <w:rFonts w:hint="default" w:ascii="Times New Roman" w:hAnsi="Times New Roman" w:cs="Times New Roman"/>
                      <w:color w:val="FF0000"/>
                      <w:sz w:val="18"/>
                      <w:szCs w:val="18"/>
                      <w:lang w:eastAsia="en-US"/>
                    </w:rPr>
                  </w:pPr>
                  <w:r>
                    <w:rPr>
                      <w:rFonts w:hint="default" w:ascii="Times New Roman" w:hAnsi="Times New Roman" w:cs="Times New Roman"/>
                      <w:color w:val="FF0000"/>
                      <w:sz w:val="18"/>
                      <w:szCs w:val="18"/>
                      <w:lang w:eastAsia="en-US"/>
                    </w:rPr>
                    <w:t>32</w:t>
                  </w:r>
                </w:p>
              </w:tc>
              <w:tc>
                <w:tcPr>
                  <w:tcW w:w="215" w:type="pct"/>
                  <w:tcBorders>
                    <w:tl2br w:val="nil"/>
                    <w:tr2bl w:val="nil"/>
                  </w:tcBorders>
                  <w:shd w:val="clear" w:color="auto" w:fill="auto"/>
                  <w:vAlign w:val="center"/>
                </w:tcPr>
                <w:p w14:paraId="14F3F7ED">
                  <w:pPr>
                    <w:pStyle w:val="129"/>
                    <w:widowControl w:val="0"/>
                    <w:autoSpaceDE/>
                    <w:autoSpaceDN/>
                    <w:rPr>
                      <w:rFonts w:hint="default" w:ascii="Times New Roman" w:hAnsi="Times New Roman" w:cs="Times New Roman"/>
                      <w:color w:val="FF0000"/>
                      <w:sz w:val="18"/>
                      <w:szCs w:val="18"/>
                      <w:lang w:eastAsia="en-US"/>
                    </w:rPr>
                  </w:pPr>
                  <w:r>
                    <w:rPr>
                      <w:rFonts w:hint="default" w:ascii="Times New Roman" w:hAnsi="Times New Roman" w:cs="Times New Roman"/>
                      <w:color w:val="FF0000"/>
                      <w:sz w:val="18"/>
                      <w:szCs w:val="18"/>
                      <w:lang w:eastAsia="en-US"/>
                    </w:rPr>
                    <w:t>1</w:t>
                  </w:r>
                </w:p>
              </w:tc>
              <w:tc>
                <w:tcPr>
                  <w:tcW w:w="330" w:type="pct"/>
                  <w:tcBorders>
                    <w:tl2br w:val="nil"/>
                    <w:tr2bl w:val="nil"/>
                  </w:tcBorders>
                  <w:shd w:val="clear" w:color="auto" w:fill="auto"/>
                  <w:vAlign w:val="center"/>
                </w:tcPr>
                <w:p w14:paraId="6E7AFD36">
                  <w:pPr>
                    <w:pStyle w:val="129"/>
                    <w:widowControl w:val="0"/>
                    <w:autoSpaceDE/>
                    <w:autoSpaceDN/>
                    <w:rPr>
                      <w:rFonts w:hint="default" w:ascii="Times New Roman" w:hAnsi="Times New Roman" w:cs="Times New Roman"/>
                      <w:color w:val="FF0000"/>
                      <w:sz w:val="18"/>
                      <w:szCs w:val="18"/>
                      <w:lang w:eastAsia="en-US"/>
                    </w:rPr>
                  </w:pPr>
                  <w:r>
                    <w:rPr>
                      <w:rFonts w:hint="default" w:ascii="Times New Roman" w:hAnsi="Times New Roman" w:cs="Times New Roman"/>
                      <w:color w:val="FF0000"/>
                      <w:sz w:val="18"/>
                      <w:szCs w:val="18"/>
                      <w:lang w:eastAsia="en-US"/>
                    </w:rPr>
                    <w:t>16</w:t>
                  </w:r>
                </w:p>
              </w:tc>
              <w:tc>
                <w:tcPr>
                  <w:tcW w:w="355" w:type="pct"/>
                  <w:tcBorders>
                    <w:tl2br w:val="nil"/>
                    <w:tr2bl w:val="nil"/>
                  </w:tcBorders>
                  <w:shd w:val="clear" w:color="auto" w:fill="auto"/>
                  <w:vAlign w:val="center"/>
                </w:tcPr>
                <w:p w14:paraId="7F50F0B5">
                  <w:pPr>
                    <w:pStyle w:val="129"/>
                    <w:widowControl w:val="0"/>
                    <w:autoSpaceDE/>
                    <w:autoSpaceDN/>
                    <w:rPr>
                      <w:rFonts w:hint="default" w:ascii="Times New Roman" w:hAnsi="Times New Roman" w:cs="Times New Roman"/>
                      <w:color w:val="FF0000"/>
                      <w:sz w:val="18"/>
                      <w:szCs w:val="18"/>
                      <w:lang w:eastAsia="en-US"/>
                    </w:rPr>
                  </w:pPr>
                  <w:r>
                    <w:rPr>
                      <w:rFonts w:hint="default" w:ascii="Times New Roman" w:hAnsi="Times New Roman" w:cs="Times New Roman"/>
                      <w:color w:val="FF0000"/>
                      <w:sz w:val="18"/>
                      <w:szCs w:val="18"/>
                      <w:lang w:eastAsia="en-US"/>
                    </w:rPr>
                    <w:t>49.9</w:t>
                  </w:r>
                </w:p>
              </w:tc>
              <w:tc>
                <w:tcPr>
                  <w:tcW w:w="252" w:type="pct"/>
                  <w:vMerge w:val="continue"/>
                  <w:tcBorders>
                    <w:tl2br w:val="nil"/>
                    <w:tr2bl w:val="nil"/>
                  </w:tcBorders>
                  <w:shd w:val="clear" w:color="auto" w:fill="auto"/>
                  <w:vAlign w:val="center"/>
                </w:tcPr>
                <w:p w14:paraId="5F2F45C4">
                  <w:pPr>
                    <w:pStyle w:val="129"/>
                    <w:widowControl w:val="0"/>
                    <w:autoSpaceDE/>
                    <w:autoSpaceDN/>
                    <w:rPr>
                      <w:rFonts w:hint="default" w:ascii="Times New Roman" w:hAnsi="Times New Roman" w:cs="Times New Roman"/>
                      <w:color w:val="FF0000"/>
                      <w:sz w:val="18"/>
                      <w:szCs w:val="18"/>
                      <w:lang w:eastAsia="en-US"/>
                    </w:rPr>
                  </w:pPr>
                </w:p>
              </w:tc>
              <w:tc>
                <w:tcPr>
                  <w:tcW w:w="321" w:type="pct"/>
                  <w:tcBorders>
                    <w:tl2br w:val="nil"/>
                    <w:tr2bl w:val="nil"/>
                  </w:tcBorders>
                  <w:shd w:val="clear" w:color="auto" w:fill="auto"/>
                  <w:vAlign w:val="center"/>
                </w:tcPr>
                <w:p w14:paraId="33944D57">
                  <w:pPr>
                    <w:pStyle w:val="129"/>
                    <w:widowControl w:val="0"/>
                    <w:autoSpaceDE/>
                    <w:autoSpaceDN/>
                    <w:rPr>
                      <w:rFonts w:hint="default" w:ascii="Times New Roman" w:hAnsi="Times New Roman" w:cs="Times New Roman"/>
                      <w:color w:val="FF0000"/>
                      <w:sz w:val="18"/>
                      <w:szCs w:val="18"/>
                      <w:lang w:eastAsia="en-US"/>
                    </w:rPr>
                  </w:pPr>
                  <w:r>
                    <w:rPr>
                      <w:rFonts w:hint="default" w:ascii="Times New Roman" w:hAnsi="Times New Roman" w:cs="Times New Roman"/>
                      <w:color w:val="FF0000"/>
                      <w:sz w:val="18"/>
                      <w:szCs w:val="18"/>
                      <w:lang w:eastAsia="en-US"/>
                    </w:rPr>
                    <w:t>25.5</w:t>
                  </w:r>
                </w:p>
              </w:tc>
              <w:tc>
                <w:tcPr>
                  <w:tcW w:w="355" w:type="pct"/>
                  <w:tcBorders>
                    <w:tl2br w:val="nil"/>
                    <w:tr2bl w:val="nil"/>
                  </w:tcBorders>
                  <w:shd w:val="clear" w:color="auto" w:fill="auto"/>
                  <w:vAlign w:val="center"/>
                </w:tcPr>
                <w:p w14:paraId="5B67D3FA">
                  <w:pPr>
                    <w:pStyle w:val="129"/>
                    <w:widowControl w:val="0"/>
                    <w:autoSpaceDE/>
                    <w:autoSpaceDN/>
                    <w:rPr>
                      <w:rFonts w:hint="default" w:ascii="Times New Roman" w:hAnsi="Times New Roman" w:cs="Times New Roman"/>
                      <w:color w:val="FF0000"/>
                      <w:sz w:val="18"/>
                      <w:szCs w:val="18"/>
                      <w:lang w:eastAsia="en-US"/>
                    </w:rPr>
                  </w:pPr>
                  <w:r>
                    <w:rPr>
                      <w:rFonts w:hint="default" w:ascii="Times New Roman" w:hAnsi="Times New Roman" w:cs="Times New Roman"/>
                      <w:color w:val="FF0000"/>
                      <w:sz w:val="18"/>
                      <w:szCs w:val="18"/>
                      <w:lang w:eastAsia="en-US"/>
                    </w:rPr>
                    <w:t>24.4</w:t>
                  </w:r>
                </w:p>
              </w:tc>
              <w:tc>
                <w:tcPr>
                  <w:tcW w:w="149" w:type="pct"/>
                  <w:tcBorders>
                    <w:tl2br w:val="nil"/>
                    <w:tr2bl w:val="nil"/>
                  </w:tcBorders>
                  <w:shd w:val="clear" w:color="auto" w:fill="auto"/>
                  <w:vAlign w:val="center"/>
                </w:tcPr>
                <w:p w14:paraId="393C01B3">
                  <w:pPr>
                    <w:pStyle w:val="129"/>
                    <w:widowControl w:val="0"/>
                    <w:autoSpaceDE/>
                    <w:autoSpaceDN/>
                    <w:rPr>
                      <w:rFonts w:hint="default" w:ascii="Times New Roman" w:hAnsi="Times New Roman" w:cs="Times New Roman"/>
                      <w:color w:val="FF0000"/>
                      <w:sz w:val="18"/>
                      <w:szCs w:val="18"/>
                      <w:lang w:eastAsia="en-US"/>
                    </w:rPr>
                  </w:pPr>
                  <w:r>
                    <w:rPr>
                      <w:rFonts w:hint="default" w:ascii="Times New Roman" w:hAnsi="Times New Roman" w:cs="Times New Roman"/>
                      <w:color w:val="FF0000"/>
                      <w:sz w:val="18"/>
                      <w:szCs w:val="18"/>
                      <w:lang w:eastAsia="en-US"/>
                    </w:rPr>
                    <w:t>1</w:t>
                  </w:r>
                </w:p>
              </w:tc>
            </w:tr>
            <w:tr w14:paraId="4C9ECB9F">
              <w:tblPrEx>
                <w:tblBorders>
                  <w:top w:val="double" w:color="000000" w:sz="4" w:space="0"/>
                  <w:left w:val="none" w:color="auto" w:sz="0" w:space="0"/>
                  <w:bottom w:val="double" w:color="000000" w:sz="4"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101" w:hRule="atLeast"/>
              </w:trPr>
              <w:tc>
                <w:tcPr>
                  <w:tcW w:w="172" w:type="pct"/>
                  <w:vMerge w:val="restart"/>
                  <w:tcBorders>
                    <w:tl2br w:val="nil"/>
                    <w:tr2bl w:val="nil"/>
                  </w:tcBorders>
                  <w:vAlign w:val="center"/>
                </w:tcPr>
                <w:p w14:paraId="58B432EA">
                  <w:pPr>
                    <w:pStyle w:val="129"/>
                    <w:widowControl w:val="0"/>
                    <w:autoSpaceDE/>
                    <w:autoSpaceDN/>
                    <w:rPr>
                      <w:rFonts w:hint="default" w:ascii="Times New Roman" w:hAnsi="Times New Roman" w:cs="Times New Roman"/>
                      <w:color w:val="FF0000"/>
                      <w:sz w:val="18"/>
                      <w:szCs w:val="18"/>
                      <w:lang w:eastAsia="en-US"/>
                    </w:rPr>
                  </w:pPr>
                </w:p>
              </w:tc>
              <w:tc>
                <w:tcPr>
                  <w:tcW w:w="232" w:type="pct"/>
                  <w:vMerge w:val="continue"/>
                  <w:tcBorders>
                    <w:tl2br w:val="nil"/>
                    <w:tr2bl w:val="nil"/>
                  </w:tcBorders>
                  <w:vAlign w:val="center"/>
                </w:tcPr>
                <w:p w14:paraId="14121513">
                  <w:pPr>
                    <w:pStyle w:val="129"/>
                    <w:widowControl w:val="0"/>
                    <w:autoSpaceDE/>
                    <w:autoSpaceDN/>
                    <w:rPr>
                      <w:rFonts w:hint="default" w:ascii="Times New Roman" w:hAnsi="Times New Roman" w:cs="Times New Roman"/>
                      <w:color w:val="FF0000"/>
                      <w:sz w:val="18"/>
                      <w:szCs w:val="18"/>
                      <w:lang w:eastAsia="en-US"/>
                    </w:rPr>
                  </w:pPr>
                </w:p>
              </w:tc>
              <w:tc>
                <w:tcPr>
                  <w:tcW w:w="765" w:type="pct"/>
                  <w:tcBorders>
                    <w:tl2br w:val="nil"/>
                    <w:tr2bl w:val="nil"/>
                  </w:tcBorders>
                  <w:shd w:val="clear" w:color="auto" w:fill="auto"/>
                  <w:vAlign w:val="center"/>
                </w:tcPr>
                <w:p w14:paraId="14BF3A1E">
                  <w:pPr>
                    <w:pStyle w:val="129"/>
                    <w:widowControl w:val="0"/>
                    <w:autoSpaceDE/>
                    <w:autoSpaceDN/>
                    <w:rPr>
                      <w:rFonts w:hint="default" w:ascii="Times New Roman" w:hAnsi="Times New Roman" w:cs="Times New Roman"/>
                      <w:color w:val="FF0000"/>
                      <w:sz w:val="18"/>
                      <w:szCs w:val="18"/>
                      <w:lang w:eastAsia="en-US"/>
                    </w:rPr>
                  </w:pPr>
                  <w:r>
                    <w:rPr>
                      <w:rFonts w:hint="default" w:ascii="Times New Roman" w:hAnsi="Times New Roman" w:cs="Times New Roman"/>
                      <w:color w:val="FF0000"/>
                      <w:sz w:val="18"/>
                      <w:szCs w:val="18"/>
                      <w:lang w:eastAsia="en-US"/>
                    </w:rPr>
                    <w:t>预处理举升机</w:t>
                  </w:r>
                </w:p>
              </w:tc>
              <w:tc>
                <w:tcPr>
                  <w:tcW w:w="844" w:type="pct"/>
                  <w:tcBorders>
                    <w:tl2br w:val="nil"/>
                    <w:tr2bl w:val="nil"/>
                  </w:tcBorders>
                  <w:vAlign w:val="center"/>
                </w:tcPr>
                <w:p w14:paraId="07255DEE">
                  <w:pPr>
                    <w:pStyle w:val="129"/>
                    <w:widowControl w:val="0"/>
                    <w:autoSpaceDE/>
                    <w:autoSpaceDN/>
                    <w:rPr>
                      <w:rFonts w:hint="default" w:ascii="Times New Roman" w:hAnsi="Times New Roman" w:cs="Times New Roman"/>
                      <w:color w:val="FF0000"/>
                      <w:sz w:val="18"/>
                      <w:szCs w:val="18"/>
                      <w:lang w:eastAsia="en-US"/>
                    </w:rPr>
                  </w:pPr>
                  <w:r>
                    <w:rPr>
                      <w:rFonts w:hint="default" w:ascii="Times New Roman" w:hAnsi="Times New Roman" w:cs="Times New Roman"/>
                      <w:color w:val="FF0000"/>
                      <w:sz w:val="18"/>
                      <w:szCs w:val="18"/>
                      <w:lang w:eastAsia="en-US"/>
                    </w:rPr>
                    <w:t>/</w:t>
                  </w:r>
                </w:p>
              </w:tc>
              <w:tc>
                <w:tcPr>
                  <w:tcW w:w="365" w:type="pct"/>
                  <w:tcBorders>
                    <w:tl2br w:val="nil"/>
                    <w:tr2bl w:val="nil"/>
                  </w:tcBorders>
                  <w:vAlign w:val="center"/>
                </w:tcPr>
                <w:p w14:paraId="3F911C72">
                  <w:pPr>
                    <w:pStyle w:val="129"/>
                    <w:widowControl w:val="0"/>
                    <w:autoSpaceDE/>
                    <w:autoSpaceDN/>
                    <w:rPr>
                      <w:rFonts w:hint="default" w:ascii="Times New Roman" w:hAnsi="Times New Roman" w:cs="Times New Roman"/>
                      <w:color w:val="FF0000"/>
                      <w:sz w:val="18"/>
                      <w:szCs w:val="18"/>
                      <w:lang w:eastAsia="en-US"/>
                    </w:rPr>
                  </w:pPr>
                  <w:r>
                    <w:rPr>
                      <w:rFonts w:hint="default" w:ascii="Times New Roman" w:hAnsi="Times New Roman" w:cs="Times New Roman"/>
                      <w:color w:val="FF0000"/>
                      <w:sz w:val="18"/>
                      <w:szCs w:val="18"/>
                      <w:lang w:eastAsia="en-US"/>
                    </w:rPr>
                    <w:t>75</w:t>
                  </w:r>
                </w:p>
              </w:tc>
              <w:tc>
                <w:tcPr>
                  <w:tcW w:w="272" w:type="pct"/>
                  <w:vMerge w:val="continue"/>
                  <w:tcBorders>
                    <w:tl2br w:val="nil"/>
                    <w:tr2bl w:val="nil"/>
                  </w:tcBorders>
                  <w:vAlign w:val="center"/>
                </w:tcPr>
                <w:p w14:paraId="3CFD28F7">
                  <w:pPr>
                    <w:pStyle w:val="129"/>
                    <w:widowControl w:val="0"/>
                    <w:autoSpaceDE/>
                    <w:autoSpaceDN/>
                    <w:rPr>
                      <w:rFonts w:hint="default" w:ascii="Times New Roman" w:hAnsi="Times New Roman" w:cs="Times New Roman"/>
                      <w:color w:val="FF0000"/>
                      <w:sz w:val="18"/>
                      <w:szCs w:val="18"/>
                      <w:lang w:eastAsia="en-US"/>
                    </w:rPr>
                  </w:pPr>
                </w:p>
              </w:tc>
              <w:tc>
                <w:tcPr>
                  <w:tcW w:w="169" w:type="pct"/>
                  <w:tcBorders>
                    <w:tl2br w:val="nil"/>
                    <w:tr2bl w:val="nil"/>
                  </w:tcBorders>
                  <w:shd w:val="clear" w:color="auto" w:fill="auto"/>
                  <w:vAlign w:val="center"/>
                </w:tcPr>
                <w:p w14:paraId="5719669E">
                  <w:pPr>
                    <w:pStyle w:val="129"/>
                    <w:widowControl w:val="0"/>
                    <w:autoSpaceDE/>
                    <w:autoSpaceDN/>
                    <w:rPr>
                      <w:rFonts w:hint="default" w:ascii="Times New Roman" w:hAnsi="Times New Roman" w:cs="Times New Roman"/>
                      <w:color w:val="FF0000"/>
                      <w:sz w:val="18"/>
                      <w:szCs w:val="18"/>
                      <w:lang w:eastAsia="en-US"/>
                    </w:rPr>
                  </w:pPr>
                  <w:r>
                    <w:rPr>
                      <w:rFonts w:hint="default" w:ascii="Times New Roman" w:hAnsi="Times New Roman" w:cs="Times New Roman"/>
                      <w:color w:val="FF0000"/>
                      <w:sz w:val="18"/>
                      <w:szCs w:val="18"/>
                      <w:lang w:eastAsia="en-US"/>
                    </w:rPr>
                    <w:t>70</w:t>
                  </w:r>
                </w:p>
              </w:tc>
              <w:tc>
                <w:tcPr>
                  <w:tcW w:w="199" w:type="pct"/>
                  <w:tcBorders>
                    <w:tl2br w:val="nil"/>
                    <w:tr2bl w:val="nil"/>
                  </w:tcBorders>
                  <w:shd w:val="clear" w:color="auto" w:fill="auto"/>
                  <w:vAlign w:val="center"/>
                </w:tcPr>
                <w:p w14:paraId="0482A1E7">
                  <w:pPr>
                    <w:pStyle w:val="129"/>
                    <w:widowControl w:val="0"/>
                    <w:autoSpaceDE/>
                    <w:autoSpaceDN/>
                    <w:rPr>
                      <w:rFonts w:hint="default" w:ascii="Times New Roman" w:hAnsi="Times New Roman" w:cs="Times New Roman"/>
                      <w:color w:val="FF0000"/>
                      <w:sz w:val="18"/>
                      <w:szCs w:val="18"/>
                      <w:lang w:eastAsia="en-US"/>
                    </w:rPr>
                  </w:pPr>
                  <w:r>
                    <w:rPr>
                      <w:rFonts w:hint="default" w:ascii="Times New Roman" w:hAnsi="Times New Roman" w:cs="Times New Roman"/>
                      <w:color w:val="FF0000"/>
                      <w:sz w:val="18"/>
                      <w:szCs w:val="18"/>
                      <w:lang w:eastAsia="en-US"/>
                    </w:rPr>
                    <w:t>32</w:t>
                  </w:r>
                </w:p>
              </w:tc>
              <w:tc>
                <w:tcPr>
                  <w:tcW w:w="215" w:type="pct"/>
                  <w:tcBorders>
                    <w:tl2br w:val="nil"/>
                    <w:tr2bl w:val="nil"/>
                  </w:tcBorders>
                  <w:shd w:val="clear" w:color="auto" w:fill="auto"/>
                  <w:vAlign w:val="center"/>
                </w:tcPr>
                <w:p w14:paraId="2289E0FA">
                  <w:pPr>
                    <w:pStyle w:val="129"/>
                    <w:widowControl w:val="0"/>
                    <w:autoSpaceDE/>
                    <w:autoSpaceDN/>
                    <w:rPr>
                      <w:rFonts w:hint="default" w:ascii="Times New Roman" w:hAnsi="Times New Roman" w:cs="Times New Roman"/>
                      <w:color w:val="FF0000"/>
                      <w:sz w:val="18"/>
                      <w:szCs w:val="18"/>
                      <w:lang w:eastAsia="en-US"/>
                    </w:rPr>
                  </w:pPr>
                  <w:r>
                    <w:rPr>
                      <w:rFonts w:hint="default" w:ascii="Times New Roman" w:hAnsi="Times New Roman" w:cs="Times New Roman"/>
                      <w:color w:val="FF0000"/>
                      <w:sz w:val="18"/>
                      <w:szCs w:val="18"/>
                      <w:lang w:eastAsia="en-US"/>
                    </w:rPr>
                    <w:t>1</w:t>
                  </w:r>
                </w:p>
              </w:tc>
              <w:tc>
                <w:tcPr>
                  <w:tcW w:w="330" w:type="pct"/>
                  <w:tcBorders>
                    <w:tl2br w:val="nil"/>
                    <w:tr2bl w:val="nil"/>
                  </w:tcBorders>
                  <w:vAlign w:val="center"/>
                </w:tcPr>
                <w:p w14:paraId="1E88AA4B">
                  <w:pPr>
                    <w:pStyle w:val="129"/>
                    <w:widowControl w:val="0"/>
                    <w:autoSpaceDE/>
                    <w:autoSpaceDN/>
                    <w:rPr>
                      <w:rFonts w:hint="default" w:ascii="Times New Roman" w:hAnsi="Times New Roman" w:cs="Times New Roman"/>
                      <w:color w:val="FF0000"/>
                      <w:sz w:val="18"/>
                      <w:szCs w:val="18"/>
                      <w:lang w:eastAsia="en-US"/>
                    </w:rPr>
                  </w:pPr>
                  <w:r>
                    <w:rPr>
                      <w:rFonts w:hint="default" w:ascii="Times New Roman" w:hAnsi="Times New Roman" w:cs="Times New Roman"/>
                      <w:color w:val="FF0000"/>
                      <w:sz w:val="18"/>
                      <w:szCs w:val="18"/>
                      <w:lang w:eastAsia="en-US"/>
                    </w:rPr>
                    <w:t>16</w:t>
                  </w:r>
                </w:p>
              </w:tc>
              <w:tc>
                <w:tcPr>
                  <w:tcW w:w="355" w:type="pct"/>
                  <w:tcBorders>
                    <w:tl2br w:val="nil"/>
                    <w:tr2bl w:val="nil"/>
                  </w:tcBorders>
                  <w:vAlign w:val="center"/>
                </w:tcPr>
                <w:p w14:paraId="7BF9C00E">
                  <w:pPr>
                    <w:pStyle w:val="129"/>
                    <w:widowControl w:val="0"/>
                    <w:autoSpaceDE/>
                    <w:autoSpaceDN/>
                    <w:rPr>
                      <w:rFonts w:hint="default" w:ascii="Times New Roman" w:hAnsi="Times New Roman" w:cs="Times New Roman"/>
                      <w:color w:val="FF0000"/>
                      <w:sz w:val="18"/>
                      <w:szCs w:val="18"/>
                      <w:lang w:eastAsia="en-US"/>
                    </w:rPr>
                  </w:pPr>
                  <w:r>
                    <w:rPr>
                      <w:rFonts w:hint="default" w:ascii="Times New Roman" w:hAnsi="Times New Roman" w:cs="Times New Roman"/>
                      <w:color w:val="FF0000"/>
                      <w:sz w:val="18"/>
                      <w:szCs w:val="18"/>
                      <w:lang w:eastAsia="en-US"/>
                    </w:rPr>
                    <w:t>39.9</w:t>
                  </w:r>
                </w:p>
              </w:tc>
              <w:tc>
                <w:tcPr>
                  <w:tcW w:w="252" w:type="pct"/>
                  <w:vMerge w:val="continue"/>
                  <w:tcBorders>
                    <w:tl2br w:val="nil"/>
                    <w:tr2bl w:val="nil"/>
                  </w:tcBorders>
                  <w:vAlign w:val="center"/>
                </w:tcPr>
                <w:p w14:paraId="3749DDDC">
                  <w:pPr>
                    <w:pStyle w:val="129"/>
                    <w:widowControl w:val="0"/>
                    <w:autoSpaceDE/>
                    <w:autoSpaceDN/>
                    <w:rPr>
                      <w:rFonts w:hint="default" w:ascii="Times New Roman" w:hAnsi="Times New Roman" w:cs="Times New Roman"/>
                      <w:color w:val="FF0000"/>
                      <w:sz w:val="18"/>
                      <w:szCs w:val="18"/>
                      <w:lang w:eastAsia="en-US"/>
                    </w:rPr>
                  </w:pPr>
                </w:p>
              </w:tc>
              <w:tc>
                <w:tcPr>
                  <w:tcW w:w="321" w:type="pct"/>
                  <w:tcBorders>
                    <w:tl2br w:val="nil"/>
                    <w:tr2bl w:val="nil"/>
                  </w:tcBorders>
                  <w:shd w:val="clear" w:color="auto" w:fill="auto"/>
                  <w:vAlign w:val="center"/>
                </w:tcPr>
                <w:p w14:paraId="27D115AB">
                  <w:pPr>
                    <w:pStyle w:val="129"/>
                    <w:widowControl w:val="0"/>
                    <w:autoSpaceDE/>
                    <w:autoSpaceDN/>
                    <w:rPr>
                      <w:rFonts w:hint="default" w:ascii="Times New Roman" w:hAnsi="Times New Roman" w:cs="Times New Roman"/>
                      <w:color w:val="FF0000"/>
                      <w:sz w:val="18"/>
                      <w:szCs w:val="18"/>
                      <w:lang w:eastAsia="en-US"/>
                    </w:rPr>
                  </w:pPr>
                  <w:r>
                    <w:rPr>
                      <w:rFonts w:hint="default" w:ascii="Times New Roman" w:hAnsi="Times New Roman" w:cs="Times New Roman"/>
                      <w:color w:val="FF0000"/>
                      <w:sz w:val="18"/>
                      <w:szCs w:val="18"/>
                      <w:lang w:eastAsia="en-US"/>
                    </w:rPr>
                    <w:t>25.5</w:t>
                  </w:r>
                </w:p>
              </w:tc>
              <w:tc>
                <w:tcPr>
                  <w:tcW w:w="355" w:type="pct"/>
                  <w:tcBorders>
                    <w:tl2br w:val="nil"/>
                    <w:tr2bl w:val="nil"/>
                  </w:tcBorders>
                  <w:shd w:val="clear" w:color="auto" w:fill="auto"/>
                  <w:vAlign w:val="center"/>
                </w:tcPr>
                <w:p w14:paraId="1B39054F">
                  <w:pPr>
                    <w:pStyle w:val="129"/>
                    <w:widowControl w:val="0"/>
                    <w:autoSpaceDE/>
                    <w:autoSpaceDN/>
                    <w:rPr>
                      <w:rFonts w:hint="default" w:ascii="Times New Roman" w:hAnsi="Times New Roman" w:cs="Times New Roman"/>
                      <w:color w:val="FF0000"/>
                      <w:sz w:val="18"/>
                      <w:szCs w:val="18"/>
                      <w:lang w:eastAsia="en-US"/>
                    </w:rPr>
                  </w:pPr>
                  <w:r>
                    <w:rPr>
                      <w:rFonts w:hint="default" w:ascii="Times New Roman" w:hAnsi="Times New Roman" w:cs="Times New Roman"/>
                      <w:color w:val="FF0000"/>
                      <w:sz w:val="18"/>
                      <w:szCs w:val="18"/>
                      <w:lang w:eastAsia="en-US"/>
                    </w:rPr>
                    <w:t>14.4</w:t>
                  </w:r>
                </w:p>
              </w:tc>
              <w:tc>
                <w:tcPr>
                  <w:tcW w:w="149" w:type="pct"/>
                  <w:tcBorders>
                    <w:tl2br w:val="nil"/>
                    <w:tr2bl w:val="nil"/>
                  </w:tcBorders>
                  <w:shd w:val="clear" w:color="auto" w:fill="auto"/>
                  <w:vAlign w:val="center"/>
                </w:tcPr>
                <w:p w14:paraId="758D6669">
                  <w:pPr>
                    <w:pStyle w:val="129"/>
                    <w:widowControl w:val="0"/>
                    <w:autoSpaceDE/>
                    <w:autoSpaceDN/>
                    <w:rPr>
                      <w:rFonts w:hint="default" w:ascii="Times New Roman" w:hAnsi="Times New Roman" w:cs="Times New Roman"/>
                      <w:color w:val="FF0000"/>
                      <w:sz w:val="18"/>
                      <w:szCs w:val="18"/>
                      <w:lang w:eastAsia="en-US"/>
                    </w:rPr>
                  </w:pPr>
                  <w:r>
                    <w:rPr>
                      <w:rFonts w:hint="default" w:ascii="Times New Roman" w:hAnsi="Times New Roman" w:cs="Times New Roman"/>
                      <w:color w:val="FF0000"/>
                      <w:sz w:val="18"/>
                      <w:szCs w:val="18"/>
                      <w:lang w:eastAsia="en-US"/>
                    </w:rPr>
                    <w:t>1</w:t>
                  </w:r>
                </w:p>
              </w:tc>
            </w:tr>
            <w:tr w14:paraId="4518AA09">
              <w:tblPrEx>
                <w:tblBorders>
                  <w:top w:val="double" w:color="000000" w:sz="4" w:space="0"/>
                  <w:left w:val="none" w:color="auto" w:sz="0" w:space="0"/>
                  <w:bottom w:val="double" w:color="000000" w:sz="4"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101" w:hRule="atLeast"/>
              </w:trPr>
              <w:tc>
                <w:tcPr>
                  <w:tcW w:w="172" w:type="pct"/>
                  <w:vMerge w:val="continue"/>
                  <w:tcBorders>
                    <w:tl2br w:val="nil"/>
                    <w:tr2bl w:val="nil"/>
                  </w:tcBorders>
                  <w:vAlign w:val="center"/>
                </w:tcPr>
                <w:p w14:paraId="02F667CF">
                  <w:pPr>
                    <w:pStyle w:val="129"/>
                    <w:widowControl w:val="0"/>
                    <w:autoSpaceDE/>
                    <w:autoSpaceDN/>
                    <w:rPr>
                      <w:rFonts w:hint="default" w:ascii="Times New Roman" w:hAnsi="Times New Roman" w:cs="Times New Roman"/>
                      <w:color w:val="FF0000"/>
                      <w:sz w:val="18"/>
                      <w:szCs w:val="18"/>
                      <w:lang w:eastAsia="en-US"/>
                    </w:rPr>
                  </w:pPr>
                </w:p>
              </w:tc>
              <w:tc>
                <w:tcPr>
                  <w:tcW w:w="232" w:type="pct"/>
                  <w:vMerge w:val="continue"/>
                  <w:tcBorders>
                    <w:tl2br w:val="nil"/>
                    <w:tr2bl w:val="nil"/>
                  </w:tcBorders>
                  <w:vAlign w:val="center"/>
                </w:tcPr>
                <w:p w14:paraId="41F929E5">
                  <w:pPr>
                    <w:pStyle w:val="129"/>
                    <w:widowControl w:val="0"/>
                    <w:autoSpaceDE/>
                    <w:autoSpaceDN/>
                    <w:rPr>
                      <w:rFonts w:hint="default" w:ascii="Times New Roman" w:hAnsi="Times New Roman" w:cs="Times New Roman"/>
                      <w:color w:val="FF0000"/>
                      <w:sz w:val="18"/>
                      <w:szCs w:val="18"/>
                      <w:lang w:eastAsia="en-US"/>
                    </w:rPr>
                  </w:pPr>
                </w:p>
              </w:tc>
              <w:tc>
                <w:tcPr>
                  <w:tcW w:w="765" w:type="pct"/>
                  <w:tcBorders>
                    <w:tl2br w:val="nil"/>
                    <w:tr2bl w:val="nil"/>
                  </w:tcBorders>
                  <w:shd w:val="clear" w:color="auto" w:fill="auto"/>
                  <w:vAlign w:val="center"/>
                </w:tcPr>
                <w:p w14:paraId="0EC90ACB">
                  <w:pPr>
                    <w:pStyle w:val="129"/>
                    <w:widowControl w:val="0"/>
                    <w:autoSpaceDE/>
                    <w:autoSpaceDN/>
                    <w:rPr>
                      <w:rFonts w:hint="default" w:ascii="Times New Roman" w:hAnsi="Times New Roman" w:cs="Times New Roman"/>
                      <w:color w:val="FF0000"/>
                      <w:sz w:val="18"/>
                      <w:szCs w:val="18"/>
                      <w:lang w:eastAsia="en-US"/>
                    </w:rPr>
                  </w:pPr>
                  <w:r>
                    <w:rPr>
                      <w:rFonts w:hint="default" w:ascii="Times New Roman" w:hAnsi="Times New Roman" w:cs="Times New Roman"/>
                      <w:color w:val="FF0000"/>
                      <w:sz w:val="18"/>
                      <w:szCs w:val="18"/>
                      <w:lang w:eastAsia="en-US"/>
                    </w:rPr>
                    <w:t>接油机</w:t>
                  </w:r>
                </w:p>
              </w:tc>
              <w:tc>
                <w:tcPr>
                  <w:tcW w:w="844" w:type="pct"/>
                  <w:tcBorders>
                    <w:tl2br w:val="nil"/>
                    <w:tr2bl w:val="nil"/>
                  </w:tcBorders>
                  <w:shd w:val="clear" w:color="auto" w:fill="auto"/>
                  <w:vAlign w:val="center"/>
                </w:tcPr>
                <w:p w14:paraId="51AFB4A2">
                  <w:pPr>
                    <w:pStyle w:val="129"/>
                    <w:widowControl w:val="0"/>
                    <w:autoSpaceDE/>
                    <w:autoSpaceDN/>
                    <w:rPr>
                      <w:rFonts w:hint="default" w:ascii="Times New Roman" w:hAnsi="Times New Roman" w:cs="Times New Roman"/>
                      <w:color w:val="FF0000"/>
                      <w:sz w:val="18"/>
                      <w:szCs w:val="18"/>
                      <w:lang w:eastAsia="en-US"/>
                    </w:rPr>
                  </w:pPr>
                  <w:r>
                    <w:rPr>
                      <w:rFonts w:hint="default" w:ascii="Times New Roman" w:hAnsi="Times New Roman" w:cs="Times New Roman"/>
                      <w:color w:val="FF0000"/>
                      <w:sz w:val="18"/>
                      <w:szCs w:val="18"/>
                      <w:lang w:eastAsia="en-US"/>
                    </w:rPr>
                    <w:t>独立式</w:t>
                  </w:r>
                </w:p>
              </w:tc>
              <w:tc>
                <w:tcPr>
                  <w:tcW w:w="365" w:type="pct"/>
                  <w:tcBorders>
                    <w:tl2br w:val="nil"/>
                    <w:tr2bl w:val="nil"/>
                  </w:tcBorders>
                  <w:shd w:val="clear" w:color="auto" w:fill="auto"/>
                  <w:vAlign w:val="center"/>
                </w:tcPr>
                <w:p w14:paraId="5CB18F1B">
                  <w:pPr>
                    <w:pStyle w:val="129"/>
                    <w:widowControl w:val="0"/>
                    <w:autoSpaceDE/>
                    <w:autoSpaceDN/>
                    <w:rPr>
                      <w:rFonts w:hint="default" w:ascii="Times New Roman" w:hAnsi="Times New Roman" w:cs="Times New Roman"/>
                      <w:color w:val="FF0000"/>
                      <w:sz w:val="18"/>
                      <w:szCs w:val="18"/>
                      <w:lang w:eastAsia="en-US"/>
                    </w:rPr>
                  </w:pPr>
                  <w:r>
                    <w:rPr>
                      <w:rFonts w:hint="default" w:ascii="Times New Roman" w:hAnsi="Times New Roman" w:cs="Times New Roman"/>
                      <w:color w:val="FF0000"/>
                      <w:sz w:val="18"/>
                      <w:szCs w:val="18"/>
                      <w:lang w:eastAsia="en-US"/>
                    </w:rPr>
                    <w:t>65</w:t>
                  </w:r>
                </w:p>
              </w:tc>
              <w:tc>
                <w:tcPr>
                  <w:tcW w:w="272" w:type="pct"/>
                  <w:vMerge w:val="continue"/>
                  <w:tcBorders>
                    <w:tl2br w:val="nil"/>
                    <w:tr2bl w:val="nil"/>
                  </w:tcBorders>
                  <w:shd w:val="clear" w:color="auto" w:fill="auto"/>
                  <w:vAlign w:val="center"/>
                </w:tcPr>
                <w:p w14:paraId="22CBDA00">
                  <w:pPr>
                    <w:pStyle w:val="129"/>
                    <w:widowControl w:val="0"/>
                    <w:autoSpaceDE/>
                    <w:autoSpaceDN/>
                    <w:rPr>
                      <w:rFonts w:hint="default" w:ascii="Times New Roman" w:hAnsi="Times New Roman" w:cs="Times New Roman"/>
                      <w:color w:val="FF0000"/>
                      <w:sz w:val="18"/>
                      <w:szCs w:val="18"/>
                      <w:lang w:eastAsia="en-US"/>
                    </w:rPr>
                  </w:pPr>
                </w:p>
              </w:tc>
              <w:tc>
                <w:tcPr>
                  <w:tcW w:w="169" w:type="pct"/>
                  <w:tcBorders>
                    <w:tl2br w:val="nil"/>
                    <w:tr2bl w:val="nil"/>
                  </w:tcBorders>
                  <w:shd w:val="clear" w:color="auto" w:fill="auto"/>
                  <w:vAlign w:val="center"/>
                </w:tcPr>
                <w:p w14:paraId="0176E7A7">
                  <w:pPr>
                    <w:pStyle w:val="129"/>
                    <w:widowControl w:val="0"/>
                    <w:autoSpaceDE/>
                    <w:autoSpaceDN/>
                    <w:rPr>
                      <w:rFonts w:hint="default" w:ascii="Times New Roman" w:hAnsi="Times New Roman" w:cs="Times New Roman"/>
                      <w:color w:val="FF0000"/>
                      <w:sz w:val="18"/>
                      <w:szCs w:val="18"/>
                      <w:lang w:eastAsia="en-US"/>
                    </w:rPr>
                  </w:pPr>
                  <w:r>
                    <w:rPr>
                      <w:rFonts w:hint="default" w:ascii="Times New Roman" w:hAnsi="Times New Roman" w:cs="Times New Roman"/>
                      <w:color w:val="FF0000"/>
                      <w:sz w:val="18"/>
                      <w:szCs w:val="18"/>
                      <w:lang w:eastAsia="en-US"/>
                    </w:rPr>
                    <w:t>70</w:t>
                  </w:r>
                </w:p>
              </w:tc>
              <w:tc>
                <w:tcPr>
                  <w:tcW w:w="199" w:type="pct"/>
                  <w:tcBorders>
                    <w:tl2br w:val="nil"/>
                    <w:tr2bl w:val="nil"/>
                  </w:tcBorders>
                  <w:shd w:val="clear" w:color="auto" w:fill="auto"/>
                  <w:vAlign w:val="center"/>
                </w:tcPr>
                <w:p w14:paraId="49A1A73E">
                  <w:pPr>
                    <w:pStyle w:val="129"/>
                    <w:widowControl w:val="0"/>
                    <w:autoSpaceDE/>
                    <w:autoSpaceDN/>
                    <w:rPr>
                      <w:rFonts w:hint="default" w:ascii="Times New Roman" w:hAnsi="Times New Roman" w:cs="Times New Roman"/>
                      <w:color w:val="FF0000"/>
                      <w:sz w:val="18"/>
                      <w:szCs w:val="18"/>
                      <w:lang w:eastAsia="en-US"/>
                    </w:rPr>
                  </w:pPr>
                  <w:r>
                    <w:rPr>
                      <w:rFonts w:hint="default" w:ascii="Times New Roman" w:hAnsi="Times New Roman" w:cs="Times New Roman"/>
                      <w:color w:val="FF0000"/>
                      <w:sz w:val="18"/>
                      <w:szCs w:val="18"/>
                      <w:lang w:eastAsia="en-US"/>
                    </w:rPr>
                    <w:t>32</w:t>
                  </w:r>
                </w:p>
              </w:tc>
              <w:tc>
                <w:tcPr>
                  <w:tcW w:w="215" w:type="pct"/>
                  <w:tcBorders>
                    <w:tl2br w:val="nil"/>
                    <w:tr2bl w:val="nil"/>
                  </w:tcBorders>
                  <w:shd w:val="clear" w:color="auto" w:fill="auto"/>
                  <w:vAlign w:val="center"/>
                </w:tcPr>
                <w:p w14:paraId="5999CA7E">
                  <w:pPr>
                    <w:pStyle w:val="129"/>
                    <w:widowControl w:val="0"/>
                    <w:autoSpaceDE/>
                    <w:autoSpaceDN/>
                    <w:rPr>
                      <w:rFonts w:hint="default" w:ascii="Times New Roman" w:hAnsi="Times New Roman" w:cs="Times New Roman"/>
                      <w:color w:val="FF0000"/>
                      <w:sz w:val="18"/>
                      <w:szCs w:val="18"/>
                      <w:lang w:eastAsia="en-US"/>
                    </w:rPr>
                  </w:pPr>
                  <w:r>
                    <w:rPr>
                      <w:rFonts w:hint="default" w:ascii="Times New Roman" w:hAnsi="Times New Roman" w:cs="Times New Roman"/>
                      <w:color w:val="FF0000"/>
                      <w:sz w:val="18"/>
                      <w:szCs w:val="18"/>
                      <w:lang w:eastAsia="en-US"/>
                    </w:rPr>
                    <w:t>1</w:t>
                  </w:r>
                </w:p>
              </w:tc>
              <w:tc>
                <w:tcPr>
                  <w:tcW w:w="330" w:type="pct"/>
                  <w:tcBorders>
                    <w:tl2br w:val="nil"/>
                    <w:tr2bl w:val="nil"/>
                  </w:tcBorders>
                  <w:shd w:val="clear" w:color="auto" w:fill="auto"/>
                  <w:vAlign w:val="center"/>
                </w:tcPr>
                <w:p w14:paraId="7BFA2853">
                  <w:pPr>
                    <w:pStyle w:val="129"/>
                    <w:widowControl w:val="0"/>
                    <w:autoSpaceDE/>
                    <w:autoSpaceDN/>
                    <w:rPr>
                      <w:rFonts w:hint="default" w:ascii="Times New Roman" w:hAnsi="Times New Roman" w:cs="Times New Roman"/>
                      <w:color w:val="FF0000"/>
                      <w:sz w:val="18"/>
                      <w:szCs w:val="18"/>
                      <w:lang w:eastAsia="en-US"/>
                    </w:rPr>
                  </w:pPr>
                  <w:r>
                    <w:rPr>
                      <w:rFonts w:hint="default" w:ascii="Times New Roman" w:hAnsi="Times New Roman" w:cs="Times New Roman"/>
                      <w:color w:val="FF0000"/>
                      <w:sz w:val="18"/>
                      <w:szCs w:val="18"/>
                      <w:lang w:eastAsia="en-US"/>
                    </w:rPr>
                    <w:t>16</w:t>
                  </w:r>
                </w:p>
              </w:tc>
              <w:tc>
                <w:tcPr>
                  <w:tcW w:w="355" w:type="pct"/>
                  <w:tcBorders>
                    <w:tl2br w:val="nil"/>
                    <w:tr2bl w:val="nil"/>
                  </w:tcBorders>
                  <w:shd w:val="clear" w:color="auto" w:fill="auto"/>
                  <w:vAlign w:val="center"/>
                </w:tcPr>
                <w:p w14:paraId="46E9EF37">
                  <w:pPr>
                    <w:pStyle w:val="129"/>
                    <w:widowControl w:val="0"/>
                    <w:autoSpaceDE/>
                    <w:autoSpaceDN/>
                    <w:rPr>
                      <w:rFonts w:hint="default" w:ascii="Times New Roman" w:hAnsi="Times New Roman" w:cs="Times New Roman"/>
                      <w:color w:val="FF0000"/>
                      <w:sz w:val="18"/>
                      <w:szCs w:val="18"/>
                      <w:lang w:eastAsia="en-US"/>
                    </w:rPr>
                  </w:pPr>
                  <w:r>
                    <w:rPr>
                      <w:rFonts w:hint="default" w:ascii="Times New Roman" w:hAnsi="Times New Roman" w:cs="Times New Roman"/>
                      <w:color w:val="FF0000"/>
                      <w:sz w:val="18"/>
                      <w:szCs w:val="18"/>
                      <w:lang w:eastAsia="en-US"/>
                    </w:rPr>
                    <w:t>29.9</w:t>
                  </w:r>
                </w:p>
              </w:tc>
              <w:tc>
                <w:tcPr>
                  <w:tcW w:w="252" w:type="pct"/>
                  <w:vMerge w:val="continue"/>
                  <w:tcBorders>
                    <w:tl2br w:val="nil"/>
                    <w:tr2bl w:val="nil"/>
                  </w:tcBorders>
                  <w:shd w:val="clear" w:color="auto" w:fill="auto"/>
                  <w:vAlign w:val="center"/>
                </w:tcPr>
                <w:p w14:paraId="178ADC96">
                  <w:pPr>
                    <w:pStyle w:val="129"/>
                    <w:widowControl w:val="0"/>
                    <w:autoSpaceDE/>
                    <w:autoSpaceDN/>
                    <w:rPr>
                      <w:rFonts w:hint="default" w:ascii="Times New Roman" w:hAnsi="Times New Roman" w:cs="Times New Roman"/>
                      <w:color w:val="FF0000"/>
                      <w:sz w:val="18"/>
                      <w:szCs w:val="18"/>
                      <w:lang w:eastAsia="en-US"/>
                    </w:rPr>
                  </w:pPr>
                </w:p>
              </w:tc>
              <w:tc>
                <w:tcPr>
                  <w:tcW w:w="321" w:type="pct"/>
                  <w:tcBorders>
                    <w:tl2br w:val="nil"/>
                    <w:tr2bl w:val="nil"/>
                  </w:tcBorders>
                  <w:shd w:val="clear" w:color="auto" w:fill="auto"/>
                  <w:vAlign w:val="center"/>
                </w:tcPr>
                <w:p w14:paraId="453D2488">
                  <w:pPr>
                    <w:pStyle w:val="129"/>
                    <w:widowControl w:val="0"/>
                    <w:autoSpaceDE/>
                    <w:autoSpaceDN/>
                    <w:rPr>
                      <w:rFonts w:hint="default" w:ascii="Times New Roman" w:hAnsi="Times New Roman" w:cs="Times New Roman"/>
                      <w:color w:val="FF0000"/>
                      <w:sz w:val="18"/>
                      <w:szCs w:val="18"/>
                      <w:lang w:eastAsia="en-US"/>
                    </w:rPr>
                  </w:pPr>
                  <w:r>
                    <w:rPr>
                      <w:rFonts w:hint="default" w:ascii="Times New Roman" w:hAnsi="Times New Roman" w:cs="Times New Roman"/>
                      <w:color w:val="FF0000"/>
                      <w:sz w:val="18"/>
                      <w:szCs w:val="18"/>
                      <w:lang w:eastAsia="en-US"/>
                    </w:rPr>
                    <w:t>25.5</w:t>
                  </w:r>
                </w:p>
              </w:tc>
              <w:tc>
                <w:tcPr>
                  <w:tcW w:w="355" w:type="pct"/>
                  <w:tcBorders>
                    <w:tl2br w:val="nil"/>
                    <w:tr2bl w:val="nil"/>
                  </w:tcBorders>
                  <w:shd w:val="clear" w:color="auto" w:fill="auto"/>
                  <w:vAlign w:val="center"/>
                </w:tcPr>
                <w:p w14:paraId="55AF5E88">
                  <w:pPr>
                    <w:pStyle w:val="129"/>
                    <w:widowControl w:val="0"/>
                    <w:autoSpaceDE/>
                    <w:autoSpaceDN/>
                    <w:rPr>
                      <w:rFonts w:hint="default" w:ascii="Times New Roman" w:hAnsi="Times New Roman" w:cs="Times New Roman"/>
                      <w:color w:val="FF0000"/>
                      <w:sz w:val="18"/>
                      <w:szCs w:val="18"/>
                      <w:lang w:eastAsia="en-US"/>
                    </w:rPr>
                  </w:pPr>
                  <w:r>
                    <w:rPr>
                      <w:rFonts w:hint="default" w:ascii="Times New Roman" w:hAnsi="Times New Roman" w:cs="Times New Roman"/>
                      <w:color w:val="FF0000"/>
                      <w:sz w:val="18"/>
                      <w:szCs w:val="18"/>
                      <w:lang w:eastAsia="en-US"/>
                    </w:rPr>
                    <w:t>4.4</w:t>
                  </w:r>
                </w:p>
              </w:tc>
              <w:tc>
                <w:tcPr>
                  <w:tcW w:w="149" w:type="pct"/>
                  <w:tcBorders>
                    <w:tl2br w:val="nil"/>
                    <w:tr2bl w:val="nil"/>
                  </w:tcBorders>
                  <w:shd w:val="clear" w:color="auto" w:fill="auto"/>
                  <w:vAlign w:val="center"/>
                </w:tcPr>
                <w:p w14:paraId="43CA5B2D">
                  <w:pPr>
                    <w:pStyle w:val="129"/>
                    <w:widowControl w:val="0"/>
                    <w:autoSpaceDE/>
                    <w:autoSpaceDN/>
                    <w:rPr>
                      <w:rFonts w:hint="default" w:ascii="Times New Roman" w:hAnsi="Times New Roman" w:cs="Times New Roman"/>
                      <w:color w:val="FF0000"/>
                      <w:sz w:val="18"/>
                      <w:szCs w:val="18"/>
                      <w:lang w:eastAsia="en-US"/>
                    </w:rPr>
                  </w:pPr>
                  <w:r>
                    <w:rPr>
                      <w:rFonts w:hint="default" w:ascii="Times New Roman" w:hAnsi="Times New Roman" w:cs="Times New Roman"/>
                      <w:color w:val="FF0000"/>
                      <w:sz w:val="18"/>
                      <w:szCs w:val="18"/>
                      <w:lang w:eastAsia="en-US"/>
                    </w:rPr>
                    <w:t>1</w:t>
                  </w:r>
                </w:p>
              </w:tc>
            </w:tr>
            <w:tr w14:paraId="1382AC47">
              <w:tblPrEx>
                <w:tblBorders>
                  <w:top w:val="double" w:color="000000" w:sz="4" w:space="0"/>
                  <w:left w:val="none" w:color="auto" w:sz="0" w:space="0"/>
                  <w:bottom w:val="double" w:color="000000" w:sz="4"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101" w:hRule="atLeast"/>
              </w:trPr>
              <w:tc>
                <w:tcPr>
                  <w:tcW w:w="172" w:type="pct"/>
                  <w:vMerge w:val="continue"/>
                  <w:tcBorders>
                    <w:tl2br w:val="nil"/>
                    <w:tr2bl w:val="nil"/>
                  </w:tcBorders>
                  <w:vAlign w:val="center"/>
                </w:tcPr>
                <w:p w14:paraId="5E3FE932">
                  <w:pPr>
                    <w:pStyle w:val="129"/>
                    <w:widowControl w:val="0"/>
                    <w:autoSpaceDE/>
                    <w:autoSpaceDN/>
                    <w:rPr>
                      <w:rFonts w:hint="default" w:ascii="Times New Roman" w:hAnsi="Times New Roman" w:cs="Times New Roman"/>
                      <w:color w:val="FF0000"/>
                      <w:sz w:val="18"/>
                      <w:szCs w:val="18"/>
                      <w:lang w:eastAsia="en-US"/>
                    </w:rPr>
                  </w:pPr>
                </w:p>
              </w:tc>
              <w:tc>
                <w:tcPr>
                  <w:tcW w:w="232" w:type="pct"/>
                  <w:vMerge w:val="continue"/>
                  <w:tcBorders>
                    <w:tl2br w:val="nil"/>
                    <w:tr2bl w:val="nil"/>
                  </w:tcBorders>
                  <w:vAlign w:val="center"/>
                </w:tcPr>
                <w:p w14:paraId="54E1F968">
                  <w:pPr>
                    <w:pStyle w:val="129"/>
                    <w:widowControl w:val="0"/>
                    <w:autoSpaceDE/>
                    <w:autoSpaceDN/>
                    <w:rPr>
                      <w:rFonts w:hint="default" w:ascii="Times New Roman" w:hAnsi="Times New Roman" w:cs="Times New Roman"/>
                      <w:color w:val="FF0000"/>
                      <w:sz w:val="18"/>
                      <w:szCs w:val="18"/>
                      <w:lang w:eastAsia="en-US"/>
                    </w:rPr>
                  </w:pPr>
                </w:p>
              </w:tc>
              <w:tc>
                <w:tcPr>
                  <w:tcW w:w="765" w:type="pct"/>
                  <w:tcBorders>
                    <w:tl2br w:val="nil"/>
                    <w:tr2bl w:val="nil"/>
                  </w:tcBorders>
                  <w:shd w:val="clear" w:color="auto" w:fill="auto"/>
                  <w:vAlign w:val="center"/>
                </w:tcPr>
                <w:p w14:paraId="7C29E73D">
                  <w:pPr>
                    <w:pStyle w:val="129"/>
                    <w:widowControl w:val="0"/>
                    <w:autoSpaceDE/>
                    <w:autoSpaceDN/>
                    <w:rPr>
                      <w:rFonts w:hint="default" w:ascii="Times New Roman" w:hAnsi="Times New Roman" w:cs="Times New Roman"/>
                      <w:color w:val="FF0000"/>
                      <w:sz w:val="18"/>
                      <w:szCs w:val="18"/>
                      <w:lang w:eastAsia="en-US"/>
                    </w:rPr>
                  </w:pPr>
                  <w:r>
                    <w:rPr>
                      <w:rFonts w:hint="default" w:ascii="Times New Roman" w:hAnsi="Times New Roman" w:cs="Times New Roman"/>
                      <w:color w:val="FF0000"/>
                      <w:sz w:val="18"/>
                      <w:szCs w:val="18"/>
                      <w:lang w:eastAsia="en-US"/>
                    </w:rPr>
                    <w:t>汽车拆解机</w:t>
                  </w:r>
                </w:p>
              </w:tc>
              <w:tc>
                <w:tcPr>
                  <w:tcW w:w="844" w:type="pct"/>
                  <w:tcBorders>
                    <w:tl2br w:val="nil"/>
                    <w:tr2bl w:val="nil"/>
                  </w:tcBorders>
                  <w:vAlign w:val="center"/>
                </w:tcPr>
                <w:p w14:paraId="6E9914E8">
                  <w:pPr>
                    <w:pStyle w:val="129"/>
                    <w:widowControl w:val="0"/>
                    <w:autoSpaceDE/>
                    <w:autoSpaceDN/>
                    <w:rPr>
                      <w:rFonts w:hint="default" w:ascii="Times New Roman" w:hAnsi="Times New Roman" w:cs="Times New Roman"/>
                      <w:color w:val="FF0000"/>
                      <w:sz w:val="18"/>
                      <w:szCs w:val="18"/>
                      <w:lang w:eastAsia="en-US"/>
                    </w:rPr>
                  </w:pPr>
                  <w:r>
                    <w:rPr>
                      <w:rFonts w:hint="default" w:ascii="Times New Roman" w:hAnsi="Times New Roman" w:cs="Times New Roman"/>
                      <w:color w:val="FF0000"/>
                      <w:sz w:val="18"/>
                      <w:szCs w:val="18"/>
                      <w:lang w:eastAsia="en-US"/>
                    </w:rPr>
                    <w:t>/</w:t>
                  </w:r>
                </w:p>
              </w:tc>
              <w:tc>
                <w:tcPr>
                  <w:tcW w:w="365" w:type="pct"/>
                  <w:tcBorders>
                    <w:tl2br w:val="nil"/>
                    <w:tr2bl w:val="nil"/>
                  </w:tcBorders>
                  <w:vAlign w:val="center"/>
                </w:tcPr>
                <w:p w14:paraId="01C3EAF7">
                  <w:pPr>
                    <w:pStyle w:val="129"/>
                    <w:widowControl w:val="0"/>
                    <w:autoSpaceDE/>
                    <w:autoSpaceDN/>
                    <w:rPr>
                      <w:rFonts w:hint="default" w:ascii="Times New Roman" w:hAnsi="Times New Roman" w:cs="Times New Roman"/>
                      <w:color w:val="FF0000"/>
                      <w:sz w:val="18"/>
                      <w:szCs w:val="18"/>
                      <w:lang w:eastAsia="en-US"/>
                    </w:rPr>
                  </w:pPr>
                  <w:r>
                    <w:rPr>
                      <w:rFonts w:hint="default" w:ascii="Times New Roman" w:hAnsi="Times New Roman" w:cs="Times New Roman"/>
                      <w:color w:val="FF0000"/>
                      <w:sz w:val="18"/>
                      <w:szCs w:val="18"/>
                      <w:lang w:eastAsia="en-US"/>
                    </w:rPr>
                    <w:t>85</w:t>
                  </w:r>
                </w:p>
              </w:tc>
              <w:tc>
                <w:tcPr>
                  <w:tcW w:w="272" w:type="pct"/>
                  <w:vMerge w:val="continue"/>
                  <w:tcBorders>
                    <w:tl2br w:val="nil"/>
                    <w:tr2bl w:val="nil"/>
                  </w:tcBorders>
                  <w:vAlign w:val="center"/>
                </w:tcPr>
                <w:p w14:paraId="5419C1BF">
                  <w:pPr>
                    <w:pStyle w:val="129"/>
                    <w:widowControl w:val="0"/>
                    <w:autoSpaceDE/>
                    <w:autoSpaceDN/>
                    <w:rPr>
                      <w:rFonts w:hint="default" w:ascii="Times New Roman" w:hAnsi="Times New Roman" w:cs="Times New Roman"/>
                      <w:color w:val="FF0000"/>
                      <w:sz w:val="18"/>
                      <w:szCs w:val="18"/>
                      <w:lang w:eastAsia="en-US"/>
                    </w:rPr>
                  </w:pPr>
                </w:p>
              </w:tc>
              <w:tc>
                <w:tcPr>
                  <w:tcW w:w="169" w:type="pct"/>
                  <w:tcBorders>
                    <w:tl2br w:val="nil"/>
                    <w:tr2bl w:val="nil"/>
                  </w:tcBorders>
                  <w:shd w:val="clear" w:color="auto" w:fill="auto"/>
                  <w:vAlign w:val="center"/>
                </w:tcPr>
                <w:p w14:paraId="7B2AA92F">
                  <w:pPr>
                    <w:pStyle w:val="129"/>
                    <w:widowControl w:val="0"/>
                    <w:autoSpaceDE/>
                    <w:autoSpaceDN/>
                    <w:rPr>
                      <w:rFonts w:hint="default" w:ascii="Times New Roman" w:hAnsi="Times New Roman" w:cs="Times New Roman"/>
                      <w:color w:val="FF0000"/>
                      <w:sz w:val="18"/>
                      <w:szCs w:val="18"/>
                      <w:lang w:eastAsia="en-US"/>
                    </w:rPr>
                  </w:pPr>
                  <w:r>
                    <w:rPr>
                      <w:rFonts w:hint="default" w:ascii="Times New Roman" w:hAnsi="Times New Roman" w:cs="Times New Roman"/>
                      <w:color w:val="FF0000"/>
                      <w:sz w:val="18"/>
                      <w:szCs w:val="18"/>
                      <w:lang w:eastAsia="en-US"/>
                    </w:rPr>
                    <w:t>65</w:t>
                  </w:r>
                </w:p>
              </w:tc>
              <w:tc>
                <w:tcPr>
                  <w:tcW w:w="199" w:type="pct"/>
                  <w:tcBorders>
                    <w:tl2br w:val="nil"/>
                    <w:tr2bl w:val="nil"/>
                  </w:tcBorders>
                  <w:shd w:val="clear" w:color="auto" w:fill="auto"/>
                  <w:vAlign w:val="center"/>
                </w:tcPr>
                <w:p w14:paraId="2EA95707">
                  <w:pPr>
                    <w:pStyle w:val="129"/>
                    <w:widowControl w:val="0"/>
                    <w:autoSpaceDE/>
                    <w:autoSpaceDN/>
                    <w:rPr>
                      <w:rFonts w:hint="default" w:ascii="Times New Roman" w:hAnsi="Times New Roman" w:cs="Times New Roman"/>
                      <w:color w:val="FF0000"/>
                      <w:sz w:val="18"/>
                      <w:szCs w:val="18"/>
                      <w:lang w:eastAsia="en-US"/>
                    </w:rPr>
                  </w:pPr>
                  <w:r>
                    <w:rPr>
                      <w:rFonts w:hint="default" w:ascii="Times New Roman" w:hAnsi="Times New Roman" w:cs="Times New Roman"/>
                      <w:color w:val="FF0000"/>
                      <w:sz w:val="18"/>
                      <w:szCs w:val="18"/>
                      <w:lang w:eastAsia="en-US"/>
                    </w:rPr>
                    <w:t>32</w:t>
                  </w:r>
                </w:p>
              </w:tc>
              <w:tc>
                <w:tcPr>
                  <w:tcW w:w="215" w:type="pct"/>
                  <w:tcBorders>
                    <w:tl2br w:val="nil"/>
                    <w:tr2bl w:val="nil"/>
                  </w:tcBorders>
                  <w:shd w:val="clear" w:color="auto" w:fill="auto"/>
                  <w:vAlign w:val="center"/>
                </w:tcPr>
                <w:p w14:paraId="317C7133">
                  <w:pPr>
                    <w:pStyle w:val="129"/>
                    <w:widowControl w:val="0"/>
                    <w:autoSpaceDE/>
                    <w:autoSpaceDN/>
                    <w:rPr>
                      <w:rFonts w:hint="default" w:ascii="Times New Roman" w:hAnsi="Times New Roman" w:cs="Times New Roman"/>
                      <w:color w:val="FF0000"/>
                      <w:sz w:val="18"/>
                      <w:szCs w:val="18"/>
                      <w:lang w:eastAsia="en-US"/>
                    </w:rPr>
                  </w:pPr>
                  <w:r>
                    <w:rPr>
                      <w:rFonts w:hint="default" w:ascii="Times New Roman" w:hAnsi="Times New Roman" w:cs="Times New Roman"/>
                      <w:color w:val="FF0000"/>
                      <w:sz w:val="18"/>
                      <w:szCs w:val="18"/>
                      <w:lang w:eastAsia="en-US"/>
                    </w:rPr>
                    <w:t>1</w:t>
                  </w:r>
                </w:p>
              </w:tc>
              <w:tc>
                <w:tcPr>
                  <w:tcW w:w="330" w:type="pct"/>
                  <w:tcBorders>
                    <w:tl2br w:val="nil"/>
                    <w:tr2bl w:val="nil"/>
                  </w:tcBorders>
                  <w:vAlign w:val="center"/>
                </w:tcPr>
                <w:p w14:paraId="0E0F7A36">
                  <w:pPr>
                    <w:pStyle w:val="129"/>
                    <w:widowControl w:val="0"/>
                    <w:autoSpaceDE/>
                    <w:autoSpaceDN/>
                    <w:rPr>
                      <w:rFonts w:hint="default" w:ascii="Times New Roman" w:hAnsi="Times New Roman" w:cs="Times New Roman"/>
                      <w:color w:val="FF0000"/>
                      <w:sz w:val="18"/>
                      <w:szCs w:val="18"/>
                      <w:lang w:eastAsia="en-US"/>
                    </w:rPr>
                  </w:pPr>
                  <w:r>
                    <w:rPr>
                      <w:rFonts w:hint="default" w:ascii="Times New Roman" w:hAnsi="Times New Roman" w:cs="Times New Roman"/>
                      <w:color w:val="FF0000"/>
                      <w:sz w:val="18"/>
                      <w:szCs w:val="18"/>
                      <w:lang w:eastAsia="en-US"/>
                    </w:rPr>
                    <w:t>16</w:t>
                  </w:r>
                </w:p>
              </w:tc>
              <w:tc>
                <w:tcPr>
                  <w:tcW w:w="355" w:type="pct"/>
                  <w:tcBorders>
                    <w:tl2br w:val="nil"/>
                    <w:tr2bl w:val="nil"/>
                  </w:tcBorders>
                  <w:vAlign w:val="center"/>
                </w:tcPr>
                <w:p w14:paraId="02D02471">
                  <w:pPr>
                    <w:pStyle w:val="129"/>
                    <w:widowControl w:val="0"/>
                    <w:autoSpaceDE/>
                    <w:autoSpaceDN/>
                    <w:rPr>
                      <w:rFonts w:hint="default" w:ascii="Times New Roman" w:hAnsi="Times New Roman" w:cs="Times New Roman"/>
                      <w:color w:val="FF0000"/>
                      <w:sz w:val="18"/>
                      <w:szCs w:val="18"/>
                      <w:lang w:eastAsia="en-US"/>
                    </w:rPr>
                  </w:pPr>
                  <w:r>
                    <w:rPr>
                      <w:rFonts w:hint="default" w:ascii="Times New Roman" w:hAnsi="Times New Roman" w:cs="Times New Roman"/>
                      <w:color w:val="FF0000"/>
                      <w:sz w:val="18"/>
                      <w:szCs w:val="18"/>
                      <w:lang w:eastAsia="en-US"/>
                    </w:rPr>
                    <w:t>49.9</w:t>
                  </w:r>
                </w:p>
              </w:tc>
              <w:tc>
                <w:tcPr>
                  <w:tcW w:w="252" w:type="pct"/>
                  <w:vMerge w:val="continue"/>
                  <w:tcBorders>
                    <w:tl2br w:val="nil"/>
                    <w:tr2bl w:val="nil"/>
                  </w:tcBorders>
                  <w:vAlign w:val="center"/>
                </w:tcPr>
                <w:p w14:paraId="0612A6B8">
                  <w:pPr>
                    <w:pStyle w:val="129"/>
                    <w:widowControl w:val="0"/>
                    <w:autoSpaceDE/>
                    <w:autoSpaceDN/>
                    <w:rPr>
                      <w:rFonts w:hint="default" w:ascii="Times New Roman" w:hAnsi="Times New Roman" w:cs="Times New Roman"/>
                      <w:color w:val="FF0000"/>
                      <w:sz w:val="18"/>
                      <w:szCs w:val="18"/>
                      <w:lang w:eastAsia="en-US"/>
                    </w:rPr>
                  </w:pPr>
                </w:p>
              </w:tc>
              <w:tc>
                <w:tcPr>
                  <w:tcW w:w="321" w:type="pct"/>
                  <w:tcBorders>
                    <w:tl2br w:val="nil"/>
                    <w:tr2bl w:val="nil"/>
                  </w:tcBorders>
                  <w:shd w:val="clear" w:color="auto" w:fill="auto"/>
                  <w:vAlign w:val="center"/>
                </w:tcPr>
                <w:p w14:paraId="1492A602">
                  <w:pPr>
                    <w:pStyle w:val="129"/>
                    <w:widowControl w:val="0"/>
                    <w:autoSpaceDE/>
                    <w:autoSpaceDN/>
                    <w:rPr>
                      <w:rFonts w:hint="default" w:ascii="Times New Roman" w:hAnsi="Times New Roman" w:cs="Times New Roman"/>
                      <w:color w:val="FF0000"/>
                      <w:sz w:val="18"/>
                      <w:szCs w:val="18"/>
                      <w:lang w:eastAsia="en-US"/>
                    </w:rPr>
                  </w:pPr>
                  <w:r>
                    <w:rPr>
                      <w:rFonts w:hint="default" w:ascii="Times New Roman" w:hAnsi="Times New Roman" w:cs="Times New Roman"/>
                      <w:color w:val="FF0000"/>
                      <w:sz w:val="18"/>
                      <w:szCs w:val="18"/>
                      <w:lang w:eastAsia="en-US"/>
                    </w:rPr>
                    <w:t>25.5</w:t>
                  </w:r>
                </w:p>
              </w:tc>
              <w:tc>
                <w:tcPr>
                  <w:tcW w:w="355" w:type="pct"/>
                  <w:tcBorders>
                    <w:tl2br w:val="nil"/>
                    <w:tr2bl w:val="nil"/>
                  </w:tcBorders>
                  <w:shd w:val="clear" w:color="auto" w:fill="auto"/>
                  <w:vAlign w:val="center"/>
                </w:tcPr>
                <w:p w14:paraId="58F757EF">
                  <w:pPr>
                    <w:pStyle w:val="129"/>
                    <w:widowControl w:val="0"/>
                    <w:autoSpaceDE/>
                    <w:autoSpaceDN/>
                    <w:rPr>
                      <w:rFonts w:hint="default" w:ascii="Times New Roman" w:hAnsi="Times New Roman" w:cs="Times New Roman"/>
                      <w:color w:val="FF0000"/>
                      <w:sz w:val="18"/>
                      <w:szCs w:val="18"/>
                      <w:lang w:eastAsia="en-US"/>
                    </w:rPr>
                  </w:pPr>
                  <w:r>
                    <w:rPr>
                      <w:rFonts w:hint="default" w:ascii="Times New Roman" w:hAnsi="Times New Roman" w:cs="Times New Roman"/>
                      <w:color w:val="FF0000"/>
                      <w:sz w:val="18"/>
                      <w:szCs w:val="18"/>
                      <w:lang w:eastAsia="en-US"/>
                    </w:rPr>
                    <w:t>24.4</w:t>
                  </w:r>
                </w:p>
              </w:tc>
              <w:tc>
                <w:tcPr>
                  <w:tcW w:w="149" w:type="pct"/>
                  <w:tcBorders>
                    <w:tl2br w:val="nil"/>
                    <w:tr2bl w:val="nil"/>
                  </w:tcBorders>
                  <w:shd w:val="clear" w:color="auto" w:fill="auto"/>
                  <w:vAlign w:val="center"/>
                </w:tcPr>
                <w:p w14:paraId="23F545C7">
                  <w:pPr>
                    <w:pStyle w:val="129"/>
                    <w:widowControl w:val="0"/>
                    <w:autoSpaceDE/>
                    <w:autoSpaceDN/>
                    <w:rPr>
                      <w:rFonts w:hint="default" w:ascii="Times New Roman" w:hAnsi="Times New Roman" w:cs="Times New Roman"/>
                      <w:color w:val="FF0000"/>
                      <w:sz w:val="18"/>
                      <w:szCs w:val="18"/>
                      <w:lang w:eastAsia="en-US"/>
                    </w:rPr>
                  </w:pPr>
                  <w:r>
                    <w:rPr>
                      <w:rFonts w:hint="default" w:ascii="Times New Roman" w:hAnsi="Times New Roman" w:cs="Times New Roman"/>
                      <w:color w:val="FF0000"/>
                      <w:sz w:val="18"/>
                      <w:szCs w:val="18"/>
                      <w:lang w:eastAsia="en-US"/>
                    </w:rPr>
                    <w:t>1</w:t>
                  </w:r>
                </w:p>
              </w:tc>
            </w:tr>
            <w:tr w14:paraId="380A96FD">
              <w:tblPrEx>
                <w:tblBorders>
                  <w:top w:val="double" w:color="000000" w:sz="4" w:space="0"/>
                  <w:left w:val="none" w:color="auto" w:sz="0" w:space="0"/>
                  <w:bottom w:val="double" w:color="000000" w:sz="4"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101" w:hRule="atLeast"/>
              </w:trPr>
              <w:tc>
                <w:tcPr>
                  <w:tcW w:w="172" w:type="pct"/>
                  <w:vMerge w:val="continue"/>
                  <w:tcBorders>
                    <w:tl2br w:val="nil"/>
                    <w:tr2bl w:val="nil"/>
                  </w:tcBorders>
                  <w:vAlign w:val="center"/>
                </w:tcPr>
                <w:p w14:paraId="1717D020">
                  <w:pPr>
                    <w:pStyle w:val="129"/>
                    <w:widowControl w:val="0"/>
                    <w:autoSpaceDE/>
                    <w:autoSpaceDN/>
                    <w:rPr>
                      <w:rFonts w:hint="default" w:ascii="Times New Roman" w:hAnsi="Times New Roman" w:cs="Times New Roman"/>
                      <w:color w:val="FF0000"/>
                      <w:sz w:val="18"/>
                      <w:szCs w:val="18"/>
                      <w:lang w:eastAsia="en-US"/>
                    </w:rPr>
                  </w:pPr>
                </w:p>
              </w:tc>
              <w:tc>
                <w:tcPr>
                  <w:tcW w:w="232" w:type="pct"/>
                  <w:vMerge w:val="continue"/>
                  <w:tcBorders>
                    <w:tl2br w:val="nil"/>
                    <w:tr2bl w:val="nil"/>
                  </w:tcBorders>
                  <w:vAlign w:val="center"/>
                </w:tcPr>
                <w:p w14:paraId="0798152C">
                  <w:pPr>
                    <w:pStyle w:val="129"/>
                    <w:widowControl w:val="0"/>
                    <w:autoSpaceDE/>
                    <w:autoSpaceDN/>
                    <w:rPr>
                      <w:rFonts w:hint="default" w:ascii="Times New Roman" w:hAnsi="Times New Roman" w:cs="Times New Roman"/>
                      <w:color w:val="FF0000"/>
                      <w:sz w:val="18"/>
                      <w:szCs w:val="18"/>
                      <w:lang w:eastAsia="en-US"/>
                    </w:rPr>
                  </w:pPr>
                </w:p>
              </w:tc>
              <w:tc>
                <w:tcPr>
                  <w:tcW w:w="765" w:type="pct"/>
                  <w:tcBorders>
                    <w:tl2br w:val="nil"/>
                    <w:tr2bl w:val="nil"/>
                  </w:tcBorders>
                  <w:shd w:val="clear" w:color="auto" w:fill="auto"/>
                  <w:vAlign w:val="center"/>
                </w:tcPr>
                <w:p w14:paraId="7070FFA4">
                  <w:pPr>
                    <w:pStyle w:val="129"/>
                    <w:widowControl w:val="0"/>
                    <w:autoSpaceDE/>
                    <w:autoSpaceDN/>
                    <w:rPr>
                      <w:rFonts w:hint="default" w:ascii="Times New Roman" w:hAnsi="Times New Roman" w:cs="Times New Roman"/>
                      <w:color w:val="FF0000"/>
                      <w:sz w:val="18"/>
                      <w:szCs w:val="18"/>
                      <w:lang w:eastAsia="en-US"/>
                    </w:rPr>
                  </w:pPr>
                  <w:r>
                    <w:rPr>
                      <w:rFonts w:hint="default" w:ascii="Times New Roman" w:hAnsi="Times New Roman" w:cs="Times New Roman"/>
                      <w:color w:val="FF0000"/>
                      <w:sz w:val="18"/>
                      <w:szCs w:val="18"/>
                      <w:lang w:eastAsia="en-US"/>
                    </w:rPr>
                    <w:t>等离子切割机</w:t>
                  </w:r>
                </w:p>
              </w:tc>
              <w:tc>
                <w:tcPr>
                  <w:tcW w:w="844" w:type="pct"/>
                  <w:tcBorders>
                    <w:tl2br w:val="nil"/>
                    <w:tr2bl w:val="nil"/>
                  </w:tcBorders>
                  <w:shd w:val="clear" w:color="auto" w:fill="auto"/>
                  <w:vAlign w:val="center"/>
                </w:tcPr>
                <w:p w14:paraId="3A0C1B6F">
                  <w:pPr>
                    <w:pStyle w:val="129"/>
                    <w:widowControl w:val="0"/>
                    <w:autoSpaceDE/>
                    <w:autoSpaceDN/>
                    <w:rPr>
                      <w:rFonts w:hint="default" w:ascii="Times New Roman" w:hAnsi="Times New Roman" w:cs="Times New Roman"/>
                      <w:color w:val="FF0000"/>
                      <w:sz w:val="18"/>
                      <w:szCs w:val="18"/>
                      <w:lang w:eastAsia="en-US"/>
                    </w:rPr>
                  </w:pPr>
                  <w:r>
                    <w:rPr>
                      <w:rFonts w:hint="default" w:ascii="Times New Roman" w:hAnsi="Times New Roman" w:cs="Times New Roman"/>
                      <w:color w:val="FF0000"/>
                      <w:sz w:val="18"/>
                      <w:szCs w:val="18"/>
                      <w:lang w:eastAsia="en-US"/>
                    </w:rPr>
                    <w:t>200型</w:t>
                  </w:r>
                </w:p>
              </w:tc>
              <w:tc>
                <w:tcPr>
                  <w:tcW w:w="365" w:type="pct"/>
                  <w:tcBorders>
                    <w:tl2br w:val="nil"/>
                    <w:tr2bl w:val="nil"/>
                  </w:tcBorders>
                  <w:shd w:val="clear" w:color="auto" w:fill="auto"/>
                  <w:vAlign w:val="center"/>
                </w:tcPr>
                <w:p w14:paraId="7D8537AE">
                  <w:pPr>
                    <w:pStyle w:val="129"/>
                    <w:widowControl w:val="0"/>
                    <w:autoSpaceDE/>
                    <w:autoSpaceDN/>
                    <w:rPr>
                      <w:rFonts w:hint="default" w:ascii="Times New Roman" w:hAnsi="Times New Roman" w:cs="Times New Roman"/>
                      <w:color w:val="FF0000"/>
                      <w:sz w:val="18"/>
                      <w:szCs w:val="18"/>
                      <w:lang w:eastAsia="en-US"/>
                    </w:rPr>
                  </w:pPr>
                  <w:r>
                    <w:rPr>
                      <w:rFonts w:hint="default" w:ascii="Times New Roman" w:hAnsi="Times New Roman" w:cs="Times New Roman"/>
                      <w:color w:val="FF0000"/>
                      <w:sz w:val="18"/>
                      <w:szCs w:val="18"/>
                      <w:lang w:eastAsia="en-US"/>
                    </w:rPr>
                    <w:t>85</w:t>
                  </w:r>
                </w:p>
              </w:tc>
              <w:tc>
                <w:tcPr>
                  <w:tcW w:w="272" w:type="pct"/>
                  <w:vMerge w:val="continue"/>
                  <w:tcBorders>
                    <w:tl2br w:val="nil"/>
                    <w:tr2bl w:val="nil"/>
                  </w:tcBorders>
                  <w:shd w:val="clear" w:color="auto" w:fill="auto"/>
                  <w:vAlign w:val="center"/>
                </w:tcPr>
                <w:p w14:paraId="7AB5FD8D">
                  <w:pPr>
                    <w:pStyle w:val="129"/>
                    <w:widowControl w:val="0"/>
                    <w:autoSpaceDE/>
                    <w:autoSpaceDN/>
                    <w:rPr>
                      <w:rFonts w:hint="default" w:ascii="Times New Roman" w:hAnsi="Times New Roman" w:cs="Times New Roman"/>
                      <w:color w:val="FF0000"/>
                      <w:sz w:val="18"/>
                      <w:szCs w:val="18"/>
                      <w:lang w:eastAsia="en-US"/>
                    </w:rPr>
                  </w:pPr>
                </w:p>
              </w:tc>
              <w:tc>
                <w:tcPr>
                  <w:tcW w:w="169" w:type="pct"/>
                  <w:tcBorders>
                    <w:tl2br w:val="nil"/>
                    <w:tr2bl w:val="nil"/>
                  </w:tcBorders>
                  <w:shd w:val="clear" w:color="auto" w:fill="auto"/>
                  <w:vAlign w:val="center"/>
                </w:tcPr>
                <w:p w14:paraId="32CD076E">
                  <w:pPr>
                    <w:pStyle w:val="129"/>
                    <w:widowControl w:val="0"/>
                    <w:autoSpaceDE/>
                    <w:autoSpaceDN/>
                    <w:rPr>
                      <w:rFonts w:hint="default" w:ascii="Times New Roman" w:hAnsi="Times New Roman" w:cs="Times New Roman"/>
                      <w:color w:val="FF0000"/>
                      <w:sz w:val="18"/>
                      <w:szCs w:val="18"/>
                      <w:lang w:eastAsia="en-US"/>
                    </w:rPr>
                  </w:pPr>
                  <w:r>
                    <w:rPr>
                      <w:rFonts w:hint="default" w:ascii="Times New Roman" w:hAnsi="Times New Roman" w:cs="Times New Roman"/>
                      <w:color w:val="FF0000"/>
                      <w:sz w:val="18"/>
                      <w:szCs w:val="18"/>
                      <w:lang w:eastAsia="en-US"/>
                    </w:rPr>
                    <w:t>65</w:t>
                  </w:r>
                </w:p>
              </w:tc>
              <w:tc>
                <w:tcPr>
                  <w:tcW w:w="199" w:type="pct"/>
                  <w:tcBorders>
                    <w:tl2br w:val="nil"/>
                    <w:tr2bl w:val="nil"/>
                  </w:tcBorders>
                  <w:shd w:val="clear" w:color="auto" w:fill="auto"/>
                  <w:vAlign w:val="center"/>
                </w:tcPr>
                <w:p w14:paraId="7EA2CE84">
                  <w:pPr>
                    <w:pStyle w:val="129"/>
                    <w:widowControl w:val="0"/>
                    <w:autoSpaceDE/>
                    <w:autoSpaceDN/>
                    <w:rPr>
                      <w:rFonts w:hint="default" w:ascii="Times New Roman" w:hAnsi="Times New Roman" w:cs="Times New Roman"/>
                      <w:color w:val="FF0000"/>
                      <w:sz w:val="18"/>
                      <w:szCs w:val="18"/>
                      <w:lang w:eastAsia="en-US"/>
                    </w:rPr>
                  </w:pPr>
                  <w:r>
                    <w:rPr>
                      <w:rFonts w:hint="default" w:ascii="Times New Roman" w:hAnsi="Times New Roman" w:cs="Times New Roman"/>
                      <w:color w:val="FF0000"/>
                      <w:sz w:val="18"/>
                      <w:szCs w:val="18"/>
                      <w:lang w:eastAsia="en-US"/>
                    </w:rPr>
                    <w:t>32</w:t>
                  </w:r>
                </w:p>
              </w:tc>
              <w:tc>
                <w:tcPr>
                  <w:tcW w:w="215" w:type="pct"/>
                  <w:tcBorders>
                    <w:tl2br w:val="nil"/>
                    <w:tr2bl w:val="nil"/>
                  </w:tcBorders>
                  <w:shd w:val="clear" w:color="auto" w:fill="auto"/>
                  <w:vAlign w:val="center"/>
                </w:tcPr>
                <w:p w14:paraId="46D989B3">
                  <w:pPr>
                    <w:pStyle w:val="129"/>
                    <w:widowControl w:val="0"/>
                    <w:autoSpaceDE/>
                    <w:autoSpaceDN/>
                    <w:rPr>
                      <w:rFonts w:hint="default" w:ascii="Times New Roman" w:hAnsi="Times New Roman" w:cs="Times New Roman"/>
                      <w:color w:val="FF0000"/>
                      <w:sz w:val="18"/>
                      <w:szCs w:val="18"/>
                      <w:lang w:eastAsia="en-US"/>
                    </w:rPr>
                  </w:pPr>
                  <w:r>
                    <w:rPr>
                      <w:rFonts w:hint="default" w:ascii="Times New Roman" w:hAnsi="Times New Roman" w:cs="Times New Roman"/>
                      <w:color w:val="FF0000"/>
                      <w:sz w:val="18"/>
                      <w:szCs w:val="18"/>
                      <w:lang w:eastAsia="en-US"/>
                    </w:rPr>
                    <w:t>1</w:t>
                  </w:r>
                </w:p>
              </w:tc>
              <w:tc>
                <w:tcPr>
                  <w:tcW w:w="330" w:type="pct"/>
                  <w:tcBorders>
                    <w:tl2br w:val="nil"/>
                    <w:tr2bl w:val="nil"/>
                  </w:tcBorders>
                  <w:shd w:val="clear" w:color="auto" w:fill="auto"/>
                  <w:vAlign w:val="center"/>
                </w:tcPr>
                <w:p w14:paraId="228479A9">
                  <w:pPr>
                    <w:pStyle w:val="129"/>
                    <w:widowControl w:val="0"/>
                    <w:autoSpaceDE/>
                    <w:autoSpaceDN/>
                    <w:rPr>
                      <w:rFonts w:hint="default" w:ascii="Times New Roman" w:hAnsi="Times New Roman" w:cs="Times New Roman"/>
                      <w:color w:val="FF0000"/>
                      <w:sz w:val="18"/>
                      <w:szCs w:val="18"/>
                      <w:lang w:eastAsia="en-US"/>
                    </w:rPr>
                  </w:pPr>
                  <w:r>
                    <w:rPr>
                      <w:rFonts w:hint="default" w:ascii="Times New Roman" w:hAnsi="Times New Roman" w:cs="Times New Roman"/>
                      <w:color w:val="FF0000"/>
                      <w:sz w:val="18"/>
                      <w:szCs w:val="18"/>
                      <w:lang w:eastAsia="en-US"/>
                    </w:rPr>
                    <w:t>16</w:t>
                  </w:r>
                </w:p>
              </w:tc>
              <w:tc>
                <w:tcPr>
                  <w:tcW w:w="355" w:type="pct"/>
                  <w:tcBorders>
                    <w:tl2br w:val="nil"/>
                    <w:tr2bl w:val="nil"/>
                  </w:tcBorders>
                  <w:shd w:val="clear" w:color="auto" w:fill="auto"/>
                  <w:vAlign w:val="center"/>
                </w:tcPr>
                <w:p w14:paraId="4F3C15DF">
                  <w:pPr>
                    <w:pStyle w:val="129"/>
                    <w:widowControl w:val="0"/>
                    <w:autoSpaceDE/>
                    <w:autoSpaceDN/>
                    <w:rPr>
                      <w:rFonts w:hint="default" w:ascii="Times New Roman" w:hAnsi="Times New Roman" w:cs="Times New Roman"/>
                      <w:color w:val="FF0000"/>
                      <w:sz w:val="18"/>
                      <w:szCs w:val="18"/>
                      <w:lang w:eastAsia="en-US"/>
                    </w:rPr>
                  </w:pPr>
                  <w:r>
                    <w:rPr>
                      <w:rFonts w:hint="default" w:ascii="Times New Roman" w:hAnsi="Times New Roman" w:cs="Times New Roman"/>
                      <w:color w:val="FF0000"/>
                      <w:sz w:val="18"/>
                      <w:szCs w:val="18"/>
                      <w:lang w:eastAsia="en-US"/>
                    </w:rPr>
                    <w:t>49.9</w:t>
                  </w:r>
                </w:p>
              </w:tc>
              <w:tc>
                <w:tcPr>
                  <w:tcW w:w="252" w:type="pct"/>
                  <w:vMerge w:val="continue"/>
                  <w:tcBorders>
                    <w:tl2br w:val="nil"/>
                    <w:tr2bl w:val="nil"/>
                  </w:tcBorders>
                  <w:shd w:val="clear" w:color="auto" w:fill="auto"/>
                  <w:vAlign w:val="center"/>
                </w:tcPr>
                <w:p w14:paraId="4F1FDECF">
                  <w:pPr>
                    <w:pStyle w:val="129"/>
                    <w:widowControl w:val="0"/>
                    <w:autoSpaceDE/>
                    <w:autoSpaceDN/>
                    <w:rPr>
                      <w:rFonts w:hint="default" w:ascii="Times New Roman" w:hAnsi="Times New Roman" w:cs="Times New Roman"/>
                      <w:color w:val="FF0000"/>
                      <w:sz w:val="18"/>
                      <w:szCs w:val="18"/>
                      <w:lang w:eastAsia="en-US"/>
                    </w:rPr>
                  </w:pPr>
                </w:p>
              </w:tc>
              <w:tc>
                <w:tcPr>
                  <w:tcW w:w="321" w:type="pct"/>
                  <w:tcBorders>
                    <w:tl2br w:val="nil"/>
                    <w:tr2bl w:val="nil"/>
                  </w:tcBorders>
                  <w:shd w:val="clear" w:color="auto" w:fill="auto"/>
                  <w:vAlign w:val="center"/>
                </w:tcPr>
                <w:p w14:paraId="14B37A07">
                  <w:pPr>
                    <w:pStyle w:val="129"/>
                    <w:widowControl w:val="0"/>
                    <w:autoSpaceDE/>
                    <w:autoSpaceDN/>
                    <w:rPr>
                      <w:rFonts w:hint="default" w:ascii="Times New Roman" w:hAnsi="Times New Roman" w:cs="Times New Roman"/>
                      <w:color w:val="FF0000"/>
                      <w:sz w:val="18"/>
                      <w:szCs w:val="18"/>
                      <w:lang w:eastAsia="en-US"/>
                    </w:rPr>
                  </w:pPr>
                  <w:r>
                    <w:rPr>
                      <w:rFonts w:hint="default" w:ascii="Times New Roman" w:hAnsi="Times New Roman" w:cs="Times New Roman"/>
                      <w:color w:val="FF0000"/>
                      <w:sz w:val="18"/>
                      <w:szCs w:val="18"/>
                      <w:lang w:eastAsia="en-US"/>
                    </w:rPr>
                    <w:t>25.5</w:t>
                  </w:r>
                </w:p>
              </w:tc>
              <w:tc>
                <w:tcPr>
                  <w:tcW w:w="355" w:type="pct"/>
                  <w:tcBorders>
                    <w:tl2br w:val="nil"/>
                    <w:tr2bl w:val="nil"/>
                  </w:tcBorders>
                  <w:shd w:val="clear" w:color="auto" w:fill="auto"/>
                  <w:vAlign w:val="center"/>
                </w:tcPr>
                <w:p w14:paraId="445D1551">
                  <w:pPr>
                    <w:pStyle w:val="129"/>
                    <w:widowControl w:val="0"/>
                    <w:autoSpaceDE/>
                    <w:autoSpaceDN/>
                    <w:rPr>
                      <w:rFonts w:hint="default" w:ascii="Times New Roman" w:hAnsi="Times New Roman" w:cs="Times New Roman"/>
                      <w:color w:val="FF0000"/>
                      <w:sz w:val="18"/>
                      <w:szCs w:val="18"/>
                      <w:lang w:eastAsia="en-US"/>
                    </w:rPr>
                  </w:pPr>
                  <w:r>
                    <w:rPr>
                      <w:rFonts w:hint="default" w:ascii="Times New Roman" w:hAnsi="Times New Roman" w:cs="Times New Roman"/>
                      <w:color w:val="FF0000"/>
                      <w:sz w:val="18"/>
                      <w:szCs w:val="18"/>
                      <w:lang w:eastAsia="en-US"/>
                    </w:rPr>
                    <w:t>24.4</w:t>
                  </w:r>
                </w:p>
              </w:tc>
              <w:tc>
                <w:tcPr>
                  <w:tcW w:w="149" w:type="pct"/>
                  <w:tcBorders>
                    <w:tl2br w:val="nil"/>
                    <w:tr2bl w:val="nil"/>
                  </w:tcBorders>
                  <w:shd w:val="clear" w:color="auto" w:fill="auto"/>
                  <w:vAlign w:val="center"/>
                </w:tcPr>
                <w:p w14:paraId="420795CC">
                  <w:pPr>
                    <w:pStyle w:val="129"/>
                    <w:widowControl w:val="0"/>
                    <w:autoSpaceDE/>
                    <w:autoSpaceDN/>
                    <w:rPr>
                      <w:rFonts w:hint="default" w:ascii="Times New Roman" w:hAnsi="Times New Roman" w:cs="Times New Roman"/>
                      <w:color w:val="FF0000"/>
                      <w:sz w:val="18"/>
                      <w:szCs w:val="18"/>
                      <w:lang w:eastAsia="en-US"/>
                    </w:rPr>
                  </w:pPr>
                  <w:r>
                    <w:rPr>
                      <w:rFonts w:hint="default" w:ascii="Times New Roman" w:hAnsi="Times New Roman" w:cs="Times New Roman"/>
                      <w:color w:val="FF0000"/>
                      <w:sz w:val="18"/>
                      <w:szCs w:val="18"/>
                      <w:lang w:eastAsia="en-US"/>
                    </w:rPr>
                    <w:t>1</w:t>
                  </w:r>
                </w:p>
              </w:tc>
            </w:tr>
            <w:tr w14:paraId="3131A9EC">
              <w:tblPrEx>
                <w:tblBorders>
                  <w:top w:val="double" w:color="000000" w:sz="4" w:space="0"/>
                  <w:left w:val="none" w:color="auto" w:sz="0" w:space="0"/>
                  <w:bottom w:val="double" w:color="000000" w:sz="4"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101" w:hRule="atLeast"/>
              </w:trPr>
              <w:tc>
                <w:tcPr>
                  <w:tcW w:w="172" w:type="pct"/>
                  <w:vMerge w:val="continue"/>
                  <w:tcBorders>
                    <w:tl2br w:val="nil"/>
                    <w:tr2bl w:val="nil"/>
                  </w:tcBorders>
                  <w:vAlign w:val="center"/>
                </w:tcPr>
                <w:p w14:paraId="094F46A0">
                  <w:pPr>
                    <w:pStyle w:val="129"/>
                    <w:widowControl w:val="0"/>
                    <w:autoSpaceDE/>
                    <w:autoSpaceDN/>
                    <w:rPr>
                      <w:rFonts w:hint="default" w:ascii="Times New Roman" w:hAnsi="Times New Roman" w:cs="Times New Roman"/>
                      <w:color w:val="FF0000"/>
                      <w:sz w:val="18"/>
                      <w:szCs w:val="18"/>
                      <w:lang w:eastAsia="en-US"/>
                    </w:rPr>
                  </w:pPr>
                </w:p>
              </w:tc>
              <w:tc>
                <w:tcPr>
                  <w:tcW w:w="232" w:type="pct"/>
                  <w:vMerge w:val="continue"/>
                  <w:tcBorders>
                    <w:tl2br w:val="nil"/>
                    <w:tr2bl w:val="nil"/>
                  </w:tcBorders>
                  <w:vAlign w:val="center"/>
                </w:tcPr>
                <w:p w14:paraId="41550C04">
                  <w:pPr>
                    <w:pStyle w:val="129"/>
                    <w:widowControl w:val="0"/>
                    <w:autoSpaceDE/>
                    <w:autoSpaceDN/>
                    <w:rPr>
                      <w:rFonts w:hint="default" w:ascii="Times New Roman" w:hAnsi="Times New Roman" w:cs="Times New Roman"/>
                      <w:color w:val="FF0000"/>
                      <w:sz w:val="18"/>
                      <w:szCs w:val="18"/>
                      <w:lang w:eastAsia="en-US"/>
                    </w:rPr>
                  </w:pPr>
                </w:p>
              </w:tc>
              <w:tc>
                <w:tcPr>
                  <w:tcW w:w="765" w:type="pct"/>
                  <w:tcBorders>
                    <w:tl2br w:val="nil"/>
                    <w:tr2bl w:val="nil"/>
                  </w:tcBorders>
                  <w:shd w:val="clear" w:color="auto" w:fill="auto"/>
                  <w:vAlign w:val="center"/>
                </w:tcPr>
                <w:p w14:paraId="76BACF84">
                  <w:pPr>
                    <w:pStyle w:val="129"/>
                    <w:widowControl w:val="0"/>
                    <w:autoSpaceDE/>
                    <w:autoSpaceDN/>
                    <w:rPr>
                      <w:rFonts w:hint="default" w:ascii="Times New Roman" w:hAnsi="Times New Roman" w:cs="Times New Roman"/>
                      <w:color w:val="FF0000"/>
                      <w:sz w:val="18"/>
                      <w:szCs w:val="18"/>
                      <w:lang w:eastAsia="en-US"/>
                    </w:rPr>
                  </w:pPr>
                  <w:r>
                    <w:rPr>
                      <w:rFonts w:hint="default" w:ascii="Times New Roman" w:hAnsi="Times New Roman" w:cs="Times New Roman"/>
                      <w:color w:val="FF0000"/>
                      <w:sz w:val="18"/>
                      <w:szCs w:val="18"/>
                      <w:lang w:eastAsia="en-US"/>
                    </w:rPr>
                    <w:t>气动工具</w:t>
                  </w:r>
                </w:p>
              </w:tc>
              <w:tc>
                <w:tcPr>
                  <w:tcW w:w="844" w:type="pct"/>
                  <w:tcBorders>
                    <w:tl2br w:val="nil"/>
                    <w:tr2bl w:val="nil"/>
                  </w:tcBorders>
                  <w:shd w:val="clear" w:color="auto" w:fill="auto"/>
                  <w:vAlign w:val="center"/>
                </w:tcPr>
                <w:p w14:paraId="77B7E187">
                  <w:pPr>
                    <w:pStyle w:val="129"/>
                    <w:widowControl w:val="0"/>
                    <w:autoSpaceDE/>
                    <w:autoSpaceDN/>
                    <w:rPr>
                      <w:rFonts w:hint="default" w:ascii="Times New Roman" w:hAnsi="Times New Roman" w:cs="Times New Roman"/>
                      <w:color w:val="FF0000"/>
                      <w:sz w:val="18"/>
                      <w:szCs w:val="18"/>
                      <w:lang w:eastAsia="en-US"/>
                    </w:rPr>
                  </w:pPr>
                  <w:r>
                    <w:rPr>
                      <w:rFonts w:hint="default" w:ascii="Times New Roman" w:hAnsi="Times New Roman" w:cs="Times New Roman"/>
                      <w:color w:val="FF0000"/>
                      <w:sz w:val="18"/>
                      <w:szCs w:val="18"/>
                      <w:lang w:eastAsia="en-US"/>
                    </w:rPr>
                    <w:t>/</w:t>
                  </w:r>
                </w:p>
              </w:tc>
              <w:tc>
                <w:tcPr>
                  <w:tcW w:w="365" w:type="pct"/>
                  <w:tcBorders>
                    <w:tl2br w:val="nil"/>
                    <w:tr2bl w:val="nil"/>
                  </w:tcBorders>
                  <w:shd w:val="clear" w:color="auto" w:fill="auto"/>
                  <w:vAlign w:val="center"/>
                </w:tcPr>
                <w:p w14:paraId="6453EB81">
                  <w:pPr>
                    <w:pStyle w:val="129"/>
                    <w:widowControl w:val="0"/>
                    <w:autoSpaceDE/>
                    <w:autoSpaceDN/>
                    <w:rPr>
                      <w:rFonts w:hint="default" w:ascii="Times New Roman" w:hAnsi="Times New Roman" w:cs="Times New Roman"/>
                      <w:color w:val="FF0000"/>
                      <w:sz w:val="18"/>
                      <w:szCs w:val="18"/>
                      <w:lang w:eastAsia="en-US"/>
                    </w:rPr>
                  </w:pPr>
                  <w:r>
                    <w:rPr>
                      <w:rFonts w:hint="default" w:ascii="Times New Roman" w:hAnsi="Times New Roman" w:cs="Times New Roman"/>
                      <w:color w:val="FF0000"/>
                      <w:sz w:val="18"/>
                      <w:szCs w:val="18"/>
                      <w:lang w:eastAsia="en-US"/>
                    </w:rPr>
                    <w:t>85</w:t>
                  </w:r>
                </w:p>
              </w:tc>
              <w:tc>
                <w:tcPr>
                  <w:tcW w:w="272" w:type="pct"/>
                  <w:vMerge w:val="continue"/>
                  <w:tcBorders>
                    <w:tl2br w:val="nil"/>
                    <w:tr2bl w:val="nil"/>
                  </w:tcBorders>
                  <w:shd w:val="clear" w:color="auto" w:fill="auto"/>
                  <w:vAlign w:val="center"/>
                </w:tcPr>
                <w:p w14:paraId="027EB09F">
                  <w:pPr>
                    <w:pStyle w:val="129"/>
                    <w:widowControl w:val="0"/>
                    <w:autoSpaceDE/>
                    <w:autoSpaceDN/>
                    <w:rPr>
                      <w:rFonts w:hint="default" w:ascii="Times New Roman" w:hAnsi="Times New Roman" w:cs="Times New Roman"/>
                      <w:color w:val="FF0000"/>
                      <w:sz w:val="18"/>
                      <w:szCs w:val="18"/>
                      <w:lang w:eastAsia="en-US"/>
                    </w:rPr>
                  </w:pPr>
                </w:p>
              </w:tc>
              <w:tc>
                <w:tcPr>
                  <w:tcW w:w="169" w:type="pct"/>
                  <w:tcBorders>
                    <w:tl2br w:val="nil"/>
                    <w:tr2bl w:val="nil"/>
                  </w:tcBorders>
                  <w:shd w:val="clear" w:color="auto" w:fill="auto"/>
                  <w:vAlign w:val="center"/>
                </w:tcPr>
                <w:p w14:paraId="514A87CC">
                  <w:pPr>
                    <w:pStyle w:val="129"/>
                    <w:widowControl w:val="0"/>
                    <w:autoSpaceDE/>
                    <w:autoSpaceDN/>
                    <w:rPr>
                      <w:rFonts w:hint="default" w:ascii="Times New Roman" w:hAnsi="Times New Roman" w:cs="Times New Roman"/>
                      <w:color w:val="FF0000"/>
                      <w:sz w:val="18"/>
                      <w:szCs w:val="18"/>
                      <w:lang w:eastAsia="en-US"/>
                    </w:rPr>
                  </w:pPr>
                  <w:r>
                    <w:rPr>
                      <w:rFonts w:hint="default" w:ascii="Times New Roman" w:hAnsi="Times New Roman" w:cs="Times New Roman"/>
                      <w:color w:val="FF0000"/>
                      <w:sz w:val="18"/>
                      <w:szCs w:val="18"/>
                      <w:lang w:eastAsia="en-US"/>
                    </w:rPr>
                    <w:t>65</w:t>
                  </w:r>
                </w:p>
              </w:tc>
              <w:tc>
                <w:tcPr>
                  <w:tcW w:w="199" w:type="pct"/>
                  <w:tcBorders>
                    <w:tl2br w:val="nil"/>
                    <w:tr2bl w:val="nil"/>
                  </w:tcBorders>
                  <w:shd w:val="clear" w:color="auto" w:fill="auto"/>
                  <w:vAlign w:val="center"/>
                </w:tcPr>
                <w:p w14:paraId="33487441">
                  <w:pPr>
                    <w:pStyle w:val="129"/>
                    <w:widowControl w:val="0"/>
                    <w:autoSpaceDE/>
                    <w:autoSpaceDN/>
                    <w:rPr>
                      <w:rFonts w:hint="default" w:ascii="Times New Roman" w:hAnsi="Times New Roman" w:cs="Times New Roman"/>
                      <w:color w:val="FF0000"/>
                      <w:sz w:val="18"/>
                      <w:szCs w:val="18"/>
                      <w:lang w:eastAsia="en-US"/>
                    </w:rPr>
                  </w:pPr>
                  <w:r>
                    <w:rPr>
                      <w:rFonts w:hint="default" w:ascii="Times New Roman" w:hAnsi="Times New Roman" w:cs="Times New Roman"/>
                      <w:color w:val="FF0000"/>
                      <w:sz w:val="18"/>
                      <w:szCs w:val="18"/>
                      <w:lang w:eastAsia="en-US"/>
                    </w:rPr>
                    <w:t>32</w:t>
                  </w:r>
                </w:p>
              </w:tc>
              <w:tc>
                <w:tcPr>
                  <w:tcW w:w="215" w:type="pct"/>
                  <w:tcBorders>
                    <w:tl2br w:val="nil"/>
                    <w:tr2bl w:val="nil"/>
                  </w:tcBorders>
                  <w:shd w:val="clear" w:color="auto" w:fill="auto"/>
                  <w:vAlign w:val="center"/>
                </w:tcPr>
                <w:p w14:paraId="7DA0B59B">
                  <w:pPr>
                    <w:pStyle w:val="129"/>
                    <w:widowControl w:val="0"/>
                    <w:autoSpaceDE/>
                    <w:autoSpaceDN/>
                    <w:rPr>
                      <w:rFonts w:hint="default" w:ascii="Times New Roman" w:hAnsi="Times New Roman" w:cs="Times New Roman"/>
                      <w:color w:val="FF0000"/>
                      <w:sz w:val="18"/>
                      <w:szCs w:val="18"/>
                      <w:lang w:eastAsia="en-US"/>
                    </w:rPr>
                  </w:pPr>
                  <w:r>
                    <w:rPr>
                      <w:rFonts w:hint="default" w:ascii="Times New Roman" w:hAnsi="Times New Roman" w:cs="Times New Roman"/>
                      <w:color w:val="FF0000"/>
                      <w:sz w:val="18"/>
                      <w:szCs w:val="18"/>
                      <w:lang w:eastAsia="en-US"/>
                    </w:rPr>
                    <w:t>1</w:t>
                  </w:r>
                </w:p>
              </w:tc>
              <w:tc>
                <w:tcPr>
                  <w:tcW w:w="330" w:type="pct"/>
                  <w:tcBorders>
                    <w:tl2br w:val="nil"/>
                    <w:tr2bl w:val="nil"/>
                  </w:tcBorders>
                  <w:shd w:val="clear" w:color="auto" w:fill="auto"/>
                  <w:vAlign w:val="center"/>
                </w:tcPr>
                <w:p w14:paraId="1963ECE7">
                  <w:pPr>
                    <w:pStyle w:val="129"/>
                    <w:widowControl w:val="0"/>
                    <w:autoSpaceDE/>
                    <w:autoSpaceDN/>
                    <w:rPr>
                      <w:rFonts w:hint="default" w:ascii="Times New Roman" w:hAnsi="Times New Roman" w:cs="Times New Roman"/>
                      <w:color w:val="FF0000"/>
                      <w:sz w:val="18"/>
                      <w:szCs w:val="18"/>
                      <w:lang w:eastAsia="en-US"/>
                    </w:rPr>
                  </w:pPr>
                  <w:r>
                    <w:rPr>
                      <w:rFonts w:hint="default" w:ascii="Times New Roman" w:hAnsi="Times New Roman" w:cs="Times New Roman"/>
                      <w:color w:val="FF0000"/>
                      <w:sz w:val="18"/>
                      <w:szCs w:val="18"/>
                      <w:lang w:eastAsia="en-US"/>
                    </w:rPr>
                    <w:t>16</w:t>
                  </w:r>
                </w:p>
              </w:tc>
              <w:tc>
                <w:tcPr>
                  <w:tcW w:w="355" w:type="pct"/>
                  <w:tcBorders>
                    <w:tl2br w:val="nil"/>
                    <w:tr2bl w:val="nil"/>
                  </w:tcBorders>
                  <w:shd w:val="clear" w:color="auto" w:fill="auto"/>
                  <w:vAlign w:val="center"/>
                </w:tcPr>
                <w:p w14:paraId="29841B7B">
                  <w:pPr>
                    <w:pStyle w:val="129"/>
                    <w:widowControl w:val="0"/>
                    <w:autoSpaceDE/>
                    <w:autoSpaceDN/>
                    <w:rPr>
                      <w:rFonts w:hint="default" w:ascii="Times New Roman" w:hAnsi="Times New Roman" w:cs="Times New Roman"/>
                      <w:color w:val="FF0000"/>
                      <w:sz w:val="18"/>
                      <w:szCs w:val="18"/>
                      <w:lang w:eastAsia="en-US"/>
                    </w:rPr>
                  </w:pPr>
                  <w:r>
                    <w:rPr>
                      <w:rFonts w:hint="default" w:ascii="Times New Roman" w:hAnsi="Times New Roman" w:cs="Times New Roman"/>
                      <w:color w:val="FF0000"/>
                      <w:sz w:val="18"/>
                      <w:szCs w:val="18"/>
                      <w:lang w:eastAsia="en-US"/>
                    </w:rPr>
                    <w:t>49.9</w:t>
                  </w:r>
                </w:p>
              </w:tc>
              <w:tc>
                <w:tcPr>
                  <w:tcW w:w="252" w:type="pct"/>
                  <w:vMerge w:val="continue"/>
                  <w:tcBorders>
                    <w:tl2br w:val="nil"/>
                    <w:tr2bl w:val="nil"/>
                  </w:tcBorders>
                  <w:shd w:val="clear" w:color="auto" w:fill="auto"/>
                  <w:vAlign w:val="center"/>
                </w:tcPr>
                <w:p w14:paraId="4C1F150D">
                  <w:pPr>
                    <w:pStyle w:val="129"/>
                    <w:widowControl w:val="0"/>
                    <w:autoSpaceDE/>
                    <w:autoSpaceDN/>
                    <w:rPr>
                      <w:rFonts w:hint="default" w:ascii="Times New Roman" w:hAnsi="Times New Roman" w:cs="Times New Roman"/>
                      <w:color w:val="FF0000"/>
                      <w:sz w:val="18"/>
                      <w:szCs w:val="18"/>
                      <w:lang w:eastAsia="en-US"/>
                    </w:rPr>
                  </w:pPr>
                </w:p>
              </w:tc>
              <w:tc>
                <w:tcPr>
                  <w:tcW w:w="321" w:type="pct"/>
                  <w:tcBorders>
                    <w:tl2br w:val="nil"/>
                    <w:tr2bl w:val="nil"/>
                  </w:tcBorders>
                  <w:shd w:val="clear" w:color="auto" w:fill="auto"/>
                  <w:vAlign w:val="center"/>
                </w:tcPr>
                <w:p w14:paraId="5F77659E">
                  <w:pPr>
                    <w:pStyle w:val="129"/>
                    <w:widowControl w:val="0"/>
                    <w:autoSpaceDE/>
                    <w:autoSpaceDN/>
                    <w:rPr>
                      <w:rFonts w:hint="default" w:ascii="Times New Roman" w:hAnsi="Times New Roman" w:cs="Times New Roman"/>
                      <w:color w:val="FF0000"/>
                      <w:sz w:val="18"/>
                      <w:szCs w:val="18"/>
                      <w:lang w:eastAsia="en-US"/>
                    </w:rPr>
                  </w:pPr>
                  <w:r>
                    <w:rPr>
                      <w:rFonts w:hint="default" w:ascii="Times New Roman" w:hAnsi="Times New Roman" w:cs="Times New Roman"/>
                      <w:color w:val="FF0000"/>
                      <w:sz w:val="18"/>
                      <w:szCs w:val="18"/>
                      <w:lang w:eastAsia="en-US"/>
                    </w:rPr>
                    <w:t>25.5</w:t>
                  </w:r>
                </w:p>
              </w:tc>
              <w:tc>
                <w:tcPr>
                  <w:tcW w:w="355" w:type="pct"/>
                  <w:tcBorders>
                    <w:tl2br w:val="nil"/>
                    <w:tr2bl w:val="nil"/>
                  </w:tcBorders>
                  <w:shd w:val="clear" w:color="auto" w:fill="auto"/>
                  <w:vAlign w:val="center"/>
                </w:tcPr>
                <w:p w14:paraId="02824CB2">
                  <w:pPr>
                    <w:pStyle w:val="129"/>
                    <w:widowControl w:val="0"/>
                    <w:autoSpaceDE/>
                    <w:autoSpaceDN/>
                    <w:rPr>
                      <w:rFonts w:hint="default" w:ascii="Times New Roman" w:hAnsi="Times New Roman" w:cs="Times New Roman"/>
                      <w:color w:val="FF0000"/>
                      <w:sz w:val="18"/>
                      <w:szCs w:val="18"/>
                      <w:lang w:eastAsia="en-US"/>
                    </w:rPr>
                  </w:pPr>
                  <w:r>
                    <w:rPr>
                      <w:rFonts w:hint="default" w:ascii="Times New Roman" w:hAnsi="Times New Roman" w:cs="Times New Roman"/>
                      <w:color w:val="FF0000"/>
                      <w:sz w:val="18"/>
                      <w:szCs w:val="18"/>
                      <w:lang w:eastAsia="en-US"/>
                    </w:rPr>
                    <w:t>24.4</w:t>
                  </w:r>
                </w:p>
              </w:tc>
              <w:tc>
                <w:tcPr>
                  <w:tcW w:w="149" w:type="pct"/>
                  <w:tcBorders>
                    <w:tl2br w:val="nil"/>
                    <w:tr2bl w:val="nil"/>
                  </w:tcBorders>
                  <w:shd w:val="clear" w:color="auto" w:fill="auto"/>
                  <w:vAlign w:val="center"/>
                </w:tcPr>
                <w:p w14:paraId="5BC50A86">
                  <w:pPr>
                    <w:pStyle w:val="129"/>
                    <w:widowControl w:val="0"/>
                    <w:autoSpaceDE/>
                    <w:autoSpaceDN/>
                    <w:rPr>
                      <w:rFonts w:hint="default" w:ascii="Times New Roman" w:hAnsi="Times New Roman" w:cs="Times New Roman"/>
                      <w:color w:val="FF0000"/>
                      <w:sz w:val="18"/>
                      <w:szCs w:val="18"/>
                      <w:lang w:eastAsia="en-US"/>
                    </w:rPr>
                  </w:pPr>
                  <w:r>
                    <w:rPr>
                      <w:rFonts w:hint="default" w:ascii="Times New Roman" w:hAnsi="Times New Roman" w:cs="Times New Roman"/>
                      <w:color w:val="FF0000"/>
                      <w:sz w:val="18"/>
                      <w:szCs w:val="18"/>
                      <w:lang w:eastAsia="en-US"/>
                    </w:rPr>
                    <w:t>1</w:t>
                  </w:r>
                </w:p>
              </w:tc>
            </w:tr>
            <w:tr w14:paraId="1E4C83B8">
              <w:tblPrEx>
                <w:tblBorders>
                  <w:top w:val="double" w:color="000000" w:sz="4" w:space="0"/>
                  <w:left w:val="none" w:color="auto" w:sz="0" w:space="0"/>
                  <w:bottom w:val="double" w:color="000000" w:sz="4"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101" w:hRule="atLeast"/>
              </w:trPr>
              <w:tc>
                <w:tcPr>
                  <w:tcW w:w="172" w:type="pct"/>
                  <w:vMerge w:val="continue"/>
                  <w:tcBorders>
                    <w:tl2br w:val="nil"/>
                    <w:tr2bl w:val="nil"/>
                  </w:tcBorders>
                  <w:vAlign w:val="center"/>
                </w:tcPr>
                <w:p w14:paraId="59509B26">
                  <w:pPr>
                    <w:pStyle w:val="129"/>
                    <w:widowControl w:val="0"/>
                    <w:autoSpaceDE/>
                    <w:autoSpaceDN/>
                    <w:rPr>
                      <w:rFonts w:hint="default" w:ascii="Times New Roman" w:hAnsi="Times New Roman" w:cs="Times New Roman"/>
                      <w:color w:val="FF0000"/>
                      <w:sz w:val="18"/>
                      <w:szCs w:val="18"/>
                      <w:lang w:eastAsia="en-US"/>
                    </w:rPr>
                  </w:pPr>
                </w:p>
              </w:tc>
              <w:tc>
                <w:tcPr>
                  <w:tcW w:w="232" w:type="pct"/>
                  <w:vMerge w:val="continue"/>
                  <w:tcBorders>
                    <w:tl2br w:val="nil"/>
                    <w:tr2bl w:val="nil"/>
                  </w:tcBorders>
                  <w:vAlign w:val="center"/>
                </w:tcPr>
                <w:p w14:paraId="045CE789">
                  <w:pPr>
                    <w:pStyle w:val="129"/>
                    <w:widowControl w:val="0"/>
                    <w:autoSpaceDE/>
                    <w:autoSpaceDN/>
                    <w:rPr>
                      <w:rFonts w:hint="default" w:ascii="Times New Roman" w:hAnsi="Times New Roman" w:cs="Times New Roman"/>
                      <w:color w:val="FF0000"/>
                      <w:sz w:val="18"/>
                      <w:szCs w:val="18"/>
                      <w:lang w:eastAsia="en-US"/>
                    </w:rPr>
                  </w:pPr>
                </w:p>
              </w:tc>
              <w:tc>
                <w:tcPr>
                  <w:tcW w:w="765" w:type="pct"/>
                  <w:tcBorders>
                    <w:tl2br w:val="nil"/>
                    <w:tr2bl w:val="nil"/>
                  </w:tcBorders>
                  <w:shd w:val="clear" w:color="auto" w:fill="auto"/>
                  <w:vAlign w:val="center"/>
                </w:tcPr>
                <w:p w14:paraId="7B2B275E">
                  <w:pPr>
                    <w:pStyle w:val="129"/>
                    <w:widowControl w:val="0"/>
                    <w:autoSpaceDE/>
                    <w:autoSpaceDN/>
                    <w:rPr>
                      <w:rFonts w:hint="default" w:ascii="Times New Roman" w:hAnsi="Times New Roman" w:cs="Times New Roman"/>
                      <w:color w:val="FF0000"/>
                      <w:sz w:val="18"/>
                      <w:szCs w:val="18"/>
                      <w:lang w:eastAsia="en-US"/>
                    </w:rPr>
                  </w:pPr>
                  <w:r>
                    <w:rPr>
                      <w:rFonts w:hint="default" w:ascii="Times New Roman" w:hAnsi="Times New Roman" w:cs="Times New Roman"/>
                      <w:color w:val="FF0000"/>
                      <w:sz w:val="18"/>
                      <w:szCs w:val="18"/>
                      <w:lang w:eastAsia="en-US"/>
                    </w:rPr>
                    <w:t>风炮</w:t>
                  </w:r>
                </w:p>
              </w:tc>
              <w:tc>
                <w:tcPr>
                  <w:tcW w:w="844" w:type="pct"/>
                  <w:tcBorders>
                    <w:tl2br w:val="nil"/>
                    <w:tr2bl w:val="nil"/>
                  </w:tcBorders>
                  <w:shd w:val="clear" w:color="auto" w:fill="auto"/>
                  <w:vAlign w:val="center"/>
                </w:tcPr>
                <w:p w14:paraId="41922E9E">
                  <w:pPr>
                    <w:pStyle w:val="129"/>
                    <w:widowControl w:val="0"/>
                    <w:autoSpaceDE/>
                    <w:autoSpaceDN/>
                    <w:rPr>
                      <w:rFonts w:hint="default" w:ascii="Times New Roman" w:hAnsi="Times New Roman" w:cs="Times New Roman"/>
                      <w:color w:val="FF0000"/>
                      <w:sz w:val="18"/>
                      <w:szCs w:val="18"/>
                      <w:lang w:eastAsia="en-US"/>
                    </w:rPr>
                  </w:pPr>
                  <w:r>
                    <w:rPr>
                      <w:rFonts w:hint="default" w:ascii="Times New Roman" w:hAnsi="Times New Roman" w:cs="Times New Roman"/>
                      <w:color w:val="FF0000"/>
                      <w:sz w:val="18"/>
                      <w:szCs w:val="18"/>
                      <w:lang w:eastAsia="en-US"/>
                    </w:rPr>
                    <w:t>/</w:t>
                  </w:r>
                </w:p>
              </w:tc>
              <w:tc>
                <w:tcPr>
                  <w:tcW w:w="365" w:type="pct"/>
                  <w:tcBorders>
                    <w:tl2br w:val="nil"/>
                    <w:tr2bl w:val="nil"/>
                  </w:tcBorders>
                  <w:shd w:val="clear" w:color="auto" w:fill="auto"/>
                  <w:vAlign w:val="center"/>
                </w:tcPr>
                <w:p w14:paraId="20134BC7">
                  <w:pPr>
                    <w:pStyle w:val="129"/>
                    <w:widowControl w:val="0"/>
                    <w:autoSpaceDE/>
                    <w:autoSpaceDN/>
                    <w:rPr>
                      <w:rFonts w:hint="default" w:ascii="Times New Roman" w:hAnsi="Times New Roman" w:cs="Times New Roman"/>
                      <w:color w:val="FF0000"/>
                      <w:sz w:val="18"/>
                      <w:szCs w:val="18"/>
                      <w:lang w:eastAsia="en-US"/>
                    </w:rPr>
                  </w:pPr>
                  <w:r>
                    <w:rPr>
                      <w:rFonts w:hint="default" w:ascii="Times New Roman" w:hAnsi="Times New Roman" w:cs="Times New Roman"/>
                      <w:color w:val="FF0000"/>
                      <w:sz w:val="18"/>
                      <w:szCs w:val="18"/>
                      <w:lang w:eastAsia="en-US"/>
                    </w:rPr>
                    <w:t>95</w:t>
                  </w:r>
                </w:p>
              </w:tc>
              <w:tc>
                <w:tcPr>
                  <w:tcW w:w="272" w:type="pct"/>
                  <w:vMerge w:val="continue"/>
                  <w:tcBorders>
                    <w:tl2br w:val="nil"/>
                    <w:tr2bl w:val="nil"/>
                  </w:tcBorders>
                  <w:shd w:val="clear" w:color="auto" w:fill="auto"/>
                  <w:vAlign w:val="center"/>
                </w:tcPr>
                <w:p w14:paraId="1F4EC5BF">
                  <w:pPr>
                    <w:pStyle w:val="129"/>
                    <w:widowControl w:val="0"/>
                    <w:autoSpaceDE/>
                    <w:autoSpaceDN/>
                    <w:rPr>
                      <w:rFonts w:hint="default" w:ascii="Times New Roman" w:hAnsi="Times New Roman" w:cs="Times New Roman"/>
                      <w:color w:val="FF0000"/>
                      <w:sz w:val="18"/>
                      <w:szCs w:val="18"/>
                      <w:lang w:eastAsia="en-US"/>
                    </w:rPr>
                  </w:pPr>
                </w:p>
              </w:tc>
              <w:tc>
                <w:tcPr>
                  <w:tcW w:w="169" w:type="pct"/>
                  <w:tcBorders>
                    <w:tl2br w:val="nil"/>
                    <w:tr2bl w:val="nil"/>
                  </w:tcBorders>
                  <w:shd w:val="clear" w:color="auto" w:fill="auto"/>
                  <w:vAlign w:val="center"/>
                </w:tcPr>
                <w:p w14:paraId="2C04E98F">
                  <w:pPr>
                    <w:pStyle w:val="129"/>
                    <w:widowControl w:val="0"/>
                    <w:autoSpaceDE/>
                    <w:autoSpaceDN/>
                    <w:rPr>
                      <w:rFonts w:hint="default" w:ascii="Times New Roman" w:hAnsi="Times New Roman" w:cs="Times New Roman"/>
                      <w:color w:val="FF0000"/>
                      <w:sz w:val="18"/>
                      <w:szCs w:val="18"/>
                      <w:lang w:eastAsia="en-US"/>
                    </w:rPr>
                  </w:pPr>
                  <w:r>
                    <w:rPr>
                      <w:rFonts w:hint="default" w:ascii="Times New Roman" w:hAnsi="Times New Roman" w:cs="Times New Roman"/>
                      <w:color w:val="FF0000"/>
                      <w:sz w:val="18"/>
                      <w:szCs w:val="18"/>
                      <w:lang w:eastAsia="en-US"/>
                    </w:rPr>
                    <w:t>65</w:t>
                  </w:r>
                </w:p>
              </w:tc>
              <w:tc>
                <w:tcPr>
                  <w:tcW w:w="199" w:type="pct"/>
                  <w:tcBorders>
                    <w:tl2br w:val="nil"/>
                    <w:tr2bl w:val="nil"/>
                  </w:tcBorders>
                  <w:shd w:val="clear" w:color="auto" w:fill="auto"/>
                  <w:vAlign w:val="center"/>
                </w:tcPr>
                <w:p w14:paraId="5380DD21">
                  <w:pPr>
                    <w:pStyle w:val="129"/>
                    <w:widowControl w:val="0"/>
                    <w:autoSpaceDE/>
                    <w:autoSpaceDN/>
                    <w:rPr>
                      <w:rFonts w:hint="default" w:ascii="Times New Roman" w:hAnsi="Times New Roman" w:cs="Times New Roman"/>
                      <w:color w:val="FF0000"/>
                      <w:sz w:val="18"/>
                      <w:szCs w:val="18"/>
                      <w:lang w:eastAsia="en-US"/>
                    </w:rPr>
                  </w:pPr>
                  <w:r>
                    <w:rPr>
                      <w:rFonts w:hint="default" w:ascii="Times New Roman" w:hAnsi="Times New Roman" w:cs="Times New Roman"/>
                      <w:color w:val="FF0000"/>
                      <w:sz w:val="18"/>
                      <w:szCs w:val="18"/>
                      <w:lang w:eastAsia="en-US"/>
                    </w:rPr>
                    <w:t>32</w:t>
                  </w:r>
                </w:p>
              </w:tc>
              <w:tc>
                <w:tcPr>
                  <w:tcW w:w="215" w:type="pct"/>
                  <w:tcBorders>
                    <w:tl2br w:val="nil"/>
                    <w:tr2bl w:val="nil"/>
                  </w:tcBorders>
                  <w:shd w:val="clear" w:color="auto" w:fill="auto"/>
                  <w:vAlign w:val="center"/>
                </w:tcPr>
                <w:p w14:paraId="11B00E16">
                  <w:pPr>
                    <w:pStyle w:val="129"/>
                    <w:widowControl w:val="0"/>
                    <w:autoSpaceDE/>
                    <w:autoSpaceDN/>
                    <w:rPr>
                      <w:rFonts w:hint="default" w:ascii="Times New Roman" w:hAnsi="Times New Roman" w:cs="Times New Roman"/>
                      <w:color w:val="FF0000"/>
                      <w:sz w:val="18"/>
                      <w:szCs w:val="18"/>
                      <w:lang w:eastAsia="en-US"/>
                    </w:rPr>
                  </w:pPr>
                  <w:r>
                    <w:rPr>
                      <w:rFonts w:hint="default" w:ascii="Times New Roman" w:hAnsi="Times New Roman" w:cs="Times New Roman"/>
                      <w:color w:val="FF0000"/>
                      <w:sz w:val="18"/>
                      <w:szCs w:val="18"/>
                      <w:lang w:eastAsia="en-US"/>
                    </w:rPr>
                    <w:t>1</w:t>
                  </w:r>
                </w:p>
              </w:tc>
              <w:tc>
                <w:tcPr>
                  <w:tcW w:w="330" w:type="pct"/>
                  <w:tcBorders>
                    <w:tl2br w:val="nil"/>
                    <w:tr2bl w:val="nil"/>
                  </w:tcBorders>
                  <w:shd w:val="clear" w:color="auto" w:fill="auto"/>
                  <w:vAlign w:val="center"/>
                </w:tcPr>
                <w:p w14:paraId="2A192654">
                  <w:pPr>
                    <w:pStyle w:val="129"/>
                    <w:widowControl w:val="0"/>
                    <w:autoSpaceDE/>
                    <w:autoSpaceDN/>
                    <w:rPr>
                      <w:rFonts w:hint="default" w:ascii="Times New Roman" w:hAnsi="Times New Roman" w:cs="Times New Roman"/>
                      <w:color w:val="FF0000"/>
                      <w:sz w:val="18"/>
                      <w:szCs w:val="18"/>
                      <w:lang w:eastAsia="en-US"/>
                    </w:rPr>
                  </w:pPr>
                  <w:r>
                    <w:rPr>
                      <w:rFonts w:hint="default" w:ascii="Times New Roman" w:hAnsi="Times New Roman" w:cs="Times New Roman"/>
                      <w:color w:val="FF0000"/>
                      <w:sz w:val="18"/>
                      <w:szCs w:val="18"/>
                      <w:lang w:eastAsia="en-US"/>
                    </w:rPr>
                    <w:t>16</w:t>
                  </w:r>
                </w:p>
              </w:tc>
              <w:tc>
                <w:tcPr>
                  <w:tcW w:w="355" w:type="pct"/>
                  <w:tcBorders>
                    <w:tl2br w:val="nil"/>
                    <w:tr2bl w:val="nil"/>
                  </w:tcBorders>
                  <w:shd w:val="clear" w:color="auto" w:fill="auto"/>
                  <w:vAlign w:val="center"/>
                </w:tcPr>
                <w:p w14:paraId="21E0312B">
                  <w:pPr>
                    <w:pStyle w:val="129"/>
                    <w:widowControl w:val="0"/>
                    <w:autoSpaceDE/>
                    <w:autoSpaceDN/>
                    <w:rPr>
                      <w:rFonts w:hint="default" w:ascii="Times New Roman" w:hAnsi="Times New Roman" w:cs="Times New Roman"/>
                      <w:color w:val="FF0000"/>
                      <w:sz w:val="18"/>
                      <w:szCs w:val="18"/>
                      <w:lang w:eastAsia="en-US"/>
                    </w:rPr>
                  </w:pPr>
                  <w:r>
                    <w:rPr>
                      <w:rFonts w:hint="default" w:ascii="Times New Roman" w:hAnsi="Times New Roman" w:cs="Times New Roman"/>
                      <w:color w:val="FF0000"/>
                      <w:sz w:val="18"/>
                      <w:szCs w:val="18"/>
                      <w:lang w:eastAsia="en-US"/>
                    </w:rPr>
                    <w:t>59.9</w:t>
                  </w:r>
                </w:p>
              </w:tc>
              <w:tc>
                <w:tcPr>
                  <w:tcW w:w="252" w:type="pct"/>
                  <w:vMerge w:val="continue"/>
                  <w:tcBorders>
                    <w:tl2br w:val="nil"/>
                    <w:tr2bl w:val="nil"/>
                  </w:tcBorders>
                  <w:shd w:val="clear" w:color="auto" w:fill="auto"/>
                  <w:vAlign w:val="center"/>
                </w:tcPr>
                <w:p w14:paraId="30CB117E">
                  <w:pPr>
                    <w:pStyle w:val="129"/>
                    <w:widowControl w:val="0"/>
                    <w:autoSpaceDE/>
                    <w:autoSpaceDN/>
                    <w:rPr>
                      <w:rFonts w:hint="default" w:ascii="Times New Roman" w:hAnsi="Times New Roman" w:cs="Times New Roman"/>
                      <w:color w:val="FF0000"/>
                      <w:sz w:val="18"/>
                      <w:szCs w:val="18"/>
                      <w:lang w:eastAsia="en-US"/>
                    </w:rPr>
                  </w:pPr>
                </w:p>
              </w:tc>
              <w:tc>
                <w:tcPr>
                  <w:tcW w:w="321" w:type="pct"/>
                  <w:tcBorders>
                    <w:tl2br w:val="nil"/>
                    <w:tr2bl w:val="nil"/>
                  </w:tcBorders>
                  <w:shd w:val="clear" w:color="auto" w:fill="auto"/>
                  <w:vAlign w:val="center"/>
                </w:tcPr>
                <w:p w14:paraId="796AE490">
                  <w:pPr>
                    <w:pStyle w:val="129"/>
                    <w:widowControl w:val="0"/>
                    <w:autoSpaceDE/>
                    <w:autoSpaceDN/>
                    <w:rPr>
                      <w:rFonts w:hint="default" w:ascii="Times New Roman" w:hAnsi="Times New Roman" w:cs="Times New Roman"/>
                      <w:color w:val="FF0000"/>
                      <w:sz w:val="18"/>
                      <w:szCs w:val="18"/>
                      <w:lang w:eastAsia="en-US"/>
                    </w:rPr>
                  </w:pPr>
                  <w:r>
                    <w:rPr>
                      <w:rFonts w:hint="default" w:ascii="Times New Roman" w:hAnsi="Times New Roman" w:cs="Times New Roman"/>
                      <w:color w:val="FF0000"/>
                      <w:sz w:val="18"/>
                      <w:szCs w:val="18"/>
                      <w:lang w:eastAsia="en-US"/>
                    </w:rPr>
                    <w:t>25.5</w:t>
                  </w:r>
                </w:p>
              </w:tc>
              <w:tc>
                <w:tcPr>
                  <w:tcW w:w="355" w:type="pct"/>
                  <w:tcBorders>
                    <w:tl2br w:val="nil"/>
                    <w:tr2bl w:val="nil"/>
                  </w:tcBorders>
                  <w:shd w:val="clear" w:color="auto" w:fill="auto"/>
                  <w:vAlign w:val="center"/>
                </w:tcPr>
                <w:p w14:paraId="14CF67B2">
                  <w:pPr>
                    <w:pStyle w:val="129"/>
                    <w:widowControl w:val="0"/>
                    <w:autoSpaceDE/>
                    <w:autoSpaceDN/>
                    <w:rPr>
                      <w:rFonts w:hint="default" w:ascii="Times New Roman" w:hAnsi="Times New Roman" w:cs="Times New Roman"/>
                      <w:color w:val="FF0000"/>
                      <w:sz w:val="18"/>
                      <w:szCs w:val="18"/>
                      <w:lang w:eastAsia="en-US"/>
                    </w:rPr>
                  </w:pPr>
                  <w:r>
                    <w:rPr>
                      <w:rFonts w:hint="default" w:ascii="Times New Roman" w:hAnsi="Times New Roman" w:cs="Times New Roman"/>
                      <w:color w:val="FF0000"/>
                      <w:sz w:val="18"/>
                      <w:szCs w:val="18"/>
                      <w:lang w:eastAsia="en-US"/>
                    </w:rPr>
                    <w:t>34.4</w:t>
                  </w:r>
                </w:p>
              </w:tc>
              <w:tc>
                <w:tcPr>
                  <w:tcW w:w="149" w:type="pct"/>
                  <w:tcBorders>
                    <w:tl2br w:val="nil"/>
                    <w:tr2bl w:val="nil"/>
                  </w:tcBorders>
                  <w:shd w:val="clear" w:color="auto" w:fill="auto"/>
                  <w:vAlign w:val="center"/>
                </w:tcPr>
                <w:p w14:paraId="73C9C30B">
                  <w:pPr>
                    <w:pStyle w:val="129"/>
                    <w:widowControl w:val="0"/>
                    <w:autoSpaceDE/>
                    <w:autoSpaceDN/>
                    <w:rPr>
                      <w:rFonts w:hint="default" w:ascii="Times New Roman" w:hAnsi="Times New Roman" w:cs="Times New Roman"/>
                      <w:color w:val="FF0000"/>
                      <w:sz w:val="18"/>
                      <w:szCs w:val="18"/>
                      <w:lang w:eastAsia="en-US"/>
                    </w:rPr>
                  </w:pPr>
                  <w:r>
                    <w:rPr>
                      <w:rFonts w:hint="default" w:ascii="Times New Roman" w:hAnsi="Times New Roman" w:cs="Times New Roman"/>
                      <w:color w:val="FF0000"/>
                      <w:sz w:val="18"/>
                      <w:szCs w:val="18"/>
                      <w:lang w:eastAsia="en-US"/>
                    </w:rPr>
                    <w:t>1</w:t>
                  </w:r>
                </w:p>
              </w:tc>
            </w:tr>
            <w:tr w14:paraId="3B1B0F39">
              <w:tblPrEx>
                <w:tblBorders>
                  <w:top w:val="double" w:color="000000" w:sz="4" w:space="0"/>
                  <w:left w:val="none" w:color="auto" w:sz="0" w:space="0"/>
                  <w:bottom w:val="double" w:color="000000" w:sz="4"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101" w:hRule="atLeast"/>
              </w:trPr>
              <w:tc>
                <w:tcPr>
                  <w:tcW w:w="172" w:type="pct"/>
                  <w:vMerge w:val="continue"/>
                  <w:tcBorders>
                    <w:tl2br w:val="nil"/>
                    <w:tr2bl w:val="nil"/>
                  </w:tcBorders>
                  <w:vAlign w:val="center"/>
                </w:tcPr>
                <w:p w14:paraId="7865F418">
                  <w:pPr>
                    <w:pStyle w:val="129"/>
                    <w:widowControl w:val="0"/>
                    <w:autoSpaceDE/>
                    <w:autoSpaceDN/>
                    <w:rPr>
                      <w:rFonts w:hint="default" w:ascii="Times New Roman" w:hAnsi="Times New Roman" w:cs="Times New Roman"/>
                      <w:color w:val="FF0000"/>
                      <w:sz w:val="18"/>
                      <w:szCs w:val="18"/>
                      <w:lang w:eastAsia="en-US"/>
                    </w:rPr>
                  </w:pPr>
                </w:p>
              </w:tc>
              <w:tc>
                <w:tcPr>
                  <w:tcW w:w="232" w:type="pct"/>
                  <w:vMerge w:val="continue"/>
                  <w:tcBorders>
                    <w:tl2br w:val="nil"/>
                    <w:tr2bl w:val="nil"/>
                  </w:tcBorders>
                  <w:vAlign w:val="center"/>
                </w:tcPr>
                <w:p w14:paraId="7A523D25">
                  <w:pPr>
                    <w:pStyle w:val="129"/>
                    <w:widowControl w:val="0"/>
                    <w:autoSpaceDE/>
                    <w:autoSpaceDN/>
                    <w:rPr>
                      <w:rFonts w:hint="default" w:ascii="Times New Roman" w:hAnsi="Times New Roman" w:cs="Times New Roman"/>
                      <w:color w:val="FF0000"/>
                      <w:sz w:val="18"/>
                      <w:szCs w:val="18"/>
                      <w:lang w:eastAsia="en-US"/>
                    </w:rPr>
                  </w:pPr>
                </w:p>
              </w:tc>
              <w:tc>
                <w:tcPr>
                  <w:tcW w:w="765" w:type="pct"/>
                  <w:tcBorders>
                    <w:tl2br w:val="nil"/>
                    <w:tr2bl w:val="nil"/>
                  </w:tcBorders>
                  <w:shd w:val="clear" w:color="auto" w:fill="auto"/>
                  <w:vAlign w:val="center"/>
                </w:tcPr>
                <w:p w14:paraId="40009B2B">
                  <w:pPr>
                    <w:pStyle w:val="129"/>
                    <w:widowControl w:val="0"/>
                    <w:autoSpaceDE/>
                    <w:autoSpaceDN/>
                    <w:rPr>
                      <w:rFonts w:hint="default" w:ascii="Times New Roman" w:hAnsi="Times New Roman" w:cs="Times New Roman"/>
                      <w:color w:val="FF0000"/>
                      <w:sz w:val="18"/>
                      <w:szCs w:val="18"/>
                      <w:lang w:eastAsia="en-US"/>
                    </w:rPr>
                  </w:pPr>
                  <w:r>
                    <w:rPr>
                      <w:rFonts w:hint="default" w:ascii="Times New Roman" w:hAnsi="Times New Roman" w:cs="Times New Roman"/>
                      <w:color w:val="FF0000"/>
                      <w:sz w:val="18"/>
                      <w:szCs w:val="18"/>
                      <w:lang w:eastAsia="en-US"/>
                    </w:rPr>
                    <w:t>精拆解台</w:t>
                  </w:r>
                </w:p>
              </w:tc>
              <w:tc>
                <w:tcPr>
                  <w:tcW w:w="844" w:type="pct"/>
                  <w:tcBorders>
                    <w:tl2br w:val="nil"/>
                    <w:tr2bl w:val="nil"/>
                  </w:tcBorders>
                  <w:shd w:val="clear" w:color="auto" w:fill="auto"/>
                  <w:vAlign w:val="center"/>
                </w:tcPr>
                <w:p w14:paraId="724D9BA8">
                  <w:pPr>
                    <w:pStyle w:val="129"/>
                    <w:widowControl w:val="0"/>
                    <w:autoSpaceDE/>
                    <w:autoSpaceDN/>
                    <w:rPr>
                      <w:rFonts w:hint="default" w:ascii="Times New Roman" w:hAnsi="Times New Roman" w:cs="Times New Roman"/>
                      <w:color w:val="FF0000"/>
                      <w:sz w:val="18"/>
                      <w:szCs w:val="18"/>
                      <w:lang w:eastAsia="en-US"/>
                    </w:rPr>
                  </w:pPr>
                  <w:r>
                    <w:rPr>
                      <w:rFonts w:hint="default" w:ascii="Times New Roman" w:hAnsi="Times New Roman" w:cs="Times New Roman"/>
                      <w:color w:val="FF0000"/>
                      <w:sz w:val="18"/>
                      <w:szCs w:val="18"/>
                      <w:lang w:eastAsia="en-US"/>
                    </w:rPr>
                    <w:t>非标</w:t>
                  </w:r>
                </w:p>
              </w:tc>
              <w:tc>
                <w:tcPr>
                  <w:tcW w:w="365" w:type="pct"/>
                  <w:tcBorders>
                    <w:tl2br w:val="nil"/>
                    <w:tr2bl w:val="nil"/>
                  </w:tcBorders>
                  <w:shd w:val="clear" w:color="auto" w:fill="auto"/>
                  <w:vAlign w:val="center"/>
                </w:tcPr>
                <w:p w14:paraId="26597079">
                  <w:pPr>
                    <w:pStyle w:val="129"/>
                    <w:widowControl w:val="0"/>
                    <w:autoSpaceDE/>
                    <w:autoSpaceDN/>
                    <w:rPr>
                      <w:rFonts w:hint="default" w:ascii="Times New Roman" w:hAnsi="Times New Roman" w:cs="Times New Roman"/>
                      <w:color w:val="FF0000"/>
                      <w:sz w:val="18"/>
                      <w:szCs w:val="18"/>
                      <w:lang w:eastAsia="en-US"/>
                    </w:rPr>
                  </w:pPr>
                  <w:r>
                    <w:rPr>
                      <w:rFonts w:hint="default" w:ascii="Times New Roman" w:hAnsi="Times New Roman" w:cs="Times New Roman"/>
                      <w:color w:val="FF0000"/>
                      <w:sz w:val="18"/>
                      <w:szCs w:val="18"/>
                      <w:lang w:eastAsia="en-US"/>
                    </w:rPr>
                    <w:t>75</w:t>
                  </w:r>
                </w:p>
              </w:tc>
              <w:tc>
                <w:tcPr>
                  <w:tcW w:w="272" w:type="pct"/>
                  <w:vMerge w:val="continue"/>
                  <w:tcBorders>
                    <w:tl2br w:val="nil"/>
                    <w:tr2bl w:val="nil"/>
                  </w:tcBorders>
                  <w:shd w:val="clear" w:color="auto" w:fill="auto"/>
                  <w:vAlign w:val="center"/>
                </w:tcPr>
                <w:p w14:paraId="503C8FEC">
                  <w:pPr>
                    <w:pStyle w:val="129"/>
                    <w:widowControl w:val="0"/>
                    <w:autoSpaceDE/>
                    <w:autoSpaceDN/>
                    <w:rPr>
                      <w:rFonts w:hint="default" w:ascii="Times New Roman" w:hAnsi="Times New Roman" w:cs="Times New Roman"/>
                      <w:color w:val="FF0000"/>
                      <w:sz w:val="18"/>
                      <w:szCs w:val="18"/>
                      <w:lang w:eastAsia="en-US"/>
                    </w:rPr>
                  </w:pPr>
                </w:p>
              </w:tc>
              <w:tc>
                <w:tcPr>
                  <w:tcW w:w="169" w:type="pct"/>
                  <w:tcBorders>
                    <w:tl2br w:val="nil"/>
                    <w:tr2bl w:val="nil"/>
                  </w:tcBorders>
                  <w:shd w:val="clear" w:color="auto" w:fill="auto"/>
                  <w:vAlign w:val="center"/>
                </w:tcPr>
                <w:p w14:paraId="3E6A32E4">
                  <w:pPr>
                    <w:pStyle w:val="129"/>
                    <w:widowControl w:val="0"/>
                    <w:autoSpaceDE/>
                    <w:autoSpaceDN/>
                    <w:rPr>
                      <w:rFonts w:hint="default" w:ascii="Times New Roman" w:hAnsi="Times New Roman" w:cs="Times New Roman"/>
                      <w:color w:val="FF0000"/>
                      <w:sz w:val="18"/>
                      <w:szCs w:val="18"/>
                      <w:lang w:eastAsia="en-US"/>
                    </w:rPr>
                  </w:pPr>
                  <w:r>
                    <w:rPr>
                      <w:rFonts w:hint="default" w:ascii="Times New Roman" w:hAnsi="Times New Roman" w:cs="Times New Roman"/>
                      <w:color w:val="FF0000"/>
                      <w:sz w:val="18"/>
                      <w:szCs w:val="18"/>
                      <w:lang w:eastAsia="en-US"/>
                    </w:rPr>
                    <w:t>60</w:t>
                  </w:r>
                </w:p>
              </w:tc>
              <w:tc>
                <w:tcPr>
                  <w:tcW w:w="199" w:type="pct"/>
                  <w:tcBorders>
                    <w:tl2br w:val="nil"/>
                    <w:tr2bl w:val="nil"/>
                  </w:tcBorders>
                  <w:shd w:val="clear" w:color="auto" w:fill="auto"/>
                  <w:vAlign w:val="center"/>
                </w:tcPr>
                <w:p w14:paraId="0B2F2CB9">
                  <w:pPr>
                    <w:pStyle w:val="129"/>
                    <w:widowControl w:val="0"/>
                    <w:autoSpaceDE/>
                    <w:autoSpaceDN/>
                    <w:rPr>
                      <w:rFonts w:hint="default" w:ascii="Times New Roman" w:hAnsi="Times New Roman" w:cs="Times New Roman"/>
                      <w:color w:val="FF0000"/>
                      <w:sz w:val="18"/>
                      <w:szCs w:val="18"/>
                      <w:lang w:eastAsia="en-US"/>
                    </w:rPr>
                  </w:pPr>
                  <w:r>
                    <w:rPr>
                      <w:rFonts w:hint="default" w:ascii="Times New Roman" w:hAnsi="Times New Roman" w:cs="Times New Roman"/>
                      <w:color w:val="FF0000"/>
                      <w:sz w:val="18"/>
                      <w:szCs w:val="18"/>
                      <w:lang w:eastAsia="en-US"/>
                    </w:rPr>
                    <w:t>32</w:t>
                  </w:r>
                </w:p>
              </w:tc>
              <w:tc>
                <w:tcPr>
                  <w:tcW w:w="215" w:type="pct"/>
                  <w:tcBorders>
                    <w:tl2br w:val="nil"/>
                    <w:tr2bl w:val="nil"/>
                  </w:tcBorders>
                  <w:shd w:val="clear" w:color="auto" w:fill="auto"/>
                  <w:vAlign w:val="center"/>
                </w:tcPr>
                <w:p w14:paraId="2BD36B28">
                  <w:pPr>
                    <w:pStyle w:val="129"/>
                    <w:widowControl w:val="0"/>
                    <w:autoSpaceDE/>
                    <w:autoSpaceDN/>
                    <w:rPr>
                      <w:rFonts w:hint="default" w:ascii="Times New Roman" w:hAnsi="Times New Roman" w:cs="Times New Roman"/>
                      <w:color w:val="FF0000"/>
                      <w:sz w:val="18"/>
                      <w:szCs w:val="18"/>
                      <w:lang w:eastAsia="en-US"/>
                    </w:rPr>
                  </w:pPr>
                  <w:r>
                    <w:rPr>
                      <w:rFonts w:hint="default" w:ascii="Times New Roman" w:hAnsi="Times New Roman" w:cs="Times New Roman"/>
                      <w:color w:val="FF0000"/>
                      <w:sz w:val="18"/>
                      <w:szCs w:val="18"/>
                      <w:lang w:eastAsia="en-US"/>
                    </w:rPr>
                    <w:t>1</w:t>
                  </w:r>
                </w:p>
              </w:tc>
              <w:tc>
                <w:tcPr>
                  <w:tcW w:w="330" w:type="pct"/>
                  <w:tcBorders>
                    <w:tl2br w:val="nil"/>
                    <w:tr2bl w:val="nil"/>
                  </w:tcBorders>
                  <w:shd w:val="clear" w:color="auto" w:fill="auto"/>
                  <w:vAlign w:val="center"/>
                </w:tcPr>
                <w:p w14:paraId="68C2AEFA">
                  <w:pPr>
                    <w:pStyle w:val="129"/>
                    <w:widowControl w:val="0"/>
                    <w:autoSpaceDE/>
                    <w:autoSpaceDN/>
                    <w:rPr>
                      <w:rFonts w:hint="default" w:ascii="Times New Roman" w:hAnsi="Times New Roman" w:cs="Times New Roman"/>
                      <w:color w:val="FF0000"/>
                      <w:sz w:val="18"/>
                      <w:szCs w:val="18"/>
                      <w:lang w:eastAsia="en-US"/>
                    </w:rPr>
                  </w:pPr>
                  <w:r>
                    <w:rPr>
                      <w:rFonts w:hint="default" w:ascii="Times New Roman" w:hAnsi="Times New Roman" w:cs="Times New Roman"/>
                      <w:color w:val="FF0000"/>
                      <w:sz w:val="18"/>
                      <w:szCs w:val="18"/>
                      <w:lang w:eastAsia="en-US"/>
                    </w:rPr>
                    <w:t>16</w:t>
                  </w:r>
                </w:p>
              </w:tc>
              <w:tc>
                <w:tcPr>
                  <w:tcW w:w="355" w:type="pct"/>
                  <w:tcBorders>
                    <w:tl2br w:val="nil"/>
                    <w:tr2bl w:val="nil"/>
                  </w:tcBorders>
                  <w:shd w:val="clear" w:color="auto" w:fill="auto"/>
                  <w:vAlign w:val="center"/>
                </w:tcPr>
                <w:p w14:paraId="0FBF97AC">
                  <w:pPr>
                    <w:pStyle w:val="129"/>
                    <w:widowControl w:val="0"/>
                    <w:autoSpaceDE/>
                    <w:autoSpaceDN/>
                    <w:rPr>
                      <w:rFonts w:hint="default" w:ascii="Times New Roman" w:hAnsi="Times New Roman" w:cs="Times New Roman"/>
                      <w:color w:val="FF0000"/>
                      <w:sz w:val="18"/>
                      <w:szCs w:val="18"/>
                      <w:lang w:eastAsia="en-US"/>
                    </w:rPr>
                  </w:pPr>
                  <w:r>
                    <w:rPr>
                      <w:rFonts w:hint="default" w:ascii="Times New Roman" w:hAnsi="Times New Roman" w:cs="Times New Roman"/>
                      <w:color w:val="FF0000"/>
                      <w:sz w:val="18"/>
                      <w:szCs w:val="18"/>
                      <w:lang w:eastAsia="en-US"/>
                    </w:rPr>
                    <w:t>39.9</w:t>
                  </w:r>
                </w:p>
              </w:tc>
              <w:tc>
                <w:tcPr>
                  <w:tcW w:w="252" w:type="pct"/>
                  <w:vMerge w:val="continue"/>
                  <w:tcBorders>
                    <w:tl2br w:val="nil"/>
                    <w:tr2bl w:val="nil"/>
                  </w:tcBorders>
                  <w:shd w:val="clear" w:color="auto" w:fill="auto"/>
                  <w:vAlign w:val="center"/>
                </w:tcPr>
                <w:p w14:paraId="442A55B6">
                  <w:pPr>
                    <w:pStyle w:val="129"/>
                    <w:widowControl w:val="0"/>
                    <w:autoSpaceDE/>
                    <w:autoSpaceDN/>
                    <w:rPr>
                      <w:rFonts w:hint="default" w:ascii="Times New Roman" w:hAnsi="Times New Roman" w:cs="Times New Roman"/>
                      <w:color w:val="FF0000"/>
                      <w:sz w:val="18"/>
                      <w:szCs w:val="18"/>
                      <w:lang w:eastAsia="en-US"/>
                    </w:rPr>
                  </w:pPr>
                </w:p>
              </w:tc>
              <w:tc>
                <w:tcPr>
                  <w:tcW w:w="321" w:type="pct"/>
                  <w:tcBorders>
                    <w:tl2br w:val="nil"/>
                    <w:tr2bl w:val="nil"/>
                  </w:tcBorders>
                  <w:shd w:val="clear" w:color="auto" w:fill="auto"/>
                  <w:vAlign w:val="center"/>
                </w:tcPr>
                <w:p w14:paraId="2726F1BF">
                  <w:pPr>
                    <w:pStyle w:val="129"/>
                    <w:widowControl w:val="0"/>
                    <w:autoSpaceDE/>
                    <w:autoSpaceDN/>
                    <w:rPr>
                      <w:rFonts w:hint="default" w:ascii="Times New Roman" w:hAnsi="Times New Roman" w:cs="Times New Roman"/>
                      <w:color w:val="FF0000"/>
                      <w:sz w:val="18"/>
                      <w:szCs w:val="18"/>
                      <w:lang w:eastAsia="en-US"/>
                    </w:rPr>
                  </w:pPr>
                  <w:r>
                    <w:rPr>
                      <w:rFonts w:hint="default" w:ascii="Times New Roman" w:hAnsi="Times New Roman" w:cs="Times New Roman"/>
                      <w:color w:val="FF0000"/>
                      <w:sz w:val="18"/>
                      <w:szCs w:val="18"/>
                      <w:lang w:eastAsia="en-US"/>
                    </w:rPr>
                    <w:t>25.5</w:t>
                  </w:r>
                </w:p>
              </w:tc>
              <w:tc>
                <w:tcPr>
                  <w:tcW w:w="355" w:type="pct"/>
                  <w:tcBorders>
                    <w:tl2br w:val="nil"/>
                    <w:tr2bl w:val="nil"/>
                  </w:tcBorders>
                  <w:shd w:val="clear" w:color="auto" w:fill="auto"/>
                  <w:vAlign w:val="center"/>
                </w:tcPr>
                <w:p w14:paraId="1C1502EE">
                  <w:pPr>
                    <w:pStyle w:val="129"/>
                    <w:widowControl w:val="0"/>
                    <w:autoSpaceDE/>
                    <w:autoSpaceDN/>
                    <w:rPr>
                      <w:rFonts w:hint="default" w:ascii="Times New Roman" w:hAnsi="Times New Roman" w:cs="Times New Roman"/>
                      <w:color w:val="FF0000"/>
                      <w:sz w:val="18"/>
                      <w:szCs w:val="18"/>
                      <w:lang w:eastAsia="en-US"/>
                    </w:rPr>
                  </w:pPr>
                  <w:r>
                    <w:rPr>
                      <w:rFonts w:hint="default" w:ascii="Times New Roman" w:hAnsi="Times New Roman" w:cs="Times New Roman"/>
                      <w:color w:val="FF0000"/>
                      <w:sz w:val="18"/>
                      <w:szCs w:val="18"/>
                      <w:lang w:eastAsia="en-US"/>
                    </w:rPr>
                    <w:t>14.4</w:t>
                  </w:r>
                </w:p>
              </w:tc>
              <w:tc>
                <w:tcPr>
                  <w:tcW w:w="149" w:type="pct"/>
                  <w:tcBorders>
                    <w:tl2br w:val="nil"/>
                    <w:tr2bl w:val="nil"/>
                  </w:tcBorders>
                  <w:shd w:val="clear" w:color="auto" w:fill="auto"/>
                  <w:vAlign w:val="center"/>
                </w:tcPr>
                <w:p w14:paraId="6D1E366E">
                  <w:pPr>
                    <w:pStyle w:val="129"/>
                    <w:widowControl w:val="0"/>
                    <w:autoSpaceDE/>
                    <w:autoSpaceDN/>
                    <w:rPr>
                      <w:rFonts w:hint="default" w:ascii="Times New Roman" w:hAnsi="Times New Roman" w:cs="Times New Roman"/>
                      <w:color w:val="FF0000"/>
                      <w:sz w:val="18"/>
                      <w:szCs w:val="18"/>
                      <w:lang w:eastAsia="en-US"/>
                    </w:rPr>
                  </w:pPr>
                  <w:r>
                    <w:rPr>
                      <w:rFonts w:hint="default" w:ascii="Times New Roman" w:hAnsi="Times New Roman" w:cs="Times New Roman"/>
                      <w:color w:val="FF0000"/>
                      <w:sz w:val="18"/>
                      <w:szCs w:val="18"/>
                      <w:lang w:eastAsia="en-US"/>
                    </w:rPr>
                    <w:t>1</w:t>
                  </w:r>
                </w:p>
              </w:tc>
            </w:tr>
            <w:tr w14:paraId="2A185FE0">
              <w:tblPrEx>
                <w:tblBorders>
                  <w:top w:val="double" w:color="000000" w:sz="4" w:space="0"/>
                  <w:left w:val="none" w:color="auto" w:sz="0" w:space="0"/>
                  <w:bottom w:val="double" w:color="000000" w:sz="4"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101" w:hRule="atLeast"/>
              </w:trPr>
              <w:tc>
                <w:tcPr>
                  <w:tcW w:w="172" w:type="pct"/>
                  <w:vMerge w:val="restart"/>
                  <w:tcBorders>
                    <w:tl2br w:val="nil"/>
                    <w:tr2bl w:val="nil"/>
                  </w:tcBorders>
                  <w:vAlign w:val="center"/>
                </w:tcPr>
                <w:p w14:paraId="1823E1E4">
                  <w:pPr>
                    <w:pStyle w:val="129"/>
                    <w:widowControl w:val="0"/>
                    <w:autoSpaceDE/>
                    <w:autoSpaceDN/>
                    <w:rPr>
                      <w:rFonts w:hint="default" w:ascii="Times New Roman" w:hAnsi="Times New Roman" w:cs="Times New Roman"/>
                      <w:color w:val="FF0000"/>
                      <w:sz w:val="18"/>
                      <w:szCs w:val="18"/>
                      <w:lang w:eastAsia="en-US"/>
                    </w:rPr>
                  </w:pPr>
                </w:p>
              </w:tc>
              <w:tc>
                <w:tcPr>
                  <w:tcW w:w="232" w:type="pct"/>
                  <w:vMerge w:val="continue"/>
                  <w:tcBorders>
                    <w:tl2br w:val="nil"/>
                    <w:tr2bl w:val="nil"/>
                  </w:tcBorders>
                  <w:vAlign w:val="center"/>
                </w:tcPr>
                <w:p w14:paraId="339D95AF">
                  <w:pPr>
                    <w:pStyle w:val="129"/>
                    <w:widowControl w:val="0"/>
                    <w:autoSpaceDE/>
                    <w:autoSpaceDN/>
                    <w:rPr>
                      <w:rFonts w:hint="default" w:ascii="Times New Roman" w:hAnsi="Times New Roman" w:cs="Times New Roman"/>
                      <w:color w:val="FF0000"/>
                      <w:sz w:val="18"/>
                      <w:szCs w:val="18"/>
                      <w:lang w:eastAsia="en-US"/>
                    </w:rPr>
                  </w:pPr>
                </w:p>
              </w:tc>
              <w:tc>
                <w:tcPr>
                  <w:tcW w:w="765" w:type="pct"/>
                  <w:tcBorders>
                    <w:tl2br w:val="nil"/>
                    <w:tr2bl w:val="nil"/>
                  </w:tcBorders>
                  <w:shd w:val="clear" w:color="auto" w:fill="auto"/>
                  <w:vAlign w:val="center"/>
                </w:tcPr>
                <w:p w14:paraId="3F843AB5">
                  <w:pPr>
                    <w:pStyle w:val="129"/>
                    <w:widowControl w:val="0"/>
                    <w:autoSpaceDE/>
                    <w:autoSpaceDN/>
                    <w:rPr>
                      <w:rFonts w:hint="default" w:ascii="Times New Roman" w:hAnsi="Times New Roman" w:cs="Times New Roman"/>
                      <w:color w:val="FF0000"/>
                      <w:sz w:val="18"/>
                      <w:szCs w:val="18"/>
                      <w:lang w:eastAsia="en-US"/>
                    </w:rPr>
                  </w:pPr>
                  <w:r>
                    <w:rPr>
                      <w:rFonts w:hint="default" w:ascii="Times New Roman" w:hAnsi="Times New Roman" w:cs="Times New Roman"/>
                      <w:color w:val="FF0000"/>
                      <w:sz w:val="18"/>
                      <w:szCs w:val="18"/>
                      <w:lang w:eastAsia="en-US"/>
                    </w:rPr>
                    <w:t>空压机系统</w:t>
                  </w:r>
                </w:p>
              </w:tc>
              <w:tc>
                <w:tcPr>
                  <w:tcW w:w="844" w:type="pct"/>
                  <w:tcBorders>
                    <w:tl2br w:val="nil"/>
                    <w:tr2bl w:val="nil"/>
                  </w:tcBorders>
                  <w:shd w:val="clear" w:color="auto" w:fill="auto"/>
                  <w:vAlign w:val="center"/>
                </w:tcPr>
                <w:p w14:paraId="4ECD0D51">
                  <w:pPr>
                    <w:pStyle w:val="129"/>
                    <w:widowControl w:val="0"/>
                    <w:autoSpaceDE/>
                    <w:autoSpaceDN/>
                    <w:rPr>
                      <w:rFonts w:hint="default" w:ascii="Times New Roman" w:hAnsi="Times New Roman" w:cs="Times New Roman"/>
                      <w:color w:val="FF0000"/>
                      <w:sz w:val="18"/>
                      <w:szCs w:val="18"/>
                      <w:lang w:eastAsia="en-US"/>
                    </w:rPr>
                  </w:pPr>
                  <w:r>
                    <w:rPr>
                      <w:rFonts w:hint="default" w:ascii="Times New Roman" w:hAnsi="Times New Roman" w:cs="Times New Roman"/>
                      <w:color w:val="FF0000"/>
                      <w:sz w:val="18"/>
                      <w:szCs w:val="18"/>
                      <w:lang w:eastAsia="en-US"/>
                    </w:rPr>
                    <w:t>/</w:t>
                  </w:r>
                </w:p>
              </w:tc>
              <w:tc>
                <w:tcPr>
                  <w:tcW w:w="365" w:type="pct"/>
                  <w:tcBorders>
                    <w:tl2br w:val="nil"/>
                    <w:tr2bl w:val="nil"/>
                  </w:tcBorders>
                  <w:shd w:val="clear" w:color="auto" w:fill="auto"/>
                  <w:vAlign w:val="center"/>
                </w:tcPr>
                <w:p w14:paraId="2B84B4EB">
                  <w:pPr>
                    <w:pStyle w:val="129"/>
                    <w:widowControl w:val="0"/>
                    <w:autoSpaceDE/>
                    <w:autoSpaceDN/>
                    <w:rPr>
                      <w:rFonts w:hint="default" w:ascii="Times New Roman" w:hAnsi="Times New Roman" w:cs="Times New Roman"/>
                      <w:color w:val="FF0000"/>
                      <w:sz w:val="18"/>
                      <w:szCs w:val="18"/>
                      <w:lang w:eastAsia="en-US"/>
                    </w:rPr>
                  </w:pPr>
                  <w:r>
                    <w:rPr>
                      <w:rFonts w:hint="default" w:ascii="Times New Roman" w:hAnsi="Times New Roman" w:cs="Times New Roman"/>
                      <w:color w:val="FF0000"/>
                      <w:sz w:val="18"/>
                      <w:szCs w:val="18"/>
                      <w:lang w:eastAsia="en-US"/>
                    </w:rPr>
                    <w:t>85</w:t>
                  </w:r>
                </w:p>
              </w:tc>
              <w:tc>
                <w:tcPr>
                  <w:tcW w:w="272" w:type="pct"/>
                  <w:vMerge w:val="continue"/>
                  <w:tcBorders>
                    <w:tl2br w:val="nil"/>
                    <w:tr2bl w:val="nil"/>
                  </w:tcBorders>
                  <w:shd w:val="clear" w:color="auto" w:fill="auto"/>
                  <w:vAlign w:val="center"/>
                </w:tcPr>
                <w:p w14:paraId="1D1D62B5">
                  <w:pPr>
                    <w:pStyle w:val="129"/>
                    <w:widowControl w:val="0"/>
                    <w:autoSpaceDE/>
                    <w:autoSpaceDN/>
                    <w:rPr>
                      <w:rFonts w:hint="default" w:ascii="Times New Roman" w:hAnsi="Times New Roman" w:cs="Times New Roman"/>
                      <w:color w:val="FF0000"/>
                      <w:sz w:val="18"/>
                      <w:szCs w:val="18"/>
                      <w:lang w:eastAsia="en-US"/>
                    </w:rPr>
                  </w:pPr>
                </w:p>
              </w:tc>
              <w:tc>
                <w:tcPr>
                  <w:tcW w:w="169" w:type="pct"/>
                  <w:tcBorders>
                    <w:tl2br w:val="nil"/>
                    <w:tr2bl w:val="nil"/>
                  </w:tcBorders>
                  <w:shd w:val="clear" w:color="auto" w:fill="auto"/>
                  <w:vAlign w:val="center"/>
                </w:tcPr>
                <w:p w14:paraId="0B606A3C">
                  <w:pPr>
                    <w:pStyle w:val="129"/>
                    <w:widowControl w:val="0"/>
                    <w:autoSpaceDE/>
                    <w:autoSpaceDN/>
                    <w:rPr>
                      <w:rFonts w:hint="default" w:ascii="Times New Roman" w:hAnsi="Times New Roman" w:cs="Times New Roman"/>
                      <w:color w:val="FF0000"/>
                      <w:sz w:val="18"/>
                      <w:szCs w:val="18"/>
                      <w:lang w:eastAsia="en-US"/>
                    </w:rPr>
                  </w:pPr>
                  <w:r>
                    <w:rPr>
                      <w:rFonts w:hint="default" w:ascii="Times New Roman" w:hAnsi="Times New Roman" w:cs="Times New Roman"/>
                      <w:color w:val="FF0000"/>
                      <w:sz w:val="18"/>
                      <w:szCs w:val="18"/>
                      <w:lang w:eastAsia="en-US"/>
                    </w:rPr>
                    <w:t>55</w:t>
                  </w:r>
                </w:p>
              </w:tc>
              <w:tc>
                <w:tcPr>
                  <w:tcW w:w="199" w:type="pct"/>
                  <w:tcBorders>
                    <w:tl2br w:val="nil"/>
                    <w:tr2bl w:val="nil"/>
                  </w:tcBorders>
                  <w:shd w:val="clear" w:color="auto" w:fill="auto"/>
                  <w:vAlign w:val="center"/>
                </w:tcPr>
                <w:p w14:paraId="0CD84748">
                  <w:pPr>
                    <w:pStyle w:val="129"/>
                    <w:widowControl w:val="0"/>
                    <w:autoSpaceDE/>
                    <w:autoSpaceDN/>
                    <w:rPr>
                      <w:rFonts w:hint="default" w:ascii="Times New Roman" w:hAnsi="Times New Roman" w:cs="Times New Roman"/>
                      <w:color w:val="FF0000"/>
                      <w:sz w:val="18"/>
                      <w:szCs w:val="18"/>
                      <w:lang w:eastAsia="en-US"/>
                    </w:rPr>
                  </w:pPr>
                  <w:r>
                    <w:rPr>
                      <w:rFonts w:hint="default" w:ascii="Times New Roman" w:hAnsi="Times New Roman" w:cs="Times New Roman"/>
                      <w:color w:val="FF0000"/>
                      <w:sz w:val="18"/>
                      <w:szCs w:val="18"/>
                      <w:lang w:eastAsia="en-US"/>
                    </w:rPr>
                    <w:t>32</w:t>
                  </w:r>
                </w:p>
              </w:tc>
              <w:tc>
                <w:tcPr>
                  <w:tcW w:w="215" w:type="pct"/>
                  <w:tcBorders>
                    <w:tl2br w:val="nil"/>
                    <w:tr2bl w:val="nil"/>
                  </w:tcBorders>
                  <w:shd w:val="clear" w:color="auto" w:fill="auto"/>
                  <w:vAlign w:val="center"/>
                </w:tcPr>
                <w:p w14:paraId="60335392">
                  <w:pPr>
                    <w:pStyle w:val="129"/>
                    <w:widowControl w:val="0"/>
                    <w:autoSpaceDE/>
                    <w:autoSpaceDN/>
                    <w:rPr>
                      <w:rFonts w:hint="default" w:ascii="Times New Roman" w:hAnsi="Times New Roman" w:cs="Times New Roman"/>
                      <w:color w:val="FF0000"/>
                      <w:sz w:val="18"/>
                      <w:szCs w:val="18"/>
                      <w:lang w:eastAsia="en-US"/>
                    </w:rPr>
                  </w:pPr>
                  <w:r>
                    <w:rPr>
                      <w:rFonts w:hint="default" w:ascii="Times New Roman" w:hAnsi="Times New Roman" w:cs="Times New Roman"/>
                      <w:color w:val="FF0000"/>
                      <w:sz w:val="18"/>
                      <w:szCs w:val="18"/>
                      <w:lang w:eastAsia="en-US"/>
                    </w:rPr>
                    <w:t>1</w:t>
                  </w:r>
                </w:p>
              </w:tc>
              <w:tc>
                <w:tcPr>
                  <w:tcW w:w="330" w:type="pct"/>
                  <w:tcBorders>
                    <w:tl2br w:val="nil"/>
                    <w:tr2bl w:val="nil"/>
                  </w:tcBorders>
                  <w:shd w:val="clear" w:color="auto" w:fill="auto"/>
                  <w:vAlign w:val="center"/>
                </w:tcPr>
                <w:p w14:paraId="2C19EDA5">
                  <w:pPr>
                    <w:pStyle w:val="129"/>
                    <w:widowControl w:val="0"/>
                    <w:autoSpaceDE/>
                    <w:autoSpaceDN/>
                    <w:rPr>
                      <w:rFonts w:hint="default" w:ascii="Times New Roman" w:hAnsi="Times New Roman" w:cs="Times New Roman"/>
                      <w:color w:val="FF0000"/>
                      <w:sz w:val="18"/>
                      <w:szCs w:val="18"/>
                      <w:lang w:eastAsia="en-US"/>
                    </w:rPr>
                  </w:pPr>
                  <w:r>
                    <w:rPr>
                      <w:rFonts w:hint="default" w:ascii="Times New Roman" w:hAnsi="Times New Roman" w:cs="Times New Roman"/>
                      <w:color w:val="FF0000"/>
                      <w:sz w:val="18"/>
                      <w:szCs w:val="18"/>
                      <w:lang w:eastAsia="en-US"/>
                    </w:rPr>
                    <w:t>16</w:t>
                  </w:r>
                </w:p>
              </w:tc>
              <w:tc>
                <w:tcPr>
                  <w:tcW w:w="355" w:type="pct"/>
                  <w:tcBorders>
                    <w:tl2br w:val="nil"/>
                    <w:tr2bl w:val="nil"/>
                  </w:tcBorders>
                  <w:shd w:val="clear" w:color="auto" w:fill="auto"/>
                  <w:vAlign w:val="center"/>
                </w:tcPr>
                <w:p w14:paraId="79BE921A">
                  <w:pPr>
                    <w:pStyle w:val="129"/>
                    <w:widowControl w:val="0"/>
                    <w:autoSpaceDE/>
                    <w:autoSpaceDN/>
                    <w:rPr>
                      <w:rFonts w:hint="default" w:ascii="Times New Roman" w:hAnsi="Times New Roman" w:cs="Times New Roman"/>
                      <w:color w:val="FF0000"/>
                      <w:sz w:val="18"/>
                      <w:szCs w:val="18"/>
                      <w:lang w:eastAsia="en-US"/>
                    </w:rPr>
                  </w:pPr>
                  <w:r>
                    <w:rPr>
                      <w:rFonts w:hint="default" w:ascii="Times New Roman" w:hAnsi="Times New Roman" w:cs="Times New Roman"/>
                      <w:color w:val="FF0000"/>
                      <w:sz w:val="18"/>
                      <w:szCs w:val="18"/>
                      <w:lang w:eastAsia="en-US"/>
                    </w:rPr>
                    <w:t>49.9</w:t>
                  </w:r>
                </w:p>
              </w:tc>
              <w:tc>
                <w:tcPr>
                  <w:tcW w:w="252" w:type="pct"/>
                  <w:vMerge w:val="continue"/>
                  <w:tcBorders>
                    <w:tl2br w:val="nil"/>
                    <w:tr2bl w:val="nil"/>
                  </w:tcBorders>
                  <w:shd w:val="clear" w:color="auto" w:fill="auto"/>
                  <w:vAlign w:val="center"/>
                </w:tcPr>
                <w:p w14:paraId="1EF7F45F">
                  <w:pPr>
                    <w:pStyle w:val="129"/>
                    <w:widowControl w:val="0"/>
                    <w:autoSpaceDE/>
                    <w:autoSpaceDN/>
                    <w:rPr>
                      <w:rFonts w:hint="default" w:ascii="Times New Roman" w:hAnsi="Times New Roman" w:cs="Times New Roman"/>
                      <w:color w:val="FF0000"/>
                      <w:sz w:val="18"/>
                      <w:szCs w:val="18"/>
                      <w:lang w:eastAsia="en-US"/>
                    </w:rPr>
                  </w:pPr>
                </w:p>
              </w:tc>
              <w:tc>
                <w:tcPr>
                  <w:tcW w:w="321" w:type="pct"/>
                  <w:tcBorders>
                    <w:tl2br w:val="nil"/>
                    <w:tr2bl w:val="nil"/>
                  </w:tcBorders>
                  <w:shd w:val="clear" w:color="auto" w:fill="auto"/>
                  <w:vAlign w:val="center"/>
                </w:tcPr>
                <w:p w14:paraId="29669CFB">
                  <w:pPr>
                    <w:pStyle w:val="129"/>
                    <w:widowControl w:val="0"/>
                    <w:autoSpaceDE/>
                    <w:autoSpaceDN/>
                    <w:rPr>
                      <w:rFonts w:hint="default" w:ascii="Times New Roman" w:hAnsi="Times New Roman" w:cs="Times New Roman"/>
                      <w:color w:val="FF0000"/>
                      <w:sz w:val="18"/>
                      <w:szCs w:val="18"/>
                      <w:lang w:eastAsia="en-US"/>
                    </w:rPr>
                  </w:pPr>
                  <w:r>
                    <w:rPr>
                      <w:rFonts w:hint="default" w:ascii="Times New Roman" w:hAnsi="Times New Roman" w:cs="Times New Roman"/>
                      <w:color w:val="FF0000"/>
                      <w:sz w:val="18"/>
                      <w:szCs w:val="18"/>
                      <w:lang w:eastAsia="en-US"/>
                    </w:rPr>
                    <w:t>25.5</w:t>
                  </w:r>
                </w:p>
              </w:tc>
              <w:tc>
                <w:tcPr>
                  <w:tcW w:w="355" w:type="pct"/>
                  <w:tcBorders>
                    <w:tl2br w:val="nil"/>
                    <w:tr2bl w:val="nil"/>
                  </w:tcBorders>
                  <w:shd w:val="clear" w:color="auto" w:fill="auto"/>
                  <w:vAlign w:val="center"/>
                </w:tcPr>
                <w:p w14:paraId="60A11310">
                  <w:pPr>
                    <w:pStyle w:val="129"/>
                    <w:widowControl w:val="0"/>
                    <w:autoSpaceDE/>
                    <w:autoSpaceDN/>
                    <w:rPr>
                      <w:rFonts w:hint="default" w:ascii="Times New Roman" w:hAnsi="Times New Roman" w:cs="Times New Roman"/>
                      <w:color w:val="FF0000"/>
                      <w:sz w:val="18"/>
                      <w:szCs w:val="18"/>
                      <w:lang w:eastAsia="en-US"/>
                    </w:rPr>
                  </w:pPr>
                  <w:r>
                    <w:rPr>
                      <w:rFonts w:hint="default" w:ascii="Times New Roman" w:hAnsi="Times New Roman" w:cs="Times New Roman"/>
                      <w:color w:val="FF0000"/>
                      <w:sz w:val="18"/>
                      <w:szCs w:val="18"/>
                      <w:lang w:eastAsia="en-US"/>
                    </w:rPr>
                    <w:t>24.4</w:t>
                  </w:r>
                </w:p>
              </w:tc>
              <w:tc>
                <w:tcPr>
                  <w:tcW w:w="149" w:type="pct"/>
                  <w:tcBorders>
                    <w:tl2br w:val="nil"/>
                    <w:tr2bl w:val="nil"/>
                  </w:tcBorders>
                  <w:shd w:val="clear" w:color="auto" w:fill="auto"/>
                  <w:vAlign w:val="center"/>
                </w:tcPr>
                <w:p w14:paraId="1E652A66">
                  <w:pPr>
                    <w:pStyle w:val="129"/>
                    <w:widowControl w:val="0"/>
                    <w:autoSpaceDE/>
                    <w:autoSpaceDN/>
                    <w:rPr>
                      <w:rFonts w:hint="default" w:ascii="Times New Roman" w:hAnsi="Times New Roman" w:cs="Times New Roman"/>
                      <w:color w:val="FF0000"/>
                      <w:sz w:val="18"/>
                      <w:szCs w:val="18"/>
                      <w:lang w:eastAsia="en-US"/>
                    </w:rPr>
                  </w:pPr>
                  <w:r>
                    <w:rPr>
                      <w:rFonts w:hint="default" w:ascii="Times New Roman" w:hAnsi="Times New Roman" w:cs="Times New Roman"/>
                      <w:color w:val="FF0000"/>
                      <w:sz w:val="18"/>
                      <w:szCs w:val="18"/>
                      <w:lang w:eastAsia="en-US"/>
                    </w:rPr>
                    <w:t>1</w:t>
                  </w:r>
                </w:p>
              </w:tc>
            </w:tr>
            <w:tr w14:paraId="113FE15E">
              <w:tblPrEx>
                <w:tblBorders>
                  <w:top w:val="double" w:color="000000" w:sz="4" w:space="0"/>
                  <w:left w:val="none" w:color="auto" w:sz="0" w:space="0"/>
                  <w:bottom w:val="double" w:color="000000" w:sz="4"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101" w:hRule="atLeast"/>
              </w:trPr>
              <w:tc>
                <w:tcPr>
                  <w:tcW w:w="172" w:type="pct"/>
                  <w:vMerge w:val="continue"/>
                  <w:tcBorders>
                    <w:tl2br w:val="nil"/>
                    <w:tr2bl w:val="nil"/>
                  </w:tcBorders>
                  <w:vAlign w:val="center"/>
                </w:tcPr>
                <w:p w14:paraId="0422DF88">
                  <w:pPr>
                    <w:pStyle w:val="129"/>
                    <w:widowControl w:val="0"/>
                    <w:autoSpaceDE/>
                    <w:autoSpaceDN/>
                    <w:rPr>
                      <w:rFonts w:hint="default" w:ascii="Times New Roman" w:hAnsi="Times New Roman" w:cs="Times New Roman"/>
                      <w:color w:val="FF0000"/>
                      <w:sz w:val="18"/>
                      <w:szCs w:val="18"/>
                      <w:lang w:eastAsia="en-US"/>
                    </w:rPr>
                  </w:pPr>
                </w:p>
              </w:tc>
              <w:tc>
                <w:tcPr>
                  <w:tcW w:w="232" w:type="pct"/>
                  <w:vMerge w:val="continue"/>
                  <w:tcBorders>
                    <w:tl2br w:val="nil"/>
                    <w:tr2bl w:val="nil"/>
                  </w:tcBorders>
                  <w:vAlign w:val="center"/>
                </w:tcPr>
                <w:p w14:paraId="48E61F00">
                  <w:pPr>
                    <w:pStyle w:val="129"/>
                    <w:widowControl w:val="0"/>
                    <w:autoSpaceDE/>
                    <w:autoSpaceDN/>
                    <w:rPr>
                      <w:rFonts w:hint="default" w:ascii="Times New Roman" w:hAnsi="Times New Roman" w:cs="Times New Roman"/>
                      <w:color w:val="FF0000"/>
                      <w:sz w:val="18"/>
                      <w:szCs w:val="18"/>
                      <w:lang w:eastAsia="en-US"/>
                    </w:rPr>
                  </w:pPr>
                </w:p>
              </w:tc>
              <w:tc>
                <w:tcPr>
                  <w:tcW w:w="765" w:type="pct"/>
                  <w:tcBorders>
                    <w:tl2br w:val="nil"/>
                    <w:tr2bl w:val="nil"/>
                  </w:tcBorders>
                  <w:shd w:val="clear" w:color="auto" w:fill="auto"/>
                  <w:vAlign w:val="center"/>
                </w:tcPr>
                <w:p w14:paraId="3F401E7D">
                  <w:pPr>
                    <w:pStyle w:val="129"/>
                    <w:widowControl w:val="0"/>
                    <w:autoSpaceDE/>
                    <w:autoSpaceDN/>
                    <w:rPr>
                      <w:rFonts w:hint="default" w:ascii="Times New Roman" w:hAnsi="Times New Roman" w:cs="Times New Roman"/>
                      <w:color w:val="FF0000"/>
                      <w:sz w:val="18"/>
                      <w:szCs w:val="18"/>
                      <w:lang w:eastAsia="zh-CN"/>
                    </w:rPr>
                  </w:pPr>
                  <w:r>
                    <w:rPr>
                      <w:rFonts w:hint="default" w:ascii="Times New Roman" w:hAnsi="Times New Roman" w:cs="Times New Roman"/>
                      <w:color w:val="FF0000"/>
                      <w:sz w:val="18"/>
                      <w:szCs w:val="18"/>
                      <w:lang w:eastAsia="zh-CN"/>
                    </w:rPr>
                    <w:t>动力电池安全评估设备</w:t>
                  </w:r>
                </w:p>
              </w:tc>
              <w:tc>
                <w:tcPr>
                  <w:tcW w:w="844" w:type="pct"/>
                  <w:tcBorders>
                    <w:tl2br w:val="nil"/>
                    <w:tr2bl w:val="nil"/>
                  </w:tcBorders>
                  <w:vAlign w:val="center"/>
                </w:tcPr>
                <w:p w14:paraId="19DE72EF">
                  <w:pPr>
                    <w:pStyle w:val="129"/>
                    <w:widowControl w:val="0"/>
                    <w:autoSpaceDE/>
                    <w:autoSpaceDN/>
                    <w:rPr>
                      <w:rFonts w:hint="default" w:ascii="Times New Roman" w:hAnsi="Times New Roman" w:cs="Times New Roman"/>
                      <w:color w:val="FF0000"/>
                      <w:sz w:val="18"/>
                      <w:szCs w:val="18"/>
                      <w:lang w:eastAsia="en-US"/>
                    </w:rPr>
                  </w:pPr>
                  <w:r>
                    <w:rPr>
                      <w:rFonts w:hint="default" w:ascii="Times New Roman" w:hAnsi="Times New Roman" w:cs="Times New Roman"/>
                      <w:color w:val="FF0000"/>
                      <w:sz w:val="18"/>
                      <w:szCs w:val="18"/>
                      <w:lang w:eastAsia="en-US"/>
                    </w:rPr>
                    <w:t>非标</w:t>
                  </w:r>
                </w:p>
              </w:tc>
              <w:tc>
                <w:tcPr>
                  <w:tcW w:w="365" w:type="pct"/>
                  <w:tcBorders>
                    <w:tl2br w:val="nil"/>
                    <w:tr2bl w:val="nil"/>
                  </w:tcBorders>
                  <w:shd w:val="clear" w:color="auto" w:fill="auto"/>
                  <w:vAlign w:val="center"/>
                </w:tcPr>
                <w:p w14:paraId="05EC0648">
                  <w:pPr>
                    <w:pStyle w:val="129"/>
                    <w:widowControl w:val="0"/>
                    <w:autoSpaceDE/>
                    <w:autoSpaceDN/>
                    <w:rPr>
                      <w:rFonts w:hint="default" w:ascii="Times New Roman" w:hAnsi="Times New Roman" w:cs="Times New Roman"/>
                      <w:color w:val="FF0000"/>
                      <w:sz w:val="18"/>
                      <w:szCs w:val="18"/>
                      <w:lang w:eastAsia="en-US"/>
                    </w:rPr>
                  </w:pPr>
                  <w:r>
                    <w:rPr>
                      <w:rFonts w:hint="default" w:ascii="Times New Roman" w:hAnsi="Times New Roman" w:cs="Times New Roman"/>
                      <w:color w:val="FF0000"/>
                      <w:sz w:val="18"/>
                      <w:szCs w:val="18"/>
                      <w:lang w:eastAsia="en-US"/>
                    </w:rPr>
                    <w:t>65</w:t>
                  </w:r>
                </w:p>
              </w:tc>
              <w:tc>
                <w:tcPr>
                  <w:tcW w:w="272" w:type="pct"/>
                  <w:vMerge w:val="continue"/>
                  <w:tcBorders>
                    <w:tl2br w:val="nil"/>
                    <w:tr2bl w:val="nil"/>
                  </w:tcBorders>
                  <w:vAlign w:val="center"/>
                </w:tcPr>
                <w:p w14:paraId="4AB9A843">
                  <w:pPr>
                    <w:pStyle w:val="129"/>
                    <w:widowControl w:val="0"/>
                    <w:autoSpaceDE/>
                    <w:autoSpaceDN/>
                    <w:rPr>
                      <w:rFonts w:hint="default" w:ascii="Times New Roman" w:hAnsi="Times New Roman" w:cs="Times New Roman"/>
                      <w:color w:val="FF0000"/>
                      <w:sz w:val="18"/>
                      <w:szCs w:val="18"/>
                      <w:lang w:eastAsia="en-US"/>
                    </w:rPr>
                  </w:pPr>
                </w:p>
              </w:tc>
              <w:tc>
                <w:tcPr>
                  <w:tcW w:w="169" w:type="pct"/>
                  <w:tcBorders>
                    <w:tl2br w:val="nil"/>
                    <w:tr2bl w:val="nil"/>
                  </w:tcBorders>
                  <w:shd w:val="clear" w:color="auto" w:fill="auto"/>
                  <w:vAlign w:val="center"/>
                </w:tcPr>
                <w:p w14:paraId="4F78DD58">
                  <w:pPr>
                    <w:pStyle w:val="129"/>
                    <w:widowControl w:val="0"/>
                    <w:autoSpaceDE/>
                    <w:autoSpaceDN/>
                    <w:rPr>
                      <w:rFonts w:hint="default" w:ascii="Times New Roman" w:hAnsi="Times New Roman" w:cs="Times New Roman"/>
                      <w:color w:val="FF0000"/>
                      <w:sz w:val="18"/>
                      <w:szCs w:val="18"/>
                      <w:lang w:eastAsia="en-US"/>
                    </w:rPr>
                  </w:pPr>
                  <w:r>
                    <w:rPr>
                      <w:rFonts w:hint="default" w:ascii="Times New Roman" w:hAnsi="Times New Roman" w:cs="Times New Roman"/>
                      <w:color w:val="FF0000"/>
                      <w:sz w:val="18"/>
                      <w:szCs w:val="18"/>
                      <w:lang w:eastAsia="en-US"/>
                    </w:rPr>
                    <w:t>90</w:t>
                  </w:r>
                </w:p>
              </w:tc>
              <w:tc>
                <w:tcPr>
                  <w:tcW w:w="199" w:type="pct"/>
                  <w:tcBorders>
                    <w:tl2br w:val="nil"/>
                    <w:tr2bl w:val="nil"/>
                  </w:tcBorders>
                  <w:shd w:val="clear" w:color="auto" w:fill="auto"/>
                  <w:vAlign w:val="center"/>
                </w:tcPr>
                <w:p w14:paraId="6AD04BFD">
                  <w:pPr>
                    <w:pStyle w:val="129"/>
                    <w:widowControl w:val="0"/>
                    <w:autoSpaceDE/>
                    <w:autoSpaceDN/>
                    <w:rPr>
                      <w:rFonts w:hint="default" w:ascii="Times New Roman" w:hAnsi="Times New Roman" w:cs="Times New Roman"/>
                      <w:color w:val="FF0000"/>
                      <w:sz w:val="18"/>
                      <w:szCs w:val="18"/>
                      <w:lang w:eastAsia="en-US"/>
                    </w:rPr>
                  </w:pPr>
                  <w:r>
                    <w:rPr>
                      <w:rFonts w:hint="default" w:ascii="Times New Roman" w:hAnsi="Times New Roman" w:cs="Times New Roman"/>
                      <w:color w:val="FF0000"/>
                      <w:sz w:val="18"/>
                      <w:szCs w:val="18"/>
                      <w:lang w:eastAsia="en-US"/>
                    </w:rPr>
                    <w:t>43</w:t>
                  </w:r>
                </w:p>
              </w:tc>
              <w:tc>
                <w:tcPr>
                  <w:tcW w:w="215" w:type="pct"/>
                  <w:tcBorders>
                    <w:tl2br w:val="nil"/>
                    <w:tr2bl w:val="nil"/>
                  </w:tcBorders>
                  <w:shd w:val="clear" w:color="auto" w:fill="auto"/>
                  <w:vAlign w:val="center"/>
                </w:tcPr>
                <w:p w14:paraId="54000CA4">
                  <w:pPr>
                    <w:pStyle w:val="129"/>
                    <w:widowControl w:val="0"/>
                    <w:autoSpaceDE/>
                    <w:autoSpaceDN/>
                    <w:rPr>
                      <w:rFonts w:hint="default" w:ascii="Times New Roman" w:hAnsi="Times New Roman" w:cs="Times New Roman"/>
                      <w:color w:val="FF0000"/>
                      <w:sz w:val="18"/>
                      <w:szCs w:val="18"/>
                      <w:lang w:eastAsia="en-US"/>
                    </w:rPr>
                  </w:pPr>
                  <w:r>
                    <w:rPr>
                      <w:rFonts w:hint="default" w:ascii="Times New Roman" w:hAnsi="Times New Roman" w:cs="Times New Roman"/>
                      <w:color w:val="FF0000"/>
                      <w:sz w:val="18"/>
                      <w:szCs w:val="18"/>
                      <w:lang w:eastAsia="en-US"/>
                    </w:rPr>
                    <w:t>1</w:t>
                  </w:r>
                </w:p>
              </w:tc>
              <w:tc>
                <w:tcPr>
                  <w:tcW w:w="330" w:type="pct"/>
                  <w:tcBorders>
                    <w:tl2br w:val="nil"/>
                    <w:tr2bl w:val="nil"/>
                  </w:tcBorders>
                  <w:shd w:val="clear" w:color="auto" w:fill="auto"/>
                  <w:vAlign w:val="center"/>
                </w:tcPr>
                <w:p w14:paraId="20F1C06E">
                  <w:pPr>
                    <w:pStyle w:val="129"/>
                    <w:widowControl w:val="0"/>
                    <w:autoSpaceDE/>
                    <w:autoSpaceDN/>
                    <w:rPr>
                      <w:rFonts w:hint="default" w:ascii="Times New Roman" w:hAnsi="Times New Roman" w:cs="Times New Roman"/>
                      <w:color w:val="FF0000"/>
                      <w:sz w:val="18"/>
                      <w:szCs w:val="18"/>
                      <w:lang w:eastAsia="en-US"/>
                    </w:rPr>
                  </w:pPr>
                  <w:r>
                    <w:rPr>
                      <w:rFonts w:hint="default" w:ascii="Times New Roman" w:hAnsi="Times New Roman" w:cs="Times New Roman"/>
                      <w:color w:val="FF0000"/>
                      <w:sz w:val="18"/>
                      <w:szCs w:val="18"/>
                      <w:lang w:eastAsia="en-US"/>
                    </w:rPr>
                    <w:t>5</w:t>
                  </w:r>
                </w:p>
              </w:tc>
              <w:tc>
                <w:tcPr>
                  <w:tcW w:w="355" w:type="pct"/>
                  <w:tcBorders>
                    <w:tl2br w:val="nil"/>
                    <w:tr2bl w:val="nil"/>
                  </w:tcBorders>
                  <w:shd w:val="clear" w:color="auto" w:fill="auto"/>
                  <w:vAlign w:val="center"/>
                </w:tcPr>
                <w:p w14:paraId="756FEF0F">
                  <w:pPr>
                    <w:pStyle w:val="129"/>
                    <w:widowControl w:val="0"/>
                    <w:autoSpaceDE/>
                    <w:autoSpaceDN/>
                    <w:rPr>
                      <w:rFonts w:hint="default" w:ascii="Times New Roman" w:hAnsi="Times New Roman" w:cs="Times New Roman"/>
                      <w:color w:val="FF0000"/>
                      <w:sz w:val="18"/>
                      <w:szCs w:val="18"/>
                      <w:lang w:eastAsia="en-US"/>
                    </w:rPr>
                  </w:pPr>
                  <w:r>
                    <w:rPr>
                      <w:rFonts w:hint="default" w:ascii="Times New Roman" w:hAnsi="Times New Roman" w:cs="Times New Roman"/>
                      <w:color w:val="FF0000"/>
                      <w:sz w:val="18"/>
                      <w:szCs w:val="18"/>
                      <w:lang w:eastAsia="en-US"/>
                    </w:rPr>
                    <w:t>30</w:t>
                  </w:r>
                </w:p>
              </w:tc>
              <w:tc>
                <w:tcPr>
                  <w:tcW w:w="252" w:type="pct"/>
                  <w:vMerge w:val="continue"/>
                  <w:tcBorders>
                    <w:tl2br w:val="nil"/>
                    <w:tr2bl w:val="nil"/>
                  </w:tcBorders>
                  <w:vAlign w:val="center"/>
                </w:tcPr>
                <w:p w14:paraId="62330E01">
                  <w:pPr>
                    <w:pStyle w:val="129"/>
                    <w:widowControl w:val="0"/>
                    <w:autoSpaceDE/>
                    <w:autoSpaceDN/>
                    <w:rPr>
                      <w:rFonts w:hint="default" w:ascii="Times New Roman" w:hAnsi="Times New Roman" w:cs="Times New Roman"/>
                      <w:color w:val="FF0000"/>
                      <w:sz w:val="18"/>
                      <w:szCs w:val="18"/>
                      <w:lang w:eastAsia="en-US"/>
                    </w:rPr>
                  </w:pPr>
                </w:p>
              </w:tc>
              <w:tc>
                <w:tcPr>
                  <w:tcW w:w="321" w:type="pct"/>
                  <w:tcBorders>
                    <w:tl2br w:val="nil"/>
                    <w:tr2bl w:val="nil"/>
                  </w:tcBorders>
                  <w:shd w:val="clear" w:color="auto" w:fill="auto"/>
                  <w:vAlign w:val="center"/>
                </w:tcPr>
                <w:p w14:paraId="5BAD2A6E">
                  <w:pPr>
                    <w:pStyle w:val="129"/>
                    <w:widowControl w:val="0"/>
                    <w:autoSpaceDE/>
                    <w:autoSpaceDN/>
                    <w:rPr>
                      <w:rFonts w:hint="default" w:ascii="Times New Roman" w:hAnsi="Times New Roman" w:cs="Times New Roman"/>
                      <w:color w:val="FF0000"/>
                      <w:sz w:val="18"/>
                      <w:szCs w:val="18"/>
                      <w:lang w:eastAsia="en-US"/>
                    </w:rPr>
                  </w:pPr>
                  <w:r>
                    <w:rPr>
                      <w:rFonts w:hint="default" w:ascii="Times New Roman" w:hAnsi="Times New Roman" w:cs="Times New Roman"/>
                      <w:color w:val="FF0000"/>
                      <w:sz w:val="18"/>
                      <w:szCs w:val="18"/>
                      <w:lang w:eastAsia="en-US"/>
                    </w:rPr>
                    <w:t>25.5</w:t>
                  </w:r>
                </w:p>
              </w:tc>
              <w:tc>
                <w:tcPr>
                  <w:tcW w:w="355" w:type="pct"/>
                  <w:tcBorders>
                    <w:tl2br w:val="nil"/>
                    <w:tr2bl w:val="nil"/>
                  </w:tcBorders>
                  <w:shd w:val="clear" w:color="auto" w:fill="auto"/>
                  <w:vAlign w:val="center"/>
                </w:tcPr>
                <w:p w14:paraId="1D41B7A6">
                  <w:pPr>
                    <w:pStyle w:val="129"/>
                    <w:widowControl w:val="0"/>
                    <w:autoSpaceDE/>
                    <w:autoSpaceDN/>
                    <w:rPr>
                      <w:rFonts w:hint="default" w:ascii="Times New Roman" w:hAnsi="Times New Roman" w:cs="Times New Roman"/>
                      <w:color w:val="FF0000"/>
                      <w:sz w:val="18"/>
                      <w:szCs w:val="18"/>
                      <w:lang w:eastAsia="en-US"/>
                    </w:rPr>
                  </w:pPr>
                  <w:r>
                    <w:rPr>
                      <w:rFonts w:hint="default" w:ascii="Times New Roman" w:hAnsi="Times New Roman" w:cs="Times New Roman"/>
                      <w:color w:val="FF0000"/>
                      <w:sz w:val="18"/>
                      <w:szCs w:val="18"/>
                      <w:lang w:eastAsia="en-US"/>
                    </w:rPr>
                    <w:t>4.5</w:t>
                  </w:r>
                </w:p>
              </w:tc>
              <w:tc>
                <w:tcPr>
                  <w:tcW w:w="149" w:type="pct"/>
                  <w:tcBorders>
                    <w:tl2br w:val="nil"/>
                    <w:tr2bl w:val="nil"/>
                  </w:tcBorders>
                  <w:shd w:val="clear" w:color="auto" w:fill="auto"/>
                  <w:vAlign w:val="center"/>
                </w:tcPr>
                <w:p w14:paraId="7D2F0E2D">
                  <w:pPr>
                    <w:pStyle w:val="129"/>
                    <w:widowControl w:val="0"/>
                    <w:autoSpaceDE/>
                    <w:autoSpaceDN/>
                    <w:rPr>
                      <w:rFonts w:hint="default" w:ascii="Times New Roman" w:hAnsi="Times New Roman" w:cs="Times New Roman"/>
                      <w:color w:val="FF0000"/>
                      <w:sz w:val="18"/>
                      <w:szCs w:val="18"/>
                      <w:lang w:eastAsia="en-US"/>
                    </w:rPr>
                  </w:pPr>
                  <w:r>
                    <w:rPr>
                      <w:rFonts w:hint="default" w:ascii="Times New Roman" w:hAnsi="Times New Roman" w:cs="Times New Roman"/>
                      <w:color w:val="FF0000"/>
                      <w:sz w:val="18"/>
                      <w:szCs w:val="18"/>
                      <w:lang w:eastAsia="en-US"/>
                    </w:rPr>
                    <w:t>1</w:t>
                  </w:r>
                </w:p>
              </w:tc>
            </w:tr>
            <w:tr w14:paraId="2DFD2CCC">
              <w:tblPrEx>
                <w:tblBorders>
                  <w:top w:val="double" w:color="000000" w:sz="4" w:space="0"/>
                  <w:left w:val="none" w:color="auto" w:sz="0" w:space="0"/>
                  <w:bottom w:val="double" w:color="000000" w:sz="4"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101" w:hRule="atLeast"/>
              </w:trPr>
              <w:tc>
                <w:tcPr>
                  <w:tcW w:w="172" w:type="pct"/>
                  <w:vMerge w:val="continue"/>
                  <w:tcBorders>
                    <w:tl2br w:val="nil"/>
                    <w:tr2bl w:val="nil"/>
                  </w:tcBorders>
                  <w:vAlign w:val="center"/>
                </w:tcPr>
                <w:p w14:paraId="5AB580EE">
                  <w:pPr>
                    <w:pStyle w:val="129"/>
                    <w:widowControl w:val="0"/>
                    <w:autoSpaceDE/>
                    <w:autoSpaceDN/>
                    <w:rPr>
                      <w:rFonts w:hint="default" w:ascii="Times New Roman" w:hAnsi="Times New Roman" w:cs="Times New Roman"/>
                      <w:color w:val="FF0000"/>
                      <w:sz w:val="18"/>
                      <w:szCs w:val="18"/>
                      <w:lang w:eastAsia="en-US"/>
                    </w:rPr>
                  </w:pPr>
                </w:p>
              </w:tc>
              <w:tc>
                <w:tcPr>
                  <w:tcW w:w="232" w:type="pct"/>
                  <w:vMerge w:val="continue"/>
                  <w:tcBorders>
                    <w:tl2br w:val="nil"/>
                    <w:tr2bl w:val="nil"/>
                  </w:tcBorders>
                  <w:vAlign w:val="center"/>
                </w:tcPr>
                <w:p w14:paraId="002003A1">
                  <w:pPr>
                    <w:pStyle w:val="129"/>
                    <w:widowControl w:val="0"/>
                    <w:autoSpaceDE/>
                    <w:autoSpaceDN/>
                    <w:rPr>
                      <w:rFonts w:hint="default" w:ascii="Times New Roman" w:hAnsi="Times New Roman" w:cs="Times New Roman"/>
                      <w:color w:val="FF0000"/>
                      <w:sz w:val="18"/>
                      <w:szCs w:val="18"/>
                      <w:lang w:eastAsia="en-US"/>
                    </w:rPr>
                  </w:pPr>
                </w:p>
              </w:tc>
              <w:tc>
                <w:tcPr>
                  <w:tcW w:w="765" w:type="pct"/>
                  <w:tcBorders>
                    <w:tl2br w:val="nil"/>
                    <w:tr2bl w:val="nil"/>
                  </w:tcBorders>
                  <w:shd w:val="clear" w:color="auto" w:fill="auto"/>
                  <w:vAlign w:val="center"/>
                </w:tcPr>
                <w:p w14:paraId="6737F0CE">
                  <w:pPr>
                    <w:pStyle w:val="129"/>
                    <w:widowControl w:val="0"/>
                    <w:autoSpaceDE/>
                    <w:autoSpaceDN/>
                    <w:rPr>
                      <w:rFonts w:hint="default" w:ascii="Times New Roman" w:hAnsi="Times New Roman" w:cs="Times New Roman"/>
                      <w:color w:val="FF0000"/>
                      <w:sz w:val="18"/>
                      <w:szCs w:val="18"/>
                      <w:lang w:eastAsia="en-US"/>
                    </w:rPr>
                  </w:pPr>
                  <w:r>
                    <w:rPr>
                      <w:rFonts w:hint="default" w:ascii="Times New Roman" w:hAnsi="Times New Roman" w:cs="Times New Roman"/>
                      <w:color w:val="FF0000"/>
                      <w:sz w:val="18"/>
                      <w:szCs w:val="18"/>
                      <w:lang w:eastAsia="en-US"/>
                    </w:rPr>
                    <w:t>动力电池拆解设备</w:t>
                  </w:r>
                </w:p>
              </w:tc>
              <w:tc>
                <w:tcPr>
                  <w:tcW w:w="844" w:type="pct"/>
                  <w:tcBorders>
                    <w:tl2br w:val="nil"/>
                    <w:tr2bl w:val="nil"/>
                  </w:tcBorders>
                  <w:vAlign w:val="center"/>
                </w:tcPr>
                <w:p w14:paraId="681E0D50">
                  <w:pPr>
                    <w:pStyle w:val="129"/>
                    <w:widowControl w:val="0"/>
                    <w:autoSpaceDE/>
                    <w:autoSpaceDN/>
                    <w:rPr>
                      <w:rFonts w:hint="default" w:ascii="Times New Roman" w:hAnsi="Times New Roman" w:cs="Times New Roman"/>
                      <w:color w:val="FF0000"/>
                      <w:sz w:val="18"/>
                      <w:szCs w:val="18"/>
                      <w:lang w:eastAsia="en-US"/>
                    </w:rPr>
                  </w:pPr>
                  <w:r>
                    <w:rPr>
                      <w:rFonts w:hint="default" w:ascii="Times New Roman" w:hAnsi="Times New Roman" w:cs="Times New Roman"/>
                      <w:color w:val="FF0000"/>
                      <w:sz w:val="18"/>
                      <w:szCs w:val="18"/>
                      <w:lang w:eastAsia="en-US"/>
                    </w:rPr>
                    <w:t>非标</w:t>
                  </w:r>
                </w:p>
              </w:tc>
              <w:tc>
                <w:tcPr>
                  <w:tcW w:w="365" w:type="pct"/>
                  <w:tcBorders>
                    <w:tl2br w:val="nil"/>
                    <w:tr2bl w:val="nil"/>
                  </w:tcBorders>
                  <w:shd w:val="clear" w:color="auto" w:fill="auto"/>
                  <w:vAlign w:val="center"/>
                </w:tcPr>
                <w:p w14:paraId="63F1B5AA">
                  <w:pPr>
                    <w:pStyle w:val="129"/>
                    <w:widowControl w:val="0"/>
                    <w:autoSpaceDE/>
                    <w:autoSpaceDN/>
                    <w:rPr>
                      <w:rFonts w:hint="default" w:ascii="Times New Roman" w:hAnsi="Times New Roman" w:cs="Times New Roman"/>
                      <w:color w:val="FF0000"/>
                      <w:sz w:val="18"/>
                      <w:szCs w:val="18"/>
                      <w:lang w:eastAsia="en-US"/>
                    </w:rPr>
                  </w:pPr>
                  <w:r>
                    <w:rPr>
                      <w:rFonts w:hint="default" w:ascii="Times New Roman" w:hAnsi="Times New Roman" w:cs="Times New Roman"/>
                      <w:color w:val="FF0000"/>
                      <w:sz w:val="18"/>
                      <w:szCs w:val="18"/>
                      <w:lang w:eastAsia="en-US"/>
                    </w:rPr>
                    <w:t>85</w:t>
                  </w:r>
                </w:p>
              </w:tc>
              <w:tc>
                <w:tcPr>
                  <w:tcW w:w="272" w:type="pct"/>
                  <w:vMerge w:val="continue"/>
                  <w:tcBorders>
                    <w:tl2br w:val="nil"/>
                    <w:tr2bl w:val="nil"/>
                  </w:tcBorders>
                  <w:vAlign w:val="center"/>
                </w:tcPr>
                <w:p w14:paraId="4AD32169">
                  <w:pPr>
                    <w:pStyle w:val="129"/>
                    <w:widowControl w:val="0"/>
                    <w:autoSpaceDE/>
                    <w:autoSpaceDN/>
                    <w:rPr>
                      <w:rFonts w:hint="default" w:ascii="Times New Roman" w:hAnsi="Times New Roman" w:cs="Times New Roman"/>
                      <w:color w:val="FF0000"/>
                      <w:sz w:val="18"/>
                      <w:szCs w:val="18"/>
                      <w:lang w:eastAsia="en-US"/>
                    </w:rPr>
                  </w:pPr>
                </w:p>
              </w:tc>
              <w:tc>
                <w:tcPr>
                  <w:tcW w:w="169" w:type="pct"/>
                  <w:tcBorders>
                    <w:tl2br w:val="nil"/>
                    <w:tr2bl w:val="nil"/>
                  </w:tcBorders>
                  <w:shd w:val="clear" w:color="auto" w:fill="auto"/>
                  <w:vAlign w:val="center"/>
                </w:tcPr>
                <w:p w14:paraId="20B58D24">
                  <w:pPr>
                    <w:pStyle w:val="129"/>
                    <w:widowControl w:val="0"/>
                    <w:autoSpaceDE/>
                    <w:autoSpaceDN/>
                    <w:rPr>
                      <w:rFonts w:hint="default" w:ascii="Times New Roman" w:hAnsi="Times New Roman" w:cs="Times New Roman"/>
                      <w:color w:val="FF0000"/>
                      <w:sz w:val="18"/>
                      <w:szCs w:val="18"/>
                      <w:lang w:eastAsia="en-US"/>
                    </w:rPr>
                  </w:pPr>
                  <w:r>
                    <w:rPr>
                      <w:rFonts w:hint="default" w:ascii="Times New Roman" w:hAnsi="Times New Roman" w:cs="Times New Roman"/>
                      <w:color w:val="FF0000"/>
                      <w:sz w:val="18"/>
                      <w:szCs w:val="18"/>
                      <w:lang w:eastAsia="en-US"/>
                    </w:rPr>
                    <w:t>85</w:t>
                  </w:r>
                </w:p>
              </w:tc>
              <w:tc>
                <w:tcPr>
                  <w:tcW w:w="199" w:type="pct"/>
                  <w:tcBorders>
                    <w:tl2br w:val="nil"/>
                    <w:tr2bl w:val="nil"/>
                  </w:tcBorders>
                  <w:shd w:val="clear" w:color="auto" w:fill="auto"/>
                  <w:vAlign w:val="center"/>
                </w:tcPr>
                <w:p w14:paraId="6FF4694E">
                  <w:pPr>
                    <w:pStyle w:val="129"/>
                    <w:widowControl w:val="0"/>
                    <w:autoSpaceDE/>
                    <w:autoSpaceDN/>
                    <w:rPr>
                      <w:rFonts w:hint="default" w:ascii="Times New Roman" w:hAnsi="Times New Roman" w:cs="Times New Roman"/>
                      <w:color w:val="FF0000"/>
                      <w:sz w:val="18"/>
                      <w:szCs w:val="18"/>
                      <w:lang w:eastAsia="en-US"/>
                    </w:rPr>
                  </w:pPr>
                  <w:r>
                    <w:rPr>
                      <w:rFonts w:hint="default" w:ascii="Times New Roman" w:hAnsi="Times New Roman" w:cs="Times New Roman"/>
                      <w:color w:val="FF0000"/>
                      <w:sz w:val="18"/>
                      <w:szCs w:val="18"/>
                      <w:lang w:eastAsia="en-US"/>
                    </w:rPr>
                    <w:t>43</w:t>
                  </w:r>
                </w:p>
              </w:tc>
              <w:tc>
                <w:tcPr>
                  <w:tcW w:w="215" w:type="pct"/>
                  <w:tcBorders>
                    <w:tl2br w:val="nil"/>
                    <w:tr2bl w:val="nil"/>
                  </w:tcBorders>
                  <w:shd w:val="clear" w:color="auto" w:fill="auto"/>
                  <w:vAlign w:val="center"/>
                </w:tcPr>
                <w:p w14:paraId="0E78BD44">
                  <w:pPr>
                    <w:pStyle w:val="129"/>
                    <w:widowControl w:val="0"/>
                    <w:autoSpaceDE/>
                    <w:autoSpaceDN/>
                    <w:rPr>
                      <w:rFonts w:hint="default" w:ascii="Times New Roman" w:hAnsi="Times New Roman" w:cs="Times New Roman"/>
                      <w:color w:val="FF0000"/>
                      <w:sz w:val="18"/>
                      <w:szCs w:val="18"/>
                      <w:lang w:eastAsia="en-US"/>
                    </w:rPr>
                  </w:pPr>
                  <w:r>
                    <w:rPr>
                      <w:rFonts w:hint="default" w:ascii="Times New Roman" w:hAnsi="Times New Roman" w:cs="Times New Roman"/>
                      <w:color w:val="FF0000"/>
                      <w:sz w:val="18"/>
                      <w:szCs w:val="18"/>
                      <w:lang w:eastAsia="en-US"/>
                    </w:rPr>
                    <w:t>1</w:t>
                  </w:r>
                </w:p>
              </w:tc>
              <w:tc>
                <w:tcPr>
                  <w:tcW w:w="330" w:type="pct"/>
                  <w:tcBorders>
                    <w:tl2br w:val="nil"/>
                    <w:tr2bl w:val="nil"/>
                  </w:tcBorders>
                  <w:shd w:val="clear" w:color="auto" w:fill="auto"/>
                  <w:vAlign w:val="center"/>
                </w:tcPr>
                <w:p w14:paraId="49018AC8">
                  <w:pPr>
                    <w:pStyle w:val="129"/>
                    <w:widowControl w:val="0"/>
                    <w:autoSpaceDE/>
                    <w:autoSpaceDN/>
                    <w:rPr>
                      <w:rFonts w:hint="default" w:ascii="Times New Roman" w:hAnsi="Times New Roman" w:cs="Times New Roman"/>
                      <w:color w:val="FF0000"/>
                      <w:sz w:val="18"/>
                      <w:szCs w:val="18"/>
                      <w:lang w:eastAsia="en-US"/>
                    </w:rPr>
                  </w:pPr>
                  <w:r>
                    <w:rPr>
                      <w:rFonts w:hint="default" w:ascii="Times New Roman" w:hAnsi="Times New Roman" w:cs="Times New Roman"/>
                      <w:color w:val="FF0000"/>
                      <w:sz w:val="18"/>
                      <w:szCs w:val="18"/>
                      <w:lang w:eastAsia="en-US"/>
                    </w:rPr>
                    <w:t>5</w:t>
                  </w:r>
                </w:p>
              </w:tc>
              <w:tc>
                <w:tcPr>
                  <w:tcW w:w="355" w:type="pct"/>
                  <w:tcBorders>
                    <w:tl2br w:val="nil"/>
                    <w:tr2bl w:val="nil"/>
                  </w:tcBorders>
                  <w:shd w:val="clear" w:color="auto" w:fill="auto"/>
                  <w:vAlign w:val="center"/>
                </w:tcPr>
                <w:p w14:paraId="5B35F385">
                  <w:pPr>
                    <w:pStyle w:val="129"/>
                    <w:widowControl w:val="0"/>
                    <w:autoSpaceDE/>
                    <w:autoSpaceDN/>
                    <w:rPr>
                      <w:rFonts w:hint="default" w:ascii="Times New Roman" w:hAnsi="Times New Roman" w:cs="Times New Roman"/>
                      <w:color w:val="FF0000"/>
                      <w:sz w:val="18"/>
                      <w:szCs w:val="18"/>
                      <w:lang w:eastAsia="en-US"/>
                    </w:rPr>
                  </w:pPr>
                  <w:r>
                    <w:rPr>
                      <w:rFonts w:hint="default" w:ascii="Times New Roman" w:hAnsi="Times New Roman" w:cs="Times New Roman"/>
                      <w:color w:val="FF0000"/>
                      <w:sz w:val="18"/>
                      <w:szCs w:val="18"/>
                      <w:lang w:eastAsia="en-US"/>
                    </w:rPr>
                    <w:t>60</w:t>
                  </w:r>
                </w:p>
              </w:tc>
              <w:tc>
                <w:tcPr>
                  <w:tcW w:w="252" w:type="pct"/>
                  <w:vMerge w:val="continue"/>
                  <w:tcBorders>
                    <w:tl2br w:val="nil"/>
                    <w:tr2bl w:val="nil"/>
                  </w:tcBorders>
                  <w:vAlign w:val="center"/>
                </w:tcPr>
                <w:p w14:paraId="3FCC1F7D">
                  <w:pPr>
                    <w:pStyle w:val="129"/>
                    <w:widowControl w:val="0"/>
                    <w:autoSpaceDE/>
                    <w:autoSpaceDN/>
                    <w:rPr>
                      <w:rFonts w:hint="default" w:ascii="Times New Roman" w:hAnsi="Times New Roman" w:cs="Times New Roman"/>
                      <w:color w:val="FF0000"/>
                      <w:sz w:val="18"/>
                      <w:szCs w:val="18"/>
                      <w:lang w:eastAsia="en-US"/>
                    </w:rPr>
                  </w:pPr>
                </w:p>
              </w:tc>
              <w:tc>
                <w:tcPr>
                  <w:tcW w:w="321" w:type="pct"/>
                  <w:tcBorders>
                    <w:tl2br w:val="nil"/>
                    <w:tr2bl w:val="nil"/>
                  </w:tcBorders>
                  <w:shd w:val="clear" w:color="auto" w:fill="auto"/>
                  <w:vAlign w:val="center"/>
                </w:tcPr>
                <w:p w14:paraId="14E0E703">
                  <w:pPr>
                    <w:pStyle w:val="129"/>
                    <w:widowControl w:val="0"/>
                    <w:autoSpaceDE/>
                    <w:autoSpaceDN/>
                    <w:rPr>
                      <w:rFonts w:hint="default" w:ascii="Times New Roman" w:hAnsi="Times New Roman" w:cs="Times New Roman"/>
                      <w:color w:val="FF0000"/>
                      <w:sz w:val="18"/>
                      <w:szCs w:val="18"/>
                      <w:lang w:eastAsia="en-US"/>
                    </w:rPr>
                  </w:pPr>
                  <w:r>
                    <w:rPr>
                      <w:rFonts w:hint="default" w:ascii="Times New Roman" w:hAnsi="Times New Roman" w:cs="Times New Roman"/>
                      <w:color w:val="FF0000"/>
                      <w:sz w:val="18"/>
                      <w:szCs w:val="18"/>
                      <w:lang w:eastAsia="en-US"/>
                    </w:rPr>
                    <w:t>25.5</w:t>
                  </w:r>
                </w:p>
              </w:tc>
              <w:tc>
                <w:tcPr>
                  <w:tcW w:w="355" w:type="pct"/>
                  <w:tcBorders>
                    <w:tl2br w:val="nil"/>
                    <w:tr2bl w:val="nil"/>
                  </w:tcBorders>
                  <w:shd w:val="clear" w:color="auto" w:fill="auto"/>
                  <w:vAlign w:val="center"/>
                </w:tcPr>
                <w:p w14:paraId="130B2773">
                  <w:pPr>
                    <w:pStyle w:val="129"/>
                    <w:widowControl w:val="0"/>
                    <w:autoSpaceDE/>
                    <w:autoSpaceDN/>
                    <w:rPr>
                      <w:rFonts w:hint="default" w:ascii="Times New Roman" w:hAnsi="Times New Roman" w:cs="Times New Roman"/>
                      <w:color w:val="FF0000"/>
                      <w:sz w:val="18"/>
                      <w:szCs w:val="18"/>
                      <w:lang w:eastAsia="en-US"/>
                    </w:rPr>
                  </w:pPr>
                  <w:r>
                    <w:rPr>
                      <w:rFonts w:hint="default" w:ascii="Times New Roman" w:hAnsi="Times New Roman" w:cs="Times New Roman"/>
                      <w:color w:val="FF0000"/>
                      <w:sz w:val="18"/>
                      <w:szCs w:val="18"/>
                      <w:lang w:eastAsia="en-US"/>
                    </w:rPr>
                    <w:t>34.5</w:t>
                  </w:r>
                </w:p>
              </w:tc>
              <w:tc>
                <w:tcPr>
                  <w:tcW w:w="149" w:type="pct"/>
                  <w:tcBorders>
                    <w:tl2br w:val="nil"/>
                    <w:tr2bl w:val="nil"/>
                  </w:tcBorders>
                  <w:shd w:val="clear" w:color="auto" w:fill="auto"/>
                  <w:vAlign w:val="center"/>
                </w:tcPr>
                <w:p w14:paraId="2DF51396">
                  <w:pPr>
                    <w:pStyle w:val="129"/>
                    <w:widowControl w:val="0"/>
                    <w:autoSpaceDE/>
                    <w:autoSpaceDN/>
                    <w:rPr>
                      <w:rFonts w:hint="default" w:ascii="Times New Roman" w:hAnsi="Times New Roman" w:cs="Times New Roman"/>
                      <w:color w:val="FF0000"/>
                      <w:sz w:val="18"/>
                      <w:szCs w:val="18"/>
                      <w:lang w:eastAsia="en-US"/>
                    </w:rPr>
                  </w:pPr>
                  <w:r>
                    <w:rPr>
                      <w:rFonts w:hint="default" w:ascii="Times New Roman" w:hAnsi="Times New Roman" w:cs="Times New Roman"/>
                      <w:color w:val="FF0000"/>
                      <w:sz w:val="18"/>
                      <w:szCs w:val="18"/>
                      <w:lang w:eastAsia="en-US"/>
                    </w:rPr>
                    <w:t>1</w:t>
                  </w:r>
                </w:p>
              </w:tc>
            </w:tr>
            <w:tr w14:paraId="273C81F3">
              <w:tblPrEx>
                <w:tblBorders>
                  <w:top w:val="double" w:color="000000" w:sz="4" w:space="0"/>
                  <w:left w:val="none" w:color="auto" w:sz="0" w:space="0"/>
                  <w:bottom w:val="double" w:color="000000" w:sz="4"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101" w:hRule="atLeast"/>
              </w:trPr>
              <w:tc>
                <w:tcPr>
                  <w:tcW w:w="172" w:type="pct"/>
                  <w:vMerge w:val="continue"/>
                  <w:tcBorders>
                    <w:tl2br w:val="nil"/>
                    <w:tr2bl w:val="nil"/>
                  </w:tcBorders>
                  <w:vAlign w:val="center"/>
                </w:tcPr>
                <w:p w14:paraId="64AC56A3">
                  <w:pPr>
                    <w:pStyle w:val="129"/>
                    <w:widowControl w:val="0"/>
                    <w:autoSpaceDE/>
                    <w:autoSpaceDN/>
                    <w:rPr>
                      <w:rFonts w:hint="default" w:ascii="Times New Roman" w:hAnsi="Times New Roman" w:cs="Times New Roman"/>
                      <w:color w:val="FF0000"/>
                      <w:sz w:val="18"/>
                      <w:szCs w:val="18"/>
                      <w:lang w:eastAsia="en-US"/>
                    </w:rPr>
                  </w:pPr>
                </w:p>
              </w:tc>
              <w:tc>
                <w:tcPr>
                  <w:tcW w:w="232" w:type="pct"/>
                  <w:vMerge w:val="continue"/>
                  <w:tcBorders>
                    <w:tl2br w:val="nil"/>
                    <w:tr2bl w:val="nil"/>
                  </w:tcBorders>
                  <w:vAlign w:val="center"/>
                </w:tcPr>
                <w:p w14:paraId="4284A4D3">
                  <w:pPr>
                    <w:pStyle w:val="129"/>
                    <w:widowControl w:val="0"/>
                    <w:autoSpaceDE/>
                    <w:autoSpaceDN/>
                    <w:rPr>
                      <w:rFonts w:hint="default" w:ascii="Times New Roman" w:hAnsi="Times New Roman" w:cs="Times New Roman"/>
                      <w:color w:val="FF0000"/>
                      <w:sz w:val="18"/>
                      <w:szCs w:val="18"/>
                      <w:lang w:eastAsia="en-US"/>
                    </w:rPr>
                  </w:pPr>
                </w:p>
              </w:tc>
              <w:tc>
                <w:tcPr>
                  <w:tcW w:w="765" w:type="pct"/>
                  <w:tcBorders>
                    <w:tl2br w:val="nil"/>
                    <w:tr2bl w:val="nil"/>
                  </w:tcBorders>
                  <w:shd w:val="clear" w:color="auto" w:fill="auto"/>
                  <w:vAlign w:val="center"/>
                </w:tcPr>
                <w:p w14:paraId="75B404EC">
                  <w:pPr>
                    <w:pStyle w:val="129"/>
                    <w:widowControl w:val="0"/>
                    <w:autoSpaceDE/>
                    <w:autoSpaceDN/>
                    <w:rPr>
                      <w:rFonts w:hint="default" w:ascii="Times New Roman" w:hAnsi="Times New Roman" w:cs="Times New Roman"/>
                      <w:color w:val="FF0000"/>
                      <w:sz w:val="18"/>
                      <w:szCs w:val="18"/>
                      <w:lang w:eastAsia="en-US"/>
                    </w:rPr>
                  </w:pPr>
                  <w:r>
                    <w:rPr>
                      <w:rFonts w:hint="default" w:ascii="Times New Roman" w:hAnsi="Times New Roman" w:cs="Times New Roman"/>
                      <w:color w:val="FF0000"/>
                      <w:sz w:val="18"/>
                      <w:szCs w:val="18"/>
                      <w:lang w:eastAsia="en-US"/>
                    </w:rPr>
                    <w:t>中型清障车</w:t>
                  </w:r>
                </w:p>
              </w:tc>
              <w:tc>
                <w:tcPr>
                  <w:tcW w:w="844" w:type="pct"/>
                  <w:tcBorders>
                    <w:tl2br w:val="nil"/>
                    <w:tr2bl w:val="nil"/>
                  </w:tcBorders>
                  <w:shd w:val="clear" w:color="auto" w:fill="auto"/>
                  <w:vAlign w:val="center"/>
                </w:tcPr>
                <w:p w14:paraId="162DBC83">
                  <w:pPr>
                    <w:pStyle w:val="129"/>
                    <w:widowControl w:val="0"/>
                    <w:autoSpaceDE/>
                    <w:autoSpaceDN/>
                    <w:rPr>
                      <w:rFonts w:hint="default" w:ascii="Times New Roman" w:hAnsi="Times New Roman" w:cs="Times New Roman"/>
                      <w:color w:val="FF0000"/>
                      <w:sz w:val="18"/>
                      <w:szCs w:val="18"/>
                      <w:lang w:eastAsia="en-US"/>
                    </w:rPr>
                  </w:pPr>
                  <w:r>
                    <w:rPr>
                      <w:rFonts w:hint="default" w:ascii="Times New Roman" w:hAnsi="Times New Roman" w:cs="Times New Roman"/>
                      <w:color w:val="FF0000"/>
                      <w:sz w:val="18"/>
                      <w:szCs w:val="18"/>
                      <w:lang w:eastAsia="en-US"/>
                    </w:rPr>
                    <w:t>/</w:t>
                  </w:r>
                </w:p>
              </w:tc>
              <w:tc>
                <w:tcPr>
                  <w:tcW w:w="365" w:type="pct"/>
                  <w:tcBorders>
                    <w:tl2br w:val="nil"/>
                    <w:tr2bl w:val="nil"/>
                  </w:tcBorders>
                  <w:shd w:val="clear" w:color="auto" w:fill="auto"/>
                  <w:vAlign w:val="center"/>
                </w:tcPr>
                <w:p w14:paraId="73A59AEB">
                  <w:pPr>
                    <w:pStyle w:val="129"/>
                    <w:widowControl w:val="0"/>
                    <w:autoSpaceDE/>
                    <w:autoSpaceDN/>
                    <w:rPr>
                      <w:rFonts w:hint="default" w:ascii="Times New Roman" w:hAnsi="Times New Roman" w:cs="Times New Roman"/>
                      <w:color w:val="FF0000"/>
                      <w:sz w:val="18"/>
                      <w:szCs w:val="18"/>
                      <w:lang w:eastAsia="en-US"/>
                    </w:rPr>
                  </w:pPr>
                  <w:r>
                    <w:rPr>
                      <w:rFonts w:hint="default" w:ascii="Times New Roman" w:hAnsi="Times New Roman" w:cs="Times New Roman"/>
                      <w:color w:val="FF0000"/>
                      <w:sz w:val="18"/>
                      <w:szCs w:val="18"/>
                      <w:lang w:eastAsia="en-US"/>
                    </w:rPr>
                    <w:t>85</w:t>
                  </w:r>
                </w:p>
              </w:tc>
              <w:tc>
                <w:tcPr>
                  <w:tcW w:w="272" w:type="pct"/>
                  <w:vMerge w:val="continue"/>
                  <w:tcBorders>
                    <w:tl2br w:val="nil"/>
                    <w:tr2bl w:val="nil"/>
                  </w:tcBorders>
                  <w:shd w:val="clear" w:color="auto" w:fill="auto"/>
                  <w:vAlign w:val="center"/>
                </w:tcPr>
                <w:p w14:paraId="33352574">
                  <w:pPr>
                    <w:pStyle w:val="129"/>
                    <w:widowControl w:val="0"/>
                    <w:autoSpaceDE/>
                    <w:autoSpaceDN/>
                    <w:rPr>
                      <w:rFonts w:hint="default" w:ascii="Times New Roman" w:hAnsi="Times New Roman" w:cs="Times New Roman"/>
                      <w:color w:val="FF0000"/>
                      <w:sz w:val="18"/>
                      <w:szCs w:val="18"/>
                      <w:lang w:eastAsia="en-US"/>
                    </w:rPr>
                  </w:pPr>
                </w:p>
              </w:tc>
              <w:tc>
                <w:tcPr>
                  <w:tcW w:w="169" w:type="pct"/>
                  <w:tcBorders>
                    <w:tl2br w:val="nil"/>
                    <w:tr2bl w:val="nil"/>
                  </w:tcBorders>
                  <w:shd w:val="clear" w:color="auto" w:fill="auto"/>
                  <w:vAlign w:val="center"/>
                </w:tcPr>
                <w:p w14:paraId="18EAA531">
                  <w:pPr>
                    <w:pStyle w:val="129"/>
                    <w:widowControl w:val="0"/>
                    <w:autoSpaceDE/>
                    <w:autoSpaceDN/>
                    <w:rPr>
                      <w:rFonts w:hint="default" w:ascii="Times New Roman" w:hAnsi="Times New Roman" w:cs="Times New Roman"/>
                      <w:color w:val="FF0000"/>
                      <w:sz w:val="18"/>
                      <w:szCs w:val="18"/>
                      <w:lang w:eastAsia="en-US"/>
                    </w:rPr>
                  </w:pPr>
                  <w:r>
                    <w:rPr>
                      <w:rFonts w:hint="default" w:ascii="Times New Roman" w:hAnsi="Times New Roman" w:cs="Times New Roman"/>
                      <w:color w:val="FF0000"/>
                      <w:sz w:val="18"/>
                      <w:szCs w:val="18"/>
                      <w:lang w:eastAsia="en-US"/>
                    </w:rPr>
                    <w:t>47</w:t>
                  </w:r>
                </w:p>
              </w:tc>
              <w:tc>
                <w:tcPr>
                  <w:tcW w:w="199" w:type="pct"/>
                  <w:tcBorders>
                    <w:tl2br w:val="nil"/>
                    <w:tr2bl w:val="nil"/>
                  </w:tcBorders>
                  <w:shd w:val="clear" w:color="auto" w:fill="auto"/>
                  <w:vAlign w:val="center"/>
                </w:tcPr>
                <w:p w14:paraId="7CCFF84D">
                  <w:pPr>
                    <w:pStyle w:val="129"/>
                    <w:widowControl w:val="0"/>
                    <w:autoSpaceDE/>
                    <w:autoSpaceDN/>
                    <w:rPr>
                      <w:rFonts w:hint="default" w:ascii="Times New Roman" w:hAnsi="Times New Roman" w:cs="Times New Roman"/>
                      <w:color w:val="FF0000"/>
                      <w:sz w:val="18"/>
                      <w:szCs w:val="18"/>
                      <w:lang w:eastAsia="en-US"/>
                    </w:rPr>
                  </w:pPr>
                  <w:r>
                    <w:rPr>
                      <w:rFonts w:hint="default" w:ascii="Times New Roman" w:hAnsi="Times New Roman" w:cs="Times New Roman"/>
                      <w:color w:val="FF0000"/>
                      <w:sz w:val="18"/>
                      <w:szCs w:val="18"/>
                      <w:lang w:eastAsia="en-US"/>
                    </w:rPr>
                    <w:t>25</w:t>
                  </w:r>
                </w:p>
              </w:tc>
              <w:tc>
                <w:tcPr>
                  <w:tcW w:w="215" w:type="pct"/>
                  <w:tcBorders>
                    <w:tl2br w:val="nil"/>
                    <w:tr2bl w:val="nil"/>
                  </w:tcBorders>
                  <w:shd w:val="clear" w:color="auto" w:fill="auto"/>
                  <w:vAlign w:val="center"/>
                </w:tcPr>
                <w:p w14:paraId="5175A851">
                  <w:pPr>
                    <w:pStyle w:val="129"/>
                    <w:widowControl w:val="0"/>
                    <w:autoSpaceDE/>
                    <w:autoSpaceDN/>
                    <w:rPr>
                      <w:rFonts w:hint="default" w:ascii="Times New Roman" w:hAnsi="Times New Roman" w:cs="Times New Roman"/>
                      <w:color w:val="FF0000"/>
                      <w:sz w:val="18"/>
                      <w:szCs w:val="18"/>
                      <w:lang w:eastAsia="en-US"/>
                    </w:rPr>
                  </w:pPr>
                  <w:r>
                    <w:rPr>
                      <w:rFonts w:hint="default" w:ascii="Times New Roman" w:hAnsi="Times New Roman" w:cs="Times New Roman"/>
                      <w:color w:val="FF0000"/>
                      <w:sz w:val="18"/>
                      <w:szCs w:val="18"/>
                      <w:lang w:eastAsia="en-US"/>
                    </w:rPr>
                    <w:t>1</w:t>
                  </w:r>
                </w:p>
              </w:tc>
              <w:tc>
                <w:tcPr>
                  <w:tcW w:w="330" w:type="pct"/>
                  <w:tcBorders>
                    <w:tl2br w:val="nil"/>
                    <w:tr2bl w:val="nil"/>
                  </w:tcBorders>
                  <w:shd w:val="clear" w:color="auto" w:fill="auto"/>
                  <w:vAlign w:val="center"/>
                </w:tcPr>
                <w:p w14:paraId="29C71F7E">
                  <w:pPr>
                    <w:pStyle w:val="129"/>
                    <w:widowControl w:val="0"/>
                    <w:autoSpaceDE/>
                    <w:autoSpaceDN/>
                    <w:rPr>
                      <w:rFonts w:hint="default" w:ascii="Times New Roman" w:hAnsi="Times New Roman" w:cs="Times New Roman"/>
                      <w:color w:val="FF0000"/>
                      <w:sz w:val="18"/>
                      <w:szCs w:val="18"/>
                      <w:lang w:eastAsia="en-US"/>
                    </w:rPr>
                  </w:pPr>
                  <w:r>
                    <w:rPr>
                      <w:rFonts w:hint="default" w:ascii="Times New Roman" w:hAnsi="Times New Roman" w:cs="Times New Roman"/>
                      <w:color w:val="FF0000"/>
                      <w:sz w:val="18"/>
                      <w:szCs w:val="18"/>
                      <w:lang w:eastAsia="en-US"/>
                    </w:rPr>
                    <w:t>22</w:t>
                  </w:r>
                </w:p>
              </w:tc>
              <w:tc>
                <w:tcPr>
                  <w:tcW w:w="355" w:type="pct"/>
                  <w:tcBorders>
                    <w:tl2br w:val="nil"/>
                    <w:tr2bl w:val="nil"/>
                  </w:tcBorders>
                  <w:shd w:val="clear" w:color="auto" w:fill="auto"/>
                  <w:vAlign w:val="center"/>
                </w:tcPr>
                <w:p w14:paraId="570FE61C">
                  <w:pPr>
                    <w:pStyle w:val="129"/>
                    <w:widowControl w:val="0"/>
                    <w:autoSpaceDE/>
                    <w:autoSpaceDN/>
                    <w:rPr>
                      <w:rFonts w:hint="default" w:ascii="Times New Roman" w:hAnsi="Times New Roman" w:cs="Times New Roman"/>
                      <w:color w:val="FF0000"/>
                      <w:sz w:val="18"/>
                      <w:szCs w:val="18"/>
                      <w:lang w:eastAsia="en-US"/>
                    </w:rPr>
                  </w:pPr>
                  <w:r>
                    <w:rPr>
                      <w:rFonts w:hint="default" w:ascii="Times New Roman" w:hAnsi="Times New Roman" w:cs="Times New Roman"/>
                      <w:color w:val="FF0000"/>
                      <w:sz w:val="18"/>
                      <w:szCs w:val="18"/>
                      <w:lang w:eastAsia="en-US"/>
                    </w:rPr>
                    <w:t>47.3</w:t>
                  </w:r>
                </w:p>
              </w:tc>
              <w:tc>
                <w:tcPr>
                  <w:tcW w:w="252" w:type="pct"/>
                  <w:vMerge w:val="continue"/>
                  <w:tcBorders>
                    <w:tl2br w:val="nil"/>
                    <w:tr2bl w:val="nil"/>
                  </w:tcBorders>
                  <w:shd w:val="clear" w:color="auto" w:fill="auto"/>
                  <w:vAlign w:val="center"/>
                </w:tcPr>
                <w:p w14:paraId="17FBA900">
                  <w:pPr>
                    <w:pStyle w:val="129"/>
                    <w:widowControl w:val="0"/>
                    <w:autoSpaceDE/>
                    <w:autoSpaceDN/>
                    <w:rPr>
                      <w:rFonts w:hint="default" w:ascii="Times New Roman" w:hAnsi="Times New Roman" w:cs="Times New Roman"/>
                      <w:color w:val="FF0000"/>
                      <w:sz w:val="18"/>
                      <w:szCs w:val="18"/>
                      <w:lang w:eastAsia="en-US"/>
                    </w:rPr>
                  </w:pPr>
                </w:p>
              </w:tc>
              <w:tc>
                <w:tcPr>
                  <w:tcW w:w="321" w:type="pct"/>
                  <w:tcBorders>
                    <w:tl2br w:val="nil"/>
                    <w:tr2bl w:val="nil"/>
                  </w:tcBorders>
                  <w:shd w:val="clear" w:color="auto" w:fill="auto"/>
                  <w:vAlign w:val="center"/>
                </w:tcPr>
                <w:p w14:paraId="2C8F1CE6">
                  <w:pPr>
                    <w:pStyle w:val="129"/>
                    <w:widowControl w:val="0"/>
                    <w:autoSpaceDE/>
                    <w:autoSpaceDN/>
                    <w:rPr>
                      <w:rFonts w:hint="default" w:ascii="Times New Roman" w:hAnsi="Times New Roman" w:cs="Times New Roman"/>
                      <w:color w:val="FF0000"/>
                      <w:sz w:val="18"/>
                      <w:szCs w:val="18"/>
                      <w:lang w:eastAsia="en-US"/>
                    </w:rPr>
                  </w:pPr>
                  <w:r>
                    <w:rPr>
                      <w:rFonts w:hint="default" w:ascii="Times New Roman" w:hAnsi="Times New Roman" w:cs="Times New Roman"/>
                      <w:color w:val="FF0000"/>
                      <w:sz w:val="18"/>
                      <w:szCs w:val="18"/>
                      <w:lang w:eastAsia="en-US"/>
                    </w:rPr>
                    <w:t>25.5</w:t>
                  </w:r>
                </w:p>
              </w:tc>
              <w:tc>
                <w:tcPr>
                  <w:tcW w:w="355" w:type="pct"/>
                  <w:tcBorders>
                    <w:tl2br w:val="nil"/>
                    <w:tr2bl w:val="nil"/>
                  </w:tcBorders>
                  <w:shd w:val="clear" w:color="auto" w:fill="auto"/>
                  <w:vAlign w:val="center"/>
                </w:tcPr>
                <w:p w14:paraId="09546A5E">
                  <w:pPr>
                    <w:pStyle w:val="129"/>
                    <w:widowControl w:val="0"/>
                    <w:autoSpaceDE/>
                    <w:autoSpaceDN/>
                    <w:rPr>
                      <w:rFonts w:hint="default" w:ascii="Times New Roman" w:hAnsi="Times New Roman" w:cs="Times New Roman"/>
                      <w:color w:val="FF0000"/>
                      <w:sz w:val="18"/>
                      <w:szCs w:val="18"/>
                      <w:lang w:eastAsia="en-US"/>
                    </w:rPr>
                  </w:pPr>
                  <w:r>
                    <w:rPr>
                      <w:rFonts w:hint="default" w:ascii="Times New Roman" w:hAnsi="Times New Roman" w:cs="Times New Roman"/>
                      <w:color w:val="FF0000"/>
                      <w:sz w:val="18"/>
                      <w:szCs w:val="18"/>
                      <w:lang w:eastAsia="en-US"/>
                    </w:rPr>
                    <w:t>21.8</w:t>
                  </w:r>
                </w:p>
              </w:tc>
              <w:tc>
                <w:tcPr>
                  <w:tcW w:w="149" w:type="pct"/>
                  <w:tcBorders>
                    <w:tl2br w:val="nil"/>
                    <w:tr2bl w:val="nil"/>
                  </w:tcBorders>
                  <w:shd w:val="clear" w:color="auto" w:fill="auto"/>
                  <w:vAlign w:val="center"/>
                </w:tcPr>
                <w:p w14:paraId="06813E37">
                  <w:pPr>
                    <w:pStyle w:val="129"/>
                    <w:widowControl w:val="0"/>
                    <w:autoSpaceDE/>
                    <w:autoSpaceDN/>
                    <w:rPr>
                      <w:rFonts w:hint="default" w:ascii="Times New Roman" w:hAnsi="Times New Roman" w:cs="Times New Roman"/>
                      <w:color w:val="FF0000"/>
                      <w:sz w:val="18"/>
                      <w:szCs w:val="18"/>
                      <w:lang w:eastAsia="en-US"/>
                    </w:rPr>
                  </w:pPr>
                  <w:r>
                    <w:rPr>
                      <w:rFonts w:hint="default" w:ascii="Times New Roman" w:hAnsi="Times New Roman" w:cs="Times New Roman"/>
                      <w:color w:val="FF0000"/>
                      <w:sz w:val="18"/>
                      <w:szCs w:val="18"/>
                      <w:lang w:eastAsia="en-US"/>
                    </w:rPr>
                    <w:t>1</w:t>
                  </w:r>
                </w:p>
              </w:tc>
            </w:tr>
            <w:tr w14:paraId="17A905F9">
              <w:tblPrEx>
                <w:tblBorders>
                  <w:top w:val="double" w:color="000000" w:sz="4" w:space="0"/>
                  <w:left w:val="none" w:color="auto" w:sz="0" w:space="0"/>
                  <w:bottom w:val="double" w:color="000000" w:sz="4"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101" w:hRule="atLeast"/>
              </w:trPr>
              <w:tc>
                <w:tcPr>
                  <w:tcW w:w="172" w:type="pct"/>
                  <w:vMerge w:val="continue"/>
                  <w:tcBorders>
                    <w:tl2br w:val="nil"/>
                    <w:tr2bl w:val="nil"/>
                  </w:tcBorders>
                  <w:vAlign w:val="center"/>
                </w:tcPr>
                <w:p w14:paraId="57520312">
                  <w:pPr>
                    <w:pStyle w:val="129"/>
                    <w:widowControl w:val="0"/>
                    <w:autoSpaceDE/>
                    <w:autoSpaceDN/>
                    <w:rPr>
                      <w:rFonts w:hint="default" w:ascii="Times New Roman" w:hAnsi="Times New Roman" w:cs="Times New Roman"/>
                      <w:color w:val="FF0000"/>
                      <w:sz w:val="18"/>
                      <w:szCs w:val="18"/>
                      <w:lang w:eastAsia="en-US"/>
                    </w:rPr>
                  </w:pPr>
                </w:p>
              </w:tc>
              <w:tc>
                <w:tcPr>
                  <w:tcW w:w="232" w:type="pct"/>
                  <w:vMerge w:val="continue"/>
                  <w:tcBorders>
                    <w:tl2br w:val="nil"/>
                    <w:tr2bl w:val="nil"/>
                  </w:tcBorders>
                  <w:vAlign w:val="center"/>
                </w:tcPr>
                <w:p w14:paraId="004CA16F">
                  <w:pPr>
                    <w:pStyle w:val="129"/>
                    <w:widowControl w:val="0"/>
                    <w:autoSpaceDE/>
                    <w:autoSpaceDN/>
                    <w:rPr>
                      <w:rFonts w:hint="default" w:ascii="Times New Roman" w:hAnsi="Times New Roman" w:cs="Times New Roman"/>
                      <w:color w:val="FF0000"/>
                      <w:sz w:val="18"/>
                      <w:szCs w:val="18"/>
                      <w:lang w:eastAsia="en-US"/>
                    </w:rPr>
                  </w:pPr>
                </w:p>
              </w:tc>
              <w:tc>
                <w:tcPr>
                  <w:tcW w:w="765" w:type="pct"/>
                  <w:tcBorders>
                    <w:tl2br w:val="nil"/>
                    <w:tr2bl w:val="nil"/>
                  </w:tcBorders>
                  <w:shd w:val="clear" w:color="auto" w:fill="auto"/>
                  <w:vAlign w:val="center"/>
                </w:tcPr>
                <w:p w14:paraId="16D9D547">
                  <w:pPr>
                    <w:pStyle w:val="129"/>
                    <w:widowControl w:val="0"/>
                    <w:autoSpaceDE/>
                    <w:autoSpaceDN/>
                    <w:rPr>
                      <w:rFonts w:hint="default" w:ascii="Times New Roman" w:hAnsi="Times New Roman" w:cs="Times New Roman"/>
                      <w:color w:val="FF0000"/>
                      <w:sz w:val="18"/>
                      <w:szCs w:val="18"/>
                      <w:lang w:eastAsia="en-US"/>
                    </w:rPr>
                  </w:pPr>
                  <w:r>
                    <w:rPr>
                      <w:rFonts w:hint="default" w:ascii="Times New Roman" w:hAnsi="Times New Roman" w:cs="Times New Roman"/>
                      <w:color w:val="FF0000"/>
                      <w:sz w:val="18"/>
                      <w:szCs w:val="18"/>
                      <w:lang w:eastAsia="en-US"/>
                    </w:rPr>
                    <w:t>燃油叉车</w:t>
                  </w:r>
                </w:p>
              </w:tc>
              <w:tc>
                <w:tcPr>
                  <w:tcW w:w="844" w:type="pct"/>
                  <w:tcBorders>
                    <w:tl2br w:val="nil"/>
                    <w:tr2bl w:val="nil"/>
                  </w:tcBorders>
                  <w:shd w:val="clear" w:color="auto" w:fill="auto"/>
                  <w:vAlign w:val="center"/>
                </w:tcPr>
                <w:p w14:paraId="3DD7AFE1">
                  <w:pPr>
                    <w:pStyle w:val="129"/>
                    <w:widowControl w:val="0"/>
                    <w:autoSpaceDE/>
                    <w:autoSpaceDN/>
                    <w:rPr>
                      <w:rFonts w:hint="default" w:ascii="Times New Roman" w:hAnsi="Times New Roman" w:cs="Times New Roman"/>
                      <w:color w:val="FF0000"/>
                      <w:sz w:val="18"/>
                      <w:szCs w:val="18"/>
                      <w:lang w:eastAsia="en-US"/>
                    </w:rPr>
                  </w:pPr>
                  <w:r>
                    <w:rPr>
                      <w:rFonts w:hint="default" w:ascii="Times New Roman" w:hAnsi="Times New Roman" w:cs="Times New Roman"/>
                      <w:color w:val="FF0000"/>
                      <w:sz w:val="18"/>
                      <w:szCs w:val="18"/>
                      <w:lang w:eastAsia="en-US"/>
                    </w:rPr>
                    <w:t>CPCD100-AG58，10吨</w:t>
                  </w:r>
                </w:p>
              </w:tc>
              <w:tc>
                <w:tcPr>
                  <w:tcW w:w="365" w:type="pct"/>
                  <w:tcBorders>
                    <w:tl2br w:val="nil"/>
                    <w:tr2bl w:val="nil"/>
                  </w:tcBorders>
                  <w:shd w:val="clear" w:color="auto" w:fill="auto"/>
                  <w:vAlign w:val="center"/>
                </w:tcPr>
                <w:p w14:paraId="16831D98">
                  <w:pPr>
                    <w:pStyle w:val="129"/>
                    <w:widowControl w:val="0"/>
                    <w:autoSpaceDE/>
                    <w:autoSpaceDN/>
                    <w:rPr>
                      <w:rFonts w:hint="default" w:ascii="Times New Roman" w:hAnsi="Times New Roman" w:cs="Times New Roman"/>
                      <w:color w:val="FF0000"/>
                      <w:sz w:val="18"/>
                      <w:szCs w:val="18"/>
                      <w:lang w:eastAsia="en-US"/>
                    </w:rPr>
                  </w:pPr>
                  <w:r>
                    <w:rPr>
                      <w:rFonts w:hint="default" w:ascii="Times New Roman" w:hAnsi="Times New Roman" w:cs="Times New Roman"/>
                      <w:color w:val="FF0000"/>
                      <w:sz w:val="18"/>
                      <w:szCs w:val="18"/>
                      <w:lang w:eastAsia="en-US"/>
                    </w:rPr>
                    <w:t>85</w:t>
                  </w:r>
                </w:p>
              </w:tc>
              <w:tc>
                <w:tcPr>
                  <w:tcW w:w="272" w:type="pct"/>
                  <w:vMerge w:val="continue"/>
                  <w:tcBorders>
                    <w:tl2br w:val="nil"/>
                    <w:tr2bl w:val="nil"/>
                  </w:tcBorders>
                  <w:shd w:val="clear" w:color="auto" w:fill="auto"/>
                  <w:vAlign w:val="center"/>
                </w:tcPr>
                <w:p w14:paraId="3F130784">
                  <w:pPr>
                    <w:pStyle w:val="129"/>
                    <w:widowControl w:val="0"/>
                    <w:autoSpaceDE/>
                    <w:autoSpaceDN/>
                    <w:rPr>
                      <w:rFonts w:hint="default" w:ascii="Times New Roman" w:hAnsi="Times New Roman" w:cs="Times New Roman"/>
                      <w:color w:val="FF0000"/>
                      <w:sz w:val="18"/>
                      <w:szCs w:val="18"/>
                      <w:lang w:eastAsia="en-US"/>
                    </w:rPr>
                  </w:pPr>
                </w:p>
              </w:tc>
              <w:tc>
                <w:tcPr>
                  <w:tcW w:w="169" w:type="pct"/>
                  <w:tcBorders>
                    <w:tl2br w:val="nil"/>
                    <w:tr2bl w:val="nil"/>
                  </w:tcBorders>
                  <w:shd w:val="clear" w:color="auto" w:fill="auto"/>
                  <w:vAlign w:val="center"/>
                </w:tcPr>
                <w:p w14:paraId="58142EBD">
                  <w:pPr>
                    <w:pStyle w:val="129"/>
                    <w:widowControl w:val="0"/>
                    <w:autoSpaceDE/>
                    <w:autoSpaceDN/>
                    <w:rPr>
                      <w:rFonts w:hint="default" w:ascii="Times New Roman" w:hAnsi="Times New Roman" w:cs="Times New Roman"/>
                      <w:color w:val="FF0000"/>
                      <w:sz w:val="18"/>
                      <w:szCs w:val="18"/>
                      <w:lang w:eastAsia="en-US"/>
                    </w:rPr>
                  </w:pPr>
                  <w:r>
                    <w:rPr>
                      <w:rFonts w:hint="default" w:ascii="Times New Roman" w:hAnsi="Times New Roman" w:cs="Times New Roman"/>
                      <w:color w:val="FF0000"/>
                      <w:sz w:val="18"/>
                      <w:szCs w:val="18"/>
                      <w:lang w:eastAsia="en-US"/>
                    </w:rPr>
                    <w:t>44</w:t>
                  </w:r>
                </w:p>
              </w:tc>
              <w:tc>
                <w:tcPr>
                  <w:tcW w:w="199" w:type="pct"/>
                  <w:tcBorders>
                    <w:tl2br w:val="nil"/>
                    <w:tr2bl w:val="nil"/>
                  </w:tcBorders>
                  <w:shd w:val="clear" w:color="auto" w:fill="auto"/>
                  <w:vAlign w:val="center"/>
                </w:tcPr>
                <w:p w14:paraId="1951F60F">
                  <w:pPr>
                    <w:pStyle w:val="129"/>
                    <w:widowControl w:val="0"/>
                    <w:autoSpaceDE/>
                    <w:autoSpaceDN/>
                    <w:rPr>
                      <w:rFonts w:hint="default" w:ascii="Times New Roman" w:hAnsi="Times New Roman" w:cs="Times New Roman"/>
                      <w:color w:val="FF0000"/>
                      <w:sz w:val="18"/>
                      <w:szCs w:val="18"/>
                      <w:lang w:eastAsia="en-US"/>
                    </w:rPr>
                  </w:pPr>
                  <w:r>
                    <w:rPr>
                      <w:rFonts w:hint="default" w:ascii="Times New Roman" w:hAnsi="Times New Roman" w:cs="Times New Roman"/>
                      <w:color w:val="FF0000"/>
                      <w:sz w:val="18"/>
                      <w:szCs w:val="18"/>
                      <w:lang w:eastAsia="en-US"/>
                    </w:rPr>
                    <w:t>23</w:t>
                  </w:r>
                </w:p>
              </w:tc>
              <w:tc>
                <w:tcPr>
                  <w:tcW w:w="215" w:type="pct"/>
                  <w:tcBorders>
                    <w:tl2br w:val="nil"/>
                    <w:tr2bl w:val="nil"/>
                  </w:tcBorders>
                  <w:shd w:val="clear" w:color="auto" w:fill="auto"/>
                  <w:vAlign w:val="center"/>
                </w:tcPr>
                <w:p w14:paraId="7859586A">
                  <w:pPr>
                    <w:pStyle w:val="129"/>
                    <w:widowControl w:val="0"/>
                    <w:autoSpaceDE/>
                    <w:autoSpaceDN/>
                    <w:rPr>
                      <w:rFonts w:hint="default" w:ascii="Times New Roman" w:hAnsi="Times New Roman" w:cs="Times New Roman"/>
                      <w:color w:val="FF0000"/>
                      <w:sz w:val="18"/>
                      <w:szCs w:val="18"/>
                      <w:lang w:eastAsia="en-US"/>
                    </w:rPr>
                  </w:pPr>
                  <w:r>
                    <w:rPr>
                      <w:rFonts w:hint="default" w:ascii="Times New Roman" w:hAnsi="Times New Roman" w:cs="Times New Roman"/>
                      <w:color w:val="FF0000"/>
                      <w:sz w:val="18"/>
                      <w:szCs w:val="18"/>
                      <w:lang w:eastAsia="en-US"/>
                    </w:rPr>
                    <w:t>1</w:t>
                  </w:r>
                </w:p>
              </w:tc>
              <w:tc>
                <w:tcPr>
                  <w:tcW w:w="330" w:type="pct"/>
                  <w:tcBorders>
                    <w:tl2br w:val="nil"/>
                    <w:tr2bl w:val="nil"/>
                  </w:tcBorders>
                  <w:shd w:val="clear" w:color="auto" w:fill="auto"/>
                  <w:vAlign w:val="center"/>
                </w:tcPr>
                <w:p w14:paraId="16A1D8D7">
                  <w:pPr>
                    <w:pStyle w:val="129"/>
                    <w:widowControl w:val="0"/>
                    <w:autoSpaceDE/>
                    <w:autoSpaceDN/>
                    <w:rPr>
                      <w:rFonts w:hint="default" w:ascii="Times New Roman" w:hAnsi="Times New Roman" w:cs="Times New Roman"/>
                      <w:color w:val="FF0000"/>
                      <w:sz w:val="18"/>
                      <w:szCs w:val="18"/>
                      <w:lang w:eastAsia="en-US"/>
                    </w:rPr>
                  </w:pPr>
                  <w:r>
                    <w:rPr>
                      <w:rFonts w:hint="default" w:ascii="Times New Roman" w:hAnsi="Times New Roman" w:cs="Times New Roman"/>
                      <w:color w:val="FF0000"/>
                      <w:sz w:val="18"/>
                      <w:szCs w:val="18"/>
                      <w:lang w:eastAsia="en-US"/>
                    </w:rPr>
                    <w:t>22</w:t>
                  </w:r>
                </w:p>
              </w:tc>
              <w:tc>
                <w:tcPr>
                  <w:tcW w:w="355" w:type="pct"/>
                  <w:tcBorders>
                    <w:tl2br w:val="nil"/>
                    <w:tr2bl w:val="nil"/>
                  </w:tcBorders>
                  <w:shd w:val="clear" w:color="auto" w:fill="auto"/>
                  <w:vAlign w:val="center"/>
                </w:tcPr>
                <w:p w14:paraId="5A086D2C">
                  <w:pPr>
                    <w:pStyle w:val="129"/>
                    <w:widowControl w:val="0"/>
                    <w:autoSpaceDE/>
                    <w:autoSpaceDN/>
                    <w:rPr>
                      <w:rFonts w:hint="default" w:ascii="Times New Roman" w:hAnsi="Times New Roman" w:cs="Times New Roman"/>
                      <w:color w:val="FF0000"/>
                      <w:sz w:val="18"/>
                      <w:szCs w:val="18"/>
                      <w:lang w:eastAsia="en-US"/>
                    </w:rPr>
                  </w:pPr>
                  <w:r>
                    <w:rPr>
                      <w:rFonts w:hint="default" w:ascii="Times New Roman" w:hAnsi="Times New Roman" w:cs="Times New Roman"/>
                      <w:color w:val="FF0000"/>
                      <w:sz w:val="18"/>
                      <w:szCs w:val="18"/>
                      <w:lang w:eastAsia="en-US"/>
                    </w:rPr>
                    <w:t>47.3</w:t>
                  </w:r>
                </w:p>
              </w:tc>
              <w:tc>
                <w:tcPr>
                  <w:tcW w:w="252" w:type="pct"/>
                  <w:vMerge w:val="continue"/>
                  <w:tcBorders>
                    <w:tl2br w:val="nil"/>
                    <w:tr2bl w:val="nil"/>
                  </w:tcBorders>
                  <w:shd w:val="clear" w:color="auto" w:fill="auto"/>
                  <w:vAlign w:val="center"/>
                </w:tcPr>
                <w:p w14:paraId="10510C40">
                  <w:pPr>
                    <w:pStyle w:val="129"/>
                    <w:widowControl w:val="0"/>
                    <w:autoSpaceDE/>
                    <w:autoSpaceDN/>
                    <w:rPr>
                      <w:rFonts w:hint="default" w:ascii="Times New Roman" w:hAnsi="Times New Roman" w:cs="Times New Roman"/>
                      <w:color w:val="FF0000"/>
                      <w:sz w:val="18"/>
                      <w:szCs w:val="18"/>
                      <w:lang w:eastAsia="en-US"/>
                    </w:rPr>
                  </w:pPr>
                </w:p>
              </w:tc>
              <w:tc>
                <w:tcPr>
                  <w:tcW w:w="321" w:type="pct"/>
                  <w:tcBorders>
                    <w:tl2br w:val="nil"/>
                    <w:tr2bl w:val="nil"/>
                  </w:tcBorders>
                  <w:shd w:val="clear" w:color="auto" w:fill="auto"/>
                  <w:vAlign w:val="center"/>
                </w:tcPr>
                <w:p w14:paraId="104FAFDF">
                  <w:pPr>
                    <w:pStyle w:val="129"/>
                    <w:widowControl w:val="0"/>
                    <w:autoSpaceDE/>
                    <w:autoSpaceDN/>
                    <w:rPr>
                      <w:rFonts w:hint="default" w:ascii="Times New Roman" w:hAnsi="Times New Roman" w:cs="Times New Roman"/>
                      <w:color w:val="FF0000"/>
                      <w:sz w:val="18"/>
                      <w:szCs w:val="18"/>
                      <w:lang w:eastAsia="en-US"/>
                    </w:rPr>
                  </w:pPr>
                  <w:r>
                    <w:rPr>
                      <w:rFonts w:hint="default" w:ascii="Times New Roman" w:hAnsi="Times New Roman" w:cs="Times New Roman"/>
                      <w:color w:val="FF0000"/>
                      <w:sz w:val="18"/>
                      <w:szCs w:val="18"/>
                      <w:lang w:eastAsia="en-US"/>
                    </w:rPr>
                    <w:t>25.5</w:t>
                  </w:r>
                </w:p>
              </w:tc>
              <w:tc>
                <w:tcPr>
                  <w:tcW w:w="355" w:type="pct"/>
                  <w:tcBorders>
                    <w:tl2br w:val="nil"/>
                    <w:tr2bl w:val="nil"/>
                  </w:tcBorders>
                  <w:shd w:val="clear" w:color="auto" w:fill="auto"/>
                  <w:vAlign w:val="center"/>
                </w:tcPr>
                <w:p w14:paraId="5C1AAF77">
                  <w:pPr>
                    <w:pStyle w:val="129"/>
                    <w:widowControl w:val="0"/>
                    <w:autoSpaceDE/>
                    <w:autoSpaceDN/>
                    <w:rPr>
                      <w:rFonts w:hint="default" w:ascii="Times New Roman" w:hAnsi="Times New Roman" w:cs="Times New Roman"/>
                      <w:color w:val="FF0000"/>
                      <w:sz w:val="18"/>
                      <w:szCs w:val="18"/>
                      <w:lang w:eastAsia="en-US"/>
                    </w:rPr>
                  </w:pPr>
                  <w:r>
                    <w:rPr>
                      <w:rFonts w:hint="default" w:ascii="Times New Roman" w:hAnsi="Times New Roman" w:cs="Times New Roman"/>
                      <w:color w:val="FF0000"/>
                      <w:sz w:val="18"/>
                      <w:szCs w:val="18"/>
                      <w:lang w:eastAsia="en-US"/>
                    </w:rPr>
                    <w:t>21.8</w:t>
                  </w:r>
                </w:p>
              </w:tc>
              <w:tc>
                <w:tcPr>
                  <w:tcW w:w="149" w:type="pct"/>
                  <w:tcBorders>
                    <w:tl2br w:val="nil"/>
                    <w:tr2bl w:val="nil"/>
                  </w:tcBorders>
                  <w:shd w:val="clear" w:color="auto" w:fill="auto"/>
                  <w:vAlign w:val="center"/>
                </w:tcPr>
                <w:p w14:paraId="06CA3D94">
                  <w:pPr>
                    <w:pStyle w:val="129"/>
                    <w:widowControl w:val="0"/>
                    <w:autoSpaceDE/>
                    <w:autoSpaceDN/>
                    <w:rPr>
                      <w:rFonts w:hint="default" w:ascii="Times New Roman" w:hAnsi="Times New Roman" w:cs="Times New Roman"/>
                      <w:color w:val="FF0000"/>
                      <w:sz w:val="18"/>
                      <w:szCs w:val="18"/>
                      <w:lang w:eastAsia="en-US"/>
                    </w:rPr>
                  </w:pPr>
                  <w:r>
                    <w:rPr>
                      <w:rFonts w:hint="default" w:ascii="Times New Roman" w:hAnsi="Times New Roman" w:cs="Times New Roman"/>
                      <w:color w:val="FF0000"/>
                      <w:sz w:val="18"/>
                      <w:szCs w:val="18"/>
                      <w:lang w:eastAsia="en-US"/>
                    </w:rPr>
                    <w:t>1</w:t>
                  </w:r>
                </w:p>
              </w:tc>
            </w:tr>
            <w:tr w14:paraId="3DBBD7C2">
              <w:tblPrEx>
                <w:tblBorders>
                  <w:top w:val="double" w:color="000000" w:sz="4" w:space="0"/>
                  <w:left w:val="none" w:color="auto" w:sz="0" w:space="0"/>
                  <w:bottom w:val="double" w:color="000000" w:sz="4"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101" w:hRule="atLeast"/>
              </w:trPr>
              <w:tc>
                <w:tcPr>
                  <w:tcW w:w="172" w:type="pct"/>
                  <w:vMerge w:val="continue"/>
                  <w:tcBorders>
                    <w:tl2br w:val="nil"/>
                    <w:tr2bl w:val="nil"/>
                  </w:tcBorders>
                  <w:vAlign w:val="center"/>
                </w:tcPr>
                <w:p w14:paraId="4A56E591">
                  <w:pPr>
                    <w:pStyle w:val="129"/>
                    <w:widowControl w:val="0"/>
                    <w:autoSpaceDE/>
                    <w:autoSpaceDN/>
                    <w:rPr>
                      <w:rFonts w:hint="default" w:ascii="Times New Roman" w:hAnsi="Times New Roman" w:cs="Times New Roman"/>
                      <w:color w:val="FF0000"/>
                      <w:sz w:val="18"/>
                      <w:szCs w:val="18"/>
                      <w:lang w:eastAsia="en-US"/>
                    </w:rPr>
                  </w:pPr>
                </w:p>
              </w:tc>
              <w:tc>
                <w:tcPr>
                  <w:tcW w:w="232" w:type="pct"/>
                  <w:vMerge w:val="continue"/>
                  <w:tcBorders>
                    <w:tl2br w:val="nil"/>
                    <w:tr2bl w:val="nil"/>
                  </w:tcBorders>
                  <w:vAlign w:val="center"/>
                </w:tcPr>
                <w:p w14:paraId="02B1C9CA">
                  <w:pPr>
                    <w:pStyle w:val="129"/>
                    <w:widowControl w:val="0"/>
                    <w:autoSpaceDE/>
                    <w:autoSpaceDN/>
                    <w:rPr>
                      <w:rFonts w:hint="default" w:ascii="Times New Roman" w:hAnsi="Times New Roman" w:cs="Times New Roman"/>
                      <w:color w:val="FF0000"/>
                      <w:sz w:val="18"/>
                      <w:szCs w:val="18"/>
                      <w:lang w:eastAsia="en-US"/>
                    </w:rPr>
                  </w:pPr>
                </w:p>
              </w:tc>
              <w:tc>
                <w:tcPr>
                  <w:tcW w:w="765" w:type="pct"/>
                  <w:tcBorders>
                    <w:tl2br w:val="nil"/>
                    <w:tr2bl w:val="nil"/>
                  </w:tcBorders>
                  <w:shd w:val="clear" w:color="auto" w:fill="auto"/>
                  <w:vAlign w:val="center"/>
                </w:tcPr>
                <w:p w14:paraId="79970340">
                  <w:pPr>
                    <w:pStyle w:val="129"/>
                    <w:widowControl w:val="0"/>
                    <w:autoSpaceDE/>
                    <w:autoSpaceDN/>
                    <w:rPr>
                      <w:rFonts w:hint="default" w:ascii="Times New Roman" w:hAnsi="Times New Roman" w:cs="Times New Roman"/>
                      <w:color w:val="FF0000"/>
                      <w:sz w:val="18"/>
                      <w:szCs w:val="18"/>
                      <w:lang w:eastAsia="en-US"/>
                    </w:rPr>
                  </w:pPr>
                  <w:r>
                    <w:rPr>
                      <w:rFonts w:hint="default" w:ascii="Times New Roman" w:hAnsi="Times New Roman" w:cs="Times New Roman"/>
                      <w:color w:val="FF0000"/>
                      <w:sz w:val="18"/>
                      <w:szCs w:val="18"/>
                      <w:lang w:eastAsia="en-US"/>
                    </w:rPr>
                    <w:t>行车</w:t>
                  </w:r>
                </w:p>
              </w:tc>
              <w:tc>
                <w:tcPr>
                  <w:tcW w:w="844" w:type="pct"/>
                  <w:tcBorders>
                    <w:tl2br w:val="nil"/>
                    <w:tr2bl w:val="nil"/>
                  </w:tcBorders>
                  <w:shd w:val="clear" w:color="auto" w:fill="auto"/>
                  <w:vAlign w:val="center"/>
                </w:tcPr>
                <w:p w14:paraId="3164A949">
                  <w:pPr>
                    <w:pStyle w:val="129"/>
                    <w:widowControl w:val="0"/>
                    <w:autoSpaceDE/>
                    <w:autoSpaceDN/>
                    <w:rPr>
                      <w:rFonts w:hint="default" w:ascii="Times New Roman" w:hAnsi="Times New Roman" w:cs="Times New Roman"/>
                      <w:color w:val="FF0000"/>
                      <w:sz w:val="18"/>
                      <w:szCs w:val="18"/>
                      <w:lang w:eastAsia="en-US"/>
                    </w:rPr>
                  </w:pPr>
                  <w:r>
                    <w:rPr>
                      <w:rFonts w:hint="default" w:ascii="Times New Roman" w:hAnsi="Times New Roman" w:cs="Times New Roman"/>
                      <w:color w:val="FF0000"/>
                      <w:sz w:val="18"/>
                      <w:szCs w:val="18"/>
                      <w:lang w:eastAsia="en-US"/>
                    </w:rPr>
                    <w:t>16吨</w:t>
                  </w:r>
                </w:p>
              </w:tc>
              <w:tc>
                <w:tcPr>
                  <w:tcW w:w="365" w:type="pct"/>
                  <w:tcBorders>
                    <w:tl2br w:val="nil"/>
                    <w:tr2bl w:val="nil"/>
                  </w:tcBorders>
                  <w:shd w:val="clear" w:color="auto" w:fill="auto"/>
                  <w:vAlign w:val="center"/>
                </w:tcPr>
                <w:p w14:paraId="7DBF29CF">
                  <w:pPr>
                    <w:pStyle w:val="129"/>
                    <w:widowControl w:val="0"/>
                    <w:autoSpaceDE/>
                    <w:autoSpaceDN/>
                    <w:rPr>
                      <w:rFonts w:hint="default" w:ascii="Times New Roman" w:hAnsi="Times New Roman" w:cs="Times New Roman"/>
                      <w:color w:val="FF0000"/>
                      <w:sz w:val="18"/>
                      <w:szCs w:val="18"/>
                      <w:lang w:eastAsia="en-US"/>
                    </w:rPr>
                  </w:pPr>
                  <w:r>
                    <w:rPr>
                      <w:rFonts w:hint="default" w:ascii="Times New Roman" w:hAnsi="Times New Roman" w:cs="Times New Roman"/>
                      <w:color w:val="FF0000"/>
                      <w:sz w:val="18"/>
                      <w:szCs w:val="18"/>
                      <w:lang w:eastAsia="en-US"/>
                    </w:rPr>
                    <w:t>85</w:t>
                  </w:r>
                </w:p>
              </w:tc>
              <w:tc>
                <w:tcPr>
                  <w:tcW w:w="272" w:type="pct"/>
                  <w:vMerge w:val="continue"/>
                  <w:tcBorders>
                    <w:tl2br w:val="nil"/>
                    <w:tr2bl w:val="nil"/>
                  </w:tcBorders>
                  <w:shd w:val="clear" w:color="auto" w:fill="auto"/>
                  <w:vAlign w:val="center"/>
                </w:tcPr>
                <w:p w14:paraId="29B3F7AA">
                  <w:pPr>
                    <w:pStyle w:val="129"/>
                    <w:widowControl w:val="0"/>
                    <w:autoSpaceDE/>
                    <w:autoSpaceDN/>
                    <w:rPr>
                      <w:rFonts w:hint="default" w:ascii="Times New Roman" w:hAnsi="Times New Roman" w:cs="Times New Roman"/>
                      <w:color w:val="FF0000"/>
                      <w:sz w:val="18"/>
                      <w:szCs w:val="18"/>
                      <w:lang w:eastAsia="en-US"/>
                    </w:rPr>
                  </w:pPr>
                </w:p>
              </w:tc>
              <w:tc>
                <w:tcPr>
                  <w:tcW w:w="169" w:type="pct"/>
                  <w:tcBorders>
                    <w:tl2br w:val="nil"/>
                    <w:tr2bl w:val="nil"/>
                  </w:tcBorders>
                  <w:shd w:val="clear" w:color="auto" w:fill="auto"/>
                  <w:vAlign w:val="center"/>
                </w:tcPr>
                <w:p w14:paraId="78310C32">
                  <w:pPr>
                    <w:pStyle w:val="129"/>
                    <w:widowControl w:val="0"/>
                    <w:autoSpaceDE/>
                    <w:autoSpaceDN/>
                    <w:rPr>
                      <w:rFonts w:hint="default" w:ascii="Times New Roman" w:hAnsi="Times New Roman" w:cs="Times New Roman"/>
                      <w:color w:val="FF0000"/>
                      <w:sz w:val="18"/>
                      <w:szCs w:val="18"/>
                      <w:lang w:eastAsia="en-US"/>
                    </w:rPr>
                  </w:pPr>
                  <w:r>
                    <w:rPr>
                      <w:rFonts w:hint="default" w:ascii="Times New Roman" w:hAnsi="Times New Roman" w:cs="Times New Roman"/>
                      <w:color w:val="FF0000"/>
                      <w:sz w:val="18"/>
                      <w:szCs w:val="18"/>
                      <w:lang w:eastAsia="en-US"/>
                    </w:rPr>
                    <w:t>42</w:t>
                  </w:r>
                </w:p>
              </w:tc>
              <w:tc>
                <w:tcPr>
                  <w:tcW w:w="199" w:type="pct"/>
                  <w:tcBorders>
                    <w:tl2br w:val="nil"/>
                    <w:tr2bl w:val="nil"/>
                  </w:tcBorders>
                  <w:shd w:val="clear" w:color="auto" w:fill="auto"/>
                  <w:vAlign w:val="center"/>
                </w:tcPr>
                <w:p w14:paraId="0CADD965">
                  <w:pPr>
                    <w:pStyle w:val="129"/>
                    <w:widowControl w:val="0"/>
                    <w:autoSpaceDE/>
                    <w:autoSpaceDN/>
                    <w:rPr>
                      <w:rFonts w:hint="default" w:ascii="Times New Roman" w:hAnsi="Times New Roman" w:cs="Times New Roman"/>
                      <w:color w:val="FF0000"/>
                      <w:sz w:val="18"/>
                      <w:szCs w:val="18"/>
                      <w:lang w:eastAsia="en-US"/>
                    </w:rPr>
                  </w:pPr>
                  <w:r>
                    <w:rPr>
                      <w:rFonts w:hint="default" w:ascii="Times New Roman" w:hAnsi="Times New Roman" w:cs="Times New Roman"/>
                      <w:color w:val="FF0000"/>
                      <w:sz w:val="18"/>
                      <w:szCs w:val="18"/>
                      <w:lang w:eastAsia="en-US"/>
                    </w:rPr>
                    <w:t>21</w:t>
                  </w:r>
                </w:p>
              </w:tc>
              <w:tc>
                <w:tcPr>
                  <w:tcW w:w="215" w:type="pct"/>
                  <w:tcBorders>
                    <w:tl2br w:val="nil"/>
                    <w:tr2bl w:val="nil"/>
                  </w:tcBorders>
                  <w:shd w:val="clear" w:color="auto" w:fill="auto"/>
                  <w:vAlign w:val="center"/>
                </w:tcPr>
                <w:p w14:paraId="0479BBA8">
                  <w:pPr>
                    <w:pStyle w:val="129"/>
                    <w:widowControl w:val="0"/>
                    <w:autoSpaceDE/>
                    <w:autoSpaceDN/>
                    <w:rPr>
                      <w:rFonts w:hint="default" w:ascii="Times New Roman" w:hAnsi="Times New Roman" w:cs="Times New Roman"/>
                      <w:color w:val="FF0000"/>
                      <w:sz w:val="18"/>
                      <w:szCs w:val="18"/>
                      <w:lang w:eastAsia="en-US"/>
                    </w:rPr>
                  </w:pPr>
                  <w:r>
                    <w:rPr>
                      <w:rFonts w:hint="default" w:ascii="Times New Roman" w:hAnsi="Times New Roman" w:cs="Times New Roman"/>
                      <w:color w:val="FF0000"/>
                      <w:sz w:val="18"/>
                      <w:szCs w:val="18"/>
                      <w:lang w:eastAsia="en-US"/>
                    </w:rPr>
                    <w:t>1</w:t>
                  </w:r>
                </w:p>
              </w:tc>
              <w:tc>
                <w:tcPr>
                  <w:tcW w:w="330" w:type="pct"/>
                  <w:tcBorders>
                    <w:tl2br w:val="nil"/>
                    <w:tr2bl w:val="nil"/>
                  </w:tcBorders>
                  <w:shd w:val="clear" w:color="auto" w:fill="auto"/>
                  <w:vAlign w:val="center"/>
                </w:tcPr>
                <w:p w14:paraId="4D20C5D7">
                  <w:pPr>
                    <w:pStyle w:val="129"/>
                    <w:widowControl w:val="0"/>
                    <w:autoSpaceDE/>
                    <w:autoSpaceDN/>
                    <w:rPr>
                      <w:rFonts w:hint="default" w:ascii="Times New Roman" w:hAnsi="Times New Roman" w:cs="Times New Roman"/>
                      <w:color w:val="FF0000"/>
                      <w:sz w:val="18"/>
                      <w:szCs w:val="18"/>
                      <w:lang w:eastAsia="en-US"/>
                    </w:rPr>
                  </w:pPr>
                  <w:r>
                    <w:rPr>
                      <w:rFonts w:hint="default" w:ascii="Times New Roman" w:hAnsi="Times New Roman" w:cs="Times New Roman"/>
                      <w:color w:val="FF0000"/>
                      <w:sz w:val="18"/>
                      <w:szCs w:val="18"/>
                      <w:lang w:eastAsia="en-US"/>
                    </w:rPr>
                    <w:t>22</w:t>
                  </w:r>
                </w:p>
              </w:tc>
              <w:tc>
                <w:tcPr>
                  <w:tcW w:w="355" w:type="pct"/>
                  <w:tcBorders>
                    <w:tl2br w:val="nil"/>
                    <w:tr2bl w:val="nil"/>
                  </w:tcBorders>
                  <w:shd w:val="clear" w:color="auto" w:fill="auto"/>
                  <w:vAlign w:val="center"/>
                </w:tcPr>
                <w:p w14:paraId="7D52B094">
                  <w:pPr>
                    <w:pStyle w:val="129"/>
                    <w:widowControl w:val="0"/>
                    <w:autoSpaceDE/>
                    <w:autoSpaceDN/>
                    <w:rPr>
                      <w:rFonts w:hint="default" w:ascii="Times New Roman" w:hAnsi="Times New Roman" w:cs="Times New Roman"/>
                      <w:color w:val="FF0000"/>
                      <w:sz w:val="18"/>
                      <w:szCs w:val="18"/>
                      <w:lang w:eastAsia="en-US"/>
                    </w:rPr>
                  </w:pPr>
                  <w:r>
                    <w:rPr>
                      <w:rFonts w:hint="default" w:ascii="Times New Roman" w:hAnsi="Times New Roman" w:cs="Times New Roman"/>
                      <w:color w:val="FF0000"/>
                      <w:sz w:val="18"/>
                      <w:szCs w:val="18"/>
                      <w:lang w:eastAsia="en-US"/>
                    </w:rPr>
                    <w:t>47.3</w:t>
                  </w:r>
                </w:p>
              </w:tc>
              <w:tc>
                <w:tcPr>
                  <w:tcW w:w="252" w:type="pct"/>
                  <w:vMerge w:val="continue"/>
                  <w:tcBorders>
                    <w:tl2br w:val="nil"/>
                    <w:tr2bl w:val="nil"/>
                  </w:tcBorders>
                  <w:shd w:val="clear" w:color="auto" w:fill="auto"/>
                  <w:vAlign w:val="center"/>
                </w:tcPr>
                <w:p w14:paraId="684D180C">
                  <w:pPr>
                    <w:pStyle w:val="129"/>
                    <w:widowControl w:val="0"/>
                    <w:autoSpaceDE/>
                    <w:autoSpaceDN/>
                    <w:rPr>
                      <w:rFonts w:hint="default" w:ascii="Times New Roman" w:hAnsi="Times New Roman" w:cs="Times New Roman"/>
                      <w:color w:val="FF0000"/>
                      <w:sz w:val="18"/>
                      <w:szCs w:val="18"/>
                      <w:lang w:eastAsia="en-US"/>
                    </w:rPr>
                  </w:pPr>
                </w:p>
              </w:tc>
              <w:tc>
                <w:tcPr>
                  <w:tcW w:w="321" w:type="pct"/>
                  <w:tcBorders>
                    <w:tl2br w:val="nil"/>
                    <w:tr2bl w:val="nil"/>
                  </w:tcBorders>
                  <w:shd w:val="clear" w:color="auto" w:fill="auto"/>
                  <w:vAlign w:val="center"/>
                </w:tcPr>
                <w:p w14:paraId="70A06EFB">
                  <w:pPr>
                    <w:pStyle w:val="129"/>
                    <w:widowControl w:val="0"/>
                    <w:autoSpaceDE/>
                    <w:autoSpaceDN/>
                    <w:rPr>
                      <w:rFonts w:hint="default" w:ascii="Times New Roman" w:hAnsi="Times New Roman" w:cs="Times New Roman"/>
                      <w:color w:val="FF0000"/>
                      <w:sz w:val="18"/>
                      <w:szCs w:val="18"/>
                      <w:lang w:eastAsia="en-US"/>
                    </w:rPr>
                  </w:pPr>
                  <w:r>
                    <w:rPr>
                      <w:rFonts w:hint="default" w:ascii="Times New Roman" w:hAnsi="Times New Roman" w:cs="Times New Roman"/>
                      <w:color w:val="FF0000"/>
                      <w:sz w:val="18"/>
                      <w:szCs w:val="18"/>
                      <w:lang w:eastAsia="en-US"/>
                    </w:rPr>
                    <w:t>25.5</w:t>
                  </w:r>
                </w:p>
              </w:tc>
              <w:tc>
                <w:tcPr>
                  <w:tcW w:w="355" w:type="pct"/>
                  <w:tcBorders>
                    <w:tl2br w:val="nil"/>
                    <w:tr2bl w:val="nil"/>
                  </w:tcBorders>
                  <w:shd w:val="clear" w:color="auto" w:fill="auto"/>
                  <w:vAlign w:val="center"/>
                </w:tcPr>
                <w:p w14:paraId="55CE7F3B">
                  <w:pPr>
                    <w:pStyle w:val="129"/>
                    <w:widowControl w:val="0"/>
                    <w:autoSpaceDE/>
                    <w:autoSpaceDN/>
                    <w:rPr>
                      <w:rFonts w:hint="default" w:ascii="Times New Roman" w:hAnsi="Times New Roman" w:cs="Times New Roman"/>
                      <w:color w:val="FF0000"/>
                      <w:sz w:val="18"/>
                      <w:szCs w:val="18"/>
                      <w:lang w:eastAsia="en-US"/>
                    </w:rPr>
                  </w:pPr>
                  <w:r>
                    <w:rPr>
                      <w:rFonts w:hint="default" w:ascii="Times New Roman" w:hAnsi="Times New Roman" w:cs="Times New Roman"/>
                      <w:color w:val="FF0000"/>
                      <w:sz w:val="18"/>
                      <w:szCs w:val="18"/>
                      <w:lang w:eastAsia="en-US"/>
                    </w:rPr>
                    <w:t>21.8</w:t>
                  </w:r>
                </w:p>
              </w:tc>
              <w:tc>
                <w:tcPr>
                  <w:tcW w:w="149" w:type="pct"/>
                  <w:tcBorders>
                    <w:tl2br w:val="nil"/>
                    <w:tr2bl w:val="nil"/>
                  </w:tcBorders>
                  <w:shd w:val="clear" w:color="auto" w:fill="auto"/>
                  <w:vAlign w:val="center"/>
                </w:tcPr>
                <w:p w14:paraId="6DF3D193">
                  <w:pPr>
                    <w:pStyle w:val="129"/>
                    <w:widowControl w:val="0"/>
                    <w:autoSpaceDE/>
                    <w:autoSpaceDN/>
                    <w:rPr>
                      <w:rFonts w:hint="default" w:ascii="Times New Roman" w:hAnsi="Times New Roman" w:cs="Times New Roman"/>
                      <w:color w:val="FF0000"/>
                      <w:sz w:val="18"/>
                      <w:szCs w:val="18"/>
                      <w:lang w:eastAsia="en-US"/>
                    </w:rPr>
                  </w:pPr>
                  <w:r>
                    <w:rPr>
                      <w:rFonts w:hint="default" w:ascii="Times New Roman" w:hAnsi="Times New Roman" w:cs="Times New Roman"/>
                      <w:color w:val="FF0000"/>
                      <w:sz w:val="18"/>
                      <w:szCs w:val="18"/>
                      <w:lang w:eastAsia="en-US"/>
                    </w:rPr>
                    <w:t>1</w:t>
                  </w:r>
                </w:p>
              </w:tc>
            </w:tr>
            <w:tr w14:paraId="017CB27D">
              <w:tblPrEx>
                <w:tblBorders>
                  <w:top w:val="double" w:color="000000" w:sz="4" w:space="0"/>
                  <w:left w:val="none" w:color="auto" w:sz="0" w:space="0"/>
                  <w:bottom w:val="double" w:color="000000" w:sz="4"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101" w:hRule="atLeast"/>
              </w:trPr>
              <w:tc>
                <w:tcPr>
                  <w:tcW w:w="172" w:type="pct"/>
                  <w:vMerge w:val="continue"/>
                  <w:tcBorders>
                    <w:tl2br w:val="nil"/>
                    <w:tr2bl w:val="nil"/>
                  </w:tcBorders>
                  <w:vAlign w:val="center"/>
                </w:tcPr>
                <w:p w14:paraId="6A5101EB">
                  <w:pPr>
                    <w:pStyle w:val="129"/>
                    <w:widowControl w:val="0"/>
                    <w:autoSpaceDE/>
                    <w:autoSpaceDN/>
                    <w:rPr>
                      <w:rFonts w:hint="default" w:ascii="Times New Roman" w:hAnsi="Times New Roman" w:cs="Times New Roman"/>
                      <w:color w:val="FF0000"/>
                      <w:sz w:val="18"/>
                      <w:szCs w:val="18"/>
                      <w:lang w:eastAsia="en-US"/>
                    </w:rPr>
                  </w:pPr>
                </w:p>
              </w:tc>
              <w:tc>
                <w:tcPr>
                  <w:tcW w:w="232" w:type="pct"/>
                  <w:vMerge w:val="continue"/>
                  <w:tcBorders>
                    <w:tl2br w:val="nil"/>
                    <w:tr2bl w:val="nil"/>
                  </w:tcBorders>
                  <w:vAlign w:val="center"/>
                </w:tcPr>
                <w:p w14:paraId="40C38969">
                  <w:pPr>
                    <w:pStyle w:val="129"/>
                    <w:widowControl w:val="0"/>
                    <w:autoSpaceDE/>
                    <w:autoSpaceDN/>
                    <w:rPr>
                      <w:rFonts w:hint="default" w:ascii="Times New Roman" w:hAnsi="Times New Roman" w:cs="Times New Roman"/>
                      <w:color w:val="FF0000"/>
                      <w:sz w:val="18"/>
                      <w:szCs w:val="18"/>
                      <w:lang w:eastAsia="en-US"/>
                    </w:rPr>
                  </w:pPr>
                </w:p>
              </w:tc>
              <w:tc>
                <w:tcPr>
                  <w:tcW w:w="765" w:type="pct"/>
                  <w:tcBorders>
                    <w:tl2br w:val="nil"/>
                    <w:tr2bl w:val="nil"/>
                  </w:tcBorders>
                  <w:shd w:val="clear" w:color="auto" w:fill="auto"/>
                  <w:vAlign w:val="center"/>
                </w:tcPr>
                <w:p w14:paraId="287B5058">
                  <w:pPr>
                    <w:pStyle w:val="129"/>
                    <w:widowControl w:val="0"/>
                    <w:autoSpaceDE/>
                    <w:autoSpaceDN/>
                    <w:rPr>
                      <w:rFonts w:hint="default" w:ascii="Times New Roman" w:hAnsi="Times New Roman" w:cs="Times New Roman"/>
                      <w:color w:val="FF0000"/>
                      <w:sz w:val="18"/>
                      <w:szCs w:val="18"/>
                      <w:lang w:eastAsia="en-US"/>
                    </w:rPr>
                  </w:pPr>
                  <w:r>
                    <w:rPr>
                      <w:rFonts w:hint="default" w:ascii="Times New Roman" w:hAnsi="Times New Roman" w:cs="Times New Roman"/>
                      <w:color w:val="FF0000"/>
                      <w:sz w:val="18"/>
                      <w:szCs w:val="18"/>
                      <w:lang w:eastAsia="en-US"/>
                    </w:rPr>
                    <w:t>剪切机</w:t>
                  </w:r>
                </w:p>
              </w:tc>
              <w:tc>
                <w:tcPr>
                  <w:tcW w:w="844" w:type="pct"/>
                  <w:tcBorders>
                    <w:tl2br w:val="nil"/>
                    <w:tr2bl w:val="nil"/>
                  </w:tcBorders>
                  <w:shd w:val="clear" w:color="auto" w:fill="auto"/>
                  <w:vAlign w:val="center"/>
                </w:tcPr>
                <w:p w14:paraId="1DC61996">
                  <w:pPr>
                    <w:pStyle w:val="129"/>
                    <w:widowControl w:val="0"/>
                    <w:autoSpaceDE/>
                    <w:autoSpaceDN/>
                    <w:rPr>
                      <w:rFonts w:hint="default" w:ascii="Times New Roman" w:hAnsi="Times New Roman" w:cs="Times New Roman"/>
                      <w:color w:val="FF0000"/>
                      <w:sz w:val="18"/>
                      <w:szCs w:val="18"/>
                      <w:lang w:eastAsia="en-US"/>
                    </w:rPr>
                  </w:pPr>
                  <w:r>
                    <w:rPr>
                      <w:rFonts w:hint="default" w:ascii="Times New Roman" w:hAnsi="Times New Roman" w:cs="Times New Roman"/>
                      <w:color w:val="FF0000"/>
                      <w:sz w:val="18"/>
                      <w:szCs w:val="18"/>
                      <w:lang w:eastAsia="en-US"/>
                    </w:rPr>
                    <w:t>630W</w:t>
                  </w:r>
                </w:p>
              </w:tc>
              <w:tc>
                <w:tcPr>
                  <w:tcW w:w="365" w:type="pct"/>
                  <w:tcBorders>
                    <w:tl2br w:val="nil"/>
                    <w:tr2bl w:val="nil"/>
                  </w:tcBorders>
                  <w:shd w:val="clear" w:color="auto" w:fill="auto"/>
                  <w:vAlign w:val="center"/>
                </w:tcPr>
                <w:p w14:paraId="53D04C42">
                  <w:pPr>
                    <w:pStyle w:val="129"/>
                    <w:widowControl w:val="0"/>
                    <w:autoSpaceDE/>
                    <w:autoSpaceDN/>
                    <w:rPr>
                      <w:rFonts w:hint="default" w:ascii="Times New Roman" w:hAnsi="Times New Roman" w:cs="Times New Roman"/>
                      <w:color w:val="FF0000"/>
                      <w:sz w:val="18"/>
                      <w:szCs w:val="18"/>
                      <w:lang w:eastAsia="en-US"/>
                    </w:rPr>
                  </w:pPr>
                  <w:r>
                    <w:rPr>
                      <w:rFonts w:hint="default" w:ascii="Times New Roman" w:hAnsi="Times New Roman" w:cs="Times New Roman"/>
                      <w:color w:val="FF0000"/>
                      <w:sz w:val="18"/>
                      <w:szCs w:val="18"/>
                      <w:lang w:eastAsia="en-US"/>
                    </w:rPr>
                    <w:t>85</w:t>
                  </w:r>
                </w:p>
              </w:tc>
              <w:tc>
                <w:tcPr>
                  <w:tcW w:w="272" w:type="pct"/>
                  <w:vMerge w:val="continue"/>
                  <w:tcBorders>
                    <w:tl2br w:val="nil"/>
                    <w:tr2bl w:val="nil"/>
                  </w:tcBorders>
                  <w:shd w:val="clear" w:color="auto" w:fill="auto"/>
                  <w:vAlign w:val="center"/>
                </w:tcPr>
                <w:p w14:paraId="790A65BA">
                  <w:pPr>
                    <w:pStyle w:val="129"/>
                    <w:widowControl w:val="0"/>
                    <w:autoSpaceDE/>
                    <w:autoSpaceDN/>
                    <w:rPr>
                      <w:rFonts w:hint="default" w:ascii="Times New Roman" w:hAnsi="Times New Roman" w:cs="Times New Roman"/>
                      <w:color w:val="FF0000"/>
                      <w:sz w:val="18"/>
                      <w:szCs w:val="18"/>
                      <w:lang w:eastAsia="en-US"/>
                    </w:rPr>
                  </w:pPr>
                </w:p>
              </w:tc>
              <w:tc>
                <w:tcPr>
                  <w:tcW w:w="169" w:type="pct"/>
                  <w:tcBorders>
                    <w:tl2br w:val="nil"/>
                    <w:tr2bl w:val="nil"/>
                  </w:tcBorders>
                  <w:shd w:val="clear" w:color="auto" w:fill="auto"/>
                  <w:vAlign w:val="center"/>
                </w:tcPr>
                <w:p w14:paraId="1EED840A">
                  <w:pPr>
                    <w:pStyle w:val="129"/>
                    <w:widowControl w:val="0"/>
                    <w:autoSpaceDE/>
                    <w:autoSpaceDN/>
                    <w:rPr>
                      <w:rFonts w:hint="default" w:ascii="Times New Roman" w:hAnsi="Times New Roman" w:cs="Times New Roman"/>
                      <w:color w:val="FF0000"/>
                      <w:sz w:val="18"/>
                      <w:szCs w:val="18"/>
                      <w:lang w:eastAsia="en-US"/>
                    </w:rPr>
                  </w:pPr>
                  <w:r>
                    <w:rPr>
                      <w:rFonts w:hint="default" w:ascii="Times New Roman" w:hAnsi="Times New Roman" w:cs="Times New Roman"/>
                      <w:color w:val="FF0000"/>
                      <w:sz w:val="18"/>
                      <w:szCs w:val="18"/>
                      <w:lang w:eastAsia="en-US"/>
                    </w:rPr>
                    <w:t>13</w:t>
                  </w:r>
                </w:p>
              </w:tc>
              <w:tc>
                <w:tcPr>
                  <w:tcW w:w="199" w:type="pct"/>
                  <w:tcBorders>
                    <w:tl2br w:val="nil"/>
                    <w:tr2bl w:val="nil"/>
                  </w:tcBorders>
                  <w:shd w:val="clear" w:color="auto" w:fill="auto"/>
                  <w:vAlign w:val="center"/>
                </w:tcPr>
                <w:p w14:paraId="18EF23AA">
                  <w:pPr>
                    <w:pStyle w:val="129"/>
                    <w:widowControl w:val="0"/>
                    <w:autoSpaceDE/>
                    <w:autoSpaceDN/>
                    <w:rPr>
                      <w:rFonts w:hint="default" w:ascii="Times New Roman" w:hAnsi="Times New Roman" w:cs="Times New Roman"/>
                      <w:color w:val="FF0000"/>
                      <w:sz w:val="18"/>
                      <w:szCs w:val="18"/>
                      <w:lang w:eastAsia="en-US"/>
                    </w:rPr>
                  </w:pPr>
                  <w:r>
                    <w:rPr>
                      <w:rFonts w:hint="default" w:ascii="Times New Roman" w:hAnsi="Times New Roman" w:cs="Times New Roman"/>
                      <w:color w:val="FF0000"/>
                      <w:sz w:val="18"/>
                      <w:szCs w:val="18"/>
                      <w:lang w:eastAsia="en-US"/>
                    </w:rPr>
                    <w:t>36</w:t>
                  </w:r>
                </w:p>
              </w:tc>
              <w:tc>
                <w:tcPr>
                  <w:tcW w:w="215" w:type="pct"/>
                  <w:tcBorders>
                    <w:tl2br w:val="nil"/>
                    <w:tr2bl w:val="nil"/>
                  </w:tcBorders>
                  <w:shd w:val="clear" w:color="auto" w:fill="auto"/>
                  <w:vAlign w:val="center"/>
                </w:tcPr>
                <w:p w14:paraId="2937F4CB">
                  <w:pPr>
                    <w:pStyle w:val="129"/>
                    <w:widowControl w:val="0"/>
                    <w:autoSpaceDE/>
                    <w:autoSpaceDN/>
                    <w:rPr>
                      <w:rFonts w:hint="default" w:ascii="Times New Roman" w:hAnsi="Times New Roman" w:cs="Times New Roman"/>
                      <w:color w:val="FF0000"/>
                      <w:sz w:val="18"/>
                      <w:szCs w:val="18"/>
                      <w:lang w:eastAsia="en-US"/>
                    </w:rPr>
                  </w:pPr>
                  <w:r>
                    <w:rPr>
                      <w:rFonts w:hint="default" w:ascii="Times New Roman" w:hAnsi="Times New Roman" w:cs="Times New Roman"/>
                      <w:color w:val="FF0000"/>
                      <w:sz w:val="18"/>
                      <w:szCs w:val="18"/>
                      <w:lang w:eastAsia="en-US"/>
                    </w:rPr>
                    <w:t>1</w:t>
                  </w:r>
                </w:p>
              </w:tc>
              <w:tc>
                <w:tcPr>
                  <w:tcW w:w="330" w:type="pct"/>
                  <w:tcBorders>
                    <w:tl2br w:val="nil"/>
                    <w:tr2bl w:val="nil"/>
                  </w:tcBorders>
                  <w:shd w:val="clear" w:color="auto" w:fill="auto"/>
                  <w:vAlign w:val="center"/>
                </w:tcPr>
                <w:p w14:paraId="62B6E6E3">
                  <w:pPr>
                    <w:pStyle w:val="129"/>
                    <w:widowControl w:val="0"/>
                    <w:autoSpaceDE/>
                    <w:autoSpaceDN/>
                    <w:rPr>
                      <w:rFonts w:hint="default" w:ascii="Times New Roman" w:hAnsi="Times New Roman" w:cs="Times New Roman"/>
                      <w:color w:val="FF0000"/>
                      <w:sz w:val="18"/>
                      <w:szCs w:val="18"/>
                      <w:lang w:eastAsia="en-US"/>
                    </w:rPr>
                  </w:pPr>
                  <w:r>
                    <w:rPr>
                      <w:rFonts w:hint="default" w:ascii="Times New Roman" w:hAnsi="Times New Roman" w:cs="Times New Roman"/>
                      <w:color w:val="FF0000"/>
                      <w:sz w:val="18"/>
                      <w:szCs w:val="18"/>
                      <w:lang w:eastAsia="en-US"/>
                    </w:rPr>
                    <w:t>11</w:t>
                  </w:r>
                </w:p>
              </w:tc>
              <w:tc>
                <w:tcPr>
                  <w:tcW w:w="355" w:type="pct"/>
                  <w:tcBorders>
                    <w:tl2br w:val="nil"/>
                    <w:tr2bl w:val="nil"/>
                  </w:tcBorders>
                  <w:shd w:val="clear" w:color="auto" w:fill="auto"/>
                  <w:vAlign w:val="center"/>
                </w:tcPr>
                <w:p w14:paraId="1DC475D2">
                  <w:pPr>
                    <w:pStyle w:val="129"/>
                    <w:widowControl w:val="0"/>
                    <w:autoSpaceDE/>
                    <w:autoSpaceDN/>
                    <w:rPr>
                      <w:rFonts w:hint="default" w:ascii="Times New Roman" w:hAnsi="Times New Roman" w:cs="Times New Roman"/>
                      <w:color w:val="FF0000"/>
                      <w:sz w:val="18"/>
                      <w:szCs w:val="18"/>
                      <w:lang w:eastAsia="en-US"/>
                    </w:rPr>
                  </w:pPr>
                  <w:r>
                    <w:rPr>
                      <w:rFonts w:hint="default" w:ascii="Times New Roman" w:hAnsi="Times New Roman" w:cs="Times New Roman"/>
                      <w:color w:val="FF0000"/>
                      <w:sz w:val="18"/>
                      <w:szCs w:val="18"/>
                      <w:lang w:eastAsia="en-US"/>
                    </w:rPr>
                    <w:t>53.8</w:t>
                  </w:r>
                </w:p>
              </w:tc>
              <w:tc>
                <w:tcPr>
                  <w:tcW w:w="252" w:type="pct"/>
                  <w:vMerge w:val="continue"/>
                  <w:tcBorders>
                    <w:tl2br w:val="nil"/>
                    <w:tr2bl w:val="nil"/>
                  </w:tcBorders>
                  <w:shd w:val="clear" w:color="auto" w:fill="auto"/>
                  <w:vAlign w:val="center"/>
                </w:tcPr>
                <w:p w14:paraId="14E8CD96">
                  <w:pPr>
                    <w:pStyle w:val="129"/>
                    <w:widowControl w:val="0"/>
                    <w:autoSpaceDE/>
                    <w:autoSpaceDN/>
                    <w:rPr>
                      <w:rFonts w:hint="default" w:ascii="Times New Roman" w:hAnsi="Times New Roman" w:cs="Times New Roman"/>
                      <w:color w:val="FF0000"/>
                      <w:sz w:val="18"/>
                      <w:szCs w:val="18"/>
                      <w:lang w:eastAsia="en-US"/>
                    </w:rPr>
                  </w:pPr>
                </w:p>
              </w:tc>
              <w:tc>
                <w:tcPr>
                  <w:tcW w:w="321" w:type="pct"/>
                  <w:tcBorders>
                    <w:tl2br w:val="nil"/>
                    <w:tr2bl w:val="nil"/>
                  </w:tcBorders>
                  <w:shd w:val="clear" w:color="auto" w:fill="auto"/>
                  <w:vAlign w:val="center"/>
                </w:tcPr>
                <w:p w14:paraId="4223B43B">
                  <w:pPr>
                    <w:pStyle w:val="129"/>
                    <w:widowControl w:val="0"/>
                    <w:autoSpaceDE/>
                    <w:autoSpaceDN/>
                    <w:rPr>
                      <w:rFonts w:hint="default" w:ascii="Times New Roman" w:hAnsi="Times New Roman" w:cs="Times New Roman"/>
                      <w:color w:val="FF0000"/>
                      <w:sz w:val="18"/>
                      <w:szCs w:val="18"/>
                      <w:lang w:eastAsia="en-US"/>
                    </w:rPr>
                  </w:pPr>
                  <w:r>
                    <w:rPr>
                      <w:rFonts w:hint="default" w:ascii="Times New Roman" w:hAnsi="Times New Roman" w:cs="Times New Roman"/>
                      <w:color w:val="FF0000"/>
                      <w:sz w:val="18"/>
                      <w:szCs w:val="18"/>
                      <w:lang w:eastAsia="en-US"/>
                    </w:rPr>
                    <w:t>25.5</w:t>
                  </w:r>
                </w:p>
              </w:tc>
              <w:tc>
                <w:tcPr>
                  <w:tcW w:w="355" w:type="pct"/>
                  <w:tcBorders>
                    <w:tl2br w:val="nil"/>
                    <w:tr2bl w:val="nil"/>
                  </w:tcBorders>
                  <w:shd w:val="clear" w:color="auto" w:fill="auto"/>
                  <w:vAlign w:val="center"/>
                </w:tcPr>
                <w:p w14:paraId="6EC612DF">
                  <w:pPr>
                    <w:pStyle w:val="129"/>
                    <w:widowControl w:val="0"/>
                    <w:autoSpaceDE/>
                    <w:autoSpaceDN/>
                    <w:rPr>
                      <w:rFonts w:hint="default" w:ascii="Times New Roman" w:hAnsi="Times New Roman" w:cs="Times New Roman"/>
                      <w:color w:val="FF0000"/>
                      <w:sz w:val="18"/>
                      <w:szCs w:val="18"/>
                      <w:lang w:eastAsia="en-US"/>
                    </w:rPr>
                  </w:pPr>
                  <w:r>
                    <w:rPr>
                      <w:rFonts w:hint="default" w:ascii="Times New Roman" w:hAnsi="Times New Roman" w:cs="Times New Roman"/>
                      <w:color w:val="FF0000"/>
                      <w:sz w:val="18"/>
                      <w:szCs w:val="18"/>
                      <w:lang w:eastAsia="en-US"/>
                    </w:rPr>
                    <w:t>28.3</w:t>
                  </w:r>
                </w:p>
              </w:tc>
              <w:tc>
                <w:tcPr>
                  <w:tcW w:w="149" w:type="pct"/>
                  <w:tcBorders>
                    <w:tl2br w:val="nil"/>
                    <w:tr2bl w:val="nil"/>
                  </w:tcBorders>
                  <w:shd w:val="clear" w:color="auto" w:fill="auto"/>
                  <w:vAlign w:val="center"/>
                </w:tcPr>
                <w:p w14:paraId="3FCEF43E">
                  <w:pPr>
                    <w:pStyle w:val="129"/>
                    <w:widowControl w:val="0"/>
                    <w:autoSpaceDE/>
                    <w:autoSpaceDN/>
                    <w:rPr>
                      <w:rFonts w:hint="default" w:ascii="Times New Roman" w:hAnsi="Times New Roman" w:cs="Times New Roman"/>
                      <w:color w:val="FF0000"/>
                      <w:sz w:val="18"/>
                      <w:szCs w:val="18"/>
                      <w:lang w:eastAsia="en-US"/>
                    </w:rPr>
                  </w:pPr>
                  <w:r>
                    <w:rPr>
                      <w:rFonts w:hint="default" w:ascii="Times New Roman" w:hAnsi="Times New Roman" w:cs="Times New Roman"/>
                      <w:color w:val="FF0000"/>
                      <w:sz w:val="18"/>
                      <w:szCs w:val="18"/>
                      <w:lang w:eastAsia="en-US"/>
                    </w:rPr>
                    <w:t>1</w:t>
                  </w:r>
                </w:p>
              </w:tc>
            </w:tr>
            <w:tr w14:paraId="0E3AA0EC">
              <w:tblPrEx>
                <w:tblBorders>
                  <w:top w:val="double" w:color="000000" w:sz="4" w:space="0"/>
                  <w:left w:val="none" w:color="auto" w:sz="0" w:space="0"/>
                  <w:bottom w:val="double" w:color="000000" w:sz="4"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101" w:hRule="atLeast"/>
              </w:trPr>
              <w:tc>
                <w:tcPr>
                  <w:tcW w:w="172" w:type="pct"/>
                  <w:vMerge w:val="continue"/>
                  <w:tcBorders>
                    <w:tl2br w:val="nil"/>
                    <w:tr2bl w:val="nil"/>
                  </w:tcBorders>
                  <w:vAlign w:val="center"/>
                </w:tcPr>
                <w:p w14:paraId="27D80F39">
                  <w:pPr>
                    <w:pStyle w:val="129"/>
                    <w:widowControl w:val="0"/>
                    <w:autoSpaceDE/>
                    <w:autoSpaceDN/>
                    <w:rPr>
                      <w:rFonts w:hint="default" w:ascii="Times New Roman" w:hAnsi="Times New Roman" w:cs="Times New Roman"/>
                      <w:color w:val="FF0000"/>
                      <w:sz w:val="18"/>
                      <w:szCs w:val="18"/>
                      <w:lang w:eastAsia="en-US"/>
                    </w:rPr>
                  </w:pPr>
                </w:p>
              </w:tc>
              <w:tc>
                <w:tcPr>
                  <w:tcW w:w="232" w:type="pct"/>
                  <w:vMerge w:val="continue"/>
                  <w:tcBorders>
                    <w:tl2br w:val="nil"/>
                    <w:tr2bl w:val="nil"/>
                  </w:tcBorders>
                  <w:vAlign w:val="center"/>
                </w:tcPr>
                <w:p w14:paraId="26CCBED3">
                  <w:pPr>
                    <w:pStyle w:val="129"/>
                    <w:widowControl w:val="0"/>
                    <w:autoSpaceDE/>
                    <w:autoSpaceDN/>
                    <w:rPr>
                      <w:rFonts w:hint="default" w:ascii="Times New Roman" w:hAnsi="Times New Roman" w:cs="Times New Roman"/>
                      <w:color w:val="FF0000"/>
                      <w:sz w:val="18"/>
                      <w:szCs w:val="18"/>
                      <w:lang w:eastAsia="en-US"/>
                    </w:rPr>
                  </w:pPr>
                </w:p>
              </w:tc>
              <w:tc>
                <w:tcPr>
                  <w:tcW w:w="765" w:type="pct"/>
                  <w:tcBorders>
                    <w:tl2br w:val="nil"/>
                    <w:tr2bl w:val="nil"/>
                  </w:tcBorders>
                  <w:shd w:val="clear" w:color="auto" w:fill="auto"/>
                  <w:vAlign w:val="center"/>
                </w:tcPr>
                <w:p w14:paraId="17C15DB7">
                  <w:pPr>
                    <w:pStyle w:val="129"/>
                    <w:widowControl w:val="0"/>
                    <w:autoSpaceDE/>
                    <w:autoSpaceDN/>
                    <w:rPr>
                      <w:rFonts w:hint="default" w:ascii="Times New Roman" w:hAnsi="Times New Roman" w:cs="Times New Roman"/>
                      <w:color w:val="FF0000"/>
                      <w:sz w:val="18"/>
                      <w:szCs w:val="18"/>
                      <w:lang w:eastAsia="en-US"/>
                    </w:rPr>
                  </w:pPr>
                  <w:r>
                    <w:rPr>
                      <w:rFonts w:hint="default" w:ascii="Times New Roman" w:hAnsi="Times New Roman" w:cs="Times New Roman"/>
                      <w:color w:val="FF0000"/>
                      <w:sz w:val="18"/>
                      <w:szCs w:val="18"/>
                      <w:lang w:eastAsia="en-US"/>
                    </w:rPr>
                    <w:t>破碎机</w:t>
                  </w:r>
                </w:p>
              </w:tc>
              <w:tc>
                <w:tcPr>
                  <w:tcW w:w="844" w:type="pct"/>
                  <w:tcBorders>
                    <w:tl2br w:val="nil"/>
                    <w:tr2bl w:val="nil"/>
                  </w:tcBorders>
                  <w:shd w:val="clear" w:color="auto" w:fill="auto"/>
                  <w:vAlign w:val="center"/>
                </w:tcPr>
                <w:p w14:paraId="7034E206">
                  <w:pPr>
                    <w:pStyle w:val="129"/>
                    <w:widowControl w:val="0"/>
                    <w:autoSpaceDE/>
                    <w:autoSpaceDN/>
                    <w:rPr>
                      <w:rFonts w:hint="default" w:ascii="Times New Roman" w:hAnsi="Times New Roman" w:cs="Times New Roman"/>
                      <w:color w:val="FF0000"/>
                      <w:sz w:val="18"/>
                      <w:szCs w:val="18"/>
                      <w:lang w:eastAsia="en-US"/>
                    </w:rPr>
                  </w:pPr>
                  <w:r>
                    <w:rPr>
                      <w:rFonts w:hint="default" w:ascii="Times New Roman" w:hAnsi="Times New Roman" w:cs="Times New Roman"/>
                      <w:color w:val="FF0000"/>
                      <w:sz w:val="18"/>
                      <w:szCs w:val="18"/>
                      <w:lang w:eastAsia="en-US"/>
                    </w:rPr>
                    <w:t>60TBD</w:t>
                  </w:r>
                </w:p>
              </w:tc>
              <w:tc>
                <w:tcPr>
                  <w:tcW w:w="365" w:type="pct"/>
                  <w:tcBorders>
                    <w:tl2br w:val="nil"/>
                    <w:tr2bl w:val="nil"/>
                  </w:tcBorders>
                  <w:shd w:val="clear" w:color="auto" w:fill="auto"/>
                  <w:vAlign w:val="center"/>
                </w:tcPr>
                <w:p w14:paraId="37CFECA4">
                  <w:pPr>
                    <w:pStyle w:val="129"/>
                    <w:widowControl w:val="0"/>
                    <w:autoSpaceDE/>
                    <w:autoSpaceDN/>
                    <w:rPr>
                      <w:rFonts w:hint="default" w:ascii="Times New Roman" w:hAnsi="Times New Roman" w:cs="Times New Roman"/>
                      <w:color w:val="FF0000"/>
                      <w:sz w:val="18"/>
                      <w:szCs w:val="18"/>
                      <w:lang w:eastAsia="en-US"/>
                    </w:rPr>
                  </w:pPr>
                  <w:r>
                    <w:rPr>
                      <w:rFonts w:hint="default" w:ascii="Times New Roman" w:hAnsi="Times New Roman" w:cs="Times New Roman"/>
                      <w:color w:val="FF0000"/>
                      <w:sz w:val="18"/>
                      <w:szCs w:val="18"/>
                      <w:lang w:eastAsia="en-US"/>
                    </w:rPr>
                    <w:t>95</w:t>
                  </w:r>
                </w:p>
              </w:tc>
              <w:tc>
                <w:tcPr>
                  <w:tcW w:w="272" w:type="pct"/>
                  <w:vMerge w:val="continue"/>
                  <w:tcBorders>
                    <w:tl2br w:val="nil"/>
                    <w:tr2bl w:val="nil"/>
                  </w:tcBorders>
                  <w:shd w:val="clear" w:color="auto" w:fill="auto"/>
                  <w:vAlign w:val="center"/>
                </w:tcPr>
                <w:p w14:paraId="3EB61363">
                  <w:pPr>
                    <w:pStyle w:val="129"/>
                    <w:widowControl w:val="0"/>
                    <w:autoSpaceDE/>
                    <w:autoSpaceDN/>
                    <w:rPr>
                      <w:rFonts w:hint="default" w:ascii="Times New Roman" w:hAnsi="Times New Roman" w:cs="Times New Roman"/>
                      <w:color w:val="FF0000"/>
                      <w:sz w:val="18"/>
                      <w:szCs w:val="18"/>
                      <w:lang w:eastAsia="en-US"/>
                    </w:rPr>
                  </w:pPr>
                </w:p>
              </w:tc>
              <w:tc>
                <w:tcPr>
                  <w:tcW w:w="169" w:type="pct"/>
                  <w:tcBorders>
                    <w:tl2br w:val="nil"/>
                    <w:tr2bl w:val="nil"/>
                  </w:tcBorders>
                  <w:shd w:val="clear" w:color="auto" w:fill="auto"/>
                  <w:vAlign w:val="center"/>
                </w:tcPr>
                <w:p w14:paraId="6A12A590">
                  <w:pPr>
                    <w:pStyle w:val="129"/>
                    <w:widowControl w:val="0"/>
                    <w:autoSpaceDE/>
                    <w:autoSpaceDN/>
                    <w:rPr>
                      <w:rFonts w:hint="default" w:ascii="Times New Roman" w:hAnsi="Times New Roman" w:cs="Times New Roman"/>
                      <w:color w:val="FF0000"/>
                      <w:sz w:val="18"/>
                      <w:szCs w:val="18"/>
                      <w:lang w:eastAsia="en-US"/>
                    </w:rPr>
                  </w:pPr>
                  <w:r>
                    <w:rPr>
                      <w:rFonts w:hint="default" w:ascii="Times New Roman" w:hAnsi="Times New Roman" w:cs="Times New Roman"/>
                      <w:color w:val="FF0000"/>
                      <w:sz w:val="18"/>
                      <w:szCs w:val="18"/>
                      <w:lang w:eastAsia="en-US"/>
                    </w:rPr>
                    <w:t>13</w:t>
                  </w:r>
                </w:p>
              </w:tc>
              <w:tc>
                <w:tcPr>
                  <w:tcW w:w="199" w:type="pct"/>
                  <w:tcBorders>
                    <w:tl2br w:val="nil"/>
                    <w:tr2bl w:val="nil"/>
                  </w:tcBorders>
                  <w:shd w:val="clear" w:color="auto" w:fill="auto"/>
                  <w:vAlign w:val="center"/>
                </w:tcPr>
                <w:p w14:paraId="68667507">
                  <w:pPr>
                    <w:pStyle w:val="129"/>
                    <w:widowControl w:val="0"/>
                    <w:autoSpaceDE/>
                    <w:autoSpaceDN/>
                    <w:rPr>
                      <w:rFonts w:hint="default" w:ascii="Times New Roman" w:hAnsi="Times New Roman" w:cs="Times New Roman"/>
                      <w:color w:val="FF0000"/>
                      <w:sz w:val="18"/>
                      <w:szCs w:val="18"/>
                      <w:lang w:eastAsia="en-US"/>
                    </w:rPr>
                  </w:pPr>
                  <w:r>
                    <w:rPr>
                      <w:rFonts w:hint="default" w:ascii="Times New Roman" w:hAnsi="Times New Roman" w:cs="Times New Roman"/>
                      <w:color w:val="FF0000"/>
                      <w:sz w:val="18"/>
                      <w:szCs w:val="18"/>
                      <w:lang w:eastAsia="en-US"/>
                    </w:rPr>
                    <w:t>27</w:t>
                  </w:r>
                </w:p>
              </w:tc>
              <w:tc>
                <w:tcPr>
                  <w:tcW w:w="215" w:type="pct"/>
                  <w:tcBorders>
                    <w:tl2br w:val="nil"/>
                    <w:tr2bl w:val="nil"/>
                  </w:tcBorders>
                  <w:shd w:val="clear" w:color="auto" w:fill="auto"/>
                  <w:vAlign w:val="center"/>
                </w:tcPr>
                <w:p w14:paraId="3DA48714">
                  <w:pPr>
                    <w:pStyle w:val="129"/>
                    <w:widowControl w:val="0"/>
                    <w:autoSpaceDE/>
                    <w:autoSpaceDN/>
                    <w:rPr>
                      <w:rFonts w:hint="default" w:ascii="Times New Roman" w:hAnsi="Times New Roman" w:cs="Times New Roman"/>
                      <w:color w:val="FF0000"/>
                      <w:sz w:val="18"/>
                      <w:szCs w:val="18"/>
                      <w:lang w:eastAsia="en-US"/>
                    </w:rPr>
                  </w:pPr>
                  <w:r>
                    <w:rPr>
                      <w:rFonts w:hint="default" w:ascii="Times New Roman" w:hAnsi="Times New Roman" w:cs="Times New Roman"/>
                      <w:color w:val="FF0000"/>
                      <w:sz w:val="18"/>
                      <w:szCs w:val="18"/>
                      <w:lang w:eastAsia="en-US"/>
                    </w:rPr>
                    <w:t>1</w:t>
                  </w:r>
                </w:p>
              </w:tc>
              <w:tc>
                <w:tcPr>
                  <w:tcW w:w="330" w:type="pct"/>
                  <w:tcBorders>
                    <w:tl2br w:val="nil"/>
                    <w:tr2bl w:val="nil"/>
                  </w:tcBorders>
                  <w:shd w:val="clear" w:color="auto" w:fill="auto"/>
                  <w:vAlign w:val="center"/>
                </w:tcPr>
                <w:p w14:paraId="6BDED591">
                  <w:pPr>
                    <w:pStyle w:val="129"/>
                    <w:widowControl w:val="0"/>
                    <w:autoSpaceDE/>
                    <w:autoSpaceDN/>
                    <w:rPr>
                      <w:rFonts w:hint="default" w:ascii="Times New Roman" w:hAnsi="Times New Roman" w:cs="Times New Roman"/>
                      <w:color w:val="FF0000"/>
                      <w:sz w:val="18"/>
                      <w:szCs w:val="18"/>
                      <w:lang w:eastAsia="en-US"/>
                    </w:rPr>
                  </w:pPr>
                  <w:r>
                    <w:rPr>
                      <w:rFonts w:hint="default" w:ascii="Times New Roman" w:hAnsi="Times New Roman" w:cs="Times New Roman"/>
                      <w:color w:val="FF0000"/>
                      <w:sz w:val="18"/>
                      <w:szCs w:val="18"/>
                      <w:lang w:eastAsia="en-US"/>
                    </w:rPr>
                    <w:t>11</w:t>
                  </w:r>
                </w:p>
              </w:tc>
              <w:tc>
                <w:tcPr>
                  <w:tcW w:w="355" w:type="pct"/>
                  <w:tcBorders>
                    <w:tl2br w:val="nil"/>
                    <w:tr2bl w:val="nil"/>
                  </w:tcBorders>
                  <w:shd w:val="clear" w:color="auto" w:fill="auto"/>
                  <w:vAlign w:val="center"/>
                </w:tcPr>
                <w:p w14:paraId="5EB40A91">
                  <w:pPr>
                    <w:pStyle w:val="129"/>
                    <w:widowControl w:val="0"/>
                    <w:autoSpaceDE/>
                    <w:autoSpaceDN/>
                    <w:rPr>
                      <w:rFonts w:hint="default" w:ascii="Times New Roman" w:hAnsi="Times New Roman" w:cs="Times New Roman"/>
                      <w:color w:val="FF0000"/>
                      <w:sz w:val="18"/>
                      <w:szCs w:val="18"/>
                      <w:lang w:eastAsia="en-US"/>
                    </w:rPr>
                  </w:pPr>
                  <w:r>
                    <w:rPr>
                      <w:rFonts w:hint="default" w:ascii="Times New Roman" w:hAnsi="Times New Roman" w:cs="Times New Roman"/>
                      <w:color w:val="FF0000"/>
                      <w:sz w:val="18"/>
                      <w:szCs w:val="18"/>
                      <w:lang w:eastAsia="en-US"/>
                    </w:rPr>
                    <w:t>63.8</w:t>
                  </w:r>
                </w:p>
              </w:tc>
              <w:tc>
                <w:tcPr>
                  <w:tcW w:w="252" w:type="pct"/>
                  <w:vMerge w:val="continue"/>
                  <w:tcBorders>
                    <w:tl2br w:val="nil"/>
                    <w:tr2bl w:val="nil"/>
                  </w:tcBorders>
                  <w:shd w:val="clear" w:color="auto" w:fill="auto"/>
                  <w:vAlign w:val="center"/>
                </w:tcPr>
                <w:p w14:paraId="3C065649">
                  <w:pPr>
                    <w:pStyle w:val="129"/>
                    <w:widowControl w:val="0"/>
                    <w:autoSpaceDE/>
                    <w:autoSpaceDN/>
                    <w:rPr>
                      <w:rFonts w:hint="default" w:ascii="Times New Roman" w:hAnsi="Times New Roman" w:cs="Times New Roman"/>
                      <w:color w:val="FF0000"/>
                      <w:sz w:val="18"/>
                      <w:szCs w:val="18"/>
                      <w:lang w:eastAsia="en-US"/>
                    </w:rPr>
                  </w:pPr>
                </w:p>
              </w:tc>
              <w:tc>
                <w:tcPr>
                  <w:tcW w:w="321" w:type="pct"/>
                  <w:tcBorders>
                    <w:tl2br w:val="nil"/>
                    <w:tr2bl w:val="nil"/>
                  </w:tcBorders>
                  <w:shd w:val="clear" w:color="auto" w:fill="auto"/>
                  <w:vAlign w:val="center"/>
                </w:tcPr>
                <w:p w14:paraId="5A2900CA">
                  <w:pPr>
                    <w:pStyle w:val="129"/>
                    <w:widowControl w:val="0"/>
                    <w:autoSpaceDE/>
                    <w:autoSpaceDN/>
                    <w:rPr>
                      <w:rFonts w:hint="default" w:ascii="Times New Roman" w:hAnsi="Times New Roman" w:cs="Times New Roman"/>
                      <w:color w:val="FF0000"/>
                      <w:sz w:val="18"/>
                      <w:szCs w:val="18"/>
                      <w:lang w:eastAsia="en-US"/>
                    </w:rPr>
                  </w:pPr>
                  <w:r>
                    <w:rPr>
                      <w:rFonts w:hint="default" w:ascii="Times New Roman" w:hAnsi="Times New Roman" w:cs="Times New Roman"/>
                      <w:color w:val="FF0000"/>
                      <w:sz w:val="18"/>
                      <w:szCs w:val="18"/>
                      <w:lang w:eastAsia="en-US"/>
                    </w:rPr>
                    <w:t>25.5</w:t>
                  </w:r>
                </w:p>
              </w:tc>
              <w:tc>
                <w:tcPr>
                  <w:tcW w:w="355" w:type="pct"/>
                  <w:tcBorders>
                    <w:tl2br w:val="nil"/>
                    <w:tr2bl w:val="nil"/>
                  </w:tcBorders>
                  <w:shd w:val="clear" w:color="auto" w:fill="auto"/>
                  <w:vAlign w:val="center"/>
                </w:tcPr>
                <w:p w14:paraId="72103027">
                  <w:pPr>
                    <w:pStyle w:val="129"/>
                    <w:widowControl w:val="0"/>
                    <w:autoSpaceDE/>
                    <w:autoSpaceDN/>
                    <w:rPr>
                      <w:rFonts w:hint="default" w:ascii="Times New Roman" w:hAnsi="Times New Roman" w:cs="Times New Roman"/>
                      <w:color w:val="FF0000"/>
                      <w:sz w:val="18"/>
                      <w:szCs w:val="18"/>
                      <w:lang w:eastAsia="en-US"/>
                    </w:rPr>
                  </w:pPr>
                  <w:r>
                    <w:rPr>
                      <w:rFonts w:hint="default" w:ascii="Times New Roman" w:hAnsi="Times New Roman" w:cs="Times New Roman"/>
                      <w:color w:val="FF0000"/>
                      <w:sz w:val="18"/>
                      <w:szCs w:val="18"/>
                      <w:lang w:eastAsia="en-US"/>
                    </w:rPr>
                    <w:t>38.3</w:t>
                  </w:r>
                </w:p>
              </w:tc>
              <w:tc>
                <w:tcPr>
                  <w:tcW w:w="149" w:type="pct"/>
                  <w:tcBorders>
                    <w:tl2br w:val="nil"/>
                    <w:tr2bl w:val="nil"/>
                  </w:tcBorders>
                  <w:shd w:val="clear" w:color="auto" w:fill="auto"/>
                  <w:vAlign w:val="center"/>
                </w:tcPr>
                <w:p w14:paraId="72144226">
                  <w:pPr>
                    <w:pStyle w:val="129"/>
                    <w:widowControl w:val="0"/>
                    <w:autoSpaceDE/>
                    <w:autoSpaceDN/>
                    <w:rPr>
                      <w:rFonts w:hint="default" w:ascii="Times New Roman" w:hAnsi="Times New Roman" w:cs="Times New Roman"/>
                      <w:color w:val="FF0000"/>
                      <w:sz w:val="18"/>
                      <w:szCs w:val="18"/>
                      <w:lang w:eastAsia="en-US"/>
                    </w:rPr>
                  </w:pPr>
                  <w:r>
                    <w:rPr>
                      <w:rFonts w:hint="default" w:ascii="Times New Roman" w:hAnsi="Times New Roman" w:cs="Times New Roman"/>
                      <w:color w:val="FF0000"/>
                      <w:sz w:val="18"/>
                      <w:szCs w:val="18"/>
                      <w:lang w:eastAsia="en-US"/>
                    </w:rPr>
                    <w:t>1</w:t>
                  </w:r>
                </w:p>
              </w:tc>
            </w:tr>
            <w:tr w14:paraId="61599CCD">
              <w:tblPrEx>
                <w:tblBorders>
                  <w:top w:val="double" w:color="000000" w:sz="4" w:space="0"/>
                  <w:left w:val="none" w:color="auto" w:sz="0" w:space="0"/>
                  <w:bottom w:val="double" w:color="000000" w:sz="4"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101" w:hRule="atLeast"/>
              </w:trPr>
              <w:tc>
                <w:tcPr>
                  <w:tcW w:w="291" w:type="dxa"/>
                </w:tcPr>
                <w:p w14:paraId="7A3C2D9C">
                  <w:pPr>
                    <w:pStyle w:val="129"/>
                    <w:widowControl w:val="0"/>
                    <w:autoSpaceDE/>
                    <w:autoSpaceDN/>
                    <w:rPr>
                      <w:rFonts w:hint="default" w:ascii="Times New Roman" w:hAnsi="Times New Roman" w:cs="Times New Roman"/>
                      <w:color w:val="FF0000"/>
                      <w:sz w:val="18"/>
                      <w:szCs w:val="18"/>
                      <w:lang w:eastAsia="en-US"/>
                    </w:rPr>
                  </w:pPr>
                </w:p>
              </w:tc>
              <w:tc>
                <w:tcPr>
                  <w:tcW w:w="232" w:type="pct"/>
                  <w:vMerge w:val="continue"/>
                </w:tcPr>
                <w:p w14:paraId="71AEBC7E">
                  <w:pPr>
                    <w:pStyle w:val="129"/>
                    <w:widowControl w:val="0"/>
                    <w:autoSpaceDE/>
                    <w:autoSpaceDN/>
                    <w:rPr>
                      <w:rFonts w:hint="default" w:ascii="Times New Roman" w:hAnsi="Times New Roman" w:cs="Times New Roman"/>
                      <w:color w:val="FF0000"/>
                      <w:sz w:val="18"/>
                      <w:szCs w:val="18"/>
                      <w:lang w:eastAsia="en-US"/>
                    </w:rPr>
                  </w:pPr>
                </w:p>
              </w:tc>
              <w:tc>
                <w:tcPr>
                  <w:tcW w:w="765" w:type="pct"/>
                  <w:shd w:val="clear" w:color="auto" w:fill="auto"/>
                  <w:vAlign w:val="center"/>
                </w:tcPr>
                <w:p w14:paraId="578233AB">
                  <w:pPr>
                    <w:pStyle w:val="129"/>
                    <w:widowControl w:val="0"/>
                    <w:autoSpaceDE/>
                    <w:autoSpaceDN/>
                    <w:rPr>
                      <w:rFonts w:hint="default" w:ascii="Times New Roman" w:hAnsi="Times New Roman" w:cs="Times New Roman"/>
                      <w:color w:val="FF0000"/>
                      <w:sz w:val="18"/>
                      <w:szCs w:val="18"/>
                      <w:lang w:eastAsia="en-US"/>
                    </w:rPr>
                  </w:pPr>
                  <w:r>
                    <w:rPr>
                      <w:rFonts w:hint="default" w:ascii="Times New Roman" w:hAnsi="Times New Roman" w:cs="Times New Roman"/>
                      <w:color w:val="FF0000"/>
                      <w:sz w:val="18"/>
                      <w:szCs w:val="18"/>
                      <w:lang w:eastAsia="en-US"/>
                    </w:rPr>
                    <w:t>预碎机</w:t>
                  </w:r>
                </w:p>
              </w:tc>
              <w:tc>
                <w:tcPr>
                  <w:tcW w:w="844" w:type="pct"/>
                  <w:vAlign w:val="center"/>
                </w:tcPr>
                <w:p w14:paraId="390517BD">
                  <w:pPr>
                    <w:pStyle w:val="129"/>
                    <w:widowControl w:val="0"/>
                    <w:autoSpaceDE/>
                    <w:autoSpaceDN/>
                    <w:rPr>
                      <w:rFonts w:hint="default" w:ascii="Times New Roman" w:hAnsi="Times New Roman" w:cs="Times New Roman"/>
                      <w:color w:val="FF0000"/>
                      <w:sz w:val="18"/>
                      <w:szCs w:val="18"/>
                      <w:lang w:eastAsia="en-US"/>
                    </w:rPr>
                  </w:pPr>
                  <w:r>
                    <w:rPr>
                      <w:rFonts w:hint="default" w:ascii="Times New Roman" w:hAnsi="Times New Roman" w:cs="Times New Roman"/>
                      <w:color w:val="FF0000"/>
                      <w:sz w:val="18"/>
                      <w:szCs w:val="18"/>
                      <w:lang w:eastAsia="en-US"/>
                    </w:rPr>
                    <w:t>/</w:t>
                  </w:r>
                </w:p>
              </w:tc>
              <w:tc>
                <w:tcPr>
                  <w:tcW w:w="365" w:type="pct"/>
                  <w:vAlign w:val="center"/>
                </w:tcPr>
                <w:p w14:paraId="136C87BA">
                  <w:pPr>
                    <w:pStyle w:val="129"/>
                    <w:widowControl w:val="0"/>
                    <w:autoSpaceDE/>
                    <w:autoSpaceDN/>
                    <w:rPr>
                      <w:rFonts w:hint="default" w:ascii="Times New Roman" w:hAnsi="Times New Roman" w:cs="Times New Roman"/>
                      <w:color w:val="FF0000"/>
                      <w:sz w:val="18"/>
                      <w:szCs w:val="18"/>
                      <w:lang w:eastAsia="en-US"/>
                    </w:rPr>
                  </w:pPr>
                  <w:r>
                    <w:rPr>
                      <w:rFonts w:hint="default" w:ascii="Times New Roman" w:hAnsi="Times New Roman" w:cs="Times New Roman"/>
                      <w:color w:val="FF0000"/>
                      <w:sz w:val="18"/>
                      <w:szCs w:val="18"/>
                      <w:lang w:eastAsia="en-US"/>
                    </w:rPr>
                    <w:t>95</w:t>
                  </w:r>
                </w:p>
              </w:tc>
              <w:tc>
                <w:tcPr>
                  <w:tcW w:w="272" w:type="pct"/>
                  <w:vMerge w:val="continue"/>
                </w:tcPr>
                <w:p w14:paraId="459FAAC9">
                  <w:pPr>
                    <w:pStyle w:val="129"/>
                    <w:widowControl w:val="0"/>
                    <w:autoSpaceDE/>
                    <w:autoSpaceDN/>
                    <w:rPr>
                      <w:rFonts w:hint="default" w:ascii="Times New Roman" w:hAnsi="Times New Roman" w:cs="Times New Roman"/>
                      <w:color w:val="FF0000"/>
                      <w:sz w:val="18"/>
                      <w:szCs w:val="18"/>
                      <w:lang w:eastAsia="en-US"/>
                    </w:rPr>
                  </w:pPr>
                </w:p>
              </w:tc>
              <w:tc>
                <w:tcPr>
                  <w:tcW w:w="169" w:type="pct"/>
                </w:tcPr>
                <w:p w14:paraId="1967AE0C">
                  <w:pPr>
                    <w:pStyle w:val="129"/>
                    <w:widowControl w:val="0"/>
                    <w:autoSpaceDE/>
                    <w:autoSpaceDN/>
                    <w:rPr>
                      <w:rFonts w:hint="default" w:ascii="Times New Roman" w:hAnsi="Times New Roman" w:cs="Times New Roman"/>
                      <w:color w:val="FF0000"/>
                      <w:sz w:val="18"/>
                      <w:szCs w:val="18"/>
                      <w:lang w:eastAsia="en-US"/>
                    </w:rPr>
                  </w:pPr>
                  <w:r>
                    <w:rPr>
                      <w:rFonts w:hint="default" w:ascii="Times New Roman" w:hAnsi="Times New Roman" w:cs="Times New Roman"/>
                      <w:color w:val="FF0000"/>
                      <w:sz w:val="18"/>
                      <w:szCs w:val="18"/>
                      <w:lang w:eastAsia="en-US"/>
                    </w:rPr>
                    <w:t>13</w:t>
                  </w:r>
                </w:p>
              </w:tc>
              <w:tc>
                <w:tcPr>
                  <w:tcW w:w="325" w:type="dxa"/>
                </w:tcPr>
                <w:p w14:paraId="398CD1B6">
                  <w:pPr>
                    <w:pStyle w:val="129"/>
                    <w:widowControl w:val="0"/>
                    <w:autoSpaceDE/>
                    <w:autoSpaceDN/>
                    <w:rPr>
                      <w:rFonts w:hint="default" w:ascii="Times New Roman" w:hAnsi="Times New Roman" w:cs="Times New Roman"/>
                      <w:color w:val="FF0000"/>
                      <w:sz w:val="18"/>
                      <w:szCs w:val="18"/>
                      <w:lang w:eastAsia="en-US"/>
                    </w:rPr>
                  </w:pPr>
                  <w:r>
                    <w:rPr>
                      <w:rFonts w:hint="default" w:ascii="Times New Roman" w:hAnsi="Times New Roman" w:cs="Times New Roman"/>
                      <w:color w:val="FF0000"/>
                      <w:sz w:val="18"/>
                      <w:szCs w:val="18"/>
                      <w:lang w:eastAsia="en-US"/>
                    </w:rPr>
                    <w:t>18</w:t>
                  </w:r>
                </w:p>
              </w:tc>
              <w:tc>
                <w:tcPr>
                  <w:tcW w:w="352" w:type="dxa"/>
                </w:tcPr>
                <w:p w14:paraId="6A55F44D">
                  <w:pPr>
                    <w:pStyle w:val="129"/>
                    <w:widowControl w:val="0"/>
                    <w:autoSpaceDE/>
                    <w:autoSpaceDN/>
                    <w:rPr>
                      <w:rFonts w:hint="default" w:ascii="Times New Roman" w:hAnsi="Times New Roman" w:cs="Times New Roman"/>
                      <w:color w:val="FF0000"/>
                      <w:sz w:val="18"/>
                      <w:szCs w:val="18"/>
                      <w:lang w:eastAsia="en-US"/>
                    </w:rPr>
                  </w:pPr>
                  <w:r>
                    <w:rPr>
                      <w:rFonts w:hint="default" w:ascii="Times New Roman" w:hAnsi="Times New Roman" w:cs="Times New Roman"/>
                      <w:color w:val="FF0000"/>
                      <w:sz w:val="18"/>
                      <w:szCs w:val="18"/>
                      <w:lang w:eastAsia="en-US"/>
                    </w:rPr>
                    <w:t>1</w:t>
                  </w:r>
                </w:p>
              </w:tc>
              <w:tc>
                <w:tcPr>
                  <w:tcW w:w="543" w:type="dxa"/>
                </w:tcPr>
                <w:p w14:paraId="7E8A2F38">
                  <w:pPr>
                    <w:pStyle w:val="129"/>
                    <w:widowControl w:val="0"/>
                    <w:autoSpaceDE/>
                    <w:autoSpaceDN/>
                    <w:rPr>
                      <w:rFonts w:hint="default" w:ascii="Times New Roman" w:hAnsi="Times New Roman" w:cs="Times New Roman"/>
                      <w:color w:val="FF0000"/>
                      <w:sz w:val="18"/>
                      <w:szCs w:val="18"/>
                      <w:lang w:eastAsia="en-US"/>
                    </w:rPr>
                  </w:pPr>
                  <w:r>
                    <w:rPr>
                      <w:rFonts w:hint="default" w:ascii="Times New Roman" w:hAnsi="Times New Roman" w:cs="Times New Roman"/>
                      <w:color w:val="FF0000"/>
                      <w:sz w:val="18"/>
                      <w:szCs w:val="18"/>
                      <w:lang w:eastAsia="en-US"/>
                    </w:rPr>
                    <w:t>7</w:t>
                  </w:r>
                </w:p>
              </w:tc>
              <w:tc>
                <w:tcPr>
                  <w:tcW w:w="355" w:type="pct"/>
                  <w:vAlign w:val="center"/>
                </w:tcPr>
                <w:p w14:paraId="16428436">
                  <w:pPr>
                    <w:pStyle w:val="129"/>
                    <w:widowControl w:val="0"/>
                    <w:autoSpaceDE/>
                    <w:autoSpaceDN/>
                    <w:rPr>
                      <w:rFonts w:hint="default" w:ascii="Times New Roman" w:hAnsi="Times New Roman" w:cs="Times New Roman"/>
                      <w:color w:val="FF0000"/>
                      <w:sz w:val="18"/>
                      <w:szCs w:val="18"/>
                      <w:lang w:eastAsia="en-US"/>
                    </w:rPr>
                  </w:pPr>
                  <w:r>
                    <w:rPr>
                      <w:rFonts w:hint="default" w:ascii="Times New Roman" w:hAnsi="Times New Roman" w:cs="Times New Roman"/>
                      <w:color w:val="FF0000"/>
                      <w:sz w:val="18"/>
                      <w:szCs w:val="18"/>
                      <w:lang w:eastAsia="en-US"/>
                    </w:rPr>
                    <w:t>60.1</w:t>
                  </w:r>
                </w:p>
              </w:tc>
              <w:tc>
                <w:tcPr>
                  <w:tcW w:w="414" w:type="dxa"/>
                </w:tcPr>
                <w:p w14:paraId="10D6D1AE">
                  <w:pPr>
                    <w:pStyle w:val="129"/>
                    <w:widowControl w:val="0"/>
                    <w:autoSpaceDE/>
                    <w:autoSpaceDN/>
                    <w:rPr>
                      <w:rFonts w:hint="default" w:ascii="Times New Roman" w:hAnsi="Times New Roman" w:cs="Times New Roman"/>
                      <w:color w:val="FF0000"/>
                      <w:sz w:val="18"/>
                      <w:szCs w:val="18"/>
                      <w:lang w:eastAsia="en-US"/>
                    </w:rPr>
                  </w:pPr>
                </w:p>
              </w:tc>
              <w:tc>
                <w:tcPr>
                  <w:tcW w:w="544" w:type="dxa"/>
                </w:tcPr>
                <w:p w14:paraId="1C36AD52">
                  <w:pPr>
                    <w:pStyle w:val="129"/>
                    <w:widowControl w:val="0"/>
                    <w:autoSpaceDE/>
                    <w:autoSpaceDN/>
                    <w:rPr>
                      <w:rFonts w:hint="default" w:ascii="Times New Roman" w:hAnsi="Times New Roman" w:cs="Times New Roman"/>
                      <w:color w:val="FF0000"/>
                      <w:sz w:val="18"/>
                      <w:szCs w:val="18"/>
                      <w:lang w:eastAsia="en-US"/>
                    </w:rPr>
                  </w:pPr>
                  <w:r>
                    <w:rPr>
                      <w:rFonts w:hint="default" w:ascii="Times New Roman" w:hAnsi="Times New Roman" w:cs="Times New Roman"/>
                      <w:color w:val="FF0000"/>
                      <w:sz w:val="18"/>
                      <w:szCs w:val="18"/>
                      <w:lang w:eastAsia="en-US"/>
                    </w:rPr>
                    <w:t>25.5</w:t>
                  </w:r>
                </w:p>
              </w:tc>
              <w:tc>
                <w:tcPr>
                  <w:tcW w:w="602" w:type="dxa"/>
                  <w:shd w:val="clear" w:color="auto" w:fill="auto"/>
                  <w:vAlign w:val="center"/>
                </w:tcPr>
                <w:p w14:paraId="78A3E399">
                  <w:pPr>
                    <w:pStyle w:val="129"/>
                    <w:widowControl w:val="0"/>
                    <w:autoSpaceDE/>
                    <w:autoSpaceDN/>
                    <w:rPr>
                      <w:rFonts w:hint="default" w:ascii="Times New Roman" w:hAnsi="Times New Roman" w:cs="Times New Roman"/>
                      <w:color w:val="FF0000"/>
                      <w:sz w:val="18"/>
                      <w:szCs w:val="18"/>
                      <w:lang w:eastAsia="en-US"/>
                    </w:rPr>
                  </w:pPr>
                  <w:r>
                    <w:rPr>
                      <w:rFonts w:hint="default" w:ascii="Times New Roman" w:hAnsi="Times New Roman" w:cs="Times New Roman"/>
                      <w:color w:val="FF0000"/>
                      <w:sz w:val="18"/>
                      <w:szCs w:val="18"/>
                      <w:lang w:eastAsia="en-US"/>
                    </w:rPr>
                    <w:t>34.6</w:t>
                  </w:r>
                </w:p>
              </w:tc>
              <w:tc>
                <w:tcPr>
                  <w:tcW w:w="243" w:type="dxa"/>
                </w:tcPr>
                <w:p w14:paraId="425F695B">
                  <w:pPr>
                    <w:pStyle w:val="129"/>
                    <w:widowControl w:val="0"/>
                    <w:autoSpaceDE/>
                    <w:autoSpaceDN/>
                    <w:rPr>
                      <w:rFonts w:hint="eastAsia" w:ascii="Times New Roman" w:hAnsi="Times New Roman" w:eastAsia="宋体" w:cs="Times New Roman"/>
                      <w:color w:val="FF0000"/>
                      <w:sz w:val="18"/>
                      <w:szCs w:val="18"/>
                      <w:lang w:val="en-US" w:eastAsia="zh-CN"/>
                    </w:rPr>
                  </w:pPr>
                  <w:r>
                    <w:rPr>
                      <w:rFonts w:hint="eastAsia" w:cs="Times New Roman"/>
                      <w:color w:val="FF0000"/>
                      <w:sz w:val="18"/>
                      <w:szCs w:val="18"/>
                      <w:lang w:val="en-US" w:eastAsia="zh-CN"/>
                    </w:rPr>
                    <w:t>1</w:t>
                  </w:r>
                </w:p>
              </w:tc>
            </w:tr>
            <w:tr w14:paraId="46BC1149">
              <w:tblPrEx>
                <w:tblBorders>
                  <w:top w:val="double" w:color="000000" w:sz="4" w:space="0"/>
                  <w:left w:val="none" w:color="auto" w:sz="0" w:space="0"/>
                  <w:bottom w:val="double" w:color="000000" w:sz="4"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101" w:hRule="atLeast"/>
              </w:trPr>
              <w:tc>
                <w:tcPr>
                  <w:tcW w:w="291" w:type="dxa"/>
                </w:tcPr>
                <w:p w14:paraId="45E14F05">
                  <w:pPr>
                    <w:pStyle w:val="129"/>
                    <w:widowControl w:val="0"/>
                    <w:autoSpaceDE/>
                    <w:autoSpaceDN/>
                    <w:rPr>
                      <w:rFonts w:hint="default" w:ascii="Times New Roman" w:hAnsi="Times New Roman" w:cs="Times New Roman"/>
                      <w:color w:val="FF0000"/>
                      <w:sz w:val="18"/>
                      <w:szCs w:val="18"/>
                      <w:lang w:eastAsia="en-US"/>
                    </w:rPr>
                  </w:pPr>
                </w:p>
              </w:tc>
              <w:tc>
                <w:tcPr>
                  <w:tcW w:w="232" w:type="pct"/>
                  <w:vMerge w:val="continue"/>
                </w:tcPr>
                <w:p w14:paraId="6FA157E4">
                  <w:pPr>
                    <w:pStyle w:val="129"/>
                    <w:widowControl w:val="0"/>
                    <w:autoSpaceDE/>
                    <w:autoSpaceDN/>
                    <w:rPr>
                      <w:rFonts w:hint="default" w:ascii="Times New Roman" w:hAnsi="Times New Roman" w:cs="Times New Roman"/>
                      <w:color w:val="FF0000"/>
                      <w:sz w:val="18"/>
                      <w:szCs w:val="18"/>
                      <w:lang w:eastAsia="en-US"/>
                    </w:rPr>
                  </w:pPr>
                </w:p>
              </w:tc>
              <w:tc>
                <w:tcPr>
                  <w:tcW w:w="765" w:type="pct"/>
                  <w:shd w:val="clear" w:color="auto" w:fill="auto"/>
                  <w:vAlign w:val="center"/>
                </w:tcPr>
                <w:p w14:paraId="1BB5C74F">
                  <w:pPr>
                    <w:pStyle w:val="129"/>
                    <w:widowControl w:val="0"/>
                    <w:autoSpaceDE/>
                    <w:autoSpaceDN/>
                    <w:rPr>
                      <w:rFonts w:hint="default" w:ascii="Times New Roman" w:hAnsi="Times New Roman" w:cs="Times New Roman"/>
                      <w:color w:val="FF0000"/>
                      <w:sz w:val="18"/>
                      <w:szCs w:val="18"/>
                      <w:lang w:eastAsia="en-US"/>
                    </w:rPr>
                  </w:pPr>
                  <w:r>
                    <w:rPr>
                      <w:rFonts w:hint="default" w:ascii="Times New Roman" w:hAnsi="Times New Roman" w:cs="Times New Roman"/>
                      <w:color w:val="FF0000"/>
                      <w:sz w:val="18"/>
                      <w:szCs w:val="18"/>
                      <w:lang w:eastAsia="en-US"/>
                    </w:rPr>
                    <w:t>金属分选机</w:t>
                  </w:r>
                </w:p>
              </w:tc>
              <w:tc>
                <w:tcPr>
                  <w:tcW w:w="844" w:type="pct"/>
                  <w:vAlign w:val="center"/>
                </w:tcPr>
                <w:p w14:paraId="27ABD062">
                  <w:pPr>
                    <w:pStyle w:val="129"/>
                    <w:widowControl w:val="0"/>
                    <w:autoSpaceDE/>
                    <w:autoSpaceDN/>
                    <w:rPr>
                      <w:rFonts w:hint="default" w:ascii="Times New Roman" w:hAnsi="Times New Roman" w:cs="Times New Roman"/>
                      <w:color w:val="FF0000"/>
                      <w:sz w:val="18"/>
                      <w:szCs w:val="18"/>
                      <w:lang w:eastAsia="en-US"/>
                    </w:rPr>
                  </w:pPr>
                  <w:r>
                    <w:rPr>
                      <w:rFonts w:hint="default" w:ascii="Times New Roman" w:hAnsi="Times New Roman" w:cs="Times New Roman"/>
                      <w:color w:val="FF0000"/>
                      <w:sz w:val="18"/>
                      <w:szCs w:val="18"/>
                      <w:lang w:eastAsia="en-US"/>
                    </w:rPr>
                    <w:t>/</w:t>
                  </w:r>
                </w:p>
              </w:tc>
              <w:tc>
                <w:tcPr>
                  <w:tcW w:w="365" w:type="pct"/>
                  <w:vAlign w:val="center"/>
                </w:tcPr>
                <w:p w14:paraId="0565F94D">
                  <w:pPr>
                    <w:pStyle w:val="129"/>
                    <w:widowControl w:val="0"/>
                    <w:autoSpaceDE/>
                    <w:autoSpaceDN/>
                    <w:rPr>
                      <w:rFonts w:hint="default" w:ascii="Times New Roman" w:hAnsi="Times New Roman" w:cs="Times New Roman"/>
                      <w:color w:val="FF0000"/>
                      <w:sz w:val="18"/>
                      <w:szCs w:val="18"/>
                      <w:lang w:eastAsia="en-US"/>
                    </w:rPr>
                  </w:pPr>
                  <w:r>
                    <w:rPr>
                      <w:rFonts w:hint="default" w:ascii="Times New Roman" w:hAnsi="Times New Roman" w:cs="Times New Roman"/>
                      <w:color w:val="FF0000"/>
                      <w:sz w:val="18"/>
                      <w:szCs w:val="18"/>
                      <w:lang w:eastAsia="en-US"/>
                    </w:rPr>
                    <w:t>80</w:t>
                  </w:r>
                </w:p>
              </w:tc>
              <w:tc>
                <w:tcPr>
                  <w:tcW w:w="272" w:type="pct"/>
                  <w:vMerge w:val="continue"/>
                </w:tcPr>
                <w:p w14:paraId="3419AD34">
                  <w:pPr>
                    <w:pStyle w:val="129"/>
                    <w:widowControl w:val="0"/>
                    <w:autoSpaceDE/>
                    <w:autoSpaceDN/>
                    <w:rPr>
                      <w:rFonts w:hint="default" w:ascii="Times New Roman" w:hAnsi="Times New Roman" w:cs="Times New Roman"/>
                      <w:color w:val="FF0000"/>
                      <w:sz w:val="18"/>
                      <w:szCs w:val="18"/>
                      <w:lang w:eastAsia="en-US"/>
                    </w:rPr>
                  </w:pPr>
                </w:p>
              </w:tc>
              <w:tc>
                <w:tcPr>
                  <w:tcW w:w="169" w:type="pct"/>
                </w:tcPr>
                <w:p w14:paraId="58168080">
                  <w:pPr>
                    <w:pStyle w:val="129"/>
                    <w:widowControl w:val="0"/>
                    <w:autoSpaceDE/>
                    <w:autoSpaceDN/>
                    <w:rPr>
                      <w:rFonts w:hint="default" w:ascii="Times New Roman" w:hAnsi="Times New Roman" w:cs="Times New Roman"/>
                      <w:color w:val="FF0000"/>
                      <w:sz w:val="18"/>
                      <w:szCs w:val="18"/>
                      <w:lang w:eastAsia="en-US"/>
                    </w:rPr>
                  </w:pPr>
                  <w:r>
                    <w:rPr>
                      <w:rFonts w:hint="default" w:ascii="Times New Roman" w:hAnsi="Times New Roman" w:cs="Times New Roman"/>
                      <w:color w:val="FF0000"/>
                      <w:sz w:val="18"/>
                      <w:szCs w:val="18"/>
                      <w:lang w:eastAsia="en-US"/>
                    </w:rPr>
                    <w:t>13</w:t>
                  </w:r>
                </w:p>
              </w:tc>
              <w:tc>
                <w:tcPr>
                  <w:tcW w:w="325" w:type="dxa"/>
                </w:tcPr>
                <w:p w14:paraId="724C9BD1">
                  <w:pPr>
                    <w:pStyle w:val="129"/>
                    <w:widowControl w:val="0"/>
                    <w:autoSpaceDE/>
                    <w:autoSpaceDN/>
                    <w:rPr>
                      <w:rFonts w:hint="default" w:ascii="Times New Roman" w:hAnsi="Times New Roman" w:cs="Times New Roman"/>
                      <w:color w:val="FF0000"/>
                      <w:sz w:val="18"/>
                      <w:szCs w:val="18"/>
                      <w:lang w:eastAsia="en-US"/>
                    </w:rPr>
                  </w:pPr>
                  <w:r>
                    <w:rPr>
                      <w:rFonts w:hint="default" w:ascii="Times New Roman" w:hAnsi="Times New Roman" w:cs="Times New Roman"/>
                      <w:color w:val="FF0000"/>
                      <w:sz w:val="18"/>
                      <w:szCs w:val="18"/>
                      <w:lang w:eastAsia="en-US"/>
                    </w:rPr>
                    <w:t>43</w:t>
                  </w:r>
                </w:p>
              </w:tc>
              <w:tc>
                <w:tcPr>
                  <w:tcW w:w="352" w:type="dxa"/>
                </w:tcPr>
                <w:p w14:paraId="0002A1A8">
                  <w:pPr>
                    <w:pStyle w:val="129"/>
                    <w:widowControl w:val="0"/>
                    <w:autoSpaceDE/>
                    <w:autoSpaceDN/>
                    <w:rPr>
                      <w:rFonts w:hint="default" w:ascii="Times New Roman" w:hAnsi="Times New Roman" w:cs="Times New Roman"/>
                      <w:color w:val="FF0000"/>
                      <w:sz w:val="18"/>
                      <w:szCs w:val="18"/>
                      <w:lang w:eastAsia="en-US"/>
                    </w:rPr>
                  </w:pPr>
                  <w:r>
                    <w:rPr>
                      <w:rFonts w:hint="default" w:ascii="Times New Roman" w:hAnsi="Times New Roman" w:cs="Times New Roman"/>
                      <w:color w:val="FF0000"/>
                      <w:sz w:val="18"/>
                      <w:szCs w:val="18"/>
                      <w:lang w:eastAsia="en-US"/>
                    </w:rPr>
                    <w:t>1</w:t>
                  </w:r>
                </w:p>
              </w:tc>
              <w:tc>
                <w:tcPr>
                  <w:tcW w:w="543" w:type="dxa"/>
                </w:tcPr>
                <w:p w14:paraId="00005FE9">
                  <w:pPr>
                    <w:pStyle w:val="129"/>
                    <w:widowControl w:val="0"/>
                    <w:autoSpaceDE/>
                    <w:autoSpaceDN/>
                    <w:rPr>
                      <w:rFonts w:hint="default" w:ascii="Times New Roman" w:hAnsi="Times New Roman" w:cs="Times New Roman"/>
                      <w:color w:val="FF0000"/>
                      <w:sz w:val="18"/>
                      <w:szCs w:val="18"/>
                      <w:lang w:eastAsia="en-US"/>
                    </w:rPr>
                  </w:pPr>
                  <w:r>
                    <w:rPr>
                      <w:rFonts w:hint="default" w:ascii="Times New Roman" w:hAnsi="Times New Roman" w:cs="Times New Roman"/>
                      <w:color w:val="FF0000"/>
                      <w:sz w:val="18"/>
                      <w:szCs w:val="18"/>
                      <w:lang w:eastAsia="en-US"/>
                    </w:rPr>
                    <w:t>5</w:t>
                  </w:r>
                </w:p>
              </w:tc>
              <w:tc>
                <w:tcPr>
                  <w:tcW w:w="355" w:type="pct"/>
                  <w:vAlign w:val="center"/>
                </w:tcPr>
                <w:p w14:paraId="296C11C3">
                  <w:pPr>
                    <w:pStyle w:val="129"/>
                    <w:widowControl w:val="0"/>
                    <w:autoSpaceDE/>
                    <w:autoSpaceDN/>
                    <w:rPr>
                      <w:rFonts w:hint="default" w:ascii="Times New Roman" w:hAnsi="Times New Roman" w:cs="Times New Roman"/>
                      <w:color w:val="FF0000"/>
                      <w:sz w:val="18"/>
                      <w:szCs w:val="18"/>
                      <w:lang w:eastAsia="en-US"/>
                    </w:rPr>
                  </w:pPr>
                  <w:r>
                    <w:rPr>
                      <w:rFonts w:hint="default" w:ascii="Times New Roman" w:hAnsi="Times New Roman" w:cs="Times New Roman"/>
                      <w:color w:val="FF0000"/>
                      <w:sz w:val="18"/>
                      <w:szCs w:val="18"/>
                      <w:lang w:eastAsia="en-US"/>
                    </w:rPr>
                    <w:t>55</w:t>
                  </w:r>
                </w:p>
              </w:tc>
              <w:tc>
                <w:tcPr>
                  <w:tcW w:w="414" w:type="dxa"/>
                </w:tcPr>
                <w:p w14:paraId="31F23C48">
                  <w:pPr>
                    <w:pStyle w:val="129"/>
                    <w:widowControl w:val="0"/>
                    <w:autoSpaceDE/>
                    <w:autoSpaceDN/>
                    <w:rPr>
                      <w:rFonts w:hint="default" w:ascii="Times New Roman" w:hAnsi="Times New Roman" w:cs="Times New Roman"/>
                      <w:color w:val="FF0000"/>
                      <w:sz w:val="18"/>
                      <w:szCs w:val="18"/>
                      <w:lang w:eastAsia="en-US"/>
                    </w:rPr>
                  </w:pPr>
                </w:p>
              </w:tc>
              <w:tc>
                <w:tcPr>
                  <w:tcW w:w="544" w:type="dxa"/>
                </w:tcPr>
                <w:p w14:paraId="34FF664B">
                  <w:pPr>
                    <w:pStyle w:val="129"/>
                    <w:widowControl w:val="0"/>
                    <w:autoSpaceDE/>
                    <w:autoSpaceDN/>
                    <w:rPr>
                      <w:rFonts w:hint="default" w:ascii="Times New Roman" w:hAnsi="Times New Roman" w:cs="Times New Roman"/>
                      <w:color w:val="FF0000"/>
                      <w:sz w:val="18"/>
                      <w:szCs w:val="18"/>
                      <w:lang w:eastAsia="en-US"/>
                    </w:rPr>
                  </w:pPr>
                  <w:r>
                    <w:rPr>
                      <w:rFonts w:hint="default" w:ascii="Times New Roman" w:hAnsi="Times New Roman" w:cs="Times New Roman"/>
                      <w:color w:val="FF0000"/>
                      <w:sz w:val="18"/>
                      <w:szCs w:val="18"/>
                      <w:lang w:eastAsia="en-US"/>
                    </w:rPr>
                    <w:t>25.5</w:t>
                  </w:r>
                </w:p>
              </w:tc>
              <w:tc>
                <w:tcPr>
                  <w:tcW w:w="602" w:type="dxa"/>
                  <w:shd w:val="clear" w:color="auto" w:fill="auto"/>
                  <w:vAlign w:val="center"/>
                </w:tcPr>
                <w:p w14:paraId="45041C0E">
                  <w:pPr>
                    <w:pStyle w:val="129"/>
                    <w:widowControl w:val="0"/>
                    <w:autoSpaceDE/>
                    <w:autoSpaceDN/>
                    <w:rPr>
                      <w:rFonts w:hint="default" w:ascii="Times New Roman" w:hAnsi="Times New Roman" w:cs="Times New Roman"/>
                      <w:color w:val="FF0000"/>
                      <w:sz w:val="18"/>
                      <w:szCs w:val="18"/>
                      <w:lang w:eastAsia="en-US"/>
                    </w:rPr>
                  </w:pPr>
                  <w:r>
                    <w:rPr>
                      <w:rFonts w:hint="default" w:ascii="Times New Roman" w:hAnsi="Times New Roman" w:cs="Times New Roman"/>
                      <w:color w:val="FF0000"/>
                      <w:sz w:val="18"/>
                      <w:szCs w:val="18"/>
                      <w:lang w:eastAsia="en-US"/>
                    </w:rPr>
                    <w:t>29.5</w:t>
                  </w:r>
                </w:p>
              </w:tc>
              <w:tc>
                <w:tcPr>
                  <w:tcW w:w="243" w:type="dxa"/>
                </w:tcPr>
                <w:p w14:paraId="49B52E3F">
                  <w:pPr>
                    <w:pStyle w:val="129"/>
                    <w:widowControl w:val="0"/>
                    <w:autoSpaceDE/>
                    <w:autoSpaceDN/>
                    <w:rPr>
                      <w:rFonts w:hint="eastAsia" w:ascii="Times New Roman" w:hAnsi="Times New Roman" w:eastAsia="宋体" w:cs="Times New Roman"/>
                      <w:color w:val="FF0000"/>
                      <w:sz w:val="18"/>
                      <w:szCs w:val="18"/>
                      <w:lang w:val="en-US" w:eastAsia="zh-CN"/>
                    </w:rPr>
                  </w:pPr>
                  <w:r>
                    <w:rPr>
                      <w:rFonts w:hint="eastAsia" w:cs="Times New Roman"/>
                      <w:color w:val="FF0000"/>
                      <w:sz w:val="18"/>
                      <w:szCs w:val="18"/>
                      <w:lang w:val="en-US" w:eastAsia="zh-CN"/>
                    </w:rPr>
                    <w:t>1</w:t>
                  </w:r>
                </w:p>
              </w:tc>
            </w:tr>
          </w:tbl>
          <w:p w14:paraId="37EFF4A9">
            <w:pPr>
              <w:spacing w:line="360" w:lineRule="auto"/>
              <w:jc w:val="left"/>
              <w:rPr>
                <w:rFonts w:hint="default" w:ascii="Times New Roman" w:hAnsi="Times New Roman" w:cs="Times New Roman"/>
                <w:bCs/>
                <w:iCs/>
                <w:szCs w:val="21"/>
              </w:rPr>
            </w:pPr>
            <w:r>
              <w:rPr>
                <w:rFonts w:hint="default" w:ascii="Times New Roman" w:hAnsi="Times New Roman" w:cs="Times New Roman"/>
                <w:bCs/>
                <w:iCs/>
                <w:szCs w:val="21"/>
              </w:rPr>
              <w:t>注：表中坐标以厂界左下角为坐标原点，正东向为X轴正方向，正北向为Y轴正方向。</w:t>
            </w:r>
          </w:p>
          <w:p w14:paraId="0B89DAC1">
            <w:pPr>
              <w:spacing w:line="360" w:lineRule="auto"/>
              <w:ind w:firstLine="480" w:firstLineChars="200"/>
              <w:jc w:val="left"/>
              <w:rPr>
                <w:rFonts w:hint="default" w:ascii="Times New Roman" w:hAnsi="Times New Roman" w:cs="Times New Roman"/>
                <w:bCs/>
                <w:sz w:val="24"/>
              </w:rPr>
            </w:pPr>
            <w:r>
              <w:rPr>
                <w:rFonts w:hint="default" w:ascii="Times New Roman" w:hAnsi="Times New Roman" w:cs="Times New Roman"/>
                <w:bCs/>
                <w:sz w:val="24"/>
              </w:rPr>
              <w:t>预测模式：</w:t>
            </w:r>
          </w:p>
          <w:p w14:paraId="4299CC0B">
            <w:pPr>
              <w:spacing w:line="360" w:lineRule="auto"/>
              <w:ind w:left="-17" w:leftChars="-8" w:firstLine="403"/>
              <w:jc w:val="left"/>
              <w:rPr>
                <w:rFonts w:hint="default" w:ascii="Times New Roman" w:hAnsi="Times New Roman" w:cs="Times New Roman"/>
                <w:bCs/>
                <w:sz w:val="24"/>
              </w:rPr>
            </w:pPr>
            <w:r>
              <w:rPr>
                <w:rFonts w:hint="default" w:ascii="Times New Roman" w:hAnsi="Times New Roman" w:cs="Times New Roman"/>
                <w:bCs/>
                <w:sz w:val="24"/>
              </w:rPr>
              <w:t>室内声源等效室外声源的计算方法：</w:t>
            </w:r>
          </w:p>
          <w:p w14:paraId="2135A91A">
            <w:pPr>
              <w:spacing w:line="360" w:lineRule="auto"/>
              <w:ind w:left="-17" w:leftChars="-8" w:firstLine="403"/>
              <w:jc w:val="center"/>
              <w:rPr>
                <w:rFonts w:hint="default" w:ascii="Times New Roman" w:hAnsi="Times New Roman" w:cs="Times New Roman"/>
                <w:bCs/>
                <w:sz w:val="24"/>
              </w:rPr>
            </w:pPr>
            <w:r>
              <w:rPr>
                <w:rFonts w:hint="default" w:ascii="Times New Roman" w:hAnsi="Times New Roman" w:cs="Times New Roman"/>
                <w:bCs/>
                <w:sz w:val="24"/>
              </w:rPr>
              <w:drawing>
                <wp:inline distT="0" distB="0" distL="114300" distR="114300">
                  <wp:extent cx="1751330" cy="424815"/>
                  <wp:effectExtent l="0" t="0" r="1270" b="13335"/>
                  <wp:docPr id="19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图片 4"/>
                          <pic:cNvPicPr>
                            <a:picLocks noChangeAspect="1"/>
                          </pic:cNvPicPr>
                        </pic:nvPicPr>
                        <pic:blipFill>
                          <a:blip r:embed="rId34"/>
                          <a:stretch>
                            <a:fillRect/>
                          </a:stretch>
                        </pic:blipFill>
                        <pic:spPr>
                          <a:xfrm>
                            <a:off x="0" y="0"/>
                            <a:ext cx="1751330" cy="424815"/>
                          </a:xfrm>
                          <a:prstGeom prst="rect">
                            <a:avLst/>
                          </a:prstGeom>
                          <a:noFill/>
                          <a:ln>
                            <a:noFill/>
                          </a:ln>
                        </pic:spPr>
                      </pic:pic>
                    </a:graphicData>
                  </a:graphic>
                </wp:inline>
              </w:drawing>
            </w:r>
          </w:p>
          <w:p w14:paraId="22A4FB87">
            <w:pPr>
              <w:spacing w:line="360" w:lineRule="auto"/>
              <w:jc w:val="left"/>
              <w:rPr>
                <w:rFonts w:hint="default" w:ascii="Times New Roman" w:hAnsi="Times New Roman" w:cs="Times New Roman"/>
                <w:bCs/>
                <w:sz w:val="24"/>
              </w:rPr>
            </w:pPr>
            <w:r>
              <w:rPr>
                <w:rFonts w:hint="default" w:ascii="Times New Roman" w:hAnsi="Times New Roman" w:cs="Times New Roman"/>
                <w:bCs/>
                <w:sz w:val="24"/>
              </w:rPr>
              <w:t>式中：LDA001——某个室内声源在靠近围护结构处的声压级，dB；</w:t>
            </w:r>
          </w:p>
          <w:p w14:paraId="2E521C8C">
            <w:pPr>
              <w:spacing w:line="360" w:lineRule="auto"/>
              <w:ind w:firstLine="720" w:firstLineChars="300"/>
              <w:jc w:val="left"/>
              <w:rPr>
                <w:rFonts w:hint="default" w:ascii="Times New Roman" w:hAnsi="Times New Roman" w:cs="Times New Roman"/>
                <w:bCs/>
                <w:iCs/>
                <w:sz w:val="24"/>
              </w:rPr>
            </w:pPr>
            <w:r>
              <w:rPr>
                <w:rFonts w:hint="default" w:ascii="Times New Roman" w:hAnsi="Times New Roman" w:cs="Times New Roman"/>
                <w:bCs/>
                <w:iCs/>
                <w:sz w:val="24"/>
              </w:rPr>
              <w:t>Lw——某个声源的声功率级，dB；</w:t>
            </w:r>
          </w:p>
          <w:p w14:paraId="1F1DEAAC">
            <w:pPr>
              <w:spacing w:line="360" w:lineRule="auto"/>
              <w:ind w:firstLine="720" w:firstLineChars="300"/>
              <w:jc w:val="left"/>
              <w:rPr>
                <w:rFonts w:hint="default" w:ascii="Times New Roman" w:hAnsi="Times New Roman" w:cs="Times New Roman"/>
                <w:bCs/>
                <w:iCs/>
                <w:sz w:val="24"/>
              </w:rPr>
            </w:pPr>
            <w:r>
              <w:rPr>
                <w:rFonts w:hint="default" w:ascii="Times New Roman" w:hAnsi="Times New Roman" w:cs="Times New Roman"/>
                <w:bCs/>
                <w:iCs/>
                <w:sz w:val="24"/>
              </w:rPr>
              <w:t>r——室内某个声源与靠近围护结构处的距离，m；</w:t>
            </w:r>
          </w:p>
          <w:p w14:paraId="59C08AB8">
            <w:pPr>
              <w:spacing w:line="360" w:lineRule="auto"/>
              <w:ind w:firstLine="720" w:firstLineChars="300"/>
              <w:jc w:val="left"/>
              <w:rPr>
                <w:rFonts w:hint="default" w:ascii="Times New Roman" w:hAnsi="Times New Roman" w:cs="Times New Roman"/>
                <w:bCs/>
                <w:iCs/>
                <w:sz w:val="24"/>
              </w:rPr>
            </w:pPr>
            <w:r>
              <w:rPr>
                <w:rFonts w:hint="default" w:ascii="Times New Roman" w:hAnsi="Times New Roman" w:cs="Times New Roman"/>
                <w:bCs/>
                <w:iCs/>
                <w:sz w:val="24"/>
              </w:rPr>
              <w:t>Q——方向性因子；通常指无指向性声源，当声源放在房间中心是Q=1；当放在一面墙的中心时，Q=2；当放在两面墙的夹角处时，Q=4；当放在三面墙的夹角处时，Q=8。</w:t>
            </w:r>
          </w:p>
          <w:p w14:paraId="4A96A490">
            <w:pPr>
              <w:spacing w:line="360" w:lineRule="auto"/>
              <w:ind w:firstLine="720" w:firstLineChars="300"/>
              <w:jc w:val="left"/>
              <w:rPr>
                <w:rFonts w:hint="default" w:ascii="Times New Roman" w:hAnsi="Times New Roman" w:cs="Times New Roman"/>
                <w:bCs/>
                <w:iCs/>
                <w:sz w:val="24"/>
              </w:rPr>
            </w:pPr>
            <w:r>
              <w:rPr>
                <w:rFonts w:hint="default" w:ascii="Times New Roman" w:hAnsi="Times New Roman" w:cs="Times New Roman"/>
                <w:bCs/>
                <w:iCs/>
                <w:sz w:val="24"/>
              </w:rPr>
              <w:t>R——房间常数，按下式计算：</w:t>
            </w:r>
          </w:p>
          <w:p w14:paraId="1033FB7C">
            <w:pPr>
              <w:spacing w:line="360" w:lineRule="auto"/>
              <w:ind w:firstLine="720" w:firstLineChars="300"/>
              <w:jc w:val="center"/>
              <w:rPr>
                <w:rFonts w:hint="default" w:ascii="Times New Roman" w:hAnsi="Times New Roman" w:cs="Times New Roman"/>
                <w:bCs/>
                <w:iCs/>
                <w:sz w:val="24"/>
              </w:rPr>
            </w:pPr>
            <w:r>
              <w:rPr>
                <w:rFonts w:hint="default" w:ascii="Times New Roman" w:hAnsi="Times New Roman" w:cs="Times New Roman"/>
                <w:bCs/>
                <w:iCs/>
                <w:sz w:val="24"/>
              </w:rPr>
              <w:drawing>
                <wp:inline distT="0" distB="0" distL="114300" distR="114300">
                  <wp:extent cx="629285" cy="798195"/>
                  <wp:effectExtent l="0" t="0" r="18415" b="1905"/>
                  <wp:docPr id="179"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图片 5"/>
                          <pic:cNvPicPr>
                            <a:picLocks noChangeAspect="1"/>
                          </pic:cNvPicPr>
                        </pic:nvPicPr>
                        <pic:blipFill>
                          <a:blip r:embed="rId35"/>
                          <a:stretch>
                            <a:fillRect/>
                          </a:stretch>
                        </pic:blipFill>
                        <pic:spPr>
                          <a:xfrm>
                            <a:off x="0" y="0"/>
                            <a:ext cx="629285" cy="798195"/>
                          </a:xfrm>
                          <a:prstGeom prst="rect">
                            <a:avLst/>
                          </a:prstGeom>
                          <a:noFill/>
                          <a:ln>
                            <a:noFill/>
                          </a:ln>
                        </pic:spPr>
                      </pic:pic>
                    </a:graphicData>
                  </a:graphic>
                </wp:inline>
              </w:drawing>
            </w:r>
          </w:p>
          <w:p w14:paraId="35438F5A">
            <w:pPr>
              <w:spacing w:line="360" w:lineRule="auto"/>
              <w:jc w:val="left"/>
              <w:rPr>
                <w:rFonts w:hint="default" w:ascii="Times New Roman" w:hAnsi="Times New Roman" w:cs="Times New Roman"/>
                <w:bCs/>
                <w:iCs/>
                <w:sz w:val="24"/>
              </w:rPr>
            </w:pPr>
            <w:r>
              <w:rPr>
                <w:rFonts w:hint="default" w:ascii="Times New Roman" w:hAnsi="Times New Roman" w:cs="Times New Roman"/>
                <w:bCs/>
                <w:iCs/>
                <w:sz w:val="24"/>
              </w:rPr>
              <w:t>式中：S——房间的总表面积，m</w:t>
            </w:r>
            <w:r>
              <w:rPr>
                <w:rFonts w:hint="default" w:ascii="Times New Roman" w:hAnsi="Times New Roman" w:cs="Times New Roman"/>
                <w:bCs/>
                <w:iCs/>
                <w:sz w:val="24"/>
                <w:vertAlign w:val="superscript"/>
              </w:rPr>
              <w:t>2</w:t>
            </w:r>
            <w:r>
              <w:rPr>
                <w:rFonts w:hint="default" w:ascii="Times New Roman" w:hAnsi="Times New Roman" w:cs="Times New Roman"/>
                <w:bCs/>
                <w:iCs/>
                <w:sz w:val="24"/>
              </w:rPr>
              <w:t>；</w:t>
            </w:r>
          </w:p>
          <w:p w14:paraId="7BDF3839">
            <w:pPr>
              <w:spacing w:line="360" w:lineRule="auto"/>
              <w:ind w:firstLine="720" w:firstLineChars="300"/>
              <w:jc w:val="left"/>
              <w:rPr>
                <w:rFonts w:hint="default" w:ascii="Times New Roman" w:hAnsi="Times New Roman" w:cs="Times New Roman"/>
                <w:bCs/>
                <w:iCs/>
                <w:sz w:val="24"/>
              </w:rPr>
            </w:pPr>
            <w:r>
              <w:rPr>
                <w:rFonts w:hint="default" w:ascii="Times New Roman" w:hAnsi="Times New Roman" w:cs="Times New Roman"/>
                <w:bCs/>
                <w:iCs/>
                <w:sz w:val="24"/>
              </w:rPr>
              <w:t>α——平均吸声系数，取0.1。</w:t>
            </w:r>
          </w:p>
          <w:p w14:paraId="3D7CDC51">
            <w:pPr>
              <w:spacing w:line="360" w:lineRule="auto"/>
              <w:ind w:firstLine="720" w:firstLineChars="300"/>
              <w:jc w:val="left"/>
              <w:rPr>
                <w:rFonts w:hint="default" w:ascii="Times New Roman" w:hAnsi="Times New Roman" w:cs="Times New Roman"/>
                <w:bCs/>
                <w:iCs/>
                <w:sz w:val="24"/>
              </w:rPr>
            </w:pPr>
            <w:r>
              <w:rPr>
                <w:rFonts w:hint="default" w:ascii="Times New Roman" w:hAnsi="Times New Roman" w:cs="Times New Roman"/>
                <w:bCs/>
                <w:iCs/>
                <w:sz w:val="24"/>
              </w:rPr>
              <w:t>室内所有声源在靠近围护结构处的产生的i倍频带叠加声压级：</w:t>
            </w:r>
          </w:p>
          <w:p w14:paraId="7A1CE1C5">
            <w:pPr>
              <w:spacing w:line="360" w:lineRule="auto"/>
              <w:ind w:firstLine="720" w:firstLineChars="300"/>
              <w:jc w:val="center"/>
              <w:rPr>
                <w:rFonts w:hint="default" w:ascii="Times New Roman" w:hAnsi="Times New Roman" w:cs="Times New Roman"/>
                <w:bCs/>
                <w:iCs/>
                <w:sz w:val="24"/>
              </w:rPr>
            </w:pPr>
            <w:r>
              <w:rPr>
                <w:rFonts w:hint="default" w:ascii="Times New Roman" w:hAnsi="Times New Roman" w:cs="Times New Roman"/>
                <w:bCs/>
                <w:iCs/>
                <w:sz w:val="24"/>
              </w:rPr>
              <w:drawing>
                <wp:inline distT="0" distB="0" distL="114300" distR="114300">
                  <wp:extent cx="1806575" cy="494665"/>
                  <wp:effectExtent l="0" t="0" r="3175" b="635"/>
                  <wp:docPr id="181"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图片 6"/>
                          <pic:cNvPicPr>
                            <a:picLocks noChangeAspect="1"/>
                          </pic:cNvPicPr>
                        </pic:nvPicPr>
                        <pic:blipFill>
                          <a:blip r:embed="rId36"/>
                          <a:stretch>
                            <a:fillRect/>
                          </a:stretch>
                        </pic:blipFill>
                        <pic:spPr>
                          <a:xfrm>
                            <a:off x="0" y="0"/>
                            <a:ext cx="1806575" cy="494665"/>
                          </a:xfrm>
                          <a:prstGeom prst="rect">
                            <a:avLst/>
                          </a:prstGeom>
                          <a:noFill/>
                          <a:ln>
                            <a:noFill/>
                          </a:ln>
                        </pic:spPr>
                      </pic:pic>
                    </a:graphicData>
                  </a:graphic>
                </wp:inline>
              </w:drawing>
            </w:r>
          </w:p>
          <w:p w14:paraId="410E344F">
            <w:pPr>
              <w:spacing w:line="360" w:lineRule="auto"/>
              <w:jc w:val="left"/>
              <w:rPr>
                <w:rFonts w:hint="default" w:ascii="Times New Roman" w:hAnsi="Times New Roman" w:cs="Times New Roman"/>
                <w:bCs/>
                <w:iCs/>
                <w:sz w:val="24"/>
              </w:rPr>
            </w:pPr>
            <w:r>
              <w:rPr>
                <w:rFonts w:hint="default" w:ascii="Times New Roman" w:hAnsi="Times New Roman" w:cs="Times New Roman"/>
                <w:bCs/>
                <w:iCs/>
                <w:sz w:val="24"/>
              </w:rPr>
              <w:t>式中：Lpli(T)——靠近围护结构处室内N个声源i倍频带的叠加声压级，dB；</w:t>
            </w:r>
          </w:p>
          <w:p w14:paraId="58F98A59">
            <w:pPr>
              <w:spacing w:line="360" w:lineRule="auto"/>
              <w:ind w:firstLine="720" w:firstLineChars="300"/>
              <w:jc w:val="left"/>
              <w:rPr>
                <w:rFonts w:hint="default" w:ascii="Times New Roman" w:hAnsi="Times New Roman" w:cs="Times New Roman"/>
                <w:bCs/>
                <w:iCs/>
                <w:sz w:val="24"/>
              </w:rPr>
            </w:pPr>
            <w:r>
              <w:rPr>
                <w:rFonts w:hint="default" w:ascii="Times New Roman" w:hAnsi="Times New Roman" w:cs="Times New Roman"/>
                <w:bCs/>
                <w:iCs/>
                <w:sz w:val="24"/>
              </w:rPr>
              <w:t>Lplij——室内j声源i倍频带的声压级，dB；</w:t>
            </w:r>
          </w:p>
          <w:p w14:paraId="783D5564">
            <w:pPr>
              <w:spacing w:line="360" w:lineRule="auto"/>
              <w:ind w:firstLine="720" w:firstLineChars="300"/>
              <w:jc w:val="left"/>
              <w:rPr>
                <w:rFonts w:hint="default" w:ascii="Times New Roman" w:hAnsi="Times New Roman" w:cs="Times New Roman"/>
                <w:bCs/>
                <w:iCs/>
                <w:sz w:val="24"/>
              </w:rPr>
            </w:pPr>
            <w:r>
              <w:rPr>
                <w:rFonts w:hint="default" w:ascii="Times New Roman" w:hAnsi="Times New Roman" w:cs="Times New Roman"/>
                <w:bCs/>
                <w:iCs/>
                <w:sz w:val="24"/>
              </w:rPr>
              <w:t>N——室内声源总数。</w:t>
            </w:r>
          </w:p>
          <w:p w14:paraId="6401CE18">
            <w:pPr>
              <w:spacing w:line="360" w:lineRule="auto"/>
              <w:ind w:firstLine="720" w:firstLineChars="300"/>
              <w:jc w:val="left"/>
              <w:rPr>
                <w:rFonts w:hint="default" w:ascii="Times New Roman" w:hAnsi="Times New Roman" w:cs="Times New Roman"/>
                <w:bCs/>
                <w:iCs/>
                <w:sz w:val="24"/>
              </w:rPr>
            </w:pPr>
            <w:r>
              <w:rPr>
                <w:rFonts w:hint="default" w:ascii="Times New Roman" w:hAnsi="Times New Roman" w:cs="Times New Roman"/>
                <w:bCs/>
                <w:iCs/>
                <w:sz w:val="24"/>
              </w:rPr>
              <w:t>在室内近似为扩散声场时，计算出室外靠近围护结构处的声压级(LDA002i)：</w:t>
            </w:r>
          </w:p>
          <w:p w14:paraId="344C56CC">
            <w:pPr>
              <w:spacing w:line="360" w:lineRule="auto"/>
              <w:ind w:firstLine="720" w:firstLineChars="300"/>
              <w:jc w:val="center"/>
              <w:rPr>
                <w:rFonts w:hint="default" w:ascii="Times New Roman" w:hAnsi="Times New Roman" w:cs="Times New Roman"/>
                <w:bCs/>
                <w:iCs/>
                <w:sz w:val="24"/>
              </w:rPr>
            </w:pPr>
            <w:r>
              <w:rPr>
                <w:rFonts w:hint="default" w:ascii="Times New Roman" w:hAnsi="Times New Roman" w:cs="Times New Roman"/>
                <w:bCs/>
                <w:iCs/>
                <w:sz w:val="24"/>
              </w:rPr>
              <w:drawing>
                <wp:inline distT="0" distB="0" distL="114300" distR="114300">
                  <wp:extent cx="1896745" cy="350520"/>
                  <wp:effectExtent l="0" t="0" r="8255" b="11430"/>
                  <wp:docPr id="182"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图片 7"/>
                          <pic:cNvPicPr>
                            <a:picLocks noChangeAspect="1"/>
                          </pic:cNvPicPr>
                        </pic:nvPicPr>
                        <pic:blipFill>
                          <a:blip r:embed="rId37"/>
                          <a:stretch>
                            <a:fillRect/>
                          </a:stretch>
                        </pic:blipFill>
                        <pic:spPr>
                          <a:xfrm>
                            <a:off x="0" y="0"/>
                            <a:ext cx="1896745" cy="350520"/>
                          </a:xfrm>
                          <a:prstGeom prst="rect">
                            <a:avLst/>
                          </a:prstGeom>
                          <a:noFill/>
                          <a:ln>
                            <a:noFill/>
                          </a:ln>
                        </pic:spPr>
                      </pic:pic>
                    </a:graphicData>
                  </a:graphic>
                </wp:inline>
              </w:drawing>
            </w:r>
          </w:p>
          <w:p w14:paraId="6FAA8F0C">
            <w:pPr>
              <w:spacing w:line="360" w:lineRule="auto"/>
              <w:jc w:val="left"/>
              <w:rPr>
                <w:rFonts w:hint="default" w:ascii="Times New Roman" w:hAnsi="Times New Roman" w:cs="Times New Roman"/>
                <w:bCs/>
                <w:iCs/>
                <w:sz w:val="24"/>
              </w:rPr>
            </w:pPr>
            <w:r>
              <w:rPr>
                <w:rFonts w:hint="default" w:ascii="Times New Roman" w:hAnsi="Times New Roman" w:cs="Times New Roman"/>
                <w:bCs/>
                <w:iCs/>
                <w:sz w:val="24"/>
              </w:rPr>
              <w:t>式中：LDA002i——靠近围护结构处室外N个声源i倍频带的叠加声压级，dB；</w:t>
            </w:r>
          </w:p>
          <w:p w14:paraId="7D3EAF60">
            <w:pPr>
              <w:spacing w:line="360" w:lineRule="auto"/>
              <w:ind w:firstLine="720" w:firstLineChars="300"/>
              <w:jc w:val="left"/>
              <w:rPr>
                <w:rFonts w:hint="default" w:ascii="Times New Roman" w:hAnsi="Times New Roman" w:cs="Times New Roman"/>
                <w:bCs/>
                <w:iCs/>
                <w:sz w:val="24"/>
              </w:rPr>
            </w:pPr>
            <w:r>
              <w:rPr>
                <w:rFonts w:hint="default" w:ascii="Times New Roman" w:hAnsi="Times New Roman" w:cs="Times New Roman"/>
                <w:bCs/>
                <w:iCs/>
                <w:sz w:val="24"/>
              </w:rPr>
              <w:t>Tli——隔墙(或隔窗)的传输损失，按下式计算：</w:t>
            </w:r>
          </w:p>
          <w:p w14:paraId="68DAE4FE">
            <w:pPr>
              <w:spacing w:line="360" w:lineRule="auto"/>
              <w:ind w:firstLine="720" w:firstLineChars="300"/>
              <w:jc w:val="center"/>
              <w:rPr>
                <w:rFonts w:hint="default" w:ascii="Times New Roman" w:hAnsi="Times New Roman" w:cs="Times New Roman"/>
                <w:bCs/>
                <w:iCs/>
                <w:sz w:val="24"/>
              </w:rPr>
            </w:pPr>
            <w:r>
              <w:rPr>
                <w:rFonts w:hint="default" w:ascii="Times New Roman" w:hAnsi="Times New Roman" w:cs="Times New Roman"/>
                <w:bCs/>
                <w:iCs/>
                <w:sz w:val="24"/>
              </w:rPr>
              <w:drawing>
                <wp:inline distT="0" distB="0" distL="114300" distR="114300">
                  <wp:extent cx="1296035" cy="506730"/>
                  <wp:effectExtent l="0" t="0" r="18415" b="7620"/>
                  <wp:docPr id="185"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图片 8"/>
                          <pic:cNvPicPr>
                            <a:picLocks noChangeAspect="1"/>
                          </pic:cNvPicPr>
                        </pic:nvPicPr>
                        <pic:blipFill>
                          <a:blip r:embed="rId38"/>
                          <a:stretch>
                            <a:fillRect/>
                          </a:stretch>
                        </pic:blipFill>
                        <pic:spPr>
                          <a:xfrm>
                            <a:off x="0" y="0"/>
                            <a:ext cx="1296035" cy="506730"/>
                          </a:xfrm>
                          <a:prstGeom prst="rect">
                            <a:avLst/>
                          </a:prstGeom>
                          <a:noFill/>
                          <a:ln>
                            <a:noFill/>
                          </a:ln>
                        </pic:spPr>
                      </pic:pic>
                    </a:graphicData>
                  </a:graphic>
                </wp:inline>
              </w:drawing>
            </w:r>
          </w:p>
          <w:p w14:paraId="308FCC80">
            <w:pPr>
              <w:spacing w:line="360" w:lineRule="auto"/>
              <w:jc w:val="left"/>
              <w:rPr>
                <w:rFonts w:hint="default" w:ascii="Times New Roman" w:hAnsi="Times New Roman" w:cs="Times New Roman"/>
                <w:bCs/>
                <w:iCs/>
                <w:sz w:val="24"/>
              </w:rPr>
            </w:pPr>
            <w:r>
              <w:rPr>
                <w:rFonts w:hint="default" w:ascii="Times New Roman" w:hAnsi="Times New Roman" w:cs="Times New Roman"/>
                <w:bCs/>
                <w:iCs/>
                <w:sz w:val="24"/>
              </w:rPr>
              <w:t>式中：Sk——传声的围护结构面积，m</w:t>
            </w:r>
            <w:r>
              <w:rPr>
                <w:rFonts w:hint="default" w:ascii="Times New Roman" w:hAnsi="Times New Roman" w:cs="Times New Roman"/>
                <w:bCs/>
                <w:iCs/>
                <w:sz w:val="24"/>
                <w:vertAlign w:val="superscript"/>
              </w:rPr>
              <w:t>2</w:t>
            </w:r>
            <w:r>
              <w:rPr>
                <w:rFonts w:hint="default" w:ascii="Times New Roman" w:hAnsi="Times New Roman" w:cs="Times New Roman"/>
                <w:bCs/>
                <w:iCs/>
                <w:sz w:val="24"/>
              </w:rPr>
              <w:t>；</w:t>
            </w:r>
          </w:p>
          <w:p w14:paraId="17A51761">
            <w:pPr>
              <w:spacing w:line="360" w:lineRule="auto"/>
              <w:ind w:firstLine="720" w:firstLineChars="300"/>
              <w:jc w:val="left"/>
              <w:rPr>
                <w:rFonts w:hint="default" w:ascii="Times New Roman" w:hAnsi="Times New Roman" w:cs="Times New Roman"/>
                <w:bCs/>
                <w:iCs/>
                <w:sz w:val="24"/>
              </w:rPr>
            </w:pPr>
            <w:r>
              <w:rPr>
                <w:rFonts w:hint="default" w:ascii="Times New Roman" w:hAnsi="Times New Roman" w:cs="Times New Roman"/>
                <w:bCs/>
                <w:iCs/>
                <w:sz w:val="24"/>
              </w:rPr>
              <w:sym w:font="Symbol" w:char="0074"/>
            </w:r>
            <w:r>
              <w:rPr>
                <w:rFonts w:hint="default" w:ascii="Times New Roman" w:hAnsi="Times New Roman" w:cs="Times New Roman"/>
                <w:bCs/>
                <w:iCs/>
                <w:sz w:val="24"/>
              </w:rPr>
              <w:t>k——围护结构的透声系数。</w:t>
            </w:r>
          </w:p>
          <w:p w14:paraId="337EA5A7">
            <w:pPr>
              <w:spacing w:line="360" w:lineRule="auto"/>
              <w:ind w:firstLine="720" w:firstLineChars="300"/>
              <w:jc w:val="left"/>
              <w:rPr>
                <w:rFonts w:hint="default" w:ascii="Times New Roman" w:hAnsi="Times New Roman" w:cs="Times New Roman"/>
                <w:bCs/>
                <w:iCs/>
                <w:sz w:val="24"/>
              </w:rPr>
            </w:pPr>
            <w:r>
              <w:rPr>
                <w:rFonts w:hint="default" w:ascii="Times New Roman" w:hAnsi="Times New Roman" w:cs="Times New Roman"/>
                <w:bCs/>
                <w:iCs/>
                <w:sz w:val="24"/>
              </w:rPr>
              <w:t>将室外声源的声压级和透声面积换算成等效的室外声源，计算出中心位置位于透声面积(S)处的等效恒源的倍频带声功率级：</w:t>
            </w:r>
          </w:p>
          <w:p w14:paraId="1CA5C11A">
            <w:pPr>
              <w:spacing w:line="360" w:lineRule="auto"/>
              <w:ind w:firstLine="720" w:firstLineChars="300"/>
              <w:jc w:val="center"/>
              <w:rPr>
                <w:rFonts w:hint="default" w:ascii="Times New Roman" w:hAnsi="Times New Roman" w:cs="Times New Roman"/>
                <w:bCs/>
                <w:iCs/>
                <w:sz w:val="24"/>
              </w:rPr>
            </w:pPr>
            <w:r>
              <w:rPr>
                <w:rFonts w:hint="default" w:ascii="Times New Roman" w:hAnsi="Times New Roman" w:cs="Times New Roman"/>
                <w:bCs/>
                <w:iCs/>
                <w:sz w:val="24"/>
              </w:rPr>
              <w:drawing>
                <wp:inline distT="0" distB="0" distL="114300" distR="114300">
                  <wp:extent cx="1514475" cy="257175"/>
                  <wp:effectExtent l="0" t="0" r="9525" b="9525"/>
                  <wp:docPr id="187"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图片 9"/>
                          <pic:cNvPicPr>
                            <a:picLocks noChangeAspect="1"/>
                          </pic:cNvPicPr>
                        </pic:nvPicPr>
                        <pic:blipFill>
                          <a:blip r:embed="rId39"/>
                          <a:stretch>
                            <a:fillRect/>
                          </a:stretch>
                        </pic:blipFill>
                        <pic:spPr>
                          <a:xfrm>
                            <a:off x="0" y="0"/>
                            <a:ext cx="1514475" cy="257175"/>
                          </a:xfrm>
                          <a:prstGeom prst="rect">
                            <a:avLst/>
                          </a:prstGeom>
                          <a:noFill/>
                          <a:ln>
                            <a:noFill/>
                          </a:ln>
                        </pic:spPr>
                      </pic:pic>
                    </a:graphicData>
                  </a:graphic>
                </wp:inline>
              </w:drawing>
            </w:r>
          </w:p>
          <w:p w14:paraId="1DEDB639">
            <w:pPr>
              <w:spacing w:line="360" w:lineRule="auto"/>
              <w:ind w:firstLine="720" w:firstLineChars="300"/>
              <w:jc w:val="left"/>
              <w:rPr>
                <w:rFonts w:hint="default" w:ascii="Times New Roman" w:hAnsi="Times New Roman" w:cs="Times New Roman"/>
                <w:bCs/>
                <w:iCs/>
                <w:sz w:val="24"/>
              </w:rPr>
            </w:pPr>
            <w:r>
              <w:rPr>
                <w:rFonts w:hint="default" w:ascii="Times New Roman" w:hAnsi="Times New Roman" w:cs="Times New Roman"/>
                <w:bCs/>
                <w:iCs/>
                <w:sz w:val="24"/>
              </w:rPr>
              <w:t>计算等效室外声源传播到预测点的声压级(Li)：</w:t>
            </w:r>
          </w:p>
          <w:p w14:paraId="43746FE4">
            <w:pPr>
              <w:spacing w:line="360" w:lineRule="auto"/>
              <w:ind w:firstLine="720" w:firstLineChars="300"/>
              <w:jc w:val="center"/>
              <w:rPr>
                <w:rFonts w:hint="default" w:ascii="Times New Roman" w:hAnsi="Times New Roman" w:cs="Times New Roman"/>
                <w:bCs/>
                <w:iCs/>
                <w:sz w:val="24"/>
              </w:rPr>
            </w:pPr>
            <w:r>
              <w:rPr>
                <w:rFonts w:hint="default" w:ascii="Times New Roman" w:hAnsi="Times New Roman" w:cs="Times New Roman"/>
                <w:bCs/>
                <w:iCs/>
                <w:sz w:val="24"/>
              </w:rPr>
              <w:drawing>
                <wp:inline distT="0" distB="0" distL="114300" distR="114300">
                  <wp:extent cx="3020695" cy="292735"/>
                  <wp:effectExtent l="0" t="0" r="8255" b="12065"/>
                  <wp:docPr id="191"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图片 10"/>
                          <pic:cNvPicPr>
                            <a:picLocks noChangeAspect="1"/>
                          </pic:cNvPicPr>
                        </pic:nvPicPr>
                        <pic:blipFill>
                          <a:blip r:embed="rId40"/>
                          <a:stretch>
                            <a:fillRect/>
                          </a:stretch>
                        </pic:blipFill>
                        <pic:spPr>
                          <a:xfrm>
                            <a:off x="0" y="0"/>
                            <a:ext cx="3020695" cy="292735"/>
                          </a:xfrm>
                          <a:prstGeom prst="rect">
                            <a:avLst/>
                          </a:prstGeom>
                          <a:noFill/>
                          <a:ln>
                            <a:noFill/>
                          </a:ln>
                        </pic:spPr>
                      </pic:pic>
                    </a:graphicData>
                  </a:graphic>
                </wp:inline>
              </w:drawing>
            </w:r>
          </w:p>
          <w:p w14:paraId="64F546BB">
            <w:pPr>
              <w:spacing w:line="360" w:lineRule="auto"/>
              <w:jc w:val="left"/>
              <w:rPr>
                <w:rFonts w:hint="default" w:ascii="Times New Roman" w:hAnsi="Times New Roman" w:cs="Times New Roman"/>
                <w:bCs/>
                <w:iCs/>
                <w:sz w:val="24"/>
              </w:rPr>
            </w:pPr>
            <w:r>
              <w:rPr>
                <w:rFonts w:hint="default" w:ascii="Times New Roman" w:hAnsi="Times New Roman" w:cs="Times New Roman"/>
                <w:bCs/>
                <w:iCs/>
                <w:sz w:val="24"/>
              </w:rPr>
              <w:t>式中：Lp(r)——等效室外声源在预测点的声压级；</w:t>
            </w:r>
          </w:p>
          <w:p w14:paraId="30A76A06">
            <w:pPr>
              <w:spacing w:line="360" w:lineRule="auto"/>
              <w:ind w:firstLine="720" w:firstLineChars="300"/>
              <w:jc w:val="left"/>
              <w:rPr>
                <w:rFonts w:hint="default" w:ascii="Times New Roman" w:hAnsi="Times New Roman" w:cs="Times New Roman"/>
                <w:bCs/>
                <w:iCs/>
                <w:sz w:val="24"/>
              </w:rPr>
            </w:pPr>
            <w:r>
              <w:rPr>
                <w:rFonts w:hint="default" w:ascii="Times New Roman" w:hAnsi="Times New Roman" w:cs="Times New Roman"/>
                <w:bCs/>
                <w:iCs/>
                <w:sz w:val="24"/>
              </w:rPr>
              <w:t>Lp(r0)——等效室外声源在参考位置r0处的声压级；</w:t>
            </w:r>
          </w:p>
          <w:p w14:paraId="219B25D9">
            <w:pPr>
              <w:spacing w:line="360" w:lineRule="auto"/>
              <w:ind w:firstLine="720" w:firstLineChars="300"/>
              <w:jc w:val="left"/>
              <w:rPr>
                <w:rFonts w:hint="default" w:ascii="Times New Roman" w:hAnsi="Times New Roman" w:cs="Times New Roman"/>
                <w:bCs/>
                <w:iCs/>
                <w:sz w:val="24"/>
              </w:rPr>
            </w:pPr>
            <w:r>
              <w:rPr>
                <w:rFonts w:hint="default" w:ascii="Times New Roman" w:hAnsi="Times New Roman" w:cs="Times New Roman"/>
                <w:bCs/>
                <w:iCs/>
                <w:sz w:val="24"/>
              </w:rPr>
              <w:t>Adiv——声波几何发散引起的衰减量；</w:t>
            </w:r>
          </w:p>
          <w:p w14:paraId="5807BC1D">
            <w:pPr>
              <w:spacing w:line="360" w:lineRule="auto"/>
              <w:ind w:firstLine="720" w:firstLineChars="300"/>
              <w:jc w:val="left"/>
              <w:rPr>
                <w:rFonts w:hint="default" w:ascii="Times New Roman" w:hAnsi="Times New Roman" w:cs="Times New Roman"/>
                <w:bCs/>
                <w:iCs/>
                <w:sz w:val="24"/>
              </w:rPr>
            </w:pPr>
            <w:r>
              <w:rPr>
                <w:rFonts w:hint="default" w:ascii="Times New Roman" w:hAnsi="Times New Roman" w:cs="Times New Roman"/>
                <w:bCs/>
                <w:iCs/>
                <w:sz w:val="24"/>
              </w:rPr>
              <w:t>Abar——遮挡物引起的衰减量；</w:t>
            </w:r>
          </w:p>
          <w:p w14:paraId="3BC88CE9">
            <w:pPr>
              <w:spacing w:line="360" w:lineRule="auto"/>
              <w:ind w:firstLine="720" w:firstLineChars="300"/>
              <w:jc w:val="left"/>
              <w:rPr>
                <w:rFonts w:hint="default" w:ascii="Times New Roman" w:hAnsi="Times New Roman" w:cs="Times New Roman"/>
                <w:bCs/>
                <w:iCs/>
                <w:sz w:val="24"/>
              </w:rPr>
            </w:pPr>
            <w:r>
              <w:rPr>
                <w:rFonts w:hint="default" w:ascii="Times New Roman" w:hAnsi="Times New Roman" w:cs="Times New Roman"/>
                <w:bCs/>
                <w:iCs/>
                <w:sz w:val="24"/>
              </w:rPr>
              <w:t>Aatm——空气吸收引起的衰减量；</w:t>
            </w:r>
          </w:p>
          <w:p w14:paraId="17D2A176">
            <w:pPr>
              <w:spacing w:line="360" w:lineRule="auto"/>
              <w:ind w:firstLine="720" w:firstLineChars="300"/>
              <w:jc w:val="left"/>
              <w:rPr>
                <w:rFonts w:hint="default" w:ascii="Times New Roman" w:hAnsi="Times New Roman" w:cs="Times New Roman"/>
                <w:bCs/>
                <w:iCs/>
                <w:sz w:val="24"/>
              </w:rPr>
            </w:pPr>
            <w:r>
              <w:rPr>
                <w:rFonts w:hint="default" w:ascii="Times New Roman" w:hAnsi="Times New Roman" w:cs="Times New Roman"/>
                <w:bCs/>
                <w:iCs/>
                <w:sz w:val="24"/>
              </w:rPr>
              <w:t>Agr——地面效应引起的衰减量；</w:t>
            </w:r>
          </w:p>
          <w:p w14:paraId="0688E50B">
            <w:pPr>
              <w:spacing w:line="360" w:lineRule="auto"/>
              <w:ind w:firstLine="720" w:firstLineChars="300"/>
              <w:jc w:val="left"/>
              <w:rPr>
                <w:rFonts w:hint="default" w:ascii="Times New Roman" w:hAnsi="Times New Roman" w:cs="Times New Roman"/>
                <w:bCs/>
                <w:iCs/>
                <w:sz w:val="24"/>
              </w:rPr>
            </w:pPr>
            <w:r>
              <w:rPr>
                <w:rFonts w:hint="default" w:ascii="Times New Roman" w:hAnsi="Times New Roman" w:cs="Times New Roman"/>
                <w:bCs/>
                <w:iCs/>
                <w:sz w:val="24"/>
              </w:rPr>
              <w:t>Amisc——其他多方面效应引起的衰减。</w:t>
            </w:r>
          </w:p>
          <w:p w14:paraId="4CC77AD0">
            <w:pPr>
              <w:spacing w:line="360" w:lineRule="auto"/>
              <w:ind w:firstLine="720" w:firstLineChars="300"/>
              <w:jc w:val="left"/>
              <w:rPr>
                <w:rFonts w:hint="default" w:ascii="Times New Roman" w:hAnsi="Times New Roman" w:cs="Times New Roman"/>
                <w:bCs/>
                <w:iCs/>
                <w:sz w:val="24"/>
              </w:rPr>
            </w:pPr>
            <w:r>
              <w:rPr>
                <w:rFonts w:hint="default" w:ascii="Times New Roman" w:hAnsi="Times New Roman" w:cs="Times New Roman"/>
                <w:bCs/>
                <w:iCs/>
                <w:sz w:val="24"/>
              </w:rPr>
              <w:t>根据本项目实际情况，后四项在计算中忽略不计，仅考虑几何发散；</w:t>
            </w:r>
          </w:p>
          <w:p w14:paraId="1BBF50A9">
            <w:pPr>
              <w:spacing w:line="360" w:lineRule="auto"/>
              <w:ind w:firstLine="720" w:firstLineChars="300"/>
              <w:jc w:val="center"/>
              <w:rPr>
                <w:rFonts w:hint="default" w:ascii="Times New Roman" w:hAnsi="Times New Roman" w:cs="Times New Roman"/>
                <w:bCs/>
                <w:iCs/>
                <w:sz w:val="24"/>
              </w:rPr>
            </w:pPr>
            <w:r>
              <w:rPr>
                <w:rFonts w:hint="default" w:ascii="Times New Roman" w:hAnsi="Times New Roman" w:cs="Times New Roman"/>
                <w:bCs/>
                <w:iCs/>
                <w:sz w:val="24"/>
              </w:rPr>
              <w:drawing>
                <wp:inline distT="0" distB="0" distL="114300" distR="114300">
                  <wp:extent cx="1143000" cy="293370"/>
                  <wp:effectExtent l="0" t="0" r="0" b="11430"/>
                  <wp:docPr id="193"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图片 11"/>
                          <pic:cNvPicPr>
                            <a:picLocks noChangeAspect="1"/>
                          </pic:cNvPicPr>
                        </pic:nvPicPr>
                        <pic:blipFill>
                          <a:blip r:embed="rId41"/>
                          <a:stretch>
                            <a:fillRect/>
                          </a:stretch>
                        </pic:blipFill>
                        <pic:spPr>
                          <a:xfrm>
                            <a:off x="0" y="0"/>
                            <a:ext cx="1143000" cy="293370"/>
                          </a:xfrm>
                          <a:prstGeom prst="rect">
                            <a:avLst/>
                          </a:prstGeom>
                          <a:noFill/>
                          <a:ln>
                            <a:noFill/>
                          </a:ln>
                        </pic:spPr>
                      </pic:pic>
                    </a:graphicData>
                  </a:graphic>
                </wp:inline>
              </w:drawing>
            </w:r>
          </w:p>
          <w:p w14:paraId="158627BB">
            <w:pPr>
              <w:spacing w:line="360" w:lineRule="auto"/>
              <w:ind w:firstLine="720" w:firstLineChars="300"/>
              <w:jc w:val="left"/>
              <w:rPr>
                <w:rFonts w:hint="default" w:ascii="Times New Roman" w:hAnsi="Times New Roman" w:cs="Times New Roman"/>
                <w:bCs/>
                <w:iCs/>
                <w:sz w:val="24"/>
              </w:rPr>
            </w:pPr>
            <w:r>
              <w:rPr>
                <w:rFonts w:hint="default" w:ascii="Times New Roman" w:hAnsi="Times New Roman" w:cs="Times New Roman"/>
                <w:bCs/>
                <w:iCs/>
                <w:sz w:val="24"/>
              </w:rPr>
              <w:t>计算各等效室外声源在预测点产生的等效声级贡献值(Leq)；</w:t>
            </w:r>
          </w:p>
          <w:p w14:paraId="56AEFD96">
            <w:pPr>
              <w:spacing w:line="360" w:lineRule="auto"/>
              <w:ind w:firstLine="720" w:firstLineChars="300"/>
              <w:jc w:val="center"/>
              <w:rPr>
                <w:rFonts w:hint="default" w:ascii="Times New Roman" w:hAnsi="Times New Roman" w:cs="Times New Roman"/>
                <w:bCs/>
                <w:iCs/>
                <w:sz w:val="24"/>
              </w:rPr>
            </w:pPr>
            <w:r>
              <w:rPr>
                <w:rFonts w:hint="default" w:ascii="Times New Roman" w:hAnsi="Times New Roman" w:cs="Times New Roman"/>
                <w:bCs/>
                <w:iCs/>
                <w:sz w:val="24"/>
              </w:rPr>
              <w:drawing>
                <wp:inline distT="0" distB="0" distL="114300" distR="114300">
                  <wp:extent cx="1808480" cy="448945"/>
                  <wp:effectExtent l="0" t="0" r="1270" b="8255"/>
                  <wp:docPr id="19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图片 12"/>
                          <pic:cNvPicPr>
                            <a:picLocks noChangeAspect="1"/>
                          </pic:cNvPicPr>
                        </pic:nvPicPr>
                        <pic:blipFill>
                          <a:blip r:embed="rId42"/>
                          <a:stretch>
                            <a:fillRect/>
                          </a:stretch>
                        </pic:blipFill>
                        <pic:spPr>
                          <a:xfrm>
                            <a:off x="0" y="0"/>
                            <a:ext cx="1808480" cy="448945"/>
                          </a:xfrm>
                          <a:prstGeom prst="rect">
                            <a:avLst/>
                          </a:prstGeom>
                          <a:noFill/>
                          <a:ln>
                            <a:noFill/>
                          </a:ln>
                        </pic:spPr>
                      </pic:pic>
                    </a:graphicData>
                  </a:graphic>
                </wp:inline>
              </w:drawing>
            </w:r>
          </w:p>
          <w:p w14:paraId="1243365E">
            <w:pPr>
              <w:spacing w:line="360" w:lineRule="auto"/>
              <w:jc w:val="left"/>
              <w:rPr>
                <w:rFonts w:hint="default" w:ascii="Times New Roman" w:hAnsi="Times New Roman" w:cs="Times New Roman"/>
                <w:bCs/>
                <w:iCs/>
                <w:sz w:val="24"/>
              </w:rPr>
            </w:pPr>
            <w:r>
              <w:rPr>
                <w:rFonts w:hint="default" w:ascii="Times New Roman" w:hAnsi="Times New Roman" w:cs="Times New Roman"/>
                <w:bCs/>
                <w:iCs/>
                <w:sz w:val="24"/>
              </w:rPr>
              <w:t>式中：Leqg——室外声源在预测点产生的等效声级贡献值，dB；</w:t>
            </w:r>
          </w:p>
          <w:p w14:paraId="37896394">
            <w:pPr>
              <w:spacing w:line="360" w:lineRule="auto"/>
              <w:ind w:firstLine="720" w:firstLineChars="300"/>
              <w:jc w:val="left"/>
              <w:rPr>
                <w:rFonts w:hint="default" w:ascii="Times New Roman" w:hAnsi="Times New Roman" w:cs="Times New Roman"/>
                <w:bCs/>
                <w:iCs/>
                <w:sz w:val="24"/>
              </w:rPr>
            </w:pPr>
            <w:r>
              <w:rPr>
                <w:rFonts w:hint="default" w:ascii="Times New Roman" w:hAnsi="Times New Roman" w:cs="Times New Roman"/>
                <w:bCs/>
                <w:iCs/>
                <w:sz w:val="24"/>
              </w:rPr>
              <w:t>n——等效室外声源个数；</w:t>
            </w:r>
          </w:p>
          <w:p w14:paraId="2CBDFDC8">
            <w:pPr>
              <w:spacing w:line="360" w:lineRule="auto"/>
              <w:ind w:firstLine="720" w:firstLineChars="300"/>
              <w:jc w:val="left"/>
              <w:rPr>
                <w:rFonts w:hint="default" w:ascii="Times New Roman" w:hAnsi="Times New Roman" w:cs="Times New Roman"/>
                <w:bCs/>
                <w:iCs/>
                <w:sz w:val="24"/>
              </w:rPr>
            </w:pPr>
            <w:r>
              <w:rPr>
                <w:rFonts w:hint="default" w:ascii="Times New Roman" w:hAnsi="Times New Roman" w:cs="Times New Roman"/>
                <w:bCs/>
                <w:iCs/>
                <w:sz w:val="24"/>
              </w:rPr>
              <w:t>T——预测计算的时间段，S；</w:t>
            </w:r>
          </w:p>
          <w:p w14:paraId="0FBDB368">
            <w:pPr>
              <w:spacing w:line="360" w:lineRule="auto"/>
              <w:ind w:firstLine="720" w:firstLineChars="300"/>
              <w:jc w:val="left"/>
              <w:rPr>
                <w:rFonts w:hint="default" w:ascii="Times New Roman" w:hAnsi="Times New Roman" w:cs="Times New Roman"/>
                <w:bCs/>
                <w:iCs/>
                <w:sz w:val="24"/>
              </w:rPr>
            </w:pPr>
            <w:r>
              <w:rPr>
                <w:rFonts w:hint="default" w:ascii="Times New Roman" w:hAnsi="Times New Roman" w:cs="Times New Roman"/>
                <w:bCs/>
                <w:iCs/>
                <w:sz w:val="24"/>
              </w:rPr>
              <w:t>ti——i声源在t时段的运行时间，S；</w:t>
            </w:r>
          </w:p>
          <w:p w14:paraId="7B9856C6">
            <w:pPr>
              <w:spacing w:line="360" w:lineRule="auto"/>
              <w:ind w:firstLine="720" w:firstLineChars="300"/>
              <w:jc w:val="left"/>
              <w:rPr>
                <w:rFonts w:hint="default" w:ascii="Times New Roman" w:hAnsi="Times New Roman" w:cs="Times New Roman"/>
                <w:bCs/>
                <w:iCs/>
                <w:sz w:val="24"/>
              </w:rPr>
            </w:pPr>
            <w:r>
              <w:rPr>
                <w:rFonts w:hint="default" w:ascii="Times New Roman" w:hAnsi="Times New Roman" w:cs="Times New Roman"/>
                <w:bCs/>
                <w:iCs/>
                <w:sz w:val="24"/>
              </w:rPr>
              <w:t>计算预测点的预测等效声级(Leq)：</w:t>
            </w:r>
          </w:p>
          <w:p w14:paraId="1E45DA66">
            <w:pPr>
              <w:spacing w:line="360" w:lineRule="auto"/>
              <w:ind w:firstLine="720" w:firstLineChars="300"/>
              <w:jc w:val="center"/>
              <w:rPr>
                <w:rFonts w:hint="default" w:ascii="Times New Roman" w:hAnsi="Times New Roman" w:cs="Times New Roman"/>
                <w:bCs/>
                <w:iCs/>
                <w:sz w:val="24"/>
              </w:rPr>
            </w:pPr>
            <w:r>
              <w:rPr>
                <w:rFonts w:hint="default" w:ascii="Times New Roman" w:hAnsi="Times New Roman" w:cs="Times New Roman"/>
                <w:bCs/>
                <w:iCs/>
                <w:sz w:val="24"/>
              </w:rPr>
              <w:drawing>
                <wp:inline distT="0" distB="0" distL="114300" distR="114300">
                  <wp:extent cx="2145030" cy="351155"/>
                  <wp:effectExtent l="0" t="0" r="7620" b="10795"/>
                  <wp:docPr id="177"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图片 13"/>
                          <pic:cNvPicPr>
                            <a:picLocks noChangeAspect="1"/>
                          </pic:cNvPicPr>
                        </pic:nvPicPr>
                        <pic:blipFill>
                          <a:blip r:embed="rId43"/>
                          <a:stretch>
                            <a:fillRect/>
                          </a:stretch>
                        </pic:blipFill>
                        <pic:spPr>
                          <a:xfrm>
                            <a:off x="0" y="0"/>
                            <a:ext cx="2145030" cy="351155"/>
                          </a:xfrm>
                          <a:prstGeom prst="rect">
                            <a:avLst/>
                          </a:prstGeom>
                          <a:noFill/>
                          <a:ln>
                            <a:noFill/>
                          </a:ln>
                        </pic:spPr>
                      </pic:pic>
                    </a:graphicData>
                  </a:graphic>
                </wp:inline>
              </w:drawing>
            </w:r>
          </w:p>
          <w:p w14:paraId="78D84741">
            <w:pPr>
              <w:spacing w:line="360" w:lineRule="auto"/>
              <w:jc w:val="left"/>
              <w:rPr>
                <w:rFonts w:hint="default" w:ascii="Times New Roman" w:hAnsi="Times New Roman" w:cs="Times New Roman"/>
                <w:bCs/>
                <w:iCs/>
                <w:sz w:val="24"/>
              </w:rPr>
            </w:pPr>
            <w:r>
              <w:rPr>
                <w:rFonts w:hint="default" w:ascii="Times New Roman" w:hAnsi="Times New Roman" w:cs="Times New Roman"/>
                <w:bCs/>
                <w:iCs/>
                <w:sz w:val="24"/>
              </w:rPr>
              <w:t>式中：Leq——声源在预测点的等效声级预测值，dB；</w:t>
            </w:r>
          </w:p>
          <w:p w14:paraId="1C327E67">
            <w:pPr>
              <w:spacing w:line="360" w:lineRule="auto"/>
              <w:ind w:firstLine="720" w:firstLineChars="300"/>
              <w:jc w:val="left"/>
              <w:rPr>
                <w:rFonts w:hint="default" w:ascii="Times New Roman" w:hAnsi="Times New Roman" w:cs="Times New Roman"/>
                <w:bCs/>
                <w:iCs/>
                <w:sz w:val="24"/>
              </w:rPr>
            </w:pPr>
            <w:r>
              <w:rPr>
                <w:rFonts w:hint="default" w:ascii="Times New Roman" w:hAnsi="Times New Roman" w:cs="Times New Roman"/>
                <w:bCs/>
                <w:iCs/>
                <w:sz w:val="24"/>
              </w:rPr>
              <w:t>Leqg——室外声源在预测点产生的等效声级贡献值，dB；</w:t>
            </w:r>
          </w:p>
          <w:p w14:paraId="5827FD93">
            <w:pPr>
              <w:tabs>
                <w:tab w:val="left" w:pos="3240"/>
              </w:tabs>
              <w:spacing w:line="360" w:lineRule="auto"/>
              <w:ind w:firstLine="720" w:firstLineChars="300"/>
              <w:rPr>
                <w:rFonts w:hint="default" w:ascii="Times New Roman" w:hAnsi="Times New Roman" w:cs="Times New Roman"/>
                <w:bCs/>
                <w:sz w:val="24"/>
              </w:rPr>
            </w:pPr>
            <w:r>
              <w:rPr>
                <w:rFonts w:hint="default" w:ascii="Times New Roman" w:hAnsi="Times New Roman" w:cs="Times New Roman"/>
                <w:bCs/>
                <w:iCs/>
                <w:sz w:val="24"/>
              </w:rPr>
              <w:t>Leqb——预测点的背景值，dB。</w:t>
            </w:r>
          </w:p>
          <w:p w14:paraId="1137C72C">
            <w:pPr>
              <w:spacing w:line="360" w:lineRule="auto"/>
              <w:ind w:firstLine="480" w:firstLineChars="200"/>
              <w:jc w:val="left"/>
              <w:rPr>
                <w:rFonts w:hint="default" w:ascii="Times New Roman" w:hAnsi="Times New Roman" w:cs="Times New Roman"/>
                <w:color w:val="FF0000"/>
                <w:sz w:val="24"/>
              </w:rPr>
            </w:pPr>
            <w:r>
              <w:rPr>
                <w:rFonts w:hint="default" w:ascii="Times New Roman" w:hAnsi="Times New Roman" w:cs="Times New Roman"/>
                <w:color w:val="FF0000"/>
                <w:sz w:val="24"/>
              </w:rPr>
              <w:t>预测结果：</w:t>
            </w:r>
          </w:p>
          <w:p w14:paraId="23E0A380">
            <w:pPr>
              <w:spacing w:line="360" w:lineRule="auto"/>
              <w:ind w:firstLine="480" w:firstLineChars="200"/>
              <w:rPr>
                <w:rFonts w:hint="default" w:ascii="Times New Roman" w:hAnsi="Times New Roman" w:cs="Times New Roman"/>
                <w:color w:val="FF0000"/>
                <w:sz w:val="24"/>
              </w:rPr>
            </w:pPr>
            <w:r>
              <w:rPr>
                <w:rFonts w:hint="default" w:ascii="Times New Roman" w:hAnsi="Times New Roman" w:cs="Times New Roman"/>
                <w:color w:val="FF0000"/>
                <w:sz w:val="24"/>
              </w:rPr>
              <w:t>通过预测模型计算，项目厂界噪声预测结果与达标分析见表4-</w:t>
            </w:r>
            <w:r>
              <w:rPr>
                <w:rFonts w:hint="eastAsia" w:cs="Times New Roman"/>
                <w:color w:val="FF0000"/>
                <w:sz w:val="24"/>
                <w:lang w:val="en-US" w:eastAsia="zh-CN"/>
              </w:rPr>
              <w:t>32</w:t>
            </w:r>
            <w:r>
              <w:rPr>
                <w:rFonts w:hint="default" w:ascii="Times New Roman" w:hAnsi="Times New Roman" w:cs="Times New Roman"/>
                <w:color w:val="FF0000"/>
                <w:sz w:val="24"/>
              </w:rPr>
              <w:t>。</w:t>
            </w:r>
          </w:p>
          <w:p w14:paraId="7BED2808">
            <w:pPr>
              <w:jc w:val="center"/>
              <w:rPr>
                <w:rFonts w:hint="default" w:ascii="Times New Roman" w:hAnsi="Times New Roman" w:cs="Times New Roman"/>
                <w:b/>
                <w:bCs/>
                <w:color w:val="FF0000"/>
              </w:rPr>
            </w:pPr>
            <w:r>
              <w:rPr>
                <w:rFonts w:hint="default" w:ascii="Times New Roman" w:hAnsi="Times New Roman" w:cs="Times New Roman"/>
                <w:b/>
                <w:bCs/>
                <w:color w:val="FF0000"/>
              </w:rPr>
              <w:t>表4-3</w:t>
            </w:r>
            <w:r>
              <w:rPr>
                <w:rFonts w:hint="eastAsia" w:cs="Times New Roman"/>
                <w:b/>
                <w:bCs/>
                <w:color w:val="FF0000"/>
                <w:lang w:val="en-US" w:eastAsia="zh-CN"/>
              </w:rPr>
              <w:t>2</w:t>
            </w:r>
            <w:r>
              <w:rPr>
                <w:rFonts w:hint="default" w:ascii="Times New Roman" w:hAnsi="Times New Roman" w:cs="Times New Roman"/>
                <w:b/>
                <w:bCs/>
                <w:color w:val="FF0000"/>
              </w:rPr>
              <w:t xml:space="preserve">     厂界噪声预测结果与达标分析表</w:t>
            </w:r>
          </w:p>
          <w:tbl>
            <w:tblPr>
              <w:tblStyle w:val="34"/>
              <w:tblW w:w="8304" w:type="dxa"/>
              <w:jc w:val="center"/>
              <w:tblBorders>
                <w:top w:val="double" w:color="auto" w:sz="4" w:space="0"/>
                <w:left w:val="none" w:color="auto" w:sz="0" w:space="0"/>
                <w:bottom w:val="double" w:color="auto" w:sz="4" w:space="0"/>
                <w:right w:val="none" w:color="auto" w:sz="0" w:space="0"/>
                <w:insideH w:val="single" w:color="auto" w:sz="2" w:space="0"/>
                <w:insideV w:val="single" w:color="auto" w:sz="4" w:space="0"/>
              </w:tblBorders>
              <w:tblLayout w:type="fixed"/>
              <w:tblCellMar>
                <w:top w:w="0" w:type="dxa"/>
                <w:left w:w="108" w:type="dxa"/>
                <w:bottom w:w="0" w:type="dxa"/>
                <w:right w:w="108" w:type="dxa"/>
              </w:tblCellMar>
            </w:tblPr>
            <w:tblGrid>
              <w:gridCol w:w="948"/>
              <w:gridCol w:w="810"/>
              <w:gridCol w:w="833"/>
              <w:gridCol w:w="744"/>
              <w:gridCol w:w="793"/>
              <w:gridCol w:w="1522"/>
              <w:gridCol w:w="1554"/>
              <w:gridCol w:w="1100"/>
            </w:tblGrid>
            <w:tr w14:paraId="6DCD685D">
              <w:tblPrEx>
                <w:tblBorders>
                  <w:top w:val="double" w:color="auto" w:sz="4" w:space="0"/>
                  <w:left w:val="none" w:color="auto" w:sz="0" w:space="0"/>
                  <w:bottom w:val="double" w:color="auto" w:sz="4" w:space="0"/>
                  <w:right w:val="none" w:color="auto" w:sz="0" w:space="0"/>
                  <w:insideH w:val="single" w:color="auto" w:sz="2" w:space="0"/>
                  <w:insideV w:val="single" w:color="auto" w:sz="4" w:space="0"/>
                </w:tblBorders>
                <w:tblCellMar>
                  <w:top w:w="0" w:type="dxa"/>
                  <w:left w:w="108" w:type="dxa"/>
                  <w:bottom w:w="0" w:type="dxa"/>
                  <w:right w:w="108" w:type="dxa"/>
                </w:tblCellMar>
              </w:tblPrEx>
              <w:trPr>
                <w:jc w:val="center"/>
              </w:trPr>
              <w:tc>
                <w:tcPr>
                  <w:tcW w:w="948" w:type="dxa"/>
                  <w:vMerge w:val="restart"/>
                  <w:tcBorders>
                    <w:tl2br w:val="nil"/>
                    <w:tr2bl w:val="nil"/>
                  </w:tcBorders>
                  <w:vAlign w:val="center"/>
                </w:tcPr>
                <w:p w14:paraId="5425C67F">
                  <w:pPr>
                    <w:jc w:val="center"/>
                    <w:rPr>
                      <w:rFonts w:hint="default" w:ascii="Times New Roman" w:hAnsi="Times New Roman" w:cs="Times New Roman"/>
                      <w:bCs/>
                      <w:color w:val="FF0000"/>
                      <w:szCs w:val="21"/>
                    </w:rPr>
                  </w:pPr>
                  <w:r>
                    <w:rPr>
                      <w:rFonts w:hint="default" w:ascii="Times New Roman" w:hAnsi="Times New Roman" w:cs="Times New Roman"/>
                      <w:bCs/>
                      <w:color w:val="FF0000"/>
                      <w:szCs w:val="21"/>
                    </w:rPr>
                    <w:t>预测方位</w:t>
                  </w:r>
                </w:p>
              </w:tc>
              <w:tc>
                <w:tcPr>
                  <w:tcW w:w="2387" w:type="dxa"/>
                  <w:gridSpan w:val="3"/>
                  <w:tcBorders>
                    <w:tl2br w:val="nil"/>
                    <w:tr2bl w:val="nil"/>
                  </w:tcBorders>
                  <w:vAlign w:val="center"/>
                </w:tcPr>
                <w:p w14:paraId="483CDF43">
                  <w:pPr>
                    <w:jc w:val="center"/>
                    <w:rPr>
                      <w:rFonts w:hint="default" w:ascii="Times New Roman" w:hAnsi="Times New Roman" w:cs="Times New Roman"/>
                      <w:bCs/>
                      <w:color w:val="FF0000"/>
                      <w:szCs w:val="21"/>
                    </w:rPr>
                  </w:pPr>
                  <w:r>
                    <w:rPr>
                      <w:rFonts w:hint="default" w:ascii="Times New Roman" w:hAnsi="Times New Roman" w:cs="Times New Roman"/>
                      <w:bCs/>
                      <w:color w:val="FF0000"/>
                      <w:szCs w:val="21"/>
                    </w:rPr>
                    <w:t>空间相对位置/m</w:t>
                  </w:r>
                </w:p>
              </w:tc>
              <w:tc>
                <w:tcPr>
                  <w:tcW w:w="793" w:type="dxa"/>
                  <w:vMerge w:val="restart"/>
                  <w:tcBorders>
                    <w:tl2br w:val="nil"/>
                    <w:tr2bl w:val="nil"/>
                  </w:tcBorders>
                  <w:vAlign w:val="center"/>
                </w:tcPr>
                <w:p w14:paraId="624DE11C">
                  <w:pPr>
                    <w:jc w:val="center"/>
                    <w:rPr>
                      <w:rFonts w:hint="default" w:ascii="Times New Roman" w:hAnsi="Times New Roman" w:cs="Times New Roman"/>
                      <w:bCs/>
                      <w:color w:val="FF0000"/>
                      <w:szCs w:val="21"/>
                    </w:rPr>
                  </w:pPr>
                  <w:r>
                    <w:rPr>
                      <w:rFonts w:hint="default" w:ascii="Times New Roman" w:hAnsi="Times New Roman" w:cs="Times New Roman"/>
                      <w:bCs/>
                      <w:color w:val="FF0000"/>
                      <w:szCs w:val="21"/>
                    </w:rPr>
                    <w:t>时段</w:t>
                  </w:r>
                </w:p>
              </w:tc>
              <w:tc>
                <w:tcPr>
                  <w:tcW w:w="1522" w:type="dxa"/>
                  <w:vMerge w:val="restart"/>
                  <w:tcBorders>
                    <w:tl2br w:val="nil"/>
                    <w:tr2bl w:val="nil"/>
                  </w:tcBorders>
                  <w:vAlign w:val="center"/>
                </w:tcPr>
                <w:p w14:paraId="60C1CBDB">
                  <w:pPr>
                    <w:jc w:val="center"/>
                    <w:rPr>
                      <w:rFonts w:hint="default" w:ascii="Times New Roman" w:hAnsi="Times New Roman" w:cs="Times New Roman"/>
                      <w:bCs/>
                      <w:color w:val="FF0000"/>
                      <w:szCs w:val="21"/>
                    </w:rPr>
                  </w:pPr>
                  <w:r>
                    <w:rPr>
                      <w:rFonts w:hint="default" w:ascii="Times New Roman" w:hAnsi="Times New Roman" w:cs="Times New Roman"/>
                      <w:bCs/>
                      <w:color w:val="FF0000"/>
                      <w:szCs w:val="21"/>
                    </w:rPr>
                    <w:t>贡献值dB(A)</w:t>
                  </w:r>
                </w:p>
              </w:tc>
              <w:tc>
                <w:tcPr>
                  <w:tcW w:w="1554" w:type="dxa"/>
                  <w:vMerge w:val="restart"/>
                  <w:tcBorders>
                    <w:tl2br w:val="nil"/>
                    <w:tr2bl w:val="nil"/>
                  </w:tcBorders>
                  <w:vAlign w:val="center"/>
                </w:tcPr>
                <w:p w14:paraId="05B684DA">
                  <w:pPr>
                    <w:jc w:val="center"/>
                    <w:rPr>
                      <w:rFonts w:hint="default" w:ascii="Times New Roman" w:hAnsi="Times New Roman" w:cs="Times New Roman"/>
                      <w:bCs/>
                      <w:color w:val="FF0000"/>
                      <w:szCs w:val="21"/>
                    </w:rPr>
                  </w:pPr>
                  <w:r>
                    <w:rPr>
                      <w:rFonts w:hint="default" w:ascii="Times New Roman" w:hAnsi="Times New Roman" w:cs="Times New Roman"/>
                      <w:bCs/>
                      <w:color w:val="FF0000"/>
                      <w:szCs w:val="21"/>
                    </w:rPr>
                    <w:t>标准值dB(A)</w:t>
                  </w:r>
                </w:p>
              </w:tc>
              <w:tc>
                <w:tcPr>
                  <w:tcW w:w="1100" w:type="dxa"/>
                  <w:vMerge w:val="restart"/>
                  <w:tcBorders>
                    <w:tl2br w:val="nil"/>
                    <w:tr2bl w:val="nil"/>
                  </w:tcBorders>
                  <w:vAlign w:val="center"/>
                </w:tcPr>
                <w:p w14:paraId="46134F13">
                  <w:pPr>
                    <w:jc w:val="center"/>
                    <w:rPr>
                      <w:rFonts w:hint="default" w:ascii="Times New Roman" w:hAnsi="Times New Roman" w:cs="Times New Roman"/>
                      <w:bCs/>
                      <w:color w:val="FF0000"/>
                      <w:szCs w:val="21"/>
                    </w:rPr>
                  </w:pPr>
                  <w:r>
                    <w:rPr>
                      <w:rFonts w:hint="default" w:ascii="Times New Roman" w:hAnsi="Times New Roman" w:cs="Times New Roman"/>
                      <w:bCs/>
                      <w:color w:val="FF0000"/>
                      <w:szCs w:val="21"/>
                    </w:rPr>
                    <w:t>达标情况</w:t>
                  </w:r>
                </w:p>
              </w:tc>
            </w:tr>
            <w:tr w14:paraId="68AD342A">
              <w:tblPrEx>
                <w:tblBorders>
                  <w:top w:val="double" w:color="auto" w:sz="4" w:space="0"/>
                  <w:left w:val="none" w:color="auto" w:sz="0" w:space="0"/>
                  <w:bottom w:val="double" w:color="auto" w:sz="4" w:space="0"/>
                  <w:right w:val="none" w:color="auto" w:sz="0" w:space="0"/>
                  <w:insideH w:val="single" w:color="auto" w:sz="2" w:space="0"/>
                  <w:insideV w:val="single" w:color="auto" w:sz="4" w:space="0"/>
                </w:tblBorders>
                <w:tblCellMar>
                  <w:top w:w="0" w:type="dxa"/>
                  <w:left w:w="108" w:type="dxa"/>
                  <w:bottom w:w="0" w:type="dxa"/>
                  <w:right w:w="108" w:type="dxa"/>
                </w:tblCellMar>
              </w:tblPrEx>
              <w:trPr>
                <w:jc w:val="center"/>
              </w:trPr>
              <w:tc>
                <w:tcPr>
                  <w:tcW w:w="948" w:type="dxa"/>
                  <w:vMerge w:val="continue"/>
                  <w:tcBorders>
                    <w:tl2br w:val="nil"/>
                    <w:tr2bl w:val="nil"/>
                  </w:tcBorders>
                  <w:vAlign w:val="center"/>
                </w:tcPr>
                <w:p w14:paraId="7C29972A">
                  <w:pPr>
                    <w:jc w:val="center"/>
                    <w:rPr>
                      <w:rFonts w:hint="default" w:ascii="Times New Roman" w:hAnsi="Times New Roman" w:cs="Times New Roman"/>
                      <w:bCs/>
                      <w:color w:val="FF0000"/>
                      <w:szCs w:val="21"/>
                    </w:rPr>
                  </w:pPr>
                </w:p>
              </w:tc>
              <w:tc>
                <w:tcPr>
                  <w:tcW w:w="810" w:type="dxa"/>
                  <w:tcBorders>
                    <w:tl2br w:val="nil"/>
                    <w:tr2bl w:val="nil"/>
                  </w:tcBorders>
                  <w:vAlign w:val="center"/>
                </w:tcPr>
                <w:p w14:paraId="62992F4D">
                  <w:pPr>
                    <w:jc w:val="center"/>
                    <w:rPr>
                      <w:rFonts w:hint="default" w:ascii="Times New Roman" w:hAnsi="Times New Roman" w:cs="Times New Roman"/>
                      <w:bCs/>
                      <w:color w:val="FF0000"/>
                      <w:szCs w:val="21"/>
                    </w:rPr>
                  </w:pPr>
                  <w:r>
                    <w:rPr>
                      <w:rFonts w:hint="default" w:ascii="Times New Roman" w:hAnsi="Times New Roman" w:cs="Times New Roman"/>
                      <w:bCs/>
                      <w:color w:val="FF0000"/>
                      <w:szCs w:val="21"/>
                    </w:rPr>
                    <w:t>X</w:t>
                  </w:r>
                </w:p>
              </w:tc>
              <w:tc>
                <w:tcPr>
                  <w:tcW w:w="833" w:type="dxa"/>
                  <w:tcBorders>
                    <w:tl2br w:val="nil"/>
                    <w:tr2bl w:val="nil"/>
                  </w:tcBorders>
                  <w:vAlign w:val="center"/>
                </w:tcPr>
                <w:p w14:paraId="29B87F5B">
                  <w:pPr>
                    <w:jc w:val="center"/>
                    <w:rPr>
                      <w:rFonts w:hint="default" w:ascii="Times New Roman" w:hAnsi="Times New Roman" w:cs="Times New Roman"/>
                      <w:bCs/>
                      <w:color w:val="FF0000"/>
                      <w:szCs w:val="21"/>
                    </w:rPr>
                  </w:pPr>
                  <w:r>
                    <w:rPr>
                      <w:rFonts w:hint="default" w:ascii="Times New Roman" w:hAnsi="Times New Roman" w:cs="Times New Roman"/>
                      <w:bCs/>
                      <w:color w:val="FF0000"/>
                      <w:szCs w:val="21"/>
                    </w:rPr>
                    <w:t>Y</w:t>
                  </w:r>
                </w:p>
              </w:tc>
              <w:tc>
                <w:tcPr>
                  <w:tcW w:w="744" w:type="dxa"/>
                  <w:tcBorders>
                    <w:tl2br w:val="nil"/>
                    <w:tr2bl w:val="nil"/>
                  </w:tcBorders>
                  <w:vAlign w:val="center"/>
                </w:tcPr>
                <w:p w14:paraId="25FA8C7E">
                  <w:pPr>
                    <w:jc w:val="center"/>
                    <w:rPr>
                      <w:rFonts w:hint="default" w:ascii="Times New Roman" w:hAnsi="Times New Roman" w:cs="Times New Roman"/>
                      <w:bCs/>
                      <w:color w:val="FF0000"/>
                      <w:szCs w:val="21"/>
                    </w:rPr>
                  </w:pPr>
                  <w:r>
                    <w:rPr>
                      <w:rFonts w:hint="default" w:ascii="Times New Roman" w:hAnsi="Times New Roman" w:cs="Times New Roman"/>
                      <w:bCs/>
                      <w:color w:val="FF0000"/>
                      <w:szCs w:val="21"/>
                    </w:rPr>
                    <w:t>Z</w:t>
                  </w:r>
                </w:p>
              </w:tc>
              <w:tc>
                <w:tcPr>
                  <w:tcW w:w="793" w:type="dxa"/>
                  <w:vMerge w:val="continue"/>
                  <w:tcBorders>
                    <w:tl2br w:val="nil"/>
                    <w:tr2bl w:val="nil"/>
                  </w:tcBorders>
                  <w:vAlign w:val="center"/>
                </w:tcPr>
                <w:p w14:paraId="17EC8DBA">
                  <w:pPr>
                    <w:jc w:val="center"/>
                    <w:rPr>
                      <w:rFonts w:hint="default" w:ascii="Times New Roman" w:hAnsi="Times New Roman" w:cs="Times New Roman"/>
                      <w:bCs/>
                      <w:color w:val="FF0000"/>
                      <w:szCs w:val="21"/>
                    </w:rPr>
                  </w:pPr>
                </w:p>
              </w:tc>
              <w:tc>
                <w:tcPr>
                  <w:tcW w:w="1522" w:type="dxa"/>
                  <w:vMerge w:val="continue"/>
                  <w:tcBorders>
                    <w:tl2br w:val="nil"/>
                    <w:tr2bl w:val="nil"/>
                  </w:tcBorders>
                  <w:vAlign w:val="center"/>
                </w:tcPr>
                <w:p w14:paraId="6905C4C7">
                  <w:pPr>
                    <w:jc w:val="center"/>
                    <w:rPr>
                      <w:rFonts w:hint="default" w:ascii="Times New Roman" w:hAnsi="Times New Roman" w:cs="Times New Roman"/>
                      <w:bCs/>
                      <w:color w:val="FF0000"/>
                      <w:szCs w:val="21"/>
                    </w:rPr>
                  </w:pPr>
                </w:p>
              </w:tc>
              <w:tc>
                <w:tcPr>
                  <w:tcW w:w="1554" w:type="dxa"/>
                  <w:vMerge w:val="continue"/>
                  <w:tcBorders>
                    <w:tl2br w:val="nil"/>
                    <w:tr2bl w:val="nil"/>
                  </w:tcBorders>
                  <w:vAlign w:val="center"/>
                </w:tcPr>
                <w:p w14:paraId="1D5AE694">
                  <w:pPr>
                    <w:jc w:val="center"/>
                    <w:rPr>
                      <w:rFonts w:hint="default" w:ascii="Times New Roman" w:hAnsi="Times New Roman" w:cs="Times New Roman"/>
                      <w:bCs/>
                      <w:color w:val="FF0000"/>
                      <w:szCs w:val="21"/>
                    </w:rPr>
                  </w:pPr>
                </w:p>
              </w:tc>
              <w:tc>
                <w:tcPr>
                  <w:tcW w:w="1100" w:type="dxa"/>
                  <w:vMerge w:val="continue"/>
                  <w:tcBorders>
                    <w:tl2br w:val="nil"/>
                    <w:tr2bl w:val="nil"/>
                  </w:tcBorders>
                  <w:vAlign w:val="center"/>
                </w:tcPr>
                <w:p w14:paraId="434C7EE7">
                  <w:pPr>
                    <w:jc w:val="center"/>
                    <w:rPr>
                      <w:rFonts w:hint="default" w:ascii="Times New Roman" w:hAnsi="Times New Roman" w:cs="Times New Roman"/>
                      <w:bCs/>
                      <w:color w:val="FF0000"/>
                      <w:szCs w:val="21"/>
                    </w:rPr>
                  </w:pPr>
                </w:p>
              </w:tc>
            </w:tr>
            <w:tr w14:paraId="64506F8C">
              <w:tblPrEx>
                <w:tblBorders>
                  <w:top w:val="double" w:color="auto" w:sz="4" w:space="0"/>
                  <w:left w:val="none" w:color="auto" w:sz="0" w:space="0"/>
                  <w:bottom w:val="double" w:color="auto" w:sz="4" w:space="0"/>
                  <w:right w:val="none" w:color="auto" w:sz="0" w:space="0"/>
                  <w:insideH w:val="single" w:color="auto" w:sz="2" w:space="0"/>
                  <w:insideV w:val="single" w:color="auto" w:sz="4" w:space="0"/>
                </w:tblBorders>
                <w:tblCellMar>
                  <w:top w:w="0" w:type="dxa"/>
                  <w:left w:w="108" w:type="dxa"/>
                  <w:bottom w:w="0" w:type="dxa"/>
                  <w:right w:w="108" w:type="dxa"/>
                </w:tblCellMar>
              </w:tblPrEx>
              <w:trPr>
                <w:trHeight w:val="133" w:hRule="atLeast"/>
                <w:jc w:val="center"/>
              </w:trPr>
              <w:tc>
                <w:tcPr>
                  <w:tcW w:w="948" w:type="dxa"/>
                  <w:vMerge w:val="restart"/>
                  <w:tcBorders>
                    <w:tl2br w:val="nil"/>
                    <w:tr2bl w:val="nil"/>
                  </w:tcBorders>
                  <w:vAlign w:val="center"/>
                </w:tcPr>
                <w:p w14:paraId="57B71DB3">
                  <w:pPr>
                    <w:jc w:val="center"/>
                    <w:rPr>
                      <w:rFonts w:hint="default" w:ascii="Times New Roman" w:hAnsi="Times New Roman" w:cs="Times New Roman"/>
                      <w:bCs/>
                      <w:color w:val="FF0000"/>
                      <w:szCs w:val="21"/>
                    </w:rPr>
                  </w:pPr>
                  <w:r>
                    <w:rPr>
                      <w:rFonts w:hint="default" w:ascii="Times New Roman" w:hAnsi="Times New Roman" w:cs="Times New Roman"/>
                      <w:bCs/>
                      <w:color w:val="FF0000"/>
                      <w:szCs w:val="21"/>
                    </w:rPr>
                    <w:t>东侧</w:t>
                  </w:r>
                </w:p>
              </w:tc>
              <w:tc>
                <w:tcPr>
                  <w:tcW w:w="810" w:type="dxa"/>
                  <w:tcBorders>
                    <w:tl2br w:val="nil"/>
                    <w:tr2bl w:val="nil"/>
                  </w:tcBorders>
                  <w:shd w:val="clear" w:color="auto" w:fill="auto"/>
                  <w:vAlign w:val="center"/>
                </w:tcPr>
                <w:p w14:paraId="26FB5231">
                  <w:pPr>
                    <w:jc w:val="center"/>
                    <w:rPr>
                      <w:rFonts w:hint="default" w:ascii="Times New Roman" w:hAnsi="Times New Roman" w:cs="Times New Roman"/>
                      <w:bCs/>
                      <w:color w:val="FF0000"/>
                      <w:szCs w:val="21"/>
                    </w:rPr>
                  </w:pPr>
                  <w:r>
                    <w:rPr>
                      <w:rFonts w:hint="default" w:ascii="Times New Roman" w:hAnsi="Times New Roman" w:cs="Times New Roman"/>
                      <w:bCs/>
                      <w:color w:val="FF0000"/>
                      <w:szCs w:val="21"/>
                    </w:rPr>
                    <w:t>225</w:t>
                  </w:r>
                </w:p>
              </w:tc>
              <w:tc>
                <w:tcPr>
                  <w:tcW w:w="833" w:type="dxa"/>
                  <w:tcBorders>
                    <w:tl2br w:val="nil"/>
                    <w:tr2bl w:val="nil"/>
                  </w:tcBorders>
                  <w:shd w:val="clear" w:color="auto" w:fill="auto"/>
                  <w:vAlign w:val="center"/>
                </w:tcPr>
                <w:p w14:paraId="128CE670">
                  <w:pPr>
                    <w:jc w:val="center"/>
                    <w:rPr>
                      <w:rFonts w:hint="default" w:ascii="Times New Roman" w:hAnsi="Times New Roman" w:cs="Times New Roman"/>
                      <w:bCs/>
                      <w:color w:val="FF0000"/>
                      <w:szCs w:val="21"/>
                    </w:rPr>
                  </w:pPr>
                  <w:r>
                    <w:rPr>
                      <w:rFonts w:hint="default" w:ascii="Times New Roman" w:hAnsi="Times New Roman" w:cs="Times New Roman"/>
                      <w:bCs/>
                      <w:color w:val="FF0000"/>
                      <w:szCs w:val="21"/>
                    </w:rPr>
                    <w:t>58</w:t>
                  </w:r>
                </w:p>
              </w:tc>
              <w:tc>
                <w:tcPr>
                  <w:tcW w:w="744" w:type="dxa"/>
                  <w:tcBorders>
                    <w:tl2br w:val="nil"/>
                    <w:tr2bl w:val="nil"/>
                  </w:tcBorders>
                  <w:vAlign w:val="center"/>
                </w:tcPr>
                <w:p w14:paraId="427118D9">
                  <w:pPr>
                    <w:jc w:val="center"/>
                    <w:rPr>
                      <w:rFonts w:hint="default" w:ascii="Times New Roman" w:hAnsi="Times New Roman" w:cs="Times New Roman"/>
                      <w:bCs/>
                      <w:color w:val="FF0000"/>
                      <w:szCs w:val="21"/>
                    </w:rPr>
                  </w:pPr>
                  <w:r>
                    <w:rPr>
                      <w:rFonts w:hint="default" w:ascii="Times New Roman" w:hAnsi="Times New Roman" w:cs="Times New Roman"/>
                      <w:bCs/>
                      <w:color w:val="FF0000"/>
                      <w:szCs w:val="21"/>
                    </w:rPr>
                    <w:t>1</w:t>
                  </w:r>
                </w:p>
              </w:tc>
              <w:tc>
                <w:tcPr>
                  <w:tcW w:w="793" w:type="dxa"/>
                  <w:tcBorders>
                    <w:tl2br w:val="nil"/>
                    <w:tr2bl w:val="nil"/>
                  </w:tcBorders>
                  <w:vAlign w:val="center"/>
                </w:tcPr>
                <w:p w14:paraId="07D32596">
                  <w:pPr>
                    <w:jc w:val="center"/>
                    <w:rPr>
                      <w:rFonts w:hint="default" w:ascii="Times New Roman" w:hAnsi="Times New Roman" w:cs="Times New Roman"/>
                      <w:bCs/>
                      <w:color w:val="FF0000"/>
                      <w:szCs w:val="21"/>
                    </w:rPr>
                  </w:pPr>
                  <w:r>
                    <w:rPr>
                      <w:rFonts w:hint="default" w:ascii="Times New Roman" w:hAnsi="Times New Roman" w:cs="Times New Roman"/>
                      <w:bCs/>
                      <w:color w:val="FF0000"/>
                      <w:szCs w:val="21"/>
                    </w:rPr>
                    <w:t>昼间</w:t>
                  </w:r>
                </w:p>
              </w:tc>
              <w:tc>
                <w:tcPr>
                  <w:tcW w:w="1522" w:type="dxa"/>
                  <w:tcBorders>
                    <w:tl2br w:val="nil"/>
                    <w:tr2bl w:val="nil"/>
                  </w:tcBorders>
                  <w:vAlign w:val="center"/>
                </w:tcPr>
                <w:p w14:paraId="4A559C6C">
                  <w:pPr>
                    <w:jc w:val="center"/>
                    <w:rPr>
                      <w:rFonts w:hint="default" w:ascii="Times New Roman" w:hAnsi="Times New Roman" w:cs="Times New Roman"/>
                      <w:bCs/>
                      <w:color w:val="FF0000"/>
                      <w:szCs w:val="21"/>
                    </w:rPr>
                  </w:pPr>
                  <w:r>
                    <w:rPr>
                      <w:rFonts w:hint="default" w:ascii="Times New Roman" w:hAnsi="Times New Roman" w:cs="Times New Roman"/>
                      <w:bCs/>
                      <w:color w:val="FF0000"/>
                      <w:szCs w:val="21"/>
                    </w:rPr>
                    <w:t>38.2</w:t>
                  </w:r>
                </w:p>
              </w:tc>
              <w:tc>
                <w:tcPr>
                  <w:tcW w:w="1554" w:type="dxa"/>
                  <w:tcBorders>
                    <w:tl2br w:val="nil"/>
                    <w:tr2bl w:val="nil"/>
                  </w:tcBorders>
                  <w:vAlign w:val="center"/>
                </w:tcPr>
                <w:p w14:paraId="515EA629">
                  <w:pPr>
                    <w:jc w:val="center"/>
                    <w:rPr>
                      <w:rFonts w:hint="default" w:ascii="Times New Roman" w:hAnsi="Times New Roman" w:cs="Times New Roman"/>
                      <w:bCs/>
                      <w:color w:val="FF0000"/>
                      <w:szCs w:val="21"/>
                    </w:rPr>
                  </w:pPr>
                  <w:r>
                    <w:rPr>
                      <w:rFonts w:hint="default" w:ascii="Times New Roman" w:hAnsi="Times New Roman" w:cs="Times New Roman"/>
                      <w:bCs/>
                      <w:color w:val="FF0000"/>
                      <w:szCs w:val="21"/>
                    </w:rPr>
                    <w:t>60</w:t>
                  </w:r>
                </w:p>
              </w:tc>
              <w:tc>
                <w:tcPr>
                  <w:tcW w:w="1100" w:type="dxa"/>
                  <w:vMerge w:val="restart"/>
                  <w:tcBorders>
                    <w:tl2br w:val="nil"/>
                    <w:tr2bl w:val="nil"/>
                  </w:tcBorders>
                  <w:vAlign w:val="center"/>
                </w:tcPr>
                <w:p w14:paraId="37196550">
                  <w:pPr>
                    <w:jc w:val="center"/>
                    <w:rPr>
                      <w:rFonts w:hint="default" w:ascii="Times New Roman" w:hAnsi="Times New Roman" w:cs="Times New Roman"/>
                      <w:bCs/>
                      <w:color w:val="FF0000"/>
                      <w:szCs w:val="21"/>
                    </w:rPr>
                  </w:pPr>
                  <w:r>
                    <w:rPr>
                      <w:rFonts w:hint="default" w:ascii="Times New Roman" w:hAnsi="Times New Roman" w:cs="Times New Roman"/>
                      <w:bCs/>
                      <w:color w:val="FF0000"/>
                      <w:szCs w:val="21"/>
                    </w:rPr>
                    <w:t>达标</w:t>
                  </w:r>
                </w:p>
              </w:tc>
            </w:tr>
            <w:tr w14:paraId="5DF0EEC2">
              <w:tblPrEx>
                <w:tblBorders>
                  <w:top w:val="double" w:color="auto" w:sz="4" w:space="0"/>
                  <w:left w:val="none" w:color="auto" w:sz="0" w:space="0"/>
                  <w:bottom w:val="double" w:color="auto" w:sz="4" w:space="0"/>
                  <w:right w:val="none" w:color="auto" w:sz="0" w:space="0"/>
                  <w:insideH w:val="single" w:color="auto" w:sz="2" w:space="0"/>
                  <w:insideV w:val="single" w:color="auto" w:sz="4" w:space="0"/>
                </w:tblBorders>
                <w:tblCellMar>
                  <w:top w:w="0" w:type="dxa"/>
                  <w:left w:w="108" w:type="dxa"/>
                  <w:bottom w:w="0" w:type="dxa"/>
                  <w:right w:w="108" w:type="dxa"/>
                </w:tblCellMar>
              </w:tblPrEx>
              <w:trPr>
                <w:trHeight w:val="133" w:hRule="atLeast"/>
                <w:jc w:val="center"/>
              </w:trPr>
              <w:tc>
                <w:tcPr>
                  <w:tcW w:w="948" w:type="dxa"/>
                  <w:vMerge w:val="continue"/>
                  <w:tcBorders>
                    <w:tl2br w:val="nil"/>
                    <w:tr2bl w:val="nil"/>
                  </w:tcBorders>
                  <w:vAlign w:val="center"/>
                </w:tcPr>
                <w:p w14:paraId="7CD4449E">
                  <w:pPr>
                    <w:jc w:val="center"/>
                    <w:rPr>
                      <w:rFonts w:hint="default" w:ascii="Times New Roman" w:hAnsi="Times New Roman" w:cs="Times New Roman"/>
                      <w:bCs/>
                      <w:color w:val="FF0000"/>
                      <w:szCs w:val="21"/>
                    </w:rPr>
                  </w:pPr>
                </w:p>
              </w:tc>
              <w:tc>
                <w:tcPr>
                  <w:tcW w:w="810" w:type="dxa"/>
                  <w:tcBorders>
                    <w:tl2br w:val="nil"/>
                    <w:tr2bl w:val="nil"/>
                  </w:tcBorders>
                  <w:shd w:val="clear" w:color="auto" w:fill="auto"/>
                  <w:vAlign w:val="center"/>
                </w:tcPr>
                <w:p w14:paraId="76595DC7">
                  <w:pPr>
                    <w:jc w:val="center"/>
                    <w:rPr>
                      <w:rFonts w:hint="default" w:ascii="Times New Roman" w:hAnsi="Times New Roman" w:cs="Times New Roman"/>
                      <w:bCs/>
                      <w:color w:val="FF0000"/>
                      <w:szCs w:val="21"/>
                    </w:rPr>
                  </w:pPr>
                  <w:r>
                    <w:rPr>
                      <w:rFonts w:hint="default" w:ascii="Times New Roman" w:hAnsi="Times New Roman" w:cs="Times New Roman"/>
                      <w:bCs/>
                      <w:color w:val="FF0000"/>
                      <w:szCs w:val="21"/>
                    </w:rPr>
                    <w:t>225</w:t>
                  </w:r>
                </w:p>
              </w:tc>
              <w:tc>
                <w:tcPr>
                  <w:tcW w:w="833" w:type="dxa"/>
                  <w:tcBorders>
                    <w:tl2br w:val="nil"/>
                    <w:tr2bl w:val="nil"/>
                  </w:tcBorders>
                  <w:shd w:val="clear" w:color="auto" w:fill="auto"/>
                  <w:vAlign w:val="center"/>
                </w:tcPr>
                <w:p w14:paraId="5D6F8936">
                  <w:pPr>
                    <w:jc w:val="center"/>
                    <w:rPr>
                      <w:rFonts w:hint="default" w:ascii="Times New Roman" w:hAnsi="Times New Roman" w:cs="Times New Roman"/>
                      <w:bCs/>
                      <w:color w:val="FF0000"/>
                      <w:szCs w:val="21"/>
                    </w:rPr>
                  </w:pPr>
                  <w:r>
                    <w:rPr>
                      <w:rFonts w:hint="default" w:ascii="Times New Roman" w:hAnsi="Times New Roman" w:cs="Times New Roman"/>
                      <w:bCs/>
                      <w:color w:val="FF0000"/>
                      <w:szCs w:val="21"/>
                    </w:rPr>
                    <w:t>58</w:t>
                  </w:r>
                </w:p>
              </w:tc>
              <w:tc>
                <w:tcPr>
                  <w:tcW w:w="744" w:type="dxa"/>
                  <w:tcBorders>
                    <w:tl2br w:val="nil"/>
                    <w:tr2bl w:val="nil"/>
                  </w:tcBorders>
                  <w:vAlign w:val="center"/>
                </w:tcPr>
                <w:p w14:paraId="1AEFC871">
                  <w:pPr>
                    <w:jc w:val="center"/>
                    <w:rPr>
                      <w:rFonts w:hint="default" w:ascii="Times New Roman" w:hAnsi="Times New Roman" w:cs="Times New Roman"/>
                      <w:bCs/>
                      <w:color w:val="FF0000"/>
                      <w:szCs w:val="21"/>
                    </w:rPr>
                  </w:pPr>
                  <w:r>
                    <w:rPr>
                      <w:rFonts w:hint="default" w:ascii="Times New Roman" w:hAnsi="Times New Roman" w:cs="Times New Roman"/>
                      <w:bCs/>
                      <w:color w:val="FF0000"/>
                      <w:szCs w:val="21"/>
                    </w:rPr>
                    <w:t>1</w:t>
                  </w:r>
                </w:p>
              </w:tc>
              <w:tc>
                <w:tcPr>
                  <w:tcW w:w="793" w:type="dxa"/>
                  <w:tcBorders>
                    <w:tl2br w:val="nil"/>
                    <w:tr2bl w:val="nil"/>
                  </w:tcBorders>
                  <w:vAlign w:val="center"/>
                </w:tcPr>
                <w:p w14:paraId="7BE95922">
                  <w:pPr>
                    <w:jc w:val="center"/>
                    <w:rPr>
                      <w:rFonts w:hint="default" w:ascii="Times New Roman" w:hAnsi="Times New Roman" w:cs="Times New Roman"/>
                      <w:bCs/>
                      <w:color w:val="FF0000"/>
                      <w:szCs w:val="21"/>
                    </w:rPr>
                  </w:pPr>
                  <w:r>
                    <w:rPr>
                      <w:rFonts w:hint="default" w:ascii="Times New Roman" w:hAnsi="Times New Roman" w:cs="Times New Roman"/>
                      <w:bCs/>
                      <w:color w:val="FF0000"/>
                      <w:szCs w:val="21"/>
                    </w:rPr>
                    <w:t>夜间</w:t>
                  </w:r>
                </w:p>
              </w:tc>
              <w:tc>
                <w:tcPr>
                  <w:tcW w:w="1522" w:type="dxa"/>
                  <w:tcBorders>
                    <w:tl2br w:val="nil"/>
                    <w:tr2bl w:val="nil"/>
                  </w:tcBorders>
                  <w:vAlign w:val="center"/>
                </w:tcPr>
                <w:p w14:paraId="420D757F">
                  <w:pPr>
                    <w:jc w:val="center"/>
                    <w:rPr>
                      <w:rFonts w:hint="default" w:ascii="Times New Roman" w:hAnsi="Times New Roman" w:cs="Times New Roman"/>
                      <w:bCs/>
                      <w:color w:val="FF0000"/>
                      <w:szCs w:val="21"/>
                    </w:rPr>
                  </w:pPr>
                  <w:r>
                    <w:rPr>
                      <w:rFonts w:hint="default" w:ascii="Times New Roman" w:hAnsi="Times New Roman" w:cs="Times New Roman"/>
                      <w:bCs/>
                      <w:color w:val="FF0000"/>
                      <w:szCs w:val="21"/>
                    </w:rPr>
                    <w:t>33.6</w:t>
                  </w:r>
                </w:p>
              </w:tc>
              <w:tc>
                <w:tcPr>
                  <w:tcW w:w="1554" w:type="dxa"/>
                  <w:tcBorders>
                    <w:tl2br w:val="nil"/>
                    <w:tr2bl w:val="nil"/>
                  </w:tcBorders>
                  <w:vAlign w:val="center"/>
                </w:tcPr>
                <w:p w14:paraId="196164A0">
                  <w:pPr>
                    <w:jc w:val="center"/>
                    <w:rPr>
                      <w:rFonts w:hint="default" w:ascii="Times New Roman" w:hAnsi="Times New Roman" w:cs="Times New Roman"/>
                      <w:bCs/>
                      <w:color w:val="FF0000"/>
                      <w:szCs w:val="21"/>
                    </w:rPr>
                  </w:pPr>
                  <w:r>
                    <w:rPr>
                      <w:rFonts w:hint="default" w:ascii="Times New Roman" w:hAnsi="Times New Roman" w:cs="Times New Roman"/>
                      <w:bCs/>
                      <w:color w:val="FF0000"/>
                      <w:szCs w:val="21"/>
                    </w:rPr>
                    <w:t>50</w:t>
                  </w:r>
                </w:p>
              </w:tc>
              <w:tc>
                <w:tcPr>
                  <w:tcW w:w="1100" w:type="dxa"/>
                  <w:vMerge w:val="continue"/>
                  <w:tcBorders>
                    <w:tl2br w:val="nil"/>
                    <w:tr2bl w:val="nil"/>
                  </w:tcBorders>
                  <w:vAlign w:val="center"/>
                </w:tcPr>
                <w:p w14:paraId="485E1FA6">
                  <w:pPr>
                    <w:jc w:val="center"/>
                    <w:rPr>
                      <w:rFonts w:hint="default" w:ascii="Times New Roman" w:hAnsi="Times New Roman" w:cs="Times New Roman"/>
                      <w:bCs/>
                      <w:color w:val="FF0000"/>
                      <w:szCs w:val="21"/>
                    </w:rPr>
                  </w:pPr>
                </w:p>
              </w:tc>
            </w:tr>
            <w:tr w14:paraId="35F69CD2">
              <w:tblPrEx>
                <w:tblBorders>
                  <w:top w:val="double" w:color="auto" w:sz="4" w:space="0"/>
                  <w:left w:val="none" w:color="auto" w:sz="0" w:space="0"/>
                  <w:bottom w:val="double" w:color="auto" w:sz="4" w:space="0"/>
                  <w:right w:val="none" w:color="auto" w:sz="0" w:space="0"/>
                  <w:insideH w:val="single" w:color="auto" w:sz="2" w:space="0"/>
                  <w:insideV w:val="single" w:color="auto" w:sz="4" w:space="0"/>
                </w:tblBorders>
                <w:tblCellMar>
                  <w:top w:w="0" w:type="dxa"/>
                  <w:left w:w="108" w:type="dxa"/>
                  <w:bottom w:w="0" w:type="dxa"/>
                  <w:right w:w="108" w:type="dxa"/>
                </w:tblCellMar>
              </w:tblPrEx>
              <w:trPr>
                <w:trHeight w:val="133" w:hRule="atLeast"/>
                <w:jc w:val="center"/>
              </w:trPr>
              <w:tc>
                <w:tcPr>
                  <w:tcW w:w="948" w:type="dxa"/>
                  <w:vMerge w:val="restart"/>
                  <w:tcBorders>
                    <w:tl2br w:val="nil"/>
                    <w:tr2bl w:val="nil"/>
                  </w:tcBorders>
                  <w:vAlign w:val="center"/>
                </w:tcPr>
                <w:p w14:paraId="7F045EF1">
                  <w:pPr>
                    <w:jc w:val="center"/>
                    <w:rPr>
                      <w:rFonts w:hint="default" w:ascii="Times New Roman" w:hAnsi="Times New Roman" w:cs="Times New Roman"/>
                      <w:bCs/>
                      <w:color w:val="FF0000"/>
                      <w:szCs w:val="21"/>
                    </w:rPr>
                  </w:pPr>
                  <w:r>
                    <w:rPr>
                      <w:rFonts w:hint="default" w:ascii="Times New Roman" w:hAnsi="Times New Roman" w:cs="Times New Roman"/>
                      <w:bCs/>
                      <w:color w:val="FF0000"/>
                      <w:szCs w:val="21"/>
                    </w:rPr>
                    <w:t>南侧</w:t>
                  </w:r>
                </w:p>
              </w:tc>
              <w:tc>
                <w:tcPr>
                  <w:tcW w:w="810" w:type="dxa"/>
                  <w:tcBorders>
                    <w:tl2br w:val="nil"/>
                    <w:tr2bl w:val="nil"/>
                  </w:tcBorders>
                  <w:vAlign w:val="center"/>
                </w:tcPr>
                <w:p w14:paraId="65BB34EA">
                  <w:pPr>
                    <w:jc w:val="center"/>
                    <w:rPr>
                      <w:rFonts w:hint="default" w:ascii="Times New Roman" w:hAnsi="Times New Roman" w:cs="Times New Roman"/>
                      <w:bCs/>
                      <w:color w:val="FF0000"/>
                      <w:szCs w:val="21"/>
                    </w:rPr>
                  </w:pPr>
                  <w:r>
                    <w:rPr>
                      <w:rFonts w:hint="default" w:ascii="Times New Roman" w:hAnsi="Times New Roman" w:cs="Times New Roman"/>
                      <w:bCs/>
                      <w:color w:val="FF0000"/>
                      <w:szCs w:val="21"/>
                    </w:rPr>
                    <w:t>112</w:t>
                  </w:r>
                </w:p>
              </w:tc>
              <w:tc>
                <w:tcPr>
                  <w:tcW w:w="833" w:type="dxa"/>
                  <w:tcBorders>
                    <w:tl2br w:val="nil"/>
                    <w:tr2bl w:val="nil"/>
                  </w:tcBorders>
                  <w:vAlign w:val="center"/>
                </w:tcPr>
                <w:p w14:paraId="59E9EE77">
                  <w:pPr>
                    <w:jc w:val="center"/>
                    <w:rPr>
                      <w:rFonts w:hint="default" w:ascii="Times New Roman" w:hAnsi="Times New Roman" w:cs="Times New Roman"/>
                      <w:bCs/>
                      <w:color w:val="FF0000"/>
                      <w:szCs w:val="21"/>
                    </w:rPr>
                  </w:pPr>
                  <w:r>
                    <w:rPr>
                      <w:rFonts w:hint="default" w:ascii="Times New Roman" w:hAnsi="Times New Roman" w:cs="Times New Roman"/>
                      <w:bCs/>
                      <w:color w:val="FF0000"/>
                      <w:szCs w:val="21"/>
                    </w:rPr>
                    <w:t>0</w:t>
                  </w:r>
                </w:p>
              </w:tc>
              <w:tc>
                <w:tcPr>
                  <w:tcW w:w="744" w:type="dxa"/>
                  <w:tcBorders>
                    <w:tl2br w:val="nil"/>
                    <w:tr2bl w:val="nil"/>
                  </w:tcBorders>
                  <w:vAlign w:val="center"/>
                </w:tcPr>
                <w:p w14:paraId="7E6E35ED">
                  <w:pPr>
                    <w:jc w:val="center"/>
                    <w:rPr>
                      <w:rFonts w:hint="default" w:ascii="Times New Roman" w:hAnsi="Times New Roman" w:cs="Times New Roman"/>
                      <w:bCs/>
                      <w:color w:val="FF0000"/>
                      <w:szCs w:val="21"/>
                    </w:rPr>
                  </w:pPr>
                  <w:r>
                    <w:rPr>
                      <w:rFonts w:hint="default" w:ascii="Times New Roman" w:hAnsi="Times New Roman" w:cs="Times New Roman"/>
                      <w:bCs/>
                      <w:color w:val="FF0000"/>
                      <w:szCs w:val="21"/>
                    </w:rPr>
                    <w:t>1</w:t>
                  </w:r>
                </w:p>
              </w:tc>
              <w:tc>
                <w:tcPr>
                  <w:tcW w:w="793" w:type="dxa"/>
                  <w:tcBorders>
                    <w:tl2br w:val="nil"/>
                    <w:tr2bl w:val="nil"/>
                  </w:tcBorders>
                  <w:vAlign w:val="center"/>
                </w:tcPr>
                <w:p w14:paraId="6517B81C">
                  <w:pPr>
                    <w:jc w:val="center"/>
                    <w:rPr>
                      <w:rFonts w:hint="default" w:ascii="Times New Roman" w:hAnsi="Times New Roman" w:cs="Times New Roman"/>
                      <w:bCs/>
                      <w:color w:val="FF0000"/>
                      <w:szCs w:val="21"/>
                    </w:rPr>
                  </w:pPr>
                  <w:r>
                    <w:rPr>
                      <w:rFonts w:hint="default" w:ascii="Times New Roman" w:hAnsi="Times New Roman" w:cs="Times New Roman"/>
                      <w:bCs/>
                      <w:color w:val="FF0000"/>
                      <w:szCs w:val="21"/>
                    </w:rPr>
                    <w:t>昼间</w:t>
                  </w:r>
                </w:p>
              </w:tc>
              <w:tc>
                <w:tcPr>
                  <w:tcW w:w="1522" w:type="dxa"/>
                  <w:tcBorders>
                    <w:tl2br w:val="nil"/>
                    <w:tr2bl w:val="nil"/>
                  </w:tcBorders>
                  <w:vAlign w:val="center"/>
                </w:tcPr>
                <w:p w14:paraId="59FF037B">
                  <w:pPr>
                    <w:jc w:val="center"/>
                    <w:rPr>
                      <w:rFonts w:hint="default" w:ascii="Times New Roman" w:hAnsi="Times New Roman" w:cs="Times New Roman"/>
                      <w:bCs/>
                      <w:color w:val="FF0000"/>
                      <w:szCs w:val="21"/>
                    </w:rPr>
                  </w:pPr>
                  <w:r>
                    <w:rPr>
                      <w:rFonts w:hint="default" w:ascii="Times New Roman" w:hAnsi="Times New Roman" w:cs="Times New Roman"/>
                      <w:bCs/>
                      <w:color w:val="FF0000"/>
                      <w:szCs w:val="21"/>
                    </w:rPr>
                    <w:t>41.5</w:t>
                  </w:r>
                </w:p>
              </w:tc>
              <w:tc>
                <w:tcPr>
                  <w:tcW w:w="1554" w:type="dxa"/>
                  <w:tcBorders>
                    <w:tl2br w:val="nil"/>
                    <w:tr2bl w:val="nil"/>
                  </w:tcBorders>
                  <w:vAlign w:val="center"/>
                </w:tcPr>
                <w:p w14:paraId="27356272">
                  <w:pPr>
                    <w:jc w:val="center"/>
                    <w:rPr>
                      <w:rFonts w:hint="default" w:ascii="Times New Roman" w:hAnsi="Times New Roman" w:cs="Times New Roman"/>
                      <w:bCs/>
                      <w:color w:val="FF0000"/>
                      <w:szCs w:val="21"/>
                    </w:rPr>
                  </w:pPr>
                  <w:r>
                    <w:rPr>
                      <w:rFonts w:hint="default" w:ascii="Times New Roman" w:hAnsi="Times New Roman" w:cs="Times New Roman"/>
                      <w:bCs/>
                      <w:color w:val="FF0000"/>
                      <w:szCs w:val="21"/>
                    </w:rPr>
                    <w:t>70</w:t>
                  </w:r>
                </w:p>
              </w:tc>
              <w:tc>
                <w:tcPr>
                  <w:tcW w:w="1100" w:type="dxa"/>
                  <w:vMerge w:val="restart"/>
                  <w:tcBorders>
                    <w:tl2br w:val="nil"/>
                    <w:tr2bl w:val="nil"/>
                  </w:tcBorders>
                  <w:vAlign w:val="center"/>
                </w:tcPr>
                <w:p w14:paraId="460E844F">
                  <w:pPr>
                    <w:jc w:val="center"/>
                    <w:rPr>
                      <w:rFonts w:hint="default" w:ascii="Times New Roman" w:hAnsi="Times New Roman" w:cs="Times New Roman"/>
                      <w:bCs/>
                      <w:color w:val="FF0000"/>
                      <w:szCs w:val="21"/>
                    </w:rPr>
                  </w:pPr>
                  <w:r>
                    <w:rPr>
                      <w:rFonts w:hint="default" w:ascii="Times New Roman" w:hAnsi="Times New Roman" w:cs="Times New Roman"/>
                      <w:bCs/>
                      <w:color w:val="FF0000"/>
                      <w:szCs w:val="21"/>
                    </w:rPr>
                    <w:t>达标</w:t>
                  </w:r>
                </w:p>
              </w:tc>
            </w:tr>
            <w:tr w14:paraId="3F3D5717">
              <w:tblPrEx>
                <w:tblBorders>
                  <w:top w:val="double" w:color="auto" w:sz="4" w:space="0"/>
                  <w:left w:val="none" w:color="auto" w:sz="0" w:space="0"/>
                  <w:bottom w:val="double" w:color="auto" w:sz="4" w:space="0"/>
                  <w:right w:val="none" w:color="auto" w:sz="0" w:space="0"/>
                  <w:insideH w:val="single" w:color="auto" w:sz="2" w:space="0"/>
                  <w:insideV w:val="single" w:color="auto" w:sz="4" w:space="0"/>
                </w:tblBorders>
                <w:tblCellMar>
                  <w:top w:w="0" w:type="dxa"/>
                  <w:left w:w="108" w:type="dxa"/>
                  <w:bottom w:w="0" w:type="dxa"/>
                  <w:right w:w="108" w:type="dxa"/>
                </w:tblCellMar>
              </w:tblPrEx>
              <w:trPr>
                <w:trHeight w:val="133" w:hRule="atLeast"/>
                <w:jc w:val="center"/>
              </w:trPr>
              <w:tc>
                <w:tcPr>
                  <w:tcW w:w="948" w:type="dxa"/>
                  <w:vMerge w:val="continue"/>
                  <w:tcBorders>
                    <w:tl2br w:val="nil"/>
                    <w:tr2bl w:val="nil"/>
                  </w:tcBorders>
                  <w:vAlign w:val="center"/>
                </w:tcPr>
                <w:p w14:paraId="50EB0120">
                  <w:pPr>
                    <w:jc w:val="center"/>
                    <w:rPr>
                      <w:rFonts w:hint="default" w:ascii="Times New Roman" w:hAnsi="Times New Roman" w:cs="Times New Roman"/>
                      <w:bCs/>
                      <w:color w:val="FF0000"/>
                      <w:szCs w:val="21"/>
                    </w:rPr>
                  </w:pPr>
                </w:p>
              </w:tc>
              <w:tc>
                <w:tcPr>
                  <w:tcW w:w="810" w:type="dxa"/>
                  <w:tcBorders>
                    <w:tl2br w:val="nil"/>
                    <w:tr2bl w:val="nil"/>
                  </w:tcBorders>
                  <w:vAlign w:val="center"/>
                </w:tcPr>
                <w:p w14:paraId="6297047C">
                  <w:pPr>
                    <w:jc w:val="center"/>
                    <w:rPr>
                      <w:rFonts w:hint="default" w:ascii="Times New Roman" w:hAnsi="Times New Roman" w:cs="Times New Roman"/>
                      <w:bCs/>
                      <w:color w:val="FF0000"/>
                      <w:szCs w:val="21"/>
                    </w:rPr>
                  </w:pPr>
                  <w:r>
                    <w:rPr>
                      <w:rFonts w:hint="default" w:ascii="Times New Roman" w:hAnsi="Times New Roman" w:cs="Times New Roman"/>
                      <w:bCs/>
                      <w:color w:val="FF0000"/>
                      <w:szCs w:val="21"/>
                    </w:rPr>
                    <w:t>112</w:t>
                  </w:r>
                </w:p>
              </w:tc>
              <w:tc>
                <w:tcPr>
                  <w:tcW w:w="833" w:type="dxa"/>
                  <w:tcBorders>
                    <w:tl2br w:val="nil"/>
                    <w:tr2bl w:val="nil"/>
                  </w:tcBorders>
                  <w:vAlign w:val="center"/>
                </w:tcPr>
                <w:p w14:paraId="5693FD69">
                  <w:pPr>
                    <w:jc w:val="center"/>
                    <w:rPr>
                      <w:rFonts w:hint="default" w:ascii="Times New Roman" w:hAnsi="Times New Roman" w:cs="Times New Roman"/>
                      <w:bCs/>
                      <w:color w:val="FF0000"/>
                      <w:szCs w:val="21"/>
                    </w:rPr>
                  </w:pPr>
                  <w:r>
                    <w:rPr>
                      <w:rFonts w:hint="default" w:ascii="Times New Roman" w:hAnsi="Times New Roman" w:cs="Times New Roman"/>
                      <w:bCs/>
                      <w:color w:val="FF0000"/>
                      <w:szCs w:val="21"/>
                    </w:rPr>
                    <w:t>0</w:t>
                  </w:r>
                </w:p>
              </w:tc>
              <w:tc>
                <w:tcPr>
                  <w:tcW w:w="744" w:type="dxa"/>
                  <w:tcBorders>
                    <w:tl2br w:val="nil"/>
                    <w:tr2bl w:val="nil"/>
                  </w:tcBorders>
                  <w:vAlign w:val="center"/>
                </w:tcPr>
                <w:p w14:paraId="066D825C">
                  <w:pPr>
                    <w:jc w:val="center"/>
                    <w:rPr>
                      <w:rFonts w:hint="default" w:ascii="Times New Roman" w:hAnsi="Times New Roman" w:cs="Times New Roman"/>
                      <w:bCs/>
                      <w:color w:val="FF0000"/>
                      <w:szCs w:val="21"/>
                    </w:rPr>
                  </w:pPr>
                  <w:r>
                    <w:rPr>
                      <w:rFonts w:hint="default" w:ascii="Times New Roman" w:hAnsi="Times New Roman" w:cs="Times New Roman"/>
                      <w:bCs/>
                      <w:color w:val="FF0000"/>
                      <w:szCs w:val="21"/>
                    </w:rPr>
                    <w:t>1</w:t>
                  </w:r>
                </w:p>
              </w:tc>
              <w:tc>
                <w:tcPr>
                  <w:tcW w:w="793" w:type="dxa"/>
                  <w:tcBorders>
                    <w:tl2br w:val="nil"/>
                    <w:tr2bl w:val="nil"/>
                  </w:tcBorders>
                  <w:vAlign w:val="center"/>
                </w:tcPr>
                <w:p w14:paraId="322EB566">
                  <w:pPr>
                    <w:jc w:val="center"/>
                    <w:rPr>
                      <w:rFonts w:hint="default" w:ascii="Times New Roman" w:hAnsi="Times New Roman" w:cs="Times New Roman"/>
                      <w:bCs/>
                      <w:color w:val="FF0000"/>
                      <w:szCs w:val="21"/>
                    </w:rPr>
                  </w:pPr>
                  <w:r>
                    <w:rPr>
                      <w:rFonts w:hint="default" w:ascii="Times New Roman" w:hAnsi="Times New Roman" w:cs="Times New Roman"/>
                      <w:bCs/>
                      <w:color w:val="FF0000"/>
                      <w:szCs w:val="21"/>
                    </w:rPr>
                    <w:t>夜间</w:t>
                  </w:r>
                </w:p>
              </w:tc>
              <w:tc>
                <w:tcPr>
                  <w:tcW w:w="1522" w:type="dxa"/>
                  <w:tcBorders>
                    <w:tl2br w:val="nil"/>
                    <w:tr2bl w:val="nil"/>
                  </w:tcBorders>
                  <w:vAlign w:val="center"/>
                </w:tcPr>
                <w:p w14:paraId="44F1E9D0">
                  <w:pPr>
                    <w:jc w:val="center"/>
                    <w:rPr>
                      <w:rFonts w:hint="default" w:ascii="Times New Roman" w:hAnsi="Times New Roman" w:cs="Times New Roman"/>
                      <w:bCs/>
                      <w:color w:val="FF0000"/>
                      <w:szCs w:val="21"/>
                    </w:rPr>
                  </w:pPr>
                  <w:r>
                    <w:rPr>
                      <w:rFonts w:hint="default" w:ascii="Times New Roman" w:hAnsi="Times New Roman" w:cs="Times New Roman"/>
                      <w:bCs/>
                      <w:color w:val="FF0000"/>
                      <w:szCs w:val="21"/>
                    </w:rPr>
                    <w:t>36.8</w:t>
                  </w:r>
                </w:p>
              </w:tc>
              <w:tc>
                <w:tcPr>
                  <w:tcW w:w="1554" w:type="dxa"/>
                  <w:tcBorders>
                    <w:tl2br w:val="nil"/>
                    <w:tr2bl w:val="nil"/>
                  </w:tcBorders>
                  <w:vAlign w:val="center"/>
                </w:tcPr>
                <w:p w14:paraId="0FA3AFA6">
                  <w:pPr>
                    <w:jc w:val="center"/>
                    <w:rPr>
                      <w:rFonts w:hint="default" w:ascii="Times New Roman" w:hAnsi="Times New Roman" w:cs="Times New Roman"/>
                      <w:bCs/>
                      <w:color w:val="FF0000"/>
                      <w:szCs w:val="21"/>
                    </w:rPr>
                  </w:pPr>
                  <w:r>
                    <w:rPr>
                      <w:rFonts w:hint="default" w:ascii="Times New Roman" w:hAnsi="Times New Roman" w:cs="Times New Roman"/>
                      <w:bCs/>
                      <w:color w:val="FF0000"/>
                      <w:szCs w:val="21"/>
                    </w:rPr>
                    <w:t>55</w:t>
                  </w:r>
                </w:p>
              </w:tc>
              <w:tc>
                <w:tcPr>
                  <w:tcW w:w="1100" w:type="dxa"/>
                  <w:vMerge w:val="continue"/>
                  <w:tcBorders>
                    <w:tl2br w:val="nil"/>
                    <w:tr2bl w:val="nil"/>
                  </w:tcBorders>
                  <w:vAlign w:val="center"/>
                </w:tcPr>
                <w:p w14:paraId="15963A0A">
                  <w:pPr>
                    <w:jc w:val="center"/>
                    <w:rPr>
                      <w:rFonts w:hint="default" w:ascii="Times New Roman" w:hAnsi="Times New Roman" w:cs="Times New Roman"/>
                      <w:bCs/>
                      <w:color w:val="FF0000"/>
                      <w:szCs w:val="21"/>
                    </w:rPr>
                  </w:pPr>
                </w:p>
              </w:tc>
            </w:tr>
            <w:tr w14:paraId="1DEE05DB">
              <w:tblPrEx>
                <w:tblBorders>
                  <w:top w:val="double" w:color="auto" w:sz="4" w:space="0"/>
                  <w:left w:val="none" w:color="auto" w:sz="0" w:space="0"/>
                  <w:bottom w:val="double" w:color="auto" w:sz="4" w:space="0"/>
                  <w:right w:val="none" w:color="auto" w:sz="0" w:space="0"/>
                  <w:insideH w:val="single" w:color="auto" w:sz="2" w:space="0"/>
                  <w:insideV w:val="single" w:color="auto" w:sz="4" w:space="0"/>
                </w:tblBorders>
                <w:tblCellMar>
                  <w:top w:w="0" w:type="dxa"/>
                  <w:left w:w="108" w:type="dxa"/>
                  <w:bottom w:w="0" w:type="dxa"/>
                  <w:right w:w="108" w:type="dxa"/>
                </w:tblCellMar>
              </w:tblPrEx>
              <w:trPr>
                <w:trHeight w:val="133" w:hRule="atLeast"/>
                <w:jc w:val="center"/>
              </w:trPr>
              <w:tc>
                <w:tcPr>
                  <w:tcW w:w="948" w:type="dxa"/>
                  <w:vMerge w:val="restart"/>
                  <w:tcBorders>
                    <w:tl2br w:val="nil"/>
                    <w:tr2bl w:val="nil"/>
                  </w:tcBorders>
                  <w:vAlign w:val="center"/>
                </w:tcPr>
                <w:p w14:paraId="2F42F5CF">
                  <w:pPr>
                    <w:jc w:val="center"/>
                    <w:rPr>
                      <w:rFonts w:hint="default" w:ascii="Times New Roman" w:hAnsi="Times New Roman" w:cs="Times New Roman"/>
                      <w:bCs/>
                      <w:color w:val="FF0000"/>
                      <w:szCs w:val="21"/>
                    </w:rPr>
                  </w:pPr>
                  <w:r>
                    <w:rPr>
                      <w:rFonts w:hint="default" w:ascii="Times New Roman" w:hAnsi="Times New Roman" w:cs="Times New Roman"/>
                      <w:bCs/>
                      <w:color w:val="FF0000"/>
                      <w:szCs w:val="21"/>
                    </w:rPr>
                    <w:t>西侧</w:t>
                  </w:r>
                </w:p>
              </w:tc>
              <w:tc>
                <w:tcPr>
                  <w:tcW w:w="810" w:type="dxa"/>
                  <w:tcBorders>
                    <w:tl2br w:val="nil"/>
                    <w:tr2bl w:val="nil"/>
                  </w:tcBorders>
                  <w:vAlign w:val="center"/>
                </w:tcPr>
                <w:p w14:paraId="36DCC19E">
                  <w:pPr>
                    <w:jc w:val="center"/>
                    <w:rPr>
                      <w:rFonts w:hint="default" w:ascii="Times New Roman" w:hAnsi="Times New Roman" w:cs="Times New Roman"/>
                      <w:bCs/>
                      <w:color w:val="FF0000"/>
                      <w:szCs w:val="21"/>
                    </w:rPr>
                  </w:pPr>
                  <w:r>
                    <w:rPr>
                      <w:rFonts w:hint="default" w:ascii="Times New Roman" w:hAnsi="Times New Roman" w:cs="Times New Roman"/>
                      <w:bCs/>
                      <w:color w:val="FF0000"/>
                      <w:szCs w:val="21"/>
                    </w:rPr>
                    <w:t>0</w:t>
                  </w:r>
                </w:p>
              </w:tc>
              <w:tc>
                <w:tcPr>
                  <w:tcW w:w="833" w:type="dxa"/>
                  <w:tcBorders>
                    <w:tl2br w:val="nil"/>
                    <w:tr2bl w:val="nil"/>
                  </w:tcBorders>
                  <w:vAlign w:val="center"/>
                </w:tcPr>
                <w:p w14:paraId="4DFCA5CF">
                  <w:pPr>
                    <w:jc w:val="center"/>
                    <w:rPr>
                      <w:rFonts w:hint="default" w:ascii="Times New Roman" w:hAnsi="Times New Roman" w:cs="Times New Roman"/>
                      <w:bCs/>
                      <w:color w:val="FF0000"/>
                      <w:szCs w:val="21"/>
                    </w:rPr>
                  </w:pPr>
                  <w:r>
                    <w:rPr>
                      <w:rFonts w:hint="default" w:ascii="Times New Roman" w:hAnsi="Times New Roman" w:cs="Times New Roman"/>
                      <w:bCs/>
                      <w:color w:val="FF0000"/>
                      <w:szCs w:val="21"/>
                    </w:rPr>
                    <w:t>58</w:t>
                  </w:r>
                </w:p>
              </w:tc>
              <w:tc>
                <w:tcPr>
                  <w:tcW w:w="744" w:type="dxa"/>
                  <w:tcBorders>
                    <w:tl2br w:val="nil"/>
                    <w:tr2bl w:val="nil"/>
                  </w:tcBorders>
                  <w:vAlign w:val="center"/>
                </w:tcPr>
                <w:p w14:paraId="7071E71D">
                  <w:pPr>
                    <w:jc w:val="center"/>
                    <w:rPr>
                      <w:rFonts w:hint="default" w:ascii="Times New Roman" w:hAnsi="Times New Roman" w:cs="Times New Roman"/>
                      <w:bCs/>
                      <w:color w:val="FF0000"/>
                      <w:szCs w:val="21"/>
                    </w:rPr>
                  </w:pPr>
                  <w:r>
                    <w:rPr>
                      <w:rFonts w:hint="default" w:ascii="Times New Roman" w:hAnsi="Times New Roman" w:cs="Times New Roman"/>
                      <w:bCs/>
                      <w:color w:val="FF0000"/>
                      <w:szCs w:val="21"/>
                    </w:rPr>
                    <w:t>1</w:t>
                  </w:r>
                </w:p>
              </w:tc>
              <w:tc>
                <w:tcPr>
                  <w:tcW w:w="793" w:type="dxa"/>
                  <w:tcBorders>
                    <w:tl2br w:val="nil"/>
                    <w:tr2bl w:val="nil"/>
                  </w:tcBorders>
                  <w:vAlign w:val="center"/>
                </w:tcPr>
                <w:p w14:paraId="5CBC3979">
                  <w:pPr>
                    <w:jc w:val="center"/>
                    <w:rPr>
                      <w:rFonts w:hint="default" w:ascii="Times New Roman" w:hAnsi="Times New Roman" w:cs="Times New Roman"/>
                      <w:bCs/>
                      <w:color w:val="FF0000"/>
                      <w:szCs w:val="21"/>
                    </w:rPr>
                  </w:pPr>
                  <w:r>
                    <w:rPr>
                      <w:rFonts w:hint="default" w:ascii="Times New Roman" w:hAnsi="Times New Roman" w:cs="Times New Roman"/>
                      <w:bCs/>
                      <w:color w:val="FF0000"/>
                      <w:szCs w:val="21"/>
                    </w:rPr>
                    <w:t>昼间</w:t>
                  </w:r>
                </w:p>
              </w:tc>
              <w:tc>
                <w:tcPr>
                  <w:tcW w:w="1522" w:type="dxa"/>
                  <w:tcBorders>
                    <w:tl2br w:val="nil"/>
                    <w:tr2bl w:val="nil"/>
                  </w:tcBorders>
                  <w:vAlign w:val="center"/>
                </w:tcPr>
                <w:p w14:paraId="3BF5AD33">
                  <w:pPr>
                    <w:jc w:val="center"/>
                    <w:rPr>
                      <w:rFonts w:hint="default" w:ascii="Times New Roman" w:hAnsi="Times New Roman" w:cs="Times New Roman"/>
                      <w:bCs/>
                      <w:color w:val="FF0000"/>
                      <w:szCs w:val="21"/>
                    </w:rPr>
                  </w:pPr>
                  <w:r>
                    <w:rPr>
                      <w:rFonts w:hint="default" w:ascii="Times New Roman" w:hAnsi="Times New Roman" w:cs="Times New Roman"/>
                      <w:bCs/>
                      <w:color w:val="FF0000"/>
                      <w:szCs w:val="21"/>
                    </w:rPr>
                    <w:t>39.7</w:t>
                  </w:r>
                </w:p>
              </w:tc>
              <w:tc>
                <w:tcPr>
                  <w:tcW w:w="1554" w:type="dxa"/>
                  <w:tcBorders>
                    <w:tl2br w:val="nil"/>
                    <w:tr2bl w:val="nil"/>
                  </w:tcBorders>
                  <w:vAlign w:val="center"/>
                </w:tcPr>
                <w:p w14:paraId="5B0259FD">
                  <w:pPr>
                    <w:jc w:val="center"/>
                    <w:rPr>
                      <w:rFonts w:hint="default" w:ascii="Times New Roman" w:hAnsi="Times New Roman" w:cs="Times New Roman"/>
                      <w:bCs/>
                      <w:color w:val="FF0000"/>
                      <w:szCs w:val="21"/>
                    </w:rPr>
                  </w:pPr>
                  <w:r>
                    <w:rPr>
                      <w:rFonts w:hint="default" w:ascii="Times New Roman" w:hAnsi="Times New Roman" w:cs="Times New Roman"/>
                      <w:bCs/>
                      <w:color w:val="FF0000"/>
                      <w:szCs w:val="21"/>
                    </w:rPr>
                    <w:t>60</w:t>
                  </w:r>
                </w:p>
              </w:tc>
              <w:tc>
                <w:tcPr>
                  <w:tcW w:w="1100" w:type="dxa"/>
                  <w:vMerge w:val="restart"/>
                  <w:tcBorders>
                    <w:tl2br w:val="nil"/>
                    <w:tr2bl w:val="nil"/>
                  </w:tcBorders>
                  <w:vAlign w:val="center"/>
                </w:tcPr>
                <w:p w14:paraId="04431E4C">
                  <w:pPr>
                    <w:jc w:val="center"/>
                    <w:rPr>
                      <w:rFonts w:hint="default" w:ascii="Times New Roman" w:hAnsi="Times New Roman" w:cs="Times New Roman"/>
                      <w:bCs/>
                      <w:color w:val="FF0000"/>
                      <w:szCs w:val="21"/>
                    </w:rPr>
                  </w:pPr>
                  <w:r>
                    <w:rPr>
                      <w:rFonts w:hint="default" w:ascii="Times New Roman" w:hAnsi="Times New Roman" w:cs="Times New Roman"/>
                      <w:bCs/>
                      <w:color w:val="FF0000"/>
                      <w:szCs w:val="21"/>
                    </w:rPr>
                    <w:t>达标</w:t>
                  </w:r>
                </w:p>
              </w:tc>
            </w:tr>
            <w:tr w14:paraId="137E6C0B">
              <w:tblPrEx>
                <w:tblBorders>
                  <w:top w:val="double" w:color="auto" w:sz="4" w:space="0"/>
                  <w:left w:val="none" w:color="auto" w:sz="0" w:space="0"/>
                  <w:bottom w:val="double" w:color="auto" w:sz="4" w:space="0"/>
                  <w:right w:val="none" w:color="auto" w:sz="0" w:space="0"/>
                  <w:insideH w:val="single" w:color="auto" w:sz="2" w:space="0"/>
                  <w:insideV w:val="single" w:color="auto" w:sz="4" w:space="0"/>
                </w:tblBorders>
                <w:tblCellMar>
                  <w:top w:w="0" w:type="dxa"/>
                  <w:left w:w="108" w:type="dxa"/>
                  <w:bottom w:w="0" w:type="dxa"/>
                  <w:right w:w="108" w:type="dxa"/>
                </w:tblCellMar>
              </w:tblPrEx>
              <w:trPr>
                <w:trHeight w:val="133" w:hRule="atLeast"/>
                <w:jc w:val="center"/>
              </w:trPr>
              <w:tc>
                <w:tcPr>
                  <w:tcW w:w="948" w:type="dxa"/>
                  <w:vMerge w:val="continue"/>
                  <w:tcBorders>
                    <w:tl2br w:val="nil"/>
                    <w:tr2bl w:val="nil"/>
                  </w:tcBorders>
                  <w:vAlign w:val="center"/>
                </w:tcPr>
                <w:p w14:paraId="4F635788">
                  <w:pPr>
                    <w:jc w:val="center"/>
                    <w:rPr>
                      <w:rFonts w:hint="default" w:ascii="Times New Roman" w:hAnsi="Times New Roman" w:cs="Times New Roman"/>
                      <w:bCs/>
                      <w:color w:val="FF0000"/>
                      <w:szCs w:val="21"/>
                    </w:rPr>
                  </w:pPr>
                </w:p>
              </w:tc>
              <w:tc>
                <w:tcPr>
                  <w:tcW w:w="810" w:type="dxa"/>
                  <w:tcBorders>
                    <w:tl2br w:val="nil"/>
                    <w:tr2bl w:val="nil"/>
                  </w:tcBorders>
                  <w:vAlign w:val="center"/>
                </w:tcPr>
                <w:p w14:paraId="3121E65B">
                  <w:pPr>
                    <w:jc w:val="center"/>
                    <w:rPr>
                      <w:rFonts w:hint="default" w:ascii="Times New Roman" w:hAnsi="Times New Roman" w:cs="Times New Roman"/>
                      <w:bCs/>
                      <w:color w:val="FF0000"/>
                      <w:szCs w:val="21"/>
                    </w:rPr>
                  </w:pPr>
                  <w:r>
                    <w:rPr>
                      <w:rFonts w:hint="default" w:ascii="Times New Roman" w:hAnsi="Times New Roman" w:cs="Times New Roman"/>
                      <w:bCs/>
                      <w:color w:val="FF0000"/>
                      <w:szCs w:val="21"/>
                    </w:rPr>
                    <w:t>0</w:t>
                  </w:r>
                </w:p>
              </w:tc>
              <w:tc>
                <w:tcPr>
                  <w:tcW w:w="833" w:type="dxa"/>
                  <w:tcBorders>
                    <w:tl2br w:val="nil"/>
                    <w:tr2bl w:val="nil"/>
                  </w:tcBorders>
                  <w:vAlign w:val="center"/>
                </w:tcPr>
                <w:p w14:paraId="7C8F04C0">
                  <w:pPr>
                    <w:jc w:val="center"/>
                    <w:rPr>
                      <w:rFonts w:hint="default" w:ascii="Times New Roman" w:hAnsi="Times New Roman" w:cs="Times New Roman"/>
                      <w:bCs/>
                      <w:color w:val="FF0000"/>
                      <w:szCs w:val="21"/>
                    </w:rPr>
                  </w:pPr>
                  <w:r>
                    <w:rPr>
                      <w:rFonts w:hint="default" w:ascii="Times New Roman" w:hAnsi="Times New Roman" w:cs="Times New Roman"/>
                      <w:bCs/>
                      <w:color w:val="FF0000"/>
                      <w:szCs w:val="21"/>
                    </w:rPr>
                    <w:t>58</w:t>
                  </w:r>
                </w:p>
              </w:tc>
              <w:tc>
                <w:tcPr>
                  <w:tcW w:w="744" w:type="dxa"/>
                  <w:tcBorders>
                    <w:tl2br w:val="nil"/>
                    <w:tr2bl w:val="nil"/>
                  </w:tcBorders>
                  <w:vAlign w:val="center"/>
                </w:tcPr>
                <w:p w14:paraId="15B635D6">
                  <w:pPr>
                    <w:jc w:val="center"/>
                    <w:rPr>
                      <w:rFonts w:hint="default" w:ascii="Times New Roman" w:hAnsi="Times New Roman" w:cs="Times New Roman"/>
                      <w:bCs/>
                      <w:color w:val="FF0000"/>
                      <w:szCs w:val="21"/>
                    </w:rPr>
                  </w:pPr>
                  <w:r>
                    <w:rPr>
                      <w:rFonts w:hint="default" w:ascii="Times New Roman" w:hAnsi="Times New Roman" w:cs="Times New Roman"/>
                      <w:bCs/>
                      <w:color w:val="FF0000"/>
                      <w:szCs w:val="21"/>
                    </w:rPr>
                    <w:t>1</w:t>
                  </w:r>
                </w:p>
              </w:tc>
              <w:tc>
                <w:tcPr>
                  <w:tcW w:w="793" w:type="dxa"/>
                  <w:tcBorders>
                    <w:tl2br w:val="nil"/>
                    <w:tr2bl w:val="nil"/>
                  </w:tcBorders>
                  <w:vAlign w:val="center"/>
                </w:tcPr>
                <w:p w14:paraId="0A3BFE6E">
                  <w:pPr>
                    <w:jc w:val="center"/>
                    <w:rPr>
                      <w:rFonts w:hint="default" w:ascii="Times New Roman" w:hAnsi="Times New Roman" w:cs="Times New Roman"/>
                      <w:bCs/>
                      <w:color w:val="FF0000"/>
                      <w:szCs w:val="21"/>
                    </w:rPr>
                  </w:pPr>
                  <w:r>
                    <w:rPr>
                      <w:rFonts w:hint="default" w:ascii="Times New Roman" w:hAnsi="Times New Roman" w:cs="Times New Roman"/>
                      <w:bCs/>
                      <w:color w:val="FF0000"/>
                      <w:szCs w:val="21"/>
                    </w:rPr>
                    <w:t>夜间</w:t>
                  </w:r>
                </w:p>
              </w:tc>
              <w:tc>
                <w:tcPr>
                  <w:tcW w:w="1522" w:type="dxa"/>
                  <w:tcBorders>
                    <w:tl2br w:val="nil"/>
                    <w:tr2bl w:val="nil"/>
                  </w:tcBorders>
                  <w:vAlign w:val="center"/>
                </w:tcPr>
                <w:p w14:paraId="3A9C7177">
                  <w:pPr>
                    <w:jc w:val="center"/>
                    <w:rPr>
                      <w:rFonts w:hint="default" w:ascii="Times New Roman" w:hAnsi="Times New Roman" w:cs="Times New Roman"/>
                      <w:bCs/>
                      <w:color w:val="FF0000"/>
                      <w:szCs w:val="21"/>
                    </w:rPr>
                  </w:pPr>
                  <w:r>
                    <w:rPr>
                      <w:rFonts w:hint="default" w:ascii="Times New Roman" w:hAnsi="Times New Roman" w:cs="Times New Roman"/>
                      <w:bCs/>
                      <w:color w:val="FF0000"/>
                      <w:szCs w:val="21"/>
                    </w:rPr>
                    <w:t>34.9</w:t>
                  </w:r>
                </w:p>
              </w:tc>
              <w:tc>
                <w:tcPr>
                  <w:tcW w:w="1554" w:type="dxa"/>
                  <w:tcBorders>
                    <w:tl2br w:val="nil"/>
                    <w:tr2bl w:val="nil"/>
                  </w:tcBorders>
                  <w:vAlign w:val="center"/>
                </w:tcPr>
                <w:p w14:paraId="1EB9C237">
                  <w:pPr>
                    <w:jc w:val="center"/>
                    <w:rPr>
                      <w:rFonts w:hint="default" w:ascii="Times New Roman" w:hAnsi="Times New Roman" w:cs="Times New Roman"/>
                      <w:bCs/>
                      <w:color w:val="FF0000"/>
                      <w:szCs w:val="21"/>
                    </w:rPr>
                  </w:pPr>
                  <w:r>
                    <w:rPr>
                      <w:rFonts w:hint="default" w:ascii="Times New Roman" w:hAnsi="Times New Roman" w:cs="Times New Roman"/>
                      <w:bCs/>
                      <w:color w:val="FF0000"/>
                      <w:szCs w:val="21"/>
                    </w:rPr>
                    <w:t>50</w:t>
                  </w:r>
                </w:p>
              </w:tc>
              <w:tc>
                <w:tcPr>
                  <w:tcW w:w="1100" w:type="dxa"/>
                  <w:vMerge w:val="continue"/>
                  <w:tcBorders>
                    <w:tl2br w:val="nil"/>
                    <w:tr2bl w:val="nil"/>
                  </w:tcBorders>
                  <w:vAlign w:val="center"/>
                </w:tcPr>
                <w:p w14:paraId="575C859B">
                  <w:pPr>
                    <w:jc w:val="center"/>
                    <w:rPr>
                      <w:rFonts w:hint="default" w:ascii="Times New Roman" w:hAnsi="Times New Roman" w:cs="Times New Roman"/>
                      <w:bCs/>
                      <w:color w:val="FF0000"/>
                      <w:szCs w:val="21"/>
                    </w:rPr>
                  </w:pPr>
                </w:p>
              </w:tc>
            </w:tr>
            <w:tr w14:paraId="4818841F">
              <w:tblPrEx>
                <w:tblBorders>
                  <w:top w:val="double" w:color="auto" w:sz="4" w:space="0"/>
                  <w:left w:val="none" w:color="auto" w:sz="0" w:space="0"/>
                  <w:bottom w:val="double" w:color="auto" w:sz="4" w:space="0"/>
                  <w:right w:val="none" w:color="auto" w:sz="0" w:space="0"/>
                  <w:insideH w:val="single" w:color="auto" w:sz="2" w:space="0"/>
                  <w:insideV w:val="single" w:color="auto" w:sz="4" w:space="0"/>
                </w:tblBorders>
                <w:tblCellMar>
                  <w:top w:w="0" w:type="dxa"/>
                  <w:left w:w="108" w:type="dxa"/>
                  <w:bottom w:w="0" w:type="dxa"/>
                  <w:right w:w="108" w:type="dxa"/>
                </w:tblCellMar>
              </w:tblPrEx>
              <w:trPr>
                <w:trHeight w:val="136" w:hRule="atLeast"/>
                <w:jc w:val="center"/>
              </w:trPr>
              <w:tc>
                <w:tcPr>
                  <w:tcW w:w="948" w:type="dxa"/>
                  <w:vMerge w:val="restart"/>
                  <w:tcBorders>
                    <w:tl2br w:val="nil"/>
                    <w:tr2bl w:val="nil"/>
                  </w:tcBorders>
                  <w:vAlign w:val="center"/>
                </w:tcPr>
                <w:p w14:paraId="7403A893">
                  <w:pPr>
                    <w:jc w:val="center"/>
                    <w:rPr>
                      <w:rFonts w:hint="default" w:ascii="Times New Roman" w:hAnsi="Times New Roman" w:cs="Times New Roman"/>
                      <w:bCs/>
                      <w:color w:val="FF0000"/>
                      <w:szCs w:val="21"/>
                    </w:rPr>
                  </w:pPr>
                  <w:r>
                    <w:rPr>
                      <w:rFonts w:hint="default" w:ascii="Times New Roman" w:hAnsi="Times New Roman" w:cs="Times New Roman"/>
                      <w:bCs/>
                      <w:color w:val="FF0000"/>
                      <w:szCs w:val="21"/>
                    </w:rPr>
                    <w:t>北侧</w:t>
                  </w:r>
                </w:p>
              </w:tc>
              <w:tc>
                <w:tcPr>
                  <w:tcW w:w="810" w:type="dxa"/>
                  <w:tcBorders>
                    <w:tl2br w:val="nil"/>
                    <w:tr2bl w:val="nil"/>
                  </w:tcBorders>
                  <w:vAlign w:val="center"/>
                </w:tcPr>
                <w:p w14:paraId="4B6713A7">
                  <w:pPr>
                    <w:jc w:val="center"/>
                    <w:rPr>
                      <w:rFonts w:hint="default" w:ascii="Times New Roman" w:hAnsi="Times New Roman" w:cs="Times New Roman"/>
                      <w:bCs/>
                      <w:color w:val="FF0000"/>
                      <w:szCs w:val="21"/>
                    </w:rPr>
                  </w:pPr>
                  <w:r>
                    <w:rPr>
                      <w:rFonts w:hint="default" w:ascii="Times New Roman" w:hAnsi="Times New Roman" w:cs="Times New Roman"/>
                      <w:bCs/>
                      <w:color w:val="FF0000"/>
                      <w:szCs w:val="21"/>
                    </w:rPr>
                    <w:t>112</w:t>
                  </w:r>
                </w:p>
              </w:tc>
              <w:tc>
                <w:tcPr>
                  <w:tcW w:w="833" w:type="dxa"/>
                  <w:tcBorders>
                    <w:tl2br w:val="nil"/>
                    <w:tr2bl w:val="nil"/>
                  </w:tcBorders>
                  <w:vAlign w:val="center"/>
                </w:tcPr>
                <w:p w14:paraId="4C69B812">
                  <w:pPr>
                    <w:jc w:val="center"/>
                    <w:rPr>
                      <w:rFonts w:hint="default" w:ascii="Times New Roman" w:hAnsi="Times New Roman" w:cs="Times New Roman"/>
                      <w:bCs/>
                      <w:color w:val="FF0000"/>
                      <w:szCs w:val="21"/>
                    </w:rPr>
                  </w:pPr>
                  <w:r>
                    <w:rPr>
                      <w:rFonts w:hint="default" w:ascii="Times New Roman" w:hAnsi="Times New Roman" w:cs="Times New Roman"/>
                      <w:bCs/>
                      <w:color w:val="FF0000"/>
                      <w:szCs w:val="21"/>
                    </w:rPr>
                    <w:t>115</w:t>
                  </w:r>
                </w:p>
              </w:tc>
              <w:tc>
                <w:tcPr>
                  <w:tcW w:w="744" w:type="dxa"/>
                  <w:tcBorders>
                    <w:tl2br w:val="nil"/>
                    <w:tr2bl w:val="nil"/>
                  </w:tcBorders>
                  <w:vAlign w:val="center"/>
                </w:tcPr>
                <w:p w14:paraId="0EC7728B">
                  <w:pPr>
                    <w:jc w:val="center"/>
                    <w:rPr>
                      <w:rFonts w:hint="default" w:ascii="Times New Roman" w:hAnsi="Times New Roman" w:cs="Times New Roman"/>
                      <w:bCs/>
                      <w:color w:val="FF0000"/>
                      <w:szCs w:val="21"/>
                    </w:rPr>
                  </w:pPr>
                  <w:r>
                    <w:rPr>
                      <w:rFonts w:hint="default" w:ascii="Times New Roman" w:hAnsi="Times New Roman" w:cs="Times New Roman"/>
                      <w:bCs/>
                      <w:color w:val="FF0000"/>
                      <w:szCs w:val="21"/>
                    </w:rPr>
                    <w:t>1</w:t>
                  </w:r>
                </w:p>
              </w:tc>
              <w:tc>
                <w:tcPr>
                  <w:tcW w:w="793" w:type="dxa"/>
                  <w:tcBorders>
                    <w:tl2br w:val="nil"/>
                    <w:tr2bl w:val="nil"/>
                  </w:tcBorders>
                  <w:vAlign w:val="center"/>
                </w:tcPr>
                <w:p w14:paraId="1481F678">
                  <w:pPr>
                    <w:jc w:val="center"/>
                    <w:rPr>
                      <w:rFonts w:hint="default" w:ascii="Times New Roman" w:hAnsi="Times New Roman" w:cs="Times New Roman"/>
                      <w:bCs/>
                      <w:color w:val="FF0000"/>
                      <w:szCs w:val="21"/>
                    </w:rPr>
                  </w:pPr>
                  <w:r>
                    <w:rPr>
                      <w:rFonts w:hint="default" w:ascii="Times New Roman" w:hAnsi="Times New Roman" w:cs="Times New Roman"/>
                      <w:bCs/>
                      <w:color w:val="FF0000"/>
                      <w:szCs w:val="21"/>
                    </w:rPr>
                    <w:t>昼间</w:t>
                  </w:r>
                </w:p>
              </w:tc>
              <w:tc>
                <w:tcPr>
                  <w:tcW w:w="1522" w:type="dxa"/>
                  <w:tcBorders>
                    <w:tl2br w:val="nil"/>
                    <w:tr2bl w:val="nil"/>
                  </w:tcBorders>
                  <w:vAlign w:val="center"/>
                </w:tcPr>
                <w:p w14:paraId="58D9275E">
                  <w:pPr>
                    <w:jc w:val="center"/>
                    <w:rPr>
                      <w:rFonts w:hint="default" w:ascii="Times New Roman" w:hAnsi="Times New Roman" w:cs="Times New Roman"/>
                      <w:bCs/>
                      <w:color w:val="FF0000"/>
                      <w:szCs w:val="21"/>
                    </w:rPr>
                  </w:pPr>
                  <w:r>
                    <w:rPr>
                      <w:rFonts w:hint="default" w:ascii="Times New Roman" w:hAnsi="Times New Roman" w:cs="Times New Roman"/>
                      <w:bCs/>
                      <w:color w:val="FF0000"/>
                      <w:szCs w:val="21"/>
                    </w:rPr>
                    <w:t>47.3</w:t>
                  </w:r>
                </w:p>
              </w:tc>
              <w:tc>
                <w:tcPr>
                  <w:tcW w:w="1554" w:type="dxa"/>
                  <w:tcBorders>
                    <w:tl2br w:val="nil"/>
                    <w:tr2bl w:val="nil"/>
                  </w:tcBorders>
                  <w:vAlign w:val="center"/>
                </w:tcPr>
                <w:p w14:paraId="1DC82FD2">
                  <w:pPr>
                    <w:jc w:val="center"/>
                    <w:rPr>
                      <w:rFonts w:hint="default" w:ascii="Times New Roman" w:hAnsi="Times New Roman" w:cs="Times New Roman"/>
                      <w:bCs/>
                      <w:color w:val="FF0000"/>
                      <w:szCs w:val="21"/>
                    </w:rPr>
                  </w:pPr>
                  <w:r>
                    <w:rPr>
                      <w:rFonts w:hint="default" w:ascii="Times New Roman" w:hAnsi="Times New Roman" w:cs="Times New Roman"/>
                      <w:bCs/>
                      <w:color w:val="FF0000"/>
                      <w:szCs w:val="21"/>
                    </w:rPr>
                    <w:t>60</w:t>
                  </w:r>
                </w:p>
              </w:tc>
              <w:tc>
                <w:tcPr>
                  <w:tcW w:w="1100" w:type="dxa"/>
                  <w:vMerge w:val="restart"/>
                  <w:tcBorders>
                    <w:tl2br w:val="nil"/>
                    <w:tr2bl w:val="nil"/>
                  </w:tcBorders>
                  <w:vAlign w:val="center"/>
                </w:tcPr>
                <w:p w14:paraId="23DF49A2">
                  <w:pPr>
                    <w:jc w:val="center"/>
                    <w:rPr>
                      <w:rFonts w:hint="default" w:ascii="Times New Roman" w:hAnsi="Times New Roman" w:cs="Times New Roman"/>
                      <w:bCs/>
                      <w:color w:val="FF0000"/>
                      <w:szCs w:val="21"/>
                    </w:rPr>
                  </w:pPr>
                  <w:r>
                    <w:rPr>
                      <w:rFonts w:hint="default" w:ascii="Times New Roman" w:hAnsi="Times New Roman" w:cs="Times New Roman"/>
                      <w:bCs/>
                      <w:color w:val="FF0000"/>
                      <w:szCs w:val="21"/>
                    </w:rPr>
                    <w:t>达标</w:t>
                  </w:r>
                </w:p>
              </w:tc>
            </w:tr>
            <w:tr w14:paraId="10593B90">
              <w:tblPrEx>
                <w:tblBorders>
                  <w:top w:val="double" w:color="auto" w:sz="4" w:space="0"/>
                  <w:left w:val="none" w:color="auto" w:sz="0" w:space="0"/>
                  <w:bottom w:val="double" w:color="auto" w:sz="4" w:space="0"/>
                  <w:right w:val="none" w:color="auto" w:sz="0" w:space="0"/>
                  <w:insideH w:val="single" w:color="auto" w:sz="2" w:space="0"/>
                  <w:insideV w:val="single" w:color="auto" w:sz="4" w:space="0"/>
                </w:tblBorders>
                <w:tblCellMar>
                  <w:top w:w="0" w:type="dxa"/>
                  <w:left w:w="108" w:type="dxa"/>
                  <w:bottom w:w="0" w:type="dxa"/>
                  <w:right w:w="108" w:type="dxa"/>
                </w:tblCellMar>
              </w:tblPrEx>
              <w:trPr>
                <w:trHeight w:val="136" w:hRule="atLeast"/>
                <w:jc w:val="center"/>
              </w:trPr>
              <w:tc>
                <w:tcPr>
                  <w:tcW w:w="948" w:type="dxa"/>
                  <w:vMerge w:val="continue"/>
                  <w:tcBorders>
                    <w:tl2br w:val="nil"/>
                    <w:tr2bl w:val="nil"/>
                  </w:tcBorders>
                  <w:vAlign w:val="center"/>
                </w:tcPr>
                <w:p w14:paraId="6F9182E8">
                  <w:pPr>
                    <w:jc w:val="center"/>
                    <w:rPr>
                      <w:rFonts w:hint="default" w:ascii="Times New Roman" w:hAnsi="Times New Roman" w:cs="Times New Roman"/>
                      <w:bCs/>
                      <w:color w:val="FF0000"/>
                      <w:szCs w:val="21"/>
                    </w:rPr>
                  </w:pPr>
                </w:p>
              </w:tc>
              <w:tc>
                <w:tcPr>
                  <w:tcW w:w="810" w:type="dxa"/>
                  <w:tcBorders>
                    <w:tl2br w:val="nil"/>
                    <w:tr2bl w:val="nil"/>
                  </w:tcBorders>
                  <w:vAlign w:val="center"/>
                </w:tcPr>
                <w:p w14:paraId="3C5802D4">
                  <w:pPr>
                    <w:jc w:val="center"/>
                    <w:rPr>
                      <w:rFonts w:hint="default" w:ascii="Times New Roman" w:hAnsi="Times New Roman" w:cs="Times New Roman"/>
                      <w:bCs/>
                      <w:color w:val="FF0000"/>
                      <w:szCs w:val="21"/>
                    </w:rPr>
                  </w:pPr>
                  <w:r>
                    <w:rPr>
                      <w:rFonts w:hint="default" w:ascii="Times New Roman" w:hAnsi="Times New Roman" w:cs="Times New Roman"/>
                      <w:bCs/>
                      <w:color w:val="FF0000"/>
                      <w:szCs w:val="21"/>
                    </w:rPr>
                    <w:t>112</w:t>
                  </w:r>
                </w:p>
              </w:tc>
              <w:tc>
                <w:tcPr>
                  <w:tcW w:w="833" w:type="dxa"/>
                  <w:tcBorders>
                    <w:tl2br w:val="nil"/>
                    <w:tr2bl w:val="nil"/>
                  </w:tcBorders>
                  <w:vAlign w:val="center"/>
                </w:tcPr>
                <w:p w14:paraId="1771654C">
                  <w:pPr>
                    <w:jc w:val="center"/>
                    <w:rPr>
                      <w:rFonts w:hint="default" w:ascii="Times New Roman" w:hAnsi="Times New Roman" w:cs="Times New Roman"/>
                      <w:bCs/>
                      <w:color w:val="FF0000"/>
                      <w:szCs w:val="21"/>
                    </w:rPr>
                  </w:pPr>
                  <w:r>
                    <w:rPr>
                      <w:rFonts w:hint="default" w:ascii="Times New Roman" w:hAnsi="Times New Roman" w:cs="Times New Roman"/>
                      <w:bCs/>
                      <w:color w:val="FF0000"/>
                      <w:szCs w:val="21"/>
                    </w:rPr>
                    <w:t>115</w:t>
                  </w:r>
                </w:p>
              </w:tc>
              <w:tc>
                <w:tcPr>
                  <w:tcW w:w="744" w:type="dxa"/>
                  <w:tcBorders>
                    <w:tl2br w:val="nil"/>
                    <w:tr2bl w:val="nil"/>
                  </w:tcBorders>
                  <w:vAlign w:val="center"/>
                </w:tcPr>
                <w:p w14:paraId="7447C5C2">
                  <w:pPr>
                    <w:jc w:val="center"/>
                    <w:rPr>
                      <w:rFonts w:hint="default" w:ascii="Times New Roman" w:hAnsi="Times New Roman" w:cs="Times New Roman"/>
                      <w:bCs/>
                      <w:color w:val="FF0000"/>
                      <w:szCs w:val="21"/>
                    </w:rPr>
                  </w:pPr>
                  <w:r>
                    <w:rPr>
                      <w:rFonts w:hint="default" w:ascii="Times New Roman" w:hAnsi="Times New Roman" w:cs="Times New Roman"/>
                      <w:bCs/>
                      <w:color w:val="FF0000"/>
                      <w:szCs w:val="21"/>
                    </w:rPr>
                    <w:t>1</w:t>
                  </w:r>
                </w:p>
              </w:tc>
              <w:tc>
                <w:tcPr>
                  <w:tcW w:w="793" w:type="dxa"/>
                  <w:tcBorders>
                    <w:tl2br w:val="nil"/>
                    <w:tr2bl w:val="nil"/>
                  </w:tcBorders>
                  <w:vAlign w:val="center"/>
                </w:tcPr>
                <w:p w14:paraId="007AA9AD">
                  <w:pPr>
                    <w:jc w:val="center"/>
                    <w:rPr>
                      <w:rFonts w:hint="default" w:ascii="Times New Roman" w:hAnsi="Times New Roman" w:cs="Times New Roman"/>
                      <w:bCs/>
                      <w:color w:val="FF0000"/>
                      <w:szCs w:val="21"/>
                    </w:rPr>
                  </w:pPr>
                  <w:r>
                    <w:rPr>
                      <w:rFonts w:hint="default" w:ascii="Times New Roman" w:hAnsi="Times New Roman" w:cs="Times New Roman"/>
                      <w:bCs/>
                      <w:color w:val="FF0000"/>
                      <w:szCs w:val="21"/>
                    </w:rPr>
                    <w:t>夜间</w:t>
                  </w:r>
                </w:p>
              </w:tc>
              <w:tc>
                <w:tcPr>
                  <w:tcW w:w="1522" w:type="dxa"/>
                  <w:tcBorders>
                    <w:tl2br w:val="nil"/>
                    <w:tr2bl w:val="nil"/>
                  </w:tcBorders>
                  <w:vAlign w:val="center"/>
                </w:tcPr>
                <w:p w14:paraId="7CCC119C">
                  <w:pPr>
                    <w:jc w:val="center"/>
                    <w:rPr>
                      <w:rFonts w:hint="default" w:ascii="Times New Roman" w:hAnsi="Times New Roman" w:cs="Times New Roman"/>
                      <w:bCs/>
                      <w:color w:val="FF0000"/>
                      <w:szCs w:val="21"/>
                    </w:rPr>
                  </w:pPr>
                  <w:r>
                    <w:rPr>
                      <w:rFonts w:hint="default" w:ascii="Times New Roman" w:hAnsi="Times New Roman" w:cs="Times New Roman"/>
                      <w:bCs/>
                      <w:color w:val="FF0000"/>
                      <w:szCs w:val="21"/>
                    </w:rPr>
                    <w:t>42.6</w:t>
                  </w:r>
                </w:p>
              </w:tc>
              <w:tc>
                <w:tcPr>
                  <w:tcW w:w="1554" w:type="dxa"/>
                  <w:tcBorders>
                    <w:tl2br w:val="nil"/>
                    <w:tr2bl w:val="nil"/>
                  </w:tcBorders>
                  <w:vAlign w:val="center"/>
                </w:tcPr>
                <w:p w14:paraId="3BCC7D9E">
                  <w:pPr>
                    <w:jc w:val="center"/>
                    <w:rPr>
                      <w:rFonts w:hint="default" w:ascii="Times New Roman" w:hAnsi="Times New Roman" w:cs="Times New Roman"/>
                      <w:bCs/>
                      <w:color w:val="FF0000"/>
                      <w:szCs w:val="21"/>
                    </w:rPr>
                  </w:pPr>
                  <w:r>
                    <w:rPr>
                      <w:rFonts w:hint="default" w:ascii="Times New Roman" w:hAnsi="Times New Roman" w:cs="Times New Roman"/>
                      <w:bCs/>
                      <w:color w:val="FF0000"/>
                      <w:szCs w:val="21"/>
                    </w:rPr>
                    <w:t>50</w:t>
                  </w:r>
                </w:p>
              </w:tc>
              <w:tc>
                <w:tcPr>
                  <w:tcW w:w="1100" w:type="dxa"/>
                  <w:vMerge w:val="continue"/>
                  <w:tcBorders>
                    <w:tl2br w:val="nil"/>
                    <w:tr2bl w:val="nil"/>
                  </w:tcBorders>
                  <w:vAlign w:val="center"/>
                </w:tcPr>
                <w:p w14:paraId="2EFBE3A7">
                  <w:pPr>
                    <w:jc w:val="center"/>
                    <w:rPr>
                      <w:rFonts w:hint="default" w:ascii="Times New Roman" w:hAnsi="Times New Roman" w:cs="Times New Roman"/>
                      <w:bCs/>
                      <w:color w:val="FF0000"/>
                      <w:szCs w:val="21"/>
                    </w:rPr>
                  </w:pPr>
                </w:p>
              </w:tc>
            </w:tr>
          </w:tbl>
          <w:p w14:paraId="4A4EB823">
            <w:pPr>
              <w:spacing w:line="360" w:lineRule="auto"/>
              <w:ind w:firstLine="480" w:firstLineChars="200"/>
              <w:rPr>
                <w:rFonts w:hint="default" w:ascii="Times New Roman" w:hAnsi="Times New Roman" w:cs="Times New Roman"/>
                <w:color w:val="FF0000"/>
                <w:sz w:val="24"/>
              </w:rPr>
            </w:pPr>
            <w:r>
              <w:rPr>
                <w:rFonts w:hint="default" w:ascii="Times New Roman" w:hAnsi="Times New Roman" w:cs="Times New Roman"/>
                <w:color w:val="FF0000"/>
                <w:sz w:val="24"/>
              </w:rPr>
              <w:t>由上表可知，正常工况下，项目</w:t>
            </w:r>
            <w:r>
              <w:rPr>
                <w:rFonts w:hint="eastAsia" w:cs="Times New Roman"/>
                <w:color w:val="FF0000"/>
                <w:kern w:val="0"/>
                <w:sz w:val="24"/>
                <w:lang w:val="en-US" w:eastAsia="zh-CN" w:bidi="ar"/>
              </w:rPr>
              <w:t>东</w:t>
            </w:r>
            <w:r>
              <w:rPr>
                <w:rFonts w:hint="default" w:ascii="Times New Roman" w:hAnsi="Times New Roman" w:cs="Times New Roman"/>
                <w:color w:val="FF0000"/>
                <w:kern w:val="0"/>
                <w:sz w:val="24"/>
                <w:lang w:bidi="ar"/>
              </w:rPr>
              <w:t>侧、</w:t>
            </w:r>
            <w:r>
              <w:rPr>
                <w:rFonts w:hint="eastAsia" w:cs="Times New Roman"/>
                <w:color w:val="FF0000"/>
                <w:kern w:val="0"/>
                <w:sz w:val="24"/>
                <w:lang w:val="en-US" w:eastAsia="zh-CN" w:bidi="ar"/>
              </w:rPr>
              <w:t>西</w:t>
            </w:r>
            <w:r>
              <w:rPr>
                <w:rFonts w:hint="default" w:ascii="Times New Roman" w:hAnsi="Times New Roman" w:cs="Times New Roman"/>
                <w:color w:val="FF0000"/>
                <w:kern w:val="0"/>
                <w:sz w:val="24"/>
                <w:lang w:bidi="ar"/>
              </w:rPr>
              <w:t>侧、</w:t>
            </w:r>
            <w:r>
              <w:rPr>
                <w:rFonts w:hint="eastAsia" w:cs="Times New Roman"/>
                <w:color w:val="FF0000"/>
                <w:kern w:val="0"/>
                <w:sz w:val="24"/>
                <w:lang w:val="en-US" w:eastAsia="zh-CN" w:bidi="ar"/>
              </w:rPr>
              <w:t>北</w:t>
            </w:r>
            <w:r>
              <w:rPr>
                <w:rFonts w:hint="default" w:ascii="Times New Roman" w:hAnsi="Times New Roman" w:cs="Times New Roman"/>
                <w:color w:val="FF0000"/>
                <w:kern w:val="0"/>
                <w:sz w:val="24"/>
                <w:lang w:bidi="ar"/>
              </w:rPr>
              <w:t>侧噪声贡献值满足《工业企业厂界环境噪声排放标准》（GB12348-2008）2类标准，南侧噪声贡献值满足《工业企业厂界环境噪声排放标准》（GB12348-2008）4类标准</w:t>
            </w:r>
            <w:r>
              <w:rPr>
                <w:rFonts w:hint="default" w:ascii="Times New Roman" w:hAnsi="Times New Roman" w:cs="Times New Roman"/>
                <w:color w:val="FF0000"/>
                <w:sz w:val="24"/>
              </w:rPr>
              <w:t>。</w:t>
            </w:r>
          </w:p>
          <w:p w14:paraId="48FAF2BA">
            <w:pPr>
              <w:pStyle w:val="84"/>
              <w:spacing w:line="360" w:lineRule="auto"/>
              <w:ind w:firstLine="482"/>
              <w:rPr>
                <w:rFonts w:hint="default" w:ascii="Times New Roman" w:hAnsi="Times New Roman" w:cs="Times New Roman"/>
                <w:b/>
                <w:color w:val="FF0000"/>
              </w:rPr>
            </w:pPr>
            <w:r>
              <w:rPr>
                <w:rFonts w:hint="default" w:ascii="Times New Roman" w:hAnsi="Times New Roman" w:cs="Times New Roman"/>
                <w:b/>
                <w:color w:val="FF0000"/>
              </w:rPr>
              <w:t>2.噪声监测计划</w:t>
            </w:r>
          </w:p>
          <w:p w14:paraId="5E3EA581">
            <w:pPr>
              <w:pStyle w:val="66"/>
              <w:rPr>
                <w:rFonts w:hint="default" w:ascii="Times New Roman" w:hAnsi="Times New Roman" w:cs="Times New Roman"/>
                <w:color w:val="FF0000"/>
              </w:rPr>
            </w:pPr>
            <w:r>
              <w:rPr>
                <w:rFonts w:hint="default" w:ascii="Times New Roman" w:hAnsi="Times New Roman" w:cs="Times New Roman"/>
                <w:color w:val="FF0000"/>
              </w:rPr>
              <w:t>根据《排污单位自行监测技术指南  总则》（HJ 819-2017）要求，具体监测计划如下：</w:t>
            </w:r>
          </w:p>
          <w:p w14:paraId="24604132">
            <w:pPr>
              <w:tabs>
                <w:tab w:val="left" w:pos="1380"/>
                <w:tab w:val="left" w:pos="1860"/>
                <w:tab w:val="center" w:pos="4535"/>
                <w:tab w:val="left" w:pos="5985"/>
                <w:tab w:val="left" w:pos="7740"/>
              </w:tabs>
              <w:adjustRightInd w:val="0"/>
              <w:snapToGrid w:val="0"/>
              <w:ind w:firstLine="422" w:firstLineChars="200"/>
              <w:jc w:val="center"/>
              <w:rPr>
                <w:rFonts w:hint="default" w:ascii="Times New Roman" w:hAnsi="Times New Roman" w:cs="Times New Roman"/>
                <w:b/>
                <w:bCs/>
                <w:color w:val="FF0000"/>
                <w:szCs w:val="21"/>
              </w:rPr>
            </w:pPr>
            <w:r>
              <w:rPr>
                <w:rFonts w:hint="default" w:ascii="Times New Roman" w:hAnsi="Times New Roman" w:cs="Times New Roman"/>
                <w:b/>
                <w:bCs/>
                <w:color w:val="FF0000"/>
                <w:szCs w:val="21"/>
              </w:rPr>
              <w:t>表4-3</w:t>
            </w:r>
            <w:r>
              <w:rPr>
                <w:rFonts w:hint="eastAsia" w:cs="Times New Roman"/>
                <w:b/>
                <w:bCs/>
                <w:color w:val="FF0000"/>
                <w:szCs w:val="21"/>
                <w:lang w:val="en-US" w:eastAsia="zh-CN"/>
              </w:rPr>
              <w:t>3</w:t>
            </w:r>
            <w:r>
              <w:rPr>
                <w:rFonts w:hint="default" w:ascii="Times New Roman" w:hAnsi="Times New Roman" w:cs="Times New Roman"/>
                <w:b/>
                <w:bCs/>
                <w:color w:val="FF0000"/>
                <w:szCs w:val="21"/>
              </w:rPr>
              <w:t xml:space="preserve">    噪声监测计划一览表</w:t>
            </w:r>
          </w:p>
          <w:tbl>
            <w:tblPr>
              <w:tblStyle w:val="34"/>
              <w:tblW w:w="4998" w:type="pct"/>
              <w:tblInd w:w="0" w:type="dxa"/>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915"/>
              <w:gridCol w:w="1383"/>
              <w:gridCol w:w="1059"/>
              <w:gridCol w:w="1405"/>
              <w:gridCol w:w="3709"/>
            </w:tblGrid>
            <w:tr w14:paraId="24BDA59C">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87" w:hRule="atLeast"/>
              </w:trPr>
              <w:tc>
                <w:tcPr>
                  <w:tcW w:w="540" w:type="pct"/>
                  <w:tcBorders>
                    <w:tl2br w:val="nil"/>
                    <w:tr2bl w:val="nil"/>
                  </w:tcBorders>
                  <w:vAlign w:val="center"/>
                </w:tcPr>
                <w:p w14:paraId="1BB1F442">
                  <w:pPr>
                    <w:adjustRightInd w:val="0"/>
                    <w:snapToGrid w:val="0"/>
                    <w:jc w:val="center"/>
                    <w:textAlignment w:val="baseline"/>
                    <w:rPr>
                      <w:rFonts w:hint="default" w:ascii="Times New Roman" w:hAnsi="Times New Roman" w:cs="Times New Roman"/>
                      <w:color w:val="FF0000"/>
                      <w:szCs w:val="21"/>
                    </w:rPr>
                  </w:pPr>
                  <w:r>
                    <w:rPr>
                      <w:rFonts w:hint="default" w:ascii="Times New Roman" w:hAnsi="Times New Roman" w:cs="Times New Roman"/>
                      <w:color w:val="FF0000"/>
                      <w:szCs w:val="21"/>
                    </w:rPr>
                    <w:t>环境要素</w:t>
                  </w:r>
                </w:p>
              </w:tc>
              <w:tc>
                <w:tcPr>
                  <w:tcW w:w="816" w:type="pct"/>
                  <w:tcBorders>
                    <w:tl2br w:val="nil"/>
                    <w:tr2bl w:val="nil"/>
                  </w:tcBorders>
                  <w:vAlign w:val="center"/>
                </w:tcPr>
                <w:p w14:paraId="14F43A55">
                  <w:pPr>
                    <w:adjustRightInd w:val="0"/>
                    <w:snapToGrid w:val="0"/>
                    <w:jc w:val="center"/>
                    <w:textAlignment w:val="baseline"/>
                    <w:rPr>
                      <w:rFonts w:hint="default" w:ascii="Times New Roman" w:hAnsi="Times New Roman" w:cs="Times New Roman"/>
                      <w:color w:val="FF0000"/>
                      <w:szCs w:val="21"/>
                    </w:rPr>
                  </w:pPr>
                  <w:r>
                    <w:rPr>
                      <w:rFonts w:hint="default" w:ascii="Times New Roman" w:hAnsi="Times New Roman" w:cs="Times New Roman"/>
                      <w:color w:val="FF0000"/>
                      <w:szCs w:val="21"/>
                    </w:rPr>
                    <w:t>监测位置</w:t>
                  </w:r>
                </w:p>
              </w:tc>
              <w:tc>
                <w:tcPr>
                  <w:tcW w:w="625" w:type="pct"/>
                  <w:tcBorders>
                    <w:tl2br w:val="nil"/>
                    <w:tr2bl w:val="nil"/>
                  </w:tcBorders>
                  <w:vAlign w:val="center"/>
                </w:tcPr>
                <w:p w14:paraId="786E84C0">
                  <w:pPr>
                    <w:adjustRightInd w:val="0"/>
                    <w:snapToGrid w:val="0"/>
                    <w:jc w:val="center"/>
                    <w:textAlignment w:val="baseline"/>
                    <w:rPr>
                      <w:rFonts w:hint="default" w:ascii="Times New Roman" w:hAnsi="Times New Roman" w:cs="Times New Roman"/>
                      <w:color w:val="FF0000"/>
                      <w:szCs w:val="21"/>
                    </w:rPr>
                  </w:pPr>
                  <w:r>
                    <w:rPr>
                      <w:rFonts w:hint="default" w:ascii="Times New Roman" w:hAnsi="Times New Roman" w:cs="Times New Roman"/>
                      <w:color w:val="FF0000"/>
                      <w:szCs w:val="21"/>
                    </w:rPr>
                    <w:t>监测项目</w:t>
                  </w:r>
                </w:p>
              </w:tc>
              <w:tc>
                <w:tcPr>
                  <w:tcW w:w="829" w:type="pct"/>
                  <w:tcBorders>
                    <w:tl2br w:val="nil"/>
                    <w:tr2bl w:val="nil"/>
                  </w:tcBorders>
                  <w:vAlign w:val="center"/>
                </w:tcPr>
                <w:p w14:paraId="42E7AA98">
                  <w:pPr>
                    <w:adjustRightInd w:val="0"/>
                    <w:snapToGrid w:val="0"/>
                    <w:jc w:val="center"/>
                    <w:textAlignment w:val="baseline"/>
                    <w:rPr>
                      <w:rFonts w:hint="default" w:ascii="Times New Roman" w:hAnsi="Times New Roman" w:cs="Times New Roman"/>
                      <w:color w:val="FF0000"/>
                      <w:szCs w:val="21"/>
                    </w:rPr>
                  </w:pPr>
                  <w:r>
                    <w:rPr>
                      <w:rFonts w:hint="default" w:ascii="Times New Roman" w:hAnsi="Times New Roman" w:cs="Times New Roman"/>
                      <w:color w:val="FF0000"/>
                      <w:szCs w:val="21"/>
                    </w:rPr>
                    <w:t>监测频率</w:t>
                  </w:r>
                </w:p>
              </w:tc>
              <w:tc>
                <w:tcPr>
                  <w:tcW w:w="2189" w:type="pct"/>
                  <w:tcBorders>
                    <w:tl2br w:val="nil"/>
                    <w:tr2bl w:val="nil"/>
                  </w:tcBorders>
                </w:tcPr>
                <w:p w14:paraId="4C8851F9">
                  <w:pPr>
                    <w:adjustRightInd w:val="0"/>
                    <w:snapToGrid w:val="0"/>
                    <w:jc w:val="center"/>
                    <w:textAlignment w:val="baseline"/>
                    <w:rPr>
                      <w:rFonts w:hint="default" w:ascii="Times New Roman" w:hAnsi="Times New Roman" w:cs="Times New Roman"/>
                      <w:color w:val="FF0000"/>
                      <w:szCs w:val="21"/>
                    </w:rPr>
                  </w:pPr>
                  <w:r>
                    <w:rPr>
                      <w:rFonts w:hint="default" w:ascii="Times New Roman" w:hAnsi="Times New Roman" w:cs="Times New Roman"/>
                      <w:color w:val="FF0000"/>
                      <w:szCs w:val="21"/>
                    </w:rPr>
                    <w:t>执行标准</w:t>
                  </w:r>
                </w:p>
              </w:tc>
            </w:tr>
            <w:tr w14:paraId="4C3BEC2B">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98" w:hRule="atLeast"/>
              </w:trPr>
              <w:tc>
                <w:tcPr>
                  <w:tcW w:w="540" w:type="pct"/>
                  <w:vMerge w:val="restart"/>
                  <w:tcBorders>
                    <w:tl2br w:val="nil"/>
                    <w:tr2bl w:val="nil"/>
                  </w:tcBorders>
                  <w:vAlign w:val="center"/>
                </w:tcPr>
                <w:p w14:paraId="1A871795">
                  <w:pPr>
                    <w:adjustRightInd w:val="0"/>
                    <w:snapToGrid w:val="0"/>
                    <w:jc w:val="center"/>
                    <w:textAlignment w:val="baseline"/>
                    <w:rPr>
                      <w:rFonts w:hint="default" w:ascii="Times New Roman" w:hAnsi="Times New Roman" w:cs="Times New Roman"/>
                      <w:color w:val="FF0000"/>
                      <w:szCs w:val="21"/>
                    </w:rPr>
                  </w:pPr>
                  <w:r>
                    <w:rPr>
                      <w:rFonts w:hint="default" w:ascii="Times New Roman" w:hAnsi="Times New Roman" w:cs="Times New Roman"/>
                      <w:color w:val="FF0000"/>
                      <w:szCs w:val="21"/>
                    </w:rPr>
                    <w:t>噪声</w:t>
                  </w:r>
                </w:p>
              </w:tc>
              <w:tc>
                <w:tcPr>
                  <w:tcW w:w="816" w:type="pct"/>
                  <w:tcBorders>
                    <w:tl2br w:val="nil"/>
                    <w:tr2bl w:val="nil"/>
                  </w:tcBorders>
                  <w:vAlign w:val="center"/>
                </w:tcPr>
                <w:p w14:paraId="4BA074A9">
                  <w:pPr>
                    <w:adjustRightInd w:val="0"/>
                    <w:snapToGrid w:val="0"/>
                    <w:jc w:val="center"/>
                    <w:textAlignment w:val="baseline"/>
                    <w:rPr>
                      <w:rFonts w:hint="eastAsia" w:ascii="Times New Roman" w:hAnsi="Times New Roman" w:eastAsia="宋体" w:cs="Times New Roman"/>
                      <w:color w:val="FF0000"/>
                      <w:szCs w:val="21"/>
                      <w:lang w:eastAsia="zh-CN"/>
                    </w:rPr>
                  </w:pPr>
                  <w:r>
                    <w:rPr>
                      <w:rFonts w:hint="default" w:ascii="Times New Roman" w:hAnsi="Times New Roman" w:cs="Times New Roman"/>
                      <w:color w:val="FF0000"/>
                      <w:szCs w:val="21"/>
                    </w:rPr>
                    <w:t>厂界</w:t>
                  </w:r>
                  <w:r>
                    <w:rPr>
                      <w:rFonts w:hint="eastAsia" w:cs="Times New Roman"/>
                      <w:color w:val="FF0000"/>
                      <w:szCs w:val="21"/>
                      <w:lang w:eastAsia="zh-CN"/>
                    </w:rPr>
                    <w:t>（</w:t>
                  </w:r>
                  <w:r>
                    <w:rPr>
                      <w:rFonts w:hint="eastAsia" w:cs="Times New Roman"/>
                      <w:color w:val="FF0000"/>
                      <w:szCs w:val="21"/>
                      <w:lang w:val="en-US" w:eastAsia="zh-CN"/>
                    </w:rPr>
                    <w:t>东</w:t>
                  </w:r>
                  <w:r>
                    <w:rPr>
                      <w:rFonts w:hint="eastAsia" w:cs="Times New Roman"/>
                      <w:color w:val="FF0000"/>
                      <w:szCs w:val="21"/>
                      <w:lang w:eastAsia="zh-CN"/>
                    </w:rPr>
                    <w:t>侧、</w:t>
                  </w:r>
                  <w:r>
                    <w:rPr>
                      <w:rFonts w:hint="eastAsia" w:cs="Times New Roman"/>
                      <w:color w:val="FF0000"/>
                      <w:szCs w:val="21"/>
                      <w:lang w:val="en-US" w:eastAsia="zh-CN"/>
                    </w:rPr>
                    <w:t>西</w:t>
                  </w:r>
                  <w:r>
                    <w:rPr>
                      <w:rFonts w:hint="eastAsia" w:cs="Times New Roman"/>
                      <w:color w:val="FF0000"/>
                      <w:szCs w:val="21"/>
                      <w:lang w:eastAsia="zh-CN"/>
                    </w:rPr>
                    <w:t>侧、</w:t>
                  </w:r>
                  <w:r>
                    <w:rPr>
                      <w:rFonts w:hint="eastAsia" w:cs="Times New Roman"/>
                      <w:color w:val="FF0000"/>
                      <w:szCs w:val="21"/>
                      <w:lang w:val="en-US" w:eastAsia="zh-CN"/>
                    </w:rPr>
                    <w:t>北</w:t>
                  </w:r>
                  <w:r>
                    <w:rPr>
                      <w:rFonts w:hint="eastAsia" w:cs="Times New Roman"/>
                      <w:color w:val="FF0000"/>
                      <w:szCs w:val="21"/>
                      <w:lang w:eastAsia="zh-CN"/>
                    </w:rPr>
                    <w:t>侧）</w:t>
                  </w:r>
                </w:p>
              </w:tc>
              <w:tc>
                <w:tcPr>
                  <w:tcW w:w="625" w:type="pct"/>
                  <w:vMerge w:val="restart"/>
                  <w:tcBorders>
                    <w:tl2br w:val="nil"/>
                    <w:tr2bl w:val="nil"/>
                  </w:tcBorders>
                  <w:vAlign w:val="center"/>
                </w:tcPr>
                <w:p w14:paraId="65A866D0">
                  <w:pPr>
                    <w:adjustRightInd w:val="0"/>
                    <w:snapToGrid w:val="0"/>
                    <w:jc w:val="center"/>
                    <w:textAlignment w:val="baseline"/>
                    <w:rPr>
                      <w:rFonts w:hint="default" w:ascii="Times New Roman" w:hAnsi="Times New Roman" w:cs="Times New Roman"/>
                      <w:color w:val="FF0000"/>
                      <w:szCs w:val="21"/>
                    </w:rPr>
                  </w:pPr>
                  <w:r>
                    <w:rPr>
                      <w:rFonts w:hint="default" w:ascii="Times New Roman" w:hAnsi="Times New Roman" w:cs="Times New Roman"/>
                      <w:color w:val="FF0000"/>
                      <w:szCs w:val="21"/>
                    </w:rPr>
                    <w:t>Leq（A）</w:t>
                  </w:r>
                </w:p>
              </w:tc>
              <w:tc>
                <w:tcPr>
                  <w:tcW w:w="829" w:type="pct"/>
                  <w:tcBorders>
                    <w:tl2br w:val="nil"/>
                    <w:tr2bl w:val="nil"/>
                  </w:tcBorders>
                  <w:vAlign w:val="center"/>
                </w:tcPr>
                <w:p w14:paraId="087D173A">
                  <w:pPr>
                    <w:adjustRightInd w:val="0"/>
                    <w:snapToGrid w:val="0"/>
                    <w:jc w:val="center"/>
                    <w:textAlignment w:val="baseline"/>
                    <w:rPr>
                      <w:rFonts w:hint="default" w:ascii="Times New Roman" w:hAnsi="Times New Roman" w:cs="Times New Roman"/>
                      <w:color w:val="FF0000"/>
                      <w:szCs w:val="21"/>
                    </w:rPr>
                  </w:pPr>
                  <w:r>
                    <w:rPr>
                      <w:rFonts w:hint="default" w:ascii="Times New Roman" w:hAnsi="Times New Roman" w:cs="Times New Roman"/>
                      <w:color w:val="FF0000"/>
                      <w:szCs w:val="21"/>
                    </w:rPr>
                    <w:t>1次/季度</w:t>
                  </w:r>
                </w:p>
              </w:tc>
              <w:tc>
                <w:tcPr>
                  <w:tcW w:w="2189" w:type="pct"/>
                  <w:tcBorders>
                    <w:tl2br w:val="nil"/>
                    <w:tr2bl w:val="nil"/>
                  </w:tcBorders>
                </w:tcPr>
                <w:p w14:paraId="41F0C17F">
                  <w:pPr>
                    <w:adjustRightInd w:val="0"/>
                    <w:snapToGrid w:val="0"/>
                    <w:jc w:val="center"/>
                    <w:textAlignment w:val="baseline"/>
                    <w:rPr>
                      <w:rFonts w:hint="default" w:ascii="Times New Roman" w:hAnsi="Times New Roman" w:cs="Times New Roman"/>
                      <w:color w:val="FF0000"/>
                      <w:szCs w:val="21"/>
                    </w:rPr>
                  </w:pPr>
                  <w:r>
                    <w:rPr>
                      <w:rFonts w:hint="default" w:ascii="Times New Roman" w:hAnsi="Times New Roman" w:cs="Times New Roman"/>
                      <w:color w:val="FF0000"/>
                      <w:szCs w:val="21"/>
                    </w:rPr>
                    <w:t>《工业企业厂界环境噪声排放标准》（GB12348-2008）中的</w:t>
                  </w:r>
                  <w:r>
                    <w:rPr>
                      <w:rFonts w:hint="eastAsia" w:cs="Times New Roman"/>
                      <w:color w:val="FF0000"/>
                      <w:szCs w:val="21"/>
                      <w:lang w:val="en-US" w:eastAsia="zh-CN"/>
                    </w:rPr>
                    <w:t>2</w:t>
                  </w:r>
                  <w:r>
                    <w:rPr>
                      <w:rFonts w:hint="default" w:ascii="Times New Roman" w:hAnsi="Times New Roman" w:cs="Times New Roman"/>
                      <w:color w:val="FF0000"/>
                      <w:szCs w:val="21"/>
                    </w:rPr>
                    <w:t>类。</w:t>
                  </w:r>
                </w:p>
              </w:tc>
            </w:tr>
            <w:tr w14:paraId="6ABFE646">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98" w:hRule="atLeast"/>
              </w:trPr>
              <w:tc>
                <w:tcPr>
                  <w:tcW w:w="540" w:type="pct"/>
                  <w:vMerge w:val="continue"/>
                  <w:tcBorders>
                    <w:tl2br w:val="nil"/>
                    <w:tr2bl w:val="nil"/>
                  </w:tcBorders>
                  <w:vAlign w:val="center"/>
                </w:tcPr>
                <w:p w14:paraId="3BDDE80D">
                  <w:pPr>
                    <w:adjustRightInd w:val="0"/>
                    <w:snapToGrid w:val="0"/>
                    <w:jc w:val="center"/>
                    <w:textAlignment w:val="baseline"/>
                    <w:rPr>
                      <w:rFonts w:hint="default" w:ascii="Times New Roman" w:hAnsi="Times New Roman" w:cs="Times New Roman"/>
                      <w:color w:val="FF0000"/>
                      <w:szCs w:val="21"/>
                    </w:rPr>
                  </w:pPr>
                </w:p>
              </w:tc>
              <w:tc>
                <w:tcPr>
                  <w:tcW w:w="816" w:type="pct"/>
                  <w:tcBorders>
                    <w:tl2br w:val="nil"/>
                    <w:tr2bl w:val="nil"/>
                  </w:tcBorders>
                  <w:vAlign w:val="center"/>
                </w:tcPr>
                <w:p w14:paraId="41F6F092">
                  <w:pPr>
                    <w:adjustRightInd w:val="0"/>
                    <w:snapToGrid w:val="0"/>
                    <w:jc w:val="center"/>
                    <w:textAlignment w:val="baseline"/>
                    <w:rPr>
                      <w:rFonts w:hint="default" w:ascii="Times New Roman" w:hAnsi="Times New Roman" w:cs="Times New Roman"/>
                      <w:color w:val="FF0000"/>
                      <w:szCs w:val="21"/>
                    </w:rPr>
                  </w:pPr>
                  <w:r>
                    <w:rPr>
                      <w:rFonts w:hint="default" w:ascii="Times New Roman" w:hAnsi="Times New Roman" w:cs="Times New Roman"/>
                      <w:color w:val="FF0000"/>
                      <w:szCs w:val="21"/>
                    </w:rPr>
                    <w:t>厂界</w:t>
                  </w:r>
                  <w:r>
                    <w:rPr>
                      <w:rFonts w:hint="eastAsia" w:cs="Times New Roman"/>
                      <w:color w:val="FF0000"/>
                      <w:szCs w:val="21"/>
                      <w:lang w:eastAsia="zh-CN"/>
                    </w:rPr>
                    <w:t>（</w:t>
                  </w:r>
                  <w:r>
                    <w:rPr>
                      <w:rFonts w:hint="eastAsia" w:cs="Times New Roman"/>
                      <w:color w:val="FF0000"/>
                      <w:szCs w:val="21"/>
                      <w:lang w:val="en-US" w:eastAsia="zh-CN"/>
                    </w:rPr>
                    <w:t>南</w:t>
                  </w:r>
                  <w:r>
                    <w:rPr>
                      <w:rFonts w:hint="eastAsia" w:cs="Times New Roman"/>
                      <w:color w:val="FF0000"/>
                      <w:szCs w:val="21"/>
                      <w:lang w:eastAsia="zh-CN"/>
                    </w:rPr>
                    <w:t>侧）</w:t>
                  </w:r>
                </w:p>
              </w:tc>
              <w:tc>
                <w:tcPr>
                  <w:tcW w:w="625" w:type="pct"/>
                  <w:vMerge w:val="continue"/>
                  <w:tcBorders>
                    <w:tl2br w:val="nil"/>
                    <w:tr2bl w:val="nil"/>
                  </w:tcBorders>
                  <w:vAlign w:val="center"/>
                </w:tcPr>
                <w:p w14:paraId="6E9CAF5D">
                  <w:pPr>
                    <w:adjustRightInd w:val="0"/>
                    <w:snapToGrid w:val="0"/>
                    <w:jc w:val="center"/>
                    <w:textAlignment w:val="baseline"/>
                    <w:rPr>
                      <w:rFonts w:hint="default" w:ascii="Times New Roman" w:hAnsi="Times New Roman" w:cs="Times New Roman"/>
                      <w:color w:val="FF0000"/>
                      <w:szCs w:val="21"/>
                    </w:rPr>
                  </w:pPr>
                </w:p>
              </w:tc>
              <w:tc>
                <w:tcPr>
                  <w:tcW w:w="829" w:type="pct"/>
                  <w:tcBorders>
                    <w:tl2br w:val="nil"/>
                    <w:tr2bl w:val="nil"/>
                  </w:tcBorders>
                  <w:vAlign w:val="center"/>
                </w:tcPr>
                <w:p w14:paraId="5E2E2041">
                  <w:pPr>
                    <w:adjustRightInd w:val="0"/>
                    <w:snapToGrid w:val="0"/>
                    <w:jc w:val="center"/>
                    <w:textAlignment w:val="baseline"/>
                    <w:rPr>
                      <w:rFonts w:hint="default" w:ascii="Times New Roman" w:hAnsi="Times New Roman" w:cs="Times New Roman"/>
                      <w:color w:val="FF0000"/>
                      <w:szCs w:val="21"/>
                    </w:rPr>
                  </w:pPr>
                  <w:r>
                    <w:rPr>
                      <w:rFonts w:hint="default" w:ascii="Times New Roman" w:hAnsi="Times New Roman" w:cs="Times New Roman"/>
                      <w:color w:val="FF0000"/>
                      <w:szCs w:val="21"/>
                    </w:rPr>
                    <w:t>1次/季度</w:t>
                  </w:r>
                </w:p>
              </w:tc>
              <w:tc>
                <w:tcPr>
                  <w:tcW w:w="2189" w:type="pct"/>
                  <w:tcBorders>
                    <w:tl2br w:val="nil"/>
                    <w:tr2bl w:val="nil"/>
                  </w:tcBorders>
                </w:tcPr>
                <w:p w14:paraId="2C01EC06">
                  <w:pPr>
                    <w:adjustRightInd w:val="0"/>
                    <w:snapToGrid w:val="0"/>
                    <w:jc w:val="center"/>
                    <w:textAlignment w:val="baseline"/>
                    <w:rPr>
                      <w:rFonts w:hint="default" w:ascii="Times New Roman" w:hAnsi="Times New Roman" w:cs="Times New Roman"/>
                      <w:color w:val="FF0000"/>
                      <w:szCs w:val="21"/>
                    </w:rPr>
                  </w:pPr>
                  <w:r>
                    <w:rPr>
                      <w:rFonts w:hint="default" w:ascii="Times New Roman" w:hAnsi="Times New Roman" w:cs="Times New Roman"/>
                      <w:color w:val="FF0000"/>
                      <w:szCs w:val="21"/>
                    </w:rPr>
                    <w:t>《工业企业厂界环境噪声排放标准》（GB12348-2008）中的</w:t>
                  </w:r>
                  <w:r>
                    <w:rPr>
                      <w:rFonts w:hint="eastAsia" w:cs="Times New Roman"/>
                      <w:color w:val="FF0000"/>
                      <w:szCs w:val="21"/>
                      <w:lang w:val="en-US" w:eastAsia="zh-CN"/>
                    </w:rPr>
                    <w:t>4</w:t>
                  </w:r>
                  <w:r>
                    <w:rPr>
                      <w:rFonts w:hint="default" w:ascii="Times New Roman" w:hAnsi="Times New Roman" w:cs="Times New Roman"/>
                      <w:color w:val="FF0000"/>
                      <w:szCs w:val="21"/>
                    </w:rPr>
                    <w:t>类。</w:t>
                  </w:r>
                </w:p>
              </w:tc>
            </w:tr>
          </w:tbl>
          <w:p w14:paraId="5D7F9C42">
            <w:pPr>
              <w:adjustRightInd w:val="0"/>
              <w:snapToGrid w:val="0"/>
              <w:spacing w:line="360" w:lineRule="auto"/>
              <w:rPr>
                <w:rFonts w:hint="default" w:ascii="Times New Roman" w:hAnsi="Times New Roman" w:cs="Times New Roman"/>
                <w:b/>
                <w:spacing w:val="-10"/>
                <w:sz w:val="24"/>
              </w:rPr>
            </w:pPr>
          </w:p>
          <w:p w14:paraId="7BAA7E9A">
            <w:pPr>
              <w:adjustRightInd w:val="0"/>
              <w:snapToGrid w:val="0"/>
              <w:spacing w:line="360" w:lineRule="auto"/>
              <w:rPr>
                <w:rFonts w:hint="default" w:ascii="Times New Roman" w:hAnsi="Times New Roman" w:cs="Times New Roman"/>
                <w:b/>
                <w:spacing w:val="-10"/>
                <w:sz w:val="24"/>
              </w:rPr>
            </w:pPr>
            <w:r>
              <w:rPr>
                <w:rFonts w:hint="default" w:ascii="Times New Roman" w:hAnsi="Times New Roman" w:cs="Times New Roman"/>
                <w:b/>
                <w:spacing w:val="-10"/>
                <w:sz w:val="24"/>
              </w:rPr>
              <w:t>四、固体废物</w:t>
            </w:r>
          </w:p>
          <w:p w14:paraId="56C7E396">
            <w:pPr>
              <w:spacing w:line="360" w:lineRule="auto"/>
              <w:ind w:firstLine="480"/>
              <w:jc w:val="left"/>
              <w:rPr>
                <w:rFonts w:hint="default" w:ascii="Times New Roman" w:hAnsi="Times New Roman" w:cs="Times New Roman"/>
                <w:color w:val="000000"/>
                <w:spacing w:val="-2"/>
                <w:sz w:val="24"/>
              </w:rPr>
            </w:pPr>
            <w:r>
              <w:rPr>
                <w:rFonts w:hint="default" w:ascii="Times New Roman" w:hAnsi="Times New Roman" w:cs="Times New Roman"/>
                <w:color w:val="000000"/>
                <w:spacing w:val="-2"/>
                <w:sz w:val="24"/>
              </w:rPr>
              <w:t>项目固废主要包括一般工业固废、危险废物和生活垃圾。其中一般工业固废 分为可回收利用固废和不可回收利用固废。根据表2-4项目报废机动车拆解物料平衡计算，固体废物产生情况如下：</w:t>
            </w:r>
          </w:p>
          <w:p w14:paraId="57A1A778">
            <w:pPr>
              <w:spacing w:line="360" w:lineRule="auto"/>
              <w:ind w:firstLine="480"/>
              <w:jc w:val="left"/>
              <w:rPr>
                <w:rFonts w:hint="default" w:ascii="Times New Roman" w:hAnsi="Times New Roman" w:cs="Times New Roman"/>
                <w:b/>
                <w:bCs/>
                <w:color w:val="FF0000"/>
                <w:spacing w:val="-2"/>
                <w:sz w:val="24"/>
              </w:rPr>
            </w:pPr>
            <w:r>
              <w:rPr>
                <w:rFonts w:hint="default" w:ascii="Times New Roman" w:hAnsi="Times New Roman" w:cs="Times New Roman"/>
                <w:b/>
                <w:bCs/>
                <w:color w:val="FF0000"/>
                <w:spacing w:val="-2"/>
                <w:sz w:val="24"/>
              </w:rPr>
              <w:t>1.一般工业固废</w:t>
            </w:r>
          </w:p>
          <w:p w14:paraId="48A599DE">
            <w:pPr>
              <w:spacing w:line="360" w:lineRule="auto"/>
              <w:ind w:firstLine="480"/>
              <w:jc w:val="left"/>
              <w:rPr>
                <w:rFonts w:hint="default" w:ascii="Times New Roman" w:hAnsi="Times New Roman" w:cs="Times New Roman"/>
                <w:color w:val="FF0000"/>
                <w:spacing w:val="-2"/>
                <w:sz w:val="24"/>
              </w:rPr>
            </w:pPr>
            <w:r>
              <w:rPr>
                <w:rFonts w:hint="default" w:ascii="Times New Roman" w:hAnsi="Times New Roman" w:cs="Times New Roman"/>
                <w:color w:val="FF0000"/>
                <w:spacing w:val="-2"/>
                <w:sz w:val="24"/>
              </w:rPr>
              <w:t>可回收利用的资源包括拆解产生的</w:t>
            </w:r>
            <w:r>
              <w:rPr>
                <w:rFonts w:hint="default" w:ascii="Times New Roman" w:hAnsi="Times New Roman" w:cs="Times New Roman"/>
                <w:color w:val="FF0000"/>
                <w:spacing w:val="-2"/>
                <w:sz w:val="24"/>
                <w:lang w:val="en-US" w:eastAsia="zh-CN"/>
              </w:rPr>
              <w:t>可回用</w:t>
            </w:r>
            <w:r>
              <w:rPr>
                <w:rFonts w:hint="default" w:ascii="Times New Roman" w:hAnsi="Times New Roman" w:cs="Times New Roman"/>
                <w:color w:val="FF0000"/>
                <w:spacing w:val="-2"/>
                <w:sz w:val="24"/>
              </w:rPr>
              <w:t>钢铁、</w:t>
            </w:r>
            <w:r>
              <w:rPr>
                <w:rFonts w:hint="default" w:ascii="Times New Roman" w:hAnsi="Times New Roman" w:cs="Times New Roman"/>
                <w:color w:val="FF0000"/>
                <w:spacing w:val="-2"/>
                <w:sz w:val="24"/>
                <w:lang w:val="en-US" w:eastAsia="zh-CN"/>
              </w:rPr>
              <w:t>可回用</w:t>
            </w:r>
            <w:r>
              <w:rPr>
                <w:rFonts w:hint="default" w:ascii="Times New Roman" w:hAnsi="Times New Roman" w:cs="Times New Roman"/>
                <w:color w:val="FF0000"/>
                <w:spacing w:val="-2"/>
                <w:sz w:val="24"/>
              </w:rPr>
              <w:t>有色金属、</w:t>
            </w:r>
            <w:r>
              <w:rPr>
                <w:rFonts w:hint="default" w:ascii="Times New Roman" w:hAnsi="Times New Roman" w:cs="Times New Roman"/>
                <w:color w:val="FF0000"/>
                <w:spacing w:val="-2"/>
                <w:sz w:val="24"/>
                <w:lang w:val="en-US" w:eastAsia="zh-CN"/>
              </w:rPr>
              <w:t>可回用</w:t>
            </w:r>
            <w:r>
              <w:rPr>
                <w:rFonts w:hint="default" w:ascii="Times New Roman" w:hAnsi="Times New Roman" w:cs="Times New Roman"/>
                <w:color w:val="FF0000"/>
                <w:spacing w:val="-2"/>
                <w:sz w:val="24"/>
              </w:rPr>
              <w:t>玻璃、</w:t>
            </w:r>
            <w:r>
              <w:rPr>
                <w:rFonts w:hint="default" w:ascii="Times New Roman" w:hAnsi="Times New Roman" w:cs="Times New Roman"/>
                <w:color w:val="FF0000"/>
                <w:spacing w:val="-2"/>
                <w:sz w:val="24"/>
                <w:lang w:val="en-US" w:eastAsia="zh-CN"/>
              </w:rPr>
              <w:t>可回用</w:t>
            </w:r>
            <w:r>
              <w:rPr>
                <w:rFonts w:hint="default" w:ascii="Times New Roman" w:hAnsi="Times New Roman" w:cs="Times New Roman"/>
                <w:color w:val="FF0000"/>
                <w:spacing w:val="-2"/>
                <w:sz w:val="24"/>
              </w:rPr>
              <w:t>塑料、</w:t>
            </w:r>
            <w:r>
              <w:rPr>
                <w:rFonts w:hint="default" w:ascii="Times New Roman" w:hAnsi="Times New Roman" w:cs="Times New Roman"/>
                <w:color w:val="FF0000"/>
                <w:spacing w:val="-2"/>
                <w:sz w:val="24"/>
                <w:lang w:val="en-US" w:eastAsia="zh-CN"/>
              </w:rPr>
              <w:t>可回用</w:t>
            </w:r>
            <w:r>
              <w:rPr>
                <w:rFonts w:hint="default" w:ascii="Times New Roman" w:hAnsi="Times New Roman" w:cs="Times New Roman"/>
                <w:color w:val="FF0000"/>
                <w:spacing w:val="-2"/>
                <w:sz w:val="24"/>
              </w:rPr>
              <w:t>橡胶等作为产品暂存于回用件暂存区，</w:t>
            </w:r>
            <w:r>
              <w:rPr>
                <w:rFonts w:hint="default" w:ascii="Times New Roman" w:hAnsi="Times New Roman" w:cs="Times New Roman"/>
                <w:color w:val="FF0000"/>
                <w:spacing w:val="-2"/>
                <w:sz w:val="24"/>
                <w:lang w:eastAsia="zh-CN"/>
              </w:rPr>
              <w:t>定期交由具有相应处理能力或经营范围的单位利用和处置</w:t>
            </w:r>
            <w:r>
              <w:rPr>
                <w:rFonts w:hint="default" w:ascii="Times New Roman" w:hAnsi="Times New Roman" w:cs="Times New Roman"/>
                <w:color w:val="FF0000"/>
                <w:spacing w:val="-2"/>
                <w:sz w:val="24"/>
              </w:rPr>
              <w:t>。</w:t>
            </w:r>
          </w:p>
          <w:p w14:paraId="78D72AFE">
            <w:pPr>
              <w:spacing w:line="360" w:lineRule="auto"/>
              <w:ind w:firstLine="480"/>
              <w:jc w:val="left"/>
              <w:rPr>
                <w:rFonts w:hint="default" w:ascii="Times New Roman" w:hAnsi="Times New Roman" w:cs="Times New Roman"/>
                <w:color w:val="FF0000"/>
                <w:spacing w:val="-2"/>
                <w:sz w:val="24"/>
              </w:rPr>
            </w:pPr>
            <w:r>
              <w:rPr>
                <w:rFonts w:hint="default" w:ascii="Times New Roman" w:hAnsi="Times New Roman" w:cs="Times New Roman"/>
                <w:color w:val="FF0000"/>
                <w:spacing w:val="-2"/>
                <w:sz w:val="24"/>
              </w:rPr>
              <w:t>不可利用废物如废皮布制品、其他不可利用废料等暂存于一般固废暂存区，</w:t>
            </w:r>
            <w:r>
              <w:rPr>
                <w:rFonts w:hint="default" w:ascii="Times New Roman" w:hAnsi="Times New Roman" w:cs="Times New Roman"/>
                <w:color w:val="FF0000"/>
                <w:spacing w:val="-2"/>
                <w:sz w:val="24"/>
                <w:lang w:eastAsia="zh-CN"/>
              </w:rPr>
              <w:t>定期交由具有相应处理能力或经营范围的单位利用和处置</w:t>
            </w:r>
            <w:r>
              <w:rPr>
                <w:rFonts w:hint="default" w:ascii="Times New Roman" w:hAnsi="Times New Roman" w:cs="Times New Roman"/>
                <w:color w:val="FF0000"/>
                <w:spacing w:val="-2"/>
                <w:sz w:val="24"/>
              </w:rPr>
              <w:t>。</w:t>
            </w:r>
          </w:p>
          <w:p w14:paraId="3FF97A4A">
            <w:pPr>
              <w:spacing w:line="360" w:lineRule="auto"/>
              <w:ind w:firstLine="472" w:firstLineChars="200"/>
              <w:jc w:val="left"/>
              <w:rPr>
                <w:rFonts w:hint="default" w:ascii="Times New Roman" w:hAnsi="Times New Roman" w:eastAsia="宋体" w:cs="Times New Roman"/>
                <w:color w:val="FF0000"/>
                <w:spacing w:val="-2"/>
                <w:sz w:val="24"/>
                <w:lang w:eastAsia="zh-CN"/>
              </w:rPr>
            </w:pPr>
            <w:r>
              <w:rPr>
                <w:rFonts w:hint="default" w:ascii="Times New Roman" w:hAnsi="Times New Roman" w:cs="Times New Roman"/>
                <w:color w:val="FF0000"/>
                <w:spacing w:val="-2"/>
                <w:sz w:val="24"/>
                <w:lang w:val="en-US" w:eastAsia="zh-CN"/>
              </w:rPr>
              <w:t>（1）可回用</w:t>
            </w:r>
            <w:r>
              <w:rPr>
                <w:rFonts w:hint="default" w:ascii="Times New Roman" w:hAnsi="Times New Roman" w:cs="Times New Roman"/>
                <w:color w:val="FF0000"/>
                <w:spacing w:val="-2"/>
                <w:sz w:val="24"/>
              </w:rPr>
              <w:t>钢铁：报废机动车主要材料为钢铁材料，报废机动车拆解过程会产生较大量的</w:t>
            </w:r>
            <w:r>
              <w:rPr>
                <w:rFonts w:hint="default" w:ascii="Times New Roman" w:hAnsi="Times New Roman" w:cs="Times New Roman"/>
                <w:color w:val="FF0000"/>
                <w:spacing w:val="-2"/>
                <w:sz w:val="24"/>
                <w:lang w:val="en-US" w:eastAsia="zh-CN"/>
              </w:rPr>
              <w:t>可回用</w:t>
            </w:r>
            <w:r>
              <w:rPr>
                <w:rFonts w:hint="default" w:ascii="Times New Roman" w:hAnsi="Times New Roman" w:cs="Times New Roman"/>
                <w:color w:val="FF0000"/>
                <w:spacing w:val="-2"/>
                <w:sz w:val="24"/>
              </w:rPr>
              <w:t>钢铁，主要为</w:t>
            </w:r>
            <w:r>
              <w:rPr>
                <w:rFonts w:hint="default" w:ascii="Times New Roman" w:hAnsi="Times New Roman" w:cs="Times New Roman"/>
                <w:color w:val="FF0000"/>
                <w:spacing w:val="-2"/>
                <w:sz w:val="24"/>
                <w:lang w:val="en-US" w:eastAsia="zh-CN"/>
              </w:rPr>
              <w:t>发动机、电动机、变速器、转向器、空调压缩机、前后保险杠（金属部分）、车门、车架及车身、踏板、轮毂、桌椅（金属部分）</w:t>
            </w:r>
            <w:r>
              <w:rPr>
                <w:rFonts w:hint="default" w:ascii="Times New Roman" w:hAnsi="Times New Roman" w:cs="Times New Roman"/>
                <w:color w:val="FF0000"/>
                <w:spacing w:val="-2"/>
                <w:sz w:val="24"/>
              </w:rPr>
              <w:t>等部件。根据表2-4项目报废机动车拆解物料平衡计算，废钢铁产生量约</w:t>
            </w:r>
            <w:r>
              <w:rPr>
                <w:rFonts w:hint="default" w:ascii="Times New Roman" w:hAnsi="Times New Roman" w:cs="Times New Roman"/>
                <w:color w:val="FF0000"/>
                <w:spacing w:val="-2"/>
                <w:sz w:val="24"/>
                <w:lang w:val="en-US" w:eastAsia="zh-CN"/>
              </w:rPr>
              <w:t>63243.79</w:t>
            </w:r>
            <w:r>
              <w:rPr>
                <w:rFonts w:hint="default" w:ascii="Times New Roman" w:hAnsi="Times New Roman" w:cs="Times New Roman"/>
                <w:color w:val="FF0000"/>
                <w:spacing w:val="-2"/>
                <w:sz w:val="24"/>
              </w:rPr>
              <w:t>t/a ，暂存于回用件暂存区，定期交由具有相应处理能力或经营范围的单位利用和处置</w:t>
            </w:r>
            <w:r>
              <w:rPr>
                <w:rFonts w:hint="default" w:ascii="Times New Roman" w:hAnsi="Times New Roman" w:cs="Times New Roman"/>
                <w:color w:val="FF0000"/>
                <w:spacing w:val="-2"/>
                <w:sz w:val="24"/>
                <w:lang w:eastAsia="zh-CN"/>
              </w:rPr>
              <w:t>。</w:t>
            </w:r>
          </w:p>
          <w:p w14:paraId="70AC26A8">
            <w:pPr>
              <w:spacing w:line="360" w:lineRule="auto"/>
              <w:ind w:firstLine="472" w:firstLineChars="200"/>
              <w:jc w:val="left"/>
              <w:rPr>
                <w:rFonts w:hint="default" w:ascii="Times New Roman" w:hAnsi="Times New Roman" w:eastAsia="宋体" w:cs="Times New Roman"/>
                <w:color w:val="FF0000"/>
                <w:spacing w:val="-2"/>
                <w:sz w:val="24"/>
                <w:lang w:eastAsia="zh-CN"/>
              </w:rPr>
            </w:pPr>
            <w:r>
              <w:rPr>
                <w:rFonts w:hint="default" w:ascii="Times New Roman" w:hAnsi="Times New Roman" w:cs="Times New Roman"/>
                <w:color w:val="FF0000"/>
                <w:spacing w:val="-2"/>
                <w:sz w:val="24"/>
              </w:rPr>
              <w:t>（2）</w:t>
            </w:r>
            <w:r>
              <w:rPr>
                <w:rFonts w:hint="default" w:ascii="Times New Roman" w:hAnsi="Times New Roman" w:cs="Times New Roman"/>
                <w:color w:val="FF0000"/>
                <w:spacing w:val="-2"/>
                <w:sz w:val="24"/>
                <w:lang w:val="en-US" w:eastAsia="zh-CN"/>
              </w:rPr>
              <w:t>可回用有色</w:t>
            </w:r>
            <w:r>
              <w:rPr>
                <w:rFonts w:hint="default" w:ascii="Times New Roman" w:hAnsi="Times New Roman" w:cs="Times New Roman"/>
                <w:color w:val="FF0000"/>
                <w:spacing w:val="-2"/>
                <w:sz w:val="24"/>
              </w:rPr>
              <w:t>金属：报废机动车很多部件为有色金属即铝、铜、镁等金属，如</w:t>
            </w:r>
            <w:r>
              <w:rPr>
                <w:rFonts w:hint="default" w:ascii="Times New Roman" w:hAnsi="Times New Roman" w:cs="Times New Roman"/>
                <w:color w:val="FF0000"/>
                <w:spacing w:val="-2"/>
                <w:sz w:val="24"/>
                <w:lang w:val="en-US" w:eastAsia="zh-CN"/>
              </w:rPr>
              <w:t>散热器、齿轮/轴承</w:t>
            </w:r>
            <w:r>
              <w:rPr>
                <w:rFonts w:hint="default" w:ascii="Times New Roman" w:hAnsi="Times New Roman" w:cs="Times New Roman"/>
                <w:color w:val="FF0000"/>
                <w:spacing w:val="-2"/>
                <w:sz w:val="24"/>
              </w:rPr>
              <w:t>等，主要为铝、铜、镁等有色金属。根据表2-4项目报废机动车拆解物料平衡计算，</w:t>
            </w:r>
            <w:r>
              <w:rPr>
                <w:rFonts w:hint="default" w:ascii="Times New Roman" w:hAnsi="Times New Roman" w:cs="Times New Roman"/>
                <w:color w:val="FF0000"/>
                <w:spacing w:val="-2"/>
                <w:sz w:val="24"/>
                <w:lang w:val="en-US" w:eastAsia="zh-CN"/>
              </w:rPr>
              <w:t>可回用有色</w:t>
            </w:r>
            <w:r>
              <w:rPr>
                <w:rFonts w:hint="default" w:ascii="Times New Roman" w:hAnsi="Times New Roman" w:cs="Times New Roman"/>
                <w:color w:val="FF0000"/>
                <w:spacing w:val="-2"/>
                <w:sz w:val="24"/>
              </w:rPr>
              <w:t>金属产生量为</w:t>
            </w:r>
            <w:r>
              <w:rPr>
                <w:rFonts w:hint="default" w:ascii="Times New Roman" w:hAnsi="Times New Roman" w:cs="Times New Roman"/>
                <w:color w:val="FF0000"/>
                <w:spacing w:val="-2"/>
                <w:sz w:val="24"/>
                <w:lang w:val="en-US" w:eastAsia="zh-CN"/>
              </w:rPr>
              <w:t>1818.17</w:t>
            </w:r>
            <w:r>
              <w:rPr>
                <w:rFonts w:hint="default" w:ascii="Times New Roman" w:hAnsi="Times New Roman" w:cs="Times New Roman"/>
                <w:color w:val="FF0000"/>
                <w:spacing w:val="-2"/>
                <w:sz w:val="24"/>
              </w:rPr>
              <w:t>t/a，暂存于回用件暂存区，定期交由具有相应处理能力或经营范围的单位利用和处置</w:t>
            </w:r>
            <w:r>
              <w:rPr>
                <w:rFonts w:hint="default" w:ascii="Times New Roman" w:hAnsi="Times New Roman" w:cs="Times New Roman"/>
                <w:color w:val="FF0000"/>
                <w:spacing w:val="-2"/>
                <w:sz w:val="24"/>
                <w:lang w:eastAsia="zh-CN"/>
              </w:rPr>
              <w:t>。</w:t>
            </w:r>
          </w:p>
          <w:p w14:paraId="4418584B">
            <w:pPr>
              <w:spacing w:line="360" w:lineRule="auto"/>
              <w:ind w:firstLine="480"/>
              <w:jc w:val="left"/>
              <w:rPr>
                <w:rFonts w:hint="default" w:ascii="Times New Roman" w:hAnsi="Times New Roman" w:cs="Times New Roman"/>
                <w:color w:val="FF0000"/>
                <w:spacing w:val="-2"/>
                <w:sz w:val="24"/>
                <w:lang w:val="en-US"/>
              </w:rPr>
            </w:pPr>
            <w:r>
              <w:rPr>
                <w:rFonts w:hint="default" w:ascii="Times New Roman" w:hAnsi="Times New Roman" w:cs="Times New Roman"/>
                <w:color w:val="FF0000"/>
                <w:spacing w:val="-2"/>
                <w:sz w:val="24"/>
              </w:rPr>
              <w:t>（3）</w:t>
            </w:r>
            <w:r>
              <w:rPr>
                <w:rFonts w:hint="default" w:ascii="Times New Roman" w:hAnsi="Times New Roman" w:cs="Times New Roman"/>
                <w:color w:val="FF0000"/>
                <w:spacing w:val="-2"/>
                <w:sz w:val="24"/>
                <w:lang w:val="en-US" w:eastAsia="zh-CN"/>
              </w:rPr>
              <w:t>可回用</w:t>
            </w:r>
            <w:r>
              <w:rPr>
                <w:rFonts w:hint="default" w:ascii="Times New Roman" w:hAnsi="Times New Roman" w:cs="Times New Roman"/>
                <w:color w:val="FF0000"/>
                <w:spacing w:val="-2"/>
                <w:sz w:val="24"/>
              </w:rPr>
              <w:t>玻璃：机动车</w:t>
            </w:r>
            <w:r>
              <w:rPr>
                <w:rFonts w:hint="default" w:ascii="Times New Roman" w:hAnsi="Times New Roman" w:cs="Times New Roman"/>
                <w:color w:val="FF0000"/>
                <w:spacing w:val="-2"/>
                <w:sz w:val="24"/>
                <w:lang w:val="en-US" w:eastAsia="zh-CN"/>
              </w:rPr>
              <w:t>车窗、前后挡风</w:t>
            </w:r>
            <w:r>
              <w:rPr>
                <w:rFonts w:hint="default" w:ascii="Times New Roman" w:hAnsi="Times New Roman" w:cs="Times New Roman"/>
                <w:color w:val="FF0000"/>
                <w:spacing w:val="-2"/>
                <w:sz w:val="24"/>
              </w:rPr>
              <w:t>、天窗、后视镜等拆解过程中会产生</w:t>
            </w:r>
            <w:r>
              <w:rPr>
                <w:rFonts w:hint="default" w:ascii="Times New Roman" w:hAnsi="Times New Roman" w:cs="Times New Roman"/>
                <w:color w:val="FF0000"/>
                <w:spacing w:val="-2"/>
                <w:sz w:val="24"/>
                <w:lang w:val="en-US" w:eastAsia="zh-CN"/>
              </w:rPr>
              <w:t>可回用</w:t>
            </w:r>
            <w:r>
              <w:rPr>
                <w:rFonts w:hint="default" w:ascii="Times New Roman" w:hAnsi="Times New Roman" w:cs="Times New Roman"/>
                <w:color w:val="FF0000"/>
                <w:spacing w:val="-2"/>
                <w:sz w:val="24"/>
              </w:rPr>
              <w:t>玻璃，根据表2-4项目报废机动车拆解物料平衡计算，废玻璃产生量为</w:t>
            </w:r>
            <w:r>
              <w:rPr>
                <w:rFonts w:hint="default" w:ascii="Times New Roman" w:hAnsi="Times New Roman" w:cs="Times New Roman"/>
                <w:color w:val="FF0000"/>
                <w:spacing w:val="-2"/>
                <w:sz w:val="24"/>
                <w:lang w:val="en-US" w:eastAsia="zh-CN"/>
              </w:rPr>
              <w:t>616.15</w:t>
            </w:r>
            <w:r>
              <w:rPr>
                <w:rFonts w:hint="default" w:ascii="Times New Roman" w:hAnsi="Times New Roman" w:cs="Times New Roman"/>
                <w:color w:val="FF0000"/>
                <w:spacing w:val="-2"/>
                <w:sz w:val="24"/>
              </w:rPr>
              <w:t>t/a ，暂存于回用件暂存区，</w:t>
            </w:r>
            <w:r>
              <w:rPr>
                <w:rFonts w:hint="default" w:ascii="Times New Roman" w:hAnsi="Times New Roman" w:cs="Times New Roman"/>
                <w:color w:val="FF0000"/>
                <w:spacing w:val="-2"/>
                <w:sz w:val="24"/>
                <w:lang w:eastAsia="zh-CN"/>
              </w:rPr>
              <w:t>定期交由具有相应处理能力或经营范围的单位利用和处置。</w:t>
            </w:r>
          </w:p>
          <w:p w14:paraId="38C2A64A">
            <w:pPr>
              <w:spacing w:line="360" w:lineRule="auto"/>
              <w:ind w:firstLine="480"/>
              <w:jc w:val="left"/>
              <w:rPr>
                <w:rFonts w:hint="default" w:ascii="Times New Roman" w:hAnsi="Times New Roman" w:cs="Times New Roman"/>
                <w:color w:val="FF0000"/>
                <w:spacing w:val="-2"/>
                <w:sz w:val="24"/>
              </w:rPr>
            </w:pPr>
            <w:r>
              <w:rPr>
                <w:rFonts w:hint="default" w:ascii="Times New Roman" w:hAnsi="Times New Roman" w:cs="Times New Roman"/>
                <w:color w:val="FF0000"/>
                <w:spacing w:val="-2"/>
                <w:sz w:val="24"/>
              </w:rPr>
              <w:t>（4）</w:t>
            </w:r>
            <w:r>
              <w:rPr>
                <w:rFonts w:hint="default" w:ascii="Times New Roman" w:hAnsi="Times New Roman" w:cs="Times New Roman"/>
                <w:color w:val="FF0000"/>
                <w:spacing w:val="-2"/>
                <w:sz w:val="24"/>
                <w:lang w:val="en-US" w:eastAsia="zh-CN"/>
              </w:rPr>
              <w:t>可回用</w:t>
            </w:r>
            <w:r>
              <w:rPr>
                <w:rFonts w:hint="default" w:ascii="Times New Roman" w:hAnsi="Times New Roman" w:cs="Times New Roman"/>
                <w:color w:val="FF0000"/>
                <w:spacing w:val="-2"/>
                <w:sz w:val="24"/>
              </w:rPr>
              <w:t>橡胶：报废机动车拆解过程会产生一定量的</w:t>
            </w:r>
            <w:r>
              <w:rPr>
                <w:rFonts w:hint="default" w:ascii="Times New Roman" w:hAnsi="Times New Roman" w:cs="Times New Roman"/>
                <w:color w:val="FF0000"/>
                <w:spacing w:val="-2"/>
                <w:sz w:val="24"/>
                <w:lang w:val="en-US" w:eastAsia="zh-CN"/>
              </w:rPr>
              <w:t>可回用</w:t>
            </w:r>
            <w:r>
              <w:rPr>
                <w:rFonts w:hint="default" w:ascii="Times New Roman" w:hAnsi="Times New Roman" w:cs="Times New Roman"/>
                <w:color w:val="FF0000"/>
                <w:spacing w:val="-2"/>
                <w:sz w:val="24"/>
              </w:rPr>
              <w:t>橡胶，主要为轮胎、橡胶减震器、垫圈</w:t>
            </w:r>
            <w:r>
              <w:rPr>
                <w:rFonts w:hint="default" w:ascii="Times New Roman" w:hAnsi="Times New Roman" w:cs="Times New Roman"/>
                <w:color w:val="FF0000"/>
                <w:spacing w:val="-2"/>
                <w:sz w:val="24"/>
                <w:lang w:eastAsia="zh-CN"/>
              </w:rPr>
              <w:t>、</w:t>
            </w:r>
            <w:r>
              <w:rPr>
                <w:rFonts w:hint="default" w:ascii="Times New Roman" w:hAnsi="Times New Roman" w:cs="Times New Roman"/>
                <w:color w:val="FF0000"/>
                <w:spacing w:val="-2"/>
                <w:sz w:val="24"/>
                <w:lang w:val="en-US" w:eastAsia="zh-CN"/>
              </w:rPr>
              <w:t>密封条</w:t>
            </w:r>
            <w:r>
              <w:rPr>
                <w:rFonts w:hint="default" w:ascii="Times New Roman" w:hAnsi="Times New Roman" w:cs="Times New Roman"/>
                <w:color w:val="FF0000"/>
                <w:spacing w:val="-2"/>
                <w:sz w:val="24"/>
              </w:rPr>
              <w:t>等，根据表2-4项目报废机动车拆解物料平衡计算，废橡胶产生量为</w:t>
            </w:r>
            <w:r>
              <w:rPr>
                <w:rFonts w:hint="default" w:ascii="Times New Roman" w:hAnsi="Times New Roman" w:cs="Times New Roman"/>
                <w:color w:val="FF0000"/>
                <w:spacing w:val="-2"/>
                <w:sz w:val="24"/>
                <w:lang w:val="en-US" w:eastAsia="zh-CN"/>
              </w:rPr>
              <w:t>2090.92</w:t>
            </w:r>
            <w:r>
              <w:rPr>
                <w:rFonts w:hint="default" w:ascii="Times New Roman" w:hAnsi="Times New Roman" w:cs="Times New Roman"/>
                <w:color w:val="FF0000"/>
                <w:spacing w:val="-2"/>
                <w:sz w:val="24"/>
              </w:rPr>
              <w:t>t/a，暂存于回用件暂存区，</w:t>
            </w:r>
            <w:r>
              <w:rPr>
                <w:rFonts w:hint="default" w:ascii="Times New Roman" w:hAnsi="Times New Roman" w:cs="Times New Roman"/>
                <w:color w:val="FF0000"/>
                <w:spacing w:val="-2"/>
                <w:sz w:val="24"/>
                <w:lang w:eastAsia="zh-CN"/>
              </w:rPr>
              <w:t>定期交由具有相应处理能力或经营范围的单位利用和处置</w:t>
            </w:r>
            <w:r>
              <w:rPr>
                <w:rFonts w:hint="default" w:ascii="Times New Roman" w:hAnsi="Times New Roman" w:cs="Times New Roman"/>
                <w:color w:val="FF0000"/>
                <w:spacing w:val="-2"/>
                <w:sz w:val="24"/>
              </w:rPr>
              <w:t>。</w:t>
            </w:r>
          </w:p>
          <w:p w14:paraId="57020B02">
            <w:pPr>
              <w:spacing w:line="360" w:lineRule="auto"/>
              <w:ind w:firstLine="472" w:firstLineChars="200"/>
              <w:jc w:val="left"/>
              <w:rPr>
                <w:rFonts w:hint="default" w:ascii="Times New Roman" w:hAnsi="Times New Roman" w:eastAsia="宋体" w:cs="Times New Roman"/>
                <w:color w:val="FF0000"/>
                <w:spacing w:val="-2"/>
                <w:sz w:val="24"/>
                <w:lang w:eastAsia="zh-CN"/>
              </w:rPr>
            </w:pPr>
            <w:r>
              <w:rPr>
                <w:rFonts w:hint="default" w:ascii="Times New Roman" w:hAnsi="Times New Roman" w:cs="Times New Roman"/>
                <w:color w:val="FF0000"/>
                <w:spacing w:val="-2"/>
                <w:sz w:val="24"/>
              </w:rPr>
              <w:t>（5）可回用</w:t>
            </w:r>
            <w:r>
              <w:rPr>
                <w:rFonts w:hint="default" w:ascii="Times New Roman" w:hAnsi="Times New Roman" w:cs="Times New Roman"/>
                <w:color w:val="FF0000"/>
                <w:spacing w:val="-2"/>
                <w:sz w:val="24"/>
                <w:lang w:val="en-US" w:eastAsia="zh-CN"/>
              </w:rPr>
              <w:t>塑料</w:t>
            </w:r>
            <w:r>
              <w:rPr>
                <w:rFonts w:hint="default" w:ascii="Times New Roman" w:hAnsi="Times New Roman" w:cs="Times New Roman"/>
                <w:color w:val="FF0000"/>
                <w:spacing w:val="-2"/>
                <w:sz w:val="24"/>
              </w:rPr>
              <w:t>：拆解下来</w:t>
            </w:r>
            <w:r>
              <w:rPr>
                <w:rFonts w:hint="default" w:ascii="Times New Roman" w:hAnsi="Times New Roman" w:cs="Times New Roman"/>
                <w:color w:val="FF0000"/>
                <w:spacing w:val="-2"/>
                <w:sz w:val="24"/>
                <w:lang w:val="en-US" w:eastAsia="zh-CN"/>
              </w:rPr>
              <w:t>的前后前后保险杠（塑料部分）、车灯、中控台、线束、桌椅（塑料）均</w:t>
            </w:r>
            <w:r>
              <w:rPr>
                <w:rFonts w:hint="default" w:ascii="Times New Roman" w:hAnsi="Times New Roman" w:cs="Times New Roman"/>
                <w:color w:val="FF0000"/>
                <w:spacing w:val="-2"/>
                <w:sz w:val="24"/>
              </w:rPr>
              <w:t>为可回用</w:t>
            </w:r>
            <w:r>
              <w:rPr>
                <w:rFonts w:hint="default" w:ascii="Times New Roman" w:hAnsi="Times New Roman" w:cs="Times New Roman"/>
                <w:color w:val="FF0000"/>
                <w:spacing w:val="-2"/>
                <w:sz w:val="24"/>
                <w:lang w:val="en-US" w:eastAsia="zh-CN"/>
              </w:rPr>
              <w:t>塑料</w:t>
            </w:r>
            <w:r>
              <w:rPr>
                <w:rFonts w:hint="default" w:ascii="Times New Roman" w:hAnsi="Times New Roman" w:cs="Times New Roman"/>
                <w:color w:val="FF0000"/>
                <w:spacing w:val="-2"/>
                <w:sz w:val="24"/>
              </w:rPr>
              <w:t>，根据表2-4项目报废机动车拆解物料平衡计算，可用零部件产生量为</w:t>
            </w:r>
            <w:r>
              <w:rPr>
                <w:rFonts w:hint="default" w:ascii="Times New Roman" w:hAnsi="Times New Roman" w:cs="Times New Roman"/>
                <w:color w:val="FF0000"/>
                <w:spacing w:val="-2"/>
                <w:sz w:val="24"/>
                <w:lang w:val="en-US" w:eastAsia="zh-CN"/>
              </w:rPr>
              <w:t>979.48</w:t>
            </w:r>
            <w:r>
              <w:rPr>
                <w:rFonts w:hint="default" w:ascii="Times New Roman" w:hAnsi="Times New Roman" w:cs="Times New Roman"/>
                <w:color w:val="FF0000"/>
                <w:spacing w:val="-2"/>
                <w:sz w:val="24"/>
              </w:rPr>
              <w:t>t/a ，暂存于回用件暂存区，定期交由具有相应处理能力或经营范围的单位利用和处置</w:t>
            </w:r>
            <w:r>
              <w:rPr>
                <w:rFonts w:hint="default" w:ascii="Times New Roman" w:hAnsi="Times New Roman" w:cs="Times New Roman"/>
                <w:color w:val="FF0000"/>
                <w:spacing w:val="-2"/>
                <w:sz w:val="24"/>
                <w:lang w:eastAsia="zh-CN"/>
              </w:rPr>
              <w:t>。</w:t>
            </w:r>
          </w:p>
          <w:p w14:paraId="3D844D09">
            <w:pPr>
              <w:spacing w:line="360" w:lineRule="auto"/>
              <w:ind w:firstLine="480"/>
              <w:jc w:val="left"/>
              <w:rPr>
                <w:rFonts w:hint="default" w:ascii="Times New Roman" w:hAnsi="Times New Roman" w:eastAsia="宋体" w:cs="Times New Roman"/>
                <w:color w:val="FF0000"/>
                <w:spacing w:val="-2"/>
                <w:sz w:val="24"/>
                <w:lang w:eastAsia="zh-CN"/>
              </w:rPr>
            </w:pPr>
            <w:r>
              <w:rPr>
                <w:rFonts w:hint="default" w:ascii="Times New Roman" w:hAnsi="Times New Roman" w:cs="Times New Roman"/>
                <w:color w:val="FF0000"/>
                <w:spacing w:val="-2"/>
                <w:sz w:val="24"/>
              </w:rPr>
              <w:t>（6）</w:t>
            </w:r>
            <w:r>
              <w:rPr>
                <w:rFonts w:hint="default" w:ascii="Times New Roman" w:hAnsi="Times New Roman" w:cs="Times New Roman"/>
                <w:color w:val="FF0000"/>
                <w:spacing w:val="-2"/>
                <w:sz w:val="24"/>
                <w:lang w:eastAsia="zh-CN"/>
              </w:rPr>
              <w:t>动力电池</w:t>
            </w:r>
          </w:p>
          <w:p w14:paraId="1B44D6EA">
            <w:pPr>
              <w:spacing w:line="360" w:lineRule="auto"/>
              <w:ind w:firstLine="472" w:firstLineChars="200"/>
              <w:jc w:val="left"/>
              <w:rPr>
                <w:rFonts w:hint="default" w:ascii="Times New Roman" w:hAnsi="Times New Roman" w:cs="Times New Roman"/>
                <w:color w:val="FF0000"/>
                <w:spacing w:val="-2"/>
                <w:sz w:val="24"/>
              </w:rPr>
            </w:pPr>
            <w:r>
              <w:rPr>
                <w:rFonts w:hint="default" w:ascii="Times New Roman" w:hAnsi="Times New Roman" w:cs="Times New Roman"/>
                <w:color w:val="FF0000"/>
                <w:spacing w:val="-2"/>
                <w:sz w:val="24"/>
              </w:rPr>
              <w:t>根据表2-4项目报废机动车拆解物料平衡计算，本项目拆解产生</w:t>
            </w:r>
            <w:r>
              <w:rPr>
                <w:rFonts w:hint="default" w:ascii="Times New Roman" w:hAnsi="Times New Roman" w:cs="Times New Roman"/>
                <w:color w:val="FF0000"/>
                <w:spacing w:val="-2"/>
                <w:sz w:val="24"/>
                <w:lang w:eastAsia="zh-CN"/>
              </w:rPr>
              <w:t>动力电池</w:t>
            </w:r>
            <w:r>
              <w:rPr>
                <w:rFonts w:hint="default" w:ascii="Times New Roman" w:hAnsi="Times New Roman" w:cs="Times New Roman"/>
                <w:color w:val="FF0000"/>
                <w:spacing w:val="-2"/>
                <w:sz w:val="24"/>
              </w:rPr>
              <w:t>量约</w:t>
            </w:r>
            <w:r>
              <w:rPr>
                <w:rFonts w:hint="default" w:ascii="Times New Roman" w:hAnsi="Times New Roman" w:cs="Times New Roman"/>
                <w:color w:val="FF0000"/>
                <w:spacing w:val="-2"/>
                <w:sz w:val="24"/>
                <w:lang w:val="en-US" w:eastAsia="zh-CN"/>
              </w:rPr>
              <w:t>253.48</w:t>
            </w:r>
            <w:r>
              <w:rPr>
                <w:rFonts w:hint="default" w:ascii="Times New Roman" w:hAnsi="Times New Roman" w:cs="Times New Roman"/>
                <w:color w:val="FF0000"/>
                <w:spacing w:val="-2"/>
                <w:sz w:val="24"/>
              </w:rPr>
              <w:t>t/a，根据深圳市生态环境局答复：废弃的</w:t>
            </w:r>
            <w:r>
              <w:rPr>
                <w:rFonts w:hint="default" w:ascii="Times New Roman" w:hAnsi="Times New Roman" w:cs="Times New Roman"/>
                <w:color w:val="FF0000"/>
                <w:spacing w:val="-2"/>
                <w:sz w:val="24"/>
                <w:lang w:eastAsia="zh-CN"/>
              </w:rPr>
              <w:t>动力电池</w:t>
            </w:r>
            <w:r>
              <w:rPr>
                <w:rFonts w:hint="default" w:ascii="Times New Roman" w:hAnsi="Times New Roman" w:cs="Times New Roman"/>
                <w:color w:val="FF0000"/>
                <w:spacing w:val="-2"/>
                <w:sz w:val="24"/>
              </w:rPr>
              <w:t>属于一般固体废物，不属于危险废物。根据《废电池污染防治技术政</w:t>
            </w:r>
            <w:r>
              <w:rPr>
                <w:rFonts w:hint="default" w:ascii="Times New Roman" w:hAnsi="Times New Roman" w:cs="Times New Roman"/>
                <w:color w:val="FF0000"/>
                <w:spacing w:val="-2"/>
                <w:sz w:val="24"/>
                <w:lang w:eastAsia="zh-CN"/>
              </w:rPr>
              <w:t>》，</w:t>
            </w:r>
            <w:r>
              <w:rPr>
                <w:rFonts w:hint="default" w:ascii="Times New Roman" w:hAnsi="Times New Roman" w:cs="Times New Roman"/>
                <w:color w:val="FF0000"/>
                <w:spacing w:val="-2"/>
                <w:sz w:val="24"/>
                <w:lang w:val="en-US" w:eastAsia="zh-CN"/>
              </w:rPr>
              <w:t>动力电池即</w:t>
            </w:r>
            <w:r>
              <w:rPr>
                <w:rFonts w:hint="default" w:ascii="Times New Roman" w:hAnsi="Times New Roman" w:cs="Times New Roman"/>
                <w:color w:val="FF0000"/>
                <w:spacing w:val="-2"/>
                <w:sz w:val="24"/>
              </w:rPr>
              <w:t>锂离子电池一般不含有毒有害成分，环境危害性较小。</w:t>
            </w:r>
            <w:r>
              <w:rPr>
                <w:rFonts w:hint="default" w:ascii="Times New Roman" w:hAnsi="Times New Roman" w:cs="Times New Roman"/>
                <w:color w:val="FF0000"/>
                <w:spacing w:val="-2"/>
                <w:sz w:val="24"/>
                <w:lang w:val="en-US" w:eastAsia="zh-CN"/>
              </w:rPr>
              <w:t>暂存于动力电池贮存区，</w:t>
            </w:r>
            <w:r>
              <w:rPr>
                <w:rFonts w:hint="default" w:ascii="Times New Roman" w:hAnsi="Times New Roman" w:cs="Times New Roman"/>
                <w:color w:val="FF0000"/>
                <w:spacing w:val="-2"/>
                <w:sz w:val="24"/>
                <w:lang w:eastAsia="zh-CN"/>
              </w:rPr>
              <w:t>破损电池利用专用防腐密闭的容器收集后与完好电池分开储存</w:t>
            </w:r>
            <w:r>
              <w:rPr>
                <w:rFonts w:hint="default" w:ascii="Times New Roman" w:hAnsi="Times New Roman" w:cs="Times New Roman"/>
                <w:color w:val="FF0000"/>
                <w:spacing w:val="-2"/>
                <w:sz w:val="24"/>
              </w:rPr>
              <w:t>，</w:t>
            </w:r>
            <w:r>
              <w:rPr>
                <w:rFonts w:hint="default" w:ascii="Times New Roman" w:hAnsi="Times New Roman" w:cs="Times New Roman"/>
                <w:color w:val="FF0000"/>
                <w:spacing w:val="-2"/>
                <w:sz w:val="24"/>
                <w:lang w:val="en-US" w:eastAsia="zh-CN"/>
              </w:rPr>
              <w:t>定期交售给新能源汽车生产企业建立的动力蓄电池回收服务网点，或符合国家对动力蓄电池梯次利用管理有关要求的梯次利用企业，或者从事废旧动力蓄电池综合利用的企业</w:t>
            </w:r>
            <w:r>
              <w:rPr>
                <w:rFonts w:hint="default" w:ascii="Times New Roman" w:hAnsi="Times New Roman" w:cs="Times New Roman"/>
                <w:color w:val="FF0000"/>
                <w:spacing w:val="-2"/>
                <w:sz w:val="24"/>
              </w:rPr>
              <w:t>。</w:t>
            </w:r>
          </w:p>
          <w:p w14:paraId="67D22E0F">
            <w:pPr>
              <w:spacing w:line="360" w:lineRule="auto"/>
              <w:ind w:firstLine="480"/>
              <w:jc w:val="left"/>
              <w:rPr>
                <w:rFonts w:hint="default" w:ascii="Times New Roman" w:hAnsi="Times New Roman" w:cs="Times New Roman"/>
                <w:color w:val="FF0000"/>
                <w:spacing w:val="-2"/>
                <w:sz w:val="24"/>
              </w:rPr>
            </w:pPr>
            <w:r>
              <w:rPr>
                <w:rFonts w:hint="default" w:ascii="Times New Roman" w:hAnsi="Times New Roman" w:cs="Times New Roman"/>
                <w:color w:val="FF0000"/>
                <w:spacing w:val="-2"/>
                <w:sz w:val="24"/>
              </w:rPr>
              <w:t>（7）废皮布制品：拆解过程中产生的</w:t>
            </w:r>
            <w:r>
              <w:rPr>
                <w:rFonts w:hint="default" w:ascii="Times New Roman" w:hAnsi="Times New Roman" w:cs="Times New Roman"/>
                <w:color w:val="FF0000"/>
                <w:spacing w:val="-2"/>
                <w:sz w:val="24"/>
                <w:lang w:val="en-US" w:eastAsia="zh-CN"/>
              </w:rPr>
              <w:t>安全气囊（已引爆）、桌椅（座椅的布/皮革部分）、安全带</w:t>
            </w:r>
            <w:r>
              <w:rPr>
                <w:rFonts w:hint="default" w:ascii="Times New Roman" w:hAnsi="Times New Roman" w:cs="Times New Roman"/>
                <w:color w:val="FF0000"/>
                <w:spacing w:val="-2"/>
                <w:sz w:val="24"/>
              </w:rPr>
              <w:t>等无法再次被利用属于一般工业固体废物，根据表2-4项目报废机动车拆解物料平衡计算，废皮布制品产生量为</w:t>
            </w:r>
            <w:r>
              <w:rPr>
                <w:rFonts w:hint="default" w:ascii="Times New Roman" w:hAnsi="Times New Roman" w:cs="Times New Roman"/>
                <w:color w:val="FF0000"/>
                <w:spacing w:val="-2"/>
                <w:sz w:val="24"/>
                <w:lang w:val="en-US" w:eastAsia="zh-CN"/>
              </w:rPr>
              <w:t>674.94</w:t>
            </w:r>
            <w:r>
              <w:rPr>
                <w:rFonts w:hint="default" w:ascii="Times New Roman" w:hAnsi="Times New Roman" w:cs="Times New Roman"/>
                <w:color w:val="FF0000"/>
                <w:spacing w:val="-2"/>
                <w:sz w:val="24"/>
              </w:rPr>
              <w:t>t/a，收集后暂存于一般固废暂存区，</w:t>
            </w:r>
            <w:r>
              <w:rPr>
                <w:rFonts w:hint="default" w:ascii="Times New Roman" w:hAnsi="Times New Roman" w:cs="Times New Roman"/>
                <w:color w:val="FF0000"/>
                <w:spacing w:val="-2"/>
                <w:sz w:val="24"/>
                <w:lang w:eastAsia="zh-CN"/>
              </w:rPr>
              <w:t>定期交由具有相应处理能力或经营范围的单位利用和处置</w:t>
            </w:r>
            <w:r>
              <w:rPr>
                <w:rFonts w:hint="default" w:ascii="Times New Roman" w:hAnsi="Times New Roman" w:cs="Times New Roman"/>
                <w:color w:val="FF0000"/>
                <w:spacing w:val="-2"/>
                <w:sz w:val="24"/>
              </w:rPr>
              <w:t>。</w:t>
            </w:r>
          </w:p>
          <w:p w14:paraId="137429C1">
            <w:pPr>
              <w:spacing w:line="360" w:lineRule="auto"/>
              <w:ind w:firstLine="480"/>
              <w:jc w:val="left"/>
              <w:rPr>
                <w:rFonts w:hint="default" w:ascii="Times New Roman" w:hAnsi="Times New Roman" w:cs="Times New Roman"/>
                <w:color w:val="000000"/>
                <w:spacing w:val="-2"/>
                <w:sz w:val="24"/>
              </w:rPr>
            </w:pPr>
            <w:r>
              <w:rPr>
                <w:rFonts w:hint="default" w:ascii="Times New Roman" w:hAnsi="Times New Roman" w:cs="Times New Roman"/>
                <w:color w:val="FF0000"/>
                <w:spacing w:val="-2"/>
                <w:sz w:val="24"/>
              </w:rPr>
              <w:t>（8）其他不可利用物：拆解过程中经过挑选后无法再利用、回收利用价值低或难以出售的物料，如</w:t>
            </w:r>
            <w:r>
              <w:rPr>
                <w:rFonts w:hint="default" w:ascii="Times New Roman" w:hAnsi="Times New Roman" w:cs="Times New Roman"/>
                <w:color w:val="FF0000"/>
                <w:spacing w:val="-2"/>
                <w:sz w:val="24"/>
                <w:lang w:val="en-US" w:eastAsia="zh-CN"/>
              </w:rPr>
              <w:t>包含破玻璃、废橡胶、废塑料等不可分离和利用部分</w:t>
            </w:r>
            <w:r>
              <w:rPr>
                <w:rFonts w:hint="default" w:ascii="Times New Roman" w:hAnsi="Times New Roman" w:cs="Times New Roman"/>
                <w:color w:val="FF0000"/>
                <w:spacing w:val="-2"/>
                <w:sz w:val="24"/>
              </w:rPr>
              <w:t>属于一般工业固体废物。根据表2-4项目报废机动车拆解物料平衡计算，拆解过程产生的不可利用物产生量约为</w:t>
            </w:r>
            <w:r>
              <w:rPr>
                <w:rFonts w:hint="default" w:ascii="Times New Roman" w:hAnsi="Times New Roman" w:cs="Times New Roman"/>
                <w:color w:val="FF0000"/>
                <w:spacing w:val="-2"/>
                <w:sz w:val="24"/>
                <w:lang w:val="en-US" w:eastAsia="zh-CN"/>
              </w:rPr>
              <w:t>149.44</w:t>
            </w:r>
            <w:r>
              <w:rPr>
                <w:rFonts w:hint="default" w:ascii="Times New Roman" w:hAnsi="Times New Roman" w:cs="Times New Roman"/>
                <w:color w:val="FF0000"/>
                <w:spacing w:val="-2"/>
                <w:sz w:val="24"/>
              </w:rPr>
              <w:t>t/a ，收集后暂存于一般固废暂存区，</w:t>
            </w:r>
            <w:r>
              <w:rPr>
                <w:rFonts w:hint="default" w:ascii="Times New Roman" w:hAnsi="Times New Roman" w:cs="Times New Roman"/>
                <w:color w:val="FF0000"/>
                <w:spacing w:val="-2"/>
                <w:sz w:val="24"/>
                <w:lang w:eastAsia="zh-CN"/>
              </w:rPr>
              <w:t>定期交由具有相应处理能力或经营范围的单位利用和处置</w:t>
            </w:r>
            <w:r>
              <w:rPr>
                <w:rFonts w:hint="default" w:ascii="Times New Roman" w:hAnsi="Times New Roman" w:cs="Times New Roman"/>
                <w:spacing w:val="-2"/>
                <w:sz w:val="24"/>
              </w:rPr>
              <w:t>。</w:t>
            </w:r>
          </w:p>
          <w:p w14:paraId="43E49539">
            <w:pPr>
              <w:spacing w:line="360" w:lineRule="auto"/>
              <w:ind w:firstLine="480"/>
              <w:jc w:val="left"/>
              <w:rPr>
                <w:rFonts w:hint="default" w:ascii="Times New Roman" w:hAnsi="Times New Roman" w:cs="Times New Roman"/>
                <w:color w:val="FF0000"/>
                <w:spacing w:val="-2"/>
                <w:sz w:val="24"/>
              </w:rPr>
            </w:pPr>
            <w:r>
              <w:rPr>
                <w:rFonts w:hint="default" w:ascii="Times New Roman" w:hAnsi="Times New Roman" w:cs="Times New Roman"/>
                <w:color w:val="FF0000"/>
                <w:spacing w:val="-2"/>
                <w:sz w:val="24"/>
              </w:rPr>
              <w:t>（9）除尘灰</w:t>
            </w:r>
          </w:p>
          <w:p w14:paraId="4A46815D">
            <w:pPr>
              <w:spacing w:line="360" w:lineRule="auto"/>
              <w:ind w:firstLine="480"/>
              <w:jc w:val="left"/>
              <w:rPr>
                <w:rFonts w:hint="default" w:ascii="Times New Roman" w:hAnsi="Times New Roman" w:cs="Times New Roman"/>
                <w:color w:val="FF0000"/>
                <w:spacing w:val="-2"/>
                <w:sz w:val="24"/>
              </w:rPr>
            </w:pPr>
            <w:r>
              <w:rPr>
                <w:rFonts w:hint="default" w:ascii="Times New Roman" w:hAnsi="Times New Roman" w:cs="Times New Roman"/>
                <w:color w:val="FF0000"/>
                <w:spacing w:val="-2"/>
                <w:sz w:val="24"/>
              </w:rPr>
              <w:t>项目废钢破碎和打包工序产生的粉尘采用袋式除尘器进行处理，经计算袋式除尘器收集的除尘灰的量为</w:t>
            </w:r>
            <w:r>
              <w:rPr>
                <w:rFonts w:hint="eastAsia" w:ascii="Times New Roman" w:hAnsi="Times New Roman" w:cs="Times New Roman"/>
                <w:color w:val="FF0000"/>
                <w:spacing w:val="-2"/>
                <w:sz w:val="24"/>
                <w:lang w:val="en-US" w:eastAsia="zh-CN"/>
              </w:rPr>
              <w:t>18.379</w:t>
            </w:r>
            <w:r>
              <w:rPr>
                <w:rFonts w:hint="default" w:ascii="Times New Roman" w:hAnsi="Times New Roman" w:cs="Times New Roman"/>
                <w:color w:val="FF0000"/>
                <w:spacing w:val="-2"/>
                <w:sz w:val="24"/>
              </w:rPr>
              <w:t>t/a，收集后暂存于一般固废暂存区，</w:t>
            </w:r>
            <w:r>
              <w:rPr>
                <w:rFonts w:hint="default" w:ascii="Times New Roman" w:hAnsi="Times New Roman" w:cs="Times New Roman"/>
                <w:color w:val="FF0000"/>
                <w:spacing w:val="-2"/>
                <w:sz w:val="24"/>
                <w:lang w:eastAsia="zh-CN"/>
              </w:rPr>
              <w:t>定期交由具有相应处理能力或经营范围的单位利用和处置</w:t>
            </w:r>
            <w:r>
              <w:rPr>
                <w:rFonts w:hint="default" w:ascii="Times New Roman" w:hAnsi="Times New Roman" w:cs="Times New Roman"/>
                <w:color w:val="FF0000"/>
                <w:spacing w:val="-2"/>
                <w:sz w:val="24"/>
              </w:rPr>
              <w:t>。</w:t>
            </w:r>
          </w:p>
          <w:p w14:paraId="019B5FA2">
            <w:pPr>
              <w:spacing w:line="360" w:lineRule="auto"/>
              <w:ind w:firstLine="480"/>
              <w:jc w:val="left"/>
              <w:rPr>
                <w:rFonts w:hint="default" w:ascii="Times New Roman" w:hAnsi="Times New Roman" w:cs="Times New Roman"/>
                <w:color w:val="FF0000"/>
                <w:spacing w:val="-2"/>
                <w:sz w:val="24"/>
              </w:rPr>
            </w:pPr>
            <w:r>
              <w:rPr>
                <w:rFonts w:hint="default" w:ascii="Times New Roman" w:hAnsi="Times New Roman" w:cs="Times New Roman"/>
                <w:color w:val="FF0000"/>
                <w:spacing w:val="-2"/>
                <w:sz w:val="24"/>
              </w:rPr>
              <w:t>（10）落地粉尘</w:t>
            </w:r>
          </w:p>
          <w:p w14:paraId="11A10672">
            <w:pPr>
              <w:spacing w:line="360" w:lineRule="auto"/>
              <w:ind w:firstLine="480"/>
              <w:jc w:val="left"/>
              <w:rPr>
                <w:rFonts w:hint="default" w:ascii="Times New Roman" w:hAnsi="Times New Roman" w:cs="Times New Roman"/>
                <w:color w:val="FF0000"/>
                <w:spacing w:val="-2"/>
                <w:sz w:val="24"/>
              </w:rPr>
            </w:pPr>
            <w:r>
              <w:rPr>
                <w:rFonts w:hint="default" w:ascii="Times New Roman" w:hAnsi="Times New Roman" w:cs="Times New Roman"/>
                <w:color w:val="FF0000"/>
                <w:spacing w:val="-2"/>
                <w:sz w:val="24"/>
              </w:rPr>
              <w:t>项目废钢破碎和打包工序产生的粉尘未被收集的经自由沉降后做无组织排放，自由沉降的落地粉尘经计算产生量为</w:t>
            </w:r>
            <w:r>
              <w:rPr>
                <w:rFonts w:hint="eastAsia" w:ascii="Times New Roman" w:hAnsi="Times New Roman" w:cs="Times New Roman"/>
                <w:color w:val="FF0000"/>
                <w:spacing w:val="-2"/>
                <w:sz w:val="24"/>
                <w:lang w:val="en-US" w:eastAsia="zh-CN"/>
              </w:rPr>
              <w:t>4.177</w:t>
            </w:r>
            <w:r>
              <w:rPr>
                <w:rFonts w:hint="default" w:ascii="Times New Roman" w:hAnsi="Times New Roman" w:cs="Times New Roman"/>
                <w:color w:val="FF0000"/>
                <w:spacing w:val="-2"/>
                <w:sz w:val="24"/>
              </w:rPr>
              <w:t>t/a，收集后暂存于一般固废暂存区，</w:t>
            </w:r>
            <w:r>
              <w:rPr>
                <w:rFonts w:hint="default" w:ascii="Times New Roman" w:hAnsi="Times New Roman" w:cs="Times New Roman"/>
                <w:color w:val="FF0000"/>
                <w:spacing w:val="-2"/>
                <w:sz w:val="24"/>
                <w:lang w:eastAsia="zh-CN"/>
              </w:rPr>
              <w:t>定期交由具有相应处理能力或经营范围的单位利用和处置</w:t>
            </w:r>
            <w:r>
              <w:rPr>
                <w:rFonts w:hint="default" w:ascii="Times New Roman" w:hAnsi="Times New Roman" w:cs="Times New Roman"/>
                <w:color w:val="FF0000"/>
                <w:spacing w:val="-2"/>
                <w:sz w:val="24"/>
              </w:rPr>
              <w:t>。</w:t>
            </w:r>
          </w:p>
          <w:p w14:paraId="70A214E2">
            <w:pPr>
              <w:spacing w:line="360" w:lineRule="auto"/>
              <w:ind w:firstLine="480"/>
              <w:jc w:val="left"/>
              <w:rPr>
                <w:rFonts w:hint="default" w:ascii="Times New Roman" w:hAnsi="Times New Roman" w:cs="Times New Roman"/>
                <w:b/>
                <w:bCs/>
                <w:color w:val="FF0000"/>
                <w:spacing w:val="-2"/>
                <w:sz w:val="24"/>
              </w:rPr>
            </w:pPr>
            <w:r>
              <w:rPr>
                <w:rFonts w:hint="default" w:ascii="Times New Roman" w:hAnsi="Times New Roman" w:cs="Times New Roman"/>
                <w:b/>
                <w:bCs/>
                <w:color w:val="FF0000"/>
                <w:spacing w:val="-2"/>
                <w:sz w:val="24"/>
              </w:rPr>
              <w:t>2.生活垃圾</w:t>
            </w:r>
          </w:p>
          <w:p w14:paraId="78144D35">
            <w:pPr>
              <w:spacing w:line="360" w:lineRule="auto"/>
              <w:ind w:firstLine="480"/>
              <w:jc w:val="left"/>
              <w:rPr>
                <w:rFonts w:hint="default" w:ascii="Times New Roman" w:hAnsi="Times New Roman" w:eastAsia="宋体" w:cs="Times New Roman"/>
                <w:color w:val="FF0000"/>
                <w:spacing w:val="-2"/>
                <w:sz w:val="24"/>
                <w:lang w:eastAsia="zh-CN"/>
              </w:rPr>
            </w:pPr>
            <w:r>
              <w:rPr>
                <w:rFonts w:hint="default" w:ascii="Times New Roman" w:hAnsi="Times New Roman" w:cs="Times New Roman"/>
                <w:color w:val="FF0000"/>
                <w:spacing w:val="-2"/>
                <w:sz w:val="24"/>
              </w:rPr>
              <w:t>项目劳动定员15人，生活垃圾产生系数按0.5kg/（人・d）计，则项目生活垃圾产生量共计7.5kg/d，2.25t/a。</w:t>
            </w:r>
            <w:r>
              <w:rPr>
                <w:rFonts w:hint="default" w:ascii="Times New Roman" w:hAnsi="Times New Roman" w:cs="Times New Roman"/>
                <w:color w:val="FF0000"/>
                <w:spacing w:val="-2"/>
                <w:sz w:val="24"/>
                <w:lang w:eastAsia="zh-CN"/>
              </w:rPr>
              <w:t>生活垃圾暂存厂区垃圾桶，定期由环卫部门统一收集并清运处理。</w:t>
            </w:r>
          </w:p>
          <w:p w14:paraId="27B7EC2C">
            <w:pPr>
              <w:spacing w:line="360" w:lineRule="auto"/>
              <w:ind w:firstLine="480"/>
              <w:jc w:val="left"/>
              <w:rPr>
                <w:rFonts w:hint="default" w:ascii="Times New Roman" w:hAnsi="Times New Roman" w:cs="Times New Roman"/>
                <w:b/>
                <w:bCs/>
                <w:color w:val="FF0000"/>
                <w:spacing w:val="-2"/>
                <w:sz w:val="24"/>
              </w:rPr>
            </w:pPr>
            <w:r>
              <w:rPr>
                <w:rFonts w:hint="default" w:ascii="Times New Roman" w:hAnsi="Times New Roman" w:cs="Times New Roman"/>
                <w:b/>
                <w:bCs/>
                <w:color w:val="FF0000"/>
                <w:spacing w:val="-2"/>
                <w:sz w:val="24"/>
              </w:rPr>
              <w:t>3.危险废物</w:t>
            </w:r>
          </w:p>
          <w:p w14:paraId="22D815B8">
            <w:pPr>
              <w:spacing w:line="360" w:lineRule="auto"/>
              <w:ind w:firstLine="480"/>
              <w:jc w:val="left"/>
              <w:rPr>
                <w:rFonts w:hint="default" w:ascii="Times New Roman" w:hAnsi="Times New Roman" w:cs="Times New Roman"/>
                <w:color w:val="FF0000"/>
                <w:spacing w:val="-2"/>
                <w:sz w:val="24"/>
              </w:rPr>
            </w:pPr>
            <w:bookmarkStart w:id="12" w:name="bookmark438"/>
            <w:bookmarkEnd w:id="12"/>
            <w:r>
              <w:rPr>
                <w:rFonts w:hint="default" w:ascii="Times New Roman" w:hAnsi="Times New Roman" w:cs="Times New Roman"/>
                <w:color w:val="FF0000"/>
                <w:spacing w:val="-2"/>
                <w:sz w:val="24"/>
              </w:rPr>
              <w:t>（1）废液化气罐</w:t>
            </w:r>
          </w:p>
          <w:p w14:paraId="518B3396">
            <w:pPr>
              <w:spacing w:line="360" w:lineRule="auto"/>
              <w:ind w:firstLine="480"/>
              <w:jc w:val="left"/>
              <w:rPr>
                <w:rFonts w:hint="default" w:ascii="Times New Roman" w:hAnsi="Times New Roman" w:cs="Times New Roman"/>
                <w:color w:val="FF0000"/>
                <w:spacing w:val="-2"/>
                <w:sz w:val="24"/>
              </w:rPr>
            </w:pPr>
            <w:r>
              <w:rPr>
                <w:rFonts w:hint="default" w:ascii="Times New Roman" w:hAnsi="Times New Roman" w:cs="Times New Roman"/>
                <w:color w:val="FF0000"/>
                <w:spacing w:val="-2"/>
                <w:sz w:val="24"/>
              </w:rPr>
              <w:t>液化气罐指的是用来储存液化气的压力储罐，属于特种设备，废旧的液化气瓶具有回收利用的价值。根据表2-4项目报废机动车拆解物料平衡计算，项目废液化气罐产生量约含</w:t>
            </w:r>
            <w:r>
              <w:rPr>
                <w:rFonts w:hint="default" w:ascii="Times New Roman" w:hAnsi="Times New Roman" w:cs="Times New Roman"/>
                <w:color w:val="FF0000"/>
                <w:spacing w:val="-2"/>
                <w:sz w:val="24"/>
                <w:lang w:val="en-US" w:eastAsia="zh-CN"/>
              </w:rPr>
              <w:t>74.71</w:t>
            </w:r>
            <w:r>
              <w:rPr>
                <w:rFonts w:hint="default" w:ascii="Times New Roman" w:hAnsi="Times New Roman" w:cs="Times New Roman"/>
                <w:color w:val="FF0000"/>
                <w:spacing w:val="-2"/>
                <w:sz w:val="24"/>
              </w:rPr>
              <w:t>t/a，主要产生于报废天然气发动机燃料汽车的拆解。由于项目报废的液化气罐内可能有液化气残液，根</w:t>
            </w:r>
            <w:r>
              <w:rPr>
                <w:rFonts w:hint="default" w:ascii="Times New Roman" w:hAnsi="Times New Roman" w:cs="Times New Roman"/>
                <w:color w:val="FF0000"/>
                <w:sz w:val="24"/>
                <w:szCs w:val="32"/>
              </w:rPr>
              <w:t>《报废机动车拆解企业污染控制技术规范》</w:t>
            </w:r>
            <w:r>
              <w:rPr>
                <w:rFonts w:hint="default" w:ascii="Times New Roman" w:hAnsi="Times New Roman" w:cs="Times New Roman"/>
                <w:color w:val="FF0000"/>
                <w:sz w:val="24"/>
                <w:szCs w:val="32"/>
                <w:lang w:eastAsia="zh-CN"/>
              </w:rPr>
              <w:t>（</w:t>
            </w:r>
            <w:r>
              <w:rPr>
                <w:rFonts w:hint="default" w:ascii="Times New Roman" w:hAnsi="Times New Roman" w:cs="Times New Roman"/>
                <w:color w:val="FF0000"/>
                <w:sz w:val="24"/>
                <w:szCs w:val="32"/>
              </w:rPr>
              <w:t>HJ348-20</w:t>
            </w:r>
            <w:r>
              <w:rPr>
                <w:rFonts w:hint="default" w:ascii="Times New Roman" w:hAnsi="Times New Roman" w:cs="Times New Roman"/>
                <w:color w:val="FF0000"/>
                <w:sz w:val="24"/>
                <w:szCs w:val="32"/>
                <w:lang w:val="en-US" w:eastAsia="zh-CN"/>
              </w:rPr>
              <w:t>22</w:t>
            </w:r>
            <w:r>
              <w:rPr>
                <w:rFonts w:hint="default" w:ascii="Times New Roman" w:hAnsi="Times New Roman" w:cs="Times New Roman"/>
                <w:color w:val="FF0000"/>
                <w:sz w:val="24"/>
                <w:szCs w:val="32"/>
                <w:lang w:eastAsia="zh-CN"/>
              </w:rPr>
              <w:t>）</w:t>
            </w:r>
            <w:r>
              <w:rPr>
                <w:rFonts w:hint="default" w:ascii="Times New Roman" w:hAnsi="Times New Roman" w:cs="Times New Roman"/>
                <w:color w:val="FF0000"/>
                <w:spacing w:val="-2"/>
                <w:sz w:val="24"/>
              </w:rPr>
              <w:t>和《国家危险废物名录》（2025版），废液化气罐属于危险废物，废物代码：HW49（900-041-49），本项目将拆解下来的废液化气罐暂存于</w:t>
            </w:r>
            <w:r>
              <w:rPr>
                <w:rFonts w:hint="default" w:ascii="Times New Roman" w:hAnsi="Times New Roman" w:cs="Times New Roman"/>
                <w:color w:val="FF0000"/>
                <w:spacing w:val="-2"/>
                <w:sz w:val="24"/>
                <w:lang w:val="en-US" w:eastAsia="zh-CN"/>
              </w:rPr>
              <w:t>2#</w:t>
            </w:r>
            <w:r>
              <w:rPr>
                <w:rFonts w:hint="default" w:ascii="Times New Roman" w:hAnsi="Times New Roman" w:cs="Times New Roman"/>
                <w:color w:val="FF0000"/>
                <w:spacing w:val="-2"/>
                <w:sz w:val="24"/>
                <w:lang w:eastAsia="zh-CN"/>
              </w:rPr>
              <w:t>危废贮存点</w:t>
            </w:r>
            <w:r>
              <w:rPr>
                <w:rFonts w:hint="default" w:ascii="Times New Roman" w:hAnsi="Times New Roman" w:cs="Times New Roman"/>
                <w:color w:val="FF0000"/>
                <w:spacing w:val="-2"/>
                <w:sz w:val="24"/>
              </w:rPr>
              <w:t>内</w:t>
            </w:r>
            <w:r>
              <w:rPr>
                <w:rFonts w:hint="default" w:ascii="Times New Roman" w:hAnsi="Times New Roman" w:cs="Times New Roman"/>
                <w:color w:val="FF0000"/>
                <w:spacing w:val="-2"/>
                <w:sz w:val="24"/>
                <w:lang w:val="en-US" w:eastAsia="zh-CN"/>
              </w:rPr>
              <w:t>（</w:t>
            </w:r>
            <w:r>
              <w:rPr>
                <w:rFonts w:hint="default" w:ascii="Times New Roman" w:hAnsi="Times New Roman" w:cs="Times New Roman"/>
                <w:color w:val="FF0000"/>
                <w:spacing w:val="-2"/>
                <w:sz w:val="24"/>
              </w:rPr>
              <w:t>独立防爆间</w:t>
            </w:r>
            <w:r>
              <w:rPr>
                <w:rFonts w:hint="default" w:ascii="Times New Roman" w:hAnsi="Times New Roman" w:cs="Times New Roman"/>
                <w:color w:val="FF0000"/>
                <w:spacing w:val="-2"/>
                <w:sz w:val="24"/>
                <w:lang w:val="en-US" w:eastAsia="zh-CN"/>
              </w:rPr>
              <w:t>）</w:t>
            </w:r>
            <w:r>
              <w:rPr>
                <w:rFonts w:hint="default" w:ascii="Times New Roman" w:hAnsi="Times New Roman" w:cs="Times New Roman"/>
                <w:color w:val="FF0000"/>
                <w:spacing w:val="-2"/>
                <w:sz w:val="24"/>
              </w:rPr>
              <w:t>，</w:t>
            </w:r>
            <w:r>
              <w:rPr>
                <w:rFonts w:hint="default" w:ascii="Times New Roman" w:hAnsi="Times New Roman" w:cs="Times New Roman"/>
                <w:color w:val="FF0000"/>
                <w:spacing w:val="-2"/>
                <w:sz w:val="24"/>
                <w:lang w:val="en-US" w:eastAsia="zh-CN"/>
              </w:rPr>
              <w:t>定期</w:t>
            </w:r>
            <w:r>
              <w:rPr>
                <w:rFonts w:hint="default" w:ascii="Times New Roman" w:hAnsi="Times New Roman" w:cs="Times New Roman"/>
                <w:color w:val="FF0000"/>
                <w:spacing w:val="-2"/>
                <w:sz w:val="24"/>
                <w:lang w:eastAsia="zh-CN"/>
              </w:rPr>
              <w:t>交由具有相应资质的单位利用和处置</w:t>
            </w:r>
            <w:r>
              <w:rPr>
                <w:rFonts w:hint="default" w:ascii="Times New Roman" w:hAnsi="Times New Roman" w:cs="Times New Roman"/>
                <w:color w:val="FF0000"/>
                <w:spacing w:val="-2"/>
                <w:sz w:val="24"/>
              </w:rPr>
              <w:t>。根据《危险货物品名表》（GB12268-2012），液化气属于2.1类易燃危险化学品，要求远离火种、热源、氧化剂，防止阳光直射，另外要满足《中华人民共和国特种设备安全法》、《气瓶安全监察规定》等有关规定。</w:t>
            </w:r>
          </w:p>
          <w:p w14:paraId="28731265">
            <w:pPr>
              <w:spacing w:line="360" w:lineRule="auto"/>
              <w:ind w:firstLine="480"/>
              <w:jc w:val="left"/>
              <w:rPr>
                <w:rFonts w:hint="default" w:ascii="Times New Roman" w:hAnsi="Times New Roman" w:cs="Times New Roman"/>
                <w:color w:val="FF0000"/>
                <w:spacing w:val="-2"/>
                <w:sz w:val="24"/>
              </w:rPr>
            </w:pPr>
            <w:bookmarkStart w:id="13" w:name="bookmark439"/>
            <w:bookmarkEnd w:id="13"/>
            <w:r>
              <w:rPr>
                <w:rFonts w:hint="default" w:ascii="Times New Roman" w:hAnsi="Times New Roman" w:cs="Times New Roman"/>
                <w:color w:val="FF0000"/>
                <w:spacing w:val="-2"/>
                <w:sz w:val="24"/>
              </w:rPr>
              <w:t>（2）废制冷剂</w:t>
            </w:r>
          </w:p>
          <w:p w14:paraId="6A482FFF">
            <w:pPr>
              <w:spacing w:line="360" w:lineRule="auto"/>
              <w:ind w:firstLine="480"/>
              <w:jc w:val="left"/>
              <w:rPr>
                <w:rFonts w:hint="default" w:ascii="Times New Roman" w:hAnsi="Times New Roman" w:cs="Times New Roman"/>
                <w:color w:val="FF0000"/>
                <w:spacing w:val="-2"/>
                <w:sz w:val="24"/>
              </w:rPr>
            </w:pPr>
            <w:r>
              <w:rPr>
                <w:rFonts w:hint="default" w:ascii="Times New Roman" w:hAnsi="Times New Roman" w:cs="Times New Roman"/>
                <w:color w:val="FF0000"/>
                <w:spacing w:val="-2"/>
                <w:sz w:val="24"/>
              </w:rPr>
              <w:t>本项目报废汽车空调系统回收的制冷剂主要为R134a（CH</w:t>
            </w:r>
            <w:r>
              <w:rPr>
                <w:rFonts w:hint="default" w:ascii="Times New Roman" w:hAnsi="Times New Roman" w:cs="Times New Roman"/>
                <w:color w:val="FF0000"/>
                <w:spacing w:val="-2"/>
                <w:sz w:val="24"/>
                <w:vertAlign w:val="subscript"/>
              </w:rPr>
              <w:t>2</w:t>
            </w:r>
            <w:r>
              <w:rPr>
                <w:rFonts w:hint="default" w:ascii="Times New Roman" w:hAnsi="Times New Roman" w:cs="Times New Roman"/>
                <w:color w:val="FF0000"/>
                <w:spacing w:val="-2"/>
                <w:sz w:val="24"/>
              </w:rPr>
              <w:t>FCF</w:t>
            </w:r>
            <w:r>
              <w:rPr>
                <w:rFonts w:hint="default" w:ascii="Times New Roman" w:hAnsi="Times New Roman" w:cs="Times New Roman"/>
                <w:color w:val="FF0000"/>
                <w:spacing w:val="-2"/>
                <w:sz w:val="24"/>
                <w:vertAlign w:val="subscript"/>
              </w:rPr>
              <w:t>3</w:t>
            </w:r>
            <w:r>
              <w:rPr>
                <w:rFonts w:hint="default" w:ascii="Times New Roman" w:hAnsi="Times New Roman" w:cs="Times New Roman"/>
                <w:color w:val="FF0000"/>
                <w:spacing w:val="-2"/>
                <w:sz w:val="24"/>
              </w:rPr>
              <w:t>）以及少量的氟利昂R12（CF</w:t>
            </w:r>
            <w:r>
              <w:rPr>
                <w:rFonts w:hint="default" w:ascii="Times New Roman" w:hAnsi="Times New Roman" w:cs="Times New Roman"/>
                <w:color w:val="FF0000"/>
                <w:spacing w:val="-2"/>
                <w:sz w:val="24"/>
                <w:vertAlign w:val="subscript"/>
              </w:rPr>
              <w:t>2</w:t>
            </w:r>
            <w:r>
              <w:rPr>
                <w:rFonts w:hint="default" w:ascii="Times New Roman" w:hAnsi="Times New Roman" w:cs="Times New Roman"/>
                <w:color w:val="FF0000"/>
                <w:spacing w:val="-2"/>
                <w:sz w:val="24"/>
              </w:rPr>
              <w:t>CI</w:t>
            </w:r>
            <w:r>
              <w:rPr>
                <w:rFonts w:hint="default" w:ascii="Times New Roman" w:hAnsi="Times New Roman" w:cs="Times New Roman"/>
                <w:color w:val="FF0000"/>
                <w:spacing w:val="-2"/>
                <w:sz w:val="24"/>
                <w:vertAlign w:val="subscript"/>
              </w:rPr>
              <w:t>2</w:t>
            </w:r>
            <w:r>
              <w:rPr>
                <w:rFonts w:hint="default" w:ascii="Times New Roman" w:hAnsi="Times New Roman" w:cs="Times New Roman"/>
                <w:color w:val="FF0000"/>
                <w:spacing w:val="-2"/>
                <w:sz w:val="24"/>
              </w:rPr>
              <w:t>），根据表2-4项目报废机动车拆解物料平衡计算，产生量约</w:t>
            </w:r>
            <w:r>
              <w:rPr>
                <w:rFonts w:hint="default" w:ascii="Times New Roman" w:hAnsi="Times New Roman" w:cs="Times New Roman"/>
                <w:color w:val="FF0000"/>
                <w:spacing w:val="-2"/>
                <w:sz w:val="24"/>
                <w:lang w:val="en-US" w:eastAsia="zh-CN"/>
              </w:rPr>
              <w:t>2.78</w:t>
            </w:r>
            <w:r>
              <w:rPr>
                <w:rFonts w:hint="default" w:ascii="Times New Roman" w:hAnsi="Times New Roman" w:cs="Times New Roman"/>
                <w:color w:val="FF0000"/>
                <w:spacing w:val="-2"/>
                <w:sz w:val="24"/>
              </w:rPr>
              <w:t>t/a。废旧制冷剂的任意排放不但造成生态环境的破坏，同时也是一种资源的浪费。根据《报废机动车拆解企业污染控制技术规范》（HJ348-20</w:t>
            </w:r>
            <w:r>
              <w:rPr>
                <w:rFonts w:hint="default" w:ascii="Times New Roman" w:hAnsi="Times New Roman" w:cs="Times New Roman"/>
                <w:color w:val="FF0000"/>
                <w:spacing w:val="-2"/>
                <w:sz w:val="24"/>
                <w:lang w:val="en-US" w:eastAsia="zh-CN"/>
              </w:rPr>
              <w:t>22</w:t>
            </w:r>
            <w:r>
              <w:rPr>
                <w:rFonts w:hint="default" w:ascii="Times New Roman" w:hAnsi="Times New Roman" w:cs="Times New Roman"/>
                <w:color w:val="FF0000"/>
                <w:spacing w:val="-2"/>
                <w:sz w:val="24"/>
              </w:rPr>
              <w:t>）和《国家危险废物名录》（2025版），废旧制冷剂属于危险废物，废物代码：HW49（</w:t>
            </w:r>
            <w:r>
              <w:rPr>
                <w:rFonts w:hint="default" w:ascii="Times New Roman" w:hAnsi="Times New Roman" w:cs="Times New Roman"/>
                <w:color w:val="FF0000"/>
                <w:spacing w:val="-50"/>
                <w:sz w:val="24"/>
              </w:rPr>
              <w:t xml:space="preserve"> </w:t>
            </w:r>
            <w:r>
              <w:rPr>
                <w:rFonts w:hint="default" w:ascii="Times New Roman" w:hAnsi="Times New Roman" w:eastAsia="Times New Roman" w:cs="Times New Roman"/>
                <w:color w:val="FF0000"/>
                <w:spacing w:val="-2"/>
                <w:sz w:val="24"/>
              </w:rPr>
              <w:t>900-999-49</w:t>
            </w:r>
            <w:r>
              <w:rPr>
                <w:rFonts w:hint="default" w:ascii="Times New Roman" w:hAnsi="Times New Roman" w:cs="Times New Roman"/>
                <w:color w:val="FF0000"/>
                <w:spacing w:val="-2"/>
                <w:sz w:val="24"/>
              </w:rPr>
              <w:t>）</w:t>
            </w:r>
            <w:r>
              <w:rPr>
                <w:rFonts w:hint="default" w:ascii="Times New Roman" w:hAnsi="Times New Roman" w:eastAsia="Times New Roman" w:cs="Times New Roman"/>
                <w:color w:val="FF0000"/>
                <w:spacing w:val="-29"/>
                <w:sz w:val="24"/>
              </w:rPr>
              <w:t xml:space="preserve"> </w:t>
            </w:r>
            <w:r>
              <w:rPr>
                <w:rFonts w:hint="default" w:ascii="Times New Roman" w:hAnsi="Times New Roman" w:cs="Times New Roman"/>
                <w:color w:val="FF0000"/>
                <w:spacing w:val="-2"/>
                <w:sz w:val="24"/>
              </w:rPr>
              <w:t>，本项目将</w:t>
            </w:r>
            <w:r>
              <w:rPr>
                <w:rFonts w:hint="eastAsia" w:cs="Times New Roman"/>
                <w:color w:val="FF0000"/>
                <w:spacing w:val="-2"/>
                <w:sz w:val="24"/>
                <w:lang w:eastAsia="zh-CN"/>
              </w:rPr>
              <w:t>废制冷剂</w:t>
            </w:r>
            <w:r>
              <w:rPr>
                <w:rFonts w:hint="default" w:ascii="Times New Roman" w:hAnsi="Times New Roman" w:cs="Times New Roman"/>
                <w:color w:val="FF0000"/>
                <w:spacing w:val="-2"/>
                <w:sz w:val="24"/>
                <w:lang w:val="en-US" w:eastAsia="zh-CN"/>
              </w:rPr>
              <w:t>收集至专用钢瓶（设计压力≥3MPa，配备防倒架和瓶，钢瓶标签标明制冷剂类型、重量、回收日期）后</w:t>
            </w:r>
            <w:r>
              <w:rPr>
                <w:rFonts w:hint="default" w:ascii="Times New Roman" w:hAnsi="Times New Roman" w:cs="Times New Roman"/>
                <w:color w:val="FF0000"/>
                <w:spacing w:val="-2"/>
                <w:sz w:val="24"/>
              </w:rPr>
              <w:t>暂存于</w:t>
            </w:r>
            <w:r>
              <w:rPr>
                <w:rFonts w:hint="default" w:ascii="Times New Roman" w:hAnsi="Times New Roman" w:cs="Times New Roman"/>
                <w:color w:val="FF0000"/>
                <w:spacing w:val="-2"/>
                <w:sz w:val="24"/>
                <w:lang w:val="en-US" w:eastAsia="zh-CN"/>
              </w:rPr>
              <w:t>2#危废贮存点（</w:t>
            </w:r>
            <w:r>
              <w:rPr>
                <w:rFonts w:hint="default" w:ascii="Times New Roman" w:hAnsi="Times New Roman" w:cs="Times New Roman"/>
                <w:color w:val="FF0000"/>
                <w:spacing w:val="-2"/>
                <w:sz w:val="24"/>
              </w:rPr>
              <w:t>独立防爆间</w:t>
            </w:r>
            <w:r>
              <w:rPr>
                <w:rFonts w:hint="default" w:ascii="Times New Roman" w:hAnsi="Times New Roman" w:cs="Times New Roman"/>
                <w:color w:val="FF0000"/>
                <w:spacing w:val="-2"/>
                <w:sz w:val="24"/>
                <w:lang w:val="en-US" w:eastAsia="zh-CN"/>
              </w:rPr>
              <w:t>），</w:t>
            </w:r>
            <w:r>
              <w:rPr>
                <w:rFonts w:hint="default" w:ascii="Times New Roman" w:hAnsi="Times New Roman" w:cs="Times New Roman"/>
                <w:color w:val="FF0000"/>
                <w:spacing w:val="-2"/>
                <w:sz w:val="24"/>
              </w:rPr>
              <w:t>耐火等级≥二级，地面防静电处理；温度≤40℃，远离热源/明火（间距≥5m）；配置可燃气体报警器（HFCs类）和负压通风系统（换气次数≥12次/h），</w:t>
            </w:r>
            <w:r>
              <w:rPr>
                <w:rFonts w:hint="default" w:ascii="Times New Roman" w:hAnsi="Times New Roman" w:cs="Times New Roman"/>
                <w:color w:val="FF0000"/>
                <w:spacing w:val="-2"/>
                <w:sz w:val="24"/>
                <w:lang w:val="en-US" w:eastAsia="zh-CN"/>
              </w:rPr>
              <w:t>定期</w:t>
            </w:r>
            <w:r>
              <w:rPr>
                <w:rFonts w:hint="default" w:ascii="Times New Roman" w:hAnsi="Times New Roman" w:cs="Times New Roman"/>
                <w:color w:val="FF0000"/>
                <w:spacing w:val="-2"/>
                <w:sz w:val="24"/>
                <w:lang w:eastAsia="zh-CN"/>
              </w:rPr>
              <w:t>交由具有相应资质的单位利用和处置</w:t>
            </w:r>
            <w:r>
              <w:rPr>
                <w:rFonts w:hint="default" w:ascii="Times New Roman" w:hAnsi="Times New Roman" w:cs="Times New Roman"/>
                <w:color w:val="FF0000"/>
                <w:spacing w:val="-2"/>
                <w:sz w:val="24"/>
              </w:rPr>
              <w:t>。</w:t>
            </w:r>
          </w:p>
          <w:p w14:paraId="74C0705A">
            <w:pPr>
              <w:spacing w:line="360" w:lineRule="auto"/>
              <w:ind w:firstLine="480"/>
              <w:jc w:val="left"/>
              <w:rPr>
                <w:rFonts w:hint="default" w:ascii="Times New Roman" w:hAnsi="Times New Roman" w:cs="Times New Roman"/>
                <w:color w:val="FF0000"/>
                <w:spacing w:val="-2"/>
                <w:sz w:val="24"/>
              </w:rPr>
            </w:pPr>
            <w:bookmarkStart w:id="14" w:name="bookmark440"/>
            <w:bookmarkEnd w:id="14"/>
            <w:r>
              <w:rPr>
                <w:rFonts w:hint="default" w:ascii="Times New Roman" w:hAnsi="Times New Roman" w:cs="Times New Roman"/>
                <w:color w:val="FF0000"/>
                <w:spacing w:val="-2"/>
                <w:sz w:val="24"/>
              </w:rPr>
              <w:t>（3）铅酸蓄电池</w:t>
            </w:r>
          </w:p>
          <w:p w14:paraId="0792A792">
            <w:pPr>
              <w:spacing w:line="360" w:lineRule="auto"/>
              <w:ind w:firstLine="480"/>
              <w:jc w:val="left"/>
              <w:rPr>
                <w:rFonts w:hint="default" w:ascii="Times New Roman" w:hAnsi="Times New Roman" w:cs="Times New Roman"/>
                <w:color w:val="FF0000"/>
                <w:spacing w:val="-2"/>
                <w:sz w:val="24"/>
              </w:rPr>
            </w:pPr>
            <w:r>
              <w:rPr>
                <w:rFonts w:hint="default" w:ascii="Times New Roman" w:hAnsi="Times New Roman" w:cs="Times New Roman"/>
                <w:color w:val="FF0000"/>
                <w:spacing w:val="-2"/>
                <w:sz w:val="24"/>
              </w:rPr>
              <w:t>根据表2-4项目报废机动车拆解物料平衡计算，本项目拆解产生废蓄电池量约</w:t>
            </w:r>
            <w:r>
              <w:rPr>
                <w:rFonts w:hint="default" w:ascii="Times New Roman" w:hAnsi="Times New Roman" w:cs="Times New Roman"/>
                <w:color w:val="FF0000"/>
                <w:spacing w:val="-2"/>
                <w:sz w:val="24"/>
                <w:lang w:val="en-US" w:eastAsia="zh-CN"/>
              </w:rPr>
              <w:t>1518.18</w:t>
            </w:r>
            <w:r>
              <w:rPr>
                <w:rFonts w:hint="default" w:ascii="Times New Roman" w:hAnsi="Times New Roman" w:cs="Times New Roman"/>
                <w:color w:val="FF0000"/>
                <w:spacing w:val="-2"/>
                <w:sz w:val="24"/>
              </w:rPr>
              <w:t>t/a，根据《国家危险废物名录》（2025版），铅酸蓄电池属于危险废物，废物代码：HW31（900-052-31），</w:t>
            </w:r>
            <w:r>
              <w:rPr>
                <w:rFonts w:hint="default" w:ascii="Times New Roman" w:hAnsi="Times New Roman" w:cs="Times New Roman"/>
                <w:color w:val="FF0000"/>
                <w:spacing w:val="-2"/>
                <w:sz w:val="24"/>
                <w:lang w:val="en-US" w:eastAsia="zh-CN"/>
              </w:rPr>
              <w:t>收集后暂存于铅酸蓄电池贮存区，</w:t>
            </w:r>
            <w:r>
              <w:rPr>
                <w:rFonts w:hint="default" w:ascii="Times New Roman" w:hAnsi="Times New Roman" w:cs="Times New Roman"/>
                <w:color w:val="FF0000"/>
                <w:spacing w:val="-2"/>
                <w:sz w:val="24"/>
                <w:lang w:eastAsia="zh-CN"/>
              </w:rPr>
              <w:t>破损电池利用专用防腐密闭的容器收集后与完好电池分开储存</w:t>
            </w:r>
            <w:r>
              <w:rPr>
                <w:rFonts w:hint="default" w:ascii="Times New Roman" w:hAnsi="Times New Roman" w:cs="Times New Roman"/>
                <w:color w:val="FF0000"/>
                <w:spacing w:val="-2"/>
                <w:sz w:val="24"/>
              </w:rPr>
              <w:t>，</w:t>
            </w:r>
            <w:r>
              <w:rPr>
                <w:rFonts w:hint="default" w:ascii="Times New Roman" w:hAnsi="Times New Roman" w:cs="Times New Roman"/>
                <w:color w:val="FF0000"/>
                <w:spacing w:val="-2"/>
                <w:sz w:val="24"/>
                <w:lang w:val="en-US" w:eastAsia="zh-CN"/>
              </w:rPr>
              <w:t>定期交由持有相应类别危险废物经营许可证的单位处理</w:t>
            </w:r>
            <w:r>
              <w:rPr>
                <w:rFonts w:hint="default" w:ascii="Times New Roman" w:hAnsi="Times New Roman" w:cs="Times New Roman"/>
                <w:color w:val="FF0000"/>
                <w:spacing w:val="-2"/>
                <w:sz w:val="24"/>
              </w:rPr>
              <w:t>。</w:t>
            </w:r>
          </w:p>
          <w:p w14:paraId="6DF4508E">
            <w:pPr>
              <w:spacing w:line="360" w:lineRule="auto"/>
              <w:ind w:firstLine="480"/>
              <w:jc w:val="left"/>
              <w:rPr>
                <w:rFonts w:hint="default" w:ascii="Times New Roman" w:hAnsi="Times New Roman" w:cs="Times New Roman"/>
                <w:color w:val="FF0000"/>
                <w:spacing w:val="-2"/>
                <w:sz w:val="24"/>
              </w:rPr>
            </w:pPr>
            <w:r>
              <w:rPr>
                <w:rFonts w:hint="default" w:ascii="Times New Roman" w:hAnsi="Times New Roman" w:cs="Times New Roman"/>
                <w:color w:val="FF0000"/>
                <w:spacing w:val="-2"/>
                <w:sz w:val="24"/>
              </w:rPr>
              <w:t>（4）废矿物油</w:t>
            </w:r>
          </w:p>
          <w:p w14:paraId="7481756B">
            <w:pPr>
              <w:spacing w:line="360" w:lineRule="auto"/>
              <w:ind w:firstLine="480"/>
              <w:jc w:val="left"/>
              <w:rPr>
                <w:rFonts w:hint="default" w:ascii="Times New Roman" w:hAnsi="Times New Roman" w:cs="Times New Roman"/>
                <w:color w:val="FF0000"/>
                <w:spacing w:val="-2"/>
                <w:sz w:val="24"/>
              </w:rPr>
            </w:pPr>
            <w:r>
              <w:rPr>
                <w:rFonts w:hint="default" w:ascii="Times New Roman" w:hAnsi="Times New Roman" w:cs="Times New Roman"/>
                <w:color w:val="FF0000"/>
                <w:spacing w:val="-2"/>
                <w:sz w:val="24"/>
              </w:rPr>
              <w:t>项目拆解回收的矿物油，如发动机润滑油、变速箱油、助力转向油、差速器油、制动液等石油类或合成润滑剂，根据表2-4项目报废机动车拆解物料平衡计算，产生量约</w:t>
            </w:r>
            <w:r>
              <w:rPr>
                <w:rFonts w:hint="default" w:ascii="Times New Roman" w:hAnsi="Times New Roman" w:cs="Times New Roman"/>
                <w:color w:val="FF0000"/>
                <w:spacing w:val="-2"/>
                <w:sz w:val="24"/>
                <w:lang w:val="en-US" w:eastAsia="zh-CN"/>
              </w:rPr>
              <w:t>33.95</w:t>
            </w:r>
            <w:r>
              <w:rPr>
                <w:rFonts w:hint="default" w:ascii="Times New Roman" w:hAnsi="Times New Roman" w:cs="Times New Roman"/>
                <w:color w:val="FF0000"/>
                <w:spacing w:val="-2"/>
                <w:sz w:val="24"/>
              </w:rPr>
              <w:t>t/a，属于《国家危险废物名录》（2025版）中的危险废物，代码：HW08（900-199-08），利用专用的密闭容器收集暂存于</w:t>
            </w:r>
            <w:r>
              <w:rPr>
                <w:rFonts w:hint="default" w:ascii="Times New Roman" w:hAnsi="Times New Roman" w:cs="Times New Roman"/>
                <w:color w:val="FF0000"/>
                <w:spacing w:val="-2"/>
                <w:sz w:val="24"/>
                <w:lang w:val="en-US" w:eastAsia="zh-CN"/>
              </w:rPr>
              <w:t>1#危废贮存点</w:t>
            </w:r>
            <w:r>
              <w:rPr>
                <w:rFonts w:hint="default" w:ascii="Times New Roman" w:hAnsi="Times New Roman" w:cs="Times New Roman"/>
                <w:color w:val="FF0000"/>
                <w:spacing w:val="-2"/>
                <w:sz w:val="24"/>
              </w:rPr>
              <w:t>，</w:t>
            </w:r>
            <w:r>
              <w:rPr>
                <w:rFonts w:hint="default" w:ascii="Times New Roman" w:hAnsi="Times New Roman" w:cs="Times New Roman"/>
                <w:color w:val="FF0000"/>
                <w:spacing w:val="-2"/>
                <w:sz w:val="24"/>
                <w:lang w:val="en-US" w:eastAsia="zh-CN"/>
              </w:rPr>
              <w:t>定期交由持有相应类别危险废物经营许可证的单位处理</w:t>
            </w:r>
            <w:r>
              <w:rPr>
                <w:rFonts w:hint="default" w:ascii="Times New Roman" w:hAnsi="Times New Roman" w:cs="Times New Roman"/>
                <w:color w:val="FF0000"/>
                <w:spacing w:val="-2"/>
                <w:sz w:val="24"/>
              </w:rPr>
              <w:t>。</w:t>
            </w:r>
          </w:p>
          <w:p w14:paraId="696D6D20">
            <w:pPr>
              <w:spacing w:line="360" w:lineRule="auto"/>
              <w:ind w:firstLine="480"/>
              <w:jc w:val="left"/>
              <w:rPr>
                <w:rFonts w:hint="default" w:ascii="Times New Roman" w:hAnsi="Times New Roman" w:cs="Times New Roman"/>
                <w:color w:val="FF0000"/>
                <w:spacing w:val="-2"/>
                <w:sz w:val="24"/>
              </w:rPr>
            </w:pPr>
            <w:r>
              <w:rPr>
                <w:rFonts w:hint="default" w:ascii="Times New Roman" w:hAnsi="Times New Roman" w:cs="Times New Roman"/>
                <w:color w:val="FF0000"/>
                <w:spacing w:val="-2"/>
                <w:sz w:val="24"/>
              </w:rPr>
              <w:t>（5）废燃料油</w:t>
            </w:r>
          </w:p>
          <w:p w14:paraId="44333143">
            <w:pPr>
              <w:spacing w:line="360" w:lineRule="auto"/>
              <w:ind w:firstLine="472" w:firstLineChars="200"/>
              <w:jc w:val="left"/>
              <w:rPr>
                <w:rFonts w:hint="default" w:ascii="Times New Roman" w:hAnsi="Times New Roman" w:cs="Times New Roman"/>
                <w:color w:val="FF0000"/>
              </w:rPr>
            </w:pPr>
            <w:r>
              <w:rPr>
                <w:rFonts w:hint="default" w:ascii="Times New Roman" w:hAnsi="Times New Roman" w:cs="Times New Roman"/>
                <w:color w:val="FF0000"/>
                <w:spacing w:val="-2"/>
                <w:sz w:val="24"/>
              </w:rPr>
              <w:t>项目拆解回收的柴油、汽油等燃料油，属于《国家危险废物名录》（2025版）中的危险废物，代码：HW08（900-221-08），根据表2-4项目报废机动车拆解物料平衡计算，产生量约</w:t>
            </w:r>
            <w:r>
              <w:rPr>
                <w:rFonts w:hint="default" w:ascii="Times New Roman" w:hAnsi="Times New Roman" w:cs="Times New Roman"/>
                <w:color w:val="FF0000"/>
                <w:spacing w:val="-2"/>
                <w:sz w:val="24"/>
                <w:lang w:val="en-US" w:eastAsia="zh-CN"/>
              </w:rPr>
              <w:t>33.95</w:t>
            </w:r>
            <w:r>
              <w:rPr>
                <w:rFonts w:hint="default" w:ascii="Times New Roman" w:hAnsi="Times New Roman" w:cs="Times New Roman"/>
                <w:color w:val="FF0000"/>
                <w:spacing w:val="-2"/>
                <w:sz w:val="24"/>
              </w:rPr>
              <w:t>t/a，利用专用的密闭容器收集暂存后</w:t>
            </w:r>
            <w:r>
              <w:rPr>
                <w:rFonts w:hint="default" w:ascii="Times New Roman" w:hAnsi="Times New Roman" w:cs="Times New Roman"/>
                <w:color w:val="FF0000"/>
                <w:spacing w:val="-2"/>
                <w:sz w:val="24"/>
                <w:lang w:val="en-US" w:eastAsia="zh-CN"/>
              </w:rPr>
              <w:t>暂</w:t>
            </w:r>
            <w:r>
              <w:rPr>
                <w:rFonts w:hint="default" w:ascii="Times New Roman" w:hAnsi="Times New Roman" w:cs="Times New Roman"/>
                <w:color w:val="000000"/>
                <w:spacing w:val="-2"/>
                <w:sz w:val="24"/>
              </w:rPr>
              <w:t>存</w:t>
            </w:r>
            <w:r>
              <w:rPr>
                <w:rFonts w:hint="default" w:ascii="Times New Roman" w:hAnsi="Times New Roman" w:cs="Times New Roman"/>
                <w:color w:val="000000"/>
                <w:spacing w:val="-2"/>
                <w:sz w:val="24"/>
                <w:lang w:val="en-US" w:eastAsia="zh-CN"/>
              </w:rPr>
              <w:t>于</w:t>
            </w:r>
            <w:r>
              <w:rPr>
                <w:rFonts w:hint="default" w:ascii="Times New Roman" w:hAnsi="Times New Roman" w:cs="Times New Roman"/>
                <w:color w:val="FF0000"/>
                <w:spacing w:val="-2"/>
                <w:sz w:val="24"/>
                <w:lang w:val="en-US" w:eastAsia="zh-CN"/>
              </w:rPr>
              <w:t>1#危废贮存点</w:t>
            </w:r>
            <w:r>
              <w:rPr>
                <w:rFonts w:hint="default" w:ascii="Times New Roman" w:hAnsi="Times New Roman" w:cs="Times New Roman"/>
                <w:color w:val="FF0000"/>
                <w:spacing w:val="-2"/>
                <w:sz w:val="24"/>
              </w:rPr>
              <w:t>，</w:t>
            </w:r>
            <w:r>
              <w:rPr>
                <w:rFonts w:hint="default" w:ascii="Times New Roman" w:hAnsi="Times New Roman" w:cs="Times New Roman"/>
                <w:color w:val="FF0000"/>
                <w:spacing w:val="-2"/>
                <w:sz w:val="24"/>
                <w:lang w:val="en-US" w:eastAsia="zh-CN"/>
              </w:rPr>
              <w:t>定期交由持有相应类别危险废物经营许可证的单位处理</w:t>
            </w:r>
            <w:r>
              <w:rPr>
                <w:rFonts w:hint="default" w:ascii="Times New Roman" w:hAnsi="Times New Roman" w:cs="Times New Roman"/>
                <w:color w:val="FF0000"/>
                <w:spacing w:val="-2"/>
                <w:sz w:val="24"/>
              </w:rPr>
              <w:t>。</w:t>
            </w:r>
          </w:p>
          <w:p w14:paraId="453C71FE">
            <w:pPr>
              <w:spacing w:line="360" w:lineRule="auto"/>
              <w:ind w:firstLine="480"/>
              <w:jc w:val="left"/>
              <w:rPr>
                <w:rFonts w:hint="default" w:ascii="Times New Roman" w:hAnsi="Times New Roman" w:cs="Times New Roman"/>
                <w:color w:val="FF0000"/>
                <w:spacing w:val="-2"/>
                <w:sz w:val="24"/>
              </w:rPr>
            </w:pPr>
            <w:bookmarkStart w:id="15" w:name="bookmark442"/>
            <w:bookmarkEnd w:id="15"/>
            <w:r>
              <w:rPr>
                <w:rFonts w:hint="default" w:ascii="Times New Roman" w:hAnsi="Times New Roman" w:cs="Times New Roman"/>
                <w:color w:val="FF0000"/>
                <w:spacing w:val="-2"/>
                <w:sz w:val="24"/>
              </w:rPr>
              <w:t>（6）废尾气净化装置及催化剂</w:t>
            </w:r>
          </w:p>
          <w:p w14:paraId="0B890200">
            <w:pPr>
              <w:spacing w:line="360" w:lineRule="auto"/>
              <w:ind w:firstLine="480"/>
              <w:jc w:val="left"/>
              <w:rPr>
                <w:rFonts w:hint="default" w:ascii="Times New Roman" w:hAnsi="Times New Roman" w:cs="Times New Roman"/>
                <w:color w:val="FF0000"/>
                <w:spacing w:val="-2"/>
                <w:sz w:val="24"/>
              </w:rPr>
            </w:pPr>
            <w:r>
              <w:rPr>
                <w:rFonts w:hint="default" w:ascii="Times New Roman" w:hAnsi="Times New Roman" w:cs="Times New Roman"/>
                <w:color w:val="FF0000"/>
                <w:spacing w:val="-2"/>
                <w:sz w:val="24"/>
              </w:rPr>
              <w:t>尾气净化装置，主要产生于汽车排气管，尾气净化装置中的催化剂是采用二氧化钛、三氧化钨、五氧化三钒、硬脂酸、偏矶酸铵、聚氧化乙烯、单乙醇胺、乳酸、木浆及玻璃纤维等多种材料，成分较复杂。属于《国家危险废物名录》（2025版）指定的危险废物，代码：HW50（900-049-50），根据表2-4项目报废机动车拆解物料平衡计算，产生量约为</w:t>
            </w:r>
            <w:r>
              <w:rPr>
                <w:rFonts w:hint="default" w:ascii="Times New Roman" w:hAnsi="Times New Roman" w:cs="Times New Roman"/>
                <w:color w:val="FF0000"/>
                <w:spacing w:val="-2"/>
                <w:sz w:val="24"/>
                <w:lang w:val="en-US" w:eastAsia="zh-CN"/>
              </w:rPr>
              <w:t>11.92</w:t>
            </w:r>
            <w:r>
              <w:rPr>
                <w:rFonts w:hint="default" w:ascii="Times New Roman" w:hAnsi="Times New Roman" w:cs="Times New Roman"/>
                <w:color w:val="FF0000"/>
                <w:spacing w:val="-2"/>
                <w:sz w:val="24"/>
              </w:rPr>
              <w:t>t/a，利用专用容器收集后暂存</w:t>
            </w:r>
            <w:r>
              <w:rPr>
                <w:rFonts w:hint="default" w:ascii="Times New Roman" w:hAnsi="Times New Roman" w:cs="Times New Roman"/>
                <w:color w:val="FF0000"/>
                <w:spacing w:val="-2"/>
                <w:sz w:val="24"/>
                <w:lang w:val="en-US" w:eastAsia="zh-CN"/>
              </w:rPr>
              <w:t>于3#危废贮存点</w:t>
            </w:r>
            <w:r>
              <w:rPr>
                <w:rFonts w:hint="default" w:ascii="Times New Roman" w:hAnsi="Times New Roman" w:cs="Times New Roman"/>
                <w:color w:val="FF0000"/>
                <w:spacing w:val="-2"/>
                <w:sz w:val="24"/>
              </w:rPr>
              <w:t>，</w:t>
            </w:r>
            <w:r>
              <w:rPr>
                <w:rFonts w:hint="default" w:ascii="Times New Roman" w:hAnsi="Times New Roman" w:cs="Times New Roman"/>
                <w:color w:val="FF0000"/>
                <w:spacing w:val="-2"/>
                <w:sz w:val="24"/>
                <w:lang w:val="en-US" w:eastAsia="zh-CN"/>
              </w:rPr>
              <w:t>定期交由持有相应类别危险废物经营许可证的单位处理</w:t>
            </w:r>
            <w:r>
              <w:rPr>
                <w:rFonts w:hint="default" w:ascii="Times New Roman" w:hAnsi="Times New Roman" w:cs="Times New Roman"/>
                <w:color w:val="FF0000"/>
                <w:spacing w:val="-2"/>
                <w:sz w:val="24"/>
              </w:rPr>
              <w:t>。</w:t>
            </w:r>
          </w:p>
          <w:p w14:paraId="439CDDFB">
            <w:pPr>
              <w:spacing w:line="360" w:lineRule="auto"/>
              <w:ind w:firstLine="480"/>
              <w:jc w:val="left"/>
              <w:rPr>
                <w:rFonts w:hint="default" w:ascii="Times New Roman" w:hAnsi="Times New Roman" w:cs="Times New Roman"/>
                <w:color w:val="FF0000"/>
                <w:spacing w:val="-2"/>
                <w:sz w:val="24"/>
              </w:rPr>
            </w:pPr>
            <w:bookmarkStart w:id="16" w:name="bookmark443"/>
            <w:bookmarkEnd w:id="16"/>
            <w:r>
              <w:rPr>
                <w:rFonts w:hint="default" w:ascii="Times New Roman" w:hAnsi="Times New Roman" w:cs="Times New Roman"/>
                <w:color w:val="FF0000"/>
                <w:spacing w:val="-2"/>
                <w:sz w:val="24"/>
              </w:rPr>
              <w:t>（7）废滤清器和废油箱</w:t>
            </w:r>
          </w:p>
          <w:p w14:paraId="0BBE5C47">
            <w:pPr>
              <w:spacing w:line="360" w:lineRule="auto"/>
              <w:ind w:firstLine="480"/>
              <w:jc w:val="left"/>
              <w:rPr>
                <w:rFonts w:hint="default" w:ascii="Times New Roman" w:hAnsi="Times New Roman" w:cs="Times New Roman"/>
                <w:color w:val="FF0000"/>
                <w:spacing w:val="-2"/>
                <w:sz w:val="24"/>
              </w:rPr>
            </w:pPr>
            <w:r>
              <w:rPr>
                <w:rFonts w:hint="default" w:ascii="Times New Roman" w:hAnsi="Times New Roman" w:cs="Times New Roman"/>
                <w:color w:val="FF0000"/>
                <w:spacing w:val="-2"/>
                <w:sz w:val="24"/>
              </w:rPr>
              <w:t>废滤清器主要为机油及燃油滤清器，根据表2-4项目报废机动车拆解物料平衡计算，产生量约为</w:t>
            </w:r>
            <w:r>
              <w:rPr>
                <w:rFonts w:hint="default" w:ascii="Times New Roman" w:hAnsi="Times New Roman" w:cs="Times New Roman"/>
                <w:color w:val="FF0000"/>
                <w:spacing w:val="-2"/>
                <w:sz w:val="24"/>
                <w:lang w:val="en-US" w:eastAsia="zh-CN"/>
              </w:rPr>
              <w:t>26.95</w:t>
            </w:r>
            <w:r>
              <w:rPr>
                <w:rFonts w:hint="default" w:ascii="Times New Roman" w:hAnsi="Times New Roman" w:cs="Times New Roman"/>
                <w:color w:val="FF0000"/>
                <w:spacing w:val="-2"/>
                <w:sz w:val="24"/>
              </w:rPr>
              <w:t>t/a，废油箱产生量约</w:t>
            </w:r>
            <w:r>
              <w:rPr>
                <w:rFonts w:hint="default" w:ascii="Times New Roman" w:hAnsi="Times New Roman" w:cs="Times New Roman"/>
                <w:color w:val="FF0000"/>
                <w:spacing w:val="-2"/>
                <w:sz w:val="24"/>
                <w:lang w:val="en-US" w:eastAsia="zh-CN"/>
              </w:rPr>
              <w:t>101.63</w:t>
            </w:r>
            <w:r>
              <w:rPr>
                <w:rFonts w:hint="default" w:ascii="Times New Roman" w:hAnsi="Times New Roman" w:cs="Times New Roman"/>
                <w:color w:val="FF0000"/>
                <w:spacing w:val="-2"/>
                <w:sz w:val="24"/>
              </w:rPr>
              <w:t>t/a，合计</w:t>
            </w:r>
            <w:r>
              <w:rPr>
                <w:rFonts w:hint="eastAsia" w:ascii="Times New Roman" w:hAnsi="Times New Roman" w:cs="Times New Roman"/>
                <w:color w:val="FF0000"/>
                <w:spacing w:val="-2"/>
                <w:sz w:val="24"/>
                <w:lang w:val="en-US" w:eastAsia="zh-CN"/>
              </w:rPr>
              <w:t>128.58</w:t>
            </w:r>
            <w:r>
              <w:rPr>
                <w:rFonts w:hint="default" w:ascii="Times New Roman" w:hAnsi="Times New Roman" w:cs="Times New Roman"/>
                <w:color w:val="FF0000"/>
                <w:spacing w:val="-2"/>
                <w:sz w:val="24"/>
              </w:rPr>
              <w:t>t/a由于均含有油类杂质，属于为危险废物，代码HW49 (900-041-49)，利用专用密闭容器</w:t>
            </w:r>
            <w:r>
              <w:rPr>
                <w:rFonts w:hint="default" w:ascii="Times New Roman" w:hAnsi="Times New Roman" w:cs="Times New Roman"/>
                <w:color w:val="FF0000"/>
                <w:spacing w:val="-2"/>
                <w:sz w:val="24"/>
                <w:lang w:eastAsia="zh-CN"/>
              </w:rPr>
              <w:t>（防爆型密闭容器）</w:t>
            </w:r>
            <w:r>
              <w:rPr>
                <w:rFonts w:hint="default" w:ascii="Times New Roman" w:hAnsi="Times New Roman" w:cs="Times New Roman"/>
                <w:color w:val="FF0000"/>
                <w:spacing w:val="-2"/>
                <w:sz w:val="24"/>
              </w:rPr>
              <w:t>盛装后，暂存于</w:t>
            </w:r>
            <w:r>
              <w:rPr>
                <w:rFonts w:hint="default" w:ascii="Times New Roman" w:hAnsi="Times New Roman" w:cs="Times New Roman"/>
                <w:color w:val="FF0000"/>
                <w:spacing w:val="-2"/>
                <w:sz w:val="24"/>
                <w:lang w:val="en-US" w:eastAsia="zh-CN"/>
              </w:rPr>
              <w:t>1#</w:t>
            </w:r>
            <w:r>
              <w:rPr>
                <w:rFonts w:hint="default" w:ascii="Times New Roman" w:hAnsi="Times New Roman" w:cs="Times New Roman"/>
                <w:color w:val="FF0000"/>
                <w:spacing w:val="-2"/>
                <w:sz w:val="24"/>
                <w:lang w:eastAsia="zh-CN"/>
              </w:rPr>
              <w:t>危废贮存点</w:t>
            </w:r>
            <w:r>
              <w:rPr>
                <w:rFonts w:hint="default" w:ascii="Times New Roman" w:hAnsi="Times New Roman" w:cs="Times New Roman"/>
                <w:color w:val="FF0000"/>
                <w:spacing w:val="-2"/>
                <w:sz w:val="24"/>
              </w:rPr>
              <w:t>，</w:t>
            </w:r>
            <w:r>
              <w:rPr>
                <w:rFonts w:hint="default" w:ascii="Times New Roman" w:hAnsi="Times New Roman" w:cs="Times New Roman"/>
                <w:color w:val="FF0000"/>
                <w:spacing w:val="-2"/>
                <w:sz w:val="24"/>
                <w:lang w:val="en-US" w:eastAsia="zh-CN"/>
              </w:rPr>
              <w:t>定期交由持有相应类别危险废物经营许可证的单位处理</w:t>
            </w:r>
            <w:r>
              <w:rPr>
                <w:rFonts w:hint="default" w:ascii="Times New Roman" w:hAnsi="Times New Roman" w:cs="Times New Roman"/>
                <w:color w:val="FF0000"/>
                <w:spacing w:val="-2"/>
                <w:sz w:val="24"/>
              </w:rPr>
              <w:t>。</w:t>
            </w:r>
          </w:p>
          <w:p w14:paraId="2F94B3F9">
            <w:pPr>
              <w:spacing w:line="360" w:lineRule="auto"/>
              <w:ind w:firstLine="480"/>
              <w:jc w:val="left"/>
              <w:rPr>
                <w:rFonts w:hint="default" w:ascii="Times New Roman" w:hAnsi="Times New Roman" w:cs="Times New Roman"/>
                <w:color w:val="FF0000"/>
                <w:spacing w:val="-2"/>
                <w:sz w:val="24"/>
              </w:rPr>
            </w:pPr>
            <w:bookmarkStart w:id="17" w:name="bookmark444"/>
            <w:bookmarkEnd w:id="17"/>
            <w:r>
              <w:rPr>
                <w:rFonts w:hint="default" w:ascii="Times New Roman" w:hAnsi="Times New Roman" w:cs="Times New Roman"/>
                <w:color w:val="FF0000"/>
                <w:spacing w:val="-2"/>
                <w:sz w:val="24"/>
              </w:rPr>
              <w:t>（8）废电路板及电子元件</w:t>
            </w:r>
          </w:p>
          <w:p w14:paraId="3D69ADA9">
            <w:pPr>
              <w:spacing w:line="360" w:lineRule="auto"/>
              <w:ind w:firstLine="480"/>
              <w:jc w:val="left"/>
              <w:rPr>
                <w:rFonts w:hint="default" w:ascii="Times New Roman" w:hAnsi="Times New Roman" w:cs="Times New Roman"/>
                <w:color w:val="FF0000"/>
                <w:spacing w:val="-2"/>
                <w:sz w:val="24"/>
              </w:rPr>
            </w:pPr>
            <w:r>
              <w:rPr>
                <w:rFonts w:hint="default" w:ascii="Times New Roman" w:hAnsi="Times New Roman" w:cs="Times New Roman"/>
                <w:color w:val="FF0000"/>
                <w:spacing w:val="-2"/>
                <w:sz w:val="24"/>
              </w:rPr>
              <w:t>根据表2-4项目报废机动车拆解物料平衡计算，产生量约为</w:t>
            </w:r>
            <w:r>
              <w:rPr>
                <w:rFonts w:hint="default" w:ascii="Times New Roman" w:hAnsi="Times New Roman" w:cs="Times New Roman"/>
                <w:color w:val="FF0000"/>
                <w:spacing w:val="-2"/>
                <w:sz w:val="24"/>
                <w:lang w:val="en-US" w:eastAsia="zh-CN"/>
              </w:rPr>
              <w:t>60.59</w:t>
            </w:r>
            <w:r>
              <w:rPr>
                <w:rFonts w:hint="default" w:ascii="Times New Roman" w:hAnsi="Times New Roman" w:cs="Times New Roman"/>
                <w:color w:val="FF0000"/>
                <w:spacing w:val="-2"/>
                <w:sz w:val="24"/>
              </w:rPr>
              <w:t>t/a，属于《国家危险废物名录》（2025版）指定的危险废物，编号：HW49（900-045-49），利用专用容器收集后暂存于</w:t>
            </w:r>
            <w:r>
              <w:rPr>
                <w:rFonts w:hint="default" w:ascii="Times New Roman" w:hAnsi="Times New Roman" w:cs="Times New Roman"/>
                <w:color w:val="FF0000"/>
                <w:spacing w:val="-2"/>
                <w:sz w:val="24"/>
                <w:lang w:val="en-US" w:eastAsia="zh-CN"/>
              </w:rPr>
              <w:t>4#</w:t>
            </w:r>
            <w:r>
              <w:rPr>
                <w:rFonts w:hint="default" w:ascii="Times New Roman" w:hAnsi="Times New Roman" w:cs="Times New Roman"/>
                <w:color w:val="FF0000"/>
                <w:spacing w:val="-2"/>
                <w:sz w:val="24"/>
                <w:lang w:eastAsia="zh-CN"/>
              </w:rPr>
              <w:t>危废贮存点</w:t>
            </w:r>
            <w:r>
              <w:rPr>
                <w:rFonts w:hint="default" w:ascii="Times New Roman" w:hAnsi="Times New Roman" w:cs="Times New Roman"/>
                <w:color w:val="FF0000"/>
                <w:spacing w:val="-2"/>
                <w:sz w:val="24"/>
              </w:rPr>
              <w:t>，定期交由具有相应废弃电器电子产品处理资格企业、电子废物拆解利用处置单位名录内企业。</w:t>
            </w:r>
          </w:p>
          <w:p w14:paraId="5A4242D8">
            <w:pPr>
              <w:spacing w:line="360" w:lineRule="auto"/>
              <w:ind w:firstLine="480"/>
              <w:jc w:val="left"/>
              <w:rPr>
                <w:rFonts w:hint="default" w:ascii="Times New Roman" w:hAnsi="Times New Roman" w:cs="Times New Roman"/>
                <w:color w:val="FF0000"/>
                <w:spacing w:val="-2"/>
                <w:sz w:val="24"/>
              </w:rPr>
            </w:pPr>
            <w:bookmarkStart w:id="18" w:name="bookmark445"/>
            <w:bookmarkEnd w:id="18"/>
            <w:r>
              <w:rPr>
                <w:rFonts w:hint="default" w:ascii="Times New Roman" w:hAnsi="Times New Roman" w:cs="Times New Roman"/>
                <w:color w:val="FF0000"/>
                <w:spacing w:val="-2"/>
                <w:sz w:val="24"/>
              </w:rPr>
              <w:t>（9）含铅部件</w:t>
            </w:r>
          </w:p>
          <w:p w14:paraId="55C50731">
            <w:pPr>
              <w:spacing w:line="360" w:lineRule="auto"/>
              <w:ind w:firstLine="480"/>
              <w:jc w:val="left"/>
              <w:rPr>
                <w:rFonts w:hint="default" w:ascii="Times New Roman" w:hAnsi="Times New Roman" w:cs="Times New Roman"/>
                <w:color w:val="FF0000"/>
                <w:spacing w:val="-2"/>
                <w:sz w:val="24"/>
              </w:rPr>
            </w:pPr>
            <w:r>
              <w:rPr>
                <w:rFonts w:hint="default" w:ascii="Times New Roman" w:hAnsi="Times New Roman" w:cs="Times New Roman"/>
                <w:color w:val="FF0000"/>
                <w:spacing w:val="-2"/>
                <w:sz w:val="24"/>
              </w:rPr>
              <w:t>主要为</w:t>
            </w:r>
            <w:r>
              <w:rPr>
                <w:rFonts w:hint="default" w:ascii="Times New Roman" w:hAnsi="Times New Roman" w:cs="Times New Roman"/>
                <w:color w:val="FF0000"/>
                <w:spacing w:val="-2"/>
                <w:sz w:val="24"/>
                <w:lang w:val="en-US" w:eastAsia="zh-CN"/>
              </w:rPr>
              <w:t>火花塞、油管、密封垫、驾驶室门车锁等</w:t>
            </w:r>
            <w:r>
              <w:rPr>
                <w:rFonts w:hint="default" w:ascii="Times New Roman" w:hAnsi="Times New Roman" w:cs="Times New Roman"/>
                <w:color w:val="FF0000"/>
                <w:spacing w:val="-2"/>
                <w:sz w:val="24"/>
              </w:rPr>
              <w:t>含铅较多的零部件，根据表2-4项目报废机动车拆解物料平衡计算，产生量约为</w:t>
            </w:r>
            <w:r>
              <w:rPr>
                <w:rFonts w:hint="default" w:ascii="Times New Roman" w:hAnsi="Times New Roman" w:cs="Times New Roman"/>
                <w:color w:val="FF0000"/>
                <w:spacing w:val="-2"/>
                <w:sz w:val="24"/>
                <w:lang w:val="en-US" w:eastAsia="zh-CN"/>
              </w:rPr>
              <w:t>2.26</w:t>
            </w:r>
            <w:r>
              <w:rPr>
                <w:rFonts w:hint="default" w:ascii="Times New Roman" w:hAnsi="Times New Roman" w:cs="Times New Roman"/>
                <w:color w:val="FF0000"/>
                <w:spacing w:val="-2"/>
                <w:sz w:val="24"/>
              </w:rPr>
              <w:t>t/a，属于《国家危险废物名录》（2025版）指定的危险废物，编号：HW31(900-052-31)，利用专用容器盛装后，暂存于</w:t>
            </w:r>
            <w:r>
              <w:rPr>
                <w:rFonts w:hint="default" w:ascii="Times New Roman" w:hAnsi="Times New Roman" w:cs="Times New Roman"/>
                <w:color w:val="FF0000"/>
                <w:spacing w:val="-2"/>
                <w:sz w:val="24"/>
                <w:lang w:val="en-US" w:eastAsia="zh-CN"/>
              </w:rPr>
              <w:t>4#</w:t>
            </w:r>
            <w:r>
              <w:rPr>
                <w:rFonts w:hint="default" w:ascii="Times New Roman" w:hAnsi="Times New Roman" w:cs="Times New Roman"/>
                <w:color w:val="FF0000"/>
                <w:spacing w:val="-2"/>
                <w:sz w:val="24"/>
                <w:lang w:eastAsia="zh-CN"/>
              </w:rPr>
              <w:t>危废贮存点</w:t>
            </w:r>
            <w:r>
              <w:rPr>
                <w:rFonts w:hint="default" w:ascii="Times New Roman" w:hAnsi="Times New Roman" w:cs="Times New Roman"/>
                <w:color w:val="FF0000"/>
                <w:spacing w:val="-2"/>
                <w:sz w:val="24"/>
              </w:rPr>
              <w:t>，</w:t>
            </w:r>
            <w:r>
              <w:rPr>
                <w:rFonts w:hint="default" w:ascii="Times New Roman" w:hAnsi="Times New Roman" w:cs="Times New Roman"/>
                <w:color w:val="FF0000"/>
                <w:spacing w:val="-2"/>
                <w:sz w:val="24"/>
                <w:lang w:val="en-US" w:eastAsia="zh-CN"/>
              </w:rPr>
              <w:t>定期交由持有相应类别危险废物经营许可证的单位处理</w:t>
            </w:r>
            <w:r>
              <w:rPr>
                <w:rFonts w:hint="default" w:ascii="Times New Roman" w:hAnsi="Times New Roman" w:cs="Times New Roman"/>
                <w:color w:val="FF0000"/>
                <w:spacing w:val="-2"/>
                <w:sz w:val="24"/>
              </w:rPr>
              <w:t>。</w:t>
            </w:r>
          </w:p>
          <w:p w14:paraId="1990DA0A">
            <w:pPr>
              <w:spacing w:line="360" w:lineRule="auto"/>
              <w:ind w:firstLine="480"/>
              <w:jc w:val="left"/>
              <w:rPr>
                <w:rFonts w:hint="default" w:ascii="Times New Roman" w:hAnsi="Times New Roman" w:cs="Times New Roman"/>
                <w:color w:val="FF0000"/>
                <w:spacing w:val="-2"/>
                <w:sz w:val="24"/>
              </w:rPr>
            </w:pPr>
            <w:bookmarkStart w:id="19" w:name="bookmark446"/>
            <w:bookmarkEnd w:id="19"/>
            <w:r>
              <w:rPr>
                <w:rFonts w:hint="default" w:ascii="Times New Roman" w:hAnsi="Times New Roman" w:cs="Times New Roman"/>
                <w:color w:val="FF0000"/>
                <w:spacing w:val="-2"/>
                <w:sz w:val="24"/>
              </w:rPr>
              <w:t>（10）含汞部件</w:t>
            </w:r>
          </w:p>
          <w:p w14:paraId="6418114A">
            <w:pPr>
              <w:spacing w:line="360" w:lineRule="auto"/>
              <w:ind w:firstLine="480"/>
              <w:jc w:val="left"/>
              <w:rPr>
                <w:rFonts w:hint="default" w:ascii="Times New Roman" w:hAnsi="Times New Roman" w:cs="Times New Roman"/>
                <w:color w:val="FF0000"/>
                <w:spacing w:val="-2"/>
                <w:sz w:val="24"/>
              </w:rPr>
            </w:pPr>
            <w:r>
              <w:rPr>
                <w:rFonts w:hint="default" w:ascii="Times New Roman" w:hAnsi="Times New Roman" w:cs="Times New Roman"/>
                <w:color w:val="FF0000"/>
                <w:spacing w:val="-2"/>
                <w:sz w:val="24"/>
              </w:rPr>
              <w:t>主要为各类含汞开关，汞是以化合态形式存在的，根据表2-4项目报废机动车拆解物料平衡计算，产生量约为</w:t>
            </w:r>
            <w:r>
              <w:rPr>
                <w:rFonts w:hint="default" w:ascii="Times New Roman" w:hAnsi="Times New Roman" w:cs="Times New Roman"/>
                <w:color w:val="FF0000"/>
                <w:spacing w:val="-2"/>
                <w:sz w:val="24"/>
                <w:lang w:val="en-US" w:eastAsia="zh-CN"/>
              </w:rPr>
              <w:t>0.25</w:t>
            </w:r>
            <w:r>
              <w:rPr>
                <w:rFonts w:hint="default" w:ascii="Times New Roman" w:hAnsi="Times New Roman" w:cs="Times New Roman"/>
                <w:color w:val="FF0000"/>
                <w:spacing w:val="-2"/>
                <w:sz w:val="24"/>
              </w:rPr>
              <w:t>t/a。属于《国家危险废物名录》（2025版）指定的危险废物，编号：HW49（</w:t>
            </w:r>
            <w:r>
              <w:rPr>
                <w:rFonts w:hint="default" w:ascii="Times New Roman" w:hAnsi="Times New Roman" w:eastAsia="Times New Roman" w:cs="Times New Roman"/>
                <w:color w:val="FF0000"/>
                <w:spacing w:val="-1"/>
                <w:sz w:val="24"/>
              </w:rPr>
              <w:t>900-02</w:t>
            </w:r>
            <w:r>
              <w:rPr>
                <w:rFonts w:hint="default" w:ascii="Times New Roman" w:hAnsi="Times New Roman" w:eastAsia="Times New Roman" w:cs="Times New Roman"/>
                <w:color w:val="FF0000"/>
                <w:spacing w:val="-2"/>
                <w:sz w:val="24"/>
              </w:rPr>
              <w:t>4-29</w:t>
            </w:r>
            <w:r>
              <w:rPr>
                <w:rFonts w:hint="default" w:ascii="Times New Roman" w:hAnsi="Times New Roman" w:cs="Times New Roman"/>
                <w:color w:val="FF0000"/>
                <w:spacing w:val="-2"/>
                <w:sz w:val="24"/>
              </w:rPr>
              <w:t>），利用专用容器盛装后，暂存于</w:t>
            </w:r>
            <w:r>
              <w:rPr>
                <w:rFonts w:hint="default" w:ascii="Times New Roman" w:hAnsi="Times New Roman" w:cs="Times New Roman"/>
                <w:color w:val="FF0000"/>
                <w:spacing w:val="-2"/>
                <w:sz w:val="24"/>
                <w:lang w:val="en-US" w:eastAsia="zh-CN"/>
              </w:rPr>
              <w:t>4#</w:t>
            </w:r>
            <w:r>
              <w:rPr>
                <w:rFonts w:hint="default" w:ascii="Times New Roman" w:hAnsi="Times New Roman" w:cs="Times New Roman"/>
                <w:color w:val="FF0000"/>
                <w:spacing w:val="-2"/>
                <w:sz w:val="24"/>
                <w:lang w:eastAsia="zh-CN"/>
              </w:rPr>
              <w:t>危废贮存点</w:t>
            </w:r>
            <w:r>
              <w:rPr>
                <w:rFonts w:hint="default" w:ascii="Times New Roman" w:hAnsi="Times New Roman" w:cs="Times New Roman"/>
                <w:color w:val="FF0000"/>
                <w:spacing w:val="-2"/>
                <w:sz w:val="24"/>
              </w:rPr>
              <w:t>，</w:t>
            </w:r>
            <w:r>
              <w:rPr>
                <w:rFonts w:hint="default" w:ascii="Times New Roman" w:hAnsi="Times New Roman" w:cs="Times New Roman"/>
                <w:color w:val="FF0000"/>
                <w:spacing w:val="-2"/>
                <w:sz w:val="24"/>
                <w:lang w:val="en-US" w:eastAsia="zh-CN"/>
              </w:rPr>
              <w:t>定期交由持有相应类别危险废物经营许可证的单位处理</w:t>
            </w:r>
            <w:r>
              <w:rPr>
                <w:rFonts w:hint="default" w:ascii="Times New Roman" w:hAnsi="Times New Roman" w:cs="Times New Roman"/>
                <w:color w:val="FF0000"/>
                <w:spacing w:val="-2"/>
                <w:sz w:val="24"/>
              </w:rPr>
              <w:t>。</w:t>
            </w:r>
          </w:p>
          <w:p w14:paraId="48871609">
            <w:pPr>
              <w:spacing w:line="360" w:lineRule="auto"/>
              <w:ind w:firstLine="480"/>
              <w:jc w:val="left"/>
              <w:rPr>
                <w:rFonts w:hint="default" w:ascii="Times New Roman" w:hAnsi="Times New Roman" w:cs="Times New Roman"/>
                <w:color w:val="FF0000"/>
                <w:spacing w:val="-2"/>
                <w:sz w:val="24"/>
              </w:rPr>
            </w:pPr>
            <w:r>
              <w:rPr>
                <w:rFonts w:hint="default" w:ascii="Times New Roman" w:hAnsi="Times New Roman" w:cs="Times New Roman"/>
                <w:color w:val="FF0000"/>
                <w:spacing w:val="-2"/>
                <w:sz w:val="24"/>
              </w:rPr>
              <w:t>（11）废活性炭</w:t>
            </w:r>
          </w:p>
          <w:p w14:paraId="72A91239">
            <w:pPr>
              <w:spacing w:line="360" w:lineRule="auto"/>
              <w:ind w:firstLine="480"/>
              <w:jc w:val="left"/>
              <w:rPr>
                <w:rFonts w:hint="default" w:ascii="Times New Roman" w:hAnsi="Times New Roman" w:cs="Times New Roman"/>
                <w:color w:val="FF0000"/>
                <w:spacing w:val="-2"/>
                <w:sz w:val="24"/>
              </w:rPr>
            </w:pPr>
            <w:r>
              <w:rPr>
                <w:rFonts w:hint="default" w:ascii="Times New Roman" w:hAnsi="Times New Roman" w:cs="Times New Roman"/>
                <w:color w:val="FF0000"/>
                <w:spacing w:val="-2"/>
                <w:sz w:val="24"/>
              </w:rPr>
              <w:t>本项目建设2套活性炭吸附装置吸附处理有机废气，根据前文8.防治措施可行性及达标分析计算，活性炭使用量约为</w:t>
            </w:r>
            <w:r>
              <w:rPr>
                <w:rFonts w:hint="default" w:ascii="Times New Roman" w:hAnsi="Times New Roman" w:cs="Times New Roman"/>
                <w:color w:val="FF0000"/>
                <w:sz w:val="24"/>
              </w:rPr>
              <w:t>3.72t/a，非甲烷总烃吸附量为0.743t/a，本项目废活性炭产生量为3.72+0.743=4.463t/a</w:t>
            </w:r>
            <w:r>
              <w:rPr>
                <w:rFonts w:hint="default" w:ascii="Times New Roman" w:hAnsi="Times New Roman" w:cs="Times New Roman"/>
                <w:color w:val="FF0000"/>
                <w:spacing w:val="-2"/>
                <w:sz w:val="24"/>
              </w:rPr>
              <w:t>（含吸附废气）。根据《国家危险废物名录》（2025版），含有或沾染毒性、感染性危险废物的废弃包装物、容器、过滤吸附介质属于危险废物，编号：HW49（900-039-49），</w:t>
            </w:r>
            <w:r>
              <w:rPr>
                <w:rFonts w:hint="default" w:ascii="Times New Roman" w:hAnsi="Times New Roman" w:cs="Times New Roman"/>
                <w:color w:val="FF0000"/>
                <w:spacing w:val="-2"/>
                <w:sz w:val="24"/>
                <w:lang w:val="en-US" w:eastAsia="zh-CN"/>
              </w:rPr>
              <w:t>暂存于吸附箱内，定期交由持有相应类别危险废物经营许可证的单位处理</w:t>
            </w:r>
            <w:r>
              <w:rPr>
                <w:rFonts w:hint="default" w:ascii="Times New Roman" w:hAnsi="Times New Roman" w:cs="Times New Roman"/>
                <w:color w:val="FF0000"/>
                <w:spacing w:val="-2"/>
                <w:sz w:val="24"/>
              </w:rPr>
              <w:t>。</w:t>
            </w:r>
          </w:p>
          <w:p w14:paraId="3AFDCF4C">
            <w:pPr>
              <w:spacing w:line="360" w:lineRule="auto"/>
              <w:ind w:firstLine="480"/>
              <w:jc w:val="left"/>
              <w:rPr>
                <w:rFonts w:hint="default" w:ascii="Times New Roman" w:hAnsi="Times New Roman" w:cs="Times New Roman"/>
                <w:color w:val="FF0000"/>
                <w:spacing w:val="-2"/>
                <w:sz w:val="24"/>
              </w:rPr>
            </w:pPr>
            <w:r>
              <w:rPr>
                <w:rFonts w:hint="default" w:ascii="Times New Roman" w:hAnsi="Times New Roman" w:cs="Times New Roman"/>
                <w:color w:val="FF0000"/>
                <w:spacing w:val="-2"/>
                <w:sz w:val="24"/>
              </w:rPr>
              <w:t>（12）污水站</w:t>
            </w:r>
            <w:r>
              <w:rPr>
                <w:rFonts w:hint="default" w:ascii="Times New Roman" w:hAnsi="Times New Roman" w:cs="Times New Roman"/>
                <w:color w:val="FF0000"/>
                <w:sz w:val="24"/>
              </w:rPr>
              <w:t>油泥</w:t>
            </w:r>
            <w:r>
              <w:rPr>
                <w:rFonts w:hint="eastAsia" w:cs="Times New Roman"/>
                <w:color w:val="FF0000"/>
                <w:sz w:val="24"/>
                <w:lang w:val="en-US" w:eastAsia="zh-CN"/>
              </w:rPr>
              <w:t>及沉渣</w:t>
            </w:r>
          </w:p>
          <w:p w14:paraId="59F1AF9E">
            <w:pPr>
              <w:spacing w:line="360" w:lineRule="auto"/>
              <w:ind w:firstLine="480"/>
              <w:jc w:val="left"/>
              <w:rPr>
                <w:rFonts w:hint="default" w:ascii="Times New Roman" w:hAnsi="Times New Roman" w:cs="Times New Roman"/>
                <w:color w:val="FF0000"/>
                <w:spacing w:val="-2"/>
                <w:sz w:val="24"/>
              </w:rPr>
            </w:pPr>
            <w:r>
              <w:rPr>
                <w:rFonts w:hint="default" w:ascii="Times New Roman" w:hAnsi="Times New Roman" w:cs="Times New Roman"/>
                <w:color w:val="FF0000"/>
                <w:spacing w:val="-2"/>
                <w:sz w:val="24"/>
              </w:rPr>
              <w:t>项目污水处理过程中产生</w:t>
            </w:r>
            <w:r>
              <w:rPr>
                <w:rFonts w:hint="default" w:ascii="Times New Roman" w:hAnsi="Times New Roman" w:cs="Times New Roman"/>
                <w:color w:val="FF0000"/>
                <w:sz w:val="24"/>
              </w:rPr>
              <w:t>油泥</w:t>
            </w:r>
            <w:r>
              <w:rPr>
                <w:rFonts w:hint="eastAsia" w:cs="Times New Roman"/>
                <w:color w:val="FF0000"/>
                <w:sz w:val="24"/>
                <w:lang w:val="en-US" w:eastAsia="zh-CN"/>
              </w:rPr>
              <w:t>及沉渣</w:t>
            </w:r>
            <w:r>
              <w:rPr>
                <w:rFonts w:hint="default" w:ascii="Times New Roman" w:hAnsi="Times New Roman" w:cs="Times New Roman"/>
                <w:color w:val="FF0000"/>
                <w:spacing w:val="-2"/>
                <w:sz w:val="24"/>
              </w:rPr>
              <w:t>，根据</w:t>
            </w:r>
            <w:r>
              <w:rPr>
                <w:rFonts w:hint="eastAsia" w:cs="Times New Roman"/>
                <w:color w:val="FF0000"/>
                <w:spacing w:val="-2"/>
                <w:sz w:val="24"/>
                <w:lang w:val="en-US" w:eastAsia="zh-CN"/>
              </w:rPr>
              <w:t>前文计算</w:t>
            </w:r>
            <w:r>
              <w:rPr>
                <w:rFonts w:hint="default" w:ascii="Times New Roman" w:hAnsi="Times New Roman" w:cs="Times New Roman"/>
                <w:color w:val="FF0000"/>
                <w:spacing w:val="-2"/>
                <w:sz w:val="24"/>
              </w:rPr>
              <w:t>，</w:t>
            </w:r>
            <w:r>
              <w:rPr>
                <w:rFonts w:hint="default" w:ascii="Times New Roman" w:hAnsi="Times New Roman" w:cs="Times New Roman"/>
                <w:color w:val="FF0000"/>
                <w:sz w:val="24"/>
              </w:rPr>
              <w:t>油泥</w:t>
            </w:r>
            <w:r>
              <w:rPr>
                <w:rFonts w:hint="eastAsia" w:cs="Times New Roman"/>
                <w:color w:val="FF0000"/>
                <w:sz w:val="24"/>
                <w:lang w:val="en-US" w:eastAsia="zh-CN"/>
              </w:rPr>
              <w:t>及沉渣</w:t>
            </w:r>
            <w:r>
              <w:rPr>
                <w:rFonts w:hint="default" w:ascii="Times New Roman" w:hAnsi="Times New Roman" w:cs="Times New Roman"/>
                <w:color w:val="FF0000"/>
                <w:spacing w:val="-2"/>
                <w:sz w:val="24"/>
              </w:rPr>
              <w:t>产生量约</w:t>
            </w:r>
            <w:r>
              <w:rPr>
                <w:rFonts w:hint="eastAsia" w:cs="Times New Roman"/>
                <w:color w:val="FF0000"/>
                <w:spacing w:val="-2"/>
                <w:sz w:val="24"/>
                <w:lang w:eastAsia="zh-CN"/>
              </w:rPr>
              <w:t>1.024</w:t>
            </w:r>
            <w:r>
              <w:rPr>
                <w:rFonts w:hint="default" w:ascii="Times New Roman" w:hAnsi="Times New Roman" w:cs="Times New Roman"/>
                <w:color w:val="FF0000"/>
                <w:spacing w:val="-2"/>
                <w:sz w:val="24"/>
              </w:rPr>
              <w:t>t/a，属于《国家危险废物名录》（2025版）指定的危险废物，编号：HW08（900-199-08），</w:t>
            </w:r>
            <w:r>
              <w:rPr>
                <w:rFonts w:hint="eastAsia" w:cs="Times New Roman"/>
                <w:color w:val="FF0000"/>
                <w:spacing w:val="-2"/>
                <w:sz w:val="24"/>
                <w:lang w:val="en-US" w:eastAsia="zh-CN"/>
              </w:rPr>
              <w:t>暂存于油泥及沉渣池内</w:t>
            </w:r>
            <w:r>
              <w:rPr>
                <w:rFonts w:hint="default" w:ascii="Times New Roman" w:hAnsi="Times New Roman" w:cs="Times New Roman"/>
                <w:color w:val="FF0000"/>
                <w:spacing w:val="-2"/>
                <w:sz w:val="24"/>
              </w:rPr>
              <w:t>，</w:t>
            </w:r>
            <w:r>
              <w:rPr>
                <w:rFonts w:hint="default" w:ascii="Times New Roman" w:hAnsi="Times New Roman" w:cs="Times New Roman"/>
                <w:color w:val="FF0000"/>
                <w:spacing w:val="-2"/>
                <w:sz w:val="24"/>
                <w:lang w:val="en-US" w:eastAsia="zh-CN"/>
              </w:rPr>
              <w:t>定期交由持有相应类别危险废物经营许可证的单位处理</w:t>
            </w:r>
            <w:r>
              <w:rPr>
                <w:rFonts w:hint="default" w:ascii="Times New Roman" w:hAnsi="Times New Roman" w:cs="Times New Roman"/>
                <w:color w:val="FF0000"/>
                <w:spacing w:val="-2"/>
                <w:sz w:val="24"/>
              </w:rPr>
              <w:t>。</w:t>
            </w:r>
          </w:p>
          <w:p w14:paraId="58553A02">
            <w:pPr>
              <w:spacing w:line="360" w:lineRule="auto"/>
              <w:ind w:firstLine="480"/>
              <w:jc w:val="left"/>
              <w:rPr>
                <w:rFonts w:hint="default" w:ascii="Times New Roman" w:hAnsi="Times New Roman" w:cs="Times New Roman"/>
                <w:color w:val="FF0000"/>
                <w:spacing w:val="-2"/>
                <w:sz w:val="24"/>
              </w:rPr>
            </w:pPr>
            <w:r>
              <w:rPr>
                <w:rFonts w:hint="default" w:ascii="Times New Roman" w:hAnsi="Times New Roman" w:cs="Times New Roman"/>
                <w:color w:val="FF0000"/>
                <w:spacing w:val="-2"/>
                <w:sz w:val="24"/>
              </w:rPr>
              <w:t>（13）含多氯联苯废电容器</w:t>
            </w:r>
          </w:p>
          <w:p w14:paraId="444319A1">
            <w:pPr>
              <w:spacing w:line="360" w:lineRule="auto"/>
              <w:ind w:firstLine="480"/>
              <w:jc w:val="left"/>
              <w:rPr>
                <w:rFonts w:hint="default" w:ascii="Times New Roman" w:hAnsi="Times New Roman" w:cs="Times New Roman"/>
                <w:color w:val="FF0000"/>
                <w:spacing w:val="-2"/>
                <w:sz w:val="24"/>
              </w:rPr>
            </w:pPr>
            <w:r>
              <w:rPr>
                <w:rFonts w:hint="default" w:ascii="Times New Roman" w:hAnsi="Times New Roman" w:cs="Times New Roman"/>
                <w:color w:val="FF0000"/>
                <w:spacing w:val="-2"/>
                <w:sz w:val="24"/>
              </w:rPr>
              <w:t>多氯联苯电容（PCBs）过去广泛应用于在电器设备中，如电容器和变压器，我国于1965年开始生产多氯联苯，大多数厂于1974年底停产，到80年代初国内基本已停止生产多氯联苯。我国于1979年颁布了《关于防止多氯联苯有害物质污染问题的通知》，要求不得再进口含多氯联苯电力装置。本项目回收拆解的报废汽车生产年限在2000年以后，因此，项目拆解过程中含多氯联苯的电容器不多，根据表2-4项目报废机动车拆解物料平衡计算，预计产生量约</w:t>
            </w:r>
            <w:r>
              <w:rPr>
                <w:rFonts w:hint="default" w:ascii="Times New Roman" w:hAnsi="Times New Roman" w:cs="Times New Roman"/>
                <w:color w:val="FF0000"/>
                <w:spacing w:val="-2"/>
                <w:sz w:val="24"/>
                <w:lang w:val="en-US" w:eastAsia="zh-CN"/>
              </w:rPr>
              <w:t>0.07</w:t>
            </w:r>
            <w:r>
              <w:rPr>
                <w:rFonts w:hint="default" w:ascii="Times New Roman" w:hAnsi="Times New Roman" w:cs="Times New Roman"/>
                <w:color w:val="FF0000"/>
                <w:spacing w:val="-2"/>
                <w:sz w:val="24"/>
              </w:rPr>
              <w:t>t/a，属于《国家危险废物名录》（2025版）指定的危险废物，编号：HW10（900-008-10），利用专用容器收集后暂存于</w:t>
            </w:r>
            <w:r>
              <w:rPr>
                <w:rFonts w:hint="default" w:ascii="Times New Roman" w:hAnsi="Times New Roman" w:cs="Times New Roman"/>
                <w:color w:val="FF0000"/>
                <w:spacing w:val="-2"/>
                <w:sz w:val="24"/>
                <w:lang w:val="en-US" w:eastAsia="zh-CN"/>
              </w:rPr>
              <w:t>4#</w:t>
            </w:r>
            <w:r>
              <w:rPr>
                <w:rFonts w:hint="default" w:ascii="Times New Roman" w:hAnsi="Times New Roman" w:cs="Times New Roman"/>
                <w:color w:val="FF0000"/>
                <w:spacing w:val="-2"/>
                <w:sz w:val="24"/>
                <w:lang w:eastAsia="zh-CN"/>
              </w:rPr>
              <w:t>危废贮存点</w:t>
            </w:r>
            <w:r>
              <w:rPr>
                <w:rFonts w:hint="default" w:ascii="Times New Roman" w:hAnsi="Times New Roman" w:cs="Times New Roman"/>
                <w:color w:val="FF0000"/>
                <w:spacing w:val="-2"/>
                <w:sz w:val="24"/>
              </w:rPr>
              <w:t>，</w:t>
            </w:r>
            <w:r>
              <w:rPr>
                <w:rFonts w:hint="default" w:ascii="Times New Roman" w:hAnsi="Times New Roman" w:cs="Times New Roman"/>
                <w:color w:val="FF0000"/>
                <w:spacing w:val="-2"/>
                <w:sz w:val="24"/>
                <w:lang w:val="en-US" w:eastAsia="zh-CN"/>
              </w:rPr>
              <w:t>定期交由持有相应类别危险废物经营许可证的单位处理</w:t>
            </w:r>
            <w:r>
              <w:rPr>
                <w:rFonts w:hint="default" w:ascii="Times New Roman" w:hAnsi="Times New Roman" w:cs="Times New Roman"/>
                <w:color w:val="FF0000"/>
                <w:spacing w:val="-2"/>
                <w:sz w:val="24"/>
              </w:rPr>
              <w:t>。</w:t>
            </w:r>
          </w:p>
          <w:p w14:paraId="086248D6">
            <w:pPr>
              <w:spacing w:line="360" w:lineRule="auto"/>
              <w:ind w:firstLine="480"/>
              <w:jc w:val="left"/>
              <w:rPr>
                <w:rFonts w:hint="default" w:ascii="Times New Roman" w:hAnsi="Times New Roman" w:cs="Times New Roman"/>
                <w:color w:val="FF0000"/>
                <w:spacing w:val="-2"/>
                <w:sz w:val="24"/>
              </w:rPr>
            </w:pPr>
            <w:r>
              <w:rPr>
                <w:rFonts w:hint="default" w:ascii="Times New Roman" w:hAnsi="Times New Roman" w:cs="Times New Roman"/>
                <w:color w:val="FF0000"/>
                <w:spacing w:val="-2"/>
                <w:sz w:val="24"/>
                <w:lang w:eastAsia="zh-CN"/>
              </w:rPr>
              <w:t>（</w:t>
            </w:r>
            <w:r>
              <w:rPr>
                <w:rFonts w:hint="default" w:ascii="Times New Roman" w:hAnsi="Times New Roman" w:cs="Times New Roman"/>
                <w:color w:val="FF0000"/>
                <w:spacing w:val="-2"/>
                <w:sz w:val="24"/>
                <w:lang w:val="en-US" w:eastAsia="zh-CN"/>
              </w:rPr>
              <w:t>14</w:t>
            </w:r>
            <w:r>
              <w:rPr>
                <w:rFonts w:hint="default" w:ascii="Times New Roman" w:hAnsi="Times New Roman" w:cs="Times New Roman"/>
                <w:color w:val="FF0000"/>
                <w:spacing w:val="-2"/>
                <w:sz w:val="24"/>
                <w:lang w:eastAsia="zh-CN"/>
              </w:rPr>
              <w:t>）</w:t>
            </w:r>
            <w:r>
              <w:rPr>
                <w:rFonts w:hint="default" w:ascii="Times New Roman" w:hAnsi="Times New Roman" w:cs="Times New Roman"/>
                <w:color w:val="FF0000"/>
                <w:spacing w:val="-2"/>
                <w:sz w:val="24"/>
                <w:lang w:val="en-US" w:eastAsia="zh-CN"/>
              </w:rPr>
              <w:t>废有机溶剂</w:t>
            </w:r>
            <w:r>
              <w:rPr>
                <w:rFonts w:hint="default" w:ascii="Times New Roman" w:hAnsi="Times New Roman" w:cs="Times New Roman"/>
                <w:color w:val="FF0000"/>
                <w:spacing w:val="-2"/>
                <w:sz w:val="24"/>
              </w:rPr>
              <w:br w:type="textWrapping"/>
            </w:r>
            <w:r>
              <w:rPr>
                <w:rFonts w:hint="default" w:ascii="Times New Roman" w:hAnsi="Times New Roman" w:cs="Times New Roman"/>
                <w:color w:val="000000"/>
                <w:spacing w:val="-2"/>
                <w:sz w:val="24"/>
              </w:rPr>
              <w:t xml:space="preserve">   </w:t>
            </w:r>
            <w:r>
              <w:rPr>
                <w:rFonts w:hint="default" w:ascii="Times New Roman" w:hAnsi="Times New Roman" w:cs="Times New Roman"/>
                <w:color w:val="FF0000"/>
                <w:spacing w:val="-2"/>
                <w:sz w:val="24"/>
              </w:rPr>
              <w:t>主要为各类含专用清洗剂、防冻液</w:t>
            </w:r>
            <w:r>
              <w:rPr>
                <w:rFonts w:hint="default" w:ascii="Times New Roman" w:hAnsi="Times New Roman" w:cs="Times New Roman"/>
                <w:color w:val="FF0000"/>
                <w:spacing w:val="-2"/>
                <w:sz w:val="24"/>
                <w:lang w:eastAsia="zh-CN"/>
              </w:rPr>
              <w:t>、</w:t>
            </w:r>
            <w:r>
              <w:rPr>
                <w:rFonts w:hint="default" w:ascii="Times New Roman" w:hAnsi="Times New Roman" w:cs="Times New Roman"/>
                <w:color w:val="FF0000"/>
                <w:spacing w:val="-2"/>
                <w:sz w:val="24"/>
              </w:rPr>
              <w:t>动力电池冷却液</w:t>
            </w:r>
            <w:r>
              <w:rPr>
                <w:rFonts w:hint="default" w:ascii="Times New Roman" w:hAnsi="Times New Roman" w:cs="Times New Roman"/>
                <w:color w:val="FF0000"/>
                <w:spacing w:val="-2"/>
                <w:sz w:val="24"/>
                <w:lang w:val="en-US" w:eastAsia="zh-CN"/>
              </w:rPr>
              <w:t>等</w:t>
            </w:r>
            <w:r>
              <w:rPr>
                <w:rFonts w:hint="default" w:ascii="Times New Roman" w:hAnsi="Times New Roman" w:cs="Times New Roman"/>
                <w:color w:val="FF0000"/>
                <w:spacing w:val="-2"/>
                <w:sz w:val="24"/>
              </w:rPr>
              <w:t>，根据表2-4项目报废机动车拆解物料平衡计算，产生量约为</w:t>
            </w:r>
            <w:r>
              <w:rPr>
                <w:rFonts w:hint="default" w:ascii="Times New Roman" w:hAnsi="Times New Roman" w:cs="Times New Roman"/>
                <w:color w:val="FF0000"/>
                <w:spacing w:val="-2"/>
                <w:sz w:val="24"/>
                <w:lang w:val="en-US" w:eastAsia="zh-CN"/>
              </w:rPr>
              <w:t>250.31</w:t>
            </w:r>
            <w:r>
              <w:rPr>
                <w:rFonts w:hint="default" w:ascii="Times New Roman" w:hAnsi="Times New Roman" w:cs="Times New Roman"/>
                <w:color w:val="FF0000"/>
                <w:spacing w:val="-2"/>
                <w:sz w:val="24"/>
              </w:rPr>
              <w:t>t/a。属于《国家危险废物名录》（2025版）指定的危险废物，编号：HW</w:t>
            </w:r>
            <w:r>
              <w:rPr>
                <w:rFonts w:hint="default" w:ascii="Times New Roman" w:hAnsi="Times New Roman" w:cs="Times New Roman"/>
                <w:color w:val="FF0000"/>
                <w:spacing w:val="-2"/>
                <w:sz w:val="24"/>
                <w:lang w:val="en-US" w:eastAsia="zh-CN"/>
              </w:rPr>
              <w:t>06</w:t>
            </w:r>
            <w:r>
              <w:rPr>
                <w:rFonts w:hint="default" w:ascii="Times New Roman" w:hAnsi="Times New Roman" w:cs="Times New Roman"/>
                <w:color w:val="FF0000"/>
                <w:spacing w:val="-2"/>
                <w:sz w:val="24"/>
              </w:rPr>
              <w:t>（</w:t>
            </w:r>
            <w:r>
              <w:rPr>
                <w:rFonts w:hint="default" w:ascii="Times New Roman" w:hAnsi="Times New Roman" w:cs="Times New Roman"/>
                <w:color w:val="FF0000"/>
                <w:spacing w:val="-2"/>
                <w:sz w:val="24"/>
                <w:lang w:val="en-US" w:eastAsia="zh-CN"/>
              </w:rPr>
              <w:t>900-404-06</w:t>
            </w:r>
            <w:r>
              <w:rPr>
                <w:rFonts w:hint="default" w:ascii="Times New Roman" w:hAnsi="Times New Roman" w:cs="Times New Roman"/>
                <w:color w:val="FF0000"/>
                <w:spacing w:val="-2"/>
                <w:sz w:val="24"/>
              </w:rPr>
              <w:t>），利用专用容器盛装后，暂存于</w:t>
            </w:r>
            <w:r>
              <w:rPr>
                <w:rFonts w:hint="default" w:ascii="Times New Roman" w:hAnsi="Times New Roman" w:cs="Times New Roman"/>
                <w:color w:val="FF0000"/>
                <w:spacing w:val="-2"/>
                <w:sz w:val="24"/>
                <w:lang w:val="en-US" w:eastAsia="zh-CN"/>
              </w:rPr>
              <w:t>3#</w:t>
            </w:r>
            <w:r>
              <w:rPr>
                <w:rFonts w:hint="default" w:ascii="Times New Roman" w:hAnsi="Times New Roman" w:cs="Times New Roman"/>
                <w:color w:val="FF0000"/>
                <w:spacing w:val="-2"/>
                <w:sz w:val="24"/>
                <w:lang w:eastAsia="zh-CN"/>
              </w:rPr>
              <w:t>危废贮存点</w:t>
            </w:r>
            <w:r>
              <w:rPr>
                <w:rFonts w:hint="default" w:ascii="Times New Roman" w:hAnsi="Times New Roman" w:cs="Times New Roman"/>
                <w:color w:val="FF0000"/>
                <w:spacing w:val="-2"/>
                <w:sz w:val="24"/>
              </w:rPr>
              <w:t>，</w:t>
            </w:r>
            <w:r>
              <w:rPr>
                <w:rFonts w:hint="default" w:ascii="Times New Roman" w:hAnsi="Times New Roman" w:cs="Times New Roman"/>
                <w:color w:val="FF0000"/>
                <w:spacing w:val="-2"/>
                <w:sz w:val="24"/>
                <w:lang w:val="en-US" w:eastAsia="zh-CN"/>
              </w:rPr>
              <w:t>定期交由持有相应类别危险废物经营许可证的单位处理</w:t>
            </w:r>
            <w:r>
              <w:rPr>
                <w:rFonts w:hint="default" w:ascii="Times New Roman" w:hAnsi="Times New Roman" w:cs="Times New Roman"/>
                <w:color w:val="FF0000"/>
                <w:spacing w:val="-2"/>
                <w:sz w:val="24"/>
              </w:rPr>
              <w:t>。</w:t>
            </w:r>
          </w:p>
          <w:p w14:paraId="02942D91">
            <w:pPr>
              <w:spacing w:line="360" w:lineRule="auto"/>
              <w:ind w:firstLine="480"/>
              <w:jc w:val="left"/>
              <w:rPr>
                <w:rFonts w:hint="default" w:ascii="Times New Roman" w:hAnsi="Times New Roman" w:cs="Times New Roman"/>
                <w:color w:val="FF0000"/>
                <w:spacing w:val="-2"/>
                <w:sz w:val="24"/>
              </w:rPr>
            </w:pPr>
            <w:r>
              <w:rPr>
                <w:rFonts w:hint="default" w:ascii="Times New Roman" w:hAnsi="Times New Roman" w:cs="Times New Roman"/>
                <w:color w:val="FF0000"/>
                <w:spacing w:val="-2"/>
                <w:sz w:val="24"/>
                <w:lang w:eastAsia="zh-CN"/>
              </w:rPr>
              <w:t>（</w:t>
            </w:r>
            <w:r>
              <w:rPr>
                <w:rFonts w:hint="default" w:ascii="Times New Roman" w:hAnsi="Times New Roman" w:cs="Times New Roman"/>
                <w:color w:val="FF0000"/>
                <w:spacing w:val="-2"/>
                <w:sz w:val="24"/>
                <w:lang w:val="en-US" w:eastAsia="zh-CN"/>
              </w:rPr>
              <w:t>15</w:t>
            </w:r>
            <w:r>
              <w:rPr>
                <w:rFonts w:hint="default" w:ascii="Times New Roman" w:hAnsi="Times New Roman" w:cs="Times New Roman"/>
                <w:color w:val="FF0000"/>
                <w:spacing w:val="-2"/>
                <w:sz w:val="24"/>
                <w:lang w:eastAsia="zh-CN"/>
              </w:rPr>
              <w:t>）</w:t>
            </w:r>
            <w:r>
              <w:rPr>
                <w:rFonts w:hint="default" w:ascii="Times New Roman" w:hAnsi="Times New Roman" w:cs="Times New Roman"/>
                <w:color w:val="FF0000"/>
                <w:spacing w:val="-2"/>
                <w:sz w:val="24"/>
                <w:lang w:val="en-US" w:eastAsia="zh-CN"/>
              </w:rPr>
              <w:t>石棉废物</w:t>
            </w:r>
            <w:r>
              <w:rPr>
                <w:rFonts w:hint="default" w:ascii="Times New Roman" w:hAnsi="Times New Roman" w:cs="Times New Roman"/>
                <w:color w:val="FF0000"/>
                <w:spacing w:val="-2"/>
                <w:sz w:val="24"/>
              </w:rPr>
              <w:br w:type="textWrapping"/>
            </w:r>
            <w:r>
              <w:rPr>
                <w:rFonts w:hint="default" w:ascii="Times New Roman" w:hAnsi="Times New Roman" w:cs="Times New Roman"/>
                <w:color w:val="000000"/>
                <w:spacing w:val="-2"/>
                <w:sz w:val="24"/>
              </w:rPr>
              <w:t xml:space="preserve">   </w:t>
            </w:r>
            <w:r>
              <w:rPr>
                <w:rFonts w:hint="default" w:ascii="Times New Roman" w:hAnsi="Times New Roman" w:cs="Times New Roman"/>
                <w:color w:val="FF0000"/>
                <w:spacing w:val="-2"/>
                <w:sz w:val="24"/>
              </w:rPr>
              <w:t>主要为制动器衬片</w:t>
            </w:r>
            <w:r>
              <w:rPr>
                <w:rFonts w:hint="default" w:ascii="Times New Roman" w:hAnsi="Times New Roman" w:cs="Times New Roman"/>
                <w:color w:val="FF0000"/>
                <w:spacing w:val="-2"/>
                <w:sz w:val="24"/>
                <w:lang w:val="en-US" w:eastAsia="zh-CN"/>
              </w:rPr>
              <w:t>拆卸过程产生的石棉废物</w:t>
            </w:r>
            <w:r>
              <w:rPr>
                <w:rFonts w:hint="default" w:ascii="Times New Roman" w:hAnsi="Times New Roman" w:cs="Times New Roman"/>
                <w:color w:val="FF0000"/>
                <w:spacing w:val="-2"/>
                <w:sz w:val="24"/>
              </w:rPr>
              <w:t>，根据表2-4项目报废机动车拆解物料平衡计算，产生量约为</w:t>
            </w:r>
            <w:r>
              <w:rPr>
                <w:rFonts w:hint="default" w:ascii="Times New Roman" w:hAnsi="Times New Roman" w:cs="Times New Roman"/>
                <w:color w:val="FF0000"/>
                <w:spacing w:val="-2"/>
                <w:sz w:val="24"/>
                <w:lang w:val="en-US" w:eastAsia="zh-CN"/>
              </w:rPr>
              <w:t>56.07</w:t>
            </w:r>
            <w:r>
              <w:rPr>
                <w:rFonts w:hint="default" w:ascii="Times New Roman" w:hAnsi="Times New Roman" w:cs="Times New Roman"/>
                <w:color w:val="FF0000"/>
                <w:spacing w:val="-2"/>
                <w:sz w:val="24"/>
              </w:rPr>
              <w:t>t/a。属于《国家危险废物名录》（2025版）指定的危险废物，编号：HW</w:t>
            </w:r>
            <w:r>
              <w:rPr>
                <w:rFonts w:hint="default" w:ascii="Times New Roman" w:hAnsi="Times New Roman" w:cs="Times New Roman"/>
                <w:color w:val="FF0000"/>
                <w:spacing w:val="-2"/>
                <w:sz w:val="24"/>
                <w:lang w:val="en-US" w:eastAsia="zh-CN"/>
              </w:rPr>
              <w:t>36</w:t>
            </w:r>
            <w:r>
              <w:rPr>
                <w:rFonts w:hint="default" w:ascii="Times New Roman" w:hAnsi="Times New Roman" w:cs="Times New Roman"/>
                <w:color w:val="FF0000"/>
                <w:spacing w:val="-2"/>
                <w:sz w:val="24"/>
              </w:rPr>
              <w:t>（</w:t>
            </w:r>
            <w:r>
              <w:rPr>
                <w:rFonts w:hint="default" w:ascii="Times New Roman" w:hAnsi="Times New Roman" w:cs="Times New Roman"/>
                <w:color w:val="FF0000"/>
                <w:spacing w:val="-2"/>
                <w:sz w:val="24"/>
                <w:lang w:val="en-US" w:eastAsia="zh-CN"/>
              </w:rPr>
              <w:t>367-001-36</w:t>
            </w:r>
            <w:r>
              <w:rPr>
                <w:rFonts w:hint="default" w:ascii="Times New Roman" w:hAnsi="Times New Roman" w:cs="Times New Roman"/>
                <w:color w:val="FF0000"/>
                <w:spacing w:val="-2"/>
                <w:sz w:val="24"/>
              </w:rPr>
              <w:t>），利用专用容器盛装后，暂存于</w:t>
            </w:r>
            <w:r>
              <w:rPr>
                <w:rFonts w:hint="default" w:ascii="Times New Roman" w:hAnsi="Times New Roman" w:cs="Times New Roman"/>
                <w:color w:val="FF0000"/>
                <w:spacing w:val="-2"/>
                <w:sz w:val="24"/>
                <w:lang w:val="en-US" w:eastAsia="zh-CN"/>
              </w:rPr>
              <w:t>4#</w:t>
            </w:r>
            <w:r>
              <w:rPr>
                <w:rFonts w:hint="default" w:ascii="Times New Roman" w:hAnsi="Times New Roman" w:cs="Times New Roman"/>
                <w:color w:val="FF0000"/>
                <w:spacing w:val="-2"/>
                <w:sz w:val="24"/>
                <w:lang w:eastAsia="zh-CN"/>
              </w:rPr>
              <w:t>危废贮存点</w:t>
            </w:r>
            <w:r>
              <w:rPr>
                <w:rFonts w:hint="default" w:ascii="Times New Roman" w:hAnsi="Times New Roman" w:cs="Times New Roman"/>
                <w:color w:val="FF0000"/>
                <w:spacing w:val="-2"/>
                <w:sz w:val="24"/>
              </w:rPr>
              <w:t>，</w:t>
            </w:r>
            <w:r>
              <w:rPr>
                <w:rFonts w:hint="default" w:ascii="Times New Roman" w:hAnsi="Times New Roman" w:cs="Times New Roman"/>
                <w:color w:val="FF0000"/>
                <w:spacing w:val="-2"/>
                <w:sz w:val="24"/>
                <w:lang w:val="en-US" w:eastAsia="zh-CN"/>
              </w:rPr>
              <w:t>定期交由持有相应类别危险废物经营许可证的单位处理</w:t>
            </w:r>
            <w:r>
              <w:rPr>
                <w:rFonts w:hint="default" w:ascii="Times New Roman" w:hAnsi="Times New Roman" w:cs="Times New Roman"/>
                <w:color w:val="FF0000"/>
                <w:spacing w:val="-2"/>
                <w:sz w:val="24"/>
              </w:rPr>
              <w:t>。</w:t>
            </w:r>
          </w:p>
          <w:p w14:paraId="3D9FAF27">
            <w:pPr>
              <w:spacing w:line="360" w:lineRule="auto"/>
              <w:ind w:firstLine="480"/>
              <w:jc w:val="left"/>
              <w:rPr>
                <w:rFonts w:hint="default" w:ascii="Times New Roman" w:hAnsi="Times New Roman" w:eastAsia="宋体" w:cs="Times New Roman"/>
                <w:color w:val="FF0000"/>
                <w:spacing w:val="-2"/>
                <w:sz w:val="24"/>
                <w:lang w:val="en-US" w:eastAsia="zh-CN"/>
              </w:rPr>
            </w:pPr>
            <w:r>
              <w:rPr>
                <w:rFonts w:hint="eastAsia" w:cs="Times New Roman"/>
                <w:color w:val="FF0000"/>
                <w:spacing w:val="-2"/>
                <w:sz w:val="24"/>
                <w:lang w:val="en-US" w:eastAsia="zh-CN"/>
              </w:rPr>
              <w:t>（16）含油抹布</w:t>
            </w:r>
          </w:p>
          <w:p w14:paraId="30346041">
            <w:pPr>
              <w:spacing w:line="360" w:lineRule="auto"/>
              <w:ind w:firstLine="480"/>
              <w:jc w:val="left"/>
              <w:rPr>
                <w:rFonts w:hint="default" w:ascii="Times New Roman" w:hAnsi="Times New Roman" w:cs="Times New Roman"/>
                <w:color w:val="FF0000"/>
                <w:spacing w:val="-2"/>
                <w:sz w:val="24"/>
              </w:rPr>
            </w:pPr>
            <w:r>
              <w:rPr>
                <w:rFonts w:hint="default" w:ascii="Times New Roman" w:hAnsi="Times New Roman" w:cs="Times New Roman"/>
                <w:color w:val="FF0000"/>
                <w:spacing w:val="-2"/>
                <w:sz w:val="24"/>
              </w:rPr>
              <w:t>项目拆解作业过程中用于设备清洁、油污擦拭产生的废弃含油抹布，根据行业经验及物料平衡估算，产生量约为</w:t>
            </w:r>
            <w:r>
              <w:rPr>
                <w:rFonts w:hint="eastAsia" w:cs="Times New Roman"/>
                <w:color w:val="FF0000"/>
                <w:spacing w:val="-2"/>
                <w:sz w:val="24"/>
                <w:lang w:val="en-US" w:eastAsia="zh-CN"/>
              </w:rPr>
              <w:t>0.2</w:t>
            </w:r>
            <w:r>
              <w:rPr>
                <w:rFonts w:hint="default" w:ascii="Times New Roman" w:hAnsi="Times New Roman" w:cs="Times New Roman"/>
                <w:color w:val="FF0000"/>
                <w:spacing w:val="-2"/>
                <w:sz w:val="24"/>
              </w:rPr>
              <w:t>t/a。根据《国家危险废物名录》（2025版），沾染矿物油的废弃劳保用品（含油抹布/手套） 属于危险废物，废物代码：HW49（900-041-49）</w:t>
            </w:r>
            <w:r>
              <w:rPr>
                <w:rFonts w:hint="eastAsia" w:cs="Times New Roman"/>
                <w:color w:val="FF0000"/>
                <w:spacing w:val="-2"/>
                <w:sz w:val="24"/>
                <w:lang w:eastAsia="zh-CN"/>
              </w:rPr>
              <w:t>，</w:t>
            </w:r>
            <w:r>
              <w:rPr>
                <w:rFonts w:hint="eastAsia" w:cs="Times New Roman"/>
                <w:color w:val="FF0000"/>
                <w:spacing w:val="-2"/>
                <w:sz w:val="24"/>
                <w:lang w:val="en-US" w:eastAsia="zh-CN"/>
              </w:rPr>
              <w:t>采用密闭容器收集后，</w:t>
            </w:r>
            <w:r>
              <w:rPr>
                <w:rFonts w:hint="default" w:ascii="Times New Roman" w:hAnsi="Times New Roman" w:cs="Times New Roman"/>
                <w:color w:val="FF0000"/>
                <w:spacing w:val="-2"/>
                <w:sz w:val="24"/>
              </w:rPr>
              <w:t>暂存于</w:t>
            </w:r>
            <w:r>
              <w:rPr>
                <w:rFonts w:hint="eastAsia" w:cs="Times New Roman"/>
                <w:color w:val="FF0000"/>
                <w:spacing w:val="-2"/>
                <w:sz w:val="24"/>
                <w:lang w:val="en-US" w:eastAsia="zh-CN"/>
              </w:rPr>
              <w:t>2</w:t>
            </w:r>
            <w:r>
              <w:rPr>
                <w:rFonts w:hint="default" w:ascii="Times New Roman" w:hAnsi="Times New Roman" w:cs="Times New Roman"/>
                <w:color w:val="FF0000"/>
                <w:spacing w:val="-2"/>
                <w:sz w:val="24"/>
                <w:lang w:val="en-US" w:eastAsia="zh-CN"/>
              </w:rPr>
              <w:t>#</w:t>
            </w:r>
            <w:r>
              <w:rPr>
                <w:rFonts w:hint="default" w:ascii="Times New Roman" w:hAnsi="Times New Roman" w:cs="Times New Roman"/>
                <w:color w:val="FF0000"/>
                <w:spacing w:val="-2"/>
                <w:sz w:val="24"/>
                <w:lang w:eastAsia="zh-CN"/>
              </w:rPr>
              <w:t>危废贮存点</w:t>
            </w:r>
            <w:r>
              <w:rPr>
                <w:rFonts w:hint="default" w:ascii="Times New Roman" w:hAnsi="Times New Roman" w:cs="Times New Roman"/>
                <w:color w:val="FF0000"/>
                <w:spacing w:val="-2"/>
                <w:sz w:val="24"/>
              </w:rPr>
              <w:t>，</w:t>
            </w:r>
            <w:r>
              <w:rPr>
                <w:rFonts w:hint="default" w:ascii="Times New Roman" w:hAnsi="Times New Roman" w:cs="Times New Roman"/>
                <w:color w:val="FF0000"/>
                <w:spacing w:val="-2"/>
                <w:sz w:val="24"/>
                <w:lang w:val="en-US" w:eastAsia="zh-CN"/>
              </w:rPr>
              <w:t>定期交由持有相应类别危险废物经营许可证的单位处理</w:t>
            </w:r>
            <w:r>
              <w:rPr>
                <w:rFonts w:hint="default" w:ascii="Times New Roman" w:hAnsi="Times New Roman" w:cs="Times New Roman"/>
                <w:color w:val="FF0000"/>
                <w:spacing w:val="-2"/>
                <w:sz w:val="24"/>
              </w:rPr>
              <w:t>。</w:t>
            </w:r>
          </w:p>
          <w:p w14:paraId="612E7179">
            <w:pPr>
              <w:spacing w:line="360" w:lineRule="auto"/>
              <w:ind w:firstLine="480"/>
              <w:jc w:val="left"/>
              <w:rPr>
                <w:rFonts w:hint="default" w:ascii="Times New Roman" w:hAnsi="Times New Roman" w:cs="Times New Roman"/>
                <w:color w:val="FF0000"/>
                <w:spacing w:val="-2"/>
                <w:sz w:val="24"/>
              </w:rPr>
            </w:pPr>
            <w:r>
              <w:rPr>
                <w:rFonts w:hint="default" w:ascii="Times New Roman" w:hAnsi="Times New Roman" w:cs="Times New Roman"/>
                <w:color w:val="FF0000"/>
                <w:spacing w:val="-2"/>
                <w:sz w:val="24"/>
              </w:rPr>
              <w:t>建设项目生活垃圾及污染防治措施情况详见表4-22，一般固废产生及处置措施详见表4-</w:t>
            </w:r>
            <w:r>
              <w:rPr>
                <w:rFonts w:hint="eastAsia" w:cs="Times New Roman"/>
                <w:color w:val="FF0000"/>
                <w:spacing w:val="-2"/>
                <w:sz w:val="24"/>
                <w:lang w:val="en-US" w:eastAsia="zh-CN"/>
              </w:rPr>
              <w:t>34</w:t>
            </w:r>
            <w:r>
              <w:rPr>
                <w:rFonts w:hint="default" w:ascii="Times New Roman" w:hAnsi="Times New Roman" w:cs="Times New Roman"/>
                <w:color w:val="FF0000"/>
                <w:spacing w:val="-2"/>
                <w:sz w:val="24"/>
              </w:rPr>
              <w:t>，危险固废产生及处置情况详见表4-</w:t>
            </w:r>
            <w:r>
              <w:rPr>
                <w:rFonts w:hint="eastAsia" w:cs="Times New Roman"/>
                <w:color w:val="FF0000"/>
                <w:spacing w:val="-2"/>
                <w:sz w:val="24"/>
                <w:lang w:val="en-US" w:eastAsia="zh-CN"/>
              </w:rPr>
              <w:t>36</w:t>
            </w:r>
            <w:r>
              <w:rPr>
                <w:rFonts w:hint="default" w:ascii="Times New Roman" w:hAnsi="Times New Roman" w:cs="Times New Roman"/>
                <w:color w:val="FF0000"/>
                <w:spacing w:val="-2"/>
                <w:sz w:val="24"/>
              </w:rPr>
              <w:t>。</w:t>
            </w:r>
          </w:p>
          <w:p w14:paraId="4DC4099F">
            <w:pPr>
              <w:spacing w:before="120" w:beforeLines="50" w:line="276" w:lineRule="auto"/>
              <w:ind w:firstLine="422" w:firstLineChars="200"/>
              <w:jc w:val="center"/>
              <w:rPr>
                <w:rFonts w:hint="default" w:ascii="Times New Roman" w:hAnsi="Times New Roman" w:cs="Times New Roman"/>
                <w:b/>
                <w:color w:val="000000"/>
                <w:szCs w:val="21"/>
              </w:rPr>
            </w:pPr>
            <w:r>
              <w:rPr>
                <w:rFonts w:hint="default" w:ascii="Times New Roman" w:hAnsi="Times New Roman" w:cs="Times New Roman"/>
                <w:b/>
                <w:color w:val="000000"/>
                <w:szCs w:val="21"/>
              </w:rPr>
              <w:t>表4-3</w:t>
            </w:r>
            <w:r>
              <w:rPr>
                <w:rFonts w:hint="eastAsia" w:cs="Times New Roman"/>
                <w:b/>
                <w:color w:val="000000"/>
                <w:szCs w:val="21"/>
                <w:lang w:val="en-US" w:eastAsia="zh-CN"/>
              </w:rPr>
              <w:t>4</w:t>
            </w:r>
            <w:r>
              <w:rPr>
                <w:rFonts w:hint="default" w:ascii="Times New Roman" w:hAnsi="Times New Roman" w:cs="Times New Roman"/>
                <w:b/>
                <w:color w:val="000000"/>
                <w:szCs w:val="21"/>
              </w:rPr>
              <w:t xml:space="preserve">  建设项目生活垃圾产生及处置措施一览表</w:t>
            </w:r>
          </w:p>
          <w:tbl>
            <w:tblPr>
              <w:tblStyle w:val="34"/>
              <w:tblW w:w="4998" w:type="pct"/>
              <w:tblInd w:w="0" w:type="dxa"/>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27"/>
              <w:gridCol w:w="1451"/>
              <w:gridCol w:w="1249"/>
              <w:gridCol w:w="1115"/>
              <w:gridCol w:w="1756"/>
              <w:gridCol w:w="434"/>
              <w:gridCol w:w="2039"/>
            </w:tblGrid>
            <w:tr w14:paraId="1342ECFB">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52" w:type="pct"/>
                  <w:tcBorders>
                    <w:tl2br w:val="nil"/>
                    <w:tr2bl w:val="nil"/>
                  </w:tcBorders>
                  <w:vAlign w:val="center"/>
                </w:tcPr>
                <w:p w14:paraId="74B1EA5B">
                  <w:pPr>
                    <w:jc w:val="center"/>
                    <w:rPr>
                      <w:rFonts w:hint="default" w:ascii="Times New Roman" w:hAnsi="Times New Roman" w:cs="Times New Roman"/>
                      <w:b/>
                      <w:color w:val="000000"/>
                      <w:szCs w:val="21"/>
                    </w:rPr>
                  </w:pPr>
                  <w:r>
                    <w:rPr>
                      <w:rFonts w:hint="default" w:ascii="Times New Roman" w:hAnsi="Times New Roman" w:cs="Times New Roman"/>
                      <w:b/>
                      <w:color w:val="000000"/>
                      <w:szCs w:val="21"/>
                    </w:rPr>
                    <w:t>序号</w:t>
                  </w:r>
                </w:p>
              </w:tc>
              <w:tc>
                <w:tcPr>
                  <w:tcW w:w="856" w:type="pct"/>
                  <w:tcBorders>
                    <w:tl2br w:val="nil"/>
                    <w:tr2bl w:val="nil"/>
                  </w:tcBorders>
                  <w:vAlign w:val="center"/>
                </w:tcPr>
                <w:p w14:paraId="68789DD7">
                  <w:pPr>
                    <w:jc w:val="center"/>
                    <w:rPr>
                      <w:rFonts w:hint="default" w:ascii="Times New Roman" w:hAnsi="Times New Roman" w:cs="Times New Roman"/>
                      <w:b/>
                      <w:color w:val="000000"/>
                      <w:szCs w:val="21"/>
                    </w:rPr>
                  </w:pPr>
                  <w:r>
                    <w:rPr>
                      <w:rFonts w:hint="default" w:ascii="Times New Roman" w:hAnsi="Times New Roman" w:cs="Times New Roman"/>
                      <w:b/>
                      <w:color w:val="000000"/>
                      <w:szCs w:val="21"/>
                    </w:rPr>
                    <w:t>固废名称</w:t>
                  </w:r>
                </w:p>
              </w:tc>
              <w:tc>
                <w:tcPr>
                  <w:tcW w:w="737" w:type="pct"/>
                  <w:tcBorders>
                    <w:tl2br w:val="nil"/>
                    <w:tr2bl w:val="nil"/>
                  </w:tcBorders>
                  <w:vAlign w:val="center"/>
                </w:tcPr>
                <w:p w14:paraId="764C39D0">
                  <w:pPr>
                    <w:jc w:val="center"/>
                    <w:rPr>
                      <w:rFonts w:hint="default" w:ascii="Times New Roman" w:hAnsi="Times New Roman" w:cs="Times New Roman"/>
                      <w:b/>
                      <w:color w:val="000000"/>
                      <w:szCs w:val="21"/>
                    </w:rPr>
                  </w:pPr>
                  <w:r>
                    <w:rPr>
                      <w:rFonts w:hint="default" w:ascii="Times New Roman" w:hAnsi="Times New Roman" w:cs="Times New Roman"/>
                      <w:b/>
                      <w:color w:val="000000"/>
                      <w:szCs w:val="21"/>
                    </w:rPr>
                    <w:t>废物类别</w:t>
                  </w:r>
                </w:p>
              </w:tc>
              <w:tc>
                <w:tcPr>
                  <w:tcW w:w="658" w:type="pct"/>
                  <w:tcBorders>
                    <w:tl2br w:val="nil"/>
                    <w:tr2bl w:val="nil"/>
                  </w:tcBorders>
                  <w:vAlign w:val="center"/>
                </w:tcPr>
                <w:p w14:paraId="6552D24D">
                  <w:pPr>
                    <w:jc w:val="center"/>
                    <w:rPr>
                      <w:rFonts w:hint="default" w:ascii="Times New Roman" w:hAnsi="Times New Roman" w:cs="Times New Roman"/>
                      <w:b/>
                      <w:color w:val="000000"/>
                      <w:szCs w:val="21"/>
                    </w:rPr>
                  </w:pPr>
                  <w:r>
                    <w:rPr>
                      <w:rFonts w:hint="default" w:ascii="Times New Roman" w:hAnsi="Times New Roman" w:cs="Times New Roman"/>
                      <w:b/>
                      <w:color w:val="000000"/>
                      <w:szCs w:val="21"/>
                    </w:rPr>
                    <w:t>产生量（t/a）</w:t>
                  </w:r>
                </w:p>
              </w:tc>
              <w:tc>
                <w:tcPr>
                  <w:tcW w:w="1036" w:type="pct"/>
                  <w:tcBorders>
                    <w:tl2br w:val="nil"/>
                    <w:tr2bl w:val="nil"/>
                  </w:tcBorders>
                  <w:vAlign w:val="center"/>
                </w:tcPr>
                <w:p w14:paraId="355AC9FC">
                  <w:pPr>
                    <w:jc w:val="center"/>
                    <w:rPr>
                      <w:rFonts w:hint="default" w:ascii="Times New Roman" w:hAnsi="Times New Roman" w:cs="Times New Roman"/>
                      <w:b/>
                      <w:color w:val="000000"/>
                      <w:szCs w:val="21"/>
                    </w:rPr>
                  </w:pPr>
                  <w:r>
                    <w:rPr>
                      <w:rFonts w:hint="default" w:ascii="Times New Roman" w:hAnsi="Times New Roman" w:cs="Times New Roman"/>
                      <w:b/>
                      <w:color w:val="000000"/>
                      <w:szCs w:val="21"/>
                    </w:rPr>
                    <w:t>产生工序</w:t>
                  </w:r>
                </w:p>
              </w:tc>
              <w:tc>
                <w:tcPr>
                  <w:tcW w:w="256" w:type="pct"/>
                  <w:tcBorders>
                    <w:tl2br w:val="nil"/>
                    <w:tr2bl w:val="nil"/>
                  </w:tcBorders>
                  <w:vAlign w:val="center"/>
                </w:tcPr>
                <w:p w14:paraId="7703A59B">
                  <w:pPr>
                    <w:jc w:val="center"/>
                    <w:rPr>
                      <w:rFonts w:hint="default" w:ascii="Times New Roman" w:hAnsi="Times New Roman" w:cs="Times New Roman"/>
                      <w:b/>
                      <w:color w:val="000000"/>
                      <w:szCs w:val="21"/>
                    </w:rPr>
                  </w:pPr>
                  <w:r>
                    <w:rPr>
                      <w:rFonts w:hint="default" w:ascii="Times New Roman" w:hAnsi="Times New Roman" w:cs="Times New Roman"/>
                      <w:b/>
                      <w:color w:val="000000"/>
                      <w:szCs w:val="21"/>
                    </w:rPr>
                    <w:t>形态</w:t>
                  </w:r>
                </w:p>
              </w:tc>
              <w:tc>
                <w:tcPr>
                  <w:tcW w:w="1202" w:type="pct"/>
                  <w:tcBorders>
                    <w:tl2br w:val="nil"/>
                    <w:tr2bl w:val="nil"/>
                  </w:tcBorders>
                  <w:vAlign w:val="center"/>
                </w:tcPr>
                <w:p w14:paraId="61F51C13">
                  <w:pPr>
                    <w:jc w:val="center"/>
                    <w:rPr>
                      <w:rFonts w:hint="default" w:ascii="Times New Roman" w:hAnsi="Times New Roman" w:cs="Times New Roman"/>
                      <w:b/>
                      <w:color w:val="000000"/>
                      <w:szCs w:val="21"/>
                    </w:rPr>
                  </w:pPr>
                  <w:r>
                    <w:rPr>
                      <w:rFonts w:hint="default" w:ascii="Times New Roman" w:hAnsi="Times New Roman" w:cs="Times New Roman"/>
                      <w:b/>
                      <w:color w:val="000000"/>
                      <w:szCs w:val="21"/>
                    </w:rPr>
                    <w:t>污染防治措施</w:t>
                  </w:r>
                </w:p>
              </w:tc>
            </w:tr>
            <w:tr w14:paraId="7E09B780">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0" w:hRule="atLeast"/>
              </w:trPr>
              <w:tc>
                <w:tcPr>
                  <w:tcW w:w="252" w:type="pct"/>
                  <w:tcBorders>
                    <w:tl2br w:val="nil"/>
                    <w:tr2bl w:val="nil"/>
                  </w:tcBorders>
                  <w:vAlign w:val="center"/>
                </w:tcPr>
                <w:p w14:paraId="098A1821">
                  <w:pPr>
                    <w:pStyle w:val="128"/>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lang w:val="en-US" w:eastAsia="zh-CN"/>
                    </w:rPr>
                    <w:t>1</w:t>
                  </w:r>
                </w:p>
              </w:tc>
              <w:tc>
                <w:tcPr>
                  <w:tcW w:w="856" w:type="pct"/>
                  <w:tcBorders>
                    <w:tl2br w:val="nil"/>
                    <w:tr2bl w:val="nil"/>
                  </w:tcBorders>
                  <w:vAlign w:val="center"/>
                </w:tcPr>
                <w:p w14:paraId="11CC4D48">
                  <w:pPr>
                    <w:pStyle w:val="128"/>
                    <w:jc w:val="center"/>
                    <w:rPr>
                      <w:rFonts w:hint="default" w:ascii="Times New Roman" w:hAnsi="Times New Roman" w:cs="Times New Roman"/>
                      <w:color w:val="000000"/>
                      <w:sz w:val="21"/>
                      <w:szCs w:val="21"/>
                      <w:lang w:val="en-US"/>
                    </w:rPr>
                  </w:pPr>
                  <w:r>
                    <w:rPr>
                      <w:rFonts w:hint="default" w:ascii="Times New Roman" w:hAnsi="Times New Roman" w:cs="Times New Roman"/>
                      <w:color w:val="000000"/>
                      <w:sz w:val="21"/>
                      <w:szCs w:val="21"/>
                      <w:lang w:val="en-US" w:eastAsia="zh-CN"/>
                    </w:rPr>
                    <w:t>生活垃圾</w:t>
                  </w:r>
                </w:p>
              </w:tc>
              <w:tc>
                <w:tcPr>
                  <w:tcW w:w="737" w:type="pct"/>
                  <w:tcBorders>
                    <w:tl2br w:val="nil"/>
                    <w:tr2bl w:val="nil"/>
                  </w:tcBorders>
                  <w:vAlign w:val="center"/>
                </w:tcPr>
                <w:p w14:paraId="65BD8BD6">
                  <w:pPr>
                    <w:pStyle w:val="128"/>
                    <w:jc w:val="center"/>
                    <w:rPr>
                      <w:rFonts w:hint="default" w:ascii="Times New Roman" w:hAnsi="Times New Roman" w:cs="Times New Roman"/>
                      <w:color w:val="000000"/>
                      <w:sz w:val="21"/>
                      <w:szCs w:val="21"/>
                      <w:lang w:val="en-US" w:eastAsia="zh-CN"/>
                    </w:rPr>
                  </w:pPr>
                  <w:r>
                    <w:rPr>
                      <w:rFonts w:hint="default" w:ascii="Times New Roman" w:hAnsi="Times New Roman" w:cs="Times New Roman"/>
                      <w:color w:val="000000"/>
                      <w:sz w:val="21"/>
                      <w:szCs w:val="21"/>
                      <w:lang w:val="en-US" w:eastAsia="zh-CN"/>
                    </w:rPr>
                    <w:t>/</w:t>
                  </w:r>
                </w:p>
              </w:tc>
              <w:tc>
                <w:tcPr>
                  <w:tcW w:w="658" w:type="pct"/>
                  <w:tcBorders>
                    <w:tl2br w:val="nil"/>
                    <w:tr2bl w:val="nil"/>
                  </w:tcBorders>
                  <w:vAlign w:val="center"/>
                </w:tcPr>
                <w:p w14:paraId="33AA71ED">
                  <w:pPr>
                    <w:pStyle w:val="128"/>
                    <w:jc w:val="center"/>
                    <w:rPr>
                      <w:rFonts w:hint="default" w:ascii="Times New Roman" w:hAnsi="Times New Roman" w:cs="Times New Roman"/>
                      <w:color w:val="000000"/>
                      <w:sz w:val="21"/>
                      <w:szCs w:val="21"/>
                      <w:lang w:val="en-US" w:eastAsia="zh-CN"/>
                    </w:rPr>
                  </w:pPr>
                  <w:r>
                    <w:rPr>
                      <w:rFonts w:hint="default" w:ascii="Times New Roman" w:hAnsi="Times New Roman" w:cs="Times New Roman"/>
                      <w:color w:val="000000"/>
                      <w:sz w:val="21"/>
                      <w:szCs w:val="21"/>
                      <w:lang w:val="en-US" w:eastAsia="zh-CN"/>
                    </w:rPr>
                    <w:t>2.25</w:t>
                  </w:r>
                </w:p>
              </w:tc>
              <w:tc>
                <w:tcPr>
                  <w:tcW w:w="1036" w:type="pct"/>
                  <w:tcBorders>
                    <w:tl2br w:val="nil"/>
                    <w:tr2bl w:val="nil"/>
                  </w:tcBorders>
                  <w:vAlign w:val="center"/>
                </w:tcPr>
                <w:p w14:paraId="2CE15B21">
                  <w:pPr>
                    <w:pStyle w:val="128"/>
                    <w:jc w:val="center"/>
                    <w:rPr>
                      <w:rFonts w:hint="default" w:ascii="Times New Roman" w:hAnsi="Times New Roman" w:cs="Times New Roman"/>
                      <w:color w:val="000000"/>
                      <w:sz w:val="21"/>
                      <w:szCs w:val="21"/>
                      <w:lang w:val="en-US" w:eastAsia="zh-CN"/>
                    </w:rPr>
                  </w:pPr>
                  <w:r>
                    <w:rPr>
                      <w:rFonts w:hint="default" w:ascii="Times New Roman" w:hAnsi="Times New Roman" w:cs="Times New Roman"/>
                      <w:color w:val="000000"/>
                      <w:sz w:val="21"/>
                      <w:szCs w:val="21"/>
                      <w:lang w:val="en-US" w:eastAsia="zh-CN"/>
                    </w:rPr>
                    <w:t>员工生活</w:t>
                  </w:r>
                </w:p>
              </w:tc>
              <w:tc>
                <w:tcPr>
                  <w:tcW w:w="256" w:type="pct"/>
                  <w:tcBorders>
                    <w:tl2br w:val="nil"/>
                    <w:tr2bl w:val="nil"/>
                  </w:tcBorders>
                  <w:vAlign w:val="center"/>
                </w:tcPr>
                <w:p w14:paraId="5C71C625">
                  <w:pPr>
                    <w:pStyle w:val="128"/>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lang w:val="en-US" w:eastAsia="zh-CN"/>
                    </w:rPr>
                    <w:t>固态</w:t>
                  </w:r>
                </w:p>
              </w:tc>
              <w:tc>
                <w:tcPr>
                  <w:tcW w:w="1202" w:type="pct"/>
                  <w:tcBorders>
                    <w:tl2br w:val="nil"/>
                    <w:tr2bl w:val="nil"/>
                  </w:tcBorders>
                  <w:vAlign w:val="center"/>
                </w:tcPr>
                <w:p w14:paraId="13CB6C62">
                  <w:pPr>
                    <w:pStyle w:val="128"/>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lang w:val="en-US" w:eastAsia="zh-CN"/>
                    </w:rPr>
                    <w:t>生活垃圾暂存厂区垃圾桶，定期由环卫部门统一收集并清运处理。</w:t>
                  </w:r>
                </w:p>
              </w:tc>
            </w:tr>
          </w:tbl>
          <w:p w14:paraId="55D1A9C7">
            <w:pPr>
              <w:spacing w:before="120" w:beforeLines="50" w:line="276" w:lineRule="auto"/>
              <w:ind w:firstLine="422" w:firstLineChars="200"/>
              <w:jc w:val="center"/>
              <w:rPr>
                <w:rFonts w:hint="default" w:ascii="Times New Roman" w:hAnsi="Times New Roman" w:cs="Times New Roman"/>
                <w:b/>
                <w:color w:val="FF0000"/>
                <w:szCs w:val="21"/>
              </w:rPr>
            </w:pPr>
            <w:r>
              <w:rPr>
                <w:rFonts w:hint="default" w:ascii="Times New Roman" w:hAnsi="Times New Roman" w:cs="Times New Roman"/>
                <w:b/>
                <w:color w:val="FF0000"/>
                <w:szCs w:val="21"/>
              </w:rPr>
              <w:t>表4-3</w:t>
            </w:r>
            <w:r>
              <w:rPr>
                <w:rFonts w:hint="eastAsia" w:cs="Times New Roman"/>
                <w:b/>
                <w:color w:val="FF0000"/>
                <w:szCs w:val="21"/>
                <w:lang w:val="en-US" w:eastAsia="zh-CN"/>
              </w:rPr>
              <w:t>5</w:t>
            </w:r>
            <w:r>
              <w:rPr>
                <w:rFonts w:hint="default" w:ascii="Times New Roman" w:hAnsi="Times New Roman" w:cs="Times New Roman"/>
                <w:b/>
                <w:color w:val="FF0000"/>
                <w:szCs w:val="21"/>
              </w:rPr>
              <w:t xml:space="preserve">  建设项目一般工业固废产生及处置措施一览表</w:t>
            </w:r>
          </w:p>
          <w:tbl>
            <w:tblPr>
              <w:tblStyle w:val="34"/>
              <w:tblW w:w="5000" w:type="pct"/>
              <w:tblInd w:w="0" w:type="dxa"/>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537"/>
              <w:gridCol w:w="853"/>
              <w:gridCol w:w="1537"/>
              <w:gridCol w:w="1171"/>
              <w:gridCol w:w="744"/>
              <w:gridCol w:w="695"/>
              <w:gridCol w:w="2937"/>
            </w:tblGrid>
            <w:tr w14:paraId="3579BCB9">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PrEx>
              <w:tc>
                <w:tcPr>
                  <w:tcW w:w="316" w:type="pct"/>
                  <w:tcBorders>
                    <w:tl2br w:val="nil"/>
                    <w:tr2bl w:val="nil"/>
                  </w:tcBorders>
                  <w:vAlign w:val="center"/>
                </w:tcPr>
                <w:p w14:paraId="676B0FEE">
                  <w:pPr>
                    <w:jc w:val="center"/>
                    <w:rPr>
                      <w:rFonts w:hint="default" w:ascii="Times New Roman" w:hAnsi="Times New Roman" w:cs="Times New Roman"/>
                      <w:b/>
                      <w:color w:val="FF0000"/>
                      <w:szCs w:val="21"/>
                    </w:rPr>
                  </w:pPr>
                  <w:r>
                    <w:rPr>
                      <w:rFonts w:hint="default" w:ascii="Times New Roman" w:hAnsi="Times New Roman" w:cs="Times New Roman"/>
                      <w:b/>
                      <w:color w:val="FF0000"/>
                      <w:szCs w:val="21"/>
                    </w:rPr>
                    <w:t>序号</w:t>
                  </w:r>
                </w:p>
              </w:tc>
              <w:tc>
                <w:tcPr>
                  <w:tcW w:w="503" w:type="pct"/>
                  <w:tcBorders>
                    <w:tl2br w:val="nil"/>
                    <w:tr2bl w:val="nil"/>
                  </w:tcBorders>
                  <w:vAlign w:val="center"/>
                </w:tcPr>
                <w:p w14:paraId="114F1919">
                  <w:pPr>
                    <w:jc w:val="center"/>
                    <w:rPr>
                      <w:rFonts w:hint="default" w:ascii="Times New Roman" w:hAnsi="Times New Roman" w:cs="Times New Roman"/>
                      <w:b/>
                      <w:color w:val="FF0000"/>
                      <w:szCs w:val="21"/>
                    </w:rPr>
                  </w:pPr>
                  <w:r>
                    <w:rPr>
                      <w:rFonts w:hint="default" w:ascii="Times New Roman" w:hAnsi="Times New Roman" w:cs="Times New Roman"/>
                      <w:b/>
                      <w:color w:val="FF0000"/>
                      <w:szCs w:val="21"/>
                    </w:rPr>
                    <w:t>固废名称</w:t>
                  </w:r>
                </w:p>
              </w:tc>
              <w:tc>
                <w:tcPr>
                  <w:tcW w:w="906" w:type="pct"/>
                  <w:tcBorders>
                    <w:tl2br w:val="nil"/>
                    <w:tr2bl w:val="nil"/>
                  </w:tcBorders>
                  <w:vAlign w:val="center"/>
                </w:tcPr>
                <w:p w14:paraId="22827C52">
                  <w:pPr>
                    <w:jc w:val="center"/>
                    <w:rPr>
                      <w:rFonts w:hint="default" w:ascii="Times New Roman" w:hAnsi="Times New Roman" w:cs="Times New Roman"/>
                      <w:b/>
                      <w:color w:val="FF0000"/>
                      <w:szCs w:val="21"/>
                    </w:rPr>
                  </w:pPr>
                  <w:r>
                    <w:rPr>
                      <w:rFonts w:hint="default" w:ascii="Times New Roman" w:hAnsi="Times New Roman" w:cs="Times New Roman"/>
                      <w:b/>
                      <w:color w:val="FF0000"/>
                      <w:szCs w:val="21"/>
                    </w:rPr>
                    <w:t>废物类别</w:t>
                  </w:r>
                </w:p>
              </w:tc>
              <w:tc>
                <w:tcPr>
                  <w:tcW w:w="690" w:type="pct"/>
                  <w:tcBorders>
                    <w:tl2br w:val="nil"/>
                    <w:tr2bl w:val="nil"/>
                  </w:tcBorders>
                  <w:vAlign w:val="center"/>
                </w:tcPr>
                <w:p w14:paraId="02E81E06">
                  <w:pPr>
                    <w:jc w:val="center"/>
                    <w:rPr>
                      <w:rFonts w:hint="default" w:ascii="Times New Roman" w:hAnsi="Times New Roman" w:cs="Times New Roman"/>
                      <w:b/>
                      <w:color w:val="FF0000"/>
                      <w:szCs w:val="21"/>
                    </w:rPr>
                  </w:pPr>
                  <w:r>
                    <w:rPr>
                      <w:rFonts w:hint="default" w:ascii="Times New Roman" w:hAnsi="Times New Roman" w:cs="Times New Roman"/>
                      <w:b/>
                      <w:color w:val="FF0000"/>
                      <w:szCs w:val="21"/>
                    </w:rPr>
                    <w:t>产生量（t/a）</w:t>
                  </w:r>
                </w:p>
              </w:tc>
              <w:tc>
                <w:tcPr>
                  <w:tcW w:w="438" w:type="pct"/>
                  <w:tcBorders>
                    <w:tl2br w:val="nil"/>
                    <w:tr2bl w:val="nil"/>
                  </w:tcBorders>
                  <w:vAlign w:val="center"/>
                </w:tcPr>
                <w:p w14:paraId="1DD4838E">
                  <w:pPr>
                    <w:jc w:val="center"/>
                    <w:rPr>
                      <w:rFonts w:hint="default" w:ascii="Times New Roman" w:hAnsi="Times New Roman" w:cs="Times New Roman"/>
                      <w:b/>
                      <w:color w:val="FF0000"/>
                      <w:szCs w:val="21"/>
                    </w:rPr>
                  </w:pPr>
                  <w:r>
                    <w:rPr>
                      <w:rFonts w:hint="default" w:ascii="Times New Roman" w:hAnsi="Times New Roman" w:cs="Times New Roman"/>
                      <w:b/>
                      <w:color w:val="FF0000"/>
                      <w:szCs w:val="21"/>
                    </w:rPr>
                    <w:t>产生工序</w:t>
                  </w:r>
                </w:p>
              </w:tc>
              <w:tc>
                <w:tcPr>
                  <w:tcW w:w="410" w:type="pct"/>
                  <w:tcBorders>
                    <w:tl2br w:val="nil"/>
                    <w:tr2bl w:val="nil"/>
                  </w:tcBorders>
                  <w:vAlign w:val="center"/>
                </w:tcPr>
                <w:p w14:paraId="7CC79AFA">
                  <w:pPr>
                    <w:jc w:val="center"/>
                    <w:rPr>
                      <w:rFonts w:hint="default" w:ascii="Times New Roman" w:hAnsi="Times New Roman" w:cs="Times New Roman"/>
                      <w:b/>
                      <w:color w:val="FF0000"/>
                      <w:szCs w:val="21"/>
                    </w:rPr>
                  </w:pPr>
                  <w:r>
                    <w:rPr>
                      <w:rFonts w:hint="default" w:ascii="Times New Roman" w:hAnsi="Times New Roman" w:cs="Times New Roman"/>
                      <w:b/>
                      <w:color w:val="FF0000"/>
                      <w:szCs w:val="21"/>
                    </w:rPr>
                    <w:t>形态</w:t>
                  </w:r>
                </w:p>
              </w:tc>
              <w:tc>
                <w:tcPr>
                  <w:tcW w:w="1732" w:type="pct"/>
                  <w:tcBorders>
                    <w:tl2br w:val="nil"/>
                    <w:tr2bl w:val="nil"/>
                  </w:tcBorders>
                  <w:vAlign w:val="center"/>
                </w:tcPr>
                <w:p w14:paraId="1091691A">
                  <w:pPr>
                    <w:jc w:val="center"/>
                    <w:rPr>
                      <w:rFonts w:hint="default" w:ascii="Times New Roman" w:hAnsi="Times New Roman" w:cs="Times New Roman"/>
                      <w:b/>
                      <w:color w:val="FF0000"/>
                      <w:szCs w:val="21"/>
                    </w:rPr>
                  </w:pPr>
                  <w:r>
                    <w:rPr>
                      <w:rFonts w:hint="default" w:ascii="Times New Roman" w:hAnsi="Times New Roman" w:cs="Times New Roman"/>
                      <w:b/>
                      <w:color w:val="FF0000"/>
                      <w:szCs w:val="21"/>
                    </w:rPr>
                    <w:t>污染防治措施</w:t>
                  </w:r>
                </w:p>
              </w:tc>
            </w:tr>
            <w:tr w14:paraId="5D17F914">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16" w:type="pct"/>
                  <w:tcBorders>
                    <w:tl2br w:val="nil"/>
                    <w:tr2bl w:val="nil"/>
                  </w:tcBorders>
                  <w:vAlign w:val="center"/>
                </w:tcPr>
                <w:p w14:paraId="1A49DA7A">
                  <w:pPr>
                    <w:jc w:val="center"/>
                    <w:rPr>
                      <w:rFonts w:hint="default" w:ascii="Times New Roman" w:hAnsi="Times New Roman" w:cs="Times New Roman"/>
                      <w:bCs/>
                      <w:color w:val="FF0000"/>
                      <w:szCs w:val="21"/>
                    </w:rPr>
                  </w:pPr>
                  <w:r>
                    <w:rPr>
                      <w:rFonts w:hint="default" w:ascii="Times New Roman" w:hAnsi="Times New Roman" w:cs="Times New Roman"/>
                      <w:bCs/>
                      <w:color w:val="FF0000"/>
                      <w:szCs w:val="21"/>
                    </w:rPr>
                    <w:t>1</w:t>
                  </w:r>
                </w:p>
              </w:tc>
              <w:tc>
                <w:tcPr>
                  <w:tcW w:w="503" w:type="pct"/>
                  <w:tcBorders>
                    <w:tl2br w:val="nil"/>
                    <w:tr2bl w:val="nil"/>
                  </w:tcBorders>
                  <w:vAlign w:val="center"/>
                </w:tcPr>
                <w:p w14:paraId="1E4F48EC">
                  <w:pPr>
                    <w:jc w:val="center"/>
                    <w:rPr>
                      <w:rFonts w:hint="default" w:ascii="Times New Roman" w:hAnsi="Times New Roman" w:cs="Times New Roman"/>
                      <w:bCs/>
                      <w:color w:val="FF0000"/>
                      <w:szCs w:val="21"/>
                    </w:rPr>
                  </w:pPr>
                  <w:r>
                    <w:rPr>
                      <w:rFonts w:hint="default" w:ascii="Times New Roman" w:hAnsi="Times New Roman" w:cs="Times New Roman"/>
                      <w:bCs/>
                      <w:color w:val="FF0000"/>
                      <w:szCs w:val="21"/>
                      <w:lang w:val="en-US" w:eastAsia="zh-CN"/>
                    </w:rPr>
                    <w:t>可回用</w:t>
                  </w:r>
                  <w:r>
                    <w:rPr>
                      <w:rFonts w:hint="default" w:ascii="Times New Roman" w:hAnsi="Times New Roman" w:cs="Times New Roman"/>
                      <w:bCs/>
                      <w:color w:val="FF0000"/>
                      <w:szCs w:val="21"/>
                    </w:rPr>
                    <w:t>钢铁</w:t>
                  </w:r>
                </w:p>
              </w:tc>
              <w:tc>
                <w:tcPr>
                  <w:tcW w:w="906" w:type="pct"/>
                  <w:tcBorders>
                    <w:tl2br w:val="nil"/>
                    <w:tr2bl w:val="nil"/>
                  </w:tcBorders>
                  <w:vAlign w:val="center"/>
                </w:tcPr>
                <w:p w14:paraId="62AD4DF7">
                  <w:pPr>
                    <w:jc w:val="center"/>
                    <w:rPr>
                      <w:rFonts w:hint="default" w:ascii="Times New Roman" w:hAnsi="Times New Roman" w:cs="Times New Roman"/>
                      <w:bCs/>
                      <w:color w:val="FF0000"/>
                      <w:szCs w:val="21"/>
                    </w:rPr>
                  </w:pPr>
                  <w:r>
                    <w:rPr>
                      <w:rFonts w:hint="default" w:ascii="Times New Roman" w:hAnsi="Times New Roman" w:cs="Times New Roman"/>
                      <w:bCs/>
                      <w:color w:val="FF0000"/>
                      <w:szCs w:val="21"/>
                    </w:rPr>
                    <w:t>900-001-S17</w:t>
                  </w:r>
                </w:p>
              </w:tc>
              <w:tc>
                <w:tcPr>
                  <w:tcW w:w="690" w:type="pct"/>
                  <w:tcBorders>
                    <w:tl2br w:val="nil"/>
                    <w:tr2bl w:val="nil"/>
                  </w:tcBorders>
                  <w:vAlign w:val="center"/>
                </w:tcPr>
                <w:p w14:paraId="2D94DA78">
                  <w:pPr>
                    <w:jc w:val="center"/>
                    <w:rPr>
                      <w:rFonts w:hint="default" w:ascii="Times New Roman" w:hAnsi="Times New Roman" w:eastAsia="宋体" w:cs="Times New Roman"/>
                      <w:bCs/>
                      <w:color w:val="FF0000"/>
                      <w:szCs w:val="21"/>
                      <w:lang w:val="en-US" w:eastAsia="zh-CN"/>
                    </w:rPr>
                  </w:pPr>
                  <w:r>
                    <w:rPr>
                      <w:rFonts w:hint="default" w:ascii="Times New Roman" w:hAnsi="Times New Roman" w:eastAsia="宋体" w:cs="Times New Roman"/>
                      <w:bCs/>
                      <w:color w:val="FF0000"/>
                      <w:szCs w:val="21"/>
                      <w:lang w:val="en-US" w:eastAsia="zh-CN"/>
                    </w:rPr>
                    <w:t>63243.79</w:t>
                  </w:r>
                </w:p>
              </w:tc>
              <w:tc>
                <w:tcPr>
                  <w:tcW w:w="438" w:type="pct"/>
                  <w:tcBorders>
                    <w:tl2br w:val="nil"/>
                    <w:tr2bl w:val="nil"/>
                  </w:tcBorders>
                  <w:vAlign w:val="center"/>
                </w:tcPr>
                <w:p w14:paraId="428DE9FC">
                  <w:pPr>
                    <w:jc w:val="center"/>
                    <w:rPr>
                      <w:rFonts w:hint="default" w:ascii="Times New Roman" w:hAnsi="Times New Roman" w:cs="Times New Roman"/>
                      <w:bCs/>
                      <w:color w:val="FF0000"/>
                      <w:szCs w:val="21"/>
                    </w:rPr>
                  </w:pPr>
                  <w:r>
                    <w:rPr>
                      <w:rFonts w:hint="default" w:ascii="Times New Roman" w:hAnsi="Times New Roman" w:cs="Times New Roman"/>
                      <w:bCs/>
                      <w:color w:val="FF0000"/>
                      <w:szCs w:val="21"/>
                    </w:rPr>
                    <w:t>拆解</w:t>
                  </w:r>
                </w:p>
              </w:tc>
              <w:tc>
                <w:tcPr>
                  <w:tcW w:w="410" w:type="pct"/>
                  <w:tcBorders>
                    <w:tl2br w:val="nil"/>
                    <w:tr2bl w:val="nil"/>
                  </w:tcBorders>
                  <w:vAlign w:val="center"/>
                </w:tcPr>
                <w:p w14:paraId="595651D2">
                  <w:pPr>
                    <w:jc w:val="center"/>
                    <w:rPr>
                      <w:rFonts w:hint="default" w:ascii="Times New Roman" w:hAnsi="Times New Roman" w:cs="Times New Roman"/>
                      <w:bCs/>
                      <w:color w:val="FF0000"/>
                      <w:szCs w:val="21"/>
                    </w:rPr>
                  </w:pPr>
                  <w:r>
                    <w:rPr>
                      <w:rFonts w:hint="default" w:ascii="Times New Roman" w:hAnsi="Times New Roman" w:cs="Times New Roman"/>
                      <w:bCs/>
                      <w:color w:val="FF0000"/>
                      <w:szCs w:val="21"/>
                    </w:rPr>
                    <w:t>固态</w:t>
                  </w:r>
                </w:p>
              </w:tc>
              <w:tc>
                <w:tcPr>
                  <w:tcW w:w="1732" w:type="pct"/>
                  <w:vMerge w:val="restart"/>
                  <w:tcBorders>
                    <w:tl2br w:val="nil"/>
                    <w:tr2bl w:val="nil"/>
                  </w:tcBorders>
                  <w:vAlign w:val="center"/>
                </w:tcPr>
                <w:p w14:paraId="5C9BAF71">
                  <w:pPr>
                    <w:pStyle w:val="128"/>
                    <w:spacing w:line="360" w:lineRule="exact"/>
                    <w:jc w:val="center"/>
                    <w:rPr>
                      <w:rFonts w:hint="default" w:ascii="Times New Roman" w:hAnsi="Times New Roman" w:cs="Times New Roman"/>
                      <w:color w:val="FF0000"/>
                      <w:szCs w:val="21"/>
                    </w:rPr>
                  </w:pPr>
                  <w:r>
                    <w:rPr>
                      <w:rFonts w:hint="default" w:ascii="Times New Roman" w:hAnsi="Times New Roman" w:cs="Times New Roman"/>
                      <w:color w:val="FF0000"/>
                      <w:sz w:val="21"/>
                      <w:szCs w:val="21"/>
                    </w:rPr>
                    <w:t>暂存于回用件暂存区，定期交由具有相应处理能力或经营范围的单位利用和处置</w:t>
                  </w:r>
                  <w:r>
                    <w:rPr>
                      <w:rFonts w:hint="default" w:ascii="Times New Roman" w:hAnsi="Times New Roman" w:cs="Times New Roman"/>
                      <w:color w:val="FF0000"/>
                      <w:sz w:val="21"/>
                      <w:szCs w:val="21"/>
                      <w:lang w:eastAsia="zh-CN"/>
                    </w:rPr>
                    <w:t>。</w:t>
                  </w:r>
                </w:p>
              </w:tc>
            </w:tr>
            <w:tr w14:paraId="6588609D">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16" w:type="pct"/>
                  <w:tcBorders>
                    <w:tl2br w:val="nil"/>
                    <w:tr2bl w:val="nil"/>
                  </w:tcBorders>
                  <w:vAlign w:val="center"/>
                </w:tcPr>
                <w:p w14:paraId="7BBB694D">
                  <w:pPr>
                    <w:jc w:val="center"/>
                    <w:rPr>
                      <w:rFonts w:hint="default" w:ascii="Times New Roman" w:hAnsi="Times New Roman" w:cs="Times New Roman"/>
                      <w:bCs/>
                      <w:color w:val="FF0000"/>
                      <w:szCs w:val="21"/>
                    </w:rPr>
                  </w:pPr>
                  <w:r>
                    <w:rPr>
                      <w:rFonts w:hint="default" w:ascii="Times New Roman" w:hAnsi="Times New Roman" w:cs="Times New Roman"/>
                      <w:bCs/>
                      <w:color w:val="FF0000"/>
                      <w:szCs w:val="21"/>
                    </w:rPr>
                    <w:t>2</w:t>
                  </w:r>
                </w:p>
              </w:tc>
              <w:tc>
                <w:tcPr>
                  <w:tcW w:w="503" w:type="pct"/>
                  <w:tcBorders>
                    <w:tl2br w:val="nil"/>
                    <w:tr2bl w:val="nil"/>
                  </w:tcBorders>
                  <w:vAlign w:val="center"/>
                </w:tcPr>
                <w:p w14:paraId="5FC3A489">
                  <w:pPr>
                    <w:jc w:val="center"/>
                    <w:rPr>
                      <w:rFonts w:hint="default" w:ascii="Times New Roman" w:hAnsi="Times New Roman" w:cs="Times New Roman"/>
                      <w:bCs/>
                      <w:color w:val="FF0000"/>
                      <w:szCs w:val="21"/>
                    </w:rPr>
                  </w:pPr>
                  <w:r>
                    <w:rPr>
                      <w:rFonts w:hint="default" w:ascii="Times New Roman" w:hAnsi="Times New Roman" w:cs="Times New Roman"/>
                      <w:bCs/>
                      <w:color w:val="FF0000"/>
                      <w:szCs w:val="21"/>
                      <w:lang w:val="en-US" w:eastAsia="zh-CN"/>
                    </w:rPr>
                    <w:t>可回用</w:t>
                  </w:r>
                  <w:r>
                    <w:rPr>
                      <w:rFonts w:hint="default" w:ascii="Times New Roman" w:hAnsi="Times New Roman" w:cs="Times New Roman"/>
                      <w:bCs/>
                      <w:color w:val="FF0000"/>
                      <w:szCs w:val="21"/>
                    </w:rPr>
                    <w:t>有色金属</w:t>
                  </w:r>
                </w:p>
              </w:tc>
              <w:tc>
                <w:tcPr>
                  <w:tcW w:w="906" w:type="pct"/>
                  <w:tcBorders>
                    <w:tl2br w:val="nil"/>
                    <w:tr2bl w:val="nil"/>
                  </w:tcBorders>
                  <w:vAlign w:val="center"/>
                </w:tcPr>
                <w:p w14:paraId="6F8BF575">
                  <w:pPr>
                    <w:jc w:val="center"/>
                    <w:rPr>
                      <w:rFonts w:hint="default" w:ascii="Times New Roman" w:hAnsi="Times New Roman" w:cs="Times New Roman"/>
                      <w:bCs/>
                      <w:color w:val="FF0000"/>
                      <w:szCs w:val="21"/>
                    </w:rPr>
                  </w:pPr>
                  <w:r>
                    <w:rPr>
                      <w:rFonts w:hint="default" w:ascii="Times New Roman" w:hAnsi="Times New Roman" w:cs="Times New Roman"/>
                      <w:bCs/>
                      <w:color w:val="FF0000"/>
                      <w:szCs w:val="21"/>
                    </w:rPr>
                    <w:t>900-002-S17</w:t>
                  </w:r>
                </w:p>
              </w:tc>
              <w:tc>
                <w:tcPr>
                  <w:tcW w:w="690" w:type="pct"/>
                  <w:tcBorders>
                    <w:tl2br w:val="nil"/>
                    <w:tr2bl w:val="nil"/>
                  </w:tcBorders>
                  <w:vAlign w:val="center"/>
                </w:tcPr>
                <w:p w14:paraId="6754739A">
                  <w:pPr>
                    <w:jc w:val="center"/>
                    <w:rPr>
                      <w:rFonts w:hint="default" w:ascii="Times New Roman" w:hAnsi="Times New Roman" w:eastAsia="宋体" w:cs="Times New Roman"/>
                      <w:bCs/>
                      <w:color w:val="FF0000"/>
                      <w:szCs w:val="21"/>
                      <w:lang w:val="en-US" w:eastAsia="zh-CN"/>
                    </w:rPr>
                  </w:pPr>
                  <w:r>
                    <w:rPr>
                      <w:rFonts w:hint="default" w:ascii="Times New Roman" w:hAnsi="Times New Roman" w:eastAsia="宋体" w:cs="Times New Roman"/>
                      <w:bCs/>
                      <w:color w:val="FF0000"/>
                      <w:szCs w:val="21"/>
                      <w:lang w:val="en-US" w:eastAsia="zh-CN"/>
                    </w:rPr>
                    <w:t>1818.17</w:t>
                  </w:r>
                </w:p>
              </w:tc>
              <w:tc>
                <w:tcPr>
                  <w:tcW w:w="438" w:type="pct"/>
                  <w:tcBorders>
                    <w:tl2br w:val="nil"/>
                    <w:tr2bl w:val="nil"/>
                  </w:tcBorders>
                  <w:vAlign w:val="center"/>
                </w:tcPr>
                <w:p w14:paraId="2DE3BC94">
                  <w:pPr>
                    <w:jc w:val="center"/>
                    <w:rPr>
                      <w:rFonts w:hint="default" w:ascii="Times New Roman" w:hAnsi="Times New Roman" w:cs="Times New Roman"/>
                      <w:bCs/>
                      <w:color w:val="FF0000"/>
                      <w:szCs w:val="21"/>
                    </w:rPr>
                  </w:pPr>
                  <w:r>
                    <w:rPr>
                      <w:rFonts w:hint="default" w:ascii="Times New Roman" w:hAnsi="Times New Roman" w:cs="Times New Roman"/>
                      <w:bCs/>
                      <w:color w:val="FF0000"/>
                      <w:szCs w:val="21"/>
                    </w:rPr>
                    <w:t>拆解</w:t>
                  </w:r>
                </w:p>
              </w:tc>
              <w:tc>
                <w:tcPr>
                  <w:tcW w:w="410" w:type="pct"/>
                  <w:tcBorders>
                    <w:tl2br w:val="nil"/>
                    <w:tr2bl w:val="nil"/>
                  </w:tcBorders>
                  <w:vAlign w:val="center"/>
                </w:tcPr>
                <w:p w14:paraId="14C6473F">
                  <w:pPr>
                    <w:jc w:val="center"/>
                    <w:rPr>
                      <w:rFonts w:hint="default" w:ascii="Times New Roman" w:hAnsi="Times New Roman" w:cs="Times New Roman"/>
                      <w:bCs/>
                      <w:color w:val="FF0000"/>
                      <w:szCs w:val="21"/>
                    </w:rPr>
                  </w:pPr>
                  <w:r>
                    <w:rPr>
                      <w:rFonts w:hint="default" w:ascii="Times New Roman" w:hAnsi="Times New Roman" w:cs="Times New Roman"/>
                      <w:bCs/>
                      <w:color w:val="FF0000"/>
                      <w:szCs w:val="21"/>
                    </w:rPr>
                    <w:t>固态</w:t>
                  </w:r>
                </w:p>
              </w:tc>
              <w:tc>
                <w:tcPr>
                  <w:tcW w:w="1732" w:type="pct"/>
                  <w:vMerge w:val="continue"/>
                  <w:tcBorders>
                    <w:tl2br w:val="nil"/>
                    <w:tr2bl w:val="nil"/>
                  </w:tcBorders>
                  <w:vAlign w:val="center"/>
                </w:tcPr>
                <w:p w14:paraId="15A7E852">
                  <w:pPr>
                    <w:jc w:val="center"/>
                    <w:rPr>
                      <w:rFonts w:hint="default" w:ascii="Times New Roman" w:hAnsi="Times New Roman" w:cs="Times New Roman"/>
                      <w:color w:val="FF0000"/>
                      <w:szCs w:val="21"/>
                    </w:rPr>
                  </w:pPr>
                </w:p>
              </w:tc>
            </w:tr>
            <w:tr w14:paraId="3E8DCDD4">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16" w:type="pct"/>
                  <w:tcBorders>
                    <w:tl2br w:val="nil"/>
                    <w:tr2bl w:val="nil"/>
                  </w:tcBorders>
                  <w:shd w:val="clear" w:color="auto" w:fill="auto"/>
                  <w:vAlign w:val="center"/>
                </w:tcPr>
                <w:p w14:paraId="3BEF442C">
                  <w:pPr>
                    <w:jc w:val="center"/>
                    <w:rPr>
                      <w:rFonts w:hint="default" w:ascii="Times New Roman" w:hAnsi="Times New Roman" w:cs="Times New Roman"/>
                      <w:bCs/>
                      <w:color w:val="FF0000"/>
                      <w:szCs w:val="21"/>
                    </w:rPr>
                  </w:pPr>
                  <w:r>
                    <w:rPr>
                      <w:rFonts w:hint="default" w:ascii="Times New Roman" w:hAnsi="Times New Roman" w:cs="Times New Roman"/>
                      <w:bCs/>
                      <w:color w:val="FF0000"/>
                      <w:szCs w:val="21"/>
                    </w:rPr>
                    <w:t>3</w:t>
                  </w:r>
                </w:p>
              </w:tc>
              <w:tc>
                <w:tcPr>
                  <w:tcW w:w="503" w:type="pct"/>
                  <w:tcBorders>
                    <w:tl2br w:val="nil"/>
                    <w:tr2bl w:val="nil"/>
                  </w:tcBorders>
                  <w:vAlign w:val="center"/>
                </w:tcPr>
                <w:p w14:paraId="65171D5B">
                  <w:pPr>
                    <w:jc w:val="center"/>
                    <w:rPr>
                      <w:rFonts w:hint="default" w:ascii="Times New Roman" w:hAnsi="Times New Roman" w:cs="Times New Roman"/>
                      <w:bCs/>
                      <w:color w:val="FF0000"/>
                      <w:szCs w:val="21"/>
                    </w:rPr>
                  </w:pPr>
                  <w:r>
                    <w:rPr>
                      <w:rFonts w:hint="default" w:ascii="Times New Roman" w:hAnsi="Times New Roman" w:cs="Times New Roman"/>
                      <w:bCs/>
                      <w:color w:val="FF0000"/>
                      <w:szCs w:val="21"/>
                      <w:lang w:val="en-US" w:eastAsia="zh-CN"/>
                    </w:rPr>
                    <w:t>可回用</w:t>
                  </w:r>
                  <w:r>
                    <w:rPr>
                      <w:rFonts w:hint="default" w:ascii="Times New Roman" w:hAnsi="Times New Roman" w:cs="Times New Roman"/>
                      <w:bCs/>
                      <w:color w:val="FF0000"/>
                      <w:szCs w:val="21"/>
                    </w:rPr>
                    <w:t>玻璃</w:t>
                  </w:r>
                </w:p>
              </w:tc>
              <w:tc>
                <w:tcPr>
                  <w:tcW w:w="906" w:type="pct"/>
                  <w:tcBorders>
                    <w:tl2br w:val="nil"/>
                    <w:tr2bl w:val="nil"/>
                  </w:tcBorders>
                  <w:vAlign w:val="center"/>
                </w:tcPr>
                <w:p w14:paraId="42CE0FF0">
                  <w:pPr>
                    <w:jc w:val="center"/>
                    <w:rPr>
                      <w:rFonts w:hint="default" w:ascii="Times New Roman" w:hAnsi="Times New Roman" w:cs="Times New Roman"/>
                      <w:bCs/>
                      <w:color w:val="FF0000"/>
                      <w:szCs w:val="21"/>
                    </w:rPr>
                  </w:pPr>
                  <w:r>
                    <w:rPr>
                      <w:rFonts w:hint="default" w:ascii="Times New Roman" w:hAnsi="Times New Roman" w:cs="Times New Roman"/>
                      <w:bCs/>
                      <w:color w:val="FF0000"/>
                      <w:szCs w:val="21"/>
                    </w:rPr>
                    <w:t>900-004-S17</w:t>
                  </w:r>
                </w:p>
              </w:tc>
              <w:tc>
                <w:tcPr>
                  <w:tcW w:w="690" w:type="pct"/>
                  <w:tcBorders>
                    <w:tl2br w:val="nil"/>
                    <w:tr2bl w:val="nil"/>
                  </w:tcBorders>
                  <w:vAlign w:val="center"/>
                </w:tcPr>
                <w:p w14:paraId="764648E5">
                  <w:pPr>
                    <w:jc w:val="center"/>
                    <w:rPr>
                      <w:rFonts w:hint="default" w:ascii="Times New Roman" w:hAnsi="Times New Roman" w:eastAsia="宋体" w:cs="Times New Roman"/>
                      <w:bCs/>
                      <w:color w:val="FF0000"/>
                      <w:szCs w:val="21"/>
                      <w:lang w:val="en-US" w:eastAsia="zh-CN"/>
                    </w:rPr>
                  </w:pPr>
                  <w:r>
                    <w:rPr>
                      <w:rFonts w:hint="default" w:ascii="Times New Roman" w:hAnsi="Times New Roman" w:eastAsia="宋体" w:cs="Times New Roman"/>
                      <w:bCs/>
                      <w:color w:val="FF0000"/>
                      <w:szCs w:val="21"/>
                      <w:lang w:val="en-US" w:eastAsia="zh-CN"/>
                    </w:rPr>
                    <w:t>616.15</w:t>
                  </w:r>
                </w:p>
              </w:tc>
              <w:tc>
                <w:tcPr>
                  <w:tcW w:w="438" w:type="pct"/>
                  <w:tcBorders>
                    <w:tl2br w:val="nil"/>
                    <w:tr2bl w:val="nil"/>
                  </w:tcBorders>
                  <w:vAlign w:val="center"/>
                </w:tcPr>
                <w:p w14:paraId="016769D0">
                  <w:pPr>
                    <w:jc w:val="center"/>
                    <w:rPr>
                      <w:rFonts w:hint="default" w:ascii="Times New Roman" w:hAnsi="Times New Roman" w:cs="Times New Roman"/>
                      <w:bCs/>
                      <w:color w:val="FF0000"/>
                      <w:szCs w:val="21"/>
                    </w:rPr>
                  </w:pPr>
                  <w:r>
                    <w:rPr>
                      <w:rFonts w:hint="default" w:ascii="Times New Roman" w:hAnsi="Times New Roman" w:cs="Times New Roman"/>
                      <w:bCs/>
                      <w:color w:val="FF0000"/>
                      <w:szCs w:val="21"/>
                    </w:rPr>
                    <w:t>拆解</w:t>
                  </w:r>
                </w:p>
              </w:tc>
              <w:tc>
                <w:tcPr>
                  <w:tcW w:w="410" w:type="pct"/>
                  <w:tcBorders>
                    <w:tl2br w:val="nil"/>
                    <w:tr2bl w:val="nil"/>
                  </w:tcBorders>
                  <w:vAlign w:val="center"/>
                </w:tcPr>
                <w:p w14:paraId="77530456">
                  <w:pPr>
                    <w:jc w:val="center"/>
                    <w:rPr>
                      <w:rFonts w:hint="default" w:ascii="Times New Roman" w:hAnsi="Times New Roman" w:cs="Times New Roman"/>
                      <w:bCs/>
                      <w:color w:val="FF0000"/>
                      <w:szCs w:val="21"/>
                    </w:rPr>
                  </w:pPr>
                  <w:r>
                    <w:rPr>
                      <w:rFonts w:hint="default" w:ascii="Times New Roman" w:hAnsi="Times New Roman" w:cs="Times New Roman"/>
                      <w:bCs/>
                      <w:color w:val="FF0000"/>
                      <w:szCs w:val="21"/>
                    </w:rPr>
                    <w:t>固态</w:t>
                  </w:r>
                </w:p>
              </w:tc>
              <w:tc>
                <w:tcPr>
                  <w:tcW w:w="1732" w:type="pct"/>
                  <w:vMerge w:val="continue"/>
                  <w:tcBorders>
                    <w:tl2br w:val="nil"/>
                    <w:tr2bl w:val="nil"/>
                  </w:tcBorders>
                  <w:vAlign w:val="center"/>
                </w:tcPr>
                <w:p w14:paraId="46DA44CA">
                  <w:pPr>
                    <w:jc w:val="center"/>
                    <w:rPr>
                      <w:rFonts w:hint="default" w:ascii="Times New Roman" w:hAnsi="Times New Roman" w:cs="Times New Roman"/>
                      <w:color w:val="FF0000"/>
                      <w:szCs w:val="21"/>
                    </w:rPr>
                  </w:pPr>
                </w:p>
              </w:tc>
            </w:tr>
            <w:tr w14:paraId="6B2511D3">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16" w:type="pct"/>
                  <w:tcBorders>
                    <w:tl2br w:val="nil"/>
                    <w:tr2bl w:val="nil"/>
                  </w:tcBorders>
                  <w:shd w:val="clear" w:color="auto" w:fill="auto"/>
                  <w:vAlign w:val="center"/>
                </w:tcPr>
                <w:p w14:paraId="611E0CB0">
                  <w:pPr>
                    <w:jc w:val="center"/>
                    <w:rPr>
                      <w:rFonts w:hint="default" w:ascii="Times New Roman" w:hAnsi="Times New Roman" w:cs="Times New Roman"/>
                      <w:bCs/>
                      <w:color w:val="FF0000"/>
                      <w:szCs w:val="21"/>
                    </w:rPr>
                  </w:pPr>
                  <w:r>
                    <w:rPr>
                      <w:rFonts w:hint="default" w:ascii="Times New Roman" w:hAnsi="Times New Roman" w:cs="Times New Roman"/>
                      <w:bCs/>
                      <w:color w:val="FF0000"/>
                      <w:szCs w:val="21"/>
                    </w:rPr>
                    <w:t>4</w:t>
                  </w:r>
                </w:p>
              </w:tc>
              <w:tc>
                <w:tcPr>
                  <w:tcW w:w="503" w:type="pct"/>
                  <w:tcBorders>
                    <w:tl2br w:val="nil"/>
                    <w:tr2bl w:val="nil"/>
                  </w:tcBorders>
                  <w:vAlign w:val="center"/>
                </w:tcPr>
                <w:p w14:paraId="58D9B180">
                  <w:pPr>
                    <w:jc w:val="center"/>
                    <w:rPr>
                      <w:rFonts w:hint="default" w:ascii="Times New Roman" w:hAnsi="Times New Roman" w:cs="Times New Roman"/>
                      <w:bCs/>
                      <w:color w:val="FF0000"/>
                      <w:szCs w:val="21"/>
                    </w:rPr>
                  </w:pPr>
                  <w:r>
                    <w:rPr>
                      <w:rFonts w:hint="default" w:ascii="Times New Roman" w:hAnsi="Times New Roman" w:cs="Times New Roman"/>
                      <w:bCs/>
                      <w:color w:val="FF0000"/>
                      <w:szCs w:val="21"/>
                      <w:lang w:val="en-US" w:eastAsia="zh-CN"/>
                    </w:rPr>
                    <w:t>可回用</w:t>
                  </w:r>
                  <w:r>
                    <w:rPr>
                      <w:rFonts w:hint="default" w:ascii="Times New Roman" w:hAnsi="Times New Roman" w:cs="Times New Roman"/>
                      <w:bCs/>
                      <w:color w:val="FF0000"/>
                      <w:szCs w:val="21"/>
                    </w:rPr>
                    <w:t>橡胶</w:t>
                  </w:r>
                </w:p>
              </w:tc>
              <w:tc>
                <w:tcPr>
                  <w:tcW w:w="906" w:type="pct"/>
                  <w:tcBorders>
                    <w:tl2br w:val="nil"/>
                    <w:tr2bl w:val="nil"/>
                  </w:tcBorders>
                  <w:vAlign w:val="center"/>
                </w:tcPr>
                <w:p w14:paraId="327B551E">
                  <w:pPr>
                    <w:jc w:val="center"/>
                    <w:rPr>
                      <w:rFonts w:hint="default" w:ascii="Times New Roman" w:hAnsi="Times New Roman" w:cs="Times New Roman"/>
                      <w:bCs/>
                      <w:color w:val="FF0000"/>
                      <w:szCs w:val="21"/>
                    </w:rPr>
                  </w:pPr>
                  <w:r>
                    <w:rPr>
                      <w:rFonts w:hint="default" w:ascii="Times New Roman" w:hAnsi="Times New Roman" w:cs="Times New Roman"/>
                      <w:bCs/>
                      <w:color w:val="FF0000"/>
                      <w:szCs w:val="21"/>
                    </w:rPr>
                    <w:t>900-006-S17</w:t>
                  </w:r>
                </w:p>
              </w:tc>
              <w:tc>
                <w:tcPr>
                  <w:tcW w:w="690" w:type="pct"/>
                  <w:tcBorders>
                    <w:tl2br w:val="nil"/>
                    <w:tr2bl w:val="nil"/>
                  </w:tcBorders>
                  <w:vAlign w:val="center"/>
                </w:tcPr>
                <w:p w14:paraId="407D1CAA">
                  <w:pPr>
                    <w:jc w:val="center"/>
                    <w:rPr>
                      <w:rFonts w:hint="default" w:ascii="Times New Roman" w:hAnsi="Times New Roman" w:eastAsia="宋体" w:cs="Times New Roman"/>
                      <w:bCs/>
                      <w:color w:val="FF0000"/>
                      <w:szCs w:val="21"/>
                      <w:lang w:val="en-US" w:eastAsia="zh-CN"/>
                    </w:rPr>
                  </w:pPr>
                  <w:r>
                    <w:rPr>
                      <w:rFonts w:hint="default" w:ascii="Times New Roman" w:hAnsi="Times New Roman" w:eastAsia="宋体" w:cs="Times New Roman"/>
                      <w:bCs/>
                      <w:color w:val="FF0000"/>
                      <w:szCs w:val="21"/>
                      <w:lang w:val="en-US" w:eastAsia="zh-CN"/>
                    </w:rPr>
                    <w:t>2090.92</w:t>
                  </w:r>
                </w:p>
              </w:tc>
              <w:tc>
                <w:tcPr>
                  <w:tcW w:w="438" w:type="pct"/>
                  <w:tcBorders>
                    <w:tl2br w:val="nil"/>
                    <w:tr2bl w:val="nil"/>
                  </w:tcBorders>
                  <w:vAlign w:val="center"/>
                </w:tcPr>
                <w:p w14:paraId="1AC18B83">
                  <w:pPr>
                    <w:jc w:val="center"/>
                    <w:rPr>
                      <w:rFonts w:hint="default" w:ascii="Times New Roman" w:hAnsi="Times New Roman" w:cs="Times New Roman"/>
                      <w:bCs/>
                      <w:color w:val="FF0000"/>
                      <w:szCs w:val="21"/>
                    </w:rPr>
                  </w:pPr>
                  <w:r>
                    <w:rPr>
                      <w:rFonts w:hint="default" w:ascii="Times New Roman" w:hAnsi="Times New Roman" w:cs="Times New Roman"/>
                      <w:bCs/>
                      <w:color w:val="FF0000"/>
                      <w:szCs w:val="21"/>
                    </w:rPr>
                    <w:t>拆解</w:t>
                  </w:r>
                </w:p>
              </w:tc>
              <w:tc>
                <w:tcPr>
                  <w:tcW w:w="410" w:type="pct"/>
                  <w:tcBorders>
                    <w:tl2br w:val="nil"/>
                    <w:tr2bl w:val="nil"/>
                  </w:tcBorders>
                  <w:vAlign w:val="center"/>
                </w:tcPr>
                <w:p w14:paraId="0E11EDB2">
                  <w:pPr>
                    <w:jc w:val="center"/>
                    <w:rPr>
                      <w:rFonts w:hint="default" w:ascii="Times New Roman" w:hAnsi="Times New Roman" w:cs="Times New Roman"/>
                      <w:bCs/>
                      <w:color w:val="FF0000"/>
                      <w:szCs w:val="21"/>
                    </w:rPr>
                  </w:pPr>
                  <w:r>
                    <w:rPr>
                      <w:rFonts w:hint="default" w:ascii="Times New Roman" w:hAnsi="Times New Roman" w:cs="Times New Roman"/>
                      <w:bCs/>
                      <w:color w:val="FF0000"/>
                      <w:szCs w:val="21"/>
                    </w:rPr>
                    <w:t>固态</w:t>
                  </w:r>
                </w:p>
              </w:tc>
              <w:tc>
                <w:tcPr>
                  <w:tcW w:w="1732" w:type="pct"/>
                  <w:vMerge w:val="continue"/>
                  <w:tcBorders>
                    <w:tl2br w:val="nil"/>
                    <w:tr2bl w:val="nil"/>
                  </w:tcBorders>
                  <w:vAlign w:val="center"/>
                </w:tcPr>
                <w:p w14:paraId="60D8759E">
                  <w:pPr>
                    <w:jc w:val="center"/>
                    <w:rPr>
                      <w:rFonts w:hint="default" w:ascii="Times New Roman" w:hAnsi="Times New Roman" w:cs="Times New Roman"/>
                      <w:color w:val="FF0000"/>
                      <w:szCs w:val="21"/>
                    </w:rPr>
                  </w:pPr>
                </w:p>
              </w:tc>
            </w:tr>
            <w:tr w14:paraId="7419D137">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16" w:type="pct"/>
                  <w:tcBorders>
                    <w:tl2br w:val="nil"/>
                    <w:tr2bl w:val="nil"/>
                  </w:tcBorders>
                  <w:shd w:val="clear" w:color="auto" w:fill="auto"/>
                  <w:vAlign w:val="center"/>
                </w:tcPr>
                <w:p w14:paraId="0829CD48">
                  <w:pPr>
                    <w:jc w:val="center"/>
                    <w:rPr>
                      <w:rFonts w:hint="default" w:ascii="Times New Roman" w:hAnsi="Times New Roman" w:cs="Times New Roman"/>
                      <w:bCs/>
                      <w:color w:val="FF0000"/>
                      <w:szCs w:val="21"/>
                    </w:rPr>
                  </w:pPr>
                  <w:r>
                    <w:rPr>
                      <w:rFonts w:hint="default" w:ascii="Times New Roman" w:hAnsi="Times New Roman" w:cs="Times New Roman"/>
                      <w:bCs/>
                      <w:color w:val="FF0000"/>
                      <w:szCs w:val="21"/>
                    </w:rPr>
                    <w:t>5</w:t>
                  </w:r>
                </w:p>
              </w:tc>
              <w:tc>
                <w:tcPr>
                  <w:tcW w:w="503" w:type="pct"/>
                  <w:tcBorders>
                    <w:tl2br w:val="nil"/>
                    <w:tr2bl w:val="nil"/>
                  </w:tcBorders>
                  <w:vAlign w:val="center"/>
                </w:tcPr>
                <w:p w14:paraId="46B4FFEC">
                  <w:pPr>
                    <w:jc w:val="center"/>
                    <w:rPr>
                      <w:rFonts w:hint="default" w:ascii="Times New Roman" w:hAnsi="Times New Roman" w:eastAsia="宋体" w:cs="Times New Roman"/>
                      <w:bCs/>
                      <w:color w:val="FF0000"/>
                      <w:szCs w:val="21"/>
                      <w:lang w:val="en-US" w:eastAsia="zh-CN"/>
                    </w:rPr>
                  </w:pPr>
                  <w:r>
                    <w:rPr>
                      <w:rFonts w:hint="default" w:ascii="Times New Roman" w:hAnsi="Times New Roman" w:cs="Times New Roman"/>
                      <w:bCs/>
                      <w:color w:val="FF0000"/>
                      <w:szCs w:val="21"/>
                    </w:rPr>
                    <w:t>可回用</w:t>
                  </w:r>
                  <w:r>
                    <w:rPr>
                      <w:rFonts w:hint="default" w:ascii="Times New Roman" w:hAnsi="Times New Roman" w:cs="Times New Roman"/>
                      <w:bCs/>
                      <w:color w:val="FF0000"/>
                      <w:szCs w:val="21"/>
                      <w:lang w:val="en-US" w:eastAsia="zh-CN"/>
                    </w:rPr>
                    <w:t>塑料</w:t>
                  </w:r>
                </w:p>
              </w:tc>
              <w:tc>
                <w:tcPr>
                  <w:tcW w:w="906" w:type="pct"/>
                  <w:tcBorders>
                    <w:tl2br w:val="nil"/>
                    <w:tr2bl w:val="nil"/>
                  </w:tcBorders>
                  <w:vAlign w:val="center"/>
                </w:tcPr>
                <w:p w14:paraId="28CAE67D">
                  <w:pPr>
                    <w:jc w:val="center"/>
                    <w:rPr>
                      <w:rFonts w:hint="default" w:ascii="Times New Roman" w:hAnsi="Times New Roman" w:cs="Times New Roman"/>
                      <w:bCs/>
                      <w:color w:val="FF0000"/>
                      <w:szCs w:val="21"/>
                    </w:rPr>
                  </w:pPr>
                  <w:r>
                    <w:rPr>
                      <w:rFonts w:hint="default" w:ascii="Times New Roman" w:hAnsi="Times New Roman" w:cs="Times New Roman"/>
                      <w:bCs/>
                      <w:color w:val="FF0000"/>
                      <w:szCs w:val="21"/>
                    </w:rPr>
                    <w:t>900-008-S17</w:t>
                  </w:r>
                </w:p>
              </w:tc>
              <w:tc>
                <w:tcPr>
                  <w:tcW w:w="690" w:type="pct"/>
                  <w:tcBorders>
                    <w:tl2br w:val="nil"/>
                    <w:tr2bl w:val="nil"/>
                  </w:tcBorders>
                  <w:vAlign w:val="center"/>
                </w:tcPr>
                <w:p w14:paraId="0AF91684">
                  <w:pPr>
                    <w:jc w:val="center"/>
                    <w:rPr>
                      <w:rFonts w:hint="default" w:ascii="Times New Roman" w:hAnsi="Times New Roman" w:eastAsia="宋体" w:cs="Times New Roman"/>
                      <w:bCs/>
                      <w:color w:val="FF0000"/>
                      <w:szCs w:val="21"/>
                      <w:lang w:val="en-US" w:eastAsia="zh-CN"/>
                    </w:rPr>
                  </w:pPr>
                  <w:r>
                    <w:rPr>
                      <w:rFonts w:hint="default" w:ascii="Times New Roman" w:hAnsi="Times New Roman" w:eastAsia="宋体" w:cs="Times New Roman"/>
                      <w:bCs/>
                      <w:color w:val="FF0000"/>
                      <w:szCs w:val="21"/>
                      <w:lang w:val="en-US" w:eastAsia="zh-CN"/>
                    </w:rPr>
                    <w:t>979.48</w:t>
                  </w:r>
                </w:p>
              </w:tc>
              <w:tc>
                <w:tcPr>
                  <w:tcW w:w="438" w:type="pct"/>
                  <w:tcBorders>
                    <w:tl2br w:val="nil"/>
                    <w:tr2bl w:val="nil"/>
                  </w:tcBorders>
                  <w:vAlign w:val="center"/>
                </w:tcPr>
                <w:p w14:paraId="10E175E9">
                  <w:pPr>
                    <w:jc w:val="center"/>
                    <w:rPr>
                      <w:rFonts w:hint="default" w:ascii="Times New Roman" w:hAnsi="Times New Roman" w:cs="Times New Roman"/>
                      <w:bCs/>
                      <w:color w:val="FF0000"/>
                      <w:szCs w:val="21"/>
                    </w:rPr>
                  </w:pPr>
                  <w:r>
                    <w:rPr>
                      <w:rFonts w:hint="default" w:ascii="Times New Roman" w:hAnsi="Times New Roman" w:cs="Times New Roman"/>
                      <w:bCs/>
                      <w:color w:val="FF0000"/>
                      <w:szCs w:val="21"/>
                    </w:rPr>
                    <w:t>拆解</w:t>
                  </w:r>
                </w:p>
              </w:tc>
              <w:tc>
                <w:tcPr>
                  <w:tcW w:w="410" w:type="pct"/>
                  <w:tcBorders>
                    <w:tl2br w:val="nil"/>
                    <w:tr2bl w:val="nil"/>
                  </w:tcBorders>
                  <w:vAlign w:val="center"/>
                </w:tcPr>
                <w:p w14:paraId="347528B6">
                  <w:pPr>
                    <w:jc w:val="center"/>
                    <w:rPr>
                      <w:rFonts w:hint="default" w:ascii="Times New Roman" w:hAnsi="Times New Roman" w:cs="Times New Roman"/>
                      <w:bCs/>
                      <w:color w:val="FF0000"/>
                      <w:szCs w:val="21"/>
                    </w:rPr>
                  </w:pPr>
                  <w:r>
                    <w:rPr>
                      <w:rFonts w:hint="default" w:ascii="Times New Roman" w:hAnsi="Times New Roman" w:cs="Times New Roman"/>
                      <w:bCs/>
                      <w:color w:val="FF0000"/>
                      <w:szCs w:val="21"/>
                    </w:rPr>
                    <w:t>固态</w:t>
                  </w:r>
                </w:p>
              </w:tc>
              <w:tc>
                <w:tcPr>
                  <w:tcW w:w="1732" w:type="pct"/>
                  <w:vMerge w:val="continue"/>
                  <w:tcBorders>
                    <w:tl2br w:val="nil"/>
                    <w:tr2bl w:val="nil"/>
                  </w:tcBorders>
                  <w:vAlign w:val="center"/>
                </w:tcPr>
                <w:p w14:paraId="0DA7A962">
                  <w:pPr>
                    <w:jc w:val="center"/>
                    <w:rPr>
                      <w:rFonts w:hint="default" w:ascii="Times New Roman" w:hAnsi="Times New Roman" w:cs="Times New Roman"/>
                      <w:color w:val="FF0000"/>
                      <w:szCs w:val="21"/>
                    </w:rPr>
                  </w:pPr>
                </w:p>
              </w:tc>
            </w:tr>
            <w:tr w14:paraId="4A4BFC7D">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316" w:type="pct"/>
                  <w:tcBorders>
                    <w:tl2br w:val="nil"/>
                    <w:tr2bl w:val="nil"/>
                  </w:tcBorders>
                  <w:shd w:val="clear" w:color="auto" w:fill="auto"/>
                  <w:vAlign w:val="center"/>
                </w:tcPr>
                <w:p w14:paraId="1D7C292A">
                  <w:pPr>
                    <w:jc w:val="center"/>
                    <w:rPr>
                      <w:rFonts w:hint="default" w:ascii="Times New Roman" w:hAnsi="Times New Roman" w:cs="Times New Roman"/>
                      <w:bCs/>
                      <w:color w:val="FF0000"/>
                      <w:szCs w:val="21"/>
                    </w:rPr>
                  </w:pPr>
                  <w:r>
                    <w:rPr>
                      <w:rFonts w:hint="default" w:ascii="Times New Roman" w:hAnsi="Times New Roman" w:cs="Times New Roman"/>
                      <w:bCs/>
                      <w:color w:val="FF0000"/>
                      <w:szCs w:val="21"/>
                    </w:rPr>
                    <w:t>6</w:t>
                  </w:r>
                </w:p>
              </w:tc>
              <w:tc>
                <w:tcPr>
                  <w:tcW w:w="503" w:type="pct"/>
                  <w:tcBorders>
                    <w:tl2br w:val="nil"/>
                    <w:tr2bl w:val="nil"/>
                  </w:tcBorders>
                  <w:shd w:val="clear" w:color="auto" w:fill="auto"/>
                  <w:vAlign w:val="center"/>
                </w:tcPr>
                <w:p w14:paraId="3F43DF3D">
                  <w:pPr>
                    <w:jc w:val="center"/>
                    <w:rPr>
                      <w:rFonts w:hint="default" w:ascii="Times New Roman" w:hAnsi="Times New Roman" w:eastAsia="宋体" w:cs="Times New Roman"/>
                      <w:bCs/>
                      <w:color w:val="FF0000"/>
                      <w:szCs w:val="21"/>
                      <w:lang w:eastAsia="zh-CN"/>
                    </w:rPr>
                  </w:pPr>
                  <w:r>
                    <w:rPr>
                      <w:rFonts w:hint="default" w:ascii="Times New Roman" w:hAnsi="Times New Roman" w:cs="Times New Roman"/>
                      <w:bCs/>
                      <w:color w:val="FF0000"/>
                      <w:szCs w:val="21"/>
                      <w:lang w:eastAsia="zh-CN"/>
                    </w:rPr>
                    <w:t>动力电池</w:t>
                  </w:r>
                </w:p>
              </w:tc>
              <w:tc>
                <w:tcPr>
                  <w:tcW w:w="906" w:type="pct"/>
                  <w:tcBorders>
                    <w:tl2br w:val="nil"/>
                    <w:tr2bl w:val="nil"/>
                  </w:tcBorders>
                  <w:shd w:val="clear" w:color="auto" w:fill="auto"/>
                  <w:vAlign w:val="center"/>
                </w:tcPr>
                <w:p w14:paraId="29D7FCBB">
                  <w:pPr>
                    <w:jc w:val="center"/>
                    <w:rPr>
                      <w:rFonts w:hint="default" w:ascii="Times New Roman" w:hAnsi="Times New Roman" w:cs="Times New Roman"/>
                      <w:bCs/>
                      <w:color w:val="FF0000"/>
                      <w:szCs w:val="21"/>
                    </w:rPr>
                  </w:pPr>
                  <w:r>
                    <w:rPr>
                      <w:rFonts w:hint="default" w:ascii="Times New Roman" w:hAnsi="Times New Roman" w:cs="Times New Roman"/>
                      <w:bCs/>
                      <w:color w:val="FF0000"/>
                      <w:szCs w:val="21"/>
                    </w:rPr>
                    <w:t>900-012-S17</w:t>
                  </w:r>
                </w:p>
              </w:tc>
              <w:tc>
                <w:tcPr>
                  <w:tcW w:w="690" w:type="pct"/>
                  <w:tcBorders>
                    <w:tl2br w:val="nil"/>
                    <w:tr2bl w:val="nil"/>
                  </w:tcBorders>
                  <w:shd w:val="clear" w:color="auto" w:fill="auto"/>
                  <w:vAlign w:val="center"/>
                </w:tcPr>
                <w:p w14:paraId="5E07560B">
                  <w:pPr>
                    <w:jc w:val="center"/>
                    <w:rPr>
                      <w:rFonts w:hint="default" w:ascii="Times New Roman" w:hAnsi="Times New Roman" w:eastAsia="宋体" w:cs="Times New Roman"/>
                      <w:bCs/>
                      <w:color w:val="FF0000"/>
                      <w:szCs w:val="21"/>
                      <w:lang w:val="en-US" w:eastAsia="zh-CN"/>
                    </w:rPr>
                  </w:pPr>
                  <w:r>
                    <w:rPr>
                      <w:rFonts w:hint="default" w:ascii="Times New Roman" w:hAnsi="Times New Roman" w:eastAsia="宋体" w:cs="Times New Roman"/>
                      <w:bCs/>
                      <w:color w:val="FF0000"/>
                      <w:szCs w:val="21"/>
                      <w:lang w:val="en-US" w:eastAsia="zh-CN"/>
                    </w:rPr>
                    <w:t>253.48</w:t>
                  </w:r>
                </w:p>
              </w:tc>
              <w:tc>
                <w:tcPr>
                  <w:tcW w:w="438" w:type="pct"/>
                  <w:tcBorders>
                    <w:tl2br w:val="nil"/>
                    <w:tr2bl w:val="nil"/>
                  </w:tcBorders>
                  <w:shd w:val="clear" w:color="auto" w:fill="auto"/>
                  <w:vAlign w:val="center"/>
                </w:tcPr>
                <w:p w14:paraId="5A7CC21B">
                  <w:pPr>
                    <w:jc w:val="center"/>
                    <w:rPr>
                      <w:rFonts w:hint="default" w:ascii="Times New Roman" w:hAnsi="Times New Roman" w:cs="Times New Roman"/>
                      <w:bCs/>
                      <w:color w:val="FF0000"/>
                      <w:szCs w:val="21"/>
                    </w:rPr>
                  </w:pPr>
                  <w:r>
                    <w:rPr>
                      <w:rFonts w:hint="default" w:ascii="Times New Roman" w:hAnsi="Times New Roman" w:cs="Times New Roman"/>
                      <w:bCs/>
                      <w:color w:val="FF0000"/>
                      <w:szCs w:val="21"/>
                    </w:rPr>
                    <w:t>拆解</w:t>
                  </w:r>
                </w:p>
              </w:tc>
              <w:tc>
                <w:tcPr>
                  <w:tcW w:w="410" w:type="pct"/>
                  <w:tcBorders>
                    <w:tl2br w:val="nil"/>
                    <w:tr2bl w:val="nil"/>
                  </w:tcBorders>
                  <w:shd w:val="clear" w:color="auto" w:fill="auto"/>
                  <w:vAlign w:val="center"/>
                </w:tcPr>
                <w:p w14:paraId="7F2F650A">
                  <w:pPr>
                    <w:jc w:val="center"/>
                    <w:rPr>
                      <w:rFonts w:hint="default" w:ascii="Times New Roman" w:hAnsi="Times New Roman" w:cs="Times New Roman"/>
                      <w:bCs/>
                      <w:color w:val="FF0000"/>
                      <w:szCs w:val="21"/>
                    </w:rPr>
                  </w:pPr>
                  <w:r>
                    <w:rPr>
                      <w:rFonts w:hint="default" w:ascii="Times New Roman" w:hAnsi="Times New Roman" w:cs="Times New Roman"/>
                      <w:bCs/>
                      <w:color w:val="FF0000"/>
                      <w:szCs w:val="21"/>
                    </w:rPr>
                    <w:t>固态</w:t>
                  </w:r>
                </w:p>
              </w:tc>
              <w:tc>
                <w:tcPr>
                  <w:tcW w:w="1732" w:type="pct"/>
                  <w:tcBorders>
                    <w:tl2br w:val="nil"/>
                    <w:tr2bl w:val="nil"/>
                  </w:tcBorders>
                  <w:vAlign w:val="center"/>
                </w:tcPr>
                <w:p w14:paraId="58442BAA">
                  <w:pPr>
                    <w:jc w:val="center"/>
                    <w:rPr>
                      <w:rFonts w:hint="default" w:ascii="Times New Roman" w:hAnsi="Times New Roman" w:cs="Times New Roman"/>
                      <w:color w:val="FF0000"/>
                      <w:szCs w:val="21"/>
                    </w:rPr>
                  </w:pPr>
                  <w:r>
                    <w:rPr>
                      <w:rFonts w:hint="eastAsia" w:ascii="Times New Roman" w:hAnsi="Times New Roman" w:cs="Times New Roman"/>
                      <w:color w:val="FF0000"/>
                      <w:sz w:val="21"/>
                      <w:szCs w:val="21"/>
                      <w:lang w:val="en-US" w:eastAsia="zh-CN"/>
                    </w:rPr>
                    <w:t>暂存于动力电池贮存区，</w:t>
                  </w:r>
                  <w:r>
                    <w:rPr>
                      <w:rFonts w:hint="eastAsia" w:ascii="Times New Roman" w:hAnsi="Times New Roman" w:cs="Times New Roman"/>
                      <w:color w:val="FF0000"/>
                      <w:sz w:val="21"/>
                      <w:szCs w:val="21"/>
                      <w:lang w:eastAsia="zh-CN"/>
                    </w:rPr>
                    <w:t>破损电池利用专用防腐密闭的容器收集后与完好电池分开储存</w:t>
                  </w:r>
                  <w:r>
                    <w:rPr>
                      <w:rFonts w:ascii="Times New Roman" w:hAnsi="Times New Roman" w:cs="Times New Roman"/>
                      <w:color w:val="FF0000"/>
                      <w:sz w:val="21"/>
                      <w:szCs w:val="21"/>
                    </w:rPr>
                    <w:t>，</w:t>
                  </w:r>
                  <w:r>
                    <w:rPr>
                      <w:rFonts w:hint="eastAsia" w:ascii="Times New Roman" w:hAnsi="Times New Roman" w:cs="Times New Roman"/>
                      <w:color w:val="FF0000"/>
                      <w:sz w:val="21"/>
                      <w:szCs w:val="21"/>
                      <w:lang w:val="en-US" w:eastAsia="zh-CN"/>
                    </w:rPr>
                    <w:t>定期</w:t>
                  </w:r>
                  <w:r>
                    <w:rPr>
                      <w:rFonts w:hint="default" w:ascii="Times New Roman" w:hAnsi="Times New Roman" w:cs="Times New Roman"/>
                      <w:color w:val="FF0000"/>
                      <w:sz w:val="21"/>
                      <w:szCs w:val="21"/>
                      <w:lang w:val="en-US" w:eastAsia="zh-CN"/>
                    </w:rPr>
                    <w:t>交售给新能源汽车生产企业建立的动力蓄电池回收服务网点，或符合国家对动力蓄电池梯次利用管理有关要求的梯次利用企业，或者从事废旧动力蓄电池综合利用的企业</w:t>
                  </w:r>
                  <w:r>
                    <w:rPr>
                      <w:rFonts w:ascii="Times New Roman" w:hAnsi="Times New Roman" w:cs="Times New Roman"/>
                      <w:color w:val="FF0000"/>
                      <w:sz w:val="21"/>
                      <w:szCs w:val="21"/>
                    </w:rPr>
                    <w:t>。</w:t>
                  </w:r>
                </w:p>
              </w:tc>
            </w:tr>
            <w:tr w14:paraId="5E14BB49">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16" w:type="pct"/>
                  <w:tcBorders>
                    <w:tl2br w:val="nil"/>
                    <w:tr2bl w:val="nil"/>
                  </w:tcBorders>
                  <w:shd w:val="clear" w:color="auto" w:fill="auto"/>
                  <w:vAlign w:val="center"/>
                </w:tcPr>
                <w:p w14:paraId="6022182E">
                  <w:pPr>
                    <w:jc w:val="center"/>
                    <w:rPr>
                      <w:rFonts w:hint="default" w:ascii="Times New Roman" w:hAnsi="Times New Roman" w:cs="Times New Roman"/>
                      <w:bCs/>
                      <w:color w:val="FF0000"/>
                      <w:szCs w:val="21"/>
                    </w:rPr>
                  </w:pPr>
                  <w:r>
                    <w:rPr>
                      <w:rFonts w:hint="default" w:ascii="Times New Roman" w:hAnsi="Times New Roman" w:cs="Times New Roman"/>
                      <w:bCs/>
                      <w:color w:val="FF0000"/>
                      <w:szCs w:val="21"/>
                    </w:rPr>
                    <w:t>7</w:t>
                  </w:r>
                </w:p>
              </w:tc>
              <w:tc>
                <w:tcPr>
                  <w:tcW w:w="503" w:type="pct"/>
                  <w:tcBorders>
                    <w:tl2br w:val="nil"/>
                    <w:tr2bl w:val="nil"/>
                  </w:tcBorders>
                  <w:vAlign w:val="center"/>
                </w:tcPr>
                <w:p w14:paraId="17069593">
                  <w:pPr>
                    <w:jc w:val="center"/>
                    <w:rPr>
                      <w:rFonts w:hint="default" w:ascii="Times New Roman" w:hAnsi="Times New Roman" w:cs="Times New Roman"/>
                      <w:bCs/>
                      <w:color w:val="FF0000"/>
                      <w:szCs w:val="21"/>
                    </w:rPr>
                  </w:pPr>
                  <w:r>
                    <w:rPr>
                      <w:rFonts w:hint="default" w:ascii="Times New Roman" w:hAnsi="Times New Roman" w:cs="Times New Roman"/>
                      <w:bCs/>
                      <w:color w:val="FF0000"/>
                      <w:szCs w:val="21"/>
                    </w:rPr>
                    <w:t>废皮布制品</w:t>
                  </w:r>
                </w:p>
              </w:tc>
              <w:tc>
                <w:tcPr>
                  <w:tcW w:w="906" w:type="pct"/>
                  <w:tcBorders>
                    <w:tl2br w:val="nil"/>
                    <w:tr2bl w:val="nil"/>
                  </w:tcBorders>
                  <w:vAlign w:val="center"/>
                </w:tcPr>
                <w:p w14:paraId="72A4DB5A">
                  <w:pPr>
                    <w:jc w:val="center"/>
                    <w:rPr>
                      <w:rFonts w:hint="default" w:ascii="Times New Roman" w:hAnsi="Times New Roman" w:cs="Times New Roman"/>
                      <w:bCs/>
                      <w:color w:val="FF0000"/>
                      <w:szCs w:val="21"/>
                    </w:rPr>
                  </w:pPr>
                  <w:r>
                    <w:rPr>
                      <w:rFonts w:hint="default" w:ascii="Times New Roman" w:hAnsi="Times New Roman" w:cs="Times New Roman"/>
                      <w:bCs/>
                      <w:color w:val="FF0000"/>
                      <w:szCs w:val="21"/>
                    </w:rPr>
                    <w:t>900-007-S17</w:t>
                  </w:r>
                </w:p>
              </w:tc>
              <w:tc>
                <w:tcPr>
                  <w:tcW w:w="690" w:type="pct"/>
                  <w:tcBorders>
                    <w:tl2br w:val="nil"/>
                    <w:tr2bl w:val="nil"/>
                  </w:tcBorders>
                  <w:vAlign w:val="center"/>
                </w:tcPr>
                <w:p w14:paraId="397FF951">
                  <w:pPr>
                    <w:jc w:val="center"/>
                    <w:rPr>
                      <w:rFonts w:hint="default" w:ascii="Times New Roman" w:hAnsi="Times New Roman" w:eastAsia="宋体" w:cs="Times New Roman"/>
                      <w:bCs/>
                      <w:color w:val="FF0000"/>
                      <w:szCs w:val="21"/>
                      <w:lang w:val="en-US" w:eastAsia="zh-CN"/>
                    </w:rPr>
                  </w:pPr>
                  <w:r>
                    <w:rPr>
                      <w:rFonts w:hint="default" w:ascii="Times New Roman" w:hAnsi="Times New Roman" w:eastAsia="宋体" w:cs="Times New Roman"/>
                      <w:bCs/>
                      <w:color w:val="FF0000"/>
                      <w:szCs w:val="21"/>
                      <w:lang w:val="en-US" w:eastAsia="zh-CN"/>
                    </w:rPr>
                    <w:t>674.94</w:t>
                  </w:r>
                </w:p>
              </w:tc>
              <w:tc>
                <w:tcPr>
                  <w:tcW w:w="438" w:type="pct"/>
                  <w:tcBorders>
                    <w:tl2br w:val="nil"/>
                    <w:tr2bl w:val="nil"/>
                  </w:tcBorders>
                  <w:vAlign w:val="center"/>
                </w:tcPr>
                <w:p w14:paraId="7D8C685F">
                  <w:pPr>
                    <w:jc w:val="center"/>
                    <w:rPr>
                      <w:rFonts w:hint="default" w:ascii="Times New Roman" w:hAnsi="Times New Roman" w:cs="Times New Roman"/>
                      <w:bCs/>
                      <w:color w:val="FF0000"/>
                      <w:szCs w:val="21"/>
                    </w:rPr>
                  </w:pPr>
                  <w:r>
                    <w:rPr>
                      <w:rFonts w:hint="default" w:ascii="Times New Roman" w:hAnsi="Times New Roman" w:cs="Times New Roman"/>
                      <w:bCs/>
                      <w:color w:val="FF0000"/>
                      <w:szCs w:val="21"/>
                    </w:rPr>
                    <w:t>拆解</w:t>
                  </w:r>
                </w:p>
              </w:tc>
              <w:tc>
                <w:tcPr>
                  <w:tcW w:w="410" w:type="pct"/>
                  <w:tcBorders>
                    <w:tl2br w:val="nil"/>
                    <w:tr2bl w:val="nil"/>
                  </w:tcBorders>
                  <w:vAlign w:val="center"/>
                </w:tcPr>
                <w:p w14:paraId="0E8CFD73">
                  <w:pPr>
                    <w:jc w:val="center"/>
                    <w:rPr>
                      <w:rFonts w:hint="default" w:ascii="Times New Roman" w:hAnsi="Times New Roman" w:cs="Times New Roman"/>
                      <w:bCs/>
                      <w:color w:val="FF0000"/>
                      <w:szCs w:val="21"/>
                    </w:rPr>
                  </w:pPr>
                  <w:r>
                    <w:rPr>
                      <w:rFonts w:hint="default" w:ascii="Times New Roman" w:hAnsi="Times New Roman" w:cs="Times New Roman"/>
                      <w:bCs/>
                      <w:color w:val="FF0000"/>
                      <w:szCs w:val="21"/>
                    </w:rPr>
                    <w:t>固态</w:t>
                  </w:r>
                </w:p>
              </w:tc>
              <w:tc>
                <w:tcPr>
                  <w:tcW w:w="1732" w:type="pct"/>
                  <w:vMerge w:val="restart"/>
                  <w:tcBorders>
                    <w:tl2br w:val="nil"/>
                    <w:tr2bl w:val="nil"/>
                  </w:tcBorders>
                  <w:vAlign w:val="center"/>
                </w:tcPr>
                <w:p w14:paraId="2DE8FBE8">
                  <w:pPr>
                    <w:jc w:val="center"/>
                    <w:rPr>
                      <w:rFonts w:hint="default" w:ascii="Times New Roman" w:hAnsi="Times New Roman" w:cs="Times New Roman"/>
                      <w:color w:val="FF0000"/>
                      <w:szCs w:val="21"/>
                    </w:rPr>
                  </w:pPr>
                  <w:r>
                    <w:rPr>
                      <w:rFonts w:hint="default" w:ascii="Times New Roman" w:hAnsi="Times New Roman" w:cs="Times New Roman"/>
                      <w:color w:val="FF0000"/>
                      <w:szCs w:val="21"/>
                      <w:lang w:bidi="en-US"/>
                    </w:rPr>
                    <w:t>暂存于一般固废暂存区，</w:t>
                  </w:r>
                  <w:r>
                    <w:rPr>
                      <w:rFonts w:hint="default" w:ascii="Times New Roman" w:hAnsi="Times New Roman" w:cs="Times New Roman"/>
                      <w:color w:val="FF0000"/>
                      <w:szCs w:val="21"/>
                      <w:lang w:eastAsia="zh-CN" w:bidi="en-US"/>
                    </w:rPr>
                    <w:t>定期交由具有相应处理能力或经营范围的单位利用和处置</w:t>
                  </w:r>
                  <w:r>
                    <w:rPr>
                      <w:rFonts w:hint="default" w:ascii="Times New Roman" w:hAnsi="Times New Roman" w:cs="Times New Roman"/>
                      <w:color w:val="FF0000"/>
                      <w:szCs w:val="21"/>
                      <w:lang w:bidi="en-US"/>
                    </w:rPr>
                    <w:t>。</w:t>
                  </w:r>
                </w:p>
              </w:tc>
            </w:tr>
            <w:tr w14:paraId="109B490A">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PrEx>
              <w:tc>
                <w:tcPr>
                  <w:tcW w:w="316" w:type="pct"/>
                  <w:tcBorders>
                    <w:tl2br w:val="nil"/>
                    <w:tr2bl w:val="nil"/>
                  </w:tcBorders>
                  <w:shd w:val="clear" w:color="auto" w:fill="auto"/>
                  <w:vAlign w:val="center"/>
                </w:tcPr>
                <w:p w14:paraId="5C61CEB6">
                  <w:pPr>
                    <w:jc w:val="center"/>
                    <w:rPr>
                      <w:rFonts w:hint="default" w:ascii="Times New Roman" w:hAnsi="Times New Roman" w:cs="Times New Roman"/>
                      <w:bCs/>
                      <w:color w:val="FF0000"/>
                      <w:szCs w:val="21"/>
                    </w:rPr>
                  </w:pPr>
                  <w:r>
                    <w:rPr>
                      <w:rFonts w:hint="default" w:ascii="Times New Roman" w:hAnsi="Times New Roman" w:cs="Times New Roman"/>
                      <w:bCs/>
                      <w:color w:val="FF0000"/>
                      <w:szCs w:val="21"/>
                    </w:rPr>
                    <w:t>8</w:t>
                  </w:r>
                </w:p>
              </w:tc>
              <w:tc>
                <w:tcPr>
                  <w:tcW w:w="503" w:type="pct"/>
                  <w:tcBorders>
                    <w:tl2br w:val="nil"/>
                    <w:tr2bl w:val="nil"/>
                  </w:tcBorders>
                  <w:vAlign w:val="center"/>
                </w:tcPr>
                <w:p w14:paraId="2F440B3D">
                  <w:pPr>
                    <w:jc w:val="center"/>
                    <w:rPr>
                      <w:rFonts w:hint="default" w:ascii="Times New Roman" w:hAnsi="Times New Roman" w:cs="Times New Roman"/>
                      <w:bCs/>
                      <w:color w:val="FF0000"/>
                      <w:szCs w:val="21"/>
                    </w:rPr>
                  </w:pPr>
                  <w:r>
                    <w:rPr>
                      <w:rFonts w:hint="default" w:ascii="Times New Roman" w:hAnsi="Times New Roman" w:cs="Times New Roman"/>
                      <w:bCs/>
                      <w:color w:val="FF0000"/>
                      <w:szCs w:val="21"/>
                    </w:rPr>
                    <w:t>其他不可利用物</w:t>
                  </w:r>
                </w:p>
              </w:tc>
              <w:tc>
                <w:tcPr>
                  <w:tcW w:w="906" w:type="pct"/>
                  <w:tcBorders>
                    <w:tl2br w:val="nil"/>
                    <w:tr2bl w:val="nil"/>
                  </w:tcBorders>
                  <w:vAlign w:val="center"/>
                </w:tcPr>
                <w:p w14:paraId="606FE4F2">
                  <w:pPr>
                    <w:jc w:val="center"/>
                    <w:rPr>
                      <w:rFonts w:hint="default" w:ascii="Times New Roman" w:hAnsi="Times New Roman" w:cs="Times New Roman"/>
                      <w:bCs/>
                      <w:color w:val="FF0000"/>
                      <w:szCs w:val="21"/>
                    </w:rPr>
                  </w:pPr>
                  <w:r>
                    <w:rPr>
                      <w:rFonts w:hint="default" w:ascii="Times New Roman" w:hAnsi="Times New Roman" w:cs="Times New Roman"/>
                      <w:bCs/>
                      <w:color w:val="FF0000"/>
                      <w:szCs w:val="21"/>
                    </w:rPr>
                    <w:t>900-099-S17</w:t>
                  </w:r>
                </w:p>
              </w:tc>
              <w:tc>
                <w:tcPr>
                  <w:tcW w:w="690" w:type="pct"/>
                  <w:tcBorders>
                    <w:tl2br w:val="nil"/>
                    <w:tr2bl w:val="nil"/>
                  </w:tcBorders>
                  <w:vAlign w:val="center"/>
                </w:tcPr>
                <w:p w14:paraId="3FAF0430">
                  <w:pPr>
                    <w:jc w:val="center"/>
                    <w:rPr>
                      <w:rFonts w:hint="default" w:ascii="Times New Roman" w:hAnsi="Times New Roman" w:eastAsia="宋体" w:cs="Times New Roman"/>
                      <w:bCs/>
                      <w:color w:val="FF0000"/>
                      <w:szCs w:val="21"/>
                      <w:lang w:val="en-US" w:eastAsia="zh-CN"/>
                    </w:rPr>
                  </w:pPr>
                  <w:r>
                    <w:rPr>
                      <w:rFonts w:hint="default" w:ascii="Times New Roman" w:hAnsi="Times New Roman" w:eastAsia="宋体" w:cs="Times New Roman"/>
                      <w:bCs/>
                      <w:color w:val="FF0000"/>
                      <w:szCs w:val="21"/>
                      <w:lang w:val="en-US" w:eastAsia="zh-CN"/>
                    </w:rPr>
                    <w:t>149.44</w:t>
                  </w:r>
                </w:p>
              </w:tc>
              <w:tc>
                <w:tcPr>
                  <w:tcW w:w="438" w:type="pct"/>
                  <w:tcBorders>
                    <w:tl2br w:val="nil"/>
                    <w:tr2bl w:val="nil"/>
                  </w:tcBorders>
                  <w:vAlign w:val="center"/>
                </w:tcPr>
                <w:p w14:paraId="38406AF9">
                  <w:pPr>
                    <w:jc w:val="center"/>
                    <w:rPr>
                      <w:rFonts w:hint="default" w:ascii="Times New Roman" w:hAnsi="Times New Roman" w:cs="Times New Roman"/>
                      <w:bCs/>
                      <w:color w:val="FF0000"/>
                      <w:szCs w:val="21"/>
                    </w:rPr>
                  </w:pPr>
                  <w:r>
                    <w:rPr>
                      <w:rFonts w:hint="default" w:ascii="Times New Roman" w:hAnsi="Times New Roman" w:cs="Times New Roman"/>
                      <w:bCs/>
                      <w:color w:val="FF0000"/>
                      <w:szCs w:val="21"/>
                    </w:rPr>
                    <w:t>拆解</w:t>
                  </w:r>
                </w:p>
              </w:tc>
              <w:tc>
                <w:tcPr>
                  <w:tcW w:w="410" w:type="pct"/>
                  <w:tcBorders>
                    <w:tl2br w:val="nil"/>
                    <w:tr2bl w:val="nil"/>
                  </w:tcBorders>
                  <w:vAlign w:val="center"/>
                </w:tcPr>
                <w:p w14:paraId="1A549B84">
                  <w:pPr>
                    <w:jc w:val="center"/>
                    <w:rPr>
                      <w:rFonts w:hint="default" w:ascii="Times New Roman" w:hAnsi="Times New Roman" w:cs="Times New Roman"/>
                      <w:bCs/>
                      <w:color w:val="FF0000"/>
                      <w:szCs w:val="21"/>
                    </w:rPr>
                  </w:pPr>
                  <w:r>
                    <w:rPr>
                      <w:rFonts w:hint="default" w:ascii="Times New Roman" w:hAnsi="Times New Roman" w:cs="Times New Roman"/>
                      <w:bCs/>
                      <w:color w:val="FF0000"/>
                      <w:szCs w:val="21"/>
                    </w:rPr>
                    <w:t>固态</w:t>
                  </w:r>
                </w:p>
              </w:tc>
              <w:tc>
                <w:tcPr>
                  <w:tcW w:w="1732" w:type="pct"/>
                  <w:vMerge w:val="continue"/>
                  <w:tcBorders>
                    <w:tl2br w:val="nil"/>
                    <w:tr2bl w:val="nil"/>
                  </w:tcBorders>
                  <w:vAlign w:val="center"/>
                </w:tcPr>
                <w:p w14:paraId="3ADECE40">
                  <w:pPr>
                    <w:jc w:val="center"/>
                    <w:rPr>
                      <w:rFonts w:hint="default" w:ascii="Times New Roman" w:hAnsi="Times New Roman" w:cs="Times New Roman"/>
                      <w:color w:val="FF0000"/>
                      <w:szCs w:val="21"/>
                    </w:rPr>
                  </w:pPr>
                </w:p>
              </w:tc>
            </w:tr>
            <w:tr w14:paraId="28A29ED7">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PrEx>
              <w:tc>
                <w:tcPr>
                  <w:tcW w:w="316" w:type="pct"/>
                  <w:tcBorders>
                    <w:tl2br w:val="nil"/>
                    <w:tr2bl w:val="nil"/>
                  </w:tcBorders>
                  <w:shd w:val="clear" w:color="auto" w:fill="auto"/>
                  <w:vAlign w:val="center"/>
                </w:tcPr>
                <w:p w14:paraId="304DCBAB">
                  <w:pPr>
                    <w:jc w:val="center"/>
                    <w:rPr>
                      <w:rFonts w:hint="default" w:ascii="Times New Roman" w:hAnsi="Times New Roman" w:cs="Times New Roman"/>
                      <w:bCs/>
                      <w:color w:val="FF0000"/>
                      <w:szCs w:val="21"/>
                    </w:rPr>
                  </w:pPr>
                  <w:r>
                    <w:rPr>
                      <w:rFonts w:hint="default" w:ascii="Times New Roman" w:hAnsi="Times New Roman" w:cs="Times New Roman"/>
                      <w:bCs/>
                      <w:color w:val="FF0000"/>
                      <w:szCs w:val="21"/>
                    </w:rPr>
                    <w:t>9</w:t>
                  </w:r>
                </w:p>
              </w:tc>
              <w:tc>
                <w:tcPr>
                  <w:tcW w:w="503" w:type="pct"/>
                  <w:tcBorders>
                    <w:tl2br w:val="nil"/>
                    <w:tr2bl w:val="nil"/>
                  </w:tcBorders>
                  <w:vAlign w:val="center"/>
                </w:tcPr>
                <w:p w14:paraId="338B1A17">
                  <w:pPr>
                    <w:jc w:val="center"/>
                    <w:rPr>
                      <w:rFonts w:hint="default" w:ascii="Times New Roman" w:hAnsi="Times New Roman" w:cs="Times New Roman"/>
                      <w:bCs/>
                      <w:color w:val="FF0000"/>
                      <w:szCs w:val="21"/>
                    </w:rPr>
                  </w:pPr>
                  <w:r>
                    <w:rPr>
                      <w:rFonts w:hint="default" w:ascii="Times New Roman" w:hAnsi="Times New Roman" w:cs="Times New Roman"/>
                      <w:bCs/>
                      <w:color w:val="FF0000"/>
                      <w:szCs w:val="21"/>
                    </w:rPr>
                    <w:t>除尘灰</w:t>
                  </w:r>
                </w:p>
              </w:tc>
              <w:tc>
                <w:tcPr>
                  <w:tcW w:w="906" w:type="pct"/>
                  <w:tcBorders>
                    <w:tl2br w:val="nil"/>
                    <w:tr2bl w:val="nil"/>
                  </w:tcBorders>
                  <w:vAlign w:val="center"/>
                </w:tcPr>
                <w:p w14:paraId="7A74BC51">
                  <w:pPr>
                    <w:jc w:val="center"/>
                    <w:rPr>
                      <w:rFonts w:hint="default" w:ascii="Times New Roman" w:hAnsi="Times New Roman" w:cs="Times New Roman"/>
                      <w:bCs/>
                      <w:color w:val="FF0000"/>
                      <w:szCs w:val="21"/>
                    </w:rPr>
                  </w:pPr>
                  <w:r>
                    <w:rPr>
                      <w:rFonts w:hint="default" w:ascii="Times New Roman" w:hAnsi="Times New Roman" w:cs="Times New Roman"/>
                      <w:bCs/>
                      <w:color w:val="FF0000"/>
                      <w:szCs w:val="21"/>
                    </w:rPr>
                    <w:t>900-099-S59</w:t>
                  </w:r>
                </w:p>
                <w:p w14:paraId="6B697911">
                  <w:pPr>
                    <w:jc w:val="center"/>
                    <w:rPr>
                      <w:rFonts w:hint="default" w:ascii="Times New Roman" w:hAnsi="Times New Roman" w:cs="Times New Roman"/>
                      <w:bCs/>
                      <w:color w:val="FF0000"/>
                      <w:szCs w:val="21"/>
                    </w:rPr>
                  </w:pPr>
                </w:p>
              </w:tc>
              <w:tc>
                <w:tcPr>
                  <w:tcW w:w="690" w:type="pct"/>
                  <w:tcBorders>
                    <w:tl2br w:val="nil"/>
                    <w:tr2bl w:val="nil"/>
                  </w:tcBorders>
                  <w:vAlign w:val="center"/>
                </w:tcPr>
                <w:p w14:paraId="485674F1">
                  <w:pPr>
                    <w:jc w:val="center"/>
                    <w:rPr>
                      <w:rFonts w:hint="default" w:ascii="Times New Roman" w:hAnsi="Times New Roman" w:eastAsia="宋体" w:cs="Times New Roman"/>
                      <w:bCs/>
                      <w:color w:val="FF0000"/>
                      <w:szCs w:val="21"/>
                      <w:lang w:val="en-US" w:eastAsia="zh-CN"/>
                    </w:rPr>
                  </w:pPr>
                  <w:r>
                    <w:rPr>
                      <w:rFonts w:hint="default" w:ascii="Times New Roman" w:hAnsi="Times New Roman" w:eastAsia="宋体" w:cs="Times New Roman"/>
                      <w:bCs/>
                      <w:color w:val="FF0000"/>
                      <w:szCs w:val="21"/>
                      <w:lang w:val="en-US" w:eastAsia="zh-CN"/>
                    </w:rPr>
                    <w:t>18.379</w:t>
                  </w:r>
                </w:p>
              </w:tc>
              <w:tc>
                <w:tcPr>
                  <w:tcW w:w="438" w:type="pct"/>
                  <w:tcBorders>
                    <w:tl2br w:val="nil"/>
                    <w:tr2bl w:val="nil"/>
                  </w:tcBorders>
                  <w:vAlign w:val="center"/>
                </w:tcPr>
                <w:p w14:paraId="37D10D74">
                  <w:pPr>
                    <w:jc w:val="center"/>
                    <w:rPr>
                      <w:rFonts w:hint="default" w:ascii="Times New Roman" w:hAnsi="Times New Roman" w:cs="Times New Roman"/>
                      <w:bCs/>
                      <w:color w:val="FF0000"/>
                      <w:szCs w:val="21"/>
                    </w:rPr>
                  </w:pPr>
                  <w:r>
                    <w:rPr>
                      <w:rFonts w:hint="default" w:ascii="Times New Roman" w:hAnsi="Times New Roman" w:cs="Times New Roman"/>
                      <w:bCs/>
                      <w:color w:val="FF0000"/>
                      <w:szCs w:val="21"/>
                    </w:rPr>
                    <w:t>废气治理</w:t>
                  </w:r>
                </w:p>
              </w:tc>
              <w:tc>
                <w:tcPr>
                  <w:tcW w:w="410" w:type="pct"/>
                  <w:tcBorders>
                    <w:tl2br w:val="nil"/>
                    <w:tr2bl w:val="nil"/>
                  </w:tcBorders>
                  <w:vAlign w:val="center"/>
                </w:tcPr>
                <w:p w14:paraId="69FDF50D">
                  <w:pPr>
                    <w:jc w:val="center"/>
                    <w:rPr>
                      <w:rFonts w:hint="default" w:ascii="Times New Roman" w:hAnsi="Times New Roman" w:cs="Times New Roman"/>
                      <w:bCs/>
                      <w:color w:val="FF0000"/>
                      <w:szCs w:val="21"/>
                    </w:rPr>
                  </w:pPr>
                  <w:r>
                    <w:rPr>
                      <w:rFonts w:hint="default" w:ascii="Times New Roman" w:hAnsi="Times New Roman" w:cs="Times New Roman"/>
                      <w:bCs/>
                      <w:color w:val="FF0000"/>
                      <w:szCs w:val="21"/>
                    </w:rPr>
                    <w:t>固态</w:t>
                  </w:r>
                </w:p>
              </w:tc>
              <w:tc>
                <w:tcPr>
                  <w:tcW w:w="1732" w:type="pct"/>
                  <w:vMerge w:val="continue"/>
                  <w:tcBorders>
                    <w:tl2br w:val="nil"/>
                    <w:tr2bl w:val="nil"/>
                  </w:tcBorders>
                  <w:vAlign w:val="center"/>
                </w:tcPr>
                <w:p w14:paraId="4EAEF2BA">
                  <w:pPr>
                    <w:jc w:val="center"/>
                    <w:rPr>
                      <w:rFonts w:hint="default" w:ascii="Times New Roman" w:hAnsi="Times New Roman" w:cs="Times New Roman"/>
                      <w:color w:val="FF0000"/>
                      <w:szCs w:val="21"/>
                    </w:rPr>
                  </w:pPr>
                </w:p>
              </w:tc>
            </w:tr>
            <w:tr w14:paraId="0AD21F81">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16" w:type="pct"/>
                  <w:tcBorders>
                    <w:tl2br w:val="nil"/>
                    <w:tr2bl w:val="nil"/>
                  </w:tcBorders>
                  <w:vAlign w:val="center"/>
                </w:tcPr>
                <w:p w14:paraId="01B46CB6">
                  <w:pPr>
                    <w:jc w:val="center"/>
                    <w:rPr>
                      <w:rFonts w:hint="default" w:ascii="Times New Roman" w:hAnsi="Times New Roman" w:cs="Times New Roman"/>
                      <w:bCs/>
                      <w:color w:val="FF0000"/>
                      <w:szCs w:val="21"/>
                    </w:rPr>
                  </w:pPr>
                  <w:r>
                    <w:rPr>
                      <w:rFonts w:hint="default" w:ascii="Times New Roman" w:hAnsi="Times New Roman" w:cs="Times New Roman"/>
                      <w:bCs/>
                      <w:color w:val="FF0000"/>
                      <w:szCs w:val="21"/>
                    </w:rPr>
                    <w:t>10</w:t>
                  </w:r>
                </w:p>
              </w:tc>
              <w:tc>
                <w:tcPr>
                  <w:tcW w:w="503" w:type="pct"/>
                  <w:tcBorders>
                    <w:tl2br w:val="nil"/>
                    <w:tr2bl w:val="nil"/>
                  </w:tcBorders>
                  <w:vAlign w:val="center"/>
                </w:tcPr>
                <w:p w14:paraId="01BB23FD">
                  <w:pPr>
                    <w:pStyle w:val="128"/>
                    <w:jc w:val="center"/>
                    <w:rPr>
                      <w:rFonts w:hint="default" w:ascii="Times New Roman" w:hAnsi="Times New Roman" w:cs="Times New Roman"/>
                      <w:color w:val="FF0000"/>
                      <w:sz w:val="21"/>
                      <w:szCs w:val="21"/>
                      <w:lang w:val="en-US" w:eastAsia="zh-CN"/>
                    </w:rPr>
                  </w:pPr>
                  <w:r>
                    <w:rPr>
                      <w:rFonts w:hint="default" w:ascii="Times New Roman" w:hAnsi="Times New Roman" w:cs="Times New Roman"/>
                      <w:color w:val="FF0000"/>
                      <w:sz w:val="21"/>
                      <w:szCs w:val="21"/>
                      <w:lang w:val="en-US" w:eastAsia="zh-CN"/>
                    </w:rPr>
                    <w:t>落地粉尘</w:t>
                  </w:r>
                </w:p>
              </w:tc>
              <w:tc>
                <w:tcPr>
                  <w:tcW w:w="906" w:type="pct"/>
                  <w:tcBorders>
                    <w:tl2br w:val="nil"/>
                    <w:tr2bl w:val="nil"/>
                  </w:tcBorders>
                  <w:vAlign w:val="center"/>
                </w:tcPr>
                <w:p w14:paraId="0360584A">
                  <w:pPr>
                    <w:pStyle w:val="128"/>
                    <w:jc w:val="center"/>
                    <w:rPr>
                      <w:rFonts w:hint="default" w:ascii="Times New Roman" w:hAnsi="Times New Roman" w:cs="Times New Roman"/>
                      <w:color w:val="FF0000"/>
                      <w:sz w:val="21"/>
                      <w:szCs w:val="21"/>
                      <w:lang w:val="en-US" w:eastAsia="zh-CN"/>
                    </w:rPr>
                  </w:pPr>
                </w:p>
                <w:p w14:paraId="2227BBEA">
                  <w:pPr>
                    <w:pStyle w:val="128"/>
                    <w:jc w:val="center"/>
                    <w:rPr>
                      <w:rFonts w:hint="default" w:ascii="Times New Roman" w:hAnsi="Times New Roman" w:cs="Times New Roman"/>
                      <w:color w:val="FF0000"/>
                      <w:sz w:val="21"/>
                      <w:szCs w:val="21"/>
                      <w:lang w:val="en-US" w:eastAsia="zh-CN"/>
                    </w:rPr>
                  </w:pPr>
                  <w:r>
                    <w:rPr>
                      <w:rFonts w:hint="default" w:ascii="Times New Roman" w:hAnsi="Times New Roman" w:cs="Times New Roman"/>
                      <w:color w:val="FF0000"/>
                      <w:sz w:val="21"/>
                      <w:szCs w:val="21"/>
                      <w:lang w:val="en-US" w:eastAsia="zh-CN"/>
                    </w:rPr>
                    <w:t>900-099-S59</w:t>
                  </w:r>
                </w:p>
                <w:p w14:paraId="6960B239">
                  <w:pPr>
                    <w:pStyle w:val="128"/>
                    <w:jc w:val="center"/>
                    <w:rPr>
                      <w:rFonts w:hint="default" w:ascii="Times New Roman" w:hAnsi="Times New Roman" w:cs="Times New Roman"/>
                      <w:color w:val="FF0000"/>
                      <w:sz w:val="21"/>
                      <w:szCs w:val="21"/>
                      <w:lang w:val="en-US" w:eastAsia="zh-CN"/>
                    </w:rPr>
                  </w:pPr>
                </w:p>
              </w:tc>
              <w:tc>
                <w:tcPr>
                  <w:tcW w:w="690" w:type="pct"/>
                  <w:tcBorders>
                    <w:tl2br w:val="nil"/>
                    <w:tr2bl w:val="nil"/>
                  </w:tcBorders>
                  <w:vAlign w:val="center"/>
                </w:tcPr>
                <w:p w14:paraId="3DA219E6">
                  <w:pPr>
                    <w:jc w:val="center"/>
                    <w:rPr>
                      <w:rFonts w:hint="default" w:ascii="Times New Roman" w:hAnsi="Times New Roman" w:eastAsia="宋体" w:cs="Times New Roman"/>
                      <w:bCs/>
                      <w:color w:val="FF0000"/>
                      <w:szCs w:val="21"/>
                      <w:lang w:val="en-US" w:eastAsia="zh-CN"/>
                    </w:rPr>
                  </w:pPr>
                  <w:r>
                    <w:rPr>
                      <w:rFonts w:hint="eastAsia" w:ascii="Times New Roman" w:hAnsi="Times New Roman" w:cs="Times New Roman"/>
                      <w:bCs/>
                      <w:color w:val="FF0000"/>
                      <w:szCs w:val="21"/>
                      <w:lang w:val="en-US" w:eastAsia="zh-CN"/>
                    </w:rPr>
                    <w:t>4.177</w:t>
                  </w:r>
                </w:p>
              </w:tc>
              <w:tc>
                <w:tcPr>
                  <w:tcW w:w="438" w:type="pct"/>
                  <w:tcBorders>
                    <w:tl2br w:val="nil"/>
                    <w:tr2bl w:val="nil"/>
                  </w:tcBorders>
                  <w:vAlign w:val="center"/>
                </w:tcPr>
                <w:p w14:paraId="0EC85EFB">
                  <w:pPr>
                    <w:jc w:val="center"/>
                    <w:rPr>
                      <w:rFonts w:hint="default" w:ascii="Times New Roman" w:hAnsi="Times New Roman" w:cs="Times New Roman"/>
                      <w:bCs/>
                      <w:color w:val="FF0000"/>
                      <w:szCs w:val="21"/>
                    </w:rPr>
                  </w:pPr>
                  <w:r>
                    <w:rPr>
                      <w:rFonts w:hint="default" w:ascii="Times New Roman" w:hAnsi="Times New Roman" w:cs="Times New Roman"/>
                      <w:bCs/>
                      <w:color w:val="FF0000"/>
                      <w:szCs w:val="21"/>
                    </w:rPr>
                    <w:t>废气治理</w:t>
                  </w:r>
                </w:p>
              </w:tc>
              <w:tc>
                <w:tcPr>
                  <w:tcW w:w="410" w:type="pct"/>
                  <w:tcBorders>
                    <w:tl2br w:val="nil"/>
                    <w:tr2bl w:val="nil"/>
                  </w:tcBorders>
                  <w:vAlign w:val="center"/>
                </w:tcPr>
                <w:p w14:paraId="37F06F2B">
                  <w:pPr>
                    <w:jc w:val="center"/>
                    <w:rPr>
                      <w:rFonts w:hint="default" w:ascii="Times New Roman" w:hAnsi="Times New Roman" w:cs="Times New Roman"/>
                      <w:bCs/>
                      <w:color w:val="FF0000"/>
                      <w:szCs w:val="21"/>
                    </w:rPr>
                  </w:pPr>
                  <w:r>
                    <w:rPr>
                      <w:rFonts w:hint="default" w:ascii="Times New Roman" w:hAnsi="Times New Roman" w:cs="Times New Roman"/>
                      <w:bCs/>
                      <w:color w:val="FF0000"/>
                      <w:szCs w:val="21"/>
                    </w:rPr>
                    <w:t>固态</w:t>
                  </w:r>
                </w:p>
              </w:tc>
              <w:tc>
                <w:tcPr>
                  <w:tcW w:w="1732" w:type="pct"/>
                  <w:vMerge w:val="continue"/>
                  <w:tcBorders>
                    <w:tl2br w:val="nil"/>
                    <w:tr2bl w:val="nil"/>
                  </w:tcBorders>
                  <w:vAlign w:val="center"/>
                </w:tcPr>
                <w:p w14:paraId="1DE59000">
                  <w:pPr>
                    <w:jc w:val="center"/>
                    <w:rPr>
                      <w:rFonts w:hint="default" w:ascii="Times New Roman" w:hAnsi="Times New Roman" w:cs="Times New Roman"/>
                      <w:color w:val="FF0000"/>
                      <w:szCs w:val="21"/>
                    </w:rPr>
                  </w:pPr>
                </w:p>
              </w:tc>
            </w:tr>
          </w:tbl>
          <w:p w14:paraId="3C8A6886">
            <w:pPr>
              <w:spacing w:before="120" w:beforeLines="50" w:line="276" w:lineRule="auto"/>
              <w:ind w:firstLine="422" w:firstLineChars="200"/>
              <w:jc w:val="center"/>
              <w:rPr>
                <w:rFonts w:hint="default" w:ascii="Times New Roman" w:hAnsi="Times New Roman" w:cs="Times New Roman"/>
                <w:b/>
                <w:color w:val="FF0000"/>
                <w:szCs w:val="21"/>
              </w:rPr>
            </w:pPr>
          </w:p>
          <w:p w14:paraId="34200303">
            <w:pPr>
              <w:spacing w:before="120" w:beforeLines="50" w:line="276" w:lineRule="auto"/>
              <w:ind w:firstLine="422" w:firstLineChars="200"/>
              <w:jc w:val="center"/>
              <w:rPr>
                <w:rFonts w:hint="default" w:ascii="Times New Roman" w:hAnsi="Times New Roman" w:cs="Times New Roman"/>
                <w:b/>
                <w:color w:val="FF0000"/>
                <w:szCs w:val="21"/>
              </w:rPr>
            </w:pPr>
          </w:p>
          <w:p w14:paraId="3A0F40A0">
            <w:pPr>
              <w:spacing w:before="120" w:beforeLines="50" w:line="276" w:lineRule="auto"/>
              <w:ind w:firstLine="422" w:firstLineChars="200"/>
              <w:jc w:val="center"/>
              <w:rPr>
                <w:rFonts w:hint="default" w:ascii="Times New Roman" w:hAnsi="Times New Roman" w:cs="Times New Roman"/>
                <w:b/>
                <w:color w:val="FF0000"/>
                <w:szCs w:val="21"/>
              </w:rPr>
            </w:pPr>
            <w:r>
              <w:rPr>
                <w:rFonts w:hint="default" w:ascii="Times New Roman" w:hAnsi="Times New Roman" w:cs="Times New Roman"/>
                <w:b/>
                <w:color w:val="FF0000"/>
                <w:szCs w:val="21"/>
              </w:rPr>
              <w:t>表4-3</w:t>
            </w:r>
            <w:r>
              <w:rPr>
                <w:rFonts w:hint="eastAsia" w:cs="Times New Roman"/>
                <w:b/>
                <w:color w:val="FF0000"/>
                <w:szCs w:val="21"/>
                <w:lang w:val="en-US" w:eastAsia="zh-CN"/>
              </w:rPr>
              <w:t>6</w:t>
            </w:r>
            <w:r>
              <w:rPr>
                <w:rFonts w:hint="default" w:ascii="Times New Roman" w:hAnsi="Times New Roman" w:cs="Times New Roman"/>
                <w:b/>
                <w:color w:val="FF0000"/>
                <w:szCs w:val="21"/>
              </w:rPr>
              <w:t xml:space="preserve">  建设项目危险废物产生及处置措施一览表</w:t>
            </w:r>
          </w:p>
          <w:tbl>
            <w:tblPr>
              <w:tblStyle w:val="34"/>
              <w:tblW w:w="4997" w:type="pct"/>
              <w:tblInd w:w="5" w:type="dxa"/>
              <w:tblBorders>
                <w:top w:val="double" w:color="000000" w:sz="4" w:space="0"/>
                <w:left w:val="none" w:color="auto" w:sz="0" w:space="0"/>
                <w:bottom w:val="double" w:color="000000" w:sz="4"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
            <w:tblGrid>
              <w:gridCol w:w="364"/>
              <w:gridCol w:w="1009"/>
              <w:gridCol w:w="793"/>
              <w:gridCol w:w="892"/>
              <w:gridCol w:w="916"/>
              <w:gridCol w:w="823"/>
              <w:gridCol w:w="717"/>
              <w:gridCol w:w="836"/>
              <w:gridCol w:w="2119"/>
            </w:tblGrid>
            <w:tr w14:paraId="51F7E0C9">
              <w:tblPrEx>
                <w:tblBorders>
                  <w:top w:val="double" w:color="000000" w:sz="4" w:space="0"/>
                  <w:left w:val="none" w:color="auto" w:sz="0" w:space="0"/>
                  <w:bottom w:val="doub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757" w:hRule="atLeast"/>
              </w:trPr>
              <w:tc>
                <w:tcPr>
                  <w:tcW w:w="214" w:type="pct"/>
                  <w:tcBorders>
                    <w:tl2br w:val="nil"/>
                    <w:tr2bl w:val="nil"/>
                  </w:tcBorders>
                  <w:shd w:val="clear" w:color="auto" w:fill="auto"/>
                  <w:vAlign w:val="center"/>
                </w:tcPr>
                <w:p w14:paraId="762F0CC5">
                  <w:pPr>
                    <w:widowControl/>
                    <w:jc w:val="center"/>
                    <w:textAlignment w:val="center"/>
                    <w:rPr>
                      <w:rFonts w:hint="default" w:ascii="Times New Roman" w:hAnsi="Times New Roman" w:cs="Times New Roman"/>
                      <w:b/>
                      <w:bCs/>
                      <w:color w:val="FF0000"/>
                      <w:szCs w:val="21"/>
                    </w:rPr>
                  </w:pPr>
                  <w:r>
                    <w:rPr>
                      <w:rFonts w:hint="default" w:ascii="Times New Roman" w:hAnsi="Times New Roman" w:cs="Times New Roman"/>
                      <w:b/>
                      <w:bCs/>
                      <w:color w:val="FF0000"/>
                      <w:kern w:val="0"/>
                      <w:szCs w:val="21"/>
                      <w:lang w:bidi="ar"/>
                    </w:rPr>
                    <w:t>序号</w:t>
                  </w:r>
                </w:p>
              </w:tc>
              <w:tc>
                <w:tcPr>
                  <w:tcW w:w="595" w:type="pct"/>
                  <w:tcBorders>
                    <w:tl2br w:val="nil"/>
                    <w:tr2bl w:val="nil"/>
                  </w:tcBorders>
                  <w:shd w:val="clear" w:color="auto" w:fill="auto"/>
                  <w:vAlign w:val="center"/>
                </w:tcPr>
                <w:p w14:paraId="0609C8D2">
                  <w:pPr>
                    <w:widowControl/>
                    <w:jc w:val="center"/>
                    <w:textAlignment w:val="center"/>
                    <w:rPr>
                      <w:rFonts w:hint="default" w:ascii="Times New Roman" w:hAnsi="Times New Roman" w:cs="Times New Roman"/>
                      <w:b/>
                      <w:bCs/>
                      <w:color w:val="FF0000"/>
                      <w:szCs w:val="21"/>
                    </w:rPr>
                  </w:pPr>
                  <w:r>
                    <w:rPr>
                      <w:rFonts w:hint="default" w:ascii="Times New Roman" w:hAnsi="Times New Roman" w:cs="Times New Roman"/>
                      <w:b/>
                      <w:bCs/>
                      <w:color w:val="FF0000"/>
                      <w:kern w:val="0"/>
                      <w:szCs w:val="21"/>
                      <w:lang w:bidi="ar"/>
                    </w:rPr>
                    <w:t>固废名称</w:t>
                  </w:r>
                </w:p>
              </w:tc>
              <w:tc>
                <w:tcPr>
                  <w:tcW w:w="468" w:type="pct"/>
                  <w:tcBorders>
                    <w:tl2br w:val="nil"/>
                    <w:tr2bl w:val="nil"/>
                  </w:tcBorders>
                  <w:shd w:val="clear" w:color="auto" w:fill="auto"/>
                  <w:vAlign w:val="center"/>
                </w:tcPr>
                <w:p w14:paraId="4069DF74">
                  <w:pPr>
                    <w:widowControl/>
                    <w:jc w:val="center"/>
                    <w:textAlignment w:val="center"/>
                    <w:rPr>
                      <w:rFonts w:hint="default" w:ascii="Times New Roman" w:hAnsi="Times New Roman" w:cs="Times New Roman"/>
                      <w:b/>
                      <w:bCs/>
                      <w:color w:val="FF0000"/>
                      <w:szCs w:val="21"/>
                    </w:rPr>
                  </w:pPr>
                  <w:r>
                    <w:rPr>
                      <w:rFonts w:hint="default" w:ascii="Times New Roman" w:hAnsi="Times New Roman" w:cs="Times New Roman"/>
                      <w:b/>
                      <w:bCs/>
                      <w:color w:val="FF0000"/>
                      <w:kern w:val="0"/>
                      <w:szCs w:val="21"/>
                      <w:lang w:bidi="ar"/>
                    </w:rPr>
                    <w:t>废物类别</w:t>
                  </w:r>
                </w:p>
              </w:tc>
              <w:tc>
                <w:tcPr>
                  <w:tcW w:w="526" w:type="pct"/>
                  <w:tcBorders>
                    <w:tl2br w:val="nil"/>
                    <w:tr2bl w:val="nil"/>
                  </w:tcBorders>
                  <w:shd w:val="clear" w:color="auto" w:fill="auto"/>
                  <w:vAlign w:val="center"/>
                </w:tcPr>
                <w:p w14:paraId="38AE43B3">
                  <w:pPr>
                    <w:widowControl/>
                    <w:jc w:val="center"/>
                    <w:textAlignment w:val="center"/>
                    <w:rPr>
                      <w:rFonts w:hint="default" w:ascii="Times New Roman" w:hAnsi="Times New Roman" w:cs="Times New Roman"/>
                      <w:b/>
                      <w:bCs/>
                      <w:color w:val="FF0000"/>
                      <w:szCs w:val="21"/>
                    </w:rPr>
                  </w:pPr>
                  <w:r>
                    <w:rPr>
                      <w:rFonts w:hint="default" w:ascii="Times New Roman" w:hAnsi="Times New Roman" w:cs="Times New Roman"/>
                      <w:b/>
                      <w:bCs/>
                      <w:color w:val="FF0000"/>
                      <w:kern w:val="0"/>
                      <w:szCs w:val="21"/>
                      <w:lang w:bidi="ar"/>
                    </w:rPr>
                    <w:t>危废代码</w:t>
                  </w:r>
                </w:p>
              </w:tc>
              <w:tc>
                <w:tcPr>
                  <w:tcW w:w="540" w:type="pct"/>
                  <w:tcBorders>
                    <w:tl2br w:val="nil"/>
                    <w:tr2bl w:val="nil"/>
                  </w:tcBorders>
                  <w:shd w:val="clear" w:color="auto" w:fill="auto"/>
                  <w:vAlign w:val="center"/>
                </w:tcPr>
                <w:p w14:paraId="10680CB6">
                  <w:pPr>
                    <w:widowControl/>
                    <w:jc w:val="center"/>
                    <w:textAlignment w:val="center"/>
                    <w:rPr>
                      <w:rFonts w:hint="default" w:ascii="Times New Roman" w:hAnsi="Times New Roman" w:cs="Times New Roman"/>
                      <w:b/>
                      <w:bCs/>
                      <w:color w:val="FF0000"/>
                      <w:szCs w:val="21"/>
                    </w:rPr>
                  </w:pPr>
                  <w:r>
                    <w:rPr>
                      <w:rFonts w:hint="default" w:ascii="Times New Roman" w:hAnsi="Times New Roman" w:cs="Times New Roman"/>
                      <w:b/>
                      <w:bCs/>
                      <w:color w:val="FF0000"/>
                      <w:kern w:val="0"/>
                      <w:szCs w:val="21"/>
                      <w:lang w:bidi="ar"/>
                    </w:rPr>
                    <w:t>产生量（t/a）</w:t>
                  </w:r>
                </w:p>
              </w:tc>
              <w:tc>
                <w:tcPr>
                  <w:tcW w:w="485" w:type="pct"/>
                  <w:tcBorders>
                    <w:tl2br w:val="nil"/>
                    <w:tr2bl w:val="nil"/>
                  </w:tcBorders>
                  <w:shd w:val="clear" w:color="auto" w:fill="auto"/>
                  <w:vAlign w:val="center"/>
                </w:tcPr>
                <w:p w14:paraId="02BC5E10">
                  <w:pPr>
                    <w:widowControl/>
                    <w:jc w:val="center"/>
                    <w:textAlignment w:val="center"/>
                    <w:rPr>
                      <w:rFonts w:hint="default" w:ascii="Times New Roman" w:hAnsi="Times New Roman" w:cs="Times New Roman"/>
                      <w:b/>
                      <w:bCs/>
                      <w:color w:val="FF0000"/>
                      <w:szCs w:val="21"/>
                    </w:rPr>
                  </w:pPr>
                  <w:r>
                    <w:rPr>
                      <w:rFonts w:hint="default" w:ascii="Times New Roman" w:hAnsi="Times New Roman" w:cs="Times New Roman"/>
                      <w:b/>
                      <w:bCs/>
                      <w:color w:val="FF0000"/>
                      <w:kern w:val="0"/>
                      <w:szCs w:val="21"/>
                      <w:lang w:bidi="ar"/>
                    </w:rPr>
                    <w:t>形态</w:t>
                  </w:r>
                </w:p>
              </w:tc>
              <w:tc>
                <w:tcPr>
                  <w:tcW w:w="423" w:type="pct"/>
                  <w:tcBorders>
                    <w:tl2br w:val="nil"/>
                    <w:tr2bl w:val="nil"/>
                  </w:tcBorders>
                  <w:shd w:val="clear" w:color="auto" w:fill="auto"/>
                  <w:vAlign w:val="center"/>
                </w:tcPr>
                <w:p w14:paraId="0F714B48">
                  <w:pPr>
                    <w:widowControl/>
                    <w:jc w:val="center"/>
                    <w:textAlignment w:val="center"/>
                    <w:rPr>
                      <w:rFonts w:hint="default" w:ascii="Times New Roman" w:hAnsi="Times New Roman" w:cs="Times New Roman"/>
                      <w:b/>
                      <w:bCs/>
                      <w:color w:val="FF0000"/>
                      <w:kern w:val="0"/>
                      <w:szCs w:val="21"/>
                      <w:lang w:bidi="ar"/>
                    </w:rPr>
                  </w:pPr>
                  <w:r>
                    <w:rPr>
                      <w:rFonts w:hint="default" w:ascii="Times New Roman" w:hAnsi="Times New Roman" w:cs="Times New Roman"/>
                      <w:b/>
                      <w:bCs/>
                      <w:color w:val="FF0000"/>
                      <w:kern w:val="0"/>
                      <w:szCs w:val="21"/>
                      <w:lang w:bidi="ar"/>
                    </w:rPr>
                    <w:t>危险</w:t>
                  </w:r>
                </w:p>
                <w:p w14:paraId="0861B6DE">
                  <w:pPr>
                    <w:widowControl/>
                    <w:jc w:val="center"/>
                    <w:textAlignment w:val="center"/>
                    <w:rPr>
                      <w:rFonts w:hint="default" w:ascii="Times New Roman" w:hAnsi="Times New Roman" w:cs="Times New Roman"/>
                      <w:b/>
                      <w:bCs/>
                      <w:color w:val="FF0000"/>
                      <w:szCs w:val="21"/>
                    </w:rPr>
                  </w:pPr>
                  <w:r>
                    <w:rPr>
                      <w:rFonts w:hint="default" w:ascii="Times New Roman" w:hAnsi="Times New Roman" w:cs="Times New Roman"/>
                      <w:b/>
                      <w:bCs/>
                      <w:color w:val="FF0000"/>
                      <w:kern w:val="0"/>
                      <w:szCs w:val="21"/>
                      <w:lang w:bidi="ar"/>
                    </w:rPr>
                    <w:t>特性</w:t>
                  </w:r>
                </w:p>
              </w:tc>
              <w:tc>
                <w:tcPr>
                  <w:tcW w:w="493" w:type="pct"/>
                  <w:tcBorders>
                    <w:tl2br w:val="nil"/>
                    <w:tr2bl w:val="nil"/>
                  </w:tcBorders>
                  <w:shd w:val="clear" w:color="auto" w:fill="auto"/>
                  <w:vAlign w:val="center"/>
                </w:tcPr>
                <w:p w14:paraId="46CC49CD">
                  <w:pPr>
                    <w:widowControl/>
                    <w:jc w:val="center"/>
                    <w:textAlignment w:val="center"/>
                    <w:rPr>
                      <w:rFonts w:hint="default" w:ascii="Times New Roman" w:hAnsi="Times New Roman" w:cs="Times New Roman"/>
                      <w:b/>
                      <w:bCs/>
                      <w:color w:val="0070C0"/>
                      <w:kern w:val="0"/>
                      <w:szCs w:val="21"/>
                      <w:lang w:bidi="ar"/>
                    </w:rPr>
                  </w:pPr>
                  <w:r>
                    <w:rPr>
                      <w:rFonts w:hint="eastAsia" w:cs="Times New Roman"/>
                      <w:b/>
                      <w:bCs/>
                      <w:color w:val="0070C0"/>
                      <w:kern w:val="0"/>
                      <w:szCs w:val="21"/>
                      <w:lang w:val="en-US" w:eastAsia="zh-CN" w:bidi="ar"/>
                    </w:rPr>
                    <w:t>最大贮存</w:t>
                  </w:r>
                  <w:r>
                    <w:rPr>
                      <w:rFonts w:hint="default" w:ascii="Times New Roman" w:hAnsi="Times New Roman" w:cs="Times New Roman"/>
                      <w:b/>
                      <w:bCs/>
                      <w:color w:val="0070C0"/>
                      <w:kern w:val="0"/>
                      <w:szCs w:val="21"/>
                      <w:lang w:bidi="ar"/>
                    </w:rPr>
                    <w:t>量（t/a）</w:t>
                  </w:r>
                </w:p>
              </w:tc>
              <w:tc>
                <w:tcPr>
                  <w:tcW w:w="1251" w:type="pct"/>
                  <w:tcBorders>
                    <w:tl2br w:val="nil"/>
                    <w:tr2bl w:val="nil"/>
                  </w:tcBorders>
                  <w:shd w:val="clear" w:color="auto" w:fill="auto"/>
                  <w:vAlign w:val="center"/>
                </w:tcPr>
                <w:p w14:paraId="27B1257C">
                  <w:pPr>
                    <w:widowControl/>
                    <w:jc w:val="center"/>
                    <w:textAlignment w:val="center"/>
                    <w:rPr>
                      <w:rFonts w:hint="default" w:ascii="Times New Roman" w:hAnsi="Times New Roman" w:cs="Times New Roman"/>
                      <w:b/>
                      <w:bCs/>
                      <w:color w:val="FF0000"/>
                      <w:szCs w:val="21"/>
                    </w:rPr>
                  </w:pPr>
                  <w:r>
                    <w:rPr>
                      <w:rFonts w:hint="default" w:ascii="Times New Roman" w:hAnsi="Times New Roman" w:cs="Times New Roman"/>
                      <w:b/>
                      <w:bCs/>
                      <w:color w:val="FF0000"/>
                      <w:kern w:val="0"/>
                      <w:szCs w:val="21"/>
                      <w:lang w:bidi="ar"/>
                    </w:rPr>
                    <w:t>污染防治措施</w:t>
                  </w:r>
                </w:p>
              </w:tc>
            </w:tr>
            <w:tr w14:paraId="11AA6E1D">
              <w:tblPrEx>
                <w:tblBorders>
                  <w:top w:val="double" w:color="000000" w:sz="4" w:space="0"/>
                  <w:left w:val="none" w:color="auto" w:sz="0" w:space="0"/>
                  <w:bottom w:val="doub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72" w:hRule="atLeast"/>
              </w:trPr>
              <w:tc>
                <w:tcPr>
                  <w:tcW w:w="214" w:type="pct"/>
                  <w:tcBorders>
                    <w:tl2br w:val="nil"/>
                    <w:tr2bl w:val="nil"/>
                  </w:tcBorders>
                  <w:shd w:val="clear" w:color="auto" w:fill="auto"/>
                  <w:vAlign w:val="center"/>
                </w:tcPr>
                <w:p w14:paraId="2D775796">
                  <w:pPr>
                    <w:jc w:val="center"/>
                    <w:rPr>
                      <w:rFonts w:hint="default" w:ascii="Times New Roman" w:hAnsi="Times New Roman" w:cs="Times New Roman"/>
                      <w:bCs/>
                      <w:color w:val="FF0000"/>
                      <w:szCs w:val="21"/>
                    </w:rPr>
                  </w:pPr>
                  <w:r>
                    <w:rPr>
                      <w:rFonts w:hint="default" w:ascii="Times New Roman" w:hAnsi="Times New Roman" w:cs="Times New Roman"/>
                      <w:bCs/>
                      <w:color w:val="FF0000"/>
                      <w:szCs w:val="21"/>
                    </w:rPr>
                    <w:t>1</w:t>
                  </w:r>
                </w:p>
              </w:tc>
              <w:tc>
                <w:tcPr>
                  <w:tcW w:w="595" w:type="pct"/>
                  <w:tcBorders>
                    <w:tl2br w:val="nil"/>
                    <w:tr2bl w:val="nil"/>
                  </w:tcBorders>
                  <w:shd w:val="clear" w:color="auto" w:fill="auto"/>
                  <w:vAlign w:val="center"/>
                </w:tcPr>
                <w:p w14:paraId="5667E3CB">
                  <w:pPr>
                    <w:jc w:val="center"/>
                    <w:rPr>
                      <w:rFonts w:hint="default" w:ascii="Times New Roman" w:hAnsi="Times New Roman" w:cs="Times New Roman"/>
                      <w:bCs/>
                      <w:color w:val="FF0000"/>
                      <w:szCs w:val="21"/>
                    </w:rPr>
                  </w:pPr>
                  <w:r>
                    <w:rPr>
                      <w:rFonts w:hint="default" w:ascii="Times New Roman" w:hAnsi="Times New Roman" w:cs="Times New Roman"/>
                      <w:bCs/>
                      <w:color w:val="FF0000"/>
                      <w:szCs w:val="21"/>
                    </w:rPr>
                    <w:t>废液化气罐</w:t>
                  </w:r>
                </w:p>
              </w:tc>
              <w:tc>
                <w:tcPr>
                  <w:tcW w:w="468" w:type="pct"/>
                  <w:tcBorders>
                    <w:tl2br w:val="nil"/>
                    <w:tr2bl w:val="nil"/>
                  </w:tcBorders>
                  <w:shd w:val="clear" w:color="auto" w:fill="auto"/>
                  <w:vAlign w:val="center"/>
                </w:tcPr>
                <w:p w14:paraId="6A9AB577">
                  <w:pPr>
                    <w:jc w:val="center"/>
                    <w:rPr>
                      <w:rFonts w:hint="default" w:ascii="Times New Roman" w:hAnsi="Times New Roman" w:cs="Times New Roman"/>
                      <w:bCs/>
                      <w:color w:val="FF0000"/>
                      <w:szCs w:val="21"/>
                    </w:rPr>
                  </w:pPr>
                  <w:r>
                    <w:rPr>
                      <w:rFonts w:hint="default" w:ascii="Times New Roman" w:hAnsi="Times New Roman" w:cs="Times New Roman"/>
                      <w:bCs/>
                      <w:color w:val="FF0000"/>
                      <w:szCs w:val="21"/>
                    </w:rPr>
                    <w:t>HW49</w:t>
                  </w:r>
                </w:p>
              </w:tc>
              <w:tc>
                <w:tcPr>
                  <w:tcW w:w="526" w:type="pct"/>
                  <w:tcBorders>
                    <w:tl2br w:val="nil"/>
                    <w:tr2bl w:val="nil"/>
                  </w:tcBorders>
                  <w:shd w:val="clear" w:color="auto" w:fill="auto"/>
                  <w:vAlign w:val="center"/>
                </w:tcPr>
                <w:p w14:paraId="4C308473">
                  <w:pPr>
                    <w:jc w:val="center"/>
                    <w:rPr>
                      <w:rFonts w:hint="default" w:ascii="Times New Roman" w:hAnsi="Times New Roman" w:cs="Times New Roman"/>
                      <w:bCs/>
                      <w:color w:val="FF0000"/>
                      <w:szCs w:val="21"/>
                    </w:rPr>
                  </w:pPr>
                  <w:r>
                    <w:rPr>
                      <w:rFonts w:hint="default" w:ascii="Times New Roman" w:hAnsi="Times New Roman" w:cs="Times New Roman"/>
                      <w:bCs/>
                      <w:color w:val="FF0000"/>
                      <w:szCs w:val="21"/>
                    </w:rPr>
                    <w:t>900-041-49</w:t>
                  </w:r>
                </w:p>
              </w:tc>
              <w:tc>
                <w:tcPr>
                  <w:tcW w:w="540" w:type="pct"/>
                  <w:tcBorders>
                    <w:tl2br w:val="nil"/>
                    <w:tr2bl w:val="nil"/>
                  </w:tcBorders>
                  <w:shd w:val="clear" w:color="auto" w:fill="auto"/>
                  <w:vAlign w:val="center"/>
                </w:tcPr>
                <w:p w14:paraId="7C561108">
                  <w:pPr>
                    <w:jc w:val="center"/>
                    <w:rPr>
                      <w:rFonts w:hint="default" w:ascii="Times New Roman" w:hAnsi="Times New Roman" w:eastAsia="宋体" w:cs="Times New Roman"/>
                      <w:bCs/>
                      <w:color w:val="FF0000"/>
                      <w:szCs w:val="21"/>
                      <w:lang w:val="en-US" w:eastAsia="zh-CN"/>
                    </w:rPr>
                  </w:pPr>
                  <w:r>
                    <w:rPr>
                      <w:rFonts w:hint="default" w:ascii="Times New Roman" w:hAnsi="Times New Roman" w:eastAsia="宋体" w:cs="Times New Roman"/>
                      <w:bCs/>
                      <w:color w:val="FF0000"/>
                      <w:szCs w:val="21"/>
                      <w:lang w:val="en-US" w:eastAsia="zh-CN"/>
                    </w:rPr>
                    <w:t>74.71</w:t>
                  </w:r>
                </w:p>
              </w:tc>
              <w:tc>
                <w:tcPr>
                  <w:tcW w:w="485" w:type="pct"/>
                  <w:tcBorders>
                    <w:tl2br w:val="nil"/>
                    <w:tr2bl w:val="nil"/>
                  </w:tcBorders>
                  <w:shd w:val="clear" w:color="auto" w:fill="auto"/>
                  <w:vAlign w:val="center"/>
                </w:tcPr>
                <w:p w14:paraId="0CD85745">
                  <w:pPr>
                    <w:jc w:val="center"/>
                    <w:rPr>
                      <w:rFonts w:hint="default" w:ascii="Times New Roman" w:hAnsi="Times New Roman" w:cs="Times New Roman"/>
                      <w:bCs/>
                      <w:color w:val="FF0000"/>
                      <w:szCs w:val="21"/>
                    </w:rPr>
                  </w:pPr>
                  <w:r>
                    <w:rPr>
                      <w:rFonts w:hint="default" w:ascii="Times New Roman" w:hAnsi="Times New Roman" w:cs="Times New Roman"/>
                      <w:bCs/>
                      <w:color w:val="FF0000"/>
                      <w:szCs w:val="21"/>
                    </w:rPr>
                    <w:t>固态</w:t>
                  </w:r>
                </w:p>
              </w:tc>
              <w:tc>
                <w:tcPr>
                  <w:tcW w:w="423" w:type="pct"/>
                  <w:tcBorders>
                    <w:tl2br w:val="nil"/>
                    <w:tr2bl w:val="nil"/>
                  </w:tcBorders>
                  <w:shd w:val="clear" w:color="auto" w:fill="auto"/>
                  <w:vAlign w:val="center"/>
                </w:tcPr>
                <w:p w14:paraId="6298B32D">
                  <w:pPr>
                    <w:jc w:val="center"/>
                    <w:rPr>
                      <w:rFonts w:hint="default" w:ascii="Times New Roman" w:hAnsi="Times New Roman" w:cs="Times New Roman"/>
                      <w:bCs/>
                      <w:color w:val="FF0000"/>
                      <w:szCs w:val="21"/>
                    </w:rPr>
                  </w:pPr>
                  <w:r>
                    <w:rPr>
                      <w:rFonts w:hint="default" w:ascii="Times New Roman" w:hAnsi="Times New Roman" w:cs="Times New Roman"/>
                      <w:bCs/>
                      <w:color w:val="FF0000"/>
                      <w:szCs w:val="21"/>
                    </w:rPr>
                    <w:t>T/In</w:t>
                  </w:r>
                </w:p>
              </w:tc>
              <w:tc>
                <w:tcPr>
                  <w:tcW w:w="493" w:type="pct"/>
                  <w:tcBorders>
                    <w:tl2br w:val="nil"/>
                    <w:tr2bl w:val="nil"/>
                  </w:tcBorders>
                  <w:shd w:val="clear" w:color="auto" w:fill="auto"/>
                  <w:vAlign w:val="center"/>
                </w:tcPr>
                <w:p w14:paraId="0CA93DBC">
                  <w:pPr>
                    <w:keepNext w:val="0"/>
                    <w:keepLines w:val="0"/>
                    <w:widowControl/>
                    <w:suppressLineNumbers w:val="0"/>
                    <w:jc w:val="center"/>
                    <w:textAlignment w:val="center"/>
                    <w:rPr>
                      <w:rFonts w:hint="default" w:ascii="Times New Roman" w:hAnsi="Times New Roman" w:cs="Times New Roman"/>
                      <w:bCs/>
                      <w:color w:val="0070C0"/>
                      <w:szCs w:val="21"/>
                    </w:rPr>
                  </w:pPr>
                  <w:r>
                    <w:rPr>
                      <w:rFonts w:hint="default" w:ascii="Times New Roman" w:hAnsi="Times New Roman" w:eastAsia="宋体" w:cs="Times New Roman"/>
                      <w:i w:val="0"/>
                      <w:iCs w:val="0"/>
                      <w:color w:val="0070C0"/>
                      <w:kern w:val="0"/>
                      <w:sz w:val="21"/>
                      <w:szCs w:val="21"/>
                      <w:u w:val="none"/>
                      <w:lang w:val="en-US" w:eastAsia="zh-CN" w:bidi="ar"/>
                    </w:rPr>
                    <w:t xml:space="preserve">2 </w:t>
                  </w:r>
                </w:p>
              </w:tc>
              <w:tc>
                <w:tcPr>
                  <w:tcW w:w="1251" w:type="pct"/>
                  <w:vMerge w:val="restart"/>
                  <w:tcBorders>
                    <w:tl2br w:val="nil"/>
                    <w:tr2bl w:val="nil"/>
                  </w:tcBorders>
                  <w:shd w:val="clear" w:color="auto" w:fill="auto"/>
                  <w:vAlign w:val="center"/>
                </w:tcPr>
                <w:p w14:paraId="171EBFA2">
                  <w:pPr>
                    <w:widowControl/>
                    <w:jc w:val="center"/>
                    <w:textAlignment w:val="center"/>
                    <w:rPr>
                      <w:rFonts w:hint="default" w:ascii="Times New Roman" w:hAnsi="Times New Roman" w:cs="Times New Roman"/>
                      <w:color w:val="FF0000"/>
                      <w:szCs w:val="21"/>
                    </w:rPr>
                  </w:pPr>
                  <w:r>
                    <w:rPr>
                      <w:rFonts w:hint="default" w:ascii="Times New Roman" w:hAnsi="Times New Roman" w:cs="Times New Roman"/>
                      <w:color w:val="FF0000"/>
                      <w:kern w:val="0"/>
                      <w:sz w:val="21"/>
                      <w:szCs w:val="21"/>
                      <w:lang w:val="en-US" w:eastAsia="zh-CN" w:bidi="ar"/>
                    </w:rPr>
                    <w:t>厂内集中收集，分类、分区暂存在危废贮存点内，</w:t>
                  </w:r>
                  <w:r>
                    <w:rPr>
                      <w:rFonts w:hint="eastAsia"/>
                      <w:color w:val="FF0000"/>
                      <w:kern w:val="0"/>
                      <w:sz w:val="21"/>
                      <w:szCs w:val="21"/>
                      <w:lang w:val="en-US" w:eastAsia="zh-CN" w:bidi="ar"/>
                    </w:rPr>
                    <w:t>定期</w:t>
                  </w:r>
                  <w:r>
                    <w:rPr>
                      <w:rFonts w:hint="default" w:ascii="Times New Roman" w:hAnsi="Times New Roman" w:eastAsia="宋体" w:cs="Times New Roman"/>
                      <w:color w:val="FF0000"/>
                      <w:spacing w:val="-1"/>
                      <w:sz w:val="21"/>
                      <w:szCs w:val="21"/>
                    </w:rPr>
                    <w:t>交由具有相应资质的单位利用和处置</w:t>
                  </w:r>
                  <w:r>
                    <w:rPr>
                      <w:rFonts w:hint="eastAsia"/>
                      <w:color w:val="FF0000"/>
                      <w:kern w:val="0"/>
                      <w:sz w:val="21"/>
                      <w:szCs w:val="21"/>
                      <w:lang w:val="en-US" w:eastAsia="zh-CN" w:bidi="ar"/>
                    </w:rPr>
                    <w:t>。</w:t>
                  </w:r>
                </w:p>
              </w:tc>
            </w:tr>
            <w:tr w14:paraId="79EFFAF1">
              <w:tblPrEx>
                <w:tblBorders>
                  <w:top w:val="double" w:color="000000" w:sz="4" w:space="0"/>
                  <w:left w:val="none" w:color="auto" w:sz="0" w:space="0"/>
                  <w:bottom w:val="doub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72" w:hRule="atLeast"/>
              </w:trPr>
              <w:tc>
                <w:tcPr>
                  <w:tcW w:w="214" w:type="pct"/>
                  <w:tcBorders>
                    <w:tl2br w:val="nil"/>
                    <w:tr2bl w:val="nil"/>
                  </w:tcBorders>
                  <w:shd w:val="clear" w:color="auto" w:fill="auto"/>
                  <w:vAlign w:val="center"/>
                </w:tcPr>
                <w:p w14:paraId="524F1438">
                  <w:pPr>
                    <w:jc w:val="center"/>
                    <w:rPr>
                      <w:rFonts w:hint="default" w:ascii="Times New Roman" w:hAnsi="Times New Roman" w:cs="Times New Roman"/>
                      <w:bCs/>
                      <w:color w:val="FF0000"/>
                      <w:szCs w:val="21"/>
                    </w:rPr>
                  </w:pPr>
                  <w:r>
                    <w:rPr>
                      <w:rFonts w:hint="default" w:ascii="Times New Roman" w:hAnsi="Times New Roman" w:cs="Times New Roman"/>
                      <w:bCs/>
                      <w:color w:val="FF0000"/>
                      <w:szCs w:val="21"/>
                    </w:rPr>
                    <w:t>2</w:t>
                  </w:r>
                </w:p>
              </w:tc>
              <w:tc>
                <w:tcPr>
                  <w:tcW w:w="595" w:type="pct"/>
                  <w:tcBorders>
                    <w:tl2br w:val="nil"/>
                    <w:tr2bl w:val="nil"/>
                  </w:tcBorders>
                  <w:shd w:val="clear" w:color="auto" w:fill="auto"/>
                  <w:vAlign w:val="center"/>
                </w:tcPr>
                <w:p w14:paraId="3EC77F56">
                  <w:pPr>
                    <w:jc w:val="center"/>
                    <w:rPr>
                      <w:rFonts w:hint="default" w:ascii="Times New Roman" w:hAnsi="Times New Roman" w:cs="Times New Roman"/>
                      <w:bCs/>
                      <w:color w:val="FF0000"/>
                      <w:szCs w:val="21"/>
                    </w:rPr>
                  </w:pPr>
                  <w:r>
                    <w:rPr>
                      <w:rFonts w:hint="default" w:ascii="Times New Roman" w:hAnsi="Times New Roman" w:cs="Times New Roman"/>
                      <w:bCs/>
                      <w:color w:val="FF0000"/>
                      <w:szCs w:val="21"/>
                    </w:rPr>
                    <w:t>废制冷剂</w:t>
                  </w:r>
                </w:p>
              </w:tc>
              <w:tc>
                <w:tcPr>
                  <w:tcW w:w="468" w:type="pct"/>
                  <w:tcBorders>
                    <w:tl2br w:val="nil"/>
                    <w:tr2bl w:val="nil"/>
                  </w:tcBorders>
                  <w:shd w:val="clear" w:color="auto" w:fill="auto"/>
                  <w:vAlign w:val="center"/>
                </w:tcPr>
                <w:p w14:paraId="066CDBAA">
                  <w:pPr>
                    <w:jc w:val="center"/>
                    <w:rPr>
                      <w:rFonts w:hint="default" w:ascii="Times New Roman" w:hAnsi="Times New Roman" w:cs="Times New Roman"/>
                      <w:bCs/>
                      <w:color w:val="FF0000"/>
                      <w:szCs w:val="21"/>
                    </w:rPr>
                  </w:pPr>
                  <w:r>
                    <w:rPr>
                      <w:rFonts w:hint="default" w:ascii="Times New Roman" w:hAnsi="Times New Roman" w:cs="Times New Roman"/>
                      <w:bCs/>
                      <w:color w:val="FF0000"/>
                      <w:szCs w:val="21"/>
                    </w:rPr>
                    <w:t>HW49</w:t>
                  </w:r>
                </w:p>
              </w:tc>
              <w:tc>
                <w:tcPr>
                  <w:tcW w:w="526" w:type="pct"/>
                  <w:tcBorders>
                    <w:tl2br w:val="nil"/>
                    <w:tr2bl w:val="nil"/>
                  </w:tcBorders>
                  <w:shd w:val="clear" w:color="auto" w:fill="auto"/>
                  <w:vAlign w:val="center"/>
                </w:tcPr>
                <w:p w14:paraId="1933BEEF">
                  <w:pPr>
                    <w:jc w:val="center"/>
                    <w:rPr>
                      <w:rFonts w:hint="default" w:ascii="Times New Roman" w:hAnsi="Times New Roman" w:cs="Times New Roman"/>
                      <w:bCs/>
                      <w:color w:val="FF0000"/>
                      <w:szCs w:val="21"/>
                    </w:rPr>
                  </w:pPr>
                  <w:r>
                    <w:rPr>
                      <w:rFonts w:hint="default" w:ascii="Times New Roman" w:hAnsi="Times New Roman" w:cs="Times New Roman"/>
                      <w:bCs/>
                      <w:color w:val="FF0000"/>
                      <w:szCs w:val="21"/>
                    </w:rPr>
                    <w:t>900-999-49</w:t>
                  </w:r>
                </w:p>
              </w:tc>
              <w:tc>
                <w:tcPr>
                  <w:tcW w:w="540" w:type="pct"/>
                  <w:tcBorders>
                    <w:tl2br w:val="nil"/>
                    <w:tr2bl w:val="nil"/>
                  </w:tcBorders>
                  <w:shd w:val="clear" w:color="auto" w:fill="auto"/>
                  <w:vAlign w:val="center"/>
                </w:tcPr>
                <w:p w14:paraId="713096CF">
                  <w:pPr>
                    <w:jc w:val="center"/>
                    <w:rPr>
                      <w:rFonts w:hint="default" w:ascii="Times New Roman" w:hAnsi="Times New Roman" w:eastAsia="宋体" w:cs="Times New Roman"/>
                      <w:bCs/>
                      <w:color w:val="FF0000"/>
                      <w:szCs w:val="21"/>
                      <w:lang w:val="en-US" w:eastAsia="zh-CN"/>
                    </w:rPr>
                  </w:pPr>
                  <w:r>
                    <w:rPr>
                      <w:rFonts w:hint="default" w:ascii="Times New Roman" w:hAnsi="Times New Roman" w:eastAsia="宋体" w:cs="Times New Roman"/>
                      <w:bCs/>
                      <w:color w:val="FF0000"/>
                      <w:szCs w:val="21"/>
                      <w:lang w:val="en-US" w:eastAsia="zh-CN"/>
                    </w:rPr>
                    <w:t>2.78</w:t>
                  </w:r>
                </w:p>
              </w:tc>
              <w:tc>
                <w:tcPr>
                  <w:tcW w:w="485" w:type="pct"/>
                  <w:tcBorders>
                    <w:tl2br w:val="nil"/>
                    <w:tr2bl w:val="nil"/>
                  </w:tcBorders>
                  <w:shd w:val="clear" w:color="auto" w:fill="auto"/>
                  <w:vAlign w:val="center"/>
                </w:tcPr>
                <w:p w14:paraId="7016880B">
                  <w:pPr>
                    <w:jc w:val="center"/>
                    <w:rPr>
                      <w:rFonts w:hint="default" w:ascii="Times New Roman" w:hAnsi="Times New Roman" w:cs="Times New Roman"/>
                      <w:bCs/>
                      <w:color w:val="FF0000"/>
                      <w:szCs w:val="21"/>
                    </w:rPr>
                  </w:pPr>
                  <w:r>
                    <w:rPr>
                      <w:rFonts w:hint="default" w:ascii="Times New Roman" w:hAnsi="Times New Roman" w:cs="Times New Roman"/>
                      <w:bCs/>
                      <w:color w:val="FF0000"/>
                      <w:szCs w:val="21"/>
                    </w:rPr>
                    <w:t>液态</w:t>
                  </w:r>
                </w:p>
              </w:tc>
              <w:tc>
                <w:tcPr>
                  <w:tcW w:w="423" w:type="pct"/>
                  <w:tcBorders>
                    <w:tl2br w:val="nil"/>
                    <w:tr2bl w:val="nil"/>
                  </w:tcBorders>
                  <w:shd w:val="clear" w:color="auto" w:fill="auto"/>
                  <w:vAlign w:val="center"/>
                </w:tcPr>
                <w:p w14:paraId="2B6E1026">
                  <w:pPr>
                    <w:jc w:val="center"/>
                    <w:rPr>
                      <w:rFonts w:hint="default" w:ascii="Times New Roman" w:hAnsi="Times New Roman" w:cs="Times New Roman"/>
                      <w:bCs/>
                      <w:color w:val="FF0000"/>
                      <w:szCs w:val="21"/>
                    </w:rPr>
                  </w:pPr>
                  <w:r>
                    <w:rPr>
                      <w:rFonts w:hint="default" w:ascii="Times New Roman" w:hAnsi="Times New Roman" w:cs="Times New Roman"/>
                      <w:bCs/>
                      <w:color w:val="FF0000"/>
                      <w:szCs w:val="21"/>
                    </w:rPr>
                    <w:t>T/C/I/R</w:t>
                  </w:r>
                </w:p>
              </w:tc>
              <w:tc>
                <w:tcPr>
                  <w:tcW w:w="493" w:type="pct"/>
                  <w:tcBorders>
                    <w:tl2br w:val="nil"/>
                    <w:tr2bl w:val="nil"/>
                  </w:tcBorders>
                  <w:shd w:val="clear" w:color="auto" w:fill="auto"/>
                  <w:vAlign w:val="center"/>
                </w:tcPr>
                <w:p w14:paraId="68C449A8">
                  <w:pPr>
                    <w:keepNext w:val="0"/>
                    <w:keepLines w:val="0"/>
                    <w:widowControl/>
                    <w:suppressLineNumbers w:val="0"/>
                    <w:jc w:val="center"/>
                    <w:textAlignment w:val="center"/>
                    <w:rPr>
                      <w:rFonts w:hint="default" w:ascii="Times New Roman" w:hAnsi="Times New Roman" w:cs="Times New Roman"/>
                      <w:bCs/>
                      <w:color w:val="0070C0"/>
                      <w:szCs w:val="21"/>
                    </w:rPr>
                  </w:pPr>
                  <w:r>
                    <w:rPr>
                      <w:rFonts w:hint="eastAsia" w:cs="Times New Roman"/>
                      <w:i w:val="0"/>
                      <w:iCs w:val="0"/>
                      <w:color w:val="0070C0"/>
                      <w:kern w:val="0"/>
                      <w:sz w:val="21"/>
                      <w:szCs w:val="21"/>
                      <w:u w:val="none"/>
                      <w:lang w:val="en-US" w:eastAsia="zh-CN" w:bidi="ar"/>
                    </w:rPr>
                    <w:t>1</w:t>
                  </w:r>
                  <w:r>
                    <w:rPr>
                      <w:rFonts w:hint="default" w:ascii="Times New Roman" w:hAnsi="Times New Roman" w:eastAsia="宋体" w:cs="Times New Roman"/>
                      <w:i w:val="0"/>
                      <w:iCs w:val="0"/>
                      <w:color w:val="0070C0"/>
                      <w:kern w:val="0"/>
                      <w:sz w:val="21"/>
                      <w:szCs w:val="21"/>
                      <w:u w:val="none"/>
                      <w:lang w:val="en-US" w:eastAsia="zh-CN" w:bidi="ar"/>
                    </w:rPr>
                    <w:t xml:space="preserve"> </w:t>
                  </w:r>
                </w:p>
              </w:tc>
              <w:tc>
                <w:tcPr>
                  <w:tcW w:w="1251" w:type="pct"/>
                  <w:vMerge w:val="continue"/>
                  <w:tcBorders>
                    <w:tl2br w:val="nil"/>
                    <w:tr2bl w:val="nil"/>
                  </w:tcBorders>
                  <w:shd w:val="clear" w:color="auto" w:fill="auto"/>
                  <w:vAlign w:val="center"/>
                </w:tcPr>
                <w:p w14:paraId="35F58E26">
                  <w:pPr>
                    <w:jc w:val="center"/>
                    <w:rPr>
                      <w:rFonts w:hint="default" w:ascii="Times New Roman" w:hAnsi="Times New Roman" w:cs="Times New Roman"/>
                      <w:color w:val="FF0000"/>
                      <w:szCs w:val="21"/>
                    </w:rPr>
                  </w:pPr>
                </w:p>
              </w:tc>
            </w:tr>
            <w:tr w14:paraId="22C758E8">
              <w:tblPrEx>
                <w:tblBorders>
                  <w:top w:val="double" w:color="000000" w:sz="4" w:space="0"/>
                  <w:left w:val="none" w:color="auto" w:sz="0" w:space="0"/>
                  <w:bottom w:val="doub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90" w:hRule="atLeast"/>
              </w:trPr>
              <w:tc>
                <w:tcPr>
                  <w:tcW w:w="214" w:type="pct"/>
                  <w:tcBorders>
                    <w:tl2br w:val="nil"/>
                    <w:tr2bl w:val="nil"/>
                  </w:tcBorders>
                  <w:shd w:val="clear" w:color="auto" w:fill="auto"/>
                  <w:vAlign w:val="center"/>
                </w:tcPr>
                <w:p w14:paraId="067AE9C3">
                  <w:pPr>
                    <w:jc w:val="center"/>
                    <w:rPr>
                      <w:rFonts w:hint="default" w:ascii="Times New Roman" w:hAnsi="Times New Roman" w:cs="Times New Roman"/>
                      <w:bCs/>
                      <w:color w:val="FF0000"/>
                      <w:szCs w:val="21"/>
                    </w:rPr>
                  </w:pPr>
                  <w:r>
                    <w:rPr>
                      <w:rFonts w:hint="default" w:ascii="Times New Roman" w:hAnsi="Times New Roman" w:cs="Times New Roman"/>
                      <w:bCs/>
                      <w:color w:val="FF0000"/>
                      <w:szCs w:val="21"/>
                    </w:rPr>
                    <w:t>3</w:t>
                  </w:r>
                </w:p>
              </w:tc>
              <w:tc>
                <w:tcPr>
                  <w:tcW w:w="595" w:type="pct"/>
                  <w:tcBorders>
                    <w:tl2br w:val="nil"/>
                    <w:tr2bl w:val="nil"/>
                  </w:tcBorders>
                  <w:shd w:val="clear" w:color="auto" w:fill="auto"/>
                  <w:vAlign w:val="center"/>
                </w:tcPr>
                <w:p w14:paraId="34669B35">
                  <w:pPr>
                    <w:jc w:val="center"/>
                    <w:rPr>
                      <w:rFonts w:hint="default" w:ascii="Times New Roman" w:hAnsi="Times New Roman" w:cs="Times New Roman"/>
                      <w:bCs/>
                      <w:color w:val="FF0000"/>
                      <w:szCs w:val="21"/>
                    </w:rPr>
                  </w:pPr>
                  <w:r>
                    <w:rPr>
                      <w:rFonts w:hint="default" w:ascii="Times New Roman" w:hAnsi="Times New Roman" w:cs="Times New Roman"/>
                      <w:bCs/>
                      <w:color w:val="FF0000"/>
                      <w:szCs w:val="21"/>
                    </w:rPr>
                    <w:t>铅酸蓄电池</w:t>
                  </w:r>
                </w:p>
              </w:tc>
              <w:tc>
                <w:tcPr>
                  <w:tcW w:w="468" w:type="pct"/>
                  <w:tcBorders>
                    <w:tl2br w:val="nil"/>
                    <w:tr2bl w:val="nil"/>
                  </w:tcBorders>
                  <w:shd w:val="clear" w:color="auto" w:fill="auto"/>
                  <w:vAlign w:val="center"/>
                </w:tcPr>
                <w:p w14:paraId="5F5D1106">
                  <w:pPr>
                    <w:jc w:val="center"/>
                    <w:rPr>
                      <w:rFonts w:hint="default" w:ascii="Times New Roman" w:hAnsi="Times New Roman" w:cs="Times New Roman"/>
                      <w:bCs/>
                      <w:color w:val="FF0000"/>
                      <w:szCs w:val="21"/>
                    </w:rPr>
                  </w:pPr>
                  <w:r>
                    <w:rPr>
                      <w:rFonts w:hint="default" w:ascii="Times New Roman" w:hAnsi="Times New Roman" w:cs="Times New Roman"/>
                      <w:bCs/>
                      <w:color w:val="FF0000"/>
                      <w:szCs w:val="21"/>
                    </w:rPr>
                    <w:t>HW31</w:t>
                  </w:r>
                </w:p>
              </w:tc>
              <w:tc>
                <w:tcPr>
                  <w:tcW w:w="526" w:type="pct"/>
                  <w:tcBorders>
                    <w:tl2br w:val="nil"/>
                    <w:tr2bl w:val="nil"/>
                  </w:tcBorders>
                  <w:shd w:val="clear" w:color="auto" w:fill="auto"/>
                  <w:vAlign w:val="center"/>
                </w:tcPr>
                <w:p w14:paraId="10630C0B">
                  <w:pPr>
                    <w:jc w:val="center"/>
                    <w:rPr>
                      <w:rFonts w:hint="default" w:ascii="Times New Roman" w:hAnsi="Times New Roman" w:cs="Times New Roman"/>
                      <w:bCs/>
                      <w:color w:val="FF0000"/>
                      <w:szCs w:val="21"/>
                    </w:rPr>
                  </w:pPr>
                  <w:r>
                    <w:rPr>
                      <w:rFonts w:hint="default" w:ascii="Times New Roman" w:hAnsi="Times New Roman" w:cs="Times New Roman"/>
                      <w:bCs/>
                      <w:color w:val="FF0000"/>
                      <w:szCs w:val="21"/>
                    </w:rPr>
                    <w:t>900-052-31</w:t>
                  </w:r>
                </w:p>
              </w:tc>
              <w:tc>
                <w:tcPr>
                  <w:tcW w:w="540" w:type="pct"/>
                  <w:tcBorders>
                    <w:tl2br w:val="nil"/>
                    <w:tr2bl w:val="nil"/>
                  </w:tcBorders>
                  <w:shd w:val="clear" w:color="auto" w:fill="auto"/>
                  <w:vAlign w:val="center"/>
                </w:tcPr>
                <w:p w14:paraId="42D1B4F3">
                  <w:pPr>
                    <w:jc w:val="center"/>
                    <w:rPr>
                      <w:rFonts w:hint="default" w:ascii="Times New Roman" w:hAnsi="Times New Roman" w:eastAsia="宋体" w:cs="Times New Roman"/>
                      <w:bCs/>
                      <w:color w:val="FF0000"/>
                      <w:szCs w:val="21"/>
                      <w:lang w:val="en-US" w:eastAsia="zh-CN"/>
                    </w:rPr>
                  </w:pPr>
                  <w:r>
                    <w:rPr>
                      <w:rFonts w:hint="default" w:ascii="Times New Roman" w:hAnsi="Times New Roman" w:eastAsia="宋体" w:cs="Times New Roman"/>
                      <w:bCs/>
                      <w:color w:val="FF0000"/>
                      <w:szCs w:val="21"/>
                      <w:lang w:val="en-US" w:eastAsia="zh-CN"/>
                    </w:rPr>
                    <w:t>1518.18</w:t>
                  </w:r>
                </w:p>
              </w:tc>
              <w:tc>
                <w:tcPr>
                  <w:tcW w:w="485" w:type="pct"/>
                  <w:tcBorders>
                    <w:tl2br w:val="nil"/>
                    <w:tr2bl w:val="nil"/>
                  </w:tcBorders>
                  <w:shd w:val="clear" w:color="auto" w:fill="auto"/>
                  <w:vAlign w:val="center"/>
                </w:tcPr>
                <w:p w14:paraId="0217958A">
                  <w:pPr>
                    <w:jc w:val="center"/>
                    <w:rPr>
                      <w:rFonts w:hint="default" w:ascii="Times New Roman" w:hAnsi="Times New Roman" w:cs="Times New Roman"/>
                      <w:bCs/>
                      <w:color w:val="FF0000"/>
                      <w:szCs w:val="21"/>
                    </w:rPr>
                  </w:pPr>
                  <w:r>
                    <w:rPr>
                      <w:rFonts w:hint="default" w:ascii="Times New Roman" w:hAnsi="Times New Roman" w:cs="Times New Roman"/>
                      <w:bCs/>
                      <w:color w:val="FF0000"/>
                      <w:szCs w:val="21"/>
                    </w:rPr>
                    <w:t>固态</w:t>
                  </w:r>
                </w:p>
              </w:tc>
              <w:tc>
                <w:tcPr>
                  <w:tcW w:w="423" w:type="pct"/>
                  <w:tcBorders>
                    <w:tl2br w:val="nil"/>
                    <w:tr2bl w:val="nil"/>
                  </w:tcBorders>
                  <w:shd w:val="clear" w:color="auto" w:fill="auto"/>
                  <w:vAlign w:val="center"/>
                </w:tcPr>
                <w:p w14:paraId="5DD078A4">
                  <w:pPr>
                    <w:jc w:val="center"/>
                    <w:rPr>
                      <w:rFonts w:hint="default" w:ascii="Times New Roman" w:hAnsi="Times New Roman" w:cs="Times New Roman"/>
                      <w:bCs/>
                      <w:color w:val="FF0000"/>
                      <w:szCs w:val="21"/>
                    </w:rPr>
                  </w:pPr>
                  <w:r>
                    <w:rPr>
                      <w:rFonts w:hint="default" w:ascii="Times New Roman" w:hAnsi="Times New Roman" w:cs="Times New Roman"/>
                      <w:bCs/>
                      <w:color w:val="FF0000"/>
                      <w:szCs w:val="21"/>
                    </w:rPr>
                    <w:t>T，C</w:t>
                  </w:r>
                </w:p>
              </w:tc>
              <w:tc>
                <w:tcPr>
                  <w:tcW w:w="493" w:type="pct"/>
                  <w:tcBorders>
                    <w:tl2br w:val="nil"/>
                    <w:tr2bl w:val="nil"/>
                  </w:tcBorders>
                  <w:shd w:val="clear" w:color="auto" w:fill="auto"/>
                  <w:vAlign w:val="center"/>
                </w:tcPr>
                <w:p w14:paraId="2C7F3BA8">
                  <w:pPr>
                    <w:keepNext w:val="0"/>
                    <w:keepLines w:val="0"/>
                    <w:widowControl/>
                    <w:suppressLineNumbers w:val="0"/>
                    <w:jc w:val="center"/>
                    <w:textAlignment w:val="center"/>
                    <w:rPr>
                      <w:rFonts w:hint="default" w:ascii="Times New Roman" w:hAnsi="Times New Roman" w:cs="Times New Roman"/>
                      <w:bCs/>
                      <w:color w:val="0070C0"/>
                      <w:szCs w:val="21"/>
                    </w:rPr>
                  </w:pPr>
                  <w:r>
                    <w:rPr>
                      <w:rFonts w:hint="default" w:ascii="Times New Roman" w:hAnsi="Times New Roman" w:eastAsia="宋体" w:cs="Times New Roman"/>
                      <w:i w:val="0"/>
                      <w:iCs w:val="0"/>
                      <w:color w:val="0070C0"/>
                      <w:kern w:val="0"/>
                      <w:sz w:val="21"/>
                      <w:szCs w:val="21"/>
                      <w:u w:val="none"/>
                      <w:lang w:val="en-US" w:eastAsia="zh-CN" w:bidi="ar"/>
                    </w:rPr>
                    <w:t>1</w:t>
                  </w:r>
                  <w:r>
                    <w:rPr>
                      <w:rFonts w:hint="eastAsia" w:cs="Times New Roman"/>
                      <w:i w:val="0"/>
                      <w:iCs w:val="0"/>
                      <w:color w:val="0070C0"/>
                      <w:kern w:val="0"/>
                      <w:sz w:val="21"/>
                      <w:szCs w:val="21"/>
                      <w:u w:val="none"/>
                      <w:lang w:val="en-US" w:eastAsia="zh-CN" w:bidi="ar"/>
                    </w:rPr>
                    <w:t>00</w:t>
                  </w:r>
                  <w:r>
                    <w:rPr>
                      <w:rFonts w:hint="default" w:ascii="Times New Roman" w:hAnsi="Times New Roman" w:eastAsia="宋体" w:cs="Times New Roman"/>
                      <w:i w:val="0"/>
                      <w:iCs w:val="0"/>
                      <w:color w:val="0070C0"/>
                      <w:kern w:val="0"/>
                      <w:sz w:val="21"/>
                      <w:szCs w:val="21"/>
                      <w:u w:val="none"/>
                      <w:lang w:val="en-US" w:eastAsia="zh-CN" w:bidi="ar"/>
                    </w:rPr>
                    <w:t xml:space="preserve"> </w:t>
                  </w:r>
                </w:p>
              </w:tc>
              <w:tc>
                <w:tcPr>
                  <w:tcW w:w="1251" w:type="pct"/>
                  <w:tcBorders>
                    <w:tl2br w:val="nil"/>
                    <w:tr2bl w:val="nil"/>
                  </w:tcBorders>
                  <w:shd w:val="clear" w:color="auto" w:fill="auto"/>
                  <w:vAlign w:val="center"/>
                </w:tcPr>
                <w:p w14:paraId="21B11D8C">
                  <w:pPr>
                    <w:jc w:val="center"/>
                    <w:rPr>
                      <w:rFonts w:hint="default" w:ascii="Times New Roman" w:hAnsi="Times New Roman" w:cs="Times New Roman"/>
                      <w:color w:val="FF0000"/>
                      <w:szCs w:val="21"/>
                    </w:rPr>
                  </w:pPr>
                  <w:r>
                    <w:rPr>
                      <w:rFonts w:hint="default" w:ascii="Times New Roman" w:hAnsi="Times New Roman" w:cs="Times New Roman"/>
                      <w:color w:val="FF0000"/>
                      <w:sz w:val="21"/>
                      <w:szCs w:val="21"/>
                      <w:lang w:val="en-US" w:eastAsia="zh-CN"/>
                    </w:rPr>
                    <w:t>暂存于铅酸蓄电池贮存区，</w:t>
                  </w:r>
                  <w:r>
                    <w:rPr>
                      <w:rFonts w:hint="default" w:ascii="Times New Roman" w:hAnsi="Times New Roman" w:cs="Times New Roman"/>
                      <w:color w:val="FF0000"/>
                      <w:sz w:val="21"/>
                      <w:szCs w:val="21"/>
                      <w:lang w:eastAsia="zh-CN"/>
                    </w:rPr>
                    <w:t>破损电池利用专用防腐密闭的容器收集后与完好电池分开储存</w:t>
                  </w:r>
                  <w:r>
                    <w:rPr>
                      <w:rFonts w:hint="default" w:ascii="Times New Roman" w:hAnsi="Times New Roman" w:cs="Times New Roman"/>
                      <w:color w:val="FF0000"/>
                      <w:sz w:val="21"/>
                      <w:szCs w:val="21"/>
                    </w:rPr>
                    <w:t>，</w:t>
                  </w:r>
                  <w:r>
                    <w:rPr>
                      <w:rFonts w:hint="eastAsia" w:ascii="Times New Roman" w:hAnsi="Times New Roman" w:cs="Times New Roman"/>
                      <w:color w:val="FF0000"/>
                      <w:sz w:val="21"/>
                      <w:szCs w:val="21"/>
                      <w:lang w:val="en-US" w:eastAsia="zh-CN"/>
                    </w:rPr>
                    <w:t>定期</w:t>
                  </w:r>
                  <w:r>
                    <w:rPr>
                      <w:rFonts w:hint="default" w:ascii="Times New Roman" w:hAnsi="Times New Roman" w:cs="Times New Roman"/>
                      <w:color w:val="FF0000"/>
                      <w:sz w:val="21"/>
                      <w:szCs w:val="21"/>
                    </w:rPr>
                    <w:t>交由持有相应类别危险废物经营许可证的单位处理</w:t>
                  </w:r>
                  <w:r>
                    <w:rPr>
                      <w:rFonts w:ascii="Times New Roman" w:hAnsi="Times New Roman" w:cs="Times New Roman"/>
                      <w:color w:val="FF0000"/>
                      <w:sz w:val="21"/>
                      <w:szCs w:val="21"/>
                    </w:rPr>
                    <w:t>。</w:t>
                  </w:r>
                </w:p>
              </w:tc>
            </w:tr>
            <w:tr w14:paraId="4422575B">
              <w:tblPrEx>
                <w:tblBorders>
                  <w:top w:val="double" w:color="000000" w:sz="4" w:space="0"/>
                  <w:left w:val="none" w:color="auto" w:sz="0" w:space="0"/>
                  <w:bottom w:val="doub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72" w:hRule="atLeast"/>
              </w:trPr>
              <w:tc>
                <w:tcPr>
                  <w:tcW w:w="214" w:type="pct"/>
                  <w:tcBorders>
                    <w:tl2br w:val="nil"/>
                    <w:tr2bl w:val="nil"/>
                  </w:tcBorders>
                  <w:shd w:val="clear" w:color="auto" w:fill="auto"/>
                  <w:vAlign w:val="center"/>
                </w:tcPr>
                <w:p w14:paraId="54AA75FA">
                  <w:pPr>
                    <w:jc w:val="center"/>
                    <w:rPr>
                      <w:rFonts w:hint="default" w:ascii="Times New Roman" w:hAnsi="Times New Roman" w:cs="Times New Roman"/>
                      <w:bCs/>
                      <w:color w:val="FF0000"/>
                      <w:szCs w:val="21"/>
                    </w:rPr>
                  </w:pPr>
                  <w:r>
                    <w:rPr>
                      <w:rFonts w:hint="default" w:ascii="Times New Roman" w:hAnsi="Times New Roman" w:cs="Times New Roman"/>
                      <w:bCs/>
                      <w:color w:val="FF0000"/>
                      <w:szCs w:val="21"/>
                    </w:rPr>
                    <w:t>4</w:t>
                  </w:r>
                </w:p>
              </w:tc>
              <w:tc>
                <w:tcPr>
                  <w:tcW w:w="595" w:type="pct"/>
                  <w:tcBorders>
                    <w:tl2br w:val="nil"/>
                    <w:tr2bl w:val="nil"/>
                  </w:tcBorders>
                  <w:shd w:val="clear" w:color="auto" w:fill="auto"/>
                  <w:vAlign w:val="center"/>
                </w:tcPr>
                <w:p w14:paraId="2A7CCC6A">
                  <w:pPr>
                    <w:jc w:val="center"/>
                    <w:rPr>
                      <w:rFonts w:hint="default" w:ascii="Times New Roman" w:hAnsi="Times New Roman" w:cs="Times New Roman"/>
                      <w:bCs/>
                      <w:color w:val="FF0000"/>
                      <w:szCs w:val="21"/>
                    </w:rPr>
                  </w:pPr>
                  <w:r>
                    <w:rPr>
                      <w:rFonts w:hint="default" w:ascii="Times New Roman" w:hAnsi="Times New Roman" w:cs="Times New Roman"/>
                      <w:bCs/>
                      <w:color w:val="FF0000"/>
                      <w:szCs w:val="21"/>
                    </w:rPr>
                    <w:t>废矿物油</w:t>
                  </w:r>
                </w:p>
              </w:tc>
              <w:tc>
                <w:tcPr>
                  <w:tcW w:w="468" w:type="pct"/>
                  <w:tcBorders>
                    <w:tl2br w:val="nil"/>
                    <w:tr2bl w:val="nil"/>
                  </w:tcBorders>
                  <w:shd w:val="clear" w:color="auto" w:fill="auto"/>
                  <w:vAlign w:val="center"/>
                </w:tcPr>
                <w:p w14:paraId="10BADB1F">
                  <w:pPr>
                    <w:jc w:val="center"/>
                    <w:rPr>
                      <w:rFonts w:hint="default" w:ascii="Times New Roman" w:hAnsi="Times New Roman" w:cs="Times New Roman"/>
                      <w:bCs/>
                      <w:color w:val="FF0000"/>
                      <w:szCs w:val="21"/>
                    </w:rPr>
                  </w:pPr>
                  <w:r>
                    <w:rPr>
                      <w:rFonts w:hint="default" w:ascii="Times New Roman" w:hAnsi="Times New Roman" w:cs="Times New Roman"/>
                      <w:bCs/>
                      <w:color w:val="FF0000"/>
                      <w:szCs w:val="21"/>
                    </w:rPr>
                    <w:t>HW08</w:t>
                  </w:r>
                </w:p>
              </w:tc>
              <w:tc>
                <w:tcPr>
                  <w:tcW w:w="526" w:type="pct"/>
                  <w:tcBorders>
                    <w:tl2br w:val="nil"/>
                    <w:tr2bl w:val="nil"/>
                  </w:tcBorders>
                  <w:shd w:val="clear" w:color="auto" w:fill="auto"/>
                  <w:vAlign w:val="center"/>
                </w:tcPr>
                <w:p w14:paraId="6B74FB37">
                  <w:pPr>
                    <w:jc w:val="center"/>
                    <w:rPr>
                      <w:rFonts w:hint="default" w:ascii="Times New Roman" w:hAnsi="Times New Roman" w:cs="Times New Roman"/>
                      <w:bCs/>
                      <w:color w:val="FF0000"/>
                      <w:szCs w:val="21"/>
                    </w:rPr>
                  </w:pPr>
                  <w:r>
                    <w:rPr>
                      <w:rFonts w:hint="default" w:ascii="Times New Roman" w:hAnsi="Times New Roman" w:cs="Times New Roman"/>
                      <w:bCs/>
                      <w:color w:val="FF0000"/>
                      <w:szCs w:val="21"/>
                    </w:rPr>
                    <w:t>900-199-08</w:t>
                  </w:r>
                </w:p>
              </w:tc>
              <w:tc>
                <w:tcPr>
                  <w:tcW w:w="540" w:type="pct"/>
                  <w:tcBorders>
                    <w:tl2br w:val="nil"/>
                    <w:tr2bl w:val="nil"/>
                  </w:tcBorders>
                  <w:shd w:val="clear" w:color="auto" w:fill="auto"/>
                  <w:vAlign w:val="center"/>
                </w:tcPr>
                <w:p w14:paraId="01D66DB6">
                  <w:pPr>
                    <w:jc w:val="center"/>
                    <w:rPr>
                      <w:rFonts w:hint="default" w:ascii="Times New Roman" w:hAnsi="Times New Roman" w:eastAsia="宋体" w:cs="Times New Roman"/>
                      <w:bCs/>
                      <w:color w:val="FF0000"/>
                      <w:szCs w:val="21"/>
                      <w:lang w:val="en-US" w:eastAsia="zh-CN"/>
                    </w:rPr>
                  </w:pPr>
                  <w:r>
                    <w:rPr>
                      <w:rFonts w:hint="default" w:ascii="Times New Roman" w:hAnsi="Times New Roman" w:eastAsia="宋体" w:cs="Times New Roman"/>
                      <w:bCs/>
                      <w:color w:val="FF0000"/>
                      <w:szCs w:val="21"/>
                      <w:lang w:val="en-US" w:eastAsia="zh-CN"/>
                    </w:rPr>
                    <w:t>33.95</w:t>
                  </w:r>
                </w:p>
              </w:tc>
              <w:tc>
                <w:tcPr>
                  <w:tcW w:w="485" w:type="pct"/>
                  <w:tcBorders>
                    <w:tl2br w:val="nil"/>
                    <w:tr2bl w:val="nil"/>
                  </w:tcBorders>
                  <w:shd w:val="clear" w:color="auto" w:fill="auto"/>
                  <w:vAlign w:val="center"/>
                </w:tcPr>
                <w:p w14:paraId="1A3B94FE">
                  <w:pPr>
                    <w:jc w:val="center"/>
                    <w:rPr>
                      <w:rFonts w:hint="default" w:ascii="Times New Roman" w:hAnsi="Times New Roman" w:cs="Times New Roman"/>
                      <w:bCs/>
                      <w:color w:val="FF0000"/>
                      <w:szCs w:val="21"/>
                    </w:rPr>
                  </w:pPr>
                  <w:r>
                    <w:rPr>
                      <w:rFonts w:hint="default" w:ascii="Times New Roman" w:hAnsi="Times New Roman" w:cs="Times New Roman"/>
                      <w:bCs/>
                      <w:color w:val="FF0000"/>
                      <w:szCs w:val="21"/>
                    </w:rPr>
                    <w:t>液态</w:t>
                  </w:r>
                </w:p>
              </w:tc>
              <w:tc>
                <w:tcPr>
                  <w:tcW w:w="423" w:type="pct"/>
                  <w:tcBorders>
                    <w:tl2br w:val="nil"/>
                    <w:tr2bl w:val="nil"/>
                  </w:tcBorders>
                  <w:shd w:val="clear" w:color="auto" w:fill="auto"/>
                  <w:vAlign w:val="center"/>
                </w:tcPr>
                <w:p w14:paraId="7ACF9EC0">
                  <w:pPr>
                    <w:jc w:val="center"/>
                    <w:rPr>
                      <w:rFonts w:hint="default" w:ascii="Times New Roman" w:hAnsi="Times New Roman" w:cs="Times New Roman"/>
                      <w:bCs/>
                      <w:color w:val="FF0000"/>
                      <w:szCs w:val="21"/>
                    </w:rPr>
                  </w:pPr>
                  <w:r>
                    <w:rPr>
                      <w:rFonts w:hint="default" w:ascii="Times New Roman" w:hAnsi="Times New Roman" w:cs="Times New Roman"/>
                      <w:bCs/>
                      <w:color w:val="FF0000"/>
                      <w:szCs w:val="21"/>
                    </w:rPr>
                    <w:t>T，I</w:t>
                  </w:r>
                </w:p>
              </w:tc>
              <w:tc>
                <w:tcPr>
                  <w:tcW w:w="493" w:type="pct"/>
                  <w:tcBorders>
                    <w:tl2br w:val="nil"/>
                    <w:tr2bl w:val="nil"/>
                  </w:tcBorders>
                  <w:shd w:val="clear" w:color="auto" w:fill="auto"/>
                  <w:vAlign w:val="center"/>
                </w:tcPr>
                <w:p w14:paraId="159D8445">
                  <w:pPr>
                    <w:keepNext w:val="0"/>
                    <w:keepLines w:val="0"/>
                    <w:widowControl/>
                    <w:suppressLineNumbers w:val="0"/>
                    <w:jc w:val="center"/>
                    <w:textAlignment w:val="center"/>
                    <w:rPr>
                      <w:rFonts w:hint="default" w:ascii="Times New Roman" w:hAnsi="Times New Roman" w:cs="Times New Roman"/>
                      <w:bCs/>
                      <w:color w:val="0070C0"/>
                      <w:szCs w:val="21"/>
                    </w:rPr>
                  </w:pPr>
                  <w:r>
                    <w:rPr>
                      <w:rFonts w:hint="default" w:ascii="Times New Roman" w:hAnsi="Times New Roman" w:eastAsia="宋体" w:cs="Times New Roman"/>
                      <w:i w:val="0"/>
                      <w:iCs w:val="0"/>
                      <w:color w:val="0070C0"/>
                      <w:kern w:val="0"/>
                      <w:sz w:val="21"/>
                      <w:szCs w:val="21"/>
                      <w:u w:val="none"/>
                      <w:lang w:val="en-US" w:eastAsia="zh-CN" w:bidi="ar"/>
                    </w:rPr>
                    <w:t xml:space="preserve">1 </w:t>
                  </w:r>
                </w:p>
              </w:tc>
              <w:tc>
                <w:tcPr>
                  <w:tcW w:w="1251" w:type="pct"/>
                  <w:vMerge w:val="restart"/>
                  <w:tcBorders>
                    <w:tl2br w:val="nil"/>
                    <w:tr2bl w:val="nil"/>
                  </w:tcBorders>
                  <w:shd w:val="clear" w:color="auto" w:fill="auto"/>
                  <w:vAlign w:val="center"/>
                </w:tcPr>
                <w:p w14:paraId="0A0A31BA">
                  <w:pPr>
                    <w:jc w:val="center"/>
                    <w:rPr>
                      <w:rFonts w:hint="default" w:ascii="Times New Roman" w:hAnsi="Times New Roman" w:cs="Times New Roman"/>
                      <w:color w:val="FF0000"/>
                      <w:szCs w:val="21"/>
                    </w:rPr>
                  </w:pPr>
                  <w:r>
                    <w:rPr>
                      <w:rFonts w:hint="default" w:ascii="Times New Roman" w:hAnsi="Times New Roman" w:cs="Times New Roman"/>
                      <w:color w:val="FF0000"/>
                      <w:kern w:val="0"/>
                      <w:sz w:val="21"/>
                      <w:szCs w:val="21"/>
                      <w:lang w:val="en-US" w:eastAsia="zh-CN" w:bidi="ar"/>
                    </w:rPr>
                    <w:t>厂内集中收集，分类、分区暂存在危废贮存点内，</w:t>
                  </w:r>
                  <w:r>
                    <w:rPr>
                      <w:rFonts w:hint="eastAsia"/>
                      <w:color w:val="FF0000"/>
                      <w:kern w:val="0"/>
                      <w:sz w:val="21"/>
                      <w:szCs w:val="21"/>
                      <w:lang w:val="en-US" w:eastAsia="zh-CN" w:bidi="ar"/>
                    </w:rPr>
                    <w:t>定期</w:t>
                  </w:r>
                  <w:r>
                    <w:rPr>
                      <w:rFonts w:hint="default" w:ascii="Times New Roman" w:hAnsi="Times New Roman" w:eastAsia="宋体" w:cs="Times New Roman"/>
                      <w:color w:val="FF0000"/>
                      <w:spacing w:val="-1"/>
                      <w:sz w:val="21"/>
                      <w:szCs w:val="21"/>
                    </w:rPr>
                    <w:t>交由持有相应类别危险废物经营许可证的单</w:t>
                  </w:r>
                  <w:r>
                    <w:rPr>
                      <w:rFonts w:hint="default" w:ascii="Times New Roman" w:hAnsi="Times New Roman" w:eastAsia="宋体" w:cs="Times New Roman"/>
                      <w:color w:val="FF0000"/>
                      <w:spacing w:val="-2"/>
                      <w:sz w:val="21"/>
                      <w:szCs w:val="21"/>
                    </w:rPr>
                    <w:t>位处理</w:t>
                  </w:r>
                  <w:r>
                    <w:rPr>
                      <w:rFonts w:hint="eastAsia"/>
                      <w:color w:val="FF0000"/>
                      <w:kern w:val="0"/>
                      <w:sz w:val="21"/>
                      <w:szCs w:val="21"/>
                      <w:lang w:val="en-US" w:eastAsia="zh-CN" w:bidi="ar"/>
                    </w:rPr>
                    <w:t>。</w:t>
                  </w:r>
                </w:p>
              </w:tc>
            </w:tr>
            <w:tr w14:paraId="6CF1536A">
              <w:tblPrEx>
                <w:tblBorders>
                  <w:top w:val="double" w:color="000000" w:sz="4" w:space="0"/>
                  <w:left w:val="none" w:color="auto" w:sz="0" w:space="0"/>
                  <w:bottom w:val="doub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72" w:hRule="atLeast"/>
              </w:trPr>
              <w:tc>
                <w:tcPr>
                  <w:tcW w:w="214" w:type="pct"/>
                  <w:tcBorders>
                    <w:tl2br w:val="nil"/>
                    <w:tr2bl w:val="nil"/>
                  </w:tcBorders>
                  <w:shd w:val="clear" w:color="auto" w:fill="auto"/>
                  <w:vAlign w:val="center"/>
                </w:tcPr>
                <w:p w14:paraId="747E0D08">
                  <w:pPr>
                    <w:jc w:val="center"/>
                    <w:rPr>
                      <w:rFonts w:hint="default" w:ascii="Times New Roman" w:hAnsi="Times New Roman" w:cs="Times New Roman"/>
                      <w:bCs/>
                      <w:color w:val="FF0000"/>
                      <w:szCs w:val="21"/>
                    </w:rPr>
                  </w:pPr>
                  <w:r>
                    <w:rPr>
                      <w:rFonts w:hint="default" w:ascii="Times New Roman" w:hAnsi="Times New Roman" w:cs="Times New Roman"/>
                      <w:bCs/>
                      <w:color w:val="FF0000"/>
                      <w:szCs w:val="21"/>
                    </w:rPr>
                    <w:t>5</w:t>
                  </w:r>
                </w:p>
              </w:tc>
              <w:tc>
                <w:tcPr>
                  <w:tcW w:w="595" w:type="pct"/>
                  <w:tcBorders>
                    <w:tl2br w:val="nil"/>
                    <w:tr2bl w:val="nil"/>
                  </w:tcBorders>
                  <w:shd w:val="clear" w:color="auto" w:fill="auto"/>
                  <w:vAlign w:val="center"/>
                </w:tcPr>
                <w:p w14:paraId="22C6D6FB">
                  <w:pPr>
                    <w:jc w:val="center"/>
                    <w:rPr>
                      <w:rFonts w:hint="default" w:ascii="Times New Roman" w:hAnsi="Times New Roman" w:cs="Times New Roman"/>
                      <w:bCs/>
                      <w:color w:val="FF0000"/>
                      <w:szCs w:val="21"/>
                    </w:rPr>
                  </w:pPr>
                  <w:r>
                    <w:rPr>
                      <w:rFonts w:hint="default" w:ascii="Times New Roman" w:hAnsi="Times New Roman" w:cs="Times New Roman"/>
                      <w:bCs/>
                      <w:color w:val="FF0000"/>
                      <w:szCs w:val="21"/>
                    </w:rPr>
                    <w:t>废燃料油</w:t>
                  </w:r>
                </w:p>
              </w:tc>
              <w:tc>
                <w:tcPr>
                  <w:tcW w:w="468" w:type="pct"/>
                  <w:tcBorders>
                    <w:tl2br w:val="nil"/>
                    <w:tr2bl w:val="nil"/>
                  </w:tcBorders>
                  <w:shd w:val="clear" w:color="auto" w:fill="auto"/>
                  <w:vAlign w:val="center"/>
                </w:tcPr>
                <w:p w14:paraId="41322464">
                  <w:pPr>
                    <w:jc w:val="center"/>
                    <w:rPr>
                      <w:rFonts w:hint="default" w:ascii="Times New Roman" w:hAnsi="Times New Roman" w:cs="Times New Roman"/>
                      <w:bCs/>
                      <w:color w:val="FF0000"/>
                      <w:szCs w:val="21"/>
                    </w:rPr>
                  </w:pPr>
                  <w:r>
                    <w:rPr>
                      <w:rFonts w:hint="default" w:ascii="Times New Roman" w:hAnsi="Times New Roman" w:cs="Times New Roman"/>
                      <w:bCs/>
                      <w:color w:val="FF0000"/>
                      <w:szCs w:val="21"/>
                    </w:rPr>
                    <w:t>HW08</w:t>
                  </w:r>
                </w:p>
              </w:tc>
              <w:tc>
                <w:tcPr>
                  <w:tcW w:w="526" w:type="pct"/>
                  <w:tcBorders>
                    <w:tl2br w:val="nil"/>
                    <w:tr2bl w:val="nil"/>
                  </w:tcBorders>
                  <w:shd w:val="clear" w:color="auto" w:fill="auto"/>
                  <w:vAlign w:val="center"/>
                </w:tcPr>
                <w:p w14:paraId="3BAAD590">
                  <w:pPr>
                    <w:jc w:val="center"/>
                    <w:rPr>
                      <w:rFonts w:hint="default" w:ascii="Times New Roman" w:hAnsi="Times New Roman" w:cs="Times New Roman"/>
                      <w:bCs/>
                      <w:color w:val="FF0000"/>
                      <w:szCs w:val="21"/>
                    </w:rPr>
                  </w:pPr>
                  <w:r>
                    <w:rPr>
                      <w:rFonts w:hint="default" w:ascii="Times New Roman" w:hAnsi="Times New Roman" w:cs="Times New Roman"/>
                      <w:bCs/>
                      <w:color w:val="FF0000"/>
                      <w:szCs w:val="21"/>
                    </w:rPr>
                    <w:t>900-199-08</w:t>
                  </w:r>
                </w:p>
              </w:tc>
              <w:tc>
                <w:tcPr>
                  <w:tcW w:w="540" w:type="pct"/>
                  <w:tcBorders>
                    <w:tl2br w:val="nil"/>
                    <w:tr2bl w:val="nil"/>
                  </w:tcBorders>
                  <w:shd w:val="clear" w:color="auto" w:fill="auto"/>
                  <w:vAlign w:val="center"/>
                </w:tcPr>
                <w:p w14:paraId="23CFC8DC">
                  <w:pPr>
                    <w:jc w:val="center"/>
                    <w:rPr>
                      <w:rFonts w:hint="default" w:ascii="Times New Roman" w:hAnsi="Times New Roman" w:eastAsia="宋体" w:cs="Times New Roman"/>
                      <w:bCs/>
                      <w:color w:val="FF0000"/>
                      <w:szCs w:val="21"/>
                      <w:lang w:val="en-US" w:eastAsia="zh-CN"/>
                    </w:rPr>
                  </w:pPr>
                  <w:r>
                    <w:rPr>
                      <w:rFonts w:hint="default" w:ascii="Times New Roman" w:hAnsi="Times New Roman" w:eastAsia="宋体" w:cs="Times New Roman"/>
                      <w:bCs/>
                      <w:color w:val="FF0000"/>
                      <w:szCs w:val="21"/>
                      <w:lang w:val="en-US" w:eastAsia="zh-CN"/>
                    </w:rPr>
                    <w:t>33.95</w:t>
                  </w:r>
                </w:p>
              </w:tc>
              <w:tc>
                <w:tcPr>
                  <w:tcW w:w="485" w:type="pct"/>
                  <w:tcBorders>
                    <w:tl2br w:val="nil"/>
                    <w:tr2bl w:val="nil"/>
                  </w:tcBorders>
                  <w:shd w:val="clear" w:color="auto" w:fill="auto"/>
                  <w:vAlign w:val="center"/>
                </w:tcPr>
                <w:p w14:paraId="755967B3">
                  <w:pPr>
                    <w:jc w:val="center"/>
                    <w:rPr>
                      <w:rFonts w:hint="default" w:ascii="Times New Roman" w:hAnsi="Times New Roman" w:cs="Times New Roman"/>
                      <w:bCs/>
                      <w:color w:val="FF0000"/>
                      <w:szCs w:val="21"/>
                    </w:rPr>
                  </w:pPr>
                  <w:r>
                    <w:rPr>
                      <w:rFonts w:hint="default" w:ascii="Times New Roman" w:hAnsi="Times New Roman" w:cs="Times New Roman"/>
                      <w:bCs/>
                      <w:color w:val="FF0000"/>
                      <w:szCs w:val="21"/>
                    </w:rPr>
                    <w:t>液态</w:t>
                  </w:r>
                </w:p>
              </w:tc>
              <w:tc>
                <w:tcPr>
                  <w:tcW w:w="423" w:type="pct"/>
                  <w:tcBorders>
                    <w:tl2br w:val="nil"/>
                    <w:tr2bl w:val="nil"/>
                  </w:tcBorders>
                  <w:shd w:val="clear" w:color="auto" w:fill="auto"/>
                  <w:vAlign w:val="center"/>
                </w:tcPr>
                <w:p w14:paraId="01EC3EAF">
                  <w:pPr>
                    <w:jc w:val="center"/>
                    <w:rPr>
                      <w:rFonts w:hint="default" w:ascii="Times New Roman" w:hAnsi="Times New Roman" w:cs="Times New Roman"/>
                      <w:bCs/>
                      <w:color w:val="FF0000"/>
                      <w:szCs w:val="21"/>
                    </w:rPr>
                  </w:pPr>
                  <w:r>
                    <w:rPr>
                      <w:rFonts w:hint="default" w:ascii="Times New Roman" w:hAnsi="Times New Roman" w:cs="Times New Roman"/>
                      <w:bCs/>
                      <w:color w:val="FF0000"/>
                      <w:szCs w:val="21"/>
                    </w:rPr>
                    <w:t>T，I</w:t>
                  </w:r>
                </w:p>
              </w:tc>
              <w:tc>
                <w:tcPr>
                  <w:tcW w:w="493" w:type="pct"/>
                  <w:tcBorders>
                    <w:tl2br w:val="nil"/>
                    <w:tr2bl w:val="nil"/>
                  </w:tcBorders>
                  <w:shd w:val="clear" w:color="auto" w:fill="auto"/>
                  <w:vAlign w:val="center"/>
                </w:tcPr>
                <w:p w14:paraId="77530ED1">
                  <w:pPr>
                    <w:keepNext w:val="0"/>
                    <w:keepLines w:val="0"/>
                    <w:widowControl/>
                    <w:suppressLineNumbers w:val="0"/>
                    <w:jc w:val="center"/>
                    <w:textAlignment w:val="center"/>
                    <w:rPr>
                      <w:rFonts w:hint="default" w:ascii="Times New Roman" w:hAnsi="Times New Roman" w:cs="Times New Roman"/>
                      <w:bCs/>
                      <w:color w:val="0070C0"/>
                      <w:szCs w:val="21"/>
                    </w:rPr>
                  </w:pPr>
                  <w:r>
                    <w:rPr>
                      <w:rFonts w:hint="default" w:ascii="Times New Roman" w:hAnsi="Times New Roman" w:eastAsia="宋体" w:cs="Times New Roman"/>
                      <w:i w:val="0"/>
                      <w:iCs w:val="0"/>
                      <w:color w:val="0070C0"/>
                      <w:kern w:val="0"/>
                      <w:sz w:val="21"/>
                      <w:szCs w:val="21"/>
                      <w:u w:val="none"/>
                      <w:lang w:val="en-US" w:eastAsia="zh-CN" w:bidi="ar"/>
                    </w:rPr>
                    <w:t xml:space="preserve">1 </w:t>
                  </w:r>
                </w:p>
              </w:tc>
              <w:tc>
                <w:tcPr>
                  <w:tcW w:w="1251" w:type="pct"/>
                  <w:vMerge w:val="continue"/>
                  <w:tcBorders>
                    <w:tl2br w:val="nil"/>
                    <w:tr2bl w:val="nil"/>
                  </w:tcBorders>
                  <w:shd w:val="clear" w:color="auto" w:fill="auto"/>
                  <w:vAlign w:val="center"/>
                </w:tcPr>
                <w:p w14:paraId="6C331E1B">
                  <w:pPr>
                    <w:jc w:val="center"/>
                    <w:rPr>
                      <w:rFonts w:hint="default" w:ascii="Times New Roman" w:hAnsi="Times New Roman" w:cs="Times New Roman"/>
                      <w:color w:val="FF0000"/>
                      <w:szCs w:val="21"/>
                    </w:rPr>
                  </w:pPr>
                </w:p>
              </w:tc>
            </w:tr>
            <w:tr w14:paraId="396A2E67">
              <w:tblPrEx>
                <w:tblBorders>
                  <w:top w:val="double" w:color="000000" w:sz="4" w:space="0"/>
                  <w:left w:val="none" w:color="auto" w:sz="0" w:space="0"/>
                  <w:bottom w:val="doub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72" w:hRule="atLeast"/>
              </w:trPr>
              <w:tc>
                <w:tcPr>
                  <w:tcW w:w="214" w:type="pct"/>
                  <w:tcBorders>
                    <w:tl2br w:val="nil"/>
                    <w:tr2bl w:val="nil"/>
                  </w:tcBorders>
                  <w:shd w:val="clear" w:color="auto" w:fill="auto"/>
                  <w:vAlign w:val="center"/>
                </w:tcPr>
                <w:p w14:paraId="0119ECDE">
                  <w:pPr>
                    <w:jc w:val="center"/>
                    <w:rPr>
                      <w:rFonts w:hint="default" w:ascii="Times New Roman" w:hAnsi="Times New Roman" w:cs="Times New Roman"/>
                      <w:bCs/>
                      <w:color w:val="FF0000"/>
                      <w:szCs w:val="21"/>
                    </w:rPr>
                  </w:pPr>
                  <w:r>
                    <w:rPr>
                      <w:rFonts w:hint="default" w:ascii="Times New Roman" w:hAnsi="Times New Roman" w:cs="Times New Roman"/>
                      <w:bCs/>
                      <w:color w:val="FF0000"/>
                      <w:szCs w:val="21"/>
                    </w:rPr>
                    <w:t>6</w:t>
                  </w:r>
                </w:p>
              </w:tc>
              <w:tc>
                <w:tcPr>
                  <w:tcW w:w="595" w:type="pct"/>
                  <w:tcBorders>
                    <w:tl2br w:val="nil"/>
                    <w:tr2bl w:val="nil"/>
                  </w:tcBorders>
                  <w:shd w:val="clear" w:color="auto" w:fill="auto"/>
                  <w:vAlign w:val="center"/>
                </w:tcPr>
                <w:p w14:paraId="5AA0AEBA">
                  <w:pPr>
                    <w:jc w:val="center"/>
                    <w:rPr>
                      <w:rFonts w:hint="default" w:ascii="Times New Roman" w:hAnsi="Times New Roman" w:cs="Times New Roman"/>
                      <w:bCs/>
                      <w:color w:val="FF0000"/>
                      <w:szCs w:val="21"/>
                    </w:rPr>
                  </w:pPr>
                  <w:r>
                    <w:rPr>
                      <w:rFonts w:hint="default" w:ascii="Times New Roman" w:hAnsi="Times New Roman" w:cs="Times New Roman"/>
                      <w:bCs/>
                      <w:color w:val="FF0000"/>
                      <w:szCs w:val="21"/>
                    </w:rPr>
                    <w:t>废尾气净化装置及催化剂</w:t>
                  </w:r>
                </w:p>
              </w:tc>
              <w:tc>
                <w:tcPr>
                  <w:tcW w:w="468" w:type="pct"/>
                  <w:tcBorders>
                    <w:tl2br w:val="nil"/>
                    <w:tr2bl w:val="nil"/>
                  </w:tcBorders>
                  <w:shd w:val="clear" w:color="auto" w:fill="auto"/>
                  <w:vAlign w:val="center"/>
                </w:tcPr>
                <w:p w14:paraId="615C0A9C">
                  <w:pPr>
                    <w:jc w:val="center"/>
                    <w:rPr>
                      <w:rFonts w:hint="default" w:ascii="Times New Roman" w:hAnsi="Times New Roman" w:cs="Times New Roman"/>
                      <w:bCs/>
                      <w:color w:val="FF0000"/>
                      <w:szCs w:val="21"/>
                    </w:rPr>
                  </w:pPr>
                  <w:r>
                    <w:rPr>
                      <w:rFonts w:hint="default" w:ascii="Times New Roman" w:hAnsi="Times New Roman" w:cs="Times New Roman"/>
                      <w:bCs/>
                      <w:color w:val="FF0000"/>
                      <w:szCs w:val="21"/>
                    </w:rPr>
                    <w:t>HW50</w:t>
                  </w:r>
                </w:p>
              </w:tc>
              <w:tc>
                <w:tcPr>
                  <w:tcW w:w="526" w:type="pct"/>
                  <w:tcBorders>
                    <w:tl2br w:val="nil"/>
                    <w:tr2bl w:val="nil"/>
                  </w:tcBorders>
                  <w:shd w:val="clear" w:color="auto" w:fill="auto"/>
                  <w:vAlign w:val="center"/>
                </w:tcPr>
                <w:p w14:paraId="230FDD56">
                  <w:pPr>
                    <w:jc w:val="center"/>
                    <w:rPr>
                      <w:rFonts w:hint="default" w:ascii="Times New Roman" w:hAnsi="Times New Roman" w:cs="Times New Roman"/>
                      <w:bCs/>
                      <w:color w:val="FF0000"/>
                      <w:szCs w:val="21"/>
                    </w:rPr>
                  </w:pPr>
                  <w:r>
                    <w:rPr>
                      <w:rFonts w:hint="default" w:ascii="Times New Roman" w:hAnsi="Times New Roman" w:cs="Times New Roman"/>
                      <w:bCs/>
                      <w:color w:val="FF0000"/>
                      <w:szCs w:val="21"/>
                    </w:rPr>
                    <w:t>900-049-50</w:t>
                  </w:r>
                </w:p>
              </w:tc>
              <w:tc>
                <w:tcPr>
                  <w:tcW w:w="540" w:type="pct"/>
                  <w:tcBorders>
                    <w:tl2br w:val="nil"/>
                    <w:tr2bl w:val="nil"/>
                  </w:tcBorders>
                  <w:shd w:val="clear" w:color="auto" w:fill="auto"/>
                  <w:vAlign w:val="center"/>
                </w:tcPr>
                <w:p w14:paraId="32AAFDD7">
                  <w:pPr>
                    <w:jc w:val="center"/>
                    <w:rPr>
                      <w:rFonts w:hint="default" w:ascii="Times New Roman" w:hAnsi="Times New Roman" w:eastAsia="宋体" w:cs="Times New Roman"/>
                      <w:bCs/>
                      <w:color w:val="FF0000"/>
                      <w:szCs w:val="21"/>
                      <w:lang w:val="en-US" w:eastAsia="zh-CN"/>
                    </w:rPr>
                  </w:pPr>
                  <w:r>
                    <w:rPr>
                      <w:rFonts w:hint="default" w:ascii="Times New Roman" w:hAnsi="Times New Roman" w:eastAsia="宋体" w:cs="Times New Roman"/>
                      <w:bCs/>
                      <w:color w:val="FF0000"/>
                      <w:szCs w:val="21"/>
                      <w:lang w:val="en-US" w:eastAsia="zh-CN"/>
                    </w:rPr>
                    <w:t>11.92</w:t>
                  </w:r>
                </w:p>
              </w:tc>
              <w:tc>
                <w:tcPr>
                  <w:tcW w:w="485" w:type="pct"/>
                  <w:tcBorders>
                    <w:tl2br w:val="nil"/>
                    <w:tr2bl w:val="nil"/>
                  </w:tcBorders>
                  <w:shd w:val="clear" w:color="auto" w:fill="auto"/>
                  <w:vAlign w:val="center"/>
                </w:tcPr>
                <w:p w14:paraId="64D8F386">
                  <w:pPr>
                    <w:jc w:val="center"/>
                    <w:rPr>
                      <w:rFonts w:hint="default" w:ascii="Times New Roman" w:hAnsi="Times New Roman" w:cs="Times New Roman"/>
                      <w:bCs/>
                      <w:color w:val="FF0000"/>
                      <w:szCs w:val="21"/>
                    </w:rPr>
                  </w:pPr>
                  <w:r>
                    <w:rPr>
                      <w:rFonts w:hint="default" w:ascii="Times New Roman" w:hAnsi="Times New Roman" w:cs="Times New Roman"/>
                      <w:bCs/>
                      <w:color w:val="FF0000"/>
                      <w:szCs w:val="21"/>
                    </w:rPr>
                    <w:t>固态</w:t>
                  </w:r>
                </w:p>
              </w:tc>
              <w:tc>
                <w:tcPr>
                  <w:tcW w:w="423" w:type="pct"/>
                  <w:tcBorders>
                    <w:tl2br w:val="nil"/>
                    <w:tr2bl w:val="nil"/>
                  </w:tcBorders>
                  <w:shd w:val="clear" w:color="auto" w:fill="auto"/>
                  <w:vAlign w:val="center"/>
                </w:tcPr>
                <w:p w14:paraId="72035463">
                  <w:pPr>
                    <w:jc w:val="center"/>
                    <w:rPr>
                      <w:rFonts w:hint="default" w:ascii="Times New Roman" w:hAnsi="Times New Roman" w:cs="Times New Roman"/>
                      <w:bCs/>
                      <w:color w:val="FF0000"/>
                      <w:szCs w:val="21"/>
                    </w:rPr>
                  </w:pPr>
                  <w:r>
                    <w:rPr>
                      <w:rFonts w:hint="default" w:ascii="Times New Roman" w:hAnsi="Times New Roman" w:cs="Times New Roman"/>
                      <w:bCs/>
                      <w:color w:val="FF0000"/>
                      <w:szCs w:val="21"/>
                    </w:rPr>
                    <w:t>T</w:t>
                  </w:r>
                </w:p>
              </w:tc>
              <w:tc>
                <w:tcPr>
                  <w:tcW w:w="493" w:type="pct"/>
                  <w:tcBorders>
                    <w:tl2br w:val="nil"/>
                    <w:tr2bl w:val="nil"/>
                  </w:tcBorders>
                  <w:shd w:val="clear" w:color="auto" w:fill="auto"/>
                  <w:vAlign w:val="center"/>
                </w:tcPr>
                <w:p w14:paraId="1B9A1657">
                  <w:pPr>
                    <w:keepNext w:val="0"/>
                    <w:keepLines w:val="0"/>
                    <w:widowControl/>
                    <w:suppressLineNumbers w:val="0"/>
                    <w:jc w:val="center"/>
                    <w:textAlignment w:val="center"/>
                    <w:rPr>
                      <w:rFonts w:hint="default" w:ascii="Times New Roman" w:hAnsi="Times New Roman" w:cs="Times New Roman"/>
                      <w:bCs/>
                      <w:color w:val="0070C0"/>
                      <w:szCs w:val="21"/>
                    </w:rPr>
                  </w:pPr>
                  <w:r>
                    <w:rPr>
                      <w:rFonts w:hint="eastAsia" w:cs="Times New Roman"/>
                      <w:i w:val="0"/>
                      <w:iCs w:val="0"/>
                      <w:color w:val="0070C0"/>
                      <w:kern w:val="0"/>
                      <w:sz w:val="21"/>
                      <w:szCs w:val="21"/>
                      <w:u w:val="none"/>
                      <w:lang w:val="en-US" w:eastAsia="zh-CN" w:bidi="ar"/>
                    </w:rPr>
                    <w:t>1</w:t>
                  </w:r>
                </w:p>
              </w:tc>
              <w:tc>
                <w:tcPr>
                  <w:tcW w:w="1251" w:type="pct"/>
                  <w:vMerge w:val="continue"/>
                  <w:tcBorders>
                    <w:tl2br w:val="nil"/>
                    <w:tr2bl w:val="nil"/>
                  </w:tcBorders>
                  <w:shd w:val="clear" w:color="auto" w:fill="auto"/>
                  <w:vAlign w:val="center"/>
                </w:tcPr>
                <w:p w14:paraId="44C33F57">
                  <w:pPr>
                    <w:jc w:val="center"/>
                    <w:rPr>
                      <w:rFonts w:hint="default" w:ascii="Times New Roman" w:hAnsi="Times New Roman" w:cs="Times New Roman"/>
                      <w:color w:val="FF0000"/>
                      <w:szCs w:val="21"/>
                    </w:rPr>
                  </w:pPr>
                </w:p>
              </w:tc>
            </w:tr>
            <w:tr w14:paraId="7AFA6D9B">
              <w:tblPrEx>
                <w:tblBorders>
                  <w:top w:val="double" w:color="000000" w:sz="4" w:space="0"/>
                  <w:left w:val="none" w:color="auto" w:sz="0" w:space="0"/>
                  <w:bottom w:val="doub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72" w:hRule="atLeast"/>
              </w:trPr>
              <w:tc>
                <w:tcPr>
                  <w:tcW w:w="214" w:type="pct"/>
                  <w:tcBorders>
                    <w:tl2br w:val="nil"/>
                    <w:tr2bl w:val="nil"/>
                  </w:tcBorders>
                  <w:shd w:val="clear" w:color="auto" w:fill="auto"/>
                  <w:vAlign w:val="center"/>
                </w:tcPr>
                <w:p w14:paraId="3983027B">
                  <w:pPr>
                    <w:jc w:val="center"/>
                    <w:rPr>
                      <w:rFonts w:hint="default" w:ascii="Times New Roman" w:hAnsi="Times New Roman" w:cs="Times New Roman"/>
                      <w:bCs/>
                      <w:color w:val="FF0000"/>
                      <w:szCs w:val="21"/>
                    </w:rPr>
                  </w:pPr>
                  <w:r>
                    <w:rPr>
                      <w:rFonts w:hint="default" w:ascii="Times New Roman" w:hAnsi="Times New Roman" w:cs="Times New Roman"/>
                      <w:bCs/>
                      <w:color w:val="FF0000"/>
                      <w:szCs w:val="21"/>
                    </w:rPr>
                    <w:t>7</w:t>
                  </w:r>
                </w:p>
              </w:tc>
              <w:tc>
                <w:tcPr>
                  <w:tcW w:w="595" w:type="pct"/>
                  <w:tcBorders>
                    <w:tl2br w:val="nil"/>
                    <w:tr2bl w:val="nil"/>
                  </w:tcBorders>
                  <w:shd w:val="clear" w:color="auto" w:fill="auto"/>
                  <w:vAlign w:val="center"/>
                </w:tcPr>
                <w:p w14:paraId="7202F316">
                  <w:pPr>
                    <w:jc w:val="center"/>
                    <w:rPr>
                      <w:rFonts w:hint="default" w:ascii="Times New Roman" w:hAnsi="Times New Roman" w:cs="Times New Roman"/>
                      <w:bCs/>
                      <w:color w:val="FF0000"/>
                      <w:szCs w:val="21"/>
                    </w:rPr>
                  </w:pPr>
                  <w:r>
                    <w:rPr>
                      <w:rFonts w:hint="default" w:ascii="Times New Roman" w:hAnsi="Times New Roman" w:cs="Times New Roman"/>
                      <w:bCs/>
                      <w:color w:val="FF0000"/>
                      <w:szCs w:val="21"/>
                    </w:rPr>
                    <w:t>废滤清器和废油箱</w:t>
                  </w:r>
                </w:p>
              </w:tc>
              <w:tc>
                <w:tcPr>
                  <w:tcW w:w="468" w:type="pct"/>
                  <w:tcBorders>
                    <w:tl2br w:val="nil"/>
                    <w:tr2bl w:val="nil"/>
                  </w:tcBorders>
                  <w:shd w:val="clear" w:color="auto" w:fill="auto"/>
                  <w:vAlign w:val="center"/>
                </w:tcPr>
                <w:p w14:paraId="76347AFD">
                  <w:pPr>
                    <w:jc w:val="center"/>
                    <w:rPr>
                      <w:rFonts w:hint="default" w:ascii="Times New Roman" w:hAnsi="Times New Roman" w:cs="Times New Roman"/>
                      <w:bCs/>
                      <w:color w:val="FF0000"/>
                      <w:szCs w:val="21"/>
                    </w:rPr>
                  </w:pPr>
                  <w:r>
                    <w:rPr>
                      <w:rFonts w:hint="default" w:ascii="Times New Roman" w:hAnsi="Times New Roman" w:cs="Times New Roman"/>
                      <w:bCs/>
                      <w:color w:val="FF0000"/>
                      <w:szCs w:val="21"/>
                    </w:rPr>
                    <w:t>HW49</w:t>
                  </w:r>
                </w:p>
              </w:tc>
              <w:tc>
                <w:tcPr>
                  <w:tcW w:w="526" w:type="pct"/>
                  <w:tcBorders>
                    <w:tl2br w:val="nil"/>
                    <w:tr2bl w:val="nil"/>
                  </w:tcBorders>
                  <w:shd w:val="clear" w:color="auto" w:fill="auto"/>
                  <w:vAlign w:val="center"/>
                </w:tcPr>
                <w:p w14:paraId="565F409B">
                  <w:pPr>
                    <w:jc w:val="center"/>
                    <w:rPr>
                      <w:rFonts w:hint="default" w:ascii="Times New Roman" w:hAnsi="Times New Roman" w:cs="Times New Roman"/>
                      <w:bCs/>
                      <w:color w:val="FF0000"/>
                      <w:szCs w:val="21"/>
                    </w:rPr>
                  </w:pPr>
                  <w:r>
                    <w:rPr>
                      <w:rFonts w:hint="default" w:ascii="Times New Roman" w:hAnsi="Times New Roman" w:cs="Times New Roman"/>
                      <w:bCs/>
                      <w:color w:val="FF0000"/>
                      <w:szCs w:val="21"/>
                    </w:rPr>
                    <w:t>900-041-49</w:t>
                  </w:r>
                </w:p>
              </w:tc>
              <w:tc>
                <w:tcPr>
                  <w:tcW w:w="540" w:type="pct"/>
                  <w:tcBorders>
                    <w:tl2br w:val="nil"/>
                    <w:tr2bl w:val="nil"/>
                  </w:tcBorders>
                  <w:shd w:val="clear" w:color="auto" w:fill="auto"/>
                  <w:vAlign w:val="center"/>
                </w:tcPr>
                <w:p w14:paraId="1F3E6E86">
                  <w:pPr>
                    <w:jc w:val="center"/>
                    <w:rPr>
                      <w:rFonts w:hint="default" w:ascii="Times New Roman" w:hAnsi="Times New Roman" w:eastAsia="宋体" w:cs="Times New Roman"/>
                      <w:bCs/>
                      <w:color w:val="FF0000"/>
                      <w:szCs w:val="21"/>
                      <w:lang w:val="en-US" w:eastAsia="zh-CN"/>
                    </w:rPr>
                  </w:pPr>
                  <w:r>
                    <w:rPr>
                      <w:rFonts w:hint="default" w:ascii="Times New Roman" w:hAnsi="Times New Roman" w:eastAsia="宋体" w:cs="Times New Roman"/>
                      <w:bCs/>
                      <w:color w:val="FF0000"/>
                      <w:szCs w:val="21"/>
                      <w:lang w:val="en-US" w:eastAsia="zh-CN"/>
                    </w:rPr>
                    <w:t>128.58</w:t>
                  </w:r>
                </w:p>
              </w:tc>
              <w:tc>
                <w:tcPr>
                  <w:tcW w:w="485" w:type="pct"/>
                  <w:tcBorders>
                    <w:tl2br w:val="nil"/>
                    <w:tr2bl w:val="nil"/>
                  </w:tcBorders>
                  <w:shd w:val="clear" w:color="auto" w:fill="auto"/>
                  <w:vAlign w:val="center"/>
                </w:tcPr>
                <w:p w14:paraId="3922D9F4">
                  <w:pPr>
                    <w:jc w:val="center"/>
                    <w:rPr>
                      <w:rFonts w:hint="default" w:ascii="Times New Roman" w:hAnsi="Times New Roman" w:cs="Times New Roman"/>
                      <w:bCs/>
                      <w:color w:val="FF0000"/>
                      <w:szCs w:val="21"/>
                    </w:rPr>
                  </w:pPr>
                  <w:r>
                    <w:rPr>
                      <w:rFonts w:hint="default" w:ascii="Times New Roman" w:hAnsi="Times New Roman" w:cs="Times New Roman"/>
                      <w:bCs/>
                      <w:color w:val="FF0000"/>
                      <w:szCs w:val="21"/>
                    </w:rPr>
                    <w:t>固态</w:t>
                  </w:r>
                </w:p>
              </w:tc>
              <w:tc>
                <w:tcPr>
                  <w:tcW w:w="423" w:type="pct"/>
                  <w:tcBorders>
                    <w:tl2br w:val="nil"/>
                    <w:tr2bl w:val="nil"/>
                  </w:tcBorders>
                  <w:shd w:val="clear" w:color="auto" w:fill="auto"/>
                  <w:vAlign w:val="center"/>
                </w:tcPr>
                <w:p w14:paraId="0910463A">
                  <w:pPr>
                    <w:jc w:val="center"/>
                    <w:rPr>
                      <w:rFonts w:hint="default" w:ascii="Times New Roman" w:hAnsi="Times New Roman" w:cs="Times New Roman"/>
                      <w:bCs/>
                      <w:color w:val="FF0000"/>
                      <w:szCs w:val="21"/>
                    </w:rPr>
                  </w:pPr>
                  <w:r>
                    <w:rPr>
                      <w:rFonts w:hint="default" w:ascii="Times New Roman" w:hAnsi="Times New Roman" w:cs="Times New Roman"/>
                      <w:bCs/>
                      <w:color w:val="FF0000"/>
                      <w:szCs w:val="21"/>
                    </w:rPr>
                    <w:t>T，I</w:t>
                  </w:r>
                </w:p>
              </w:tc>
              <w:tc>
                <w:tcPr>
                  <w:tcW w:w="493" w:type="pct"/>
                  <w:tcBorders>
                    <w:tl2br w:val="nil"/>
                    <w:tr2bl w:val="nil"/>
                  </w:tcBorders>
                  <w:shd w:val="clear" w:color="auto" w:fill="auto"/>
                  <w:vAlign w:val="center"/>
                </w:tcPr>
                <w:p w14:paraId="1CD3D479">
                  <w:pPr>
                    <w:keepNext w:val="0"/>
                    <w:keepLines w:val="0"/>
                    <w:widowControl/>
                    <w:suppressLineNumbers w:val="0"/>
                    <w:jc w:val="center"/>
                    <w:textAlignment w:val="center"/>
                    <w:rPr>
                      <w:rFonts w:hint="default" w:ascii="Times New Roman" w:hAnsi="Times New Roman" w:cs="Times New Roman"/>
                      <w:bCs/>
                      <w:color w:val="0070C0"/>
                      <w:szCs w:val="21"/>
                    </w:rPr>
                  </w:pPr>
                  <w:r>
                    <w:rPr>
                      <w:rFonts w:hint="default" w:ascii="Times New Roman" w:hAnsi="Times New Roman" w:eastAsia="宋体" w:cs="Times New Roman"/>
                      <w:i w:val="0"/>
                      <w:iCs w:val="0"/>
                      <w:color w:val="0070C0"/>
                      <w:kern w:val="0"/>
                      <w:sz w:val="21"/>
                      <w:szCs w:val="21"/>
                      <w:u w:val="none"/>
                      <w:lang w:val="en-US" w:eastAsia="zh-CN" w:bidi="ar"/>
                    </w:rPr>
                    <w:t xml:space="preserve">3 </w:t>
                  </w:r>
                </w:p>
              </w:tc>
              <w:tc>
                <w:tcPr>
                  <w:tcW w:w="1251" w:type="pct"/>
                  <w:vMerge w:val="continue"/>
                  <w:tcBorders>
                    <w:tl2br w:val="nil"/>
                    <w:tr2bl w:val="nil"/>
                  </w:tcBorders>
                  <w:shd w:val="clear" w:color="auto" w:fill="auto"/>
                  <w:vAlign w:val="center"/>
                </w:tcPr>
                <w:p w14:paraId="653DF8B9">
                  <w:pPr>
                    <w:jc w:val="center"/>
                    <w:rPr>
                      <w:rFonts w:hint="default" w:ascii="Times New Roman" w:hAnsi="Times New Roman" w:cs="Times New Roman"/>
                      <w:color w:val="FF0000"/>
                      <w:szCs w:val="21"/>
                    </w:rPr>
                  </w:pPr>
                </w:p>
              </w:tc>
            </w:tr>
            <w:tr w14:paraId="5C34818D">
              <w:tblPrEx>
                <w:tblBorders>
                  <w:top w:val="double" w:color="000000" w:sz="4" w:space="0"/>
                  <w:left w:val="none" w:color="auto" w:sz="0" w:space="0"/>
                  <w:bottom w:val="double" w:color="000000" w:sz="4" w:space="0"/>
                  <w:right w:val="none" w:color="auto" w:sz="0" w:space="0"/>
                  <w:insideH w:val="single" w:color="000000" w:sz="4" w:space="0"/>
                  <w:insideV w:val="single" w:color="000000" w:sz="4" w:space="0"/>
                </w:tblBorders>
              </w:tblPrEx>
              <w:trPr>
                <w:trHeight w:val="272" w:hRule="atLeast"/>
              </w:trPr>
              <w:tc>
                <w:tcPr>
                  <w:tcW w:w="214" w:type="pct"/>
                  <w:tcBorders>
                    <w:tl2br w:val="nil"/>
                    <w:tr2bl w:val="nil"/>
                  </w:tcBorders>
                  <w:shd w:val="clear" w:color="auto" w:fill="auto"/>
                  <w:vAlign w:val="center"/>
                </w:tcPr>
                <w:p w14:paraId="744BC340">
                  <w:pPr>
                    <w:jc w:val="center"/>
                    <w:rPr>
                      <w:rFonts w:hint="default" w:ascii="Times New Roman" w:hAnsi="Times New Roman" w:cs="Times New Roman"/>
                      <w:bCs/>
                      <w:color w:val="FF0000"/>
                      <w:szCs w:val="21"/>
                    </w:rPr>
                  </w:pPr>
                  <w:r>
                    <w:rPr>
                      <w:rFonts w:hint="default" w:ascii="Times New Roman" w:hAnsi="Times New Roman" w:cs="Times New Roman"/>
                      <w:bCs/>
                      <w:color w:val="FF0000"/>
                      <w:szCs w:val="21"/>
                    </w:rPr>
                    <w:t>8</w:t>
                  </w:r>
                </w:p>
              </w:tc>
              <w:tc>
                <w:tcPr>
                  <w:tcW w:w="595" w:type="pct"/>
                  <w:tcBorders>
                    <w:tl2br w:val="nil"/>
                    <w:tr2bl w:val="nil"/>
                  </w:tcBorders>
                  <w:shd w:val="clear" w:color="auto" w:fill="auto"/>
                  <w:vAlign w:val="center"/>
                </w:tcPr>
                <w:p w14:paraId="198E567A">
                  <w:pPr>
                    <w:jc w:val="center"/>
                    <w:rPr>
                      <w:rFonts w:hint="default" w:ascii="Times New Roman" w:hAnsi="Times New Roman" w:cs="Times New Roman"/>
                      <w:bCs/>
                      <w:color w:val="FF0000"/>
                      <w:szCs w:val="21"/>
                    </w:rPr>
                  </w:pPr>
                  <w:r>
                    <w:rPr>
                      <w:rFonts w:hint="default" w:ascii="Times New Roman" w:hAnsi="Times New Roman" w:cs="Times New Roman"/>
                      <w:bCs/>
                      <w:color w:val="FF0000"/>
                      <w:szCs w:val="21"/>
                    </w:rPr>
                    <w:t>废电路板及电子元件</w:t>
                  </w:r>
                </w:p>
              </w:tc>
              <w:tc>
                <w:tcPr>
                  <w:tcW w:w="468" w:type="pct"/>
                  <w:tcBorders>
                    <w:tl2br w:val="nil"/>
                    <w:tr2bl w:val="nil"/>
                  </w:tcBorders>
                  <w:shd w:val="clear" w:color="auto" w:fill="auto"/>
                  <w:vAlign w:val="center"/>
                </w:tcPr>
                <w:p w14:paraId="04985347">
                  <w:pPr>
                    <w:jc w:val="center"/>
                    <w:rPr>
                      <w:rFonts w:hint="default" w:ascii="Times New Roman" w:hAnsi="Times New Roman" w:cs="Times New Roman"/>
                      <w:bCs/>
                      <w:color w:val="FF0000"/>
                      <w:szCs w:val="21"/>
                    </w:rPr>
                  </w:pPr>
                  <w:r>
                    <w:rPr>
                      <w:rFonts w:hint="default" w:ascii="Times New Roman" w:hAnsi="Times New Roman" w:cs="Times New Roman"/>
                      <w:bCs/>
                      <w:color w:val="FF0000"/>
                      <w:szCs w:val="21"/>
                    </w:rPr>
                    <w:t>HW49</w:t>
                  </w:r>
                </w:p>
              </w:tc>
              <w:tc>
                <w:tcPr>
                  <w:tcW w:w="526" w:type="pct"/>
                  <w:tcBorders>
                    <w:tl2br w:val="nil"/>
                    <w:tr2bl w:val="nil"/>
                  </w:tcBorders>
                  <w:shd w:val="clear" w:color="auto" w:fill="auto"/>
                  <w:vAlign w:val="center"/>
                </w:tcPr>
                <w:p w14:paraId="62BF6CCF">
                  <w:pPr>
                    <w:jc w:val="center"/>
                    <w:rPr>
                      <w:rFonts w:hint="default" w:ascii="Times New Roman" w:hAnsi="Times New Roman" w:cs="Times New Roman"/>
                      <w:bCs/>
                      <w:color w:val="FF0000"/>
                      <w:szCs w:val="21"/>
                    </w:rPr>
                  </w:pPr>
                  <w:r>
                    <w:rPr>
                      <w:rFonts w:hint="default" w:ascii="Times New Roman" w:hAnsi="Times New Roman" w:cs="Times New Roman"/>
                      <w:bCs/>
                      <w:color w:val="FF0000"/>
                      <w:szCs w:val="21"/>
                    </w:rPr>
                    <w:t>900-045-49</w:t>
                  </w:r>
                </w:p>
              </w:tc>
              <w:tc>
                <w:tcPr>
                  <w:tcW w:w="540" w:type="pct"/>
                  <w:tcBorders>
                    <w:tl2br w:val="nil"/>
                    <w:tr2bl w:val="nil"/>
                  </w:tcBorders>
                  <w:shd w:val="clear" w:color="auto" w:fill="auto"/>
                  <w:vAlign w:val="center"/>
                </w:tcPr>
                <w:p w14:paraId="64BE2CDF">
                  <w:pPr>
                    <w:jc w:val="center"/>
                    <w:rPr>
                      <w:rFonts w:hint="default" w:ascii="Times New Roman" w:hAnsi="Times New Roman" w:eastAsia="宋体" w:cs="Times New Roman"/>
                      <w:bCs/>
                      <w:color w:val="FF0000"/>
                      <w:szCs w:val="21"/>
                      <w:lang w:val="en-US" w:eastAsia="zh-CN"/>
                    </w:rPr>
                  </w:pPr>
                  <w:r>
                    <w:rPr>
                      <w:rFonts w:hint="default" w:ascii="Times New Roman" w:hAnsi="Times New Roman" w:eastAsia="宋体" w:cs="Times New Roman"/>
                      <w:bCs/>
                      <w:color w:val="FF0000"/>
                      <w:szCs w:val="21"/>
                      <w:lang w:val="en-US" w:eastAsia="zh-CN"/>
                    </w:rPr>
                    <w:t>60.59</w:t>
                  </w:r>
                </w:p>
              </w:tc>
              <w:tc>
                <w:tcPr>
                  <w:tcW w:w="485" w:type="pct"/>
                  <w:tcBorders>
                    <w:tl2br w:val="nil"/>
                    <w:tr2bl w:val="nil"/>
                  </w:tcBorders>
                  <w:shd w:val="clear" w:color="auto" w:fill="auto"/>
                  <w:vAlign w:val="center"/>
                </w:tcPr>
                <w:p w14:paraId="6ECC4186">
                  <w:pPr>
                    <w:jc w:val="center"/>
                    <w:rPr>
                      <w:rFonts w:hint="default" w:ascii="Times New Roman" w:hAnsi="Times New Roman" w:cs="Times New Roman"/>
                      <w:bCs/>
                      <w:color w:val="FF0000"/>
                      <w:szCs w:val="21"/>
                    </w:rPr>
                  </w:pPr>
                  <w:r>
                    <w:rPr>
                      <w:rFonts w:hint="default" w:ascii="Times New Roman" w:hAnsi="Times New Roman" w:cs="Times New Roman"/>
                      <w:bCs/>
                      <w:color w:val="FF0000"/>
                      <w:szCs w:val="21"/>
                    </w:rPr>
                    <w:t>固态</w:t>
                  </w:r>
                </w:p>
              </w:tc>
              <w:tc>
                <w:tcPr>
                  <w:tcW w:w="423" w:type="pct"/>
                  <w:tcBorders>
                    <w:tl2br w:val="nil"/>
                    <w:tr2bl w:val="nil"/>
                  </w:tcBorders>
                  <w:shd w:val="clear" w:color="auto" w:fill="auto"/>
                  <w:vAlign w:val="center"/>
                </w:tcPr>
                <w:p w14:paraId="2CFA9BB4">
                  <w:pPr>
                    <w:jc w:val="center"/>
                    <w:rPr>
                      <w:rFonts w:hint="default" w:ascii="Times New Roman" w:hAnsi="Times New Roman" w:cs="Times New Roman"/>
                      <w:bCs/>
                      <w:color w:val="FF0000"/>
                      <w:szCs w:val="21"/>
                    </w:rPr>
                  </w:pPr>
                  <w:r>
                    <w:rPr>
                      <w:rFonts w:hint="default" w:ascii="Times New Roman" w:hAnsi="Times New Roman" w:cs="Times New Roman"/>
                      <w:bCs/>
                      <w:color w:val="FF0000"/>
                      <w:szCs w:val="21"/>
                    </w:rPr>
                    <w:t>T</w:t>
                  </w:r>
                </w:p>
              </w:tc>
              <w:tc>
                <w:tcPr>
                  <w:tcW w:w="493" w:type="pct"/>
                  <w:tcBorders>
                    <w:tl2br w:val="nil"/>
                    <w:tr2bl w:val="nil"/>
                  </w:tcBorders>
                  <w:shd w:val="clear" w:color="auto" w:fill="auto"/>
                  <w:vAlign w:val="center"/>
                </w:tcPr>
                <w:p w14:paraId="3499E058">
                  <w:pPr>
                    <w:keepNext w:val="0"/>
                    <w:keepLines w:val="0"/>
                    <w:widowControl/>
                    <w:suppressLineNumbers w:val="0"/>
                    <w:jc w:val="center"/>
                    <w:textAlignment w:val="center"/>
                    <w:rPr>
                      <w:rFonts w:hint="default" w:ascii="Times New Roman" w:hAnsi="Times New Roman" w:cs="Times New Roman"/>
                      <w:bCs/>
                      <w:color w:val="0070C0"/>
                      <w:szCs w:val="21"/>
                    </w:rPr>
                  </w:pPr>
                  <w:r>
                    <w:rPr>
                      <w:rFonts w:hint="default" w:ascii="Times New Roman" w:hAnsi="Times New Roman" w:eastAsia="宋体" w:cs="Times New Roman"/>
                      <w:i w:val="0"/>
                      <w:iCs w:val="0"/>
                      <w:color w:val="0070C0"/>
                      <w:kern w:val="0"/>
                      <w:sz w:val="21"/>
                      <w:szCs w:val="21"/>
                      <w:u w:val="none"/>
                      <w:lang w:val="en-US" w:eastAsia="zh-CN" w:bidi="ar"/>
                    </w:rPr>
                    <w:t xml:space="preserve">1 </w:t>
                  </w:r>
                </w:p>
              </w:tc>
              <w:tc>
                <w:tcPr>
                  <w:tcW w:w="1251" w:type="pct"/>
                  <w:tcBorders>
                    <w:tl2br w:val="nil"/>
                    <w:tr2bl w:val="nil"/>
                  </w:tcBorders>
                  <w:shd w:val="clear" w:color="auto" w:fill="auto"/>
                  <w:vAlign w:val="center"/>
                </w:tcPr>
                <w:p w14:paraId="25342321">
                  <w:pPr>
                    <w:jc w:val="center"/>
                    <w:rPr>
                      <w:rFonts w:hint="default" w:ascii="Times New Roman" w:hAnsi="Times New Roman" w:cs="Times New Roman"/>
                      <w:color w:val="FF0000"/>
                      <w:szCs w:val="21"/>
                    </w:rPr>
                  </w:pPr>
                  <w:r>
                    <w:rPr>
                      <w:rFonts w:hint="eastAsia"/>
                      <w:color w:val="FF0000"/>
                      <w:kern w:val="0"/>
                      <w:sz w:val="21"/>
                      <w:szCs w:val="21"/>
                      <w:lang w:val="en-US" w:eastAsia="zh-CN" w:bidi="ar"/>
                    </w:rPr>
                    <w:t>厂内集中收集，分类、分区暂存在危废贮存点内，定期</w:t>
                  </w:r>
                  <w:r>
                    <w:rPr>
                      <w:rFonts w:hint="default" w:ascii="Times New Roman" w:hAnsi="Times New Roman" w:eastAsia="宋体" w:cs="Times New Roman"/>
                      <w:color w:val="FF0000"/>
                      <w:spacing w:val="-1"/>
                      <w:sz w:val="21"/>
                      <w:szCs w:val="21"/>
                    </w:rPr>
                    <w:t>交由具有相应废弃电器电子产品处理资格企业、电子废物拆解利用处置单位名录内企业</w:t>
                  </w:r>
                </w:p>
              </w:tc>
            </w:tr>
            <w:tr w14:paraId="3A59D083">
              <w:tblPrEx>
                <w:tblBorders>
                  <w:top w:val="double" w:color="000000" w:sz="4" w:space="0"/>
                  <w:left w:val="none" w:color="auto" w:sz="0" w:space="0"/>
                  <w:bottom w:val="doub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72" w:hRule="atLeast"/>
              </w:trPr>
              <w:tc>
                <w:tcPr>
                  <w:tcW w:w="214" w:type="pct"/>
                  <w:tcBorders>
                    <w:tl2br w:val="nil"/>
                    <w:tr2bl w:val="nil"/>
                  </w:tcBorders>
                  <w:shd w:val="clear" w:color="auto" w:fill="auto"/>
                  <w:vAlign w:val="center"/>
                </w:tcPr>
                <w:p w14:paraId="655AF2E2">
                  <w:pPr>
                    <w:jc w:val="center"/>
                    <w:rPr>
                      <w:rFonts w:hint="default" w:ascii="Times New Roman" w:hAnsi="Times New Roman" w:cs="Times New Roman"/>
                      <w:bCs/>
                      <w:color w:val="FF0000"/>
                      <w:szCs w:val="21"/>
                    </w:rPr>
                  </w:pPr>
                  <w:r>
                    <w:rPr>
                      <w:rFonts w:hint="default" w:ascii="Times New Roman" w:hAnsi="Times New Roman" w:cs="Times New Roman"/>
                      <w:bCs/>
                      <w:color w:val="FF0000"/>
                      <w:szCs w:val="21"/>
                    </w:rPr>
                    <w:t>9</w:t>
                  </w:r>
                </w:p>
              </w:tc>
              <w:tc>
                <w:tcPr>
                  <w:tcW w:w="595" w:type="pct"/>
                  <w:tcBorders>
                    <w:tl2br w:val="nil"/>
                    <w:tr2bl w:val="nil"/>
                  </w:tcBorders>
                  <w:shd w:val="clear" w:color="auto" w:fill="auto"/>
                  <w:vAlign w:val="center"/>
                </w:tcPr>
                <w:p w14:paraId="6D24C12F">
                  <w:pPr>
                    <w:jc w:val="center"/>
                    <w:rPr>
                      <w:rFonts w:hint="default" w:ascii="Times New Roman" w:hAnsi="Times New Roman" w:cs="Times New Roman"/>
                      <w:bCs/>
                      <w:color w:val="FF0000"/>
                      <w:szCs w:val="21"/>
                    </w:rPr>
                  </w:pPr>
                  <w:r>
                    <w:rPr>
                      <w:rFonts w:hint="default" w:ascii="Times New Roman" w:hAnsi="Times New Roman" w:cs="Times New Roman"/>
                      <w:bCs/>
                      <w:color w:val="FF0000"/>
                      <w:szCs w:val="21"/>
                    </w:rPr>
                    <w:t>含铅部件</w:t>
                  </w:r>
                </w:p>
              </w:tc>
              <w:tc>
                <w:tcPr>
                  <w:tcW w:w="468" w:type="pct"/>
                  <w:tcBorders>
                    <w:tl2br w:val="nil"/>
                    <w:tr2bl w:val="nil"/>
                  </w:tcBorders>
                  <w:shd w:val="clear" w:color="auto" w:fill="auto"/>
                  <w:vAlign w:val="center"/>
                </w:tcPr>
                <w:p w14:paraId="3614164B">
                  <w:pPr>
                    <w:jc w:val="center"/>
                    <w:rPr>
                      <w:rFonts w:hint="default" w:ascii="Times New Roman" w:hAnsi="Times New Roman" w:cs="Times New Roman"/>
                      <w:bCs/>
                      <w:color w:val="FF0000"/>
                      <w:szCs w:val="21"/>
                    </w:rPr>
                  </w:pPr>
                  <w:r>
                    <w:rPr>
                      <w:rFonts w:hint="default" w:ascii="Times New Roman" w:hAnsi="Times New Roman" w:cs="Times New Roman"/>
                      <w:bCs/>
                      <w:color w:val="FF0000"/>
                      <w:szCs w:val="21"/>
                    </w:rPr>
                    <w:t>HW31</w:t>
                  </w:r>
                </w:p>
              </w:tc>
              <w:tc>
                <w:tcPr>
                  <w:tcW w:w="526" w:type="pct"/>
                  <w:tcBorders>
                    <w:tl2br w:val="nil"/>
                    <w:tr2bl w:val="nil"/>
                  </w:tcBorders>
                  <w:shd w:val="clear" w:color="auto" w:fill="auto"/>
                  <w:vAlign w:val="center"/>
                </w:tcPr>
                <w:p w14:paraId="3BA81C94">
                  <w:pPr>
                    <w:jc w:val="center"/>
                    <w:rPr>
                      <w:rFonts w:hint="default" w:ascii="Times New Roman" w:hAnsi="Times New Roman" w:cs="Times New Roman"/>
                      <w:bCs/>
                      <w:color w:val="FF0000"/>
                      <w:szCs w:val="21"/>
                    </w:rPr>
                  </w:pPr>
                  <w:r>
                    <w:rPr>
                      <w:rFonts w:hint="default" w:ascii="Times New Roman" w:hAnsi="Times New Roman" w:cs="Times New Roman"/>
                      <w:bCs/>
                      <w:color w:val="FF0000"/>
                      <w:szCs w:val="21"/>
                    </w:rPr>
                    <w:t>900-025-31</w:t>
                  </w:r>
                </w:p>
              </w:tc>
              <w:tc>
                <w:tcPr>
                  <w:tcW w:w="540" w:type="pct"/>
                  <w:tcBorders>
                    <w:tl2br w:val="nil"/>
                    <w:tr2bl w:val="nil"/>
                  </w:tcBorders>
                  <w:shd w:val="clear" w:color="auto" w:fill="auto"/>
                  <w:vAlign w:val="center"/>
                </w:tcPr>
                <w:p w14:paraId="3B5D31BB">
                  <w:pPr>
                    <w:jc w:val="center"/>
                    <w:rPr>
                      <w:rFonts w:hint="default" w:ascii="Times New Roman" w:hAnsi="Times New Roman" w:eastAsia="宋体" w:cs="Times New Roman"/>
                      <w:bCs/>
                      <w:color w:val="FF0000"/>
                      <w:szCs w:val="21"/>
                      <w:lang w:val="en-US" w:eastAsia="zh-CN"/>
                    </w:rPr>
                  </w:pPr>
                  <w:r>
                    <w:rPr>
                      <w:rFonts w:hint="default" w:ascii="Times New Roman" w:hAnsi="Times New Roman" w:eastAsia="宋体" w:cs="Times New Roman"/>
                      <w:bCs/>
                      <w:color w:val="FF0000"/>
                      <w:szCs w:val="21"/>
                      <w:lang w:val="en-US" w:eastAsia="zh-CN"/>
                    </w:rPr>
                    <w:t>2.26</w:t>
                  </w:r>
                </w:p>
              </w:tc>
              <w:tc>
                <w:tcPr>
                  <w:tcW w:w="485" w:type="pct"/>
                  <w:tcBorders>
                    <w:tl2br w:val="nil"/>
                    <w:tr2bl w:val="nil"/>
                  </w:tcBorders>
                  <w:shd w:val="clear" w:color="auto" w:fill="auto"/>
                  <w:vAlign w:val="center"/>
                </w:tcPr>
                <w:p w14:paraId="0149B638">
                  <w:pPr>
                    <w:jc w:val="center"/>
                    <w:rPr>
                      <w:rFonts w:hint="default" w:ascii="Times New Roman" w:hAnsi="Times New Roman" w:cs="Times New Roman"/>
                      <w:bCs/>
                      <w:color w:val="FF0000"/>
                      <w:szCs w:val="21"/>
                    </w:rPr>
                  </w:pPr>
                  <w:r>
                    <w:rPr>
                      <w:rFonts w:hint="default" w:ascii="Times New Roman" w:hAnsi="Times New Roman" w:cs="Times New Roman"/>
                      <w:bCs/>
                      <w:color w:val="FF0000"/>
                      <w:szCs w:val="21"/>
                    </w:rPr>
                    <w:t>固态</w:t>
                  </w:r>
                </w:p>
              </w:tc>
              <w:tc>
                <w:tcPr>
                  <w:tcW w:w="423" w:type="pct"/>
                  <w:tcBorders>
                    <w:tl2br w:val="nil"/>
                    <w:tr2bl w:val="nil"/>
                  </w:tcBorders>
                  <w:shd w:val="clear" w:color="auto" w:fill="auto"/>
                  <w:vAlign w:val="center"/>
                </w:tcPr>
                <w:p w14:paraId="03E0294F">
                  <w:pPr>
                    <w:jc w:val="center"/>
                    <w:rPr>
                      <w:rFonts w:hint="default" w:ascii="Times New Roman" w:hAnsi="Times New Roman" w:cs="Times New Roman"/>
                      <w:bCs/>
                      <w:color w:val="FF0000"/>
                      <w:szCs w:val="21"/>
                    </w:rPr>
                  </w:pPr>
                  <w:r>
                    <w:rPr>
                      <w:rFonts w:hint="default" w:ascii="Times New Roman" w:hAnsi="Times New Roman" w:cs="Times New Roman"/>
                      <w:bCs/>
                      <w:color w:val="FF0000"/>
                      <w:szCs w:val="21"/>
                    </w:rPr>
                    <w:t>T</w:t>
                  </w:r>
                </w:p>
              </w:tc>
              <w:tc>
                <w:tcPr>
                  <w:tcW w:w="493" w:type="pct"/>
                  <w:tcBorders>
                    <w:tl2br w:val="nil"/>
                    <w:tr2bl w:val="nil"/>
                  </w:tcBorders>
                  <w:shd w:val="clear" w:color="auto" w:fill="auto"/>
                  <w:vAlign w:val="center"/>
                </w:tcPr>
                <w:p w14:paraId="6C7E9E2E">
                  <w:pPr>
                    <w:keepNext w:val="0"/>
                    <w:keepLines w:val="0"/>
                    <w:widowControl/>
                    <w:suppressLineNumbers w:val="0"/>
                    <w:jc w:val="center"/>
                    <w:textAlignment w:val="center"/>
                    <w:rPr>
                      <w:rFonts w:hint="default" w:ascii="Times New Roman" w:hAnsi="Times New Roman" w:cs="Times New Roman"/>
                      <w:bCs/>
                      <w:color w:val="0070C0"/>
                      <w:szCs w:val="21"/>
                    </w:rPr>
                  </w:pPr>
                  <w:r>
                    <w:rPr>
                      <w:rFonts w:hint="eastAsia" w:cs="Times New Roman"/>
                      <w:i w:val="0"/>
                      <w:iCs w:val="0"/>
                      <w:color w:val="0070C0"/>
                      <w:kern w:val="0"/>
                      <w:sz w:val="21"/>
                      <w:szCs w:val="21"/>
                      <w:u w:val="none"/>
                      <w:lang w:val="en-US" w:eastAsia="zh-CN" w:bidi="ar"/>
                    </w:rPr>
                    <w:t>1</w:t>
                  </w:r>
                  <w:r>
                    <w:rPr>
                      <w:rFonts w:hint="default" w:ascii="Times New Roman" w:hAnsi="Times New Roman" w:eastAsia="宋体" w:cs="Times New Roman"/>
                      <w:i w:val="0"/>
                      <w:iCs w:val="0"/>
                      <w:color w:val="0070C0"/>
                      <w:kern w:val="0"/>
                      <w:sz w:val="21"/>
                      <w:szCs w:val="21"/>
                      <w:u w:val="none"/>
                      <w:lang w:val="en-US" w:eastAsia="zh-CN" w:bidi="ar"/>
                    </w:rPr>
                    <w:t xml:space="preserve"> </w:t>
                  </w:r>
                </w:p>
              </w:tc>
              <w:tc>
                <w:tcPr>
                  <w:tcW w:w="1251" w:type="pct"/>
                  <w:vMerge w:val="restart"/>
                  <w:tcBorders>
                    <w:tl2br w:val="nil"/>
                    <w:tr2bl w:val="nil"/>
                  </w:tcBorders>
                  <w:shd w:val="clear" w:color="auto" w:fill="auto"/>
                  <w:vAlign w:val="center"/>
                </w:tcPr>
                <w:p w14:paraId="499D808F">
                  <w:pPr>
                    <w:jc w:val="center"/>
                    <w:rPr>
                      <w:rFonts w:hint="default" w:ascii="Times New Roman" w:hAnsi="Times New Roman" w:cs="Times New Roman"/>
                      <w:color w:val="FF0000"/>
                      <w:szCs w:val="21"/>
                    </w:rPr>
                  </w:pPr>
                  <w:r>
                    <w:rPr>
                      <w:rFonts w:hint="default" w:ascii="Times New Roman" w:hAnsi="Times New Roman" w:cs="Times New Roman"/>
                      <w:color w:val="FF0000"/>
                      <w:kern w:val="0"/>
                      <w:sz w:val="21"/>
                      <w:szCs w:val="21"/>
                      <w:lang w:val="en-US" w:eastAsia="zh-CN" w:bidi="ar"/>
                    </w:rPr>
                    <w:t>厂内集中收集，分类、分区暂存在危废贮存点内，</w:t>
                  </w:r>
                  <w:r>
                    <w:rPr>
                      <w:rFonts w:hint="eastAsia"/>
                      <w:color w:val="FF0000"/>
                      <w:kern w:val="0"/>
                      <w:sz w:val="21"/>
                      <w:szCs w:val="21"/>
                      <w:lang w:val="en-US" w:eastAsia="zh-CN" w:bidi="ar"/>
                    </w:rPr>
                    <w:t>定期</w:t>
                  </w:r>
                  <w:r>
                    <w:rPr>
                      <w:rFonts w:hint="default" w:ascii="Times New Roman" w:hAnsi="Times New Roman" w:eastAsia="宋体" w:cs="Times New Roman"/>
                      <w:color w:val="FF0000"/>
                      <w:spacing w:val="-1"/>
                      <w:sz w:val="21"/>
                      <w:szCs w:val="21"/>
                    </w:rPr>
                    <w:t>交由持有相应类别危险废物经营许可证的单</w:t>
                  </w:r>
                  <w:r>
                    <w:rPr>
                      <w:rFonts w:hint="default" w:ascii="Times New Roman" w:hAnsi="Times New Roman" w:eastAsia="宋体" w:cs="Times New Roman"/>
                      <w:color w:val="FF0000"/>
                      <w:spacing w:val="-2"/>
                      <w:sz w:val="21"/>
                      <w:szCs w:val="21"/>
                    </w:rPr>
                    <w:t>位处理</w:t>
                  </w:r>
                  <w:r>
                    <w:rPr>
                      <w:rFonts w:hint="eastAsia"/>
                      <w:color w:val="FF0000"/>
                      <w:kern w:val="0"/>
                      <w:sz w:val="21"/>
                      <w:szCs w:val="21"/>
                      <w:lang w:val="en-US" w:eastAsia="zh-CN" w:bidi="ar"/>
                    </w:rPr>
                    <w:t>。</w:t>
                  </w:r>
                </w:p>
              </w:tc>
            </w:tr>
            <w:tr w14:paraId="6D357E81">
              <w:tblPrEx>
                <w:tblBorders>
                  <w:top w:val="double" w:color="000000" w:sz="4" w:space="0"/>
                  <w:left w:val="none" w:color="auto" w:sz="0" w:space="0"/>
                  <w:bottom w:val="doub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603" w:hRule="atLeast"/>
              </w:trPr>
              <w:tc>
                <w:tcPr>
                  <w:tcW w:w="214" w:type="pct"/>
                  <w:tcBorders>
                    <w:tl2br w:val="nil"/>
                    <w:tr2bl w:val="nil"/>
                  </w:tcBorders>
                  <w:shd w:val="clear" w:color="auto" w:fill="auto"/>
                  <w:vAlign w:val="center"/>
                </w:tcPr>
                <w:p w14:paraId="22A11506">
                  <w:pPr>
                    <w:jc w:val="center"/>
                    <w:rPr>
                      <w:rFonts w:hint="default" w:ascii="Times New Roman" w:hAnsi="Times New Roman" w:cs="Times New Roman"/>
                      <w:bCs/>
                      <w:color w:val="FF0000"/>
                      <w:szCs w:val="21"/>
                    </w:rPr>
                  </w:pPr>
                  <w:r>
                    <w:rPr>
                      <w:rFonts w:hint="default" w:ascii="Times New Roman" w:hAnsi="Times New Roman" w:cs="Times New Roman"/>
                      <w:bCs/>
                      <w:color w:val="FF0000"/>
                      <w:szCs w:val="21"/>
                    </w:rPr>
                    <w:t>10</w:t>
                  </w:r>
                </w:p>
              </w:tc>
              <w:tc>
                <w:tcPr>
                  <w:tcW w:w="595" w:type="pct"/>
                  <w:tcBorders>
                    <w:tl2br w:val="nil"/>
                    <w:tr2bl w:val="nil"/>
                  </w:tcBorders>
                  <w:shd w:val="clear" w:color="auto" w:fill="auto"/>
                  <w:vAlign w:val="center"/>
                </w:tcPr>
                <w:p w14:paraId="18B03C15">
                  <w:pPr>
                    <w:jc w:val="center"/>
                    <w:rPr>
                      <w:rFonts w:hint="default" w:ascii="Times New Roman" w:hAnsi="Times New Roman" w:cs="Times New Roman"/>
                      <w:bCs/>
                      <w:color w:val="FF0000"/>
                      <w:szCs w:val="21"/>
                    </w:rPr>
                  </w:pPr>
                  <w:r>
                    <w:rPr>
                      <w:rFonts w:hint="default" w:ascii="Times New Roman" w:hAnsi="Times New Roman" w:cs="Times New Roman"/>
                      <w:bCs/>
                      <w:color w:val="FF0000"/>
                      <w:szCs w:val="21"/>
                    </w:rPr>
                    <w:t>含汞部件</w:t>
                  </w:r>
                </w:p>
              </w:tc>
              <w:tc>
                <w:tcPr>
                  <w:tcW w:w="468" w:type="pct"/>
                  <w:tcBorders>
                    <w:tl2br w:val="nil"/>
                    <w:tr2bl w:val="nil"/>
                  </w:tcBorders>
                  <w:shd w:val="clear" w:color="auto" w:fill="auto"/>
                  <w:vAlign w:val="center"/>
                </w:tcPr>
                <w:p w14:paraId="3BFDAE3F">
                  <w:pPr>
                    <w:jc w:val="center"/>
                    <w:rPr>
                      <w:rFonts w:hint="default" w:ascii="Times New Roman" w:hAnsi="Times New Roman" w:cs="Times New Roman"/>
                      <w:bCs/>
                      <w:color w:val="FF0000"/>
                      <w:szCs w:val="21"/>
                    </w:rPr>
                  </w:pPr>
                  <w:r>
                    <w:rPr>
                      <w:rFonts w:hint="default" w:ascii="Times New Roman" w:hAnsi="Times New Roman" w:cs="Times New Roman"/>
                      <w:bCs/>
                      <w:color w:val="FF0000"/>
                      <w:szCs w:val="21"/>
                    </w:rPr>
                    <w:t>HW29</w:t>
                  </w:r>
                </w:p>
              </w:tc>
              <w:tc>
                <w:tcPr>
                  <w:tcW w:w="526" w:type="pct"/>
                  <w:tcBorders>
                    <w:tl2br w:val="nil"/>
                    <w:tr2bl w:val="nil"/>
                  </w:tcBorders>
                  <w:shd w:val="clear" w:color="auto" w:fill="auto"/>
                  <w:vAlign w:val="center"/>
                </w:tcPr>
                <w:p w14:paraId="0E127EB5">
                  <w:pPr>
                    <w:jc w:val="center"/>
                    <w:rPr>
                      <w:rFonts w:hint="default" w:ascii="Times New Roman" w:hAnsi="Times New Roman" w:cs="Times New Roman"/>
                      <w:bCs/>
                      <w:color w:val="FF0000"/>
                      <w:szCs w:val="21"/>
                    </w:rPr>
                  </w:pPr>
                  <w:r>
                    <w:rPr>
                      <w:rFonts w:hint="default" w:ascii="Times New Roman" w:hAnsi="Times New Roman" w:cs="Times New Roman"/>
                      <w:bCs/>
                      <w:color w:val="FF0000"/>
                      <w:szCs w:val="21"/>
                    </w:rPr>
                    <w:t>900-024-29</w:t>
                  </w:r>
                </w:p>
              </w:tc>
              <w:tc>
                <w:tcPr>
                  <w:tcW w:w="540" w:type="pct"/>
                  <w:tcBorders>
                    <w:tl2br w:val="nil"/>
                    <w:tr2bl w:val="nil"/>
                  </w:tcBorders>
                  <w:shd w:val="clear" w:color="auto" w:fill="auto"/>
                  <w:vAlign w:val="center"/>
                </w:tcPr>
                <w:p w14:paraId="769394BB">
                  <w:pPr>
                    <w:jc w:val="center"/>
                    <w:rPr>
                      <w:rFonts w:hint="default" w:ascii="Times New Roman" w:hAnsi="Times New Roman" w:eastAsia="宋体" w:cs="Times New Roman"/>
                      <w:bCs/>
                      <w:color w:val="FF0000"/>
                      <w:szCs w:val="21"/>
                      <w:lang w:val="en-US" w:eastAsia="zh-CN"/>
                    </w:rPr>
                  </w:pPr>
                  <w:r>
                    <w:rPr>
                      <w:rFonts w:hint="default" w:ascii="Times New Roman" w:hAnsi="Times New Roman" w:eastAsia="宋体" w:cs="Times New Roman"/>
                      <w:bCs/>
                      <w:color w:val="FF0000"/>
                      <w:szCs w:val="21"/>
                      <w:lang w:val="en-US" w:eastAsia="zh-CN"/>
                    </w:rPr>
                    <w:t>0.25</w:t>
                  </w:r>
                </w:p>
              </w:tc>
              <w:tc>
                <w:tcPr>
                  <w:tcW w:w="485" w:type="pct"/>
                  <w:tcBorders>
                    <w:tl2br w:val="nil"/>
                    <w:tr2bl w:val="nil"/>
                  </w:tcBorders>
                  <w:shd w:val="clear" w:color="auto" w:fill="auto"/>
                  <w:vAlign w:val="center"/>
                </w:tcPr>
                <w:p w14:paraId="16BDC5DE">
                  <w:pPr>
                    <w:jc w:val="center"/>
                    <w:rPr>
                      <w:rFonts w:hint="default" w:ascii="Times New Roman" w:hAnsi="Times New Roman" w:cs="Times New Roman"/>
                      <w:bCs/>
                      <w:color w:val="FF0000"/>
                      <w:szCs w:val="21"/>
                    </w:rPr>
                  </w:pPr>
                  <w:r>
                    <w:rPr>
                      <w:rFonts w:hint="default" w:ascii="Times New Roman" w:hAnsi="Times New Roman" w:cs="Times New Roman"/>
                      <w:bCs/>
                      <w:color w:val="FF0000"/>
                      <w:szCs w:val="21"/>
                    </w:rPr>
                    <w:t>固态</w:t>
                  </w:r>
                </w:p>
              </w:tc>
              <w:tc>
                <w:tcPr>
                  <w:tcW w:w="423" w:type="pct"/>
                  <w:tcBorders>
                    <w:tl2br w:val="nil"/>
                    <w:tr2bl w:val="nil"/>
                  </w:tcBorders>
                  <w:shd w:val="clear" w:color="auto" w:fill="auto"/>
                  <w:vAlign w:val="center"/>
                </w:tcPr>
                <w:p w14:paraId="095C99E9">
                  <w:pPr>
                    <w:jc w:val="center"/>
                    <w:rPr>
                      <w:rFonts w:hint="default" w:ascii="Times New Roman" w:hAnsi="Times New Roman" w:cs="Times New Roman"/>
                      <w:bCs/>
                      <w:color w:val="FF0000"/>
                      <w:szCs w:val="21"/>
                    </w:rPr>
                  </w:pPr>
                  <w:r>
                    <w:rPr>
                      <w:rFonts w:hint="default" w:ascii="Times New Roman" w:hAnsi="Times New Roman" w:cs="Times New Roman"/>
                      <w:bCs/>
                      <w:color w:val="FF0000"/>
                      <w:szCs w:val="21"/>
                    </w:rPr>
                    <w:t>T</w:t>
                  </w:r>
                </w:p>
              </w:tc>
              <w:tc>
                <w:tcPr>
                  <w:tcW w:w="493" w:type="pct"/>
                  <w:tcBorders>
                    <w:tl2br w:val="nil"/>
                    <w:tr2bl w:val="nil"/>
                  </w:tcBorders>
                  <w:shd w:val="clear" w:color="auto" w:fill="auto"/>
                  <w:vAlign w:val="center"/>
                </w:tcPr>
                <w:p w14:paraId="6F52D6F0">
                  <w:pPr>
                    <w:keepNext w:val="0"/>
                    <w:keepLines w:val="0"/>
                    <w:widowControl/>
                    <w:suppressLineNumbers w:val="0"/>
                    <w:jc w:val="center"/>
                    <w:textAlignment w:val="center"/>
                    <w:rPr>
                      <w:rFonts w:hint="default" w:ascii="Times New Roman" w:hAnsi="Times New Roman" w:cs="Times New Roman"/>
                      <w:bCs/>
                      <w:color w:val="0070C0"/>
                      <w:szCs w:val="21"/>
                    </w:rPr>
                  </w:pPr>
                  <w:r>
                    <w:rPr>
                      <w:rFonts w:hint="eastAsia" w:cs="Times New Roman"/>
                      <w:i w:val="0"/>
                      <w:iCs w:val="0"/>
                      <w:color w:val="0070C0"/>
                      <w:kern w:val="0"/>
                      <w:sz w:val="21"/>
                      <w:szCs w:val="21"/>
                      <w:u w:val="none"/>
                      <w:lang w:val="en-US" w:eastAsia="zh-CN" w:bidi="ar"/>
                    </w:rPr>
                    <w:t>1</w:t>
                  </w:r>
                  <w:r>
                    <w:rPr>
                      <w:rFonts w:hint="default" w:ascii="Times New Roman" w:hAnsi="Times New Roman" w:eastAsia="宋体" w:cs="Times New Roman"/>
                      <w:i w:val="0"/>
                      <w:iCs w:val="0"/>
                      <w:color w:val="0070C0"/>
                      <w:kern w:val="0"/>
                      <w:sz w:val="21"/>
                      <w:szCs w:val="21"/>
                      <w:u w:val="none"/>
                      <w:lang w:val="en-US" w:eastAsia="zh-CN" w:bidi="ar"/>
                    </w:rPr>
                    <w:t xml:space="preserve"> </w:t>
                  </w:r>
                </w:p>
              </w:tc>
              <w:tc>
                <w:tcPr>
                  <w:tcW w:w="1251" w:type="pct"/>
                  <w:vMerge w:val="continue"/>
                  <w:tcBorders>
                    <w:tl2br w:val="nil"/>
                    <w:tr2bl w:val="nil"/>
                  </w:tcBorders>
                  <w:shd w:val="clear" w:color="auto" w:fill="auto"/>
                  <w:vAlign w:val="center"/>
                </w:tcPr>
                <w:p w14:paraId="734BCB52">
                  <w:pPr>
                    <w:jc w:val="center"/>
                    <w:rPr>
                      <w:rFonts w:hint="default" w:ascii="Times New Roman" w:hAnsi="Times New Roman" w:cs="Times New Roman"/>
                      <w:color w:val="FF0000"/>
                      <w:szCs w:val="21"/>
                    </w:rPr>
                  </w:pPr>
                </w:p>
              </w:tc>
            </w:tr>
            <w:tr w14:paraId="4304DF40">
              <w:tblPrEx>
                <w:tblBorders>
                  <w:top w:val="double" w:color="000000" w:sz="4" w:space="0"/>
                  <w:left w:val="none" w:color="auto" w:sz="0" w:space="0"/>
                  <w:bottom w:val="doub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72" w:hRule="atLeast"/>
              </w:trPr>
              <w:tc>
                <w:tcPr>
                  <w:tcW w:w="214" w:type="pct"/>
                  <w:tcBorders>
                    <w:tl2br w:val="nil"/>
                    <w:tr2bl w:val="nil"/>
                  </w:tcBorders>
                  <w:shd w:val="clear" w:color="auto" w:fill="auto"/>
                  <w:vAlign w:val="center"/>
                </w:tcPr>
                <w:p w14:paraId="384316A5">
                  <w:pPr>
                    <w:jc w:val="center"/>
                    <w:rPr>
                      <w:rFonts w:hint="default" w:ascii="Times New Roman" w:hAnsi="Times New Roman" w:cs="Times New Roman"/>
                      <w:bCs/>
                      <w:color w:val="FF0000"/>
                      <w:szCs w:val="21"/>
                    </w:rPr>
                  </w:pPr>
                  <w:r>
                    <w:rPr>
                      <w:rFonts w:hint="default" w:ascii="Times New Roman" w:hAnsi="Times New Roman" w:cs="Times New Roman"/>
                      <w:bCs/>
                      <w:color w:val="FF0000"/>
                      <w:szCs w:val="21"/>
                    </w:rPr>
                    <w:t>11</w:t>
                  </w:r>
                </w:p>
              </w:tc>
              <w:tc>
                <w:tcPr>
                  <w:tcW w:w="595" w:type="pct"/>
                  <w:tcBorders>
                    <w:tl2br w:val="nil"/>
                    <w:tr2bl w:val="nil"/>
                  </w:tcBorders>
                  <w:shd w:val="clear" w:color="auto" w:fill="auto"/>
                  <w:vAlign w:val="center"/>
                </w:tcPr>
                <w:p w14:paraId="00C8947B">
                  <w:pPr>
                    <w:jc w:val="center"/>
                    <w:rPr>
                      <w:rFonts w:hint="default" w:ascii="Times New Roman" w:hAnsi="Times New Roman" w:cs="Times New Roman"/>
                      <w:bCs/>
                      <w:color w:val="FF0000"/>
                      <w:szCs w:val="21"/>
                    </w:rPr>
                  </w:pPr>
                  <w:r>
                    <w:rPr>
                      <w:rFonts w:hint="default" w:ascii="Times New Roman" w:hAnsi="Times New Roman" w:cs="Times New Roman"/>
                      <w:bCs/>
                      <w:color w:val="FF0000"/>
                      <w:szCs w:val="21"/>
                    </w:rPr>
                    <w:t>废活性炭</w:t>
                  </w:r>
                </w:p>
              </w:tc>
              <w:tc>
                <w:tcPr>
                  <w:tcW w:w="468" w:type="pct"/>
                  <w:tcBorders>
                    <w:tl2br w:val="nil"/>
                    <w:tr2bl w:val="nil"/>
                  </w:tcBorders>
                  <w:shd w:val="clear" w:color="auto" w:fill="auto"/>
                  <w:vAlign w:val="center"/>
                </w:tcPr>
                <w:p w14:paraId="29F4F2AD">
                  <w:pPr>
                    <w:jc w:val="center"/>
                    <w:rPr>
                      <w:rFonts w:hint="default" w:ascii="Times New Roman" w:hAnsi="Times New Roman" w:cs="Times New Roman"/>
                      <w:bCs/>
                      <w:color w:val="FF0000"/>
                      <w:szCs w:val="21"/>
                    </w:rPr>
                  </w:pPr>
                  <w:r>
                    <w:rPr>
                      <w:rFonts w:hint="default" w:ascii="Times New Roman" w:hAnsi="Times New Roman" w:cs="Times New Roman"/>
                      <w:bCs/>
                      <w:color w:val="FF0000"/>
                      <w:szCs w:val="21"/>
                    </w:rPr>
                    <w:t>HW49</w:t>
                  </w:r>
                </w:p>
              </w:tc>
              <w:tc>
                <w:tcPr>
                  <w:tcW w:w="526" w:type="pct"/>
                  <w:tcBorders>
                    <w:tl2br w:val="nil"/>
                    <w:tr2bl w:val="nil"/>
                  </w:tcBorders>
                  <w:shd w:val="clear" w:color="auto" w:fill="auto"/>
                  <w:vAlign w:val="center"/>
                </w:tcPr>
                <w:p w14:paraId="350E8EF9">
                  <w:pPr>
                    <w:jc w:val="center"/>
                    <w:rPr>
                      <w:rFonts w:hint="default" w:ascii="Times New Roman" w:hAnsi="Times New Roman" w:cs="Times New Roman"/>
                      <w:bCs/>
                      <w:color w:val="FF0000"/>
                      <w:szCs w:val="21"/>
                    </w:rPr>
                  </w:pPr>
                  <w:r>
                    <w:rPr>
                      <w:rFonts w:hint="default" w:ascii="Times New Roman" w:hAnsi="Times New Roman" w:cs="Times New Roman"/>
                      <w:bCs/>
                      <w:color w:val="FF0000"/>
                      <w:szCs w:val="21"/>
                    </w:rPr>
                    <w:t>900-039-49</w:t>
                  </w:r>
                </w:p>
              </w:tc>
              <w:tc>
                <w:tcPr>
                  <w:tcW w:w="540" w:type="pct"/>
                  <w:tcBorders>
                    <w:tl2br w:val="nil"/>
                    <w:tr2bl w:val="nil"/>
                  </w:tcBorders>
                  <w:shd w:val="clear" w:color="auto" w:fill="auto"/>
                  <w:vAlign w:val="center"/>
                </w:tcPr>
                <w:p w14:paraId="0A8FA750">
                  <w:pPr>
                    <w:jc w:val="center"/>
                    <w:rPr>
                      <w:rFonts w:hint="default" w:ascii="Times New Roman" w:hAnsi="Times New Roman" w:eastAsia="宋体" w:cs="Times New Roman"/>
                      <w:bCs/>
                      <w:color w:val="FF0000"/>
                      <w:szCs w:val="21"/>
                      <w:lang w:val="en-US" w:eastAsia="zh-CN"/>
                    </w:rPr>
                  </w:pPr>
                  <w:r>
                    <w:rPr>
                      <w:rFonts w:hint="default" w:ascii="Times New Roman" w:hAnsi="Times New Roman" w:eastAsia="宋体" w:cs="Times New Roman"/>
                      <w:bCs/>
                      <w:color w:val="FF0000"/>
                      <w:szCs w:val="21"/>
                      <w:lang w:val="en-US" w:eastAsia="zh-CN"/>
                    </w:rPr>
                    <w:t>4.463</w:t>
                  </w:r>
                </w:p>
              </w:tc>
              <w:tc>
                <w:tcPr>
                  <w:tcW w:w="485" w:type="pct"/>
                  <w:tcBorders>
                    <w:tl2br w:val="nil"/>
                    <w:tr2bl w:val="nil"/>
                  </w:tcBorders>
                  <w:shd w:val="clear" w:color="auto" w:fill="auto"/>
                  <w:vAlign w:val="center"/>
                </w:tcPr>
                <w:p w14:paraId="44125069">
                  <w:pPr>
                    <w:jc w:val="center"/>
                    <w:rPr>
                      <w:rFonts w:hint="default" w:ascii="Times New Roman" w:hAnsi="Times New Roman" w:cs="Times New Roman"/>
                      <w:bCs/>
                      <w:color w:val="FF0000"/>
                      <w:szCs w:val="21"/>
                    </w:rPr>
                  </w:pPr>
                  <w:r>
                    <w:rPr>
                      <w:rFonts w:hint="default" w:ascii="Times New Roman" w:hAnsi="Times New Roman" w:cs="Times New Roman"/>
                      <w:bCs/>
                      <w:color w:val="FF0000"/>
                      <w:szCs w:val="21"/>
                    </w:rPr>
                    <w:t>固态</w:t>
                  </w:r>
                </w:p>
              </w:tc>
              <w:tc>
                <w:tcPr>
                  <w:tcW w:w="423" w:type="pct"/>
                  <w:tcBorders>
                    <w:tl2br w:val="nil"/>
                    <w:tr2bl w:val="nil"/>
                  </w:tcBorders>
                  <w:shd w:val="clear" w:color="auto" w:fill="auto"/>
                  <w:vAlign w:val="center"/>
                </w:tcPr>
                <w:p w14:paraId="0DA3B203">
                  <w:pPr>
                    <w:jc w:val="center"/>
                    <w:rPr>
                      <w:rFonts w:hint="default" w:ascii="Times New Roman" w:hAnsi="Times New Roman" w:cs="Times New Roman"/>
                      <w:bCs/>
                      <w:color w:val="FF0000"/>
                      <w:szCs w:val="21"/>
                    </w:rPr>
                  </w:pPr>
                  <w:r>
                    <w:rPr>
                      <w:rFonts w:hint="default" w:ascii="Times New Roman" w:hAnsi="Times New Roman" w:cs="Times New Roman"/>
                      <w:bCs/>
                      <w:color w:val="FF0000"/>
                      <w:szCs w:val="21"/>
                    </w:rPr>
                    <w:t>T</w:t>
                  </w:r>
                </w:p>
              </w:tc>
              <w:tc>
                <w:tcPr>
                  <w:tcW w:w="493" w:type="pct"/>
                  <w:tcBorders>
                    <w:tl2br w:val="nil"/>
                    <w:tr2bl w:val="nil"/>
                  </w:tcBorders>
                  <w:shd w:val="clear" w:color="auto" w:fill="auto"/>
                  <w:vAlign w:val="center"/>
                </w:tcPr>
                <w:p w14:paraId="79A69D75">
                  <w:pPr>
                    <w:keepNext w:val="0"/>
                    <w:keepLines w:val="0"/>
                    <w:widowControl/>
                    <w:suppressLineNumbers w:val="0"/>
                    <w:jc w:val="center"/>
                    <w:textAlignment w:val="center"/>
                    <w:rPr>
                      <w:rFonts w:hint="default" w:ascii="Times New Roman" w:hAnsi="Times New Roman" w:cs="Times New Roman"/>
                      <w:bCs/>
                      <w:color w:val="0070C0"/>
                      <w:szCs w:val="21"/>
                    </w:rPr>
                  </w:pPr>
                  <w:r>
                    <w:rPr>
                      <w:rFonts w:hint="eastAsia" w:cs="Times New Roman"/>
                      <w:i w:val="0"/>
                      <w:iCs w:val="0"/>
                      <w:color w:val="0070C0"/>
                      <w:kern w:val="0"/>
                      <w:sz w:val="21"/>
                      <w:szCs w:val="21"/>
                      <w:u w:val="none"/>
                      <w:lang w:val="en-US" w:eastAsia="zh-CN" w:bidi="ar"/>
                    </w:rPr>
                    <w:t>1</w:t>
                  </w:r>
                  <w:r>
                    <w:rPr>
                      <w:rFonts w:hint="default" w:ascii="Times New Roman" w:hAnsi="Times New Roman" w:eastAsia="宋体" w:cs="Times New Roman"/>
                      <w:i w:val="0"/>
                      <w:iCs w:val="0"/>
                      <w:color w:val="0070C0"/>
                      <w:kern w:val="0"/>
                      <w:sz w:val="21"/>
                      <w:szCs w:val="21"/>
                      <w:u w:val="none"/>
                      <w:lang w:val="en-US" w:eastAsia="zh-CN" w:bidi="ar"/>
                    </w:rPr>
                    <w:t xml:space="preserve"> </w:t>
                  </w:r>
                </w:p>
              </w:tc>
              <w:tc>
                <w:tcPr>
                  <w:tcW w:w="1251" w:type="pct"/>
                  <w:tcBorders>
                    <w:tl2br w:val="nil"/>
                    <w:tr2bl w:val="nil"/>
                  </w:tcBorders>
                  <w:shd w:val="clear" w:color="auto" w:fill="auto"/>
                  <w:vAlign w:val="center"/>
                </w:tcPr>
                <w:p w14:paraId="5BF0E16C">
                  <w:pPr>
                    <w:jc w:val="center"/>
                    <w:rPr>
                      <w:rFonts w:hint="default" w:ascii="Times New Roman" w:hAnsi="Times New Roman" w:cs="Times New Roman"/>
                      <w:color w:val="FF0000"/>
                      <w:szCs w:val="21"/>
                    </w:rPr>
                  </w:pPr>
                  <w:r>
                    <w:rPr>
                      <w:rFonts w:hint="default" w:ascii="Times New Roman" w:hAnsi="Times New Roman" w:cs="Times New Roman"/>
                      <w:color w:val="FF0000"/>
                      <w:szCs w:val="21"/>
                      <w:lang w:val="en-US" w:eastAsia="zh-CN"/>
                    </w:rPr>
                    <w:t>暂存于吸附箱内，</w:t>
                  </w:r>
                  <w:r>
                    <w:rPr>
                      <w:rFonts w:hint="eastAsia"/>
                      <w:color w:val="FF0000"/>
                      <w:kern w:val="0"/>
                      <w:sz w:val="21"/>
                      <w:szCs w:val="21"/>
                      <w:lang w:val="en-US" w:eastAsia="zh-CN" w:bidi="ar"/>
                    </w:rPr>
                    <w:t>定期</w:t>
                  </w:r>
                  <w:r>
                    <w:rPr>
                      <w:rFonts w:hint="default" w:ascii="Times New Roman" w:hAnsi="Times New Roman" w:eastAsia="宋体" w:cs="Times New Roman"/>
                      <w:color w:val="FF0000"/>
                      <w:spacing w:val="-1"/>
                      <w:sz w:val="21"/>
                      <w:szCs w:val="21"/>
                    </w:rPr>
                    <w:t>交由持有相应类别危险废物经营许可证的单</w:t>
                  </w:r>
                  <w:r>
                    <w:rPr>
                      <w:rFonts w:hint="default" w:ascii="Times New Roman" w:hAnsi="Times New Roman" w:eastAsia="宋体" w:cs="Times New Roman"/>
                      <w:color w:val="FF0000"/>
                      <w:spacing w:val="-2"/>
                      <w:sz w:val="21"/>
                      <w:szCs w:val="21"/>
                    </w:rPr>
                    <w:t>位处理</w:t>
                  </w:r>
                  <w:r>
                    <w:rPr>
                      <w:rFonts w:hint="eastAsia"/>
                      <w:color w:val="FF0000"/>
                      <w:kern w:val="0"/>
                      <w:sz w:val="21"/>
                      <w:szCs w:val="21"/>
                      <w:lang w:val="en-US" w:eastAsia="zh-CN" w:bidi="ar"/>
                    </w:rPr>
                    <w:t>。</w:t>
                  </w:r>
                </w:p>
              </w:tc>
            </w:tr>
            <w:tr w14:paraId="199BB3C5">
              <w:tblPrEx>
                <w:tblBorders>
                  <w:top w:val="double" w:color="000000" w:sz="4" w:space="0"/>
                  <w:left w:val="none" w:color="auto" w:sz="0" w:space="0"/>
                  <w:bottom w:val="doub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72" w:hRule="atLeast"/>
              </w:trPr>
              <w:tc>
                <w:tcPr>
                  <w:tcW w:w="214" w:type="pct"/>
                  <w:tcBorders>
                    <w:tl2br w:val="nil"/>
                    <w:tr2bl w:val="nil"/>
                  </w:tcBorders>
                  <w:shd w:val="clear" w:color="auto" w:fill="auto"/>
                  <w:vAlign w:val="center"/>
                </w:tcPr>
                <w:p w14:paraId="2CF56D1F">
                  <w:pPr>
                    <w:jc w:val="center"/>
                    <w:rPr>
                      <w:rFonts w:hint="default" w:ascii="Times New Roman" w:hAnsi="Times New Roman" w:cs="Times New Roman"/>
                      <w:bCs/>
                      <w:color w:val="FF0000"/>
                      <w:szCs w:val="21"/>
                    </w:rPr>
                  </w:pPr>
                  <w:r>
                    <w:rPr>
                      <w:rFonts w:hint="default" w:ascii="Times New Roman" w:hAnsi="Times New Roman" w:cs="Times New Roman"/>
                      <w:bCs/>
                      <w:color w:val="FF0000"/>
                      <w:szCs w:val="21"/>
                    </w:rPr>
                    <w:t>12</w:t>
                  </w:r>
                </w:p>
              </w:tc>
              <w:tc>
                <w:tcPr>
                  <w:tcW w:w="595" w:type="pct"/>
                  <w:tcBorders>
                    <w:tl2br w:val="nil"/>
                    <w:tr2bl w:val="nil"/>
                  </w:tcBorders>
                  <w:shd w:val="clear" w:color="auto" w:fill="auto"/>
                  <w:vAlign w:val="center"/>
                </w:tcPr>
                <w:p w14:paraId="5E68140E">
                  <w:pPr>
                    <w:jc w:val="center"/>
                    <w:rPr>
                      <w:rFonts w:hint="default" w:ascii="Times New Roman" w:hAnsi="Times New Roman" w:eastAsia="宋体" w:cs="Times New Roman"/>
                      <w:bCs/>
                      <w:color w:val="FF0000"/>
                      <w:szCs w:val="21"/>
                      <w:lang w:val="en-US" w:eastAsia="zh-CN"/>
                    </w:rPr>
                  </w:pPr>
                  <w:r>
                    <w:rPr>
                      <w:rFonts w:hint="default" w:ascii="Times New Roman" w:hAnsi="Times New Roman" w:cs="Times New Roman"/>
                      <w:bCs/>
                      <w:color w:val="FF0000"/>
                      <w:szCs w:val="21"/>
                    </w:rPr>
                    <w:t>油泥</w:t>
                  </w:r>
                  <w:r>
                    <w:rPr>
                      <w:rFonts w:hint="eastAsia" w:cs="Times New Roman"/>
                      <w:bCs/>
                      <w:color w:val="FF0000"/>
                      <w:szCs w:val="21"/>
                      <w:lang w:val="en-US" w:eastAsia="zh-CN"/>
                    </w:rPr>
                    <w:t>及沉渣</w:t>
                  </w:r>
                </w:p>
              </w:tc>
              <w:tc>
                <w:tcPr>
                  <w:tcW w:w="468" w:type="pct"/>
                  <w:tcBorders>
                    <w:tl2br w:val="nil"/>
                    <w:tr2bl w:val="nil"/>
                  </w:tcBorders>
                  <w:shd w:val="clear" w:color="auto" w:fill="auto"/>
                  <w:vAlign w:val="center"/>
                </w:tcPr>
                <w:p w14:paraId="59D63619">
                  <w:pPr>
                    <w:jc w:val="center"/>
                    <w:rPr>
                      <w:rFonts w:hint="default" w:ascii="Times New Roman" w:hAnsi="Times New Roman" w:cs="Times New Roman"/>
                      <w:bCs/>
                      <w:color w:val="FF0000"/>
                      <w:szCs w:val="21"/>
                    </w:rPr>
                  </w:pPr>
                  <w:r>
                    <w:rPr>
                      <w:rFonts w:hint="default" w:ascii="Times New Roman" w:hAnsi="Times New Roman" w:cs="Times New Roman"/>
                      <w:bCs/>
                      <w:color w:val="FF0000"/>
                      <w:szCs w:val="21"/>
                    </w:rPr>
                    <w:t>HW08</w:t>
                  </w:r>
                </w:p>
              </w:tc>
              <w:tc>
                <w:tcPr>
                  <w:tcW w:w="526" w:type="pct"/>
                  <w:tcBorders>
                    <w:tl2br w:val="nil"/>
                    <w:tr2bl w:val="nil"/>
                  </w:tcBorders>
                  <w:shd w:val="clear" w:color="auto" w:fill="auto"/>
                  <w:vAlign w:val="center"/>
                </w:tcPr>
                <w:p w14:paraId="09E65532">
                  <w:pPr>
                    <w:jc w:val="center"/>
                    <w:rPr>
                      <w:rFonts w:hint="default" w:ascii="Times New Roman" w:hAnsi="Times New Roman" w:cs="Times New Roman"/>
                      <w:bCs/>
                      <w:color w:val="FF0000"/>
                      <w:szCs w:val="21"/>
                    </w:rPr>
                  </w:pPr>
                  <w:r>
                    <w:rPr>
                      <w:rFonts w:hint="default" w:ascii="Times New Roman" w:hAnsi="Times New Roman" w:cs="Times New Roman"/>
                      <w:bCs/>
                      <w:color w:val="FF0000"/>
                      <w:szCs w:val="21"/>
                    </w:rPr>
                    <w:t>900-199-08</w:t>
                  </w:r>
                </w:p>
              </w:tc>
              <w:tc>
                <w:tcPr>
                  <w:tcW w:w="540" w:type="pct"/>
                  <w:tcBorders>
                    <w:tl2br w:val="nil"/>
                    <w:tr2bl w:val="nil"/>
                  </w:tcBorders>
                  <w:shd w:val="clear" w:color="auto" w:fill="auto"/>
                  <w:vAlign w:val="center"/>
                </w:tcPr>
                <w:p w14:paraId="645F1928">
                  <w:pPr>
                    <w:jc w:val="center"/>
                    <w:rPr>
                      <w:rFonts w:hint="default" w:ascii="Times New Roman" w:hAnsi="Times New Roman" w:eastAsia="宋体" w:cs="Times New Roman"/>
                      <w:bCs/>
                      <w:color w:val="FF0000"/>
                      <w:szCs w:val="21"/>
                      <w:lang w:val="en-US" w:eastAsia="zh-CN"/>
                    </w:rPr>
                  </w:pPr>
                  <w:r>
                    <w:rPr>
                      <w:rFonts w:hint="eastAsia" w:cs="Times New Roman"/>
                      <w:bCs/>
                      <w:color w:val="FF0000"/>
                      <w:szCs w:val="21"/>
                      <w:lang w:val="en-US" w:eastAsia="zh-CN"/>
                    </w:rPr>
                    <w:t>1.024</w:t>
                  </w:r>
                </w:p>
              </w:tc>
              <w:tc>
                <w:tcPr>
                  <w:tcW w:w="485" w:type="pct"/>
                  <w:tcBorders>
                    <w:tl2br w:val="nil"/>
                    <w:tr2bl w:val="nil"/>
                  </w:tcBorders>
                  <w:shd w:val="clear" w:color="auto" w:fill="auto"/>
                  <w:vAlign w:val="center"/>
                </w:tcPr>
                <w:p w14:paraId="2F550400">
                  <w:pPr>
                    <w:jc w:val="center"/>
                    <w:rPr>
                      <w:rFonts w:hint="default" w:ascii="Times New Roman" w:hAnsi="Times New Roman" w:cs="Times New Roman"/>
                      <w:bCs/>
                      <w:color w:val="FF0000"/>
                      <w:szCs w:val="21"/>
                    </w:rPr>
                  </w:pPr>
                  <w:r>
                    <w:rPr>
                      <w:rFonts w:hint="default" w:ascii="Times New Roman" w:hAnsi="Times New Roman" w:cs="Times New Roman"/>
                      <w:bCs/>
                      <w:color w:val="FF0000"/>
                      <w:szCs w:val="21"/>
                    </w:rPr>
                    <w:t>液态</w:t>
                  </w:r>
                </w:p>
              </w:tc>
              <w:tc>
                <w:tcPr>
                  <w:tcW w:w="423" w:type="pct"/>
                  <w:tcBorders>
                    <w:tl2br w:val="nil"/>
                    <w:tr2bl w:val="nil"/>
                  </w:tcBorders>
                  <w:shd w:val="clear" w:color="auto" w:fill="auto"/>
                  <w:vAlign w:val="center"/>
                </w:tcPr>
                <w:p w14:paraId="6B874020">
                  <w:pPr>
                    <w:jc w:val="center"/>
                    <w:rPr>
                      <w:rFonts w:hint="default" w:ascii="Times New Roman" w:hAnsi="Times New Roman" w:cs="Times New Roman"/>
                      <w:bCs/>
                      <w:color w:val="FF0000"/>
                      <w:szCs w:val="21"/>
                    </w:rPr>
                  </w:pPr>
                  <w:r>
                    <w:rPr>
                      <w:rFonts w:hint="default" w:ascii="Times New Roman" w:hAnsi="Times New Roman" w:cs="Times New Roman"/>
                      <w:bCs/>
                      <w:color w:val="FF0000"/>
                      <w:szCs w:val="21"/>
                    </w:rPr>
                    <w:t>T，I</w:t>
                  </w:r>
                </w:p>
              </w:tc>
              <w:tc>
                <w:tcPr>
                  <w:tcW w:w="493" w:type="pct"/>
                  <w:tcBorders>
                    <w:tl2br w:val="nil"/>
                    <w:tr2bl w:val="nil"/>
                  </w:tcBorders>
                  <w:shd w:val="clear" w:color="auto" w:fill="auto"/>
                  <w:vAlign w:val="center"/>
                </w:tcPr>
                <w:p w14:paraId="11E86278">
                  <w:pPr>
                    <w:keepNext w:val="0"/>
                    <w:keepLines w:val="0"/>
                    <w:widowControl/>
                    <w:suppressLineNumbers w:val="0"/>
                    <w:jc w:val="center"/>
                    <w:textAlignment w:val="center"/>
                    <w:rPr>
                      <w:rFonts w:hint="default" w:ascii="Times New Roman" w:hAnsi="Times New Roman" w:cs="Times New Roman"/>
                      <w:bCs/>
                      <w:color w:val="0070C0"/>
                      <w:szCs w:val="21"/>
                    </w:rPr>
                  </w:pPr>
                  <w:r>
                    <w:rPr>
                      <w:rFonts w:hint="eastAsia" w:cs="Times New Roman"/>
                      <w:i w:val="0"/>
                      <w:iCs w:val="0"/>
                      <w:color w:val="0070C0"/>
                      <w:kern w:val="0"/>
                      <w:sz w:val="21"/>
                      <w:szCs w:val="21"/>
                      <w:u w:val="none"/>
                      <w:lang w:val="en-US" w:eastAsia="zh-CN" w:bidi="ar"/>
                    </w:rPr>
                    <w:t>1</w:t>
                  </w:r>
                  <w:r>
                    <w:rPr>
                      <w:rFonts w:hint="default" w:ascii="Times New Roman" w:hAnsi="Times New Roman" w:eastAsia="宋体" w:cs="Times New Roman"/>
                      <w:i w:val="0"/>
                      <w:iCs w:val="0"/>
                      <w:color w:val="0070C0"/>
                      <w:kern w:val="0"/>
                      <w:sz w:val="21"/>
                      <w:szCs w:val="21"/>
                      <w:u w:val="none"/>
                      <w:lang w:val="en-US" w:eastAsia="zh-CN" w:bidi="ar"/>
                    </w:rPr>
                    <w:t xml:space="preserve"> </w:t>
                  </w:r>
                </w:p>
              </w:tc>
              <w:tc>
                <w:tcPr>
                  <w:tcW w:w="1251" w:type="pct"/>
                  <w:tcBorders>
                    <w:tl2br w:val="nil"/>
                    <w:tr2bl w:val="nil"/>
                  </w:tcBorders>
                  <w:shd w:val="clear" w:color="auto" w:fill="auto"/>
                  <w:vAlign w:val="center"/>
                </w:tcPr>
                <w:p w14:paraId="3EB3FA72">
                  <w:pPr>
                    <w:jc w:val="center"/>
                    <w:rPr>
                      <w:rFonts w:hint="default" w:ascii="Times New Roman" w:hAnsi="Times New Roman" w:cs="Times New Roman"/>
                      <w:color w:val="FF0000"/>
                      <w:szCs w:val="21"/>
                    </w:rPr>
                  </w:pPr>
                  <w:r>
                    <w:rPr>
                      <w:rFonts w:hint="eastAsia" w:cs="Times New Roman"/>
                      <w:color w:val="FF0000"/>
                      <w:szCs w:val="21"/>
                      <w:lang w:val="en-US" w:eastAsia="zh-CN"/>
                    </w:rPr>
                    <w:t>暂存于油泥及沉渣池内</w:t>
                  </w:r>
                  <w:r>
                    <w:rPr>
                      <w:rFonts w:hint="default" w:ascii="Times New Roman" w:hAnsi="Times New Roman" w:cs="Times New Roman"/>
                      <w:color w:val="FF0000"/>
                      <w:szCs w:val="21"/>
                    </w:rPr>
                    <w:t>，</w:t>
                  </w:r>
                  <w:r>
                    <w:rPr>
                      <w:rFonts w:hint="eastAsia"/>
                      <w:color w:val="FF0000"/>
                      <w:kern w:val="0"/>
                      <w:sz w:val="21"/>
                      <w:szCs w:val="21"/>
                      <w:lang w:val="en-US" w:eastAsia="zh-CN" w:bidi="ar"/>
                    </w:rPr>
                    <w:t>定期</w:t>
                  </w:r>
                  <w:r>
                    <w:rPr>
                      <w:rFonts w:hint="default" w:ascii="Times New Roman" w:hAnsi="Times New Roman" w:eastAsia="宋体" w:cs="Times New Roman"/>
                      <w:color w:val="FF0000"/>
                      <w:spacing w:val="-1"/>
                      <w:sz w:val="21"/>
                      <w:szCs w:val="21"/>
                    </w:rPr>
                    <w:t>交由持有相应类别危险废物经营许可证的单</w:t>
                  </w:r>
                  <w:r>
                    <w:rPr>
                      <w:rFonts w:hint="default" w:ascii="Times New Roman" w:hAnsi="Times New Roman" w:eastAsia="宋体" w:cs="Times New Roman"/>
                      <w:color w:val="FF0000"/>
                      <w:spacing w:val="-2"/>
                      <w:sz w:val="21"/>
                      <w:szCs w:val="21"/>
                    </w:rPr>
                    <w:t>位处理</w:t>
                  </w:r>
                  <w:r>
                    <w:rPr>
                      <w:rFonts w:hint="eastAsia"/>
                      <w:color w:val="FF0000"/>
                      <w:kern w:val="0"/>
                      <w:sz w:val="21"/>
                      <w:szCs w:val="21"/>
                      <w:lang w:val="en-US" w:eastAsia="zh-CN" w:bidi="ar"/>
                    </w:rPr>
                    <w:t>。</w:t>
                  </w:r>
                </w:p>
              </w:tc>
            </w:tr>
            <w:tr w14:paraId="3182243F">
              <w:tblPrEx>
                <w:tblBorders>
                  <w:top w:val="double" w:color="000000" w:sz="4" w:space="0"/>
                  <w:left w:val="none" w:color="auto" w:sz="0" w:space="0"/>
                  <w:bottom w:val="doub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72" w:hRule="atLeast"/>
              </w:trPr>
              <w:tc>
                <w:tcPr>
                  <w:tcW w:w="214" w:type="pct"/>
                  <w:tcBorders>
                    <w:tl2br w:val="nil"/>
                    <w:tr2bl w:val="nil"/>
                  </w:tcBorders>
                  <w:shd w:val="clear" w:color="auto" w:fill="auto"/>
                  <w:vAlign w:val="center"/>
                </w:tcPr>
                <w:p w14:paraId="054C4391">
                  <w:pPr>
                    <w:jc w:val="center"/>
                    <w:rPr>
                      <w:rFonts w:hint="default" w:ascii="Times New Roman" w:hAnsi="Times New Roman" w:cs="Times New Roman"/>
                      <w:bCs/>
                      <w:color w:val="FF0000"/>
                      <w:szCs w:val="21"/>
                    </w:rPr>
                  </w:pPr>
                  <w:r>
                    <w:rPr>
                      <w:rFonts w:hint="default" w:ascii="Times New Roman" w:hAnsi="Times New Roman" w:cs="Times New Roman"/>
                      <w:bCs/>
                      <w:color w:val="FF0000"/>
                      <w:szCs w:val="21"/>
                    </w:rPr>
                    <w:t>13</w:t>
                  </w:r>
                </w:p>
              </w:tc>
              <w:tc>
                <w:tcPr>
                  <w:tcW w:w="595" w:type="pct"/>
                  <w:tcBorders>
                    <w:tl2br w:val="nil"/>
                    <w:tr2bl w:val="nil"/>
                  </w:tcBorders>
                  <w:shd w:val="clear" w:color="auto" w:fill="auto"/>
                  <w:vAlign w:val="center"/>
                </w:tcPr>
                <w:p w14:paraId="59C8D197">
                  <w:pPr>
                    <w:jc w:val="center"/>
                    <w:rPr>
                      <w:rFonts w:hint="default" w:ascii="Times New Roman" w:hAnsi="Times New Roman" w:cs="Times New Roman"/>
                      <w:bCs/>
                      <w:color w:val="FF0000"/>
                      <w:szCs w:val="21"/>
                    </w:rPr>
                  </w:pPr>
                  <w:r>
                    <w:rPr>
                      <w:rFonts w:hint="default" w:ascii="Times New Roman" w:hAnsi="Times New Roman" w:cs="Times New Roman"/>
                      <w:bCs/>
                      <w:color w:val="FF0000"/>
                      <w:szCs w:val="21"/>
                    </w:rPr>
                    <w:t>含多氯联苯废电容器</w:t>
                  </w:r>
                </w:p>
              </w:tc>
              <w:tc>
                <w:tcPr>
                  <w:tcW w:w="468" w:type="pct"/>
                  <w:tcBorders>
                    <w:tl2br w:val="nil"/>
                    <w:tr2bl w:val="nil"/>
                  </w:tcBorders>
                  <w:shd w:val="clear" w:color="auto" w:fill="auto"/>
                  <w:vAlign w:val="center"/>
                </w:tcPr>
                <w:p w14:paraId="081D6560">
                  <w:pPr>
                    <w:jc w:val="center"/>
                    <w:rPr>
                      <w:rFonts w:hint="default" w:ascii="Times New Roman" w:hAnsi="Times New Roman" w:cs="Times New Roman"/>
                      <w:bCs/>
                      <w:color w:val="FF0000"/>
                      <w:szCs w:val="21"/>
                    </w:rPr>
                  </w:pPr>
                  <w:r>
                    <w:rPr>
                      <w:rFonts w:hint="default" w:ascii="Times New Roman" w:hAnsi="Times New Roman" w:cs="Times New Roman"/>
                      <w:bCs/>
                      <w:color w:val="FF0000"/>
                      <w:szCs w:val="21"/>
                    </w:rPr>
                    <w:t>HW10</w:t>
                  </w:r>
                </w:p>
              </w:tc>
              <w:tc>
                <w:tcPr>
                  <w:tcW w:w="526" w:type="pct"/>
                  <w:tcBorders>
                    <w:tl2br w:val="nil"/>
                    <w:tr2bl w:val="nil"/>
                  </w:tcBorders>
                  <w:shd w:val="clear" w:color="auto" w:fill="auto"/>
                  <w:vAlign w:val="center"/>
                </w:tcPr>
                <w:p w14:paraId="6AC6CD58">
                  <w:pPr>
                    <w:jc w:val="center"/>
                    <w:rPr>
                      <w:rFonts w:hint="default" w:ascii="Times New Roman" w:hAnsi="Times New Roman" w:cs="Times New Roman"/>
                      <w:bCs/>
                      <w:color w:val="FF0000"/>
                      <w:szCs w:val="21"/>
                    </w:rPr>
                  </w:pPr>
                  <w:r>
                    <w:rPr>
                      <w:rFonts w:hint="default" w:ascii="Times New Roman" w:hAnsi="Times New Roman" w:cs="Times New Roman"/>
                      <w:bCs/>
                      <w:color w:val="FF0000"/>
                      <w:szCs w:val="21"/>
                    </w:rPr>
                    <w:t>900-008-10</w:t>
                  </w:r>
                </w:p>
              </w:tc>
              <w:tc>
                <w:tcPr>
                  <w:tcW w:w="540" w:type="pct"/>
                  <w:tcBorders>
                    <w:tl2br w:val="nil"/>
                    <w:tr2bl w:val="nil"/>
                  </w:tcBorders>
                  <w:shd w:val="clear" w:color="auto" w:fill="auto"/>
                  <w:vAlign w:val="center"/>
                </w:tcPr>
                <w:p w14:paraId="67C08F05">
                  <w:pPr>
                    <w:jc w:val="center"/>
                    <w:rPr>
                      <w:rFonts w:hint="default" w:ascii="Times New Roman" w:hAnsi="Times New Roman" w:eastAsia="宋体" w:cs="Times New Roman"/>
                      <w:bCs/>
                      <w:color w:val="FF0000"/>
                      <w:szCs w:val="21"/>
                      <w:lang w:val="en-US" w:eastAsia="zh-CN"/>
                    </w:rPr>
                  </w:pPr>
                  <w:r>
                    <w:rPr>
                      <w:rFonts w:hint="default" w:ascii="Times New Roman" w:hAnsi="Times New Roman" w:eastAsia="宋体" w:cs="Times New Roman"/>
                      <w:bCs/>
                      <w:color w:val="FF0000"/>
                      <w:szCs w:val="21"/>
                      <w:lang w:val="en-US" w:eastAsia="zh-CN"/>
                    </w:rPr>
                    <w:t>0.07</w:t>
                  </w:r>
                </w:p>
              </w:tc>
              <w:tc>
                <w:tcPr>
                  <w:tcW w:w="485" w:type="pct"/>
                  <w:tcBorders>
                    <w:tl2br w:val="nil"/>
                    <w:tr2bl w:val="nil"/>
                  </w:tcBorders>
                  <w:shd w:val="clear" w:color="auto" w:fill="auto"/>
                  <w:vAlign w:val="center"/>
                </w:tcPr>
                <w:p w14:paraId="613B9BF0">
                  <w:pPr>
                    <w:jc w:val="center"/>
                    <w:rPr>
                      <w:rFonts w:hint="default" w:ascii="Times New Roman" w:hAnsi="Times New Roman" w:cs="Times New Roman"/>
                      <w:bCs/>
                      <w:color w:val="FF0000"/>
                      <w:szCs w:val="21"/>
                    </w:rPr>
                  </w:pPr>
                  <w:r>
                    <w:rPr>
                      <w:rFonts w:hint="default" w:ascii="Times New Roman" w:hAnsi="Times New Roman" w:cs="Times New Roman"/>
                      <w:bCs/>
                      <w:color w:val="FF0000"/>
                      <w:szCs w:val="21"/>
                    </w:rPr>
                    <w:t>固态</w:t>
                  </w:r>
                </w:p>
              </w:tc>
              <w:tc>
                <w:tcPr>
                  <w:tcW w:w="423" w:type="pct"/>
                  <w:tcBorders>
                    <w:tl2br w:val="nil"/>
                    <w:tr2bl w:val="nil"/>
                  </w:tcBorders>
                  <w:shd w:val="clear" w:color="auto" w:fill="auto"/>
                  <w:vAlign w:val="center"/>
                </w:tcPr>
                <w:p w14:paraId="46DA4052">
                  <w:pPr>
                    <w:jc w:val="center"/>
                    <w:rPr>
                      <w:rFonts w:hint="default" w:ascii="Times New Roman" w:hAnsi="Times New Roman" w:cs="Times New Roman"/>
                      <w:bCs/>
                      <w:color w:val="FF0000"/>
                      <w:szCs w:val="21"/>
                    </w:rPr>
                  </w:pPr>
                  <w:r>
                    <w:rPr>
                      <w:rFonts w:hint="default" w:ascii="Times New Roman" w:hAnsi="Times New Roman" w:cs="Times New Roman"/>
                      <w:bCs/>
                      <w:color w:val="FF0000"/>
                      <w:szCs w:val="21"/>
                    </w:rPr>
                    <w:t>T</w:t>
                  </w:r>
                </w:p>
              </w:tc>
              <w:tc>
                <w:tcPr>
                  <w:tcW w:w="493" w:type="pct"/>
                  <w:tcBorders>
                    <w:tl2br w:val="nil"/>
                    <w:tr2bl w:val="nil"/>
                  </w:tcBorders>
                  <w:shd w:val="clear" w:color="auto" w:fill="auto"/>
                  <w:vAlign w:val="center"/>
                </w:tcPr>
                <w:p w14:paraId="149789CA">
                  <w:pPr>
                    <w:keepNext w:val="0"/>
                    <w:keepLines w:val="0"/>
                    <w:widowControl/>
                    <w:suppressLineNumbers w:val="0"/>
                    <w:jc w:val="center"/>
                    <w:textAlignment w:val="center"/>
                    <w:rPr>
                      <w:rFonts w:hint="default" w:ascii="Times New Roman" w:hAnsi="Times New Roman" w:cs="Times New Roman"/>
                      <w:bCs/>
                      <w:color w:val="0070C0"/>
                      <w:szCs w:val="21"/>
                    </w:rPr>
                  </w:pPr>
                  <w:r>
                    <w:rPr>
                      <w:rFonts w:hint="eastAsia" w:cs="Times New Roman"/>
                      <w:i w:val="0"/>
                      <w:iCs w:val="0"/>
                      <w:color w:val="0070C0"/>
                      <w:kern w:val="0"/>
                      <w:sz w:val="21"/>
                      <w:szCs w:val="21"/>
                      <w:u w:val="none"/>
                      <w:lang w:val="en-US" w:eastAsia="zh-CN" w:bidi="ar"/>
                    </w:rPr>
                    <w:t>1</w:t>
                  </w:r>
                </w:p>
              </w:tc>
              <w:tc>
                <w:tcPr>
                  <w:tcW w:w="1251" w:type="pct"/>
                  <w:vMerge w:val="restart"/>
                  <w:tcBorders>
                    <w:tl2br w:val="nil"/>
                    <w:tr2bl w:val="nil"/>
                  </w:tcBorders>
                  <w:shd w:val="clear" w:color="auto" w:fill="auto"/>
                  <w:vAlign w:val="center"/>
                </w:tcPr>
                <w:p w14:paraId="3DE2667A">
                  <w:pPr>
                    <w:jc w:val="center"/>
                    <w:rPr>
                      <w:rFonts w:hint="default" w:ascii="Times New Roman" w:hAnsi="Times New Roman" w:cs="Times New Roman"/>
                      <w:color w:val="FF0000"/>
                      <w:szCs w:val="21"/>
                    </w:rPr>
                  </w:pPr>
                  <w:r>
                    <w:rPr>
                      <w:rFonts w:hint="default" w:ascii="Times New Roman" w:hAnsi="Times New Roman" w:cs="Times New Roman"/>
                      <w:color w:val="FF0000"/>
                      <w:kern w:val="0"/>
                      <w:sz w:val="21"/>
                      <w:szCs w:val="21"/>
                      <w:lang w:val="en-US" w:eastAsia="zh-CN" w:bidi="ar"/>
                    </w:rPr>
                    <w:t>厂内集中收集，分类、分区暂存在危废贮存点内，</w:t>
                  </w:r>
                  <w:r>
                    <w:rPr>
                      <w:rFonts w:hint="eastAsia"/>
                      <w:color w:val="FF0000"/>
                      <w:kern w:val="0"/>
                      <w:sz w:val="21"/>
                      <w:szCs w:val="21"/>
                      <w:lang w:val="en-US" w:eastAsia="zh-CN" w:bidi="ar"/>
                    </w:rPr>
                    <w:t>定期</w:t>
                  </w:r>
                  <w:r>
                    <w:rPr>
                      <w:rFonts w:hint="default" w:ascii="Times New Roman" w:hAnsi="Times New Roman" w:eastAsia="宋体" w:cs="Times New Roman"/>
                      <w:color w:val="FF0000"/>
                      <w:spacing w:val="-1"/>
                      <w:sz w:val="21"/>
                      <w:szCs w:val="21"/>
                    </w:rPr>
                    <w:t>交由持有相应类别危险废物经营许可证的单</w:t>
                  </w:r>
                  <w:r>
                    <w:rPr>
                      <w:rFonts w:hint="default" w:ascii="Times New Roman" w:hAnsi="Times New Roman" w:eastAsia="宋体" w:cs="Times New Roman"/>
                      <w:color w:val="FF0000"/>
                      <w:spacing w:val="-2"/>
                      <w:sz w:val="21"/>
                      <w:szCs w:val="21"/>
                    </w:rPr>
                    <w:t>位处理</w:t>
                  </w:r>
                  <w:r>
                    <w:rPr>
                      <w:rFonts w:hint="eastAsia"/>
                      <w:color w:val="FF0000"/>
                      <w:kern w:val="0"/>
                      <w:sz w:val="21"/>
                      <w:szCs w:val="21"/>
                      <w:lang w:val="en-US" w:eastAsia="zh-CN" w:bidi="ar"/>
                    </w:rPr>
                    <w:t>。</w:t>
                  </w:r>
                </w:p>
              </w:tc>
            </w:tr>
            <w:tr w14:paraId="05BFE18C">
              <w:tblPrEx>
                <w:tblBorders>
                  <w:top w:val="double" w:color="000000" w:sz="4" w:space="0"/>
                  <w:left w:val="none" w:color="auto" w:sz="0" w:space="0"/>
                  <w:bottom w:val="doub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72" w:hRule="atLeast"/>
              </w:trPr>
              <w:tc>
                <w:tcPr>
                  <w:tcW w:w="214" w:type="pct"/>
                  <w:tcBorders>
                    <w:tl2br w:val="nil"/>
                    <w:tr2bl w:val="nil"/>
                  </w:tcBorders>
                  <w:shd w:val="clear" w:color="auto" w:fill="auto"/>
                  <w:vAlign w:val="center"/>
                </w:tcPr>
                <w:p w14:paraId="0559750B">
                  <w:pPr>
                    <w:jc w:val="center"/>
                    <w:rPr>
                      <w:rFonts w:hint="default" w:ascii="Times New Roman" w:hAnsi="Times New Roman" w:eastAsia="宋体" w:cs="Times New Roman"/>
                      <w:bCs/>
                      <w:color w:val="FF0000"/>
                      <w:szCs w:val="21"/>
                      <w:lang w:val="en-US" w:eastAsia="zh-CN"/>
                    </w:rPr>
                  </w:pPr>
                  <w:r>
                    <w:rPr>
                      <w:rFonts w:hint="default" w:ascii="Times New Roman" w:hAnsi="Times New Roman" w:cs="Times New Roman"/>
                      <w:bCs/>
                      <w:color w:val="FF0000"/>
                      <w:szCs w:val="21"/>
                      <w:lang w:val="en-US" w:eastAsia="zh-CN"/>
                    </w:rPr>
                    <w:t>14</w:t>
                  </w:r>
                </w:p>
              </w:tc>
              <w:tc>
                <w:tcPr>
                  <w:tcW w:w="595" w:type="pct"/>
                  <w:tcBorders>
                    <w:tl2br w:val="nil"/>
                    <w:tr2bl w:val="nil"/>
                  </w:tcBorders>
                  <w:shd w:val="clear" w:color="auto" w:fill="auto"/>
                  <w:vAlign w:val="center"/>
                </w:tcPr>
                <w:p w14:paraId="51500F06">
                  <w:pPr>
                    <w:jc w:val="center"/>
                    <w:rPr>
                      <w:rFonts w:hint="default" w:ascii="Times New Roman" w:hAnsi="Times New Roman" w:eastAsia="宋体" w:cs="Times New Roman"/>
                      <w:bCs/>
                      <w:color w:val="FF0000"/>
                      <w:szCs w:val="21"/>
                      <w:lang w:val="en-US" w:eastAsia="zh-CN"/>
                    </w:rPr>
                  </w:pPr>
                  <w:r>
                    <w:rPr>
                      <w:rFonts w:hint="default" w:ascii="Times New Roman" w:hAnsi="Times New Roman" w:cs="Times New Roman"/>
                      <w:bCs/>
                      <w:color w:val="FF0000"/>
                      <w:szCs w:val="21"/>
                      <w:lang w:val="en-US" w:eastAsia="zh-CN"/>
                    </w:rPr>
                    <w:t>废有机溶剂</w:t>
                  </w:r>
                </w:p>
              </w:tc>
              <w:tc>
                <w:tcPr>
                  <w:tcW w:w="468" w:type="pct"/>
                  <w:tcBorders>
                    <w:tl2br w:val="nil"/>
                    <w:tr2bl w:val="nil"/>
                  </w:tcBorders>
                  <w:shd w:val="clear" w:color="auto" w:fill="auto"/>
                  <w:vAlign w:val="center"/>
                </w:tcPr>
                <w:p w14:paraId="24632FFD">
                  <w:pPr>
                    <w:jc w:val="center"/>
                    <w:rPr>
                      <w:rFonts w:hint="default" w:ascii="Times New Roman" w:hAnsi="Times New Roman" w:cs="Times New Roman"/>
                      <w:bCs/>
                      <w:color w:val="FF0000"/>
                      <w:szCs w:val="21"/>
                    </w:rPr>
                  </w:pPr>
                  <w:r>
                    <w:rPr>
                      <w:rFonts w:hint="default" w:ascii="Times New Roman" w:hAnsi="Times New Roman" w:cs="Times New Roman"/>
                      <w:bCs/>
                      <w:color w:val="FF0000"/>
                      <w:szCs w:val="21"/>
                    </w:rPr>
                    <w:t>HW</w:t>
                  </w:r>
                  <w:r>
                    <w:rPr>
                      <w:rFonts w:hint="default" w:ascii="Times New Roman" w:hAnsi="Times New Roman" w:cs="Times New Roman"/>
                      <w:bCs/>
                      <w:color w:val="FF0000"/>
                      <w:szCs w:val="21"/>
                      <w:lang w:val="en-US" w:eastAsia="zh-CN"/>
                    </w:rPr>
                    <w:t>06</w:t>
                  </w:r>
                </w:p>
              </w:tc>
              <w:tc>
                <w:tcPr>
                  <w:tcW w:w="526" w:type="pct"/>
                  <w:tcBorders>
                    <w:tl2br w:val="nil"/>
                    <w:tr2bl w:val="nil"/>
                  </w:tcBorders>
                  <w:shd w:val="clear" w:color="auto" w:fill="auto"/>
                  <w:vAlign w:val="center"/>
                </w:tcPr>
                <w:p w14:paraId="3E4560D4">
                  <w:pPr>
                    <w:jc w:val="center"/>
                    <w:rPr>
                      <w:rFonts w:hint="default" w:ascii="Times New Roman" w:hAnsi="Times New Roman" w:cs="Times New Roman"/>
                      <w:bCs/>
                      <w:color w:val="FF0000"/>
                      <w:szCs w:val="21"/>
                    </w:rPr>
                  </w:pPr>
                  <w:r>
                    <w:rPr>
                      <w:rFonts w:hint="default" w:ascii="Times New Roman" w:hAnsi="Times New Roman" w:cs="Times New Roman"/>
                      <w:bCs/>
                      <w:color w:val="FF0000"/>
                      <w:szCs w:val="21"/>
                      <w:lang w:val="en-US" w:eastAsia="zh-CN"/>
                    </w:rPr>
                    <w:t>900-404-06</w:t>
                  </w:r>
                </w:p>
              </w:tc>
              <w:tc>
                <w:tcPr>
                  <w:tcW w:w="540" w:type="pct"/>
                  <w:tcBorders>
                    <w:tl2br w:val="nil"/>
                    <w:tr2bl w:val="nil"/>
                  </w:tcBorders>
                  <w:shd w:val="clear" w:color="auto" w:fill="auto"/>
                  <w:vAlign w:val="center"/>
                </w:tcPr>
                <w:p w14:paraId="4B0813DB">
                  <w:pPr>
                    <w:jc w:val="center"/>
                    <w:rPr>
                      <w:rFonts w:hint="default" w:ascii="Times New Roman" w:hAnsi="Times New Roman" w:eastAsia="宋体" w:cs="Times New Roman"/>
                      <w:bCs/>
                      <w:color w:val="FF0000"/>
                      <w:szCs w:val="21"/>
                      <w:lang w:val="en-US" w:eastAsia="zh-CN"/>
                    </w:rPr>
                  </w:pPr>
                  <w:r>
                    <w:rPr>
                      <w:rFonts w:hint="default" w:ascii="Times New Roman" w:hAnsi="Times New Roman" w:eastAsia="宋体" w:cs="Times New Roman"/>
                      <w:bCs/>
                      <w:color w:val="FF0000"/>
                      <w:szCs w:val="21"/>
                      <w:lang w:val="en-US" w:eastAsia="zh-CN"/>
                    </w:rPr>
                    <w:t>250.31</w:t>
                  </w:r>
                </w:p>
              </w:tc>
              <w:tc>
                <w:tcPr>
                  <w:tcW w:w="485" w:type="pct"/>
                  <w:tcBorders>
                    <w:tl2br w:val="nil"/>
                    <w:tr2bl w:val="nil"/>
                  </w:tcBorders>
                  <w:shd w:val="clear" w:color="auto" w:fill="auto"/>
                  <w:vAlign w:val="center"/>
                </w:tcPr>
                <w:p w14:paraId="24E784CB">
                  <w:pPr>
                    <w:jc w:val="center"/>
                    <w:rPr>
                      <w:rFonts w:hint="default" w:ascii="Times New Roman" w:hAnsi="Times New Roman" w:cs="Times New Roman"/>
                      <w:bCs/>
                      <w:color w:val="FF0000"/>
                      <w:szCs w:val="21"/>
                    </w:rPr>
                  </w:pPr>
                  <w:r>
                    <w:rPr>
                      <w:rFonts w:hint="default" w:ascii="Times New Roman" w:hAnsi="Times New Roman" w:cs="Times New Roman"/>
                      <w:bCs/>
                      <w:color w:val="FF0000"/>
                      <w:szCs w:val="21"/>
                    </w:rPr>
                    <w:t>液态</w:t>
                  </w:r>
                </w:p>
              </w:tc>
              <w:tc>
                <w:tcPr>
                  <w:tcW w:w="423" w:type="pct"/>
                  <w:tcBorders>
                    <w:tl2br w:val="nil"/>
                    <w:tr2bl w:val="nil"/>
                  </w:tcBorders>
                  <w:shd w:val="clear" w:color="auto" w:fill="auto"/>
                  <w:vAlign w:val="center"/>
                </w:tcPr>
                <w:p w14:paraId="1B610577">
                  <w:pPr>
                    <w:jc w:val="center"/>
                    <w:rPr>
                      <w:rFonts w:hint="default" w:ascii="Times New Roman" w:hAnsi="Times New Roman" w:cs="Times New Roman"/>
                      <w:bCs/>
                      <w:color w:val="FF0000"/>
                      <w:szCs w:val="21"/>
                    </w:rPr>
                  </w:pPr>
                  <w:r>
                    <w:rPr>
                      <w:rFonts w:hint="default" w:ascii="Times New Roman" w:hAnsi="Times New Roman" w:cs="Times New Roman"/>
                      <w:bCs/>
                      <w:color w:val="FF0000"/>
                      <w:szCs w:val="21"/>
                    </w:rPr>
                    <w:t>T，I</w:t>
                  </w:r>
                </w:p>
              </w:tc>
              <w:tc>
                <w:tcPr>
                  <w:tcW w:w="493" w:type="pct"/>
                  <w:tcBorders>
                    <w:tl2br w:val="nil"/>
                    <w:tr2bl w:val="nil"/>
                  </w:tcBorders>
                  <w:shd w:val="clear" w:color="auto" w:fill="auto"/>
                  <w:vAlign w:val="center"/>
                </w:tcPr>
                <w:p w14:paraId="3A871595">
                  <w:pPr>
                    <w:keepNext w:val="0"/>
                    <w:keepLines w:val="0"/>
                    <w:widowControl/>
                    <w:suppressLineNumbers w:val="0"/>
                    <w:jc w:val="center"/>
                    <w:textAlignment w:val="center"/>
                    <w:rPr>
                      <w:rFonts w:hint="default" w:ascii="Times New Roman" w:hAnsi="Times New Roman" w:cs="Times New Roman"/>
                      <w:bCs/>
                      <w:color w:val="0070C0"/>
                      <w:szCs w:val="21"/>
                    </w:rPr>
                  </w:pPr>
                  <w:r>
                    <w:rPr>
                      <w:rFonts w:hint="default" w:ascii="Times New Roman" w:hAnsi="Times New Roman" w:eastAsia="宋体" w:cs="Times New Roman"/>
                      <w:i w:val="0"/>
                      <w:iCs w:val="0"/>
                      <w:color w:val="0070C0"/>
                      <w:kern w:val="0"/>
                      <w:sz w:val="21"/>
                      <w:szCs w:val="21"/>
                      <w:u w:val="none"/>
                      <w:lang w:val="en-US" w:eastAsia="zh-CN" w:bidi="ar"/>
                    </w:rPr>
                    <w:t xml:space="preserve">6 </w:t>
                  </w:r>
                </w:p>
              </w:tc>
              <w:tc>
                <w:tcPr>
                  <w:tcW w:w="1251" w:type="pct"/>
                  <w:vMerge w:val="continue"/>
                  <w:tcBorders>
                    <w:tl2br w:val="nil"/>
                    <w:tr2bl w:val="nil"/>
                  </w:tcBorders>
                  <w:shd w:val="clear" w:color="auto" w:fill="auto"/>
                  <w:vAlign w:val="center"/>
                </w:tcPr>
                <w:p w14:paraId="44FB30DE">
                  <w:pPr>
                    <w:jc w:val="center"/>
                    <w:rPr>
                      <w:rFonts w:hint="default" w:ascii="Times New Roman" w:hAnsi="Times New Roman" w:cs="Times New Roman"/>
                      <w:color w:val="FF0000"/>
                      <w:szCs w:val="21"/>
                    </w:rPr>
                  </w:pPr>
                </w:p>
              </w:tc>
            </w:tr>
            <w:tr w14:paraId="4EB6D1E7">
              <w:tblPrEx>
                <w:tblBorders>
                  <w:top w:val="double" w:color="000000" w:sz="4" w:space="0"/>
                  <w:left w:val="none" w:color="auto" w:sz="0" w:space="0"/>
                  <w:bottom w:val="double" w:color="000000" w:sz="4" w:space="0"/>
                  <w:right w:val="none" w:color="auto" w:sz="0" w:space="0"/>
                  <w:insideH w:val="single" w:color="000000" w:sz="4" w:space="0"/>
                  <w:insideV w:val="single" w:color="000000" w:sz="4" w:space="0"/>
                </w:tblBorders>
              </w:tblPrEx>
              <w:trPr>
                <w:trHeight w:val="272" w:hRule="atLeast"/>
              </w:trPr>
              <w:tc>
                <w:tcPr>
                  <w:tcW w:w="214" w:type="pct"/>
                  <w:tcBorders>
                    <w:tl2br w:val="nil"/>
                    <w:tr2bl w:val="nil"/>
                  </w:tcBorders>
                  <w:shd w:val="clear" w:color="auto" w:fill="auto"/>
                  <w:vAlign w:val="center"/>
                </w:tcPr>
                <w:p w14:paraId="0F90CFE7">
                  <w:pPr>
                    <w:jc w:val="center"/>
                    <w:rPr>
                      <w:rFonts w:hint="default" w:ascii="Times New Roman" w:hAnsi="Times New Roman" w:eastAsia="宋体" w:cs="Times New Roman"/>
                      <w:bCs/>
                      <w:color w:val="FF0000"/>
                      <w:szCs w:val="21"/>
                      <w:lang w:val="en-US" w:eastAsia="zh-CN"/>
                    </w:rPr>
                  </w:pPr>
                  <w:r>
                    <w:rPr>
                      <w:rFonts w:hint="default" w:ascii="Times New Roman" w:hAnsi="Times New Roman" w:cs="Times New Roman"/>
                      <w:bCs/>
                      <w:color w:val="FF0000"/>
                      <w:szCs w:val="21"/>
                      <w:lang w:val="en-US" w:eastAsia="zh-CN"/>
                    </w:rPr>
                    <w:t>15</w:t>
                  </w:r>
                </w:p>
              </w:tc>
              <w:tc>
                <w:tcPr>
                  <w:tcW w:w="595" w:type="pct"/>
                  <w:tcBorders>
                    <w:tl2br w:val="nil"/>
                    <w:tr2bl w:val="nil"/>
                  </w:tcBorders>
                  <w:shd w:val="clear" w:color="auto" w:fill="auto"/>
                  <w:vAlign w:val="center"/>
                </w:tcPr>
                <w:p w14:paraId="24211360">
                  <w:pPr>
                    <w:jc w:val="center"/>
                    <w:rPr>
                      <w:rFonts w:hint="default" w:ascii="Times New Roman" w:hAnsi="Times New Roman" w:cs="Times New Roman"/>
                      <w:bCs/>
                      <w:color w:val="FF0000"/>
                      <w:szCs w:val="21"/>
                    </w:rPr>
                  </w:pPr>
                  <w:r>
                    <w:rPr>
                      <w:rFonts w:hint="default" w:ascii="Times New Roman" w:hAnsi="Times New Roman" w:cs="Times New Roman"/>
                      <w:bCs/>
                      <w:color w:val="FF0000"/>
                      <w:sz w:val="21"/>
                      <w:szCs w:val="21"/>
                      <w:lang w:val="en-US" w:eastAsia="zh-CN"/>
                    </w:rPr>
                    <w:t>石棉废物</w:t>
                  </w:r>
                </w:p>
              </w:tc>
              <w:tc>
                <w:tcPr>
                  <w:tcW w:w="468" w:type="pct"/>
                  <w:tcBorders>
                    <w:tl2br w:val="nil"/>
                    <w:tr2bl w:val="nil"/>
                  </w:tcBorders>
                  <w:shd w:val="clear" w:color="auto" w:fill="auto"/>
                  <w:vAlign w:val="center"/>
                </w:tcPr>
                <w:p w14:paraId="69DAF67D">
                  <w:pPr>
                    <w:jc w:val="center"/>
                    <w:rPr>
                      <w:rFonts w:hint="default" w:ascii="Times New Roman" w:hAnsi="Times New Roman" w:cs="Times New Roman"/>
                      <w:bCs/>
                      <w:color w:val="FF0000"/>
                      <w:szCs w:val="21"/>
                    </w:rPr>
                  </w:pPr>
                  <w:r>
                    <w:rPr>
                      <w:rFonts w:hint="default" w:ascii="Times New Roman" w:hAnsi="Times New Roman" w:cs="Times New Roman"/>
                      <w:bCs/>
                      <w:color w:val="FF0000"/>
                      <w:szCs w:val="21"/>
                    </w:rPr>
                    <w:t>HW</w:t>
                  </w:r>
                  <w:r>
                    <w:rPr>
                      <w:rFonts w:hint="default" w:ascii="Times New Roman" w:hAnsi="Times New Roman" w:cs="Times New Roman"/>
                      <w:bCs/>
                      <w:color w:val="FF0000"/>
                      <w:szCs w:val="21"/>
                      <w:lang w:val="en-US" w:eastAsia="zh-CN"/>
                    </w:rPr>
                    <w:t>36</w:t>
                  </w:r>
                </w:p>
              </w:tc>
              <w:tc>
                <w:tcPr>
                  <w:tcW w:w="526" w:type="pct"/>
                  <w:tcBorders>
                    <w:tl2br w:val="nil"/>
                    <w:tr2bl w:val="nil"/>
                  </w:tcBorders>
                  <w:shd w:val="clear" w:color="auto" w:fill="auto"/>
                  <w:vAlign w:val="center"/>
                </w:tcPr>
                <w:p w14:paraId="3B3FBFAE">
                  <w:pPr>
                    <w:jc w:val="center"/>
                    <w:rPr>
                      <w:rFonts w:hint="default" w:ascii="Times New Roman" w:hAnsi="Times New Roman" w:cs="Times New Roman"/>
                      <w:bCs/>
                      <w:color w:val="FF0000"/>
                      <w:szCs w:val="21"/>
                      <w:lang w:val="en-US"/>
                    </w:rPr>
                  </w:pPr>
                  <w:r>
                    <w:rPr>
                      <w:rFonts w:hint="default" w:ascii="Times New Roman" w:hAnsi="Times New Roman" w:cs="Times New Roman"/>
                      <w:bCs/>
                      <w:color w:val="FF0000"/>
                      <w:szCs w:val="21"/>
                      <w:lang w:val="en-US" w:eastAsia="zh-CN"/>
                    </w:rPr>
                    <w:t>367-001-36</w:t>
                  </w:r>
                </w:p>
              </w:tc>
              <w:tc>
                <w:tcPr>
                  <w:tcW w:w="540" w:type="pct"/>
                  <w:tcBorders>
                    <w:tl2br w:val="nil"/>
                    <w:tr2bl w:val="nil"/>
                  </w:tcBorders>
                  <w:shd w:val="clear" w:color="auto" w:fill="auto"/>
                  <w:vAlign w:val="center"/>
                </w:tcPr>
                <w:p w14:paraId="704DB74C">
                  <w:pPr>
                    <w:jc w:val="center"/>
                    <w:rPr>
                      <w:rFonts w:hint="default" w:ascii="Times New Roman" w:hAnsi="Times New Roman" w:eastAsia="宋体" w:cs="Times New Roman"/>
                      <w:bCs/>
                      <w:color w:val="FF0000"/>
                      <w:szCs w:val="21"/>
                      <w:lang w:val="en-US" w:eastAsia="zh-CN"/>
                    </w:rPr>
                  </w:pPr>
                  <w:r>
                    <w:rPr>
                      <w:rFonts w:hint="default" w:ascii="Times New Roman" w:hAnsi="Times New Roman" w:eastAsia="宋体" w:cs="Times New Roman"/>
                      <w:bCs/>
                      <w:color w:val="FF0000"/>
                      <w:szCs w:val="21"/>
                      <w:lang w:val="en-US" w:eastAsia="zh-CN"/>
                    </w:rPr>
                    <w:t>56.07</w:t>
                  </w:r>
                </w:p>
              </w:tc>
              <w:tc>
                <w:tcPr>
                  <w:tcW w:w="485" w:type="pct"/>
                  <w:tcBorders>
                    <w:tl2br w:val="nil"/>
                    <w:tr2bl w:val="nil"/>
                  </w:tcBorders>
                  <w:shd w:val="clear" w:color="auto" w:fill="auto"/>
                  <w:vAlign w:val="center"/>
                </w:tcPr>
                <w:p w14:paraId="546A7A9A">
                  <w:pPr>
                    <w:jc w:val="center"/>
                    <w:rPr>
                      <w:rFonts w:hint="default" w:ascii="Times New Roman" w:hAnsi="Times New Roman" w:cs="Times New Roman"/>
                      <w:bCs/>
                      <w:color w:val="FF0000"/>
                      <w:szCs w:val="21"/>
                    </w:rPr>
                  </w:pPr>
                  <w:r>
                    <w:rPr>
                      <w:rFonts w:hint="default" w:ascii="Times New Roman" w:hAnsi="Times New Roman" w:cs="Times New Roman"/>
                      <w:bCs/>
                      <w:color w:val="FF0000"/>
                      <w:szCs w:val="21"/>
                    </w:rPr>
                    <w:t>固态</w:t>
                  </w:r>
                </w:p>
              </w:tc>
              <w:tc>
                <w:tcPr>
                  <w:tcW w:w="423" w:type="pct"/>
                  <w:tcBorders>
                    <w:tl2br w:val="nil"/>
                    <w:tr2bl w:val="nil"/>
                  </w:tcBorders>
                  <w:shd w:val="clear" w:color="auto" w:fill="auto"/>
                  <w:vAlign w:val="center"/>
                </w:tcPr>
                <w:p w14:paraId="710E01C0">
                  <w:pPr>
                    <w:jc w:val="center"/>
                    <w:rPr>
                      <w:rFonts w:hint="default" w:ascii="Times New Roman" w:hAnsi="Times New Roman" w:cs="Times New Roman"/>
                      <w:bCs/>
                      <w:color w:val="FF0000"/>
                      <w:szCs w:val="21"/>
                    </w:rPr>
                  </w:pPr>
                  <w:r>
                    <w:rPr>
                      <w:rFonts w:hint="default" w:ascii="Times New Roman" w:hAnsi="Times New Roman" w:cs="Times New Roman"/>
                      <w:bCs/>
                      <w:color w:val="FF0000"/>
                      <w:szCs w:val="21"/>
                    </w:rPr>
                    <w:t>T</w:t>
                  </w:r>
                </w:p>
              </w:tc>
              <w:tc>
                <w:tcPr>
                  <w:tcW w:w="493" w:type="pct"/>
                  <w:tcBorders>
                    <w:tl2br w:val="nil"/>
                    <w:tr2bl w:val="nil"/>
                  </w:tcBorders>
                  <w:shd w:val="clear" w:color="auto" w:fill="auto"/>
                  <w:vAlign w:val="center"/>
                </w:tcPr>
                <w:p w14:paraId="15D748EE">
                  <w:pPr>
                    <w:keepNext w:val="0"/>
                    <w:keepLines w:val="0"/>
                    <w:widowControl/>
                    <w:suppressLineNumbers w:val="0"/>
                    <w:jc w:val="center"/>
                    <w:textAlignment w:val="center"/>
                    <w:rPr>
                      <w:rFonts w:hint="default" w:ascii="Times New Roman" w:hAnsi="Times New Roman" w:cs="Times New Roman"/>
                      <w:bCs/>
                      <w:color w:val="0070C0"/>
                      <w:szCs w:val="21"/>
                    </w:rPr>
                  </w:pPr>
                  <w:r>
                    <w:rPr>
                      <w:rFonts w:hint="default" w:ascii="Times New Roman" w:hAnsi="Times New Roman" w:eastAsia="宋体" w:cs="Times New Roman"/>
                      <w:i w:val="0"/>
                      <w:iCs w:val="0"/>
                      <w:color w:val="0070C0"/>
                      <w:kern w:val="0"/>
                      <w:sz w:val="21"/>
                      <w:szCs w:val="21"/>
                      <w:u w:val="none"/>
                      <w:lang w:val="en-US" w:eastAsia="zh-CN" w:bidi="ar"/>
                    </w:rPr>
                    <w:t xml:space="preserve">1 </w:t>
                  </w:r>
                </w:p>
              </w:tc>
              <w:tc>
                <w:tcPr>
                  <w:tcW w:w="1251" w:type="pct"/>
                  <w:vMerge w:val="continue"/>
                  <w:tcBorders>
                    <w:tl2br w:val="nil"/>
                    <w:tr2bl w:val="nil"/>
                  </w:tcBorders>
                  <w:shd w:val="clear" w:color="auto" w:fill="auto"/>
                  <w:vAlign w:val="center"/>
                </w:tcPr>
                <w:p w14:paraId="581DA692">
                  <w:pPr>
                    <w:jc w:val="center"/>
                    <w:rPr>
                      <w:rFonts w:hint="default" w:ascii="Times New Roman" w:hAnsi="Times New Roman" w:cs="Times New Roman"/>
                      <w:color w:val="FF0000"/>
                      <w:szCs w:val="21"/>
                    </w:rPr>
                  </w:pPr>
                </w:p>
              </w:tc>
            </w:tr>
            <w:tr w14:paraId="48A43BEE">
              <w:tblPrEx>
                <w:tblBorders>
                  <w:top w:val="double" w:color="000000" w:sz="4" w:space="0"/>
                  <w:left w:val="none" w:color="auto" w:sz="0" w:space="0"/>
                  <w:bottom w:val="doub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72" w:hRule="atLeast"/>
              </w:trPr>
              <w:tc>
                <w:tcPr>
                  <w:tcW w:w="214" w:type="pct"/>
                  <w:tcBorders>
                    <w:tl2br w:val="nil"/>
                    <w:tr2bl w:val="nil"/>
                  </w:tcBorders>
                  <w:shd w:val="clear" w:color="auto" w:fill="auto"/>
                  <w:vAlign w:val="center"/>
                </w:tcPr>
                <w:p w14:paraId="61D3F30B">
                  <w:pPr>
                    <w:jc w:val="center"/>
                    <w:rPr>
                      <w:rFonts w:hint="default" w:ascii="Times New Roman" w:hAnsi="Times New Roman" w:cs="Times New Roman"/>
                      <w:bCs/>
                      <w:color w:val="FF0000"/>
                      <w:szCs w:val="21"/>
                      <w:lang w:val="en-US" w:eastAsia="zh-CN"/>
                    </w:rPr>
                  </w:pPr>
                  <w:r>
                    <w:rPr>
                      <w:rFonts w:hint="eastAsia" w:cs="Times New Roman"/>
                      <w:bCs/>
                      <w:color w:val="FF0000"/>
                      <w:szCs w:val="21"/>
                      <w:lang w:val="en-US" w:eastAsia="zh-CN"/>
                    </w:rPr>
                    <w:t>16</w:t>
                  </w:r>
                </w:p>
              </w:tc>
              <w:tc>
                <w:tcPr>
                  <w:tcW w:w="595" w:type="pct"/>
                  <w:tcBorders>
                    <w:tl2br w:val="nil"/>
                    <w:tr2bl w:val="nil"/>
                  </w:tcBorders>
                  <w:shd w:val="clear" w:color="auto" w:fill="auto"/>
                  <w:vAlign w:val="center"/>
                </w:tcPr>
                <w:p w14:paraId="686D78E3">
                  <w:pPr>
                    <w:jc w:val="center"/>
                    <w:rPr>
                      <w:rFonts w:hint="default" w:ascii="Times New Roman" w:hAnsi="Times New Roman" w:cs="Times New Roman"/>
                      <w:bCs/>
                      <w:color w:val="FF0000"/>
                      <w:sz w:val="21"/>
                      <w:szCs w:val="21"/>
                      <w:lang w:val="en-US" w:eastAsia="zh-CN"/>
                    </w:rPr>
                  </w:pPr>
                  <w:r>
                    <w:rPr>
                      <w:rFonts w:hint="eastAsia" w:cs="Times New Roman"/>
                      <w:bCs/>
                      <w:color w:val="FF0000"/>
                      <w:sz w:val="21"/>
                      <w:szCs w:val="21"/>
                      <w:lang w:val="en-US" w:eastAsia="zh-CN"/>
                    </w:rPr>
                    <w:t>含油抹布</w:t>
                  </w:r>
                </w:p>
              </w:tc>
              <w:tc>
                <w:tcPr>
                  <w:tcW w:w="468" w:type="pct"/>
                  <w:tcBorders>
                    <w:tl2br w:val="nil"/>
                    <w:tr2bl w:val="nil"/>
                  </w:tcBorders>
                  <w:shd w:val="clear" w:color="auto" w:fill="auto"/>
                  <w:vAlign w:val="center"/>
                </w:tcPr>
                <w:p w14:paraId="4BC7E831">
                  <w:pPr>
                    <w:jc w:val="center"/>
                    <w:rPr>
                      <w:rFonts w:hint="default" w:ascii="Times New Roman" w:hAnsi="Times New Roman" w:cs="Times New Roman"/>
                      <w:bCs/>
                      <w:color w:val="FF0000"/>
                      <w:szCs w:val="21"/>
                    </w:rPr>
                  </w:pPr>
                  <w:r>
                    <w:rPr>
                      <w:rFonts w:hint="default" w:ascii="Times New Roman" w:hAnsi="Times New Roman" w:cs="Times New Roman"/>
                      <w:bCs/>
                      <w:color w:val="FF0000"/>
                      <w:szCs w:val="21"/>
                    </w:rPr>
                    <w:t>HW49</w:t>
                  </w:r>
                </w:p>
              </w:tc>
              <w:tc>
                <w:tcPr>
                  <w:tcW w:w="526" w:type="pct"/>
                  <w:tcBorders>
                    <w:tl2br w:val="nil"/>
                    <w:tr2bl w:val="nil"/>
                  </w:tcBorders>
                  <w:shd w:val="clear" w:color="auto" w:fill="auto"/>
                  <w:vAlign w:val="center"/>
                </w:tcPr>
                <w:p w14:paraId="4B8CECC0">
                  <w:pPr>
                    <w:jc w:val="center"/>
                    <w:rPr>
                      <w:rFonts w:hint="default" w:ascii="Times New Roman" w:hAnsi="Times New Roman" w:cs="Times New Roman"/>
                      <w:bCs/>
                      <w:color w:val="FF0000"/>
                      <w:szCs w:val="21"/>
                      <w:lang w:val="en-US" w:eastAsia="zh-CN"/>
                    </w:rPr>
                  </w:pPr>
                  <w:r>
                    <w:rPr>
                      <w:rFonts w:hint="default" w:ascii="Times New Roman" w:hAnsi="Times New Roman" w:cs="Times New Roman"/>
                      <w:bCs/>
                      <w:color w:val="FF0000"/>
                      <w:szCs w:val="21"/>
                    </w:rPr>
                    <w:t>900-041-49</w:t>
                  </w:r>
                </w:p>
              </w:tc>
              <w:tc>
                <w:tcPr>
                  <w:tcW w:w="540" w:type="pct"/>
                  <w:tcBorders>
                    <w:tl2br w:val="nil"/>
                    <w:tr2bl w:val="nil"/>
                  </w:tcBorders>
                  <w:shd w:val="clear" w:color="auto" w:fill="auto"/>
                  <w:vAlign w:val="center"/>
                </w:tcPr>
                <w:p w14:paraId="39ED04C2">
                  <w:pPr>
                    <w:jc w:val="center"/>
                    <w:rPr>
                      <w:rFonts w:hint="default" w:ascii="Times New Roman" w:hAnsi="Times New Roman" w:eastAsia="宋体" w:cs="Times New Roman"/>
                      <w:bCs/>
                      <w:color w:val="FF0000"/>
                      <w:szCs w:val="21"/>
                      <w:lang w:val="en-US" w:eastAsia="zh-CN"/>
                    </w:rPr>
                  </w:pPr>
                  <w:r>
                    <w:rPr>
                      <w:rFonts w:hint="eastAsia" w:cs="Times New Roman"/>
                      <w:bCs/>
                      <w:color w:val="FF0000"/>
                      <w:szCs w:val="21"/>
                      <w:lang w:val="en-US" w:eastAsia="zh-CN"/>
                    </w:rPr>
                    <w:t>0.2</w:t>
                  </w:r>
                </w:p>
              </w:tc>
              <w:tc>
                <w:tcPr>
                  <w:tcW w:w="485" w:type="pct"/>
                  <w:tcBorders>
                    <w:tl2br w:val="nil"/>
                    <w:tr2bl w:val="nil"/>
                  </w:tcBorders>
                  <w:shd w:val="clear" w:color="auto" w:fill="auto"/>
                  <w:vAlign w:val="center"/>
                </w:tcPr>
                <w:p w14:paraId="52E113B8">
                  <w:pPr>
                    <w:jc w:val="center"/>
                    <w:rPr>
                      <w:rFonts w:hint="default" w:ascii="Times New Roman" w:hAnsi="Times New Roman" w:cs="Times New Roman"/>
                      <w:bCs/>
                      <w:color w:val="FF0000"/>
                      <w:szCs w:val="21"/>
                    </w:rPr>
                  </w:pPr>
                  <w:r>
                    <w:rPr>
                      <w:rFonts w:hint="default" w:ascii="Times New Roman" w:hAnsi="Times New Roman" w:cs="Times New Roman"/>
                      <w:bCs/>
                      <w:color w:val="FF0000"/>
                      <w:szCs w:val="21"/>
                    </w:rPr>
                    <w:t>固态</w:t>
                  </w:r>
                </w:p>
              </w:tc>
              <w:tc>
                <w:tcPr>
                  <w:tcW w:w="423" w:type="pct"/>
                  <w:tcBorders>
                    <w:tl2br w:val="nil"/>
                    <w:tr2bl w:val="nil"/>
                  </w:tcBorders>
                  <w:shd w:val="clear" w:color="auto" w:fill="auto"/>
                  <w:vAlign w:val="center"/>
                </w:tcPr>
                <w:p w14:paraId="5A77F5E7">
                  <w:pPr>
                    <w:jc w:val="center"/>
                    <w:rPr>
                      <w:rFonts w:hint="default" w:ascii="Times New Roman" w:hAnsi="Times New Roman" w:cs="Times New Roman"/>
                      <w:bCs/>
                      <w:color w:val="FF0000"/>
                      <w:szCs w:val="21"/>
                    </w:rPr>
                  </w:pPr>
                  <w:r>
                    <w:rPr>
                      <w:rFonts w:hint="default" w:ascii="Times New Roman" w:hAnsi="Times New Roman" w:cs="Times New Roman"/>
                      <w:bCs/>
                      <w:color w:val="FF0000"/>
                      <w:szCs w:val="21"/>
                    </w:rPr>
                    <w:t>T，I</w:t>
                  </w:r>
                </w:p>
              </w:tc>
              <w:tc>
                <w:tcPr>
                  <w:tcW w:w="493" w:type="pct"/>
                  <w:tcBorders>
                    <w:tl2br w:val="nil"/>
                    <w:tr2bl w:val="nil"/>
                  </w:tcBorders>
                  <w:shd w:val="clear" w:color="auto" w:fill="auto"/>
                  <w:vAlign w:val="center"/>
                </w:tcPr>
                <w:p w14:paraId="61BA5D27">
                  <w:pPr>
                    <w:keepNext w:val="0"/>
                    <w:keepLines w:val="0"/>
                    <w:widowControl/>
                    <w:suppressLineNumbers w:val="0"/>
                    <w:jc w:val="center"/>
                    <w:textAlignment w:val="center"/>
                    <w:rPr>
                      <w:rFonts w:hint="default" w:ascii="Times New Roman" w:hAnsi="Times New Roman" w:eastAsia="宋体" w:cs="Times New Roman"/>
                      <w:i w:val="0"/>
                      <w:iCs w:val="0"/>
                      <w:color w:val="0070C0"/>
                      <w:kern w:val="0"/>
                      <w:sz w:val="21"/>
                      <w:szCs w:val="21"/>
                      <w:u w:val="none"/>
                      <w:lang w:val="en-US" w:eastAsia="zh-CN" w:bidi="ar"/>
                    </w:rPr>
                  </w:pPr>
                  <w:r>
                    <w:rPr>
                      <w:rFonts w:hint="eastAsia" w:cs="Times New Roman"/>
                      <w:i w:val="0"/>
                      <w:iCs w:val="0"/>
                      <w:color w:val="0070C0"/>
                      <w:kern w:val="0"/>
                      <w:sz w:val="21"/>
                      <w:szCs w:val="21"/>
                      <w:u w:val="none"/>
                      <w:lang w:val="en-US" w:eastAsia="zh-CN" w:bidi="ar"/>
                    </w:rPr>
                    <w:t>0.2</w:t>
                  </w:r>
                </w:p>
              </w:tc>
              <w:tc>
                <w:tcPr>
                  <w:tcW w:w="1251" w:type="pct"/>
                  <w:tcBorders>
                    <w:tl2br w:val="nil"/>
                    <w:tr2bl w:val="nil"/>
                  </w:tcBorders>
                  <w:shd w:val="clear" w:color="auto" w:fill="auto"/>
                  <w:vAlign w:val="center"/>
                </w:tcPr>
                <w:p w14:paraId="1E4B0094">
                  <w:pPr>
                    <w:jc w:val="center"/>
                    <w:rPr>
                      <w:rFonts w:hint="default" w:ascii="Times New Roman" w:hAnsi="Times New Roman" w:cs="Times New Roman"/>
                      <w:color w:val="FF0000"/>
                      <w:szCs w:val="21"/>
                    </w:rPr>
                  </w:pPr>
                  <w:r>
                    <w:rPr>
                      <w:rFonts w:hint="default" w:ascii="Times New Roman" w:hAnsi="Times New Roman" w:cs="Times New Roman"/>
                      <w:color w:val="FF0000"/>
                      <w:kern w:val="0"/>
                      <w:sz w:val="21"/>
                      <w:szCs w:val="21"/>
                      <w:lang w:val="en-US" w:eastAsia="zh-CN" w:bidi="ar"/>
                    </w:rPr>
                    <w:t>厂内集中收集，分类、分区暂存在危废贮存点内，</w:t>
                  </w:r>
                  <w:r>
                    <w:rPr>
                      <w:rFonts w:hint="eastAsia"/>
                      <w:color w:val="FF0000"/>
                      <w:kern w:val="0"/>
                      <w:sz w:val="21"/>
                      <w:szCs w:val="21"/>
                      <w:lang w:val="en-US" w:eastAsia="zh-CN" w:bidi="ar"/>
                    </w:rPr>
                    <w:t>定期</w:t>
                  </w:r>
                  <w:r>
                    <w:rPr>
                      <w:rFonts w:hint="default" w:ascii="Times New Roman" w:hAnsi="Times New Roman" w:eastAsia="宋体" w:cs="Times New Roman"/>
                      <w:color w:val="FF0000"/>
                      <w:spacing w:val="-1"/>
                      <w:sz w:val="21"/>
                      <w:szCs w:val="21"/>
                    </w:rPr>
                    <w:t>交由持有相应类别危险废物经营许可证的单</w:t>
                  </w:r>
                  <w:r>
                    <w:rPr>
                      <w:rFonts w:hint="default" w:ascii="Times New Roman" w:hAnsi="Times New Roman" w:eastAsia="宋体" w:cs="Times New Roman"/>
                      <w:color w:val="FF0000"/>
                      <w:spacing w:val="-2"/>
                      <w:sz w:val="21"/>
                      <w:szCs w:val="21"/>
                    </w:rPr>
                    <w:t>位处理</w:t>
                  </w:r>
                  <w:r>
                    <w:rPr>
                      <w:rFonts w:hint="eastAsia"/>
                      <w:color w:val="FF0000"/>
                      <w:kern w:val="0"/>
                      <w:sz w:val="21"/>
                      <w:szCs w:val="21"/>
                      <w:lang w:val="en-US" w:eastAsia="zh-CN" w:bidi="ar"/>
                    </w:rPr>
                    <w:t>。</w:t>
                  </w:r>
                </w:p>
              </w:tc>
            </w:tr>
          </w:tbl>
          <w:p w14:paraId="7B9B18D6">
            <w:pPr>
              <w:pStyle w:val="116"/>
              <w:spacing w:before="182" w:line="360" w:lineRule="auto"/>
              <w:ind w:left="107" w:right="102" w:firstLine="480"/>
              <w:rPr>
                <w:rFonts w:hint="default" w:ascii="Times New Roman" w:hAnsi="Times New Roman" w:cs="Times New Roman"/>
                <w:b/>
                <w:bCs/>
                <w:color w:val="000000"/>
                <w:spacing w:val="-2"/>
                <w:lang w:eastAsia="zh-CN"/>
              </w:rPr>
            </w:pPr>
            <w:r>
              <w:rPr>
                <w:rFonts w:hint="default" w:ascii="Times New Roman" w:hAnsi="Times New Roman" w:cs="Times New Roman"/>
                <w:b/>
                <w:bCs/>
                <w:color w:val="000000"/>
                <w:spacing w:val="-2"/>
                <w:lang w:eastAsia="zh-CN"/>
              </w:rPr>
              <w:t>4.一般固体废物管理要求</w:t>
            </w:r>
          </w:p>
          <w:p w14:paraId="0814B3B2">
            <w:pPr>
              <w:pStyle w:val="84"/>
              <w:ind w:firstLine="480"/>
              <w:rPr>
                <w:rFonts w:hint="default" w:ascii="Times New Roman" w:hAnsi="Times New Roman" w:cs="Times New Roman"/>
              </w:rPr>
            </w:pPr>
            <w:r>
              <w:rPr>
                <w:rFonts w:hint="default" w:ascii="Times New Roman" w:hAnsi="Times New Roman" w:cs="Times New Roman"/>
              </w:rPr>
              <w:t>本项目一般固废暂存区位于</w:t>
            </w:r>
            <w:r>
              <w:rPr>
                <w:rFonts w:hint="eastAsia" w:ascii="Times New Roman" w:hAnsi="Times New Roman" w:cs="Times New Roman"/>
                <w:lang w:val="en-US" w:eastAsia="zh-CN"/>
              </w:rPr>
              <w:t>拆解车间</w:t>
            </w:r>
            <w:r>
              <w:rPr>
                <w:rFonts w:hint="default" w:ascii="Times New Roman" w:hAnsi="Times New Roman" w:cs="Times New Roman"/>
              </w:rPr>
              <w:t>，面积</w:t>
            </w:r>
            <w:r>
              <w:rPr>
                <w:rFonts w:hint="eastAsia" w:ascii="Times New Roman" w:hAnsi="Times New Roman" w:cs="Times New Roman"/>
                <w:lang w:val="en-US" w:eastAsia="zh-CN"/>
              </w:rPr>
              <w:t>3</w:t>
            </w:r>
            <w:r>
              <w:rPr>
                <w:rFonts w:hint="default" w:ascii="Times New Roman" w:hAnsi="Times New Roman" w:cs="Times New Roman"/>
              </w:rPr>
              <w:t>00m</w:t>
            </w:r>
            <w:r>
              <w:rPr>
                <w:rFonts w:hint="default" w:ascii="Times New Roman" w:hAnsi="Times New Roman" w:cs="Times New Roman"/>
                <w:vertAlign w:val="superscript"/>
              </w:rPr>
              <w:t>2</w:t>
            </w:r>
            <w:r>
              <w:rPr>
                <w:rFonts w:hint="default" w:ascii="Times New Roman" w:hAnsi="Times New Roman" w:cs="Times New Roman"/>
              </w:rPr>
              <w:t>，应根据《一般工业固体废物贮存和填埋污染控制标准》（GB 18599-2020）中的有关要求进行建设，并做好防渗，防渗性能应至少相当于渗透系数为1.0×10</w:t>
            </w:r>
            <w:r>
              <w:rPr>
                <w:rFonts w:hint="default" w:ascii="Times New Roman" w:hAnsi="Times New Roman" w:cs="Times New Roman"/>
                <w:vertAlign w:val="superscript"/>
              </w:rPr>
              <w:t>-5</w:t>
            </w:r>
            <w:r>
              <w:rPr>
                <w:rFonts w:hint="default" w:ascii="Times New Roman" w:hAnsi="Times New Roman" w:cs="Times New Roman"/>
              </w:rPr>
              <w:t>cm/s且厚度为0.75m的天然基础层。</w:t>
            </w:r>
          </w:p>
          <w:p w14:paraId="1D3E6126">
            <w:pPr>
              <w:pStyle w:val="84"/>
              <w:ind w:firstLine="480"/>
              <w:rPr>
                <w:rFonts w:hint="default" w:ascii="Times New Roman" w:hAnsi="Times New Roman" w:cs="Times New Roman"/>
              </w:rPr>
            </w:pPr>
            <w:r>
              <w:rPr>
                <w:rFonts w:hint="default" w:ascii="Times New Roman" w:hAnsi="Times New Roman" w:cs="Times New Roman"/>
              </w:rPr>
              <w:t>（1）一般工业固体废物暂存间禁止危险废物和生活垃圾混入，禁止向生活垃圾收集设施中投放工业固体废物；</w:t>
            </w:r>
          </w:p>
          <w:p w14:paraId="7D21AC18">
            <w:pPr>
              <w:pStyle w:val="84"/>
              <w:ind w:firstLine="480"/>
              <w:rPr>
                <w:rFonts w:hint="default" w:ascii="Times New Roman" w:hAnsi="Times New Roman" w:cs="Times New Roman"/>
              </w:rPr>
            </w:pPr>
            <w:r>
              <w:rPr>
                <w:rFonts w:hint="default" w:ascii="Times New Roman" w:hAnsi="Times New Roman" w:cs="Times New Roman"/>
              </w:rPr>
              <w:t>（2）一般工业固体废物应分类存放，应按要求设置环境保护图形标志；并采取防雨淋、防扬散、防流失等措施。</w:t>
            </w:r>
          </w:p>
          <w:p w14:paraId="0FD404E4">
            <w:pPr>
              <w:pStyle w:val="84"/>
              <w:ind w:firstLine="480"/>
              <w:rPr>
                <w:rFonts w:hint="default" w:ascii="Times New Roman" w:hAnsi="Times New Roman" w:cs="Times New Roman"/>
              </w:rPr>
            </w:pPr>
            <w:r>
              <w:rPr>
                <w:rFonts w:hint="default" w:ascii="Times New Roman" w:hAnsi="Times New Roman" w:cs="Times New Roman"/>
              </w:rPr>
              <w:t>（3）建立健全一般固体废物产生、收集、贮存的污染环境防治责任制度，建立一般固体废物管理台账，如实记录产生固体废物的种类、数量、流向、贮存等信息。</w:t>
            </w:r>
          </w:p>
          <w:p w14:paraId="68CBF71C">
            <w:pPr>
              <w:pStyle w:val="84"/>
              <w:ind w:firstLine="480"/>
              <w:rPr>
                <w:rFonts w:hint="default" w:ascii="Times New Roman" w:hAnsi="Times New Roman" w:cs="Times New Roman"/>
                <w:lang w:val="en-US" w:eastAsia="zh-CN"/>
              </w:rPr>
            </w:pPr>
            <w:r>
              <w:rPr>
                <w:rFonts w:hint="eastAsia" w:ascii="Times New Roman" w:hAnsi="Times New Roman" w:cs="Times New Roman"/>
                <w:lang w:eastAsia="zh-CN"/>
              </w:rPr>
              <w:t>（</w:t>
            </w:r>
            <w:r>
              <w:rPr>
                <w:rFonts w:hint="eastAsia" w:ascii="Times New Roman" w:hAnsi="Times New Roman" w:cs="Times New Roman"/>
                <w:lang w:val="en-US" w:eastAsia="zh-CN"/>
              </w:rPr>
              <w:t>4</w:t>
            </w:r>
            <w:r>
              <w:rPr>
                <w:rFonts w:hint="eastAsia" w:ascii="Times New Roman" w:hAnsi="Times New Roman" w:cs="Times New Roman"/>
                <w:lang w:eastAsia="zh-CN"/>
              </w:rPr>
              <w:t>）</w:t>
            </w:r>
            <w:r>
              <w:rPr>
                <w:rFonts w:hint="eastAsia" w:ascii="Times New Roman" w:hAnsi="Times New Roman" w:cs="Times New Roman"/>
                <w:lang w:val="en-US" w:eastAsia="zh-CN"/>
              </w:rPr>
              <w:t>动力电池贮存区建设情况</w:t>
            </w:r>
          </w:p>
          <w:p w14:paraId="2FD93D2A">
            <w:pPr>
              <w:pStyle w:val="84"/>
              <w:ind w:firstLine="480"/>
              <w:rPr>
                <w:rFonts w:hint="eastAsia" w:ascii="Times New Roman" w:hAnsi="Times New Roman" w:cs="Times New Roman"/>
                <w:color w:val="FF0000"/>
                <w:lang w:val="en-US" w:eastAsia="zh-CN"/>
              </w:rPr>
            </w:pPr>
            <w:r>
              <w:rPr>
                <w:rFonts w:hint="eastAsia" w:ascii="Times New Roman" w:hAnsi="Times New Roman" w:cs="Times New Roman"/>
                <w:color w:val="FF0000"/>
                <w:lang w:val="en-US" w:eastAsia="zh-CN"/>
              </w:rPr>
              <w:t>本项目动力电池拆解区附近设置动力电池贮存间，面积100</w:t>
            </w:r>
            <w:r>
              <w:rPr>
                <w:rFonts w:hint="default" w:ascii="Times New Roman" w:hAnsi="Times New Roman" w:cs="Times New Roman"/>
                <w:color w:val="FF0000"/>
              </w:rPr>
              <w:t>m</w:t>
            </w:r>
            <w:r>
              <w:rPr>
                <w:rFonts w:hint="default" w:ascii="Times New Roman" w:hAnsi="Times New Roman" w:cs="Times New Roman"/>
                <w:color w:val="FF0000"/>
                <w:vertAlign w:val="superscript"/>
              </w:rPr>
              <w:t>2</w:t>
            </w:r>
            <w:r>
              <w:rPr>
                <w:rFonts w:hint="eastAsia" w:ascii="Times New Roman" w:hAnsi="Times New Roman" w:cs="Times New Roman"/>
                <w:color w:val="FF0000"/>
                <w:lang w:val="en-US" w:eastAsia="zh-CN"/>
              </w:rPr>
              <w:t>，</w:t>
            </w:r>
            <w:r>
              <w:rPr>
                <w:rFonts w:hint="default" w:ascii="Times New Roman" w:hAnsi="Times New Roman" w:cs="Times New Roman"/>
                <w:color w:val="FF0000"/>
              </w:rPr>
              <w:t>设计贮存量为</w:t>
            </w:r>
            <w:r>
              <w:rPr>
                <w:rFonts w:hint="eastAsia" w:ascii="Times New Roman" w:hAnsi="Times New Roman" w:cs="Times New Roman"/>
                <w:color w:val="FF0000"/>
                <w:lang w:val="en-US" w:eastAsia="zh-CN"/>
              </w:rPr>
              <w:t>100</w:t>
            </w:r>
            <w:r>
              <w:rPr>
                <w:rFonts w:hint="default" w:ascii="Times New Roman" w:hAnsi="Times New Roman" w:cs="Times New Roman"/>
                <w:color w:val="FF0000"/>
              </w:rPr>
              <w:t>吨</w:t>
            </w:r>
            <w:r>
              <w:rPr>
                <w:rFonts w:hint="eastAsia" w:ascii="Times New Roman" w:hAnsi="Times New Roman" w:cs="Times New Roman"/>
                <w:color w:val="FF0000"/>
                <w:lang w:eastAsia="zh-CN"/>
              </w:rPr>
              <w:t>，</w:t>
            </w:r>
            <w:r>
              <w:rPr>
                <w:rFonts w:hint="eastAsia" w:ascii="Times New Roman" w:hAnsi="Times New Roman" w:cs="Times New Roman"/>
                <w:color w:val="FF0000"/>
                <w:lang w:val="en-US" w:eastAsia="zh-CN"/>
              </w:rPr>
              <w:t>内设</w:t>
            </w:r>
            <w:r>
              <w:rPr>
                <w:rFonts w:hint="eastAsia" w:ascii="Times New Roman" w:hAnsi="Times New Roman" w:cs="Times New Roman"/>
                <w:color w:val="FF0000"/>
                <w:lang w:eastAsia="zh-CN"/>
              </w:rPr>
              <w:t>耐酸货架，间距≥5m。</w:t>
            </w:r>
            <w:r>
              <w:rPr>
                <w:rFonts w:hint="eastAsia" w:ascii="Times New Roman" w:hAnsi="Times New Roman" w:cs="Times New Roman"/>
                <w:color w:val="FF0000"/>
                <w:lang w:val="en-US" w:eastAsia="zh-CN"/>
              </w:rPr>
              <w:t>动力电池地面与绝缘绝缘处理：地面采用环氧地坪并做绝缘涂层（电阻值≥10⁹Ω），防漏电风险。防渗防腐：同铅酸电池要求（耐腐蚀材料+导流沟+收集池）。防火与防爆自动消防系统：安装七氟丙烷自动灭火装置或全氟己酮系统（禁止用水灭火）。配置温度/烟雾报警器（联动消防系统）。防爆电器：所有电气设备符合防爆标准（如Ex d IIB T4）。泄压设计：墙体或屋顶设泄压口。分区与贮存漏电/漏液电池隔离：设独立防爆柜或隔离区，贴“绝缘失效”警示标签。货架要求：多层存放时，使用绝缘承重货架（非金属材质）。层高≥电池高度20%，便于存取和散热。温湿度控制：温度15-25℃，湿度≤60%（空调+除湿机），安全防护防静电措施：入口设静电消除球，工作人员穿防静电服/鞋。绝缘工具：配备绝缘吊具、卡钳等专用设备。</w:t>
            </w:r>
          </w:p>
          <w:p w14:paraId="358A66C1">
            <w:pPr>
              <w:pStyle w:val="84"/>
              <w:ind w:firstLine="480"/>
              <w:rPr>
                <w:rFonts w:hint="default" w:ascii="Times New Roman" w:hAnsi="Times New Roman" w:cs="Times New Roman"/>
                <w:color w:val="FF0000"/>
                <w:sz w:val="24"/>
                <w:szCs w:val="24"/>
              </w:rPr>
            </w:pPr>
            <w:r>
              <w:rPr>
                <w:rFonts w:hint="default" w:ascii="Times New Roman" w:hAnsi="Times New Roman" w:cs="Times New Roman"/>
                <w:color w:val="FF0000"/>
                <w:sz w:val="24"/>
                <w:szCs w:val="24"/>
              </w:rPr>
              <w:t>本项目全厂</w:t>
            </w:r>
            <w:r>
              <w:rPr>
                <w:rFonts w:hint="eastAsia" w:ascii="Times New Roman" w:hAnsi="Times New Roman" w:cs="Times New Roman"/>
                <w:color w:val="FF0000"/>
                <w:sz w:val="24"/>
                <w:szCs w:val="24"/>
                <w:lang w:val="en-US" w:eastAsia="zh-CN"/>
              </w:rPr>
              <w:t>铅酸蓄电池</w:t>
            </w:r>
            <w:r>
              <w:rPr>
                <w:rFonts w:hint="default" w:ascii="Times New Roman" w:hAnsi="Times New Roman" w:cs="Times New Roman"/>
                <w:color w:val="FF0000"/>
                <w:sz w:val="24"/>
                <w:szCs w:val="24"/>
              </w:rPr>
              <w:t>产生量合计</w:t>
            </w:r>
            <w:r>
              <w:rPr>
                <w:rFonts w:hint="eastAsia" w:ascii="Times New Roman" w:hAnsi="Times New Roman" w:cs="Times New Roman"/>
                <w:color w:val="FF0000"/>
                <w:sz w:val="24"/>
                <w:szCs w:val="24"/>
                <w:lang w:val="en-US" w:eastAsia="zh-CN"/>
              </w:rPr>
              <w:t>253.48</w:t>
            </w:r>
            <w:r>
              <w:rPr>
                <w:rFonts w:hint="default" w:ascii="Times New Roman" w:hAnsi="Times New Roman" w:cs="Times New Roman"/>
                <w:color w:val="FF0000"/>
                <w:sz w:val="24"/>
                <w:szCs w:val="24"/>
              </w:rPr>
              <w:t>t/a，</w:t>
            </w:r>
            <w:r>
              <w:rPr>
                <w:rFonts w:hint="eastAsia" w:ascii="Times New Roman" w:hAnsi="Times New Roman" w:cs="Times New Roman"/>
                <w:color w:val="FF0000"/>
                <w:sz w:val="24"/>
                <w:szCs w:val="24"/>
                <w:lang w:val="en-US" w:eastAsia="zh-CN"/>
              </w:rPr>
              <w:t>即每天</w:t>
            </w:r>
            <w:r>
              <w:rPr>
                <w:rFonts w:hint="default" w:ascii="Times New Roman" w:hAnsi="Times New Roman" w:cs="Times New Roman"/>
                <w:color w:val="FF0000"/>
                <w:sz w:val="24"/>
                <w:szCs w:val="24"/>
              </w:rPr>
              <w:t>贮存量为</w:t>
            </w:r>
            <w:r>
              <w:rPr>
                <w:rFonts w:hint="eastAsia" w:ascii="Times New Roman" w:hAnsi="Times New Roman" w:cs="Times New Roman"/>
                <w:color w:val="FF0000"/>
                <w:sz w:val="24"/>
                <w:szCs w:val="24"/>
                <w:lang w:val="en-US" w:eastAsia="zh-CN"/>
              </w:rPr>
              <w:t>0.85</w:t>
            </w:r>
            <w:r>
              <w:rPr>
                <w:rFonts w:hint="default" w:ascii="Times New Roman" w:hAnsi="Times New Roman" w:cs="Times New Roman"/>
                <w:color w:val="FF0000"/>
                <w:sz w:val="24"/>
                <w:szCs w:val="24"/>
              </w:rPr>
              <w:t>吨</w:t>
            </w:r>
            <w:r>
              <w:rPr>
                <w:rFonts w:hint="eastAsia" w:ascii="Times New Roman" w:hAnsi="Times New Roman" w:cs="Times New Roman"/>
                <w:color w:val="FF0000"/>
                <w:sz w:val="24"/>
                <w:szCs w:val="24"/>
                <w:lang w:eastAsia="zh-CN"/>
              </w:rPr>
              <w:t>，</w:t>
            </w:r>
            <w:r>
              <w:rPr>
                <w:rFonts w:hint="eastAsia" w:ascii="Times New Roman" w:hAnsi="Times New Roman" w:cs="Times New Roman"/>
                <w:color w:val="FF0000"/>
                <w:sz w:val="24"/>
                <w:szCs w:val="24"/>
                <w:lang w:val="en-US" w:eastAsia="zh-CN"/>
              </w:rPr>
              <w:t>本项目动力电池周转天数为30天，动力电池贮存间</w:t>
            </w:r>
            <w:r>
              <w:rPr>
                <w:rFonts w:hint="default" w:ascii="Times New Roman" w:hAnsi="Times New Roman" w:cs="Times New Roman"/>
                <w:color w:val="FF0000"/>
                <w:sz w:val="24"/>
                <w:szCs w:val="24"/>
              </w:rPr>
              <w:t>能够满足贮存需求。</w:t>
            </w:r>
          </w:p>
          <w:p w14:paraId="53CC4F28">
            <w:pPr>
              <w:pStyle w:val="116"/>
              <w:spacing w:before="182" w:line="354" w:lineRule="auto"/>
              <w:ind w:left="107" w:right="102" w:firstLine="480"/>
              <w:rPr>
                <w:rFonts w:hint="default" w:ascii="Times New Roman" w:hAnsi="Times New Roman" w:cs="Times New Roman"/>
                <w:b/>
                <w:bCs/>
                <w:color w:val="FF0000"/>
                <w:spacing w:val="-2"/>
                <w:lang w:eastAsia="zh-CN"/>
              </w:rPr>
            </w:pPr>
            <w:r>
              <w:rPr>
                <w:rFonts w:hint="default" w:ascii="Times New Roman" w:hAnsi="Times New Roman" w:cs="Times New Roman"/>
                <w:b/>
                <w:bCs/>
                <w:color w:val="FF0000"/>
                <w:spacing w:val="-2"/>
                <w:lang w:eastAsia="zh-CN"/>
              </w:rPr>
              <w:t>5.危险废物管理要求</w:t>
            </w:r>
          </w:p>
          <w:p w14:paraId="60059170">
            <w:pPr>
              <w:tabs>
                <w:tab w:val="left" w:pos="4665"/>
                <w:tab w:val="left" w:pos="8970"/>
              </w:tabs>
              <w:spacing w:line="360" w:lineRule="auto"/>
              <w:ind w:firstLine="480" w:firstLineChars="200"/>
              <w:rPr>
                <w:rFonts w:hint="default" w:ascii="Times New Roman" w:hAnsi="Times New Roman" w:cs="Times New Roman"/>
                <w:sz w:val="24"/>
              </w:rPr>
            </w:pPr>
            <w:r>
              <w:rPr>
                <w:rFonts w:hint="default" w:ascii="Times New Roman" w:hAnsi="Times New Roman" w:cs="Times New Roman"/>
                <w:sz w:val="24"/>
              </w:rPr>
              <w:t>（1）危废管理类型</w:t>
            </w:r>
          </w:p>
          <w:p w14:paraId="50A962B5">
            <w:pPr>
              <w:tabs>
                <w:tab w:val="left" w:pos="4665"/>
                <w:tab w:val="left" w:pos="8970"/>
              </w:tabs>
              <w:spacing w:line="360" w:lineRule="auto"/>
              <w:ind w:firstLine="476" w:firstLineChars="200"/>
              <w:rPr>
                <w:rFonts w:hint="default" w:ascii="Times New Roman" w:hAnsi="Times New Roman" w:cs="Times New Roman"/>
                <w:spacing w:val="-1"/>
                <w:sz w:val="24"/>
              </w:rPr>
            </w:pPr>
            <w:r>
              <w:rPr>
                <w:rFonts w:hint="default" w:ascii="Times New Roman" w:hAnsi="Times New Roman" w:cs="Times New Roman"/>
                <w:spacing w:val="-1"/>
                <w:sz w:val="24"/>
              </w:rPr>
              <w:t>按照《危险废物管理计划和管理台账制定技术导则》HJ1259-2022中要：</w:t>
            </w:r>
          </w:p>
          <w:p w14:paraId="0D3C9E9C">
            <w:pPr>
              <w:tabs>
                <w:tab w:val="left" w:pos="4665"/>
                <w:tab w:val="left" w:pos="8970"/>
              </w:tabs>
              <w:spacing w:line="360" w:lineRule="auto"/>
              <w:ind w:firstLine="476" w:firstLineChars="200"/>
              <w:rPr>
                <w:rFonts w:hint="default" w:ascii="Times New Roman" w:hAnsi="Times New Roman" w:cs="Times New Roman"/>
                <w:spacing w:val="-1"/>
                <w:sz w:val="24"/>
              </w:rPr>
            </w:pPr>
            <w:r>
              <w:rPr>
                <w:rFonts w:hint="default" w:ascii="Times New Roman" w:hAnsi="Times New Roman" w:cs="Times New Roman"/>
                <w:spacing w:val="-1"/>
                <w:sz w:val="24"/>
              </w:rPr>
              <w:t>a）危险废物环境重点监管单位：具备下列条件之一的单位，纳入危险废物环境重点监管单位：1）同一生产经营场所危险废物年产生量100t及以上的单位。2）具有危险废物自行利用处置设施的单位。3）持有危险废物经营许可证的单位。</w:t>
            </w:r>
          </w:p>
          <w:p w14:paraId="699D8CE1">
            <w:pPr>
              <w:tabs>
                <w:tab w:val="left" w:pos="4665"/>
                <w:tab w:val="left" w:pos="8970"/>
              </w:tabs>
              <w:spacing w:line="360" w:lineRule="auto"/>
              <w:ind w:firstLine="476" w:firstLineChars="200"/>
              <w:rPr>
                <w:rFonts w:hint="default" w:ascii="Times New Roman" w:hAnsi="Times New Roman" w:cs="Times New Roman"/>
                <w:spacing w:val="-1"/>
                <w:sz w:val="24"/>
              </w:rPr>
            </w:pPr>
            <w:r>
              <w:rPr>
                <w:rFonts w:hint="default" w:ascii="Times New Roman" w:hAnsi="Times New Roman" w:cs="Times New Roman"/>
                <w:spacing w:val="-1"/>
                <w:sz w:val="24"/>
              </w:rPr>
              <w:t>b）危险废物简化管理单位：同一生产经营场所危险废物年产生量10t及以上且未纳入危险废物环境重点监管单位的单位。</w:t>
            </w:r>
          </w:p>
          <w:p w14:paraId="5C327525">
            <w:pPr>
              <w:tabs>
                <w:tab w:val="left" w:pos="4665"/>
                <w:tab w:val="left" w:pos="8970"/>
              </w:tabs>
              <w:spacing w:line="360" w:lineRule="auto"/>
              <w:ind w:firstLine="476" w:firstLineChars="200"/>
              <w:rPr>
                <w:rFonts w:hint="default" w:ascii="Times New Roman" w:hAnsi="Times New Roman" w:cs="Times New Roman"/>
                <w:spacing w:val="-1"/>
                <w:sz w:val="24"/>
              </w:rPr>
            </w:pPr>
            <w:r>
              <w:rPr>
                <w:rFonts w:hint="default" w:ascii="Times New Roman" w:hAnsi="Times New Roman" w:cs="Times New Roman"/>
                <w:spacing w:val="-1"/>
                <w:sz w:val="24"/>
              </w:rPr>
              <w:t>c）危险废物登记管理单位：同一生产经营场所危险废物年产生量10t以下且未纳入危险废物环境重点监管单位的单位。</w:t>
            </w:r>
          </w:p>
          <w:p w14:paraId="16C4EB61">
            <w:pPr>
              <w:tabs>
                <w:tab w:val="left" w:pos="4665"/>
                <w:tab w:val="left" w:pos="8970"/>
              </w:tabs>
              <w:spacing w:line="360" w:lineRule="auto"/>
              <w:ind w:firstLine="476" w:firstLineChars="200"/>
              <w:rPr>
                <w:rFonts w:hint="default" w:ascii="Times New Roman" w:hAnsi="Times New Roman" w:cs="Times New Roman"/>
                <w:spacing w:val="-1"/>
                <w:sz w:val="24"/>
              </w:rPr>
            </w:pPr>
            <w:r>
              <w:rPr>
                <w:rFonts w:hint="default" w:ascii="Times New Roman" w:hAnsi="Times New Roman" w:cs="Times New Roman"/>
                <w:spacing w:val="-1"/>
                <w:sz w:val="24"/>
              </w:rPr>
              <w:t>综上，本项目全厂危废合计年产</w:t>
            </w:r>
            <w:r>
              <w:rPr>
                <w:rFonts w:hint="eastAsia" w:cs="Times New Roman"/>
                <w:spacing w:val="-1"/>
                <w:sz w:val="24"/>
                <w:lang w:eastAsia="zh-CN"/>
              </w:rPr>
              <w:t>2178.858</w:t>
            </w:r>
            <w:r>
              <w:rPr>
                <w:rFonts w:hint="default" w:ascii="Times New Roman" w:hAnsi="Times New Roman" w:cs="Times New Roman"/>
                <w:spacing w:val="-1"/>
                <w:sz w:val="24"/>
              </w:rPr>
              <w:t>吨，属于危险废物环境重点监管单位。</w:t>
            </w:r>
          </w:p>
          <w:p w14:paraId="1B86A109">
            <w:pPr>
              <w:tabs>
                <w:tab w:val="left" w:pos="4665"/>
                <w:tab w:val="left" w:pos="8970"/>
              </w:tabs>
              <w:spacing w:line="360" w:lineRule="auto"/>
              <w:ind w:firstLine="480" w:firstLineChars="200"/>
              <w:rPr>
                <w:rFonts w:hint="default" w:ascii="Times New Roman" w:hAnsi="Times New Roman" w:cs="Times New Roman"/>
                <w:color w:val="FF0000"/>
                <w:sz w:val="24"/>
              </w:rPr>
            </w:pPr>
            <w:r>
              <w:rPr>
                <w:rFonts w:hint="default" w:ascii="Times New Roman" w:hAnsi="Times New Roman" w:cs="Times New Roman"/>
                <w:color w:val="FF0000"/>
                <w:sz w:val="24"/>
              </w:rPr>
              <w:t>（2）危废贮存设施建设情况</w:t>
            </w:r>
          </w:p>
          <w:p w14:paraId="298B48CC">
            <w:pPr>
              <w:tabs>
                <w:tab w:val="left" w:pos="4665"/>
                <w:tab w:val="left" w:pos="8970"/>
              </w:tabs>
              <w:spacing w:line="360" w:lineRule="auto"/>
              <w:ind w:firstLine="476" w:firstLineChars="200"/>
              <w:rPr>
                <w:rFonts w:hint="default" w:ascii="Times New Roman" w:hAnsi="Times New Roman" w:cs="Times New Roman"/>
                <w:color w:val="FF0000"/>
                <w:spacing w:val="-1"/>
                <w:sz w:val="24"/>
              </w:rPr>
            </w:pPr>
            <w:r>
              <w:rPr>
                <w:rFonts w:hint="default" w:ascii="Times New Roman" w:hAnsi="Times New Roman" w:cs="Times New Roman"/>
                <w:color w:val="FF0000"/>
                <w:spacing w:val="-1"/>
                <w:sz w:val="24"/>
              </w:rPr>
              <w:t>根据《危险废物贮存污染控制标准》（GB 18597-2023）中关于贮存设施建设的相关要求，本项目危废贮存设施需要</w:t>
            </w:r>
            <w:r>
              <w:rPr>
                <w:rFonts w:hint="default" w:ascii="Times New Roman" w:hAnsi="Times New Roman" w:cs="Times New Roman"/>
                <w:color w:val="FF0000"/>
                <w:spacing w:val="-1"/>
                <w:sz w:val="24"/>
                <w:lang w:val="en-US" w:eastAsia="zh-CN"/>
              </w:rPr>
              <w:t>产生危险废物的单位设置于生产线附近，用于暂时贮存以便于中转其产生的危险废物的场所</w:t>
            </w:r>
            <w:r>
              <w:rPr>
                <w:rFonts w:hint="eastAsia" w:cs="Times New Roman"/>
                <w:color w:val="FF0000"/>
                <w:spacing w:val="-1"/>
                <w:sz w:val="24"/>
                <w:lang w:val="en-US" w:eastAsia="zh-CN"/>
              </w:rPr>
              <w:t>，</w:t>
            </w:r>
            <w:r>
              <w:rPr>
                <w:rFonts w:hint="default" w:ascii="Times New Roman" w:hAnsi="Times New Roman" w:cs="Times New Roman"/>
                <w:color w:val="FF0000"/>
                <w:spacing w:val="-1"/>
                <w:sz w:val="24"/>
              </w:rPr>
              <w:t>因此本项目应建设</w:t>
            </w:r>
            <w:r>
              <w:rPr>
                <w:rFonts w:hint="default" w:ascii="Times New Roman" w:hAnsi="Times New Roman" w:cs="Times New Roman"/>
                <w:color w:val="FF0000"/>
                <w:spacing w:val="-1"/>
                <w:sz w:val="24"/>
                <w:lang w:eastAsia="zh-CN"/>
              </w:rPr>
              <w:t>危废贮存点</w:t>
            </w:r>
            <w:r>
              <w:rPr>
                <w:rFonts w:hint="default" w:ascii="Times New Roman" w:hAnsi="Times New Roman" w:cs="Times New Roman"/>
                <w:color w:val="FF0000"/>
                <w:spacing w:val="-1"/>
                <w:sz w:val="24"/>
              </w:rPr>
              <w:t>。</w:t>
            </w:r>
          </w:p>
          <w:p w14:paraId="5F747C92">
            <w:pPr>
              <w:tabs>
                <w:tab w:val="left" w:pos="4665"/>
                <w:tab w:val="left" w:pos="8970"/>
              </w:tabs>
              <w:spacing w:line="360" w:lineRule="auto"/>
              <w:ind w:firstLine="480" w:firstLineChars="200"/>
              <w:rPr>
                <w:rFonts w:hint="default" w:ascii="Times New Roman" w:hAnsi="Times New Roman" w:cs="Times New Roman"/>
                <w:color w:val="FF0000"/>
                <w:sz w:val="24"/>
              </w:rPr>
            </w:pPr>
            <w:r>
              <w:rPr>
                <w:rFonts w:hint="default" w:ascii="Times New Roman" w:hAnsi="Times New Roman" w:cs="Times New Roman"/>
                <w:color w:val="FF0000"/>
                <w:sz w:val="24"/>
              </w:rPr>
              <w:t>本项目在</w:t>
            </w:r>
            <w:r>
              <w:rPr>
                <w:rFonts w:hint="eastAsia" w:cs="Times New Roman"/>
                <w:color w:val="FF0000"/>
                <w:sz w:val="24"/>
                <w:lang w:val="en-US" w:eastAsia="zh-CN"/>
              </w:rPr>
              <w:t>拆解线附近</w:t>
            </w:r>
            <w:r>
              <w:rPr>
                <w:rFonts w:hint="default" w:ascii="Times New Roman" w:hAnsi="Times New Roman" w:cs="Times New Roman"/>
                <w:color w:val="FF0000"/>
                <w:sz w:val="24"/>
              </w:rPr>
              <w:t>设置</w:t>
            </w:r>
            <w:r>
              <w:rPr>
                <w:rFonts w:hint="eastAsia" w:cs="Times New Roman"/>
                <w:color w:val="FF0000"/>
                <w:sz w:val="24"/>
                <w:lang w:val="en-US" w:eastAsia="zh-CN"/>
              </w:rPr>
              <w:t>4</w:t>
            </w:r>
            <w:r>
              <w:rPr>
                <w:rFonts w:hint="default" w:ascii="Times New Roman" w:hAnsi="Times New Roman" w:cs="Times New Roman"/>
                <w:color w:val="FF0000"/>
                <w:sz w:val="24"/>
              </w:rPr>
              <w:t>座</w:t>
            </w:r>
            <w:r>
              <w:rPr>
                <w:rFonts w:hint="eastAsia" w:cs="Times New Roman"/>
                <w:color w:val="FF0000"/>
                <w:sz w:val="24"/>
                <w:lang w:val="en-US" w:eastAsia="zh-CN"/>
              </w:rPr>
              <w:t>各 20</w:t>
            </w:r>
            <w:r>
              <w:rPr>
                <w:rFonts w:hint="default" w:ascii="Times New Roman" w:hAnsi="Times New Roman" w:cs="Times New Roman"/>
                <w:color w:val="FF0000"/>
                <w:sz w:val="24"/>
              </w:rPr>
              <w:t>m</w:t>
            </w:r>
            <w:r>
              <w:rPr>
                <w:rFonts w:hint="default" w:ascii="Times New Roman" w:hAnsi="Times New Roman" w:cs="Times New Roman"/>
                <w:color w:val="FF0000"/>
                <w:sz w:val="24"/>
                <w:vertAlign w:val="superscript"/>
              </w:rPr>
              <w:t>2</w:t>
            </w:r>
            <w:r>
              <w:rPr>
                <w:rFonts w:hint="default" w:ascii="Times New Roman" w:hAnsi="Times New Roman" w:cs="Times New Roman"/>
                <w:color w:val="FF0000"/>
                <w:sz w:val="24"/>
              </w:rPr>
              <w:t>的</w:t>
            </w:r>
            <w:r>
              <w:rPr>
                <w:rFonts w:hint="default" w:ascii="Times New Roman" w:hAnsi="Times New Roman" w:cs="Times New Roman"/>
                <w:color w:val="FF0000"/>
                <w:sz w:val="24"/>
                <w:lang w:eastAsia="zh-CN"/>
              </w:rPr>
              <w:t>危废贮存点</w:t>
            </w:r>
            <w:r>
              <w:rPr>
                <w:rFonts w:hint="default" w:ascii="Times New Roman" w:hAnsi="Times New Roman" w:cs="Times New Roman"/>
                <w:color w:val="FF0000"/>
                <w:sz w:val="24"/>
              </w:rPr>
              <w:t>，并做防风、防雨、重点防渗、防溢流（桶内密封）、防腐措施，设计贮存量</w:t>
            </w:r>
            <w:r>
              <w:rPr>
                <w:rFonts w:hint="eastAsia" w:cs="Times New Roman"/>
                <w:color w:val="FF0000"/>
                <w:sz w:val="24"/>
                <w:lang w:val="en-US" w:eastAsia="zh-CN"/>
              </w:rPr>
              <w:t>合计</w:t>
            </w:r>
            <w:r>
              <w:rPr>
                <w:rFonts w:hint="default" w:ascii="Times New Roman" w:hAnsi="Times New Roman" w:cs="Times New Roman"/>
                <w:color w:val="FF0000"/>
                <w:sz w:val="24"/>
              </w:rPr>
              <w:t>为</w:t>
            </w:r>
            <w:r>
              <w:rPr>
                <w:rFonts w:hint="eastAsia" w:cs="Times New Roman"/>
                <w:color w:val="FF0000"/>
                <w:sz w:val="24"/>
                <w:lang w:val="en-US" w:eastAsia="zh-CN"/>
              </w:rPr>
              <w:t>80</w:t>
            </w:r>
            <w:r>
              <w:rPr>
                <w:rFonts w:hint="default" w:ascii="Times New Roman" w:hAnsi="Times New Roman" w:cs="Times New Roman"/>
                <w:color w:val="FF0000"/>
                <w:sz w:val="24"/>
              </w:rPr>
              <w:t>吨；根据前文分析，本项目全厂危废产生量合计</w:t>
            </w:r>
            <w:r>
              <w:rPr>
                <w:rFonts w:hint="eastAsia" w:cs="Times New Roman"/>
                <w:color w:val="FF0000"/>
                <w:spacing w:val="-1"/>
                <w:sz w:val="24"/>
                <w:lang w:val="en-US" w:eastAsia="zh-CN"/>
              </w:rPr>
              <w:t>2178.858</w:t>
            </w:r>
            <w:r>
              <w:rPr>
                <w:rFonts w:hint="default" w:ascii="Times New Roman" w:hAnsi="Times New Roman" w:cs="Times New Roman"/>
                <w:color w:val="FF0000"/>
                <w:sz w:val="24"/>
              </w:rPr>
              <w:t>t/a</w:t>
            </w:r>
            <w:r>
              <w:rPr>
                <w:rFonts w:hint="eastAsia" w:cs="Times New Roman"/>
                <w:color w:val="FF0000"/>
                <w:sz w:val="24"/>
                <w:lang w:eastAsia="zh-CN"/>
              </w:rPr>
              <w:t>，</w:t>
            </w:r>
            <w:r>
              <w:rPr>
                <w:rFonts w:hint="eastAsia" w:cs="Times New Roman"/>
                <w:color w:val="FF0000"/>
                <w:sz w:val="24"/>
                <w:lang w:val="en-US" w:eastAsia="zh-CN"/>
              </w:rPr>
              <w:t>除去废活性炭、油泥及沉渣及沉渣、铅酸蓄电池不需贮存，其余需贮存危废合计655.4</w:t>
            </w:r>
            <w:r>
              <w:rPr>
                <w:rFonts w:hint="default" w:ascii="Times New Roman" w:hAnsi="Times New Roman" w:cs="Times New Roman"/>
                <w:color w:val="FF0000"/>
                <w:sz w:val="24"/>
              </w:rPr>
              <w:t>t/a，</w:t>
            </w:r>
            <w:r>
              <w:rPr>
                <w:rFonts w:hint="eastAsia" w:cs="Times New Roman"/>
                <w:color w:val="FF0000"/>
                <w:sz w:val="24"/>
                <w:lang w:val="en-US" w:eastAsia="zh-CN"/>
              </w:rPr>
              <w:t>即每天</w:t>
            </w:r>
            <w:r>
              <w:rPr>
                <w:rFonts w:hint="default" w:ascii="Times New Roman" w:hAnsi="Times New Roman" w:cs="Times New Roman"/>
                <w:color w:val="FF0000"/>
                <w:sz w:val="24"/>
              </w:rPr>
              <w:t>贮存量为</w:t>
            </w:r>
            <w:r>
              <w:rPr>
                <w:rFonts w:hint="eastAsia" w:cs="Times New Roman"/>
                <w:color w:val="FF0000"/>
                <w:sz w:val="24"/>
                <w:lang w:val="en-US" w:eastAsia="zh-CN"/>
              </w:rPr>
              <w:t>2.18</w:t>
            </w:r>
            <w:r>
              <w:rPr>
                <w:rFonts w:hint="default" w:ascii="Times New Roman" w:hAnsi="Times New Roman" w:cs="Times New Roman"/>
                <w:color w:val="FF0000"/>
                <w:sz w:val="24"/>
              </w:rPr>
              <w:t>吨，设计的</w:t>
            </w:r>
            <w:r>
              <w:rPr>
                <w:rFonts w:hint="eastAsia" w:cs="Times New Roman"/>
                <w:color w:val="FF0000"/>
                <w:sz w:val="24"/>
                <w:lang w:val="en-US" w:eastAsia="zh-CN"/>
              </w:rPr>
              <w:t>4座</w:t>
            </w:r>
            <w:r>
              <w:rPr>
                <w:rFonts w:hint="default" w:ascii="Times New Roman" w:hAnsi="Times New Roman" w:cs="Times New Roman"/>
                <w:color w:val="FF0000"/>
                <w:sz w:val="24"/>
                <w:lang w:eastAsia="zh-CN"/>
              </w:rPr>
              <w:t>危废贮存点</w:t>
            </w:r>
            <w:r>
              <w:rPr>
                <w:rFonts w:hint="eastAsia" w:cs="Times New Roman"/>
                <w:color w:val="FF0000"/>
                <w:sz w:val="24"/>
                <w:lang w:eastAsia="zh-CN"/>
              </w:rPr>
              <w:t>，</w:t>
            </w:r>
            <w:r>
              <w:rPr>
                <w:rFonts w:hint="eastAsia" w:cs="Times New Roman"/>
                <w:color w:val="FF0000"/>
                <w:sz w:val="24"/>
                <w:lang w:val="en-US" w:eastAsia="zh-CN"/>
              </w:rPr>
              <w:t>周转天数在9天之内即</w:t>
            </w:r>
            <w:r>
              <w:rPr>
                <w:rFonts w:hint="default" w:ascii="Times New Roman" w:hAnsi="Times New Roman" w:cs="Times New Roman"/>
                <w:color w:val="FF0000"/>
                <w:sz w:val="24"/>
              </w:rPr>
              <w:t>能够满足危废贮存需求。</w:t>
            </w:r>
          </w:p>
          <w:p w14:paraId="5C5F8236">
            <w:pPr>
              <w:tabs>
                <w:tab w:val="left" w:pos="4665"/>
                <w:tab w:val="left" w:pos="8970"/>
              </w:tabs>
              <w:spacing w:line="360" w:lineRule="auto"/>
              <w:ind w:firstLine="480" w:firstLineChars="200"/>
              <w:rPr>
                <w:rFonts w:hint="default" w:ascii="Times New Roman" w:hAnsi="Times New Roman" w:cs="Times New Roman"/>
                <w:color w:val="FF0000"/>
                <w:sz w:val="24"/>
              </w:rPr>
            </w:pPr>
            <w:r>
              <w:rPr>
                <w:rFonts w:hint="eastAsia" w:ascii="Times New Roman" w:hAnsi="Times New Roman" w:cs="Times New Roman"/>
                <w:color w:val="FF0000"/>
                <w:sz w:val="24"/>
                <w:lang w:val="en-US" w:eastAsia="zh-CN"/>
              </w:rPr>
              <w:t>本项目铅酸蓄电池拆解区附近设置铅酸蓄电池贮存间，面积200</w:t>
            </w:r>
            <w:r>
              <w:rPr>
                <w:rFonts w:hint="default" w:ascii="Times New Roman" w:hAnsi="Times New Roman" w:cs="Times New Roman"/>
                <w:color w:val="FF0000"/>
                <w:sz w:val="24"/>
              </w:rPr>
              <w:t>m</w:t>
            </w:r>
            <w:r>
              <w:rPr>
                <w:rFonts w:hint="default" w:ascii="Times New Roman" w:hAnsi="Times New Roman" w:cs="Times New Roman"/>
                <w:color w:val="FF0000"/>
                <w:sz w:val="24"/>
                <w:vertAlign w:val="superscript"/>
              </w:rPr>
              <w:t>2</w:t>
            </w:r>
            <w:r>
              <w:rPr>
                <w:rFonts w:hint="eastAsia" w:ascii="Times New Roman" w:hAnsi="Times New Roman" w:cs="Times New Roman"/>
                <w:color w:val="FF0000"/>
                <w:sz w:val="24"/>
                <w:lang w:val="en-US" w:eastAsia="zh-CN"/>
              </w:rPr>
              <w:t>，</w:t>
            </w:r>
            <w:r>
              <w:rPr>
                <w:rFonts w:hint="default" w:ascii="Times New Roman" w:hAnsi="Times New Roman" w:cs="Times New Roman"/>
                <w:color w:val="FF0000"/>
                <w:sz w:val="24"/>
              </w:rPr>
              <w:t>设计贮存量为</w:t>
            </w:r>
            <w:r>
              <w:rPr>
                <w:rFonts w:hint="eastAsia" w:ascii="Times New Roman" w:hAnsi="Times New Roman" w:cs="Times New Roman"/>
                <w:color w:val="FF0000"/>
                <w:sz w:val="24"/>
                <w:lang w:val="en-US" w:eastAsia="zh-CN"/>
              </w:rPr>
              <w:t>20</w:t>
            </w:r>
            <w:r>
              <w:rPr>
                <w:rFonts w:hint="eastAsia" w:cs="Times New Roman"/>
                <w:color w:val="FF0000"/>
                <w:sz w:val="24"/>
                <w:lang w:val="en-US" w:eastAsia="zh-CN"/>
              </w:rPr>
              <w:t>0</w:t>
            </w:r>
            <w:r>
              <w:rPr>
                <w:rFonts w:hint="default" w:ascii="Times New Roman" w:hAnsi="Times New Roman" w:cs="Times New Roman"/>
                <w:color w:val="FF0000"/>
                <w:sz w:val="24"/>
              </w:rPr>
              <w:t>吨</w:t>
            </w:r>
            <w:r>
              <w:rPr>
                <w:rFonts w:hint="eastAsia" w:ascii="Times New Roman" w:hAnsi="Times New Roman" w:cs="Times New Roman"/>
                <w:color w:val="FF0000"/>
                <w:sz w:val="24"/>
                <w:lang w:eastAsia="zh-CN"/>
              </w:rPr>
              <w:t>，</w:t>
            </w:r>
            <w:r>
              <w:rPr>
                <w:rFonts w:hint="eastAsia" w:ascii="Times New Roman" w:hAnsi="Times New Roman" w:cs="Times New Roman"/>
                <w:color w:val="FF0000"/>
                <w:sz w:val="24"/>
                <w:lang w:val="en-US" w:eastAsia="zh-CN"/>
              </w:rPr>
              <w:t>内设</w:t>
            </w:r>
            <w:r>
              <w:rPr>
                <w:rFonts w:hint="eastAsia" w:ascii="Times New Roman" w:hAnsi="Times New Roman" w:cs="Times New Roman"/>
                <w:color w:val="FF0000"/>
                <w:sz w:val="24"/>
                <w:lang w:eastAsia="zh-CN"/>
              </w:rPr>
              <w:t>耐酸货架，间距≥5m。安全设施：设防爆电器。标识管理：电池编码溯源，张贴GB 18597危险废物标识；</w:t>
            </w:r>
            <w:r>
              <w:rPr>
                <w:rFonts w:hint="eastAsia" w:ascii="Times New Roman" w:hAnsi="Times New Roman" w:cs="Times New Roman"/>
                <w:color w:val="FF0000"/>
                <w:sz w:val="24"/>
                <w:lang w:val="en-US" w:eastAsia="zh-CN"/>
              </w:rPr>
              <w:t>破损铅酸蓄电池使用密闭耐酸容器收集后与其他电池分区贮存，</w:t>
            </w:r>
            <w:r>
              <w:rPr>
                <w:rFonts w:hint="default" w:ascii="Times New Roman" w:hAnsi="Times New Roman" w:cs="Times New Roman"/>
                <w:color w:val="FF0000"/>
                <w:sz w:val="24"/>
              </w:rPr>
              <w:t>防渗防腐防酸：地面应采用耐酸、防腐材料（如环氧树脂+玻璃钢），并做硬化处理（混凝土强度≥C30，厚度≥200mm）。液体导流与收集：设置防渗漏的导流沟和收集池（耐酸材质），收集泄漏电解液。收集池容积需覆盖最大单只电池电解液容量。防液体积聚：地面坡度设计，确保液体流向收集沟。本项目全厂</w:t>
            </w:r>
            <w:r>
              <w:rPr>
                <w:rFonts w:hint="eastAsia" w:ascii="Times New Roman" w:hAnsi="Times New Roman" w:cs="Times New Roman"/>
                <w:color w:val="FF0000"/>
                <w:sz w:val="24"/>
                <w:lang w:val="en-US" w:eastAsia="zh-CN"/>
              </w:rPr>
              <w:t>铅酸蓄电池</w:t>
            </w:r>
            <w:r>
              <w:rPr>
                <w:rFonts w:hint="default" w:ascii="Times New Roman" w:hAnsi="Times New Roman" w:cs="Times New Roman"/>
                <w:color w:val="FF0000"/>
                <w:sz w:val="24"/>
              </w:rPr>
              <w:t>产生量合计</w:t>
            </w:r>
            <w:r>
              <w:rPr>
                <w:rFonts w:hint="eastAsia" w:cs="Times New Roman"/>
                <w:color w:val="FF0000"/>
                <w:spacing w:val="-1"/>
                <w:sz w:val="24"/>
                <w:lang w:val="en-US" w:eastAsia="zh-CN"/>
              </w:rPr>
              <w:t>1518.18</w:t>
            </w:r>
            <w:r>
              <w:rPr>
                <w:rFonts w:hint="default" w:ascii="Times New Roman" w:hAnsi="Times New Roman" w:cs="Times New Roman"/>
                <w:color w:val="FF0000"/>
                <w:sz w:val="24"/>
              </w:rPr>
              <w:t>t/a，</w:t>
            </w:r>
            <w:r>
              <w:rPr>
                <w:rFonts w:hint="eastAsia" w:cs="Times New Roman"/>
                <w:color w:val="FF0000"/>
                <w:sz w:val="24"/>
                <w:lang w:val="en-US" w:eastAsia="zh-CN"/>
              </w:rPr>
              <w:t>即每天</w:t>
            </w:r>
            <w:r>
              <w:rPr>
                <w:rFonts w:hint="default" w:ascii="Times New Roman" w:hAnsi="Times New Roman" w:cs="Times New Roman"/>
                <w:color w:val="FF0000"/>
                <w:sz w:val="24"/>
              </w:rPr>
              <w:t>贮存量为</w:t>
            </w:r>
            <w:r>
              <w:rPr>
                <w:rFonts w:hint="eastAsia" w:cs="Times New Roman"/>
                <w:color w:val="FF0000"/>
                <w:sz w:val="24"/>
                <w:lang w:val="en-US" w:eastAsia="zh-CN"/>
              </w:rPr>
              <w:t>5.06</w:t>
            </w:r>
            <w:r>
              <w:rPr>
                <w:rFonts w:hint="default" w:ascii="Times New Roman" w:hAnsi="Times New Roman" w:cs="Times New Roman"/>
                <w:color w:val="FF0000"/>
                <w:sz w:val="24"/>
              </w:rPr>
              <w:t>吨</w:t>
            </w:r>
            <w:r>
              <w:rPr>
                <w:rFonts w:hint="eastAsia" w:cs="Times New Roman"/>
                <w:color w:val="FF0000"/>
                <w:sz w:val="24"/>
                <w:lang w:eastAsia="zh-CN"/>
              </w:rPr>
              <w:t>，</w:t>
            </w:r>
            <w:r>
              <w:rPr>
                <w:rFonts w:hint="eastAsia" w:cs="Times New Roman"/>
                <w:color w:val="FF0000"/>
                <w:sz w:val="24"/>
                <w:lang w:val="en-US" w:eastAsia="zh-CN"/>
              </w:rPr>
              <w:t>本项目动力电池周转天数为30天</w:t>
            </w:r>
            <w:r>
              <w:rPr>
                <w:rFonts w:hint="eastAsia" w:ascii="Times New Roman" w:hAnsi="Times New Roman" w:cs="Times New Roman"/>
                <w:color w:val="FF0000"/>
                <w:sz w:val="24"/>
                <w:lang w:val="en-US" w:eastAsia="zh-CN"/>
              </w:rPr>
              <w:t>铅酸蓄电池贮存间</w:t>
            </w:r>
            <w:r>
              <w:rPr>
                <w:rFonts w:hint="eastAsia" w:cs="Times New Roman"/>
                <w:color w:val="FF0000"/>
                <w:sz w:val="24"/>
                <w:lang w:val="en-US" w:eastAsia="zh-CN"/>
              </w:rPr>
              <w:t>，</w:t>
            </w:r>
            <w:r>
              <w:rPr>
                <w:rFonts w:hint="default" w:ascii="Times New Roman" w:hAnsi="Times New Roman" w:cs="Times New Roman"/>
                <w:color w:val="FF0000"/>
                <w:sz w:val="24"/>
              </w:rPr>
              <w:t>能够满足危废贮存需求。</w:t>
            </w:r>
          </w:p>
          <w:p w14:paraId="12DBCB4D">
            <w:pPr>
              <w:tabs>
                <w:tab w:val="left" w:pos="4665"/>
                <w:tab w:val="left" w:pos="8970"/>
              </w:tabs>
              <w:spacing w:line="360" w:lineRule="auto"/>
              <w:ind w:firstLine="480" w:firstLineChars="200"/>
              <w:rPr>
                <w:rFonts w:hint="default" w:ascii="Times New Roman" w:hAnsi="Times New Roman" w:cs="Times New Roman"/>
                <w:color w:val="FF0000"/>
                <w:sz w:val="24"/>
              </w:rPr>
            </w:pPr>
            <w:r>
              <w:rPr>
                <w:rFonts w:hint="default" w:ascii="Times New Roman" w:hAnsi="Times New Roman" w:cs="Times New Roman"/>
                <w:color w:val="FF0000"/>
                <w:sz w:val="24"/>
              </w:rPr>
              <w:t>项目</w:t>
            </w:r>
            <w:r>
              <w:rPr>
                <w:rFonts w:hint="default" w:ascii="Times New Roman" w:hAnsi="Times New Roman" w:cs="Times New Roman"/>
                <w:color w:val="FF0000"/>
                <w:sz w:val="24"/>
                <w:lang w:eastAsia="zh-CN"/>
              </w:rPr>
              <w:t>危废贮存点</w:t>
            </w:r>
            <w:r>
              <w:rPr>
                <w:rFonts w:hint="default" w:ascii="Times New Roman" w:hAnsi="Times New Roman" w:cs="Times New Roman"/>
                <w:color w:val="FF0000"/>
                <w:sz w:val="24"/>
              </w:rPr>
              <w:t>设置情况见下表。</w:t>
            </w:r>
          </w:p>
          <w:p w14:paraId="15130FC8">
            <w:pPr>
              <w:jc w:val="center"/>
              <w:rPr>
                <w:rFonts w:hint="default" w:ascii="Times New Roman" w:hAnsi="Times New Roman" w:cs="Times New Roman"/>
                <w:b/>
                <w:bCs/>
                <w:color w:val="FF0000"/>
              </w:rPr>
            </w:pPr>
            <w:r>
              <w:rPr>
                <w:rFonts w:hint="default" w:ascii="Times New Roman" w:hAnsi="Times New Roman" w:cs="Times New Roman"/>
                <w:b/>
                <w:bCs/>
                <w:color w:val="FF0000"/>
              </w:rPr>
              <w:t>表4-3</w:t>
            </w:r>
            <w:r>
              <w:rPr>
                <w:rFonts w:hint="eastAsia" w:cs="Times New Roman"/>
                <w:b/>
                <w:bCs/>
                <w:color w:val="FF0000"/>
                <w:lang w:val="en-US" w:eastAsia="zh-CN"/>
              </w:rPr>
              <w:t>7</w:t>
            </w:r>
            <w:r>
              <w:rPr>
                <w:rFonts w:hint="default" w:ascii="Times New Roman" w:hAnsi="Times New Roman" w:cs="Times New Roman"/>
                <w:b/>
                <w:bCs/>
                <w:color w:val="FF0000"/>
              </w:rPr>
              <w:t xml:space="preserve">   危险废物贮存场所(设施)基本情况表</w:t>
            </w:r>
          </w:p>
          <w:tbl>
            <w:tblPr>
              <w:tblStyle w:val="35"/>
              <w:tblW w:w="4997" w:type="pct"/>
              <w:jc w:val="center"/>
              <w:tblBorders>
                <w:top w:val="double" w:color="auto" w:sz="4" w:space="0"/>
                <w:left w:val="none" w:color="auto" w:sz="0" w:space="0"/>
                <w:bottom w:val="double" w:color="auto" w:sz="4" w:space="0"/>
                <w:right w:val="none" w:color="auto" w:sz="0" w:space="0"/>
                <w:insideH w:val="single" w:color="auto" w:sz="2" w:space="0"/>
                <w:insideV w:val="single" w:color="auto" w:sz="2" w:space="0"/>
              </w:tblBorders>
              <w:tblLayout w:type="fixed"/>
              <w:tblCellMar>
                <w:top w:w="0" w:type="dxa"/>
                <w:left w:w="108" w:type="dxa"/>
                <w:bottom w:w="0" w:type="dxa"/>
                <w:right w:w="108" w:type="dxa"/>
              </w:tblCellMar>
            </w:tblPr>
            <w:tblGrid>
              <w:gridCol w:w="1091"/>
              <w:gridCol w:w="2603"/>
              <w:gridCol w:w="1309"/>
              <w:gridCol w:w="880"/>
              <w:gridCol w:w="924"/>
              <w:gridCol w:w="809"/>
              <w:gridCol w:w="853"/>
            </w:tblGrid>
            <w:tr w14:paraId="729728BC">
              <w:tblPrEx>
                <w:tblBorders>
                  <w:top w:val="double" w:color="auto" w:sz="4" w:space="0"/>
                  <w:left w:val="none" w:color="auto" w:sz="0" w:space="0"/>
                  <w:bottom w:val="double" w:color="auto" w:sz="4" w:space="0"/>
                  <w:right w:val="none" w:color="auto" w:sz="0" w:space="0"/>
                  <w:insideH w:val="single" w:color="auto" w:sz="2" w:space="0"/>
                  <w:insideV w:val="single" w:color="auto" w:sz="2" w:space="0"/>
                </w:tblBorders>
                <w:tblCellMar>
                  <w:top w:w="0" w:type="dxa"/>
                  <w:left w:w="108" w:type="dxa"/>
                  <w:bottom w:w="0" w:type="dxa"/>
                  <w:right w:w="108" w:type="dxa"/>
                </w:tblCellMar>
              </w:tblPrEx>
              <w:trPr>
                <w:jc w:val="center"/>
              </w:trPr>
              <w:tc>
                <w:tcPr>
                  <w:tcW w:w="644" w:type="pct"/>
                  <w:tcBorders>
                    <w:tl2br w:val="nil"/>
                    <w:tr2bl w:val="nil"/>
                  </w:tcBorders>
                  <w:vAlign w:val="center"/>
                </w:tcPr>
                <w:p w14:paraId="17513816">
                  <w:pPr>
                    <w:widowControl/>
                    <w:jc w:val="center"/>
                    <w:rPr>
                      <w:rFonts w:hint="default" w:ascii="Times New Roman" w:hAnsi="Times New Roman" w:cs="Times New Roman"/>
                      <w:color w:val="FF0000"/>
                      <w:szCs w:val="21"/>
                    </w:rPr>
                  </w:pPr>
                  <w:r>
                    <w:rPr>
                      <w:rFonts w:hint="default" w:ascii="Times New Roman" w:hAnsi="Times New Roman" w:cs="Times New Roman"/>
                      <w:color w:val="FF0000"/>
                      <w:kern w:val="0"/>
                      <w:szCs w:val="21"/>
                      <w:lang w:bidi="ar"/>
                    </w:rPr>
                    <w:t>贮存设施名称</w:t>
                  </w:r>
                </w:p>
              </w:tc>
              <w:tc>
                <w:tcPr>
                  <w:tcW w:w="1536" w:type="pct"/>
                  <w:tcBorders>
                    <w:tl2br w:val="nil"/>
                    <w:tr2bl w:val="nil"/>
                  </w:tcBorders>
                  <w:vAlign w:val="center"/>
                </w:tcPr>
                <w:p w14:paraId="21E161F6">
                  <w:pPr>
                    <w:widowControl/>
                    <w:jc w:val="center"/>
                    <w:rPr>
                      <w:rFonts w:hint="default" w:ascii="Times New Roman" w:hAnsi="Times New Roman" w:cs="Times New Roman"/>
                      <w:color w:val="FF0000"/>
                      <w:szCs w:val="21"/>
                    </w:rPr>
                  </w:pPr>
                  <w:r>
                    <w:rPr>
                      <w:rFonts w:hint="default" w:ascii="Times New Roman" w:hAnsi="Times New Roman" w:cs="Times New Roman"/>
                      <w:color w:val="FF0000"/>
                      <w:kern w:val="0"/>
                      <w:szCs w:val="21"/>
                      <w:lang w:bidi="ar"/>
                    </w:rPr>
                    <w:t>危险废物名称</w:t>
                  </w:r>
                </w:p>
              </w:tc>
              <w:tc>
                <w:tcPr>
                  <w:tcW w:w="772" w:type="pct"/>
                  <w:tcBorders>
                    <w:tl2br w:val="nil"/>
                    <w:tr2bl w:val="nil"/>
                  </w:tcBorders>
                  <w:vAlign w:val="center"/>
                </w:tcPr>
                <w:p w14:paraId="5E77D629">
                  <w:pPr>
                    <w:widowControl/>
                    <w:jc w:val="center"/>
                    <w:rPr>
                      <w:rFonts w:hint="default" w:ascii="Times New Roman" w:hAnsi="Times New Roman" w:cs="Times New Roman"/>
                      <w:color w:val="FF0000"/>
                      <w:szCs w:val="21"/>
                    </w:rPr>
                  </w:pPr>
                  <w:r>
                    <w:rPr>
                      <w:rFonts w:hint="default" w:ascii="Times New Roman" w:hAnsi="Times New Roman" w:cs="Times New Roman"/>
                      <w:color w:val="FF0000"/>
                      <w:kern w:val="0"/>
                      <w:szCs w:val="21"/>
                      <w:lang w:bidi="ar"/>
                    </w:rPr>
                    <w:t>位置</w:t>
                  </w:r>
                </w:p>
              </w:tc>
              <w:tc>
                <w:tcPr>
                  <w:tcW w:w="519" w:type="pct"/>
                  <w:tcBorders>
                    <w:tl2br w:val="nil"/>
                    <w:tr2bl w:val="nil"/>
                  </w:tcBorders>
                  <w:vAlign w:val="center"/>
                </w:tcPr>
                <w:p w14:paraId="365FBAC9">
                  <w:pPr>
                    <w:widowControl/>
                    <w:jc w:val="center"/>
                    <w:rPr>
                      <w:rFonts w:hint="default" w:ascii="Times New Roman" w:hAnsi="Times New Roman" w:cs="Times New Roman"/>
                      <w:color w:val="FF0000"/>
                      <w:szCs w:val="21"/>
                    </w:rPr>
                  </w:pPr>
                  <w:r>
                    <w:rPr>
                      <w:rFonts w:hint="default" w:ascii="Times New Roman" w:hAnsi="Times New Roman" w:cs="Times New Roman"/>
                      <w:color w:val="FF0000"/>
                      <w:szCs w:val="21"/>
                    </w:rPr>
                    <w:t>占地面积</w:t>
                  </w:r>
                </w:p>
              </w:tc>
              <w:tc>
                <w:tcPr>
                  <w:tcW w:w="545" w:type="pct"/>
                  <w:tcBorders>
                    <w:tl2br w:val="nil"/>
                    <w:tr2bl w:val="nil"/>
                  </w:tcBorders>
                  <w:vAlign w:val="center"/>
                </w:tcPr>
                <w:p w14:paraId="118D8D56">
                  <w:pPr>
                    <w:widowControl/>
                    <w:jc w:val="center"/>
                    <w:rPr>
                      <w:rFonts w:hint="default" w:ascii="Times New Roman" w:hAnsi="Times New Roman" w:cs="Times New Roman"/>
                      <w:color w:val="FF0000"/>
                      <w:szCs w:val="21"/>
                    </w:rPr>
                  </w:pPr>
                  <w:r>
                    <w:rPr>
                      <w:rFonts w:hint="default" w:ascii="Times New Roman" w:hAnsi="Times New Roman" w:cs="Times New Roman"/>
                      <w:color w:val="FF0000"/>
                      <w:szCs w:val="21"/>
                    </w:rPr>
                    <w:t>贮存方式</w:t>
                  </w:r>
                </w:p>
              </w:tc>
              <w:tc>
                <w:tcPr>
                  <w:tcW w:w="477" w:type="pct"/>
                  <w:tcBorders>
                    <w:tl2br w:val="nil"/>
                    <w:tr2bl w:val="nil"/>
                  </w:tcBorders>
                  <w:vAlign w:val="center"/>
                </w:tcPr>
                <w:p w14:paraId="7E73C753">
                  <w:pPr>
                    <w:widowControl/>
                    <w:jc w:val="center"/>
                    <w:rPr>
                      <w:rFonts w:hint="default" w:ascii="Times New Roman" w:hAnsi="Times New Roman" w:cs="Times New Roman"/>
                      <w:color w:val="FF0000"/>
                      <w:szCs w:val="21"/>
                    </w:rPr>
                  </w:pPr>
                  <w:r>
                    <w:rPr>
                      <w:rFonts w:hint="default" w:ascii="Times New Roman" w:hAnsi="Times New Roman" w:cs="Times New Roman"/>
                      <w:color w:val="FF0000"/>
                      <w:szCs w:val="21"/>
                    </w:rPr>
                    <w:t>贮存能力</w:t>
                  </w:r>
                </w:p>
              </w:tc>
              <w:tc>
                <w:tcPr>
                  <w:tcW w:w="503" w:type="pct"/>
                  <w:tcBorders>
                    <w:tl2br w:val="nil"/>
                    <w:tr2bl w:val="nil"/>
                  </w:tcBorders>
                  <w:vAlign w:val="center"/>
                </w:tcPr>
                <w:p w14:paraId="3AB2A600">
                  <w:pPr>
                    <w:widowControl/>
                    <w:jc w:val="center"/>
                    <w:rPr>
                      <w:rFonts w:hint="default" w:ascii="Times New Roman" w:hAnsi="Times New Roman" w:cs="Times New Roman"/>
                      <w:color w:val="FF0000"/>
                      <w:szCs w:val="21"/>
                    </w:rPr>
                  </w:pPr>
                  <w:r>
                    <w:rPr>
                      <w:rFonts w:hint="default" w:ascii="Times New Roman" w:hAnsi="Times New Roman" w:cs="Times New Roman"/>
                      <w:color w:val="FF0000"/>
                      <w:szCs w:val="21"/>
                    </w:rPr>
                    <w:t>贮存周期</w:t>
                  </w:r>
                </w:p>
              </w:tc>
            </w:tr>
            <w:tr w14:paraId="133D2F43">
              <w:tblPrEx>
                <w:tblBorders>
                  <w:top w:val="double" w:color="auto" w:sz="4" w:space="0"/>
                  <w:left w:val="none" w:color="auto" w:sz="0" w:space="0"/>
                  <w:bottom w:val="double" w:color="auto" w:sz="4"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423" w:hRule="atLeast"/>
                <w:jc w:val="center"/>
              </w:trPr>
              <w:tc>
                <w:tcPr>
                  <w:tcW w:w="644" w:type="pct"/>
                  <w:tcBorders>
                    <w:tl2br w:val="nil"/>
                    <w:tr2bl w:val="nil"/>
                  </w:tcBorders>
                  <w:vAlign w:val="center"/>
                </w:tcPr>
                <w:p w14:paraId="2C02B33A">
                  <w:pPr>
                    <w:jc w:val="center"/>
                    <w:rPr>
                      <w:rFonts w:hint="default" w:ascii="Times New Roman" w:hAnsi="Times New Roman" w:eastAsia="宋体" w:cs="Times New Roman"/>
                      <w:color w:val="FF0000"/>
                      <w:szCs w:val="21"/>
                      <w:lang w:val="en-US" w:eastAsia="zh-CN"/>
                    </w:rPr>
                  </w:pPr>
                  <w:r>
                    <w:rPr>
                      <w:rFonts w:hint="eastAsia" w:cs="Times New Roman"/>
                      <w:color w:val="FF0000"/>
                      <w:kern w:val="0"/>
                      <w:szCs w:val="21"/>
                      <w:lang w:val="en-US" w:eastAsia="zh-CN" w:bidi="ar"/>
                    </w:rPr>
                    <w:t>铅酸蓄电池贮存间</w:t>
                  </w:r>
                </w:p>
              </w:tc>
              <w:tc>
                <w:tcPr>
                  <w:tcW w:w="1536" w:type="pct"/>
                  <w:tcBorders>
                    <w:tl2br w:val="nil"/>
                    <w:tr2bl w:val="nil"/>
                  </w:tcBorders>
                  <w:shd w:val="clear" w:color="auto" w:fill="auto"/>
                  <w:vAlign w:val="center"/>
                </w:tcPr>
                <w:p w14:paraId="7EA28684">
                  <w:pPr>
                    <w:jc w:val="center"/>
                    <w:rPr>
                      <w:rFonts w:hint="default" w:cs="Times New Roman"/>
                      <w:color w:val="FF0000"/>
                      <w:kern w:val="0"/>
                      <w:szCs w:val="21"/>
                      <w:lang w:val="en-US" w:eastAsia="zh-CN" w:bidi="ar"/>
                    </w:rPr>
                  </w:pPr>
                  <w:r>
                    <w:rPr>
                      <w:rFonts w:hint="default" w:cs="Times New Roman"/>
                      <w:color w:val="FF0000"/>
                      <w:kern w:val="0"/>
                      <w:szCs w:val="21"/>
                      <w:lang w:val="en-US" w:eastAsia="zh-CN" w:bidi="ar"/>
                    </w:rPr>
                    <w:t>铅酸蓄电池</w:t>
                  </w:r>
                </w:p>
              </w:tc>
              <w:tc>
                <w:tcPr>
                  <w:tcW w:w="772" w:type="pct"/>
                  <w:tcBorders>
                    <w:tl2br w:val="nil"/>
                    <w:tr2bl w:val="nil"/>
                  </w:tcBorders>
                  <w:vAlign w:val="center"/>
                </w:tcPr>
                <w:p w14:paraId="3C0F7CF9">
                  <w:pPr>
                    <w:jc w:val="center"/>
                    <w:rPr>
                      <w:rFonts w:hint="default" w:ascii="Times New Roman" w:hAnsi="Times New Roman" w:cs="Times New Roman"/>
                      <w:color w:val="FF0000"/>
                      <w:szCs w:val="21"/>
                      <w:lang w:val="en-US"/>
                    </w:rPr>
                  </w:pPr>
                  <w:r>
                    <w:rPr>
                      <w:rFonts w:hint="eastAsia" w:cs="Times New Roman"/>
                      <w:color w:val="FF0000"/>
                      <w:kern w:val="0"/>
                      <w:szCs w:val="21"/>
                      <w:lang w:val="en-US" w:eastAsia="zh-CN" w:bidi="ar"/>
                    </w:rPr>
                    <w:t>铅酸蓄电池拆解区附件</w:t>
                  </w:r>
                </w:p>
              </w:tc>
              <w:tc>
                <w:tcPr>
                  <w:tcW w:w="519" w:type="pct"/>
                  <w:tcBorders>
                    <w:tl2br w:val="nil"/>
                    <w:tr2bl w:val="nil"/>
                  </w:tcBorders>
                  <w:vAlign w:val="center"/>
                </w:tcPr>
                <w:p w14:paraId="393A4296">
                  <w:pPr>
                    <w:widowControl/>
                    <w:jc w:val="center"/>
                    <w:rPr>
                      <w:rFonts w:hint="default" w:ascii="Times New Roman" w:hAnsi="Times New Roman" w:cs="Times New Roman"/>
                      <w:color w:val="FF0000"/>
                      <w:szCs w:val="21"/>
                    </w:rPr>
                  </w:pPr>
                  <w:r>
                    <w:rPr>
                      <w:rFonts w:hint="eastAsia" w:cs="Times New Roman"/>
                      <w:color w:val="FF0000"/>
                      <w:szCs w:val="21"/>
                      <w:lang w:val="en-US" w:eastAsia="zh-CN"/>
                    </w:rPr>
                    <w:t>2</w:t>
                  </w:r>
                  <w:r>
                    <w:rPr>
                      <w:rFonts w:hint="default" w:ascii="Times New Roman" w:hAnsi="Times New Roman" w:cs="Times New Roman"/>
                      <w:color w:val="FF0000"/>
                      <w:szCs w:val="21"/>
                    </w:rPr>
                    <w:t>00m</w:t>
                  </w:r>
                  <w:r>
                    <w:rPr>
                      <w:rFonts w:hint="default" w:ascii="Times New Roman" w:hAnsi="Times New Roman" w:cs="Times New Roman"/>
                      <w:color w:val="FF0000"/>
                      <w:szCs w:val="21"/>
                      <w:vertAlign w:val="superscript"/>
                    </w:rPr>
                    <w:t>2</w:t>
                  </w:r>
                </w:p>
              </w:tc>
              <w:tc>
                <w:tcPr>
                  <w:tcW w:w="545" w:type="pct"/>
                  <w:tcBorders>
                    <w:tl2br w:val="nil"/>
                    <w:tr2bl w:val="nil"/>
                  </w:tcBorders>
                  <w:vAlign w:val="center"/>
                </w:tcPr>
                <w:p w14:paraId="0B193E13">
                  <w:pPr>
                    <w:widowControl/>
                    <w:jc w:val="center"/>
                    <w:rPr>
                      <w:rFonts w:hint="default" w:ascii="Times New Roman" w:hAnsi="Times New Roman" w:cs="Times New Roman"/>
                      <w:color w:val="FF0000"/>
                      <w:szCs w:val="21"/>
                    </w:rPr>
                  </w:pPr>
                  <w:r>
                    <w:rPr>
                      <w:rFonts w:hint="default" w:ascii="Times New Roman" w:hAnsi="Times New Roman" w:cs="Times New Roman"/>
                      <w:color w:val="FF0000"/>
                      <w:szCs w:val="21"/>
                    </w:rPr>
                    <w:t>分类分区暂存</w:t>
                  </w:r>
                </w:p>
              </w:tc>
              <w:tc>
                <w:tcPr>
                  <w:tcW w:w="477" w:type="pct"/>
                  <w:tcBorders>
                    <w:tl2br w:val="nil"/>
                    <w:tr2bl w:val="nil"/>
                  </w:tcBorders>
                  <w:vAlign w:val="center"/>
                </w:tcPr>
                <w:p w14:paraId="626F209D">
                  <w:pPr>
                    <w:jc w:val="center"/>
                    <w:rPr>
                      <w:rFonts w:hint="default" w:ascii="Times New Roman" w:hAnsi="Times New Roman" w:cs="Times New Roman"/>
                      <w:color w:val="FF0000"/>
                      <w:szCs w:val="21"/>
                    </w:rPr>
                  </w:pPr>
                  <w:r>
                    <w:rPr>
                      <w:rFonts w:hint="eastAsia" w:cs="Times New Roman"/>
                      <w:color w:val="FF0000"/>
                      <w:szCs w:val="21"/>
                      <w:lang w:val="en-US" w:eastAsia="zh-CN"/>
                    </w:rPr>
                    <w:t>2</w:t>
                  </w:r>
                  <w:r>
                    <w:rPr>
                      <w:rFonts w:hint="default" w:ascii="Times New Roman" w:hAnsi="Times New Roman" w:cs="Times New Roman"/>
                      <w:color w:val="FF0000"/>
                      <w:szCs w:val="21"/>
                    </w:rPr>
                    <w:t>00t</w:t>
                  </w:r>
                </w:p>
              </w:tc>
              <w:tc>
                <w:tcPr>
                  <w:tcW w:w="503" w:type="pct"/>
                  <w:tcBorders>
                    <w:tl2br w:val="nil"/>
                    <w:tr2bl w:val="nil"/>
                  </w:tcBorders>
                  <w:vAlign w:val="center"/>
                </w:tcPr>
                <w:p w14:paraId="5C430C56">
                  <w:pPr>
                    <w:jc w:val="center"/>
                    <w:rPr>
                      <w:rFonts w:hint="default" w:ascii="Times New Roman" w:hAnsi="Times New Roman" w:cs="Times New Roman"/>
                      <w:color w:val="FF0000"/>
                      <w:szCs w:val="21"/>
                    </w:rPr>
                  </w:pPr>
                  <w:r>
                    <w:rPr>
                      <w:rFonts w:hint="eastAsia" w:cs="Times New Roman"/>
                      <w:color w:val="FF0000"/>
                      <w:szCs w:val="21"/>
                      <w:lang w:val="en-US" w:eastAsia="zh-CN"/>
                    </w:rPr>
                    <w:t>15</w:t>
                  </w:r>
                  <w:r>
                    <w:rPr>
                      <w:rFonts w:hint="default" w:ascii="Times New Roman" w:hAnsi="Times New Roman" w:cs="Times New Roman"/>
                      <w:color w:val="FF0000"/>
                      <w:szCs w:val="21"/>
                    </w:rPr>
                    <w:t>天</w:t>
                  </w:r>
                </w:p>
              </w:tc>
            </w:tr>
            <w:tr w14:paraId="6B4E11B4">
              <w:tblPrEx>
                <w:tblBorders>
                  <w:top w:val="double" w:color="auto" w:sz="4" w:space="0"/>
                  <w:left w:val="none" w:color="auto" w:sz="0" w:space="0"/>
                  <w:bottom w:val="double" w:color="auto" w:sz="4"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90" w:hRule="atLeast"/>
                <w:jc w:val="center"/>
              </w:trPr>
              <w:tc>
                <w:tcPr>
                  <w:tcW w:w="644" w:type="pct"/>
                  <w:tcBorders>
                    <w:tl2br w:val="nil"/>
                    <w:tr2bl w:val="nil"/>
                  </w:tcBorders>
                  <w:vAlign w:val="center"/>
                </w:tcPr>
                <w:p w14:paraId="70772E82">
                  <w:pPr>
                    <w:jc w:val="center"/>
                    <w:rPr>
                      <w:rFonts w:hint="default" w:ascii="Times New Roman" w:hAnsi="Times New Roman" w:eastAsia="宋体" w:cs="Times New Roman"/>
                      <w:color w:val="FF0000"/>
                      <w:kern w:val="0"/>
                      <w:szCs w:val="21"/>
                      <w:lang w:val="en-US" w:eastAsia="zh-CN" w:bidi="ar"/>
                    </w:rPr>
                  </w:pPr>
                  <w:r>
                    <w:rPr>
                      <w:rFonts w:hint="eastAsia" w:cs="Times New Roman"/>
                      <w:color w:val="FF0000"/>
                      <w:kern w:val="0"/>
                      <w:szCs w:val="21"/>
                      <w:lang w:val="en-US" w:eastAsia="zh-CN" w:bidi="ar"/>
                    </w:rPr>
                    <w:t>1#危废贮存点</w:t>
                  </w:r>
                </w:p>
              </w:tc>
              <w:tc>
                <w:tcPr>
                  <w:tcW w:w="1536" w:type="pct"/>
                  <w:tcBorders>
                    <w:tl2br w:val="nil"/>
                    <w:tr2bl w:val="nil"/>
                  </w:tcBorders>
                  <w:shd w:val="clear" w:color="auto" w:fill="auto"/>
                  <w:vAlign w:val="center"/>
                </w:tcPr>
                <w:p w14:paraId="41532099">
                  <w:pPr>
                    <w:jc w:val="center"/>
                    <w:rPr>
                      <w:rFonts w:hint="default" w:cs="Times New Roman"/>
                      <w:color w:val="FF0000"/>
                      <w:kern w:val="0"/>
                      <w:szCs w:val="21"/>
                      <w:lang w:val="en-US" w:eastAsia="zh-CN" w:bidi="ar"/>
                    </w:rPr>
                  </w:pPr>
                  <w:r>
                    <w:rPr>
                      <w:rFonts w:hint="default" w:cs="Times New Roman"/>
                      <w:color w:val="FF0000"/>
                      <w:kern w:val="0"/>
                      <w:szCs w:val="21"/>
                      <w:lang w:val="en-US" w:eastAsia="zh-CN" w:bidi="ar"/>
                    </w:rPr>
                    <w:t>废矿物油</w:t>
                  </w:r>
                  <w:r>
                    <w:rPr>
                      <w:rFonts w:hint="eastAsia" w:cs="Times New Roman"/>
                      <w:color w:val="FF0000"/>
                      <w:kern w:val="0"/>
                      <w:szCs w:val="21"/>
                      <w:lang w:val="en-US" w:eastAsia="zh-CN" w:bidi="ar"/>
                    </w:rPr>
                    <w:t>、</w:t>
                  </w:r>
                  <w:r>
                    <w:rPr>
                      <w:rFonts w:hint="default" w:cs="Times New Roman"/>
                      <w:color w:val="FF0000"/>
                      <w:kern w:val="0"/>
                      <w:szCs w:val="21"/>
                      <w:lang w:val="en-US" w:eastAsia="zh-CN" w:bidi="ar"/>
                    </w:rPr>
                    <w:t>废燃料油</w:t>
                  </w:r>
                  <w:r>
                    <w:rPr>
                      <w:rFonts w:hint="eastAsia" w:cs="Times New Roman"/>
                      <w:color w:val="FF0000"/>
                      <w:kern w:val="0"/>
                      <w:szCs w:val="21"/>
                      <w:lang w:val="en-US" w:eastAsia="zh-CN" w:bidi="ar"/>
                    </w:rPr>
                    <w:t>、</w:t>
                  </w:r>
                  <w:r>
                    <w:rPr>
                      <w:rFonts w:hint="default" w:cs="Times New Roman"/>
                      <w:color w:val="FF0000"/>
                      <w:kern w:val="0"/>
                      <w:szCs w:val="21"/>
                      <w:lang w:val="en-US" w:eastAsia="zh-CN" w:bidi="ar"/>
                    </w:rPr>
                    <w:t>废滤清器和废油箱</w:t>
                  </w:r>
                  <w:r>
                    <w:rPr>
                      <w:rFonts w:hint="eastAsia" w:cs="Times New Roman"/>
                      <w:color w:val="FF0000"/>
                      <w:kern w:val="0"/>
                      <w:szCs w:val="21"/>
                      <w:lang w:val="en-US" w:eastAsia="zh-CN" w:bidi="ar"/>
                    </w:rPr>
                    <w:t xml:space="preserve">、含油抹布 </w:t>
                  </w:r>
                </w:p>
              </w:tc>
              <w:tc>
                <w:tcPr>
                  <w:tcW w:w="772" w:type="pct"/>
                  <w:tcBorders>
                    <w:tl2br w:val="nil"/>
                    <w:tr2bl w:val="nil"/>
                  </w:tcBorders>
                  <w:vAlign w:val="center"/>
                </w:tcPr>
                <w:p w14:paraId="771560DF">
                  <w:pPr>
                    <w:jc w:val="center"/>
                    <w:rPr>
                      <w:rFonts w:hint="default" w:ascii="Times New Roman" w:hAnsi="Times New Roman" w:cs="Times New Roman"/>
                      <w:color w:val="FF0000"/>
                      <w:szCs w:val="21"/>
                      <w:lang w:val="en-US" w:eastAsia="zh-CN"/>
                    </w:rPr>
                  </w:pPr>
                  <w:r>
                    <w:rPr>
                      <w:rFonts w:hint="eastAsia" w:cs="Times New Roman"/>
                      <w:color w:val="FF0000"/>
                      <w:szCs w:val="21"/>
                      <w:lang w:val="en-US" w:eastAsia="zh-CN"/>
                    </w:rPr>
                    <w:t>拆解线附近</w:t>
                  </w:r>
                </w:p>
              </w:tc>
              <w:tc>
                <w:tcPr>
                  <w:tcW w:w="519" w:type="pct"/>
                  <w:tcBorders>
                    <w:tl2br w:val="nil"/>
                    <w:tr2bl w:val="nil"/>
                  </w:tcBorders>
                  <w:vAlign w:val="center"/>
                </w:tcPr>
                <w:p w14:paraId="749A648B">
                  <w:pPr>
                    <w:widowControl/>
                    <w:jc w:val="center"/>
                    <w:rPr>
                      <w:rFonts w:hint="default" w:ascii="Times New Roman" w:hAnsi="Times New Roman" w:eastAsia="宋体" w:cs="Times New Roman"/>
                      <w:color w:val="FF0000"/>
                      <w:szCs w:val="21"/>
                      <w:lang w:val="en-US" w:eastAsia="zh-CN"/>
                    </w:rPr>
                  </w:pPr>
                  <w:r>
                    <w:rPr>
                      <w:rFonts w:hint="eastAsia" w:cs="Times New Roman"/>
                      <w:color w:val="FF0000"/>
                      <w:szCs w:val="21"/>
                      <w:lang w:val="en-US" w:eastAsia="zh-CN"/>
                    </w:rPr>
                    <w:t>20</w:t>
                  </w:r>
                  <w:r>
                    <w:rPr>
                      <w:rFonts w:hint="default" w:ascii="Times New Roman" w:hAnsi="Times New Roman" w:cs="Times New Roman"/>
                      <w:color w:val="FF0000"/>
                      <w:szCs w:val="21"/>
                    </w:rPr>
                    <w:t>m</w:t>
                  </w:r>
                  <w:r>
                    <w:rPr>
                      <w:rFonts w:hint="default" w:ascii="Times New Roman" w:hAnsi="Times New Roman" w:cs="Times New Roman"/>
                      <w:color w:val="FF0000"/>
                      <w:szCs w:val="21"/>
                      <w:vertAlign w:val="superscript"/>
                    </w:rPr>
                    <w:t>2</w:t>
                  </w:r>
                </w:p>
              </w:tc>
              <w:tc>
                <w:tcPr>
                  <w:tcW w:w="545" w:type="pct"/>
                  <w:tcBorders>
                    <w:tl2br w:val="nil"/>
                    <w:tr2bl w:val="nil"/>
                  </w:tcBorders>
                  <w:vAlign w:val="center"/>
                </w:tcPr>
                <w:p w14:paraId="7D598B03">
                  <w:pPr>
                    <w:widowControl/>
                    <w:jc w:val="center"/>
                    <w:rPr>
                      <w:rFonts w:hint="default" w:ascii="Times New Roman" w:hAnsi="Times New Roman" w:cs="Times New Roman"/>
                      <w:color w:val="FF0000"/>
                      <w:szCs w:val="21"/>
                    </w:rPr>
                  </w:pPr>
                  <w:r>
                    <w:rPr>
                      <w:rFonts w:hint="default" w:ascii="Times New Roman" w:hAnsi="Times New Roman" w:cs="Times New Roman"/>
                      <w:color w:val="FF0000"/>
                      <w:szCs w:val="21"/>
                    </w:rPr>
                    <w:t>分类分区暂存</w:t>
                  </w:r>
                </w:p>
              </w:tc>
              <w:tc>
                <w:tcPr>
                  <w:tcW w:w="477" w:type="pct"/>
                  <w:tcBorders>
                    <w:tl2br w:val="nil"/>
                    <w:tr2bl w:val="nil"/>
                  </w:tcBorders>
                  <w:vAlign w:val="center"/>
                </w:tcPr>
                <w:p w14:paraId="36C810B7">
                  <w:pPr>
                    <w:jc w:val="center"/>
                    <w:rPr>
                      <w:rFonts w:hint="default" w:ascii="Times New Roman" w:hAnsi="Times New Roman" w:eastAsia="宋体" w:cs="Times New Roman"/>
                      <w:color w:val="FF0000"/>
                      <w:szCs w:val="21"/>
                      <w:lang w:val="en-US" w:eastAsia="zh-CN"/>
                    </w:rPr>
                  </w:pPr>
                  <w:r>
                    <w:rPr>
                      <w:rFonts w:hint="eastAsia" w:cs="Times New Roman"/>
                      <w:color w:val="FF0000"/>
                      <w:szCs w:val="21"/>
                      <w:lang w:val="en-US" w:eastAsia="zh-CN"/>
                    </w:rPr>
                    <w:t>20t</w:t>
                  </w:r>
                </w:p>
              </w:tc>
              <w:tc>
                <w:tcPr>
                  <w:tcW w:w="503" w:type="pct"/>
                  <w:tcBorders>
                    <w:tl2br w:val="nil"/>
                    <w:tr2bl w:val="nil"/>
                  </w:tcBorders>
                  <w:vAlign w:val="center"/>
                </w:tcPr>
                <w:p w14:paraId="671978CA">
                  <w:pPr>
                    <w:jc w:val="center"/>
                    <w:rPr>
                      <w:rFonts w:hint="default" w:ascii="Times New Roman" w:hAnsi="Times New Roman" w:eastAsia="宋体" w:cs="Times New Roman"/>
                      <w:color w:val="FF0000"/>
                      <w:szCs w:val="21"/>
                      <w:lang w:val="en-US" w:eastAsia="zh-CN"/>
                    </w:rPr>
                  </w:pPr>
                  <w:r>
                    <w:rPr>
                      <w:rFonts w:hint="eastAsia" w:cs="Times New Roman"/>
                      <w:color w:val="FF0000"/>
                      <w:szCs w:val="21"/>
                      <w:lang w:val="en-US" w:eastAsia="zh-CN"/>
                    </w:rPr>
                    <w:t>7天</w:t>
                  </w:r>
                </w:p>
              </w:tc>
            </w:tr>
            <w:tr w14:paraId="6F5AF348">
              <w:tblPrEx>
                <w:tblBorders>
                  <w:top w:val="double" w:color="auto" w:sz="4" w:space="0"/>
                  <w:left w:val="none" w:color="auto" w:sz="0" w:space="0"/>
                  <w:bottom w:val="double" w:color="auto" w:sz="4"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90" w:hRule="atLeast"/>
                <w:jc w:val="center"/>
              </w:trPr>
              <w:tc>
                <w:tcPr>
                  <w:tcW w:w="644" w:type="pct"/>
                  <w:tcBorders>
                    <w:tl2br w:val="nil"/>
                    <w:tr2bl w:val="nil"/>
                  </w:tcBorders>
                  <w:vAlign w:val="center"/>
                </w:tcPr>
                <w:p w14:paraId="637AB662">
                  <w:pPr>
                    <w:jc w:val="center"/>
                    <w:rPr>
                      <w:rFonts w:hint="default" w:ascii="Times New Roman" w:hAnsi="Times New Roman" w:cs="Times New Roman"/>
                      <w:color w:val="FF0000"/>
                      <w:kern w:val="0"/>
                      <w:szCs w:val="21"/>
                      <w:lang w:bidi="ar"/>
                    </w:rPr>
                  </w:pPr>
                  <w:r>
                    <w:rPr>
                      <w:rFonts w:hint="eastAsia" w:cs="Times New Roman"/>
                      <w:color w:val="FF0000"/>
                      <w:kern w:val="0"/>
                      <w:szCs w:val="21"/>
                      <w:lang w:val="en-US" w:eastAsia="zh-CN" w:bidi="ar"/>
                    </w:rPr>
                    <w:t>2#危废贮存点</w:t>
                  </w:r>
                </w:p>
              </w:tc>
              <w:tc>
                <w:tcPr>
                  <w:tcW w:w="1536" w:type="pct"/>
                  <w:tcBorders>
                    <w:tl2br w:val="nil"/>
                    <w:tr2bl w:val="nil"/>
                  </w:tcBorders>
                  <w:shd w:val="clear" w:color="auto" w:fill="auto"/>
                  <w:vAlign w:val="center"/>
                </w:tcPr>
                <w:p w14:paraId="10E7F60F">
                  <w:pPr>
                    <w:jc w:val="center"/>
                    <w:rPr>
                      <w:rFonts w:hint="eastAsia" w:cs="Times New Roman"/>
                      <w:color w:val="FF0000"/>
                      <w:kern w:val="0"/>
                      <w:szCs w:val="21"/>
                      <w:lang w:val="en-US" w:eastAsia="zh-CN" w:bidi="ar"/>
                    </w:rPr>
                  </w:pPr>
                  <w:r>
                    <w:rPr>
                      <w:rFonts w:hint="default" w:cs="Times New Roman"/>
                      <w:color w:val="FF0000"/>
                      <w:kern w:val="0"/>
                      <w:szCs w:val="21"/>
                      <w:lang w:val="en-US" w:eastAsia="zh-CN" w:bidi="ar"/>
                    </w:rPr>
                    <w:t>废液化气罐</w:t>
                  </w:r>
                  <w:r>
                    <w:rPr>
                      <w:rFonts w:hint="eastAsia" w:cs="Times New Roman"/>
                      <w:color w:val="FF0000"/>
                      <w:kern w:val="0"/>
                      <w:szCs w:val="21"/>
                      <w:lang w:val="en-US" w:eastAsia="zh-CN" w:bidi="ar"/>
                    </w:rPr>
                    <w:t>、</w:t>
                  </w:r>
                  <w:r>
                    <w:rPr>
                      <w:rFonts w:hint="default" w:cs="Times New Roman"/>
                      <w:color w:val="FF0000"/>
                      <w:kern w:val="0"/>
                      <w:szCs w:val="21"/>
                      <w:lang w:val="en-US" w:eastAsia="zh-CN" w:bidi="ar"/>
                    </w:rPr>
                    <w:t>废制冷剂</w:t>
                  </w:r>
                </w:p>
              </w:tc>
              <w:tc>
                <w:tcPr>
                  <w:tcW w:w="772" w:type="pct"/>
                  <w:tcBorders>
                    <w:tl2br w:val="nil"/>
                    <w:tr2bl w:val="nil"/>
                  </w:tcBorders>
                  <w:vAlign w:val="center"/>
                </w:tcPr>
                <w:p w14:paraId="08FABA91">
                  <w:pPr>
                    <w:jc w:val="center"/>
                    <w:rPr>
                      <w:rFonts w:hint="default" w:ascii="Times New Roman" w:hAnsi="Times New Roman" w:cs="Times New Roman"/>
                      <w:color w:val="FF0000"/>
                      <w:szCs w:val="21"/>
                      <w:lang w:eastAsia="zh-CN"/>
                    </w:rPr>
                  </w:pPr>
                  <w:r>
                    <w:rPr>
                      <w:rFonts w:hint="eastAsia" w:cs="Times New Roman"/>
                      <w:color w:val="FF0000"/>
                      <w:szCs w:val="21"/>
                      <w:lang w:val="en-US" w:eastAsia="zh-CN"/>
                    </w:rPr>
                    <w:t>拆解线附近</w:t>
                  </w:r>
                </w:p>
              </w:tc>
              <w:tc>
                <w:tcPr>
                  <w:tcW w:w="519" w:type="pct"/>
                  <w:tcBorders>
                    <w:tl2br w:val="nil"/>
                    <w:tr2bl w:val="nil"/>
                  </w:tcBorders>
                  <w:vAlign w:val="center"/>
                </w:tcPr>
                <w:p w14:paraId="01857271">
                  <w:pPr>
                    <w:widowControl/>
                    <w:jc w:val="center"/>
                    <w:rPr>
                      <w:rFonts w:hint="default" w:ascii="Times New Roman" w:hAnsi="Times New Roman" w:cs="Times New Roman"/>
                      <w:color w:val="FF0000"/>
                      <w:szCs w:val="21"/>
                    </w:rPr>
                  </w:pPr>
                  <w:r>
                    <w:rPr>
                      <w:rFonts w:hint="eastAsia" w:cs="Times New Roman"/>
                      <w:color w:val="FF0000"/>
                      <w:szCs w:val="21"/>
                      <w:lang w:val="en-US" w:eastAsia="zh-CN"/>
                    </w:rPr>
                    <w:t>20</w:t>
                  </w:r>
                  <w:r>
                    <w:rPr>
                      <w:rFonts w:hint="default" w:ascii="Times New Roman" w:hAnsi="Times New Roman" w:cs="Times New Roman"/>
                      <w:color w:val="FF0000"/>
                      <w:szCs w:val="21"/>
                    </w:rPr>
                    <w:t>m</w:t>
                  </w:r>
                  <w:r>
                    <w:rPr>
                      <w:rFonts w:hint="default" w:ascii="Times New Roman" w:hAnsi="Times New Roman" w:cs="Times New Roman"/>
                      <w:color w:val="FF0000"/>
                      <w:szCs w:val="21"/>
                      <w:vertAlign w:val="superscript"/>
                    </w:rPr>
                    <w:t>2</w:t>
                  </w:r>
                </w:p>
              </w:tc>
              <w:tc>
                <w:tcPr>
                  <w:tcW w:w="545" w:type="pct"/>
                  <w:tcBorders>
                    <w:tl2br w:val="nil"/>
                    <w:tr2bl w:val="nil"/>
                  </w:tcBorders>
                  <w:vAlign w:val="center"/>
                </w:tcPr>
                <w:p w14:paraId="58D9DE6F">
                  <w:pPr>
                    <w:widowControl/>
                    <w:jc w:val="center"/>
                    <w:rPr>
                      <w:rFonts w:hint="default" w:ascii="Times New Roman" w:hAnsi="Times New Roman" w:cs="Times New Roman"/>
                      <w:color w:val="FF0000"/>
                      <w:szCs w:val="21"/>
                    </w:rPr>
                  </w:pPr>
                  <w:r>
                    <w:rPr>
                      <w:rFonts w:hint="default" w:ascii="Times New Roman" w:hAnsi="Times New Roman" w:cs="Times New Roman"/>
                      <w:color w:val="FF0000"/>
                      <w:szCs w:val="21"/>
                    </w:rPr>
                    <w:t>分类分区暂存</w:t>
                  </w:r>
                </w:p>
              </w:tc>
              <w:tc>
                <w:tcPr>
                  <w:tcW w:w="477" w:type="pct"/>
                  <w:tcBorders>
                    <w:tl2br w:val="nil"/>
                    <w:tr2bl w:val="nil"/>
                  </w:tcBorders>
                  <w:vAlign w:val="center"/>
                </w:tcPr>
                <w:p w14:paraId="3D71DE0A">
                  <w:pPr>
                    <w:jc w:val="center"/>
                    <w:rPr>
                      <w:rFonts w:hint="default" w:ascii="Times New Roman" w:hAnsi="Times New Roman" w:cs="Times New Roman"/>
                      <w:color w:val="FF0000"/>
                      <w:szCs w:val="21"/>
                    </w:rPr>
                  </w:pPr>
                  <w:r>
                    <w:rPr>
                      <w:rFonts w:hint="eastAsia" w:cs="Times New Roman"/>
                      <w:color w:val="FF0000"/>
                      <w:szCs w:val="21"/>
                      <w:lang w:val="en-US" w:eastAsia="zh-CN"/>
                    </w:rPr>
                    <w:t>20t</w:t>
                  </w:r>
                </w:p>
              </w:tc>
              <w:tc>
                <w:tcPr>
                  <w:tcW w:w="503" w:type="pct"/>
                  <w:tcBorders>
                    <w:tl2br w:val="nil"/>
                    <w:tr2bl w:val="nil"/>
                  </w:tcBorders>
                  <w:vAlign w:val="center"/>
                </w:tcPr>
                <w:p w14:paraId="309E2FFB">
                  <w:pPr>
                    <w:jc w:val="center"/>
                    <w:rPr>
                      <w:rFonts w:hint="default" w:ascii="Times New Roman" w:hAnsi="Times New Roman" w:cs="Times New Roman"/>
                      <w:color w:val="FF0000"/>
                      <w:szCs w:val="21"/>
                    </w:rPr>
                  </w:pPr>
                  <w:r>
                    <w:rPr>
                      <w:rFonts w:hint="eastAsia" w:cs="Times New Roman"/>
                      <w:color w:val="FF0000"/>
                      <w:szCs w:val="21"/>
                      <w:lang w:val="en-US" w:eastAsia="zh-CN"/>
                    </w:rPr>
                    <w:t>7天</w:t>
                  </w:r>
                </w:p>
              </w:tc>
            </w:tr>
            <w:tr w14:paraId="5E94FFCD">
              <w:tblPrEx>
                <w:tblBorders>
                  <w:top w:val="double" w:color="auto" w:sz="4" w:space="0"/>
                  <w:left w:val="none" w:color="auto" w:sz="0" w:space="0"/>
                  <w:bottom w:val="double" w:color="auto" w:sz="4"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90" w:hRule="atLeast"/>
                <w:jc w:val="center"/>
              </w:trPr>
              <w:tc>
                <w:tcPr>
                  <w:tcW w:w="644" w:type="pct"/>
                  <w:tcBorders>
                    <w:tl2br w:val="nil"/>
                    <w:tr2bl w:val="nil"/>
                  </w:tcBorders>
                  <w:vAlign w:val="center"/>
                </w:tcPr>
                <w:p w14:paraId="15C00416">
                  <w:pPr>
                    <w:jc w:val="center"/>
                    <w:rPr>
                      <w:rFonts w:hint="eastAsia" w:cs="Times New Roman"/>
                      <w:color w:val="FF0000"/>
                      <w:kern w:val="0"/>
                      <w:szCs w:val="21"/>
                      <w:lang w:val="en-US" w:eastAsia="zh-CN" w:bidi="ar"/>
                    </w:rPr>
                  </w:pPr>
                  <w:r>
                    <w:rPr>
                      <w:rFonts w:hint="eastAsia" w:cs="Times New Roman"/>
                      <w:color w:val="FF0000"/>
                      <w:kern w:val="0"/>
                      <w:szCs w:val="21"/>
                      <w:lang w:val="en-US" w:eastAsia="zh-CN" w:bidi="ar"/>
                    </w:rPr>
                    <w:t>3#危废贮存点</w:t>
                  </w:r>
                </w:p>
              </w:tc>
              <w:tc>
                <w:tcPr>
                  <w:tcW w:w="1536" w:type="pct"/>
                  <w:tcBorders>
                    <w:tl2br w:val="nil"/>
                    <w:tr2bl w:val="nil"/>
                  </w:tcBorders>
                  <w:shd w:val="clear" w:color="auto" w:fill="auto"/>
                  <w:vAlign w:val="center"/>
                </w:tcPr>
                <w:p w14:paraId="001DF168">
                  <w:pPr>
                    <w:jc w:val="center"/>
                    <w:rPr>
                      <w:rFonts w:hint="eastAsia" w:cs="Times New Roman"/>
                      <w:color w:val="FF0000"/>
                      <w:kern w:val="0"/>
                      <w:szCs w:val="21"/>
                      <w:lang w:val="en-US" w:eastAsia="zh-CN" w:bidi="ar"/>
                    </w:rPr>
                  </w:pPr>
                  <w:r>
                    <w:rPr>
                      <w:rFonts w:hint="default" w:cs="Times New Roman"/>
                      <w:color w:val="FF0000"/>
                      <w:kern w:val="0"/>
                      <w:szCs w:val="21"/>
                      <w:lang w:val="en-US" w:eastAsia="zh-CN" w:bidi="ar"/>
                    </w:rPr>
                    <w:t>废尾气净化装置及催化剂</w:t>
                  </w:r>
                  <w:r>
                    <w:rPr>
                      <w:rFonts w:hint="eastAsia" w:cs="Times New Roman"/>
                      <w:color w:val="FF0000"/>
                      <w:kern w:val="0"/>
                      <w:szCs w:val="21"/>
                      <w:lang w:val="en-US" w:eastAsia="zh-CN" w:bidi="ar"/>
                    </w:rPr>
                    <w:t>、</w:t>
                  </w:r>
                  <w:r>
                    <w:rPr>
                      <w:rFonts w:hint="default" w:cs="Times New Roman"/>
                      <w:color w:val="FF0000"/>
                      <w:kern w:val="0"/>
                      <w:szCs w:val="21"/>
                      <w:lang w:val="en-US" w:eastAsia="zh-CN" w:bidi="ar"/>
                    </w:rPr>
                    <w:t>废有机溶剂</w:t>
                  </w:r>
                  <w:r>
                    <w:rPr>
                      <w:rFonts w:hint="eastAsia" w:cs="Times New Roman"/>
                      <w:color w:val="FF0000"/>
                      <w:kern w:val="0"/>
                      <w:szCs w:val="21"/>
                      <w:lang w:val="en-US" w:eastAsia="zh-CN" w:bidi="ar"/>
                    </w:rPr>
                    <w:t>、</w:t>
                  </w:r>
                  <w:r>
                    <w:rPr>
                      <w:rFonts w:hint="default" w:cs="Times New Roman"/>
                      <w:color w:val="FF0000"/>
                      <w:kern w:val="0"/>
                      <w:szCs w:val="21"/>
                      <w:lang w:val="en-US" w:eastAsia="zh-CN" w:bidi="ar"/>
                    </w:rPr>
                    <w:t>石棉废物</w:t>
                  </w:r>
                </w:p>
              </w:tc>
              <w:tc>
                <w:tcPr>
                  <w:tcW w:w="772" w:type="pct"/>
                  <w:tcBorders>
                    <w:tl2br w:val="nil"/>
                    <w:tr2bl w:val="nil"/>
                  </w:tcBorders>
                  <w:vAlign w:val="center"/>
                </w:tcPr>
                <w:p w14:paraId="451B7A59">
                  <w:pPr>
                    <w:jc w:val="center"/>
                    <w:rPr>
                      <w:rFonts w:hint="default" w:ascii="Times New Roman" w:hAnsi="Times New Roman" w:cs="Times New Roman"/>
                      <w:color w:val="FF0000"/>
                      <w:szCs w:val="21"/>
                      <w:lang w:eastAsia="zh-CN"/>
                    </w:rPr>
                  </w:pPr>
                  <w:r>
                    <w:rPr>
                      <w:rFonts w:hint="eastAsia" w:cs="Times New Roman"/>
                      <w:color w:val="FF0000"/>
                      <w:szCs w:val="21"/>
                      <w:lang w:val="en-US" w:eastAsia="zh-CN"/>
                    </w:rPr>
                    <w:t>拆解线附近</w:t>
                  </w:r>
                </w:p>
              </w:tc>
              <w:tc>
                <w:tcPr>
                  <w:tcW w:w="519" w:type="pct"/>
                  <w:tcBorders>
                    <w:tl2br w:val="nil"/>
                    <w:tr2bl w:val="nil"/>
                  </w:tcBorders>
                  <w:vAlign w:val="center"/>
                </w:tcPr>
                <w:p w14:paraId="6FAE580D">
                  <w:pPr>
                    <w:widowControl/>
                    <w:jc w:val="center"/>
                    <w:rPr>
                      <w:rFonts w:hint="default" w:ascii="Times New Roman" w:hAnsi="Times New Roman" w:cs="Times New Roman"/>
                      <w:color w:val="FF0000"/>
                      <w:szCs w:val="21"/>
                    </w:rPr>
                  </w:pPr>
                  <w:r>
                    <w:rPr>
                      <w:rFonts w:hint="eastAsia" w:cs="Times New Roman"/>
                      <w:color w:val="FF0000"/>
                      <w:szCs w:val="21"/>
                      <w:lang w:val="en-US" w:eastAsia="zh-CN"/>
                    </w:rPr>
                    <w:t>20</w:t>
                  </w:r>
                  <w:r>
                    <w:rPr>
                      <w:rFonts w:hint="default" w:ascii="Times New Roman" w:hAnsi="Times New Roman" w:cs="Times New Roman"/>
                      <w:color w:val="FF0000"/>
                      <w:szCs w:val="21"/>
                    </w:rPr>
                    <w:t>m</w:t>
                  </w:r>
                  <w:r>
                    <w:rPr>
                      <w:rFonts w:hint="default" w:ascii="Times New Roman" w:hAnsi="Times New Roman" w:cs="Times New Roman"/>
                      <w:color w:val="FF0000"/>
                      <w:szCs w:val="21"/>
                      <w:vertAlign w:val="superscript"/>
                    </w:rPr>
                    <w:t>2</w:t>
                  </w:r>
                </w:p>
              </w:tc>
              <w:tc>
                <w:tcPr>
                  <w:tcW w:w="545" w:type="pct"/>
                  <w:tcBorders>
                    <w:tl2br w:val="nil"/>
                    <w:tr2bl w:val="nil"/>
                  </w:tcBorders>
                  <w:vAlign w:val="center"/>
                </w:tcPr>
                <w:p w14:paraId="595E15EC">
                  <w:pPr>
                    <w:widowControl/>
                    <w:jc w:val="center"/>
                    <w:rPr>
                      <w:rFonts w:hint="default" w:ascii="Times New Roman" w:hAnsi="Times New Roman" w:cs="Times New Roman"/>
                      <w:color w:val="FF0000"/>
                      <w:szCs w:val="21"/>
                    </w:rPr>
                  </w:pPr>
                  <w:r>
                    <w:rPr>
                      <w:rFonts w:hint="default" w:ascii="Times New Roman" w:hAnsi="Times New Roman" w:cs="Times New Roman"/>
                      <w:color w:val="FF0000"/>
                      <w:szCs w:val="21"/>
                    </w:rPr>
                    <w:t>分类分区暂存</w:t>
                  </w:r>
                </w:p>
              </w:tc>
              <w:tc>
                <w:tcPr>
                  <w:tcW w:w="477" w:type="pct"/>
                  <w:tcBorders>
                    <w:tl2br w:val="nil"/>
                    <w:tr2bl w:val="nil"/>
                  </w:tcBorders>
                  <w:vAlign w:val="center"/>
                </w:tcPr>
                <w:p w14:paraId="639346F5">
                  <w:pPr>
                    <w:jc w:val="center"/>
                    <w:rPr>
                      <w:rFonts w:hint="default" w:ascii="Times New Roman" w:hAnsi="Times New Roman" w:cs="Times New Roman"/>
                      <w:color w:val="FF0000"/>
                      <w:szCs w:val="21"/>
                    </w:rPr>
                  </w:pPr>
                  <w:r>
                    <w:rPr>
                      <w:rFonts w:hint="eastAsia" w:cs="Times New Roman"/>
                      <w:color w:val="FF0000"/>
                      <w:szCs w:val="21"/>
                      <w:lang w:val="en-US" w:eastAsia="zh-CN"/>
                    </w:rPr>
                    <w:t>20t</w:t>
                  </w:r>
                </w:p>
              </w:tc>
              <w:tc>
                <w:tcPr>
                  <w:tcW w:w="503" w:type="pct"/>
                  <w:tcBorders>
                    <w:tl2br w:val="nil"/>
                    <w:tr2bl w:val="nil"/>
                  </w:tcBorders>
                  <w:vAlign w:val="center"/>
                </w:tcPr>
                <w:p w14:paraId="638FF96A">
                  <w:pPr>
                    <w:jc w:val="center"/>
                    <w:rPr>
                      <w:rFonts w:hint="default" w:ascii="Times New Roman" w:hAnsi="Times New Roman" w:cs="Times New Roman"/>
                      <w:color w:val="FF0000"/>
                      <w:szCs w:val="21"/>
                    </w:rPr>
                  </w:pPr>
                  <w:r>
                    <w:rPr>
                      <w:rFonts w:hint="eastAsia" w:cs="Times New Roman"/>
                      <w:color w:val="FF0000"/>
                      <w:szCs w:val="21"/>
                      <w:lang w:val="en-US" w:eastAsia="zh-CN"/>
                    </w:rPr>
                    <w:t>7天</w:t>
                  </w:r>
                </w:p>
              </w:tc>
            </w:tr>
            <w:tr w14:paraId="7F3A0AE2">
              <w:tblPrEx>
                <w:tblBorders>
                  <w:top w:val="double" w:color="auto" w:sz="4" w:space="0"/>
                  <w:left w:val="none" w:color="auto" w:sz="0" w:space="0"/>
                  <w:bottom w:val="double" w:color="auto" w:sz="4"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90" w:hRule="atLeast"/>
                <w:jc w:val="center"/>
              </w:trPr>
              <w:tc>
                <w:tcPr>
                  <w:tcW w:w="644" w:type="pct"/>
                  <w:tcBorders>
                    <w:tl2br w:val="nil"/>
                    <w:tr2bl w:val="nil"/>
                  </w:tcBorders>
                  <w:vAlign w:val="center"/>
                </w:tcPr>
                <w:p w14:paraId="6480C243">
                  <w:pPr>
                    <w:jc w:val="center"/>
                    <w:rPr>
                      <w:rFonts w:hint="eastAsia" w:cs="Times New Roman"/>
                      <w:color w:val="FF0000"/>
                      <w:kern w:val="0"/>
                      <w:szCs w:val="21"/>
                      <w:lang w:val="en-US" w:eastAsia="zh-CN" w:bidi="ar"/>
                    </w:rPr>
                  </w:pPr>
                  <w:r>
                    <w:rPr>
                      <w:rFonts w:hint="eastAsia" w:cs="Times New Roman"/>
                      <w:color w:val="FF0000"/>
                      <w:kern w:val="0"/>
                      <w:szCs w:val="21"/>
                      <w:lang w:val="en-US" w:eastAsia="zh-CN" w:bidi="ar"/>
                    </w:rPr>
                    <w:t>4#危废贮存点</w:t>
                  </w:r>
                </w:p>
              </w:tc>
              <w:tc>
                <w:tcPr>
                  <w:tcW w:w="1536" w:type="pct"/>
                  <w:tcBorders>
                    <w:tl2br w:val="nil"/>
                    <w:tr2bl w:val="nil"/>
                  </w:tcBorders>
                  <w:shd w:val="clear" w:color="auto" w:fill="auto"/>
                  <w:vAlign w:val="center"/>
                </w:tcPr>
                <w:p w14:paraId="72E09AC9">
                  <w:pPr>
                    <w:jc w:val="center"/>
                    <w:rPr>
                      <w:rFonts w:hint="eastAsia" w:cs="Times New Roman"/>
                      <w:color w:val="FF0000"/>
                      <w:kern w:val="0"/>
                      <w:szCs w:val="21"/>
                      <w:lang w:val="en-US" w:eastAsia="zh-CN" w:bidi="ar"/>
                    </w:rPr>
                  </w:pPr>
                  <w:r>
                    <w:rPr>
                      <w:rFonts w:hint="default" w:cs="Times New Roman"/>
                      <w:color w:val="FF0000"/>
                      <w:kern w:val="0"/>
                      <w:szCs w:val="21"/>
                      <w:lang w:val="en-US" w:eastAsia="zh-CN" w:bidi="ar"/>
                    </w:rPr>
                    <w:t>废电路板及电子元件</w:t>
                  </w:r>
                  <w:r>
                    <w:rPr>
                      <w:rFonts w:hint="eastAsia" w:cs="Times New Roman"/>
                      <w:color w:val="FF0000"/>
                      <w:kern w:val="0"/>
                      <w:szCs w:val="21"/>
                      <w:lang w:val="en-US" w:eastAsia="zh-CN" w:bidi="ar"/>
                    </w:rPr>
                    <w:t>、</w:t>
                  </w:r>
                  <w:r>
                    <w:rPr>
                      <w:rFonts w:hint="default" w:cs="Times New Roman"/>
                      <w:color w:val="FF0000"/>
                      <w:kern w:val="0"/>
                      <w:szCs w:val="21"/>
                      <w:lang w:val="en-US" w:eastAsia="zh-CN" w:bidi="ar"/>
                    </w:rPr>
                    <w:t>含铅部件</w:t>
                  </w:r>
                  <w:r>
                    <w:rPr>
                      <w:rFonts w:hint="eastAsia" w:cs="Times New Roman"/>
                      <w:color w:val="FF0000"/>
                      <w:kern w:val="0"/>
                      <w:szCs w:val="21"/>
                      <w:lang w:val="en-US" w:eastAsia="zh-CN" w:bidi="ar"/>
                    </w:rPr>
                    <w:t>、</w:t>
                  </w:r>
                  <w:r>
                    <w:rPr>
                      <w:rFonts w:hint="default" w:cs="Times New Roman"/>
                      <w:color w:val="FF0000"/>
                      <w:kern w:val="0"/>
                      <w:szCs w:val="21"/>
                      <w:lang w:val="en-US" w:eastAsia="zh-CN" w:bidi="ar"/>
                    </w:rPr>
                    <w:t>含汞部件</w:t>
                  </w:r>
                  <w:r>
                    <w:rPr>
                      <w:rFonts w:hint="eastAsia" w:cs="Times New Roman"/>
                      <w:color w:val="FF0000"/>
                      <w:kern w:val="0"/>
                      <w:szCs w:val="21"/>
                      <w:lang w:val="en-US" w:eastAsia="zh-CN" w:bidi="ar"/>
                    </w:rPr>
                    <w:t>、</w:t>
                  </w:r>
                  <w:r>
                    <w:rPr>
                      <w:rFonts w:hint="default" w:cs="Times New Roman"/>
                      <w:color w:val="FF0000"/>
                      <w:kern w:val="0"/>
                      <w:szCs w:val="21"/>
                      <w:lang w:val="en-US" w:eastAsia="zh-CN" w:bidi="ar"/>
                    </w:rPr>
                    <w:t>含多氯联苯废电容器</w:t>
                  </w:r>
                </w:p>
              </w:tc>
              <w:tc>
                <w:tcPr>
                  <w:tcW w:w="772" w:type="pct"/>
                  <w:tcBorders>
                    <w:tl2br w:val="nil"/>
                    <w:tr2bl w:val="nil"/>
                  </w:tcBorders>
                  <w:vAlign w:val="center"/>
                </w:tcPr>
                <w:p w14:paraId="2748EBF3">
                  <w:pPr>
                    <w:jc w:val="center"/>
                    <w:rPr>
                      <w:rFonts w:hint="default" w:ascii="Times New Roman" w:hAnsi="Times New Roman" w:cs="Times New Roman"/>
                      <w:color w:val="FF0000"/>
                      <w:szCs w:val="21"/>
                      <w:lang w:eastAsia="zh-CN"/>
                    </w:rPr>
                  </w:pPr>
                  <w:r>
                    <w:rPr>
                      <w:rFonts w:hint="eastAsia" w:cs="Times New Roman"/>
                      <w:color w:val="FF0000"/>
                      <w:szCs w:val="21"/>
                      <w:lang w:val="en-US" w:eastAsia="zh-CN"/>
                    </w:rPr>
                    <w:t>拆解线附近</w:t>
                  </w:r>
                </w:p>
              </w:tc>
              <w:tc>
                <w:tcPr>
                  <w:tcW w:w="519" w:type="pct"/>
                  <w:tcBorders>
                    <w:tl2br w:val="nil"/>
                    <w:tr2bl w:val="nil"/>
                  </w:tcBorders>
                  <w:vAlign w:val="center"/>
                </w:tcPr>
                <w:p w14:paraId="408493B9">
                  <w:pPr>
                    <w:widowControl/>
                    <w:jc w:val="center"/>
                    <w:rPr>
                      <w:rFonts w:hint="default" w:ascii="Times New Roman" w:hAnsi="Times New Roman" w:cs="Times New Roman"/>
                      <w:color w:val="FF0000"/>
                      <w:szCs w:val="21"/>
                    </w:rPr>
                  </w:pPr>
                  <w:r>
                    <w:rPr>
                      <w:rFonts w:hint="eastAsia" w:cs="Times New Roman"/>
                      <w:color w:val="FF0000"/>
                      <w:szCs w:val="21"/>
                      <w:lang w:val="en-US" w:eastAsia="zh-CN"/>
                    </w:rPr>
                    <w:t>20</w:t>
                  </w:r>
                  <w:r>
                    <w:rPr>
                      <w:rFonts w:hint="default" w:ascii="Times New Roman" w:hAnsi="Times New Roman" w:cs="Times New Roman"/>
                      <w:color w:val="FF0000"/>
                      <w:szCs w:val="21"/>
                    </w:rPr>
                    <w:t>m</w:t>
                  </w:r>
                  <w:r>
                    <w:rPr>
                      <w:rFonts w:hint="default" w:ascii="Times New Roman" w:hAnsi="Times New Roman" w:cs="Times New Roman"/>
                      <w:color w:val="FF0000"/>
                      <w:szCs w:val="21"/>
                      <w:vertAlign w:val="superscript"/>
                    </w:rPr>
                    <w:t>2</w:t>
                  </w:r>
                </w:p>
              </w:tc>
              <w:tc>
                <w:tcPr>
                  <w:tcW w:w="545" w:type="pct"/>
                  <w:tcBorders>
                    <w:tl2br w:val="nil"/>
                    <w:tr2bl w:val="nil"/>
                  </w:tcBorders>
                  <w:vAlign w:val="center"/>
                </w:tcPr>
                <w:p w14:paraId="1BB9366B">
                  <w:pPr>
                    <w:widowControl/>
                    <w:jc w:val="center"/>
                    <w:rPr>
                      <w:rFonts w:hint="default" w:ascii="Times New Roman" w:hAnsi="Times New Roman" w:cs="Times New Roman"/>
                      <w:color w:val="FF0000"/>
                      <w:szCs w:val="21"/>
                    </w:rPr>
                  </w:pPr>
                  <w:r>
                    <w:rPr>
                      <w:rFonts w:hint="default" w:ascii="Times New Roman" w:hAnsi="Times New Roman" w:cs="Times New Roman"/>
                      <w:color w:val="FF0000"/>
                      <w:szCs w:val="21"/>
                    </w:rPr>
                    <w:t>分类分区暂存</w:t>
                  </w:r>
                </w:p>
              </w:tc>
              <w:tc>
                <w:tcPr>
                  <w:tcW w:w="477" w:type="pct"/>
                  <w:tcBorders>
                    <w:tl2br w:val="nil"/>
                    <w:tr2bl w:val="nil"/>
                  </w:tcBorders>
                  <w:vAlign w:val="center"/>
                </w:tcPr>
                <w:p w14:paraId="1AEF8DE1">
                  <w:pPr>
                    <w:jc w:val="center"/>
                    <w:rPr>
                      <w:rFonts w:hint="default" w:ascii="Times New Roman" w:hAnsi="Times New Roman" w:cs="Times New Roman"/>
                      <w:color w:val="FF0000"/>
                      <w:szCs w:val="21"/>
                    </w:rPr>
                  </w:pPr>
                  <w:r>
                    <w:rPr>
                      <w:rFonts w:hint="eastAsia" w:cs="Times New Roman"/>
                      <w:color w:val="FF0000"/>
                      <w:szCs w:val="21"/>
                      <w:lang w:val="en-US" w:eastAsia="zh-CN"/>
                    </w:rPr>
                    <w:t>20t</w:t>
                  </w:r>
                </w:p>
              </w:tc>
              <w:tc>
                <w:tcPr>
                  <w:tcW w:w="503" w:type="pct"/>
                  <w:tcBorders>
                    <w:tl2br w:val="nil"/>
                    <w:tr2bl w:val="nil"/>
                  </w:tcBorders>
                  <w:vAlign w:val="center"/>
                </w:tcPr>
                <w:p w14:paraId="7BBAB35B">
                  <w:pPr>
                    <w:jc w:val="center"/>
                    <w:rPr>
                      <w:rFonts w:hint="default" w:ascii="Times New Roman" w:hAnsi="Times New Roman" w:cs="Times New Roman"/>
                      <w:color w:val="FF0000"/>
                      <w:szCs w:val="21"/>
                    </w:rPr>
                  </w:pPr>
                  <w:r>
                    <w:rPr>
                      <w:rFonts w:hint="eastAsia" w:cs="Times New Roman"/>
                      <w:color w:val="FF0000"/>
                      <w:szCs w:val="21"/>
                      <w:lang w:val="en-US" w:eastAsia="zh-CN"/>
                    </w:rPr>
                    <w:t>7天</w:t>
                  </w:r>
                </w:p>
              </w:tc>
            </w:tr>
          </w:tbl>
          <w:p w14:paraId="2D4AE606">
            <w:pPr>
              <w:pStyle w:val="42"/>
              <w:spacing w:line="360" w:lineRule="auto"/>
              <w:ind w:firstLine="480" w:firstLineChars="200"/>
              <w:rPr>
                <w:rFonts w:hint="default" w:ascii="Times New Roman" w:hAnsi="Times New Roman" w:eastAsia="宋体" w:cs="Times New Roman"/>
                <w:color w:val="FF0000"/>
              </w:rPr>
            </w:pPr>
            <w:r>
              <w:rPr>
                <w:rFonts w:hint="default" w:ascii="Times New Roman" w:hAnsi="Times New Roman" w:eastAsia="宋体" w:cs="Times New Roman"/>
                <w:color w:val="FF0000"/>
              </w:rPr>
              <w:t>（3）危废贮存点污染控制要求</w:t>
            </w:r>
          </w:p>
          <w:p w14:paraId="2D672F00">
            <w:pPr>
              <w:pStyle w:val="42"/>
              <w:spacing w:line="360" w:lineRule="auto"/>
              <w:ind w:firstLine="480" w:firstLineChars="200"/>
              <w:rPr>
                <w:rFonts w:hint="default" w:ascii="Times New Roman" w:hAnsi="Times New Roman" w:eastAsia="宋体" w:cs="Times New Roman"/>
                <w:color w:val="auto"/>
              </w:rPr>
            </w:pPr>
            <w:r>
              <w:rPr>
                <w:rFonts w:hint="default" w:ascii="Times New Roman" w:hAnsi="Times New Roman" w:eastAsia="宋体" w:cs="Times New Roman"/>
                <w:color w:val="auto"/>
              </w:rPr>
              <w:t>根据《危险废物贮存污染控制标准》（GB18597-2023）中贮存设施污染控制要求：</w:t>
            </w:r>
          </w:p>
          <w:p w14:paraId="438E2CF9">
            <w:pPr>
              <w:tabs>
                <w:tab w:val="left" w:pos="4800"/>
              </w:tabs>
              <w:spacing w:line="360" w:lineRule="auto"/>
              <w:ind w:firstLine="480" w:firstLineChars="200"/>
              <w:rPr>
                <w:rFonts w:hint="default" w:ascii="Times New Roman" w:hAnsi="Times New Roman" w:cs="Times New Roman"/>
                <w:color w:val="0070C0"/>
                <w:sz w:val="24"/>
              </w:rPr>
            </w:pPr>
            <w:r>
              <w:rPr>
                <w:rFonts w:hint="default" w:ascii="Times New Roman" w:hAnsi="Times New Roman" w:cs="Times New Roman"/>
                <w:color w:val="0070C0"/>
                <w:sz w:val="24"/>
              </w:rPr>
              <w:t>①</w:t>
            </w:r>
            <w:r>
              <w:rPr>
                <w:rFonts w:hint="default" w:ascii="Times New Roman" w:hAnsi="Times New Roman" w:cs="Times New Roman"/>
                <w:color w:val="0070C0"/>
                <w:sz w:val="24"/>
                <w:lang w:eastAsia="zh-CN"/>
              </w:rPr>
              <w:t>危废贮存点</w:t>
            </w:r>
            <w:r>
              <w:rPr>
                <w:rFonts w:hint="default" w:ascii="Times New Roman" w:hAnsi="Times New Roman" w:cs="Times New Roman"/>
                <w:color w:val="0070C0"/>
                <w:sz w:val="24"/>
              </w:rPr>
              <w:t>、电池分类贮存区基础必须防渗，防渗层为至少 1m 厚粘土层（渗透系数≤10</w:t>
            </w:r>
            <w:r>
              <w:rPr>
                <w:rFonts w:hint="default" w:ascii="Times New Roman" w:hAnsi="Times New Roman" w:cs="Times New Roman"/>
                <w:color w:val="0070C0"/>
                <w:sz w:val="24"/>
                <w:vertAlign w:val="superscript"/>
              </w:rPr>
              <w:t>-7</w:t>
            </w:r>
            <w:r>
              <w:rPr>
                <w:rFonts w:hint="default" w:ascii="Times New Roman" w:hAnsi="Times New Roman" w:cs="Times New Roman"/>
                <w:color w:val="0070C0"/>
                <w:sz w:val="24"/>
              </w:rPr>
              <w:t>cm/s），或 2mm 厚高密度聚乙烯，或至少 2mm 厚的其它人 工材料，渗透系数≤10-10cm/s。液体围堰：高度≥150mm，容积≥最大容器容积或储罐容积的10%；内表面耐腐蚀、防渗漏。泄漏液收集系统：设置导流沟渠（坡度≥1%）+收集池（防渗防腐），联通应急池。防漏截流措施：托盘容积≥单容器容积的100%，或托盘+围堰总容积≥区域最大容器容积的25%。标志标识：悬挂 GB 15562.2 危险废物标识，注明废物类别、危害特性。</w:t>
            </w:r>
          </w:p>
          <w:p w14:paraId="39664111">
            <w:pPr>
              <w:tabs>
                <w:tab w:val="left" w:pos="4800"/>
              </w:tabs>
              <w:spacing w:line="360" w:lineRule="auto"/>
              <w:ind w:firstLine="480" w:firstLineChars="200"/>
              <w:rPr>
                <w:rFonts w:hint="default" w:ascii="Times New Roman" w:hAnsi="Times New Roman" w:cs="Times New Roman"/>
                <w:color w:val="FF0000"/>
                <w:sz w:val="24"/>
              </w:rPr>
            </w:pPr>
            <w:r>
              <w:rPr>
                <w:rFonts w:hint="default" w:ascii="Times New Roman" w:hAnsi="Times New Roman" w:cs="Times New Roman"/>
                <w:color w:val="FF0000"/>
                <w:sz w:val="24"/>
              </w:rPr>
              <w:t>②</w:t>
            </w:r>
            <w:r>
              <w:rPr>
                <w:rFonts w:hint="default" w:ascii="Times New Roman" w:hAnsi="Times New Roman" w:cs="Times New Roman"/>
                <w:color w:val="FF0000"/>
                <w:sz w:val="24"/>
                <w:lang w:eastAsia="zh-CN"/>
              </w:rPr>
              <w:t>危废贮存点</w:t>
            </w:r>
            <w:r>
              <w:rPr>
                <w:rFonts w:hint="default" w:ascii="Times New Roman" w:hAnsi="Times New Roman" w:cs="Times New Roman"/>
                <w:color w:val="FF0000"/>
                <w:sz w:val="24"/>
              </w:rPr>
              <w:t>、电池分类贮存区地面与裙脚要用坚固、防渗的材料建造，建筑材料必须与危险废物相容。</w:t>
            </w:r>
          </w:p>
          <w:p w14:paraId="22DAF5C1">
            <w:pPr>
              <w:tabs>
                <w:tab w:val="left" w:pos="4800"/>
              </w:tabs>
              <w:spacing w:line="360" w:lineRule="auto"/>
              <w:ind w:firstLine="480" w:firstLineChars="200"/>
              <w:rPr>
                <w:rFonts w:hint="default" w:ascii="Times New Roman" w:hAnsi="Times New Roman" w:cs="Times New Roman"/>
                <w:color w:val="FF0000"/>
                <w:sz w:val="24"/>
              </w:rPr>
            </w:pPr>
            <w:r>
              <w:rPr>
                <w:rFonts w:hint="default" w:ascii="Times New Roman" w:hAnsi="Times New Roman" w:cs="Times New Roman"/>
                <w:color w:val="FF0000"/>
                <w:sz w:val="24"/>
              </w:rPr>
              <w:t>③</w:t>
            </w:r>
            <w:r>
              <w:rPr>
                <w:rFonts w:hint="default" w:ascii="Times New Roman" w:hAnsi="Times New Roman" w:cs="Times New Roman"/>
                <w:color w:val="FF0000"/>
                <w:sz w:val="24"/>
                <w:lang w:eastAsia="zh-CN"/>
              </w:rPr>
              <w:t>危废贮存点</w:t>
            </w:r>
            <w:r>
              <w:rPr>
                <w:rFonts w:hint="default" w:ascii="Times New Roman" w:hAnsi="Times New Roman" w:cs="Times New Roman"/>
                <w:color w:val="FF0000"/>
                <w:sz w:val="24"/>
              </w:rPr>
              <w:t>、电池分类贮存区必须有泄漏液体收集装置。</w:t>
            </w:r>
          </w:p>
          <w:p w14:paraId="4512B904">
            <w:pPr>
              <w:tabs>
                <w:tab w:val="left" w:pos="4800"/>
              </w:tabs>
              <w:spacing w:line="360" w:lineRule="auto"/>
              <w:ind w:firstLine="480" w:firstLineChars="200"/>
              <w:rPr>
                <w:rFonts w:hint="default" w:ascii="Times New Roman" w:hAnsi="Times New Roman" w:cs="Times New Roman"/>
                <w:color w:val="FF0000"/>
                <w:sz w:val="24"/>
              </w:rPr>
            </w:pPr>
            <w:r>
              <w:rPr>
                <w:rFonts w:hint="default" w:ascii="Times New Roman" w:hAnsi="Times New Roman" w:cs="Times New Roman"/>
                <w:color w:val="FF0000"/>
                <w:sz w:val="24"/>
              </w:rPr>
              <w:t>④</w:t>
            </w:r>
            <w:r>
              <w:rPr>
                <w:rFonts w:hint="default" w:ascii="Times New Roman" w:hAnsi="Times New Roman" w:cs="Times New Roman"/>
                <w:color w:val="FF0000"/>
                <w:sz w:val="24"/>
                <w:lang w:eastAsia="zh-CN"/>
              </w:rPr>
              <w:t>危废贮存点</w:t>
            </w:r>
            <w:r>
              <w:rPr>
                <w:rFonts w:hint="default" w:ascii="Times New Roman" w:hAnsi="Times New Roman" w:cs="Times New Roman"/>
                <w:color w:val="FF0000"/>
                <w:sz w:val="24"/>
              </w:rPr>
              <w:t>、电池分类贮存区要有安全照明设施和观察窗口。</w:t>
            </w:r>
          </w:p>
          <w:p w14:paraId="7A50A85D">
            <w:pPr>
              <w:tabs>
                <w:tab w:val="left" w:pos="4800"/>
              </w:tabs>
              <w:spacing w:line="360" w:lineRule="auto"/>
              <w:ind w:firstLine="480" w:firstLineChars="200"/>
              <w:rPr>
                <w:rFonts w:hint="default" w:ascii="Times New Roman" w:hAnsi="Times New Roman" w:cs="Times New Roman"/>
                <w:color w:val="FF0000"/>
                <w:sz w:val="24"/>
              </w:rPr>
            </w:pPr>
            <w:r>
              <w:rPr>
                <w:rFonts w:hint="default" w:ascii="Times New Roman" w:hAnsi="Times New Roman" w:cs="Times New Roman"/>
                <w:color w:val="FF0000"/>
                <w:sz w:val="24"/>
              </w:rPr>
              <w:t>⑤</w:t>
            </w:r>
            <w:r>
              <w:rPr>
                <w:rFonts w:hint="default" w:ascii="Times New Roman" w:hAnsi="Times New Roman" w:cs="Times New Roman"/>
                <w:color w:val="FF0000"/>
                <w:sz w:val="24"/>
                <w:lang w:eastAsia="zh-CN"/>
              </w:rPr>
              <w:t>危废贮存点</w:t>
            </w:r>
            <w:r>
              <w:rPr>
                <w:rFonts w:hint="default" w:ascii="Times New Roman" w:hAnsi="Times New Roman" w:cs="Times New Roman"/>
                <w:color w:val="FF0000"/>
                <w:sz w:val="24"/>
              </w:rPr>
              <w:t>、电池分类贮存区用以存放装载液体、半固体危险废物容器的地方，必须有耐腐蚀的硬化地面，且表面无裂隙。</w:t>
            </w:r>
          </w:p>
          <w:p w14:paraId="0357F6CB">
            <w:pPr>
              <w:tabs>
                <w:tab w:val="left" w:pos="4800"/>
              </w:tabs>
              <w:spacing w:line="360" w:lineRule="auto"/>
              <w:ind w:firstLine="480" w:firstLineChars="200"/>
              <w:rPr>
                <w:rFonts w:hint="default" w:ascii="Times New Roman" w:hAnsi="Times New Roman" w:cs="Times New Roman"/>
                <w:color w:val="FF0000"/>
                <w:sz w:val="24"/>
              </w:rPr>
            </w:pPr>
            <w:r>
              <w:rPr>
                <w:rFonts w:hint="default" w:ascii="Times New Roman" w:hAnsi="Times New Roman" w:cs="Times New Roman"/>
                <w:color w:val="FF0000"/>
                <w:sz w:val="24"/>
              </w:rPr>
              <w:t>⑥</w:t>
            </w:r>
            <w:r>
              <w:rPr>
                <w:rFonts w:hint="default" w:ascii="Times New Roman" w:hAnsi="Times New Roman" w:cs="Times New Roman"/>
                <w:color w:val="FF0000"/>
                <w:sz w:val="24"/>
                <w:lang w:eastAsia="zh-CN"/>
              </w:rPr>
              <w:t>危废贮存点</w:t>
            </w:r>
            <w:r>
              <w:rPr>
                <w:rFonts w:hint="default" w:ascii="Times New Roman" w:hAnsi="Times New Roman" w:cs="Times New Roman"/>
                <w:color w:val="FF0000"/>
                <w:sz w:val="24"/>
              </w:rPr>
              <w:t>、电池分类贮存区应设计堵截泄漏的裙脚，地面与裙脚所围建的容积不低于堵截最大容器的最大储量或总储量的五分之一。</w:t>
            </w:r>
          </w:p>
          <w:p w14:paraId="60A378B9">
            <w:pPr>
              <w:tabs>
                <w:tab w:val="left" w:pos="4800"/>
              </w:tabs>
              <w:spacing w:line="360" w:lineRule="auto"/>
              <w:ind w:firstLine="480" w:firstLineChars="200"/>
              <w:rPr>
                <w:rFonts w:hint="default" w:ascii="Times New Roman" w:hAnsi="Times New Roman" w:cs="Times New Roman"/>
                <w:color w:val="FF0000"/>
                <w:sz w:val="24"/>
              </w:rPr>
            </w:pPr>
            <w:r>
              <w:rPr>
                <w:rFonts w:hint="default" w:ascii="Times New Roman" w:hAnsi="Times New Roman" w:cs="Times New Roman"/>
                <w:color w:val="FF0000"/>
                <w:sz w:val="24"/>
              </w:rPr>
              <w:t>⑦一般要求应建造专用的危险废物贮存设施；在常温常压下不水解、不挥发的固体危险废物在贮存设施内分别堆放；无法装入常用容器的危险废物用防漏胶袋等盛装；装载液体、半固体危险废物的容器内须留足够空间，容器顶部与液体表面之间保留 100mm 以上的空间。</w:t>
            </w:r>
          </w:p>
          <w:p w14:paraId="7A5B4D23">
            <w:pPr>
              <w:tabs>
                <w:tab w:val="left" w:pos="4800"/>
              </w:tabs>
              <w:spacing w:line="360" w:lineRule="auto"/>
              <w:ind w:firstLine="480" w:firstLineChars="200"/>
              <w:rPr>
                <w:rFonts w:hint="default" w:ascii="Times New Roman" w:hAnsi="Times New Roman" w:cs="Times New Roman"/>
                <w:color w:val="FF0000"/>
                <w:sz w:val="24"/>
              </w:rPr>
            </w:pPr>
            <w:r>
              <w:rPr>
                <w:rFonts w:hint="default" w:ascii="Times New Roman" w:hAnsi="Times New Roman" w:cs="Times New Roman"/>
                <w:color w:val="FF0000"/>
                <w:sz w:val="24"/>
              </w:rPr>
              <w:t>⑧</w:t>
            </w:r>
            <w:r>
              <w:rPr>
                <w:rFonts w:hint="default" w:ascii="Times New Roman" w:hAnsi="Times New Roman" w:cs="Times New Roman"/>
                <w:color w:val="FF0000"/>
                <w:sz w:val="24"/>
                <w:lang w:eastAsia="zh-CN"/>
              </w:rPr>
              <w:t>危废贮存点</w:t>
            </w:r>
            <w:r>
              <w:rPr>
                <w:rFonts w:hint="default" w:ascii="Times New Roman" w:hAnsi="Times New Roman" w:cs="Times New Roman"/>
                <w:color w:val="FF0000"/>
                <w:sz w:val="24"/>
              </w:rPr>
              <w:t>、电池分类贮存区都必须按《环境保护区图形标志—固体废物贮存（处置）场》（GB15562.2）的规定设置警示标志。</w:t>
            </w:r>
          </w:p>
          <w:p w14:paraId="1BAB2231">
            <w:pPr>
              <w:tabs>
                <w:tab w:val="left" w:pos="4800"/>
              </w:tabs>
              <w:spacing w:line="360" w:lineRule="auto"/>
              <w:ind w:firstLine="480" w:firstLineChars="200"/>
              <w:rPr>
                <w:rFonts w:hint="default" w:ascii="Times New Roman" w:hAnsi="Times New Roman" w:cs="Times New Roman"/>
                <w:color w:val="FF0000"/>
                <w:sz w:val="24"/>
              </w:rPr>
            </w:pPr>
            <w:r>
              <w:rPr>
                <w:rFonts w:hint="default" w:ascii="Times New Roman" w:hAnsi="Times New Roman" w:cs="Times New Roman"/>
                <w:color w:val="FF0000"/>
                <w:sz w:val="24"/>
              </w:rPr>
              <w:t>另外，废蓄电池和含多氯联苯的废电容器，禁止将蓄电池内的液态废物倾倒出来。将废蓄电池和含多氯联苯的废电容器贮存在耐酸容器中或者具有耐酸地面的专用区域，必须独立设置泄漏液收集池，确保废铅酸蓄电池破损或废矿物油盛装容器破损时，含铅酸废液及废矿物油能够得到及时收集，并防止其相互混合。泄漏液收集池收集的含铅酸废液及废矿物油同样属于危险废物，必须按照危险废物执行《危险废物贮存污染控制标准》(GB18597-2023)的有关规定收集暂存，并委托有相应危废处置资质的单位无害化处置。</w:t>
            </w:r>
          </w:p>
          <w:p w14:paraId="0F4B69A0">
            <w:pPr>
              <w:tabs>
                <w:tab w:val="left" w:pos="4800"/>
              </w:tabs>
              <w:spacing w:line="360" w:lineRule="auto"/>
              <w:ind w:firstLine="480" w:firstLineChars="200"/>
              <w:rPr>
                <w:rFonts w:hint="default" w:ascii="Times New Roman" w:hAnsi="Times New Roman" w:cs="Times New Roman"/>
                <w:color w:val="FF0000"/>
                <w:sz w:val="24"/>
              </w:rPr>
            </w:pPr>
            <w:r>
              <w:rPr>
                <w:rFonts w:hint="default" w:ascii="Times New Roman" w:hAnsi="Times New Roman" w:cs="Times New Roman"/>
                <w:color w:val="FF0000"/>
                <w:sz w:val="24"/>
              </w:rPr>
              <w:t>此外，按照《中华人民共和国固体废物污染环境防治法》的规定产生危险废物的单位，制定危险废物管理计划；建立危险废物管理台账，如实记录有关信息，并通过国家危险废物信息管理系统向所在地生态环境主管部门申报危险废物的种类、产生量、流向、贮存、处置等有关资料。严禁建设单位将危险废物与一般工业固废或者生活垃圾混合处置，禁止将不相容（相互反应）的危险废物在同一容器内混装。</w:t>
            </w:r>
          </w:p>
          <w:p w14:paraId="5B1FDEF6">
            <w:pPr>
              <w:tabs>
                <w:tab w:val="left" w:pos="4800"/>
              </w:tabs>
              <w:spacing w:line="360" w:lineRule="auto"/>
              <w:ind w:firstLine="480" w:firstLineChars="200"/>
              <w:rPr>
                <w:rFonts w:hint="default" w:ascii="Times New Roman" w:hAnsi="Times New Roman" w:cs="Times New Roman"/>
                <w:color w:val="FF0000"/>
                <w:sz w:val="24"/>
              </w:rPr>
            </w:pPr>
            <w:r>
              <w:rPr>
                <w:rFonts w:hint="default" w:ascii="Times New Roman" w:hAnsi="Times New Roman" w:cs="Times New Roman"/>
                <w:color w:val="FF0000"/>
                <w:sz w:val="24"/>
              </w:rPr>
              <w:t>（4）《报废机动车拆解企业污染控制技术规范》（HJ348-2022）要求</w:t>
            </w:r>
          </w:p>
          <w:p w14:paraId="70B97A47">
            <w:pPr>
              <w:tabs>
                <w:tab w:val="left" w:pos="4800"/>
              </w:tabs>
              <w:spacing w:line="360" w:lineRule="auto"/>
              <w:ind w:firstLine="480" w:firstLineChars="200"/>
              <w:rPr>
                <w:rFonts w:hint="default" w:ascii="Times New Roman" w:hAnsi="Times New Roman" w:cs="Times New Roman"/>
                <w:color w:val="FF0000"/>
                <w:sz w:val="24"/>
              </w:rPr>
            </w:pPr>
            <w:r>
              <w:rPr>
                <w:rFonts w:hint="default" w:ascii="Times New Roman" w:hAnsi="Times New Roman" w:cs="Times New Roman"/>
                <w:color w:val="FF0000"/>
                <w:sz w:val="24"/>
              </w:rPr>
              <w:t>根据《报废机动车拆解企业污染控制技术规范》（HJ348-2022），本项目固体废物厂区管理还需满足以下要求：</w:t>
            </w:r>
          </w:p>
          <w:p w14:paraId="1694D9C0">
            <w:pPr>
              <w:tabs>
                <w:tab w:val="left" w:pos="4800"/>
              </w:tabs>
              <w:spacing w:line="360" w:lineRule="auto"/>
              <w:ind w:firstLine="480" w:firstLineChars="200"/>
              <w:rPr>
                <w:rFonts w:hint="default" w:ascii="Times New Roman" w:hAnsi="Times New Roman" w:cs="Times New Roman"/>
                <w:color w:val="FF0000"/>
                <w:sz w:val="24"/>
              </w:rPr>
            </w:pPr>
            <w:r>
              <w:rPr>
                <w:rFonts w:hint="default" w:ascii="Times New Roman" w:hAnsi="Times New Roman" w:cs="Times New Roman"/>
                <w:color w:val="FF0000"/>
                <w:sz w:val="24"/>
              </w:rPr>
              <w:t>①危险废物贮存区应设置液体导流和收集装置，地面应无液体积聚，如有冲洗废水应纳入废水收集处理设施处理；</w:t>
            </w:r>
          </w:p>
          <w:p w14:paraId="67725A36">
            <w:pPr>
              <w:tabs>
                <w:tab w:val="left" w:pos="4800"/>
              </w:tabs>
              <w:spacing w:line="360" w:lineRule="auto"/>
              <w:ind w:firstLine="480" w:firstLineChars="200"/>
              <w:rPr>
                <w:rFonts w:hint="default" w:ascii="Times New Roman" w:hAnsi="Times New Roman" w:cs="Times New Roman"/>
                <w:color w:val="FF0000"/>
                <w:sz w:val="24"/>
              </w:rPr>
            </w:pPr>
            <w:r>
              <w:rPr>
                <w:rFonts w:hint="default" w:ascii="Times New Roman" w:hAnsi="Times New Roman" w:cs="Times New Roman"/>
                <w:color w:val="FF0000"/>
                <w:sz w:val="24"/>
              </w:rPr>
              <w:t>②不同种类的危险废物应单独收集、分类存放，中间有明显间隔；贮存场所应设置警示标识，同时还应满足GB18597中其他相关要求；</w:t>
            </w:r>
          </w:p>
          <w:p w14:paraId="28FBC40D">
            <w:pPr>
              <w:tabs>
                <w:tab w:val="left" w:pos="4800"/>
              </w:tabs>
              <w:spacing w:line="360" w:lineRule="auto"/>
              <w:ind w:firstLine="480" w:firstLineChars="200"/>
              <w:rPr>
                <w:rFonts w:hint="default" w:ascii="Times New Roman" w:hAnsi="Times New Roman" w:cs="Times New Roman"/>
                <w:color w:val="FF0000"/>
                <w:sz w:val="24"/>
              </w:rPr>
            </w:pPr>
            <w:r>
              <w:rPr>
                <w:rFonts w:hint="default" w:ascii="Times New Roman" w:hAnsi="Times New Roman" w:cs="Times New Roman"/>
                <w:color w:val="FF0000"/>
                <w:sz w:val="24"/>
              </w:rPr>
              <w:t>③各贮存区应在显著位置设置标识，标明贮存物的类别、名称、规格、注意事项等，根据其特性合理划分贮存区域，采取必要的隔离措施。</w:t>
            </w:r>
          </w:p>
          <w:p w14:paraId="5D9CF8EB">
            <w:pPr>
              <w:tabs>
                <w:tab w:val="left" w:pos="4800"/>
              </w:tabs>
              <w:spacing w:line="360" w:lineRule="auto"/>
              <w:ind w:firstLine="480" w:firstLineChars="200"/>
              <w:rPr>
                <w:rFonts w:hint="default" w:ascii="Times New Roman" w:hAnsi="Times New Roman" w:cs="Times New Roman"/>
                <w:color w:val="FF0000"/>
                <w:sz w:val="24"/>
              </w:rPr>
            </w:pPr>
            <w:r>
              <w:rPr>
                <w:rFonts w:hint="default" w:ascii="Times New Roman" w:hAnsi="Times New Roman" w:cs="Times New Roman"/>
                <w:color w:val="FF0000"/>
                <w:sz w:val="24"/>
              </w:rPr>
              <w:t>④传统燃料报废机动车在开展拆解作业前，应抽排下列气体及液体：燃油、发动机油、变速器/齿轮箱(包括后差速器和/或分动器)油、动力转向油、制动液等石油基油或者液态合成润滑剂、冷却液、挡风玻璃清洗液、制冷剂等，并使用专用容器回收贮存。操作场所应有防漏、截流和清污措施，抽排挥发性油液时应通过油气回收装置吸收拆解区域内的挥发性气体。防止上述气体及液体遗撒或泄漏。</w:t>
            </w:r>
          </w:p>
          <w:p w14:paraId="6A06332C">
            <w:pPr>
              <w:tabs>
                <w:tab w:val="left" w:pos="4800"/>
              </w:tabs>
              <w:spacing w:line="360" w:lineRule="auto"/>
              <w:ind w:firstLine="480" w:firstLineChars="200"/>
              <w:rPr>
                <w:rFonts w:hint="default" w:ascii="Times New Roman" w:hAnsi="Times New Roman" w:cs="Times New Roman"/>
                <w:color w:val="FF0000"/>
                <w:sz w:val="24"/>
              </w:rPr>
            </w:pPr>
            <w:r>
              <w:rPr>
                <w:rFonts w:hint="default" w:ascii="Times New Roman" w:hAnsi="Times New Roman" w:cs="Times New Roman"/>
                <w:color w:val="FF0000"/>
                <w:sz w:val="24"/>
              </w:rPr>
              <w:t>⑤报废机动车回收拆解企业不应焚烧报废机动车拆解过程中产生的废电线电缆、废轮胎和其他废物。</w:t>
            </w:r>
          </w:p>
          <w:p w14:paraId="0AE61D18">
            <w:pPr>
              <w:tabs>
                <w:tab w:val="left" w:pos="4800"/>
              </w:tabs>
              <w:spacing w:line="360" w:lineRule="auto"/>
              <w:ind w:firstLine="480" w:firstLineChars="200"/>
              <w:rPr>
                <w:rFonts w:hint="default" w:ascii="Times New Roman" w:hAnsi="Times New Roman" w:cs="Times New Roman"/>
                <w:color w:val="FF0000"/>
                <w:sz w:val="24"/>
              </w:rPr>
            </w:pPr>
            <w:r>
              <w:rPr>
                <w:rFonts w:hint="default" w:ascii="Times New Roman" w:hAnsi="Times New Roman" w:cs="Times New Roman"/>
                <w:color w:val="FF0000"/>
                <w:sz w:val="24"/>
              </w:rPr>
              <w:t>⑥报废机动车拆解产生的废旧玻璃、报废机动车破碎残余物、引爆后的安全气囊等应避免危险废物的沾染，未沾染危险废物的应按一般工业固体废物进行管理。</w:t>
            </w:r>
          </w:p>
          <w:p w14:paraId="38F6C9BB">
            <w:pPr>
              <w:tabs>
                <w:tab w:val="left" w:pos="4800"/>
              </w:tabs>
              <w:spacing w:line="360" w:lineRule="auto"/>
              <w:ind w:firstLine="480" w:firstLineChars="200"/>
              <w:rPr>
                <w:rFonts w:hint="default" w:ascii="Times New Roman" w:hAnsi="Times New Roman" w:cs="Times New Roman"/>
                <w:color w:val="FF0000"/>
                <w:sz w:val="24"/>
              </w:rPr>
            </w:pPr>
            <w:r>
              <w:rPr>
                <w:rFonts w:hint="default" w:ascii="Times New Roman" w:hAnsi="Times New Roman" w:cs="Times New Roman"/>
                <w:color w:val="FF0000"/>
                <w:sz w:val="24"/>
              </w:rPr>
              <w:t>⑦报废机动车拆解产生的废铅蓄电池、废矿物油、废电路板、废尾气净化催化剂以及含有或沾染危险废物的废弃包装物、容器等依据《国家危险废物名录》属于危险废物的，应按照危险废物贮存管理相关要求进行分区、分类贮存。</w:t>
            </w:r>
          </w:p>
          <w:p w14:paraId="6EA5E49F">
            <w:pPr>
              <w:tabs>
                <w:tab w:val="left" w:pos="4800"/>
              </w:tabs>
              <w:spacing w:line="360" w:lineRule="auto"/>
              <w:ind w:firstLine="480" w:firstLineChars="200"/>
              <w:rPr>
                <w:rFonts w:hint="default" w:ascii="Times New Roman" w:hAnsi="Times New Roman" w:cs="Times New Roman"/>
                <w:color w:val="FF0000"/>
                <w:sz w:val="24"/>
              </w:rPr>
            </w:pPr>
            <w:r>
              <w:rPr>
                <w:rFonts w:hint="default" w:ascii="Times New Roman" w:hAnsi="Times New Roman" w:cs="Times New Roman"/>
                <w:color w:val="FF0000"/>
                <w:sz w:val="24"/>
              </w:rPr>
              <w:t>⑧报废机动车回收拆解企业不应倾倒铅蓄电池内的电解液、铅块和铅膏等废物。对于破损的铅蓄池，应单独贮存，并采取防止电解液泄漏的措施。贮存过程污染控制要求：</w:t>
            </w:r>
          </w:p>
          <w:p w14:paraId="6D4091DC">
            <w:pPr>
              <w:tabs>
                <w:tab w:val="left" w:pos="4800"/>
              </w:tabs>
              <w:spacing w:line="360" w:lineRule="auto"/>
              <w:ind w:firstLine="480" w:firstLineChars="200"/>
              <w:rPr>
                <w:rFonts w:hint="default" w:ascii="Times New Roman" w:hAnsi="Times New Roman" w:cs="Times New Roman"/>
                <w:color w:val="FF0000"/>
                <w:sz w:val="24"/>
              </w:rPr>
            </w:pPr>
            <w:r>
              <w:rPr>
                <w:rFonts w:hint="default" w:ascii="Times New Roman" w:hAnsi="Times New Roman" w:cs="Times New Roman"/>
                <w:color w:val="FF0000"/>
                <w:sz w:val="24"/>
              </w:rPr>
              <w:t>⑨报废机动车拆解产生的产物和固体废物应合理分类，不能自行利用处置的，分别委托具有相关资质、相应处理能力或经营范围的单位利用和处置。</w:t>
            </w:r>
          </w:p>
          <w:p w14:paraId="6128868D">
            <w:pPr>
              <w:tabs>
                <w:tab w:val="left" w:pos="4800"/>
              </w:tabs>
              <w:spacing w:line="360" w:lineRule="auto"/>
              <w:ind w:firstLine="480" w:firstLineChars="200"/>
              <w:rPr>
                <w:rFonts w:hint="default" w:ascii="Times New Roman" w:hAnsi="Times New Roman" w:cs="Times New Roman"/>
                <w:color w:val="FF0000"/>
                <w:sz w:val="24"/>
              </w:rPr>
            </w:pPr>
            <w:r>
              <w:rPr>
                <w:rFonts w:hint="default" w:ascii="Times New Roman" w:hAnsi="Times New Roman" w:cs="Times New Roman"/>
                <w:color w:val="FF0000"/>
                <w:sz w:val="24"/>
              </w:rPr>
              <w:t>⑩报废机动车拆解产物应符合国家及地方处理处置要求。</w:t>
            </w:r>
          </w:p>
          <w:p w14:paraId="6ABEC322">
            <w:pPr>
              <w:tabs>
                <w:tab w:val="left" w:pos="4800"/>
              </w:tabs>
              <w:spacing w:line="360" w:lineRule="auto"/>
              <w:ind w:firstLine="480" w:firstLineChars="200"/>
              <w:rPr>
                <w:rFonts w:hint="default" w:ascii="Times New Roman" w:hAnsi="Times New Roman" w:cs="Times New Roman"/>
                <w:color w:val="FF0000"/>
                <w:sz w:val="24"/>
              </w:rPr>
            </w:pPr>
            <w:r>
              <w:rPr>
                <w:rFonts w:hint="default" w:ascii="Times New Roman" w:hAnsi="Times New Roman" w:cs="Times New Roman"/>
                <w:color w:val="FF0000"/>
                <w:sz w:val="24"/>
              </w:rPr>
              <w:t>⑪报废机动车油箱中的燃料(汽油、柴油、天然气、液化石油气、甲醇等)应分类收集。</w:t>
            </w:r>
          </w:p>
          <w:p w14:paraId="3350EF7B">
            <w:pPr>
              <w:tabs>
                <w:tab w:val="left" w:pos="4800"/>
              </w:tabs>
              <w:spacing w:line="360" w:lineRule="auto"/>
              <w:ind w:firstLine="480" w:firstLineChars="200"/>
              <w:rPr>
                <w:rFonts w:hint="default" w:ascii="Times New Roman" w:hAnsi="Times New Roman" w:cs="Times New Roman"/>
                <w:color w:val="FF0000"/>
                <w:sz w:val="24"/>
              </w:rPr>
            </w:pPr>
            <w:r>
              <w:rPr>
                <w:rFonts w:hint="default" w:ascii="Times New Roman" w:hAnsi="Times New Roman" w:cs="Times New Roman"/>
                <w:color w:val="FF0000"/>
                <w:sz w:val="24"/>
              </w:rPr>
              <w:t>⑫禁止一般工业固体废物中混入危险废物中。</w:t>
            </w:r>
          </w:p>
          <w:p w14:paraId="43000C63">
            <w:pPr>
              <w:tabs>
                <w:tab w:val="left" w:pos="4800"/>
              </w:tabs>
              <w:spacing w:line="360" w:lineRule="auto"/>
              <w:ind w:firstLine="480" w:firstLineChars="200"/>
              <w:rPr>
                <w:rFonts w:hint="default" w:ascii="Times New Roman" w:hAnsi="Times New Roman" w:cs="Times New Roman"/>
                <w:color w:val="FF0000"/>
                <w:sz w:val="24"/>
              </w:rPr>
            </w:pPr>
            <w:r>
              <w:rPr>
                <w:rFonts w:hint="default" w:ascii="Times New Roman" w:hAnsi="Times New Roman" w:cs="Times New Roman"/>
                <w:color w:val="FF0000"/>
                <w:sz w:val="24"/>
              </w:rPr>
              <w:t>⑬企业应建立、健全一般工业固体废物污染环境防治责任制度，采取以下措施防止造成环境污染：</w:t>
            </w:r>
          </w:p>
          <w:p w14:paraId="73E80F79">
            <w:pPr>
              <w:tabs>
                <w:tab w:val="left" w:pos="4800"/>
              </w:tabs>
              <w:spacing w:line="360" w:lineRule="auto"/>
              <w:ind w:firstLine="480" w:firstLineChars="200"/>
              <w:rPr>
                <w:rFonts w:hint="default" w:ascii="Times New Roman" w:hAnsi="Times New Roman" w:cs="Times New Roman"/>
                <w:color w:val="FF0000"/>
                <w:sz w:val="24"/>
              </w:rPr>
            </w:pPr>
            <w:r>
              <w:rPr>
                <w:rFonts w:hint="default" w:ascii="Times New Roman" w:hAnsi="Times New Roman" w:cs="Times New Roman"/>
                <w:color w:val="FF0000"/>
                <w:sz w:val="24"/>
              </w:rPr>
              <w:t>a)建立一般工业固体废物台账记录，应满足一般工业固体废物管理台账制定指南相关要求；</w:t>
            </w:r>
          </w:p>
          <w:p w14:paraId="28A6892C">
            <w:pPr>
              <w:tabs>
                <w:tab w:val="left" w:pos="4800"/>
              </w:tabs>
              <w:spacing w:line="360" w:lineRule="auto"/>
              <w:ind w:firstLine="480" w:firstLineChars="200"/>
              <w:rPr>
                <w:rFonts w:hint="default" w:ascii="Times New Roman" w:hAnsi="Times New Roman" w:cs="Times New Roman"/>
                <w:color w:val="FF0000"/>
                <w:sz w:val="24"/>
              </w:rPr>
            </w:pPr>
            <w:r>
              <w:rPr>
                <w:rFonts w:hint="default" w:ascii="Times New Roman" w:hAnsi="Times New Roman" w:cs="Times New Roman"/>
                <w:color w:val="FF0000"/>
                <w:sz w:val="24"/>
              </w:rPr>
              <w:t>b)分类收集后贮存应设置标识标签，注明拆解产物的名称、贮存时间、数量等信息；贮存过程应采取防止货物和包装损坏或泄漏。</w:t>
            </w:r>
          </w:p>
          <w:p w14:paraId="17E92C56">
            <w:pPr>
              <w:tabs>
                <w:tab w:val="left" w:pos="4800"/>
              </w:tabs>
              <w:spacing w:line="360" w:lineRule="auto"/>
              <w:ind w:firstLine="480" w:firstLineChars="200"/>
              <w:rPr>
                <w:rFonts w:hint="default" w:ascii="Times New Roman" w:hAnsi="Times New Roman" w:cs="Times New Roman"/>
                <w:color w:val="FF0000"/>
                <w:sz w:val="24"/>
              </w:rPr>
            </w:pPr>
            <w:r>
              <w:rPr>
                <w:rFonts w:hint="default" w:ascii="Times New Roman" w:hAnsi="Times New Roman" w:cs="Times New Roman"/>
                <w:color w:val="FF0000"/>
                <w:sz w:val="24"/>
              </w:rPr>
              <w:t>⑩企业应建立、健全污染环境防治责任制度，采取以下措施严格控制危险废 物造成环境污染：</w:t>
            </w:r>
          </w:p>
          <w:p w14:paraId="6756A06D">
            <w:pPr>
              <w:tabs>
                <w:tab w:val="left" w:pos="4800"/>
              </w:tabs>
              <w:spacing w:line="360" w:lineRule="auto"/>
              <w:ind w:firstLine="480" w:firstLineChars="200"/>
              <w:rPr>
                <w:rFonts w:hint="default" w:ascii="Times New Roman" w:hAnsi="Times New Roman" w:cs="Times New Roman"/>
                <w:color w:val="FF0000"/>
                <w:sz w:val="24"/>
              </w:rPr>
            </w:pPr>
            <w:r>
              <w:rPr>
                <w:rFonts w:hint="default" w:ascii="Times New Roman" w:hAnsi="Times New Roman" w:cs="Times New Roman"/>
                <w:color w:val="FF0000"/>
                <w:sz w:val="24"/>
              </w:rPr>
              <w:t>a)制定危险废物管理计划和建立危险废物台账记录，应满足 HJ1259 相关要求；</w:t>
            </w:r>
          </w:p>
          <w:p w14:paraId="015576DA">
            <w:pPr>
              <w:tabs>
                <w:tab w:val="left" w:pos="4800"/>
              </w:tabs>
              <w:spacing w:line="360" w:lineRule="auto"/>
              <w:ind w:firstLine="480" w:firstLineChars="200"/>
              <w:rPr>
                <w:rFonts w:hint="default" w:ascii="Times New Roman" w:hAnsi="Times New Roman" w:cs="Times New Roman"/>
                <w:color w:val="FF0000"/>
                <w:sz w:val="24"/>
              </w:rPr>
            </w:pPr>
            <w:r>
              <w:rPr>
                <w:rFonts w:hint="default" w:ascii="Times New Roman" w:hAnsi="Times New Roman" w:cs="Times New Roman"/>
                <w:color w:val="FF0000"/>
                <w:sz w:val="24"/>
              </w:rPr>
              <w:t>b)交由持有危险废物经营许可证并具有相关经营范围的企业进行处理，并签 订委托处理合同；</w:t>
            </w:r>
          </w:p>
          <w:p w14:paraId="46BD4955">
            <w:pPr>
              <w:tabs>
                <w:tab w:val="left" w:pos="4800"/>
              </w:tabs>
              <w:spacing w:line="360" w:lineRule="auto"/>
              <w:ind w:firstLine="480" w:firstLineChars="200"/>
              <w:rPr>
                <w:rFonts w:hint="default" w:ascii="Times New Roman" w:hAnsi="Times New Roman" w:cs="Times New Roman"/>
                <w:color w:val="FF0000"/>
                <w:sz w:val="24"/>
              </w:rPr>
            </w:pPr>
            <w:r>
              <w:rPr>
                <w:rFonts w:hint="default" w:ascii="Times New Roman" w:hAnsi="Times New Roman" w:cs="Times New Roman"/>
                <w:color w:val="FF0000"/>
                <w:sz w:val="24"/>
              </w:rPr>
              <w:t>c)拆解过程产生的固体废物危险特性不明时，按照相关要求开展危险废物鉴别工作；</w:t>
            </w:r>
          </w:p>
          <w:p w14:paraId="66B32E4D">
            <w:pPr>
              <w:tabs>
                <w:tab w:val="left" w:pos="4800"/>
              </w:tabs>
              <w:spacing w:line="360" w:lineRule="auto"/>
              <w:ind w:firstLine="480" w:firstLineChars="200"/>
              <w:rPr>
                <w:rFonts w:hint="default" w:ascii="Times New Roman" w:hAnsi="Times New Roman" w:cs="Times New Roman"/>
                <w:color w:val="FF0000"/>
                <w:sz w:val="24"/>
              </w:rPr>
            </w:pPr>
            <w:r>
              <w:rPr>
                <w:rFonts w:hint="default" w:ascii="Times New Roman" w:hAnsi="Times New Roman" w:cs="Times New Roman"/>
                <w:color w:val="FF0000"/>
                <w:sz w:val="24"/>
              </w:rPr>
              <w:t>d)转移危险废物时，应严格执行《危险废物转移管理办法》有关要求。</w:t>
            </w:r>
          </w:p>
          <w:p w14:paraId="03041EE9">
            <w:pPr>
              <w:tabs>
                <w:tab w:val="left" w:pos="4800"/>
              </w:tabs>
              <w:spacing w:line="360" w:lineRule="auto"/>
              <w:ind w:firstLine="480" w:firstLineChars="200"/>
              <w:rPr>
                <w:rFonts w:hint="default" w:ascii="Times New Roman" w:hAnsi="Times New Roman" w:eastAsia="宋体" w:cs="Times New Roman"/>
                <w:color w:val="FF0000"/>
                <w:sz w:val="24"/>
                <w:lang w:val="en-US" w:eastAsia="zh-CN"/>
              </w:rPr>
            </w:pPr>
            <w:r>
              <w:rPr>
                <w:rFonts w:hint="default" w:ascii="Times New Roman" w:hAnsi="Times New Roman" w:cs="Times New Roman"/>
                <w:color w:val="FF0000"/>
                <w:sz w:val="24"/>
              </w:rPr>
              <w:t>建设单位产生危险废物存至厂区</w:t>
            </w:r>
            <w:r>
              <w:rPr>
                <w:rFonts w:hint="default" w:ascii="Times New Roman" w:hAnsi="Times New Roman" w:cs="Times New Roman"/>
                <w:color w:val="FF0000"/>
                <w:sz w:val="24"/>
                <w:lang w:eastAsia="zh-CN"/>
              </w:rPr>
              <w:t>危废贮存点</w:t>
            </w:r>
            <w:r>
              <w:rPr>
                <w:rFonts w:hint="default" w:ascii="Times New Roman" w:hAnsi="Times New Roman" w:cs="Times New Roman"/>
                <w:color w:val="FF0000"/>
                <w:sz w:val="24"/>
              </w:rPr>
              <w:t>，定期由有资质的危险废物 处理单位进行转运、处理。建设单位需和危废处理单位签订危废合同，在委托运输和处理过程中，必须严格遵守危险废物的管理及处置处理规定。</w:t>
            </w:r>
            <w:r>
              <w:rPr>
                <w:rFonts w:hint="eastAsia" w:cs="Times New Roman"/>
                <w:color w:val="FF0000"/>
                <w:sz w:val="24"/>
                <w:lang w:val="en-US" w:eastAsia="zh-CN"/>
              </w:rPr>
              <w:t xml:space="preserve"> </w:t>
            </w:r>
          </w:p>
          <w:p w14:paraId="55D2F600">
            <w:pPr>
              <w:tabs>
                <w:tab w:val="left" w:pos="4800"/>
              </w:tabs>
              <w:snapToGrid w:val="0"/>
              <w:spacing w:line="360" w:lineRule="auto"/>
              <w:jc w:val="center"/>
              <w:rPr>
                <w:rFonts w:hint="default" w:ascii="Times New Roman" w:hAnsi="Times New Roman" w:cs="Times New Roman"/>
                <w:b/>
                <w:bCs/>
                <w:color w:val="auto"/>
                <w:sz w:val="21"/>
                <w:szCs w:val="21"/>
                <w:lang w:val="en-US" w:eastAsia="zh-CN"/>
              </w:rPr>
            </w:pPr>
            <w:r>
              <w:rPr>
                <w:rFonts w:hint="default" w:ascii="Times New Roman" w:hAnsi="Times New Roman" w:cs="Times New Roman"/>
                <w:color w:val="auto"/>
              </w:rPr>
              <w:drawing>
                <wp:inline distT="0" distB="0" distL="114300" distR="114300">
                  <wp:extent cx="5262880" cy="1827530"/>
                  <wp:effectExtent l="0" t="0" r="13970" b="1270"/>
                  <wp:docPr id="1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
                          <pic:cNvPicPr>
                            <a:picLocks noChangeAspect="1"/>
                          </pic:cNvPicPr>
                        </pic:nvPicPr>
                        <pic:blipFill>
                          <a:blip r:embed="rId44"/>
                          <a:stretch>
                            <a:fillRect/>
                          </a:stretch>
                        </pic:blipFill>
                        <pic:spPr>
                          <a:xfrm>
                            <a:off x="0" y="0"/>
                            <a:ext cx="5262880" cy="1827530"/>
                          </a:xfrm>
                          <a:prstGeom prst="rect">
                            <a:avLst/>
                          </a:prstGeom>
                          <a:noFill/>
                          <a:ln>
                            <a:noFill/>
                          </a:ln>
                        </pic:spPr>
                      </pic:pic>
                    </a:graphicData>
                  </a:graphic>
                </wp:inline>
              </w:drawing>
            </w:r>
          </w:p>
          <w:p w14:paraId="4D098442">
            <w:pPr>
              <w:tabs>
                <w:tab w:val="left" w:pos="4800"/>
              </w:tabs>
              <w:snapToGrid w:val="0"/>
              <w:spacing w:line="360" w:lineRule="auto"/>
              <w:jc w:val="center"/>
              <w:rPr>
                <w:rFonts w:hint="default" w:ascii="Times New Roman" w:hAnsi="Times New Roman" w:cs="Times New Roman"/>
                <w:b/>
                <w:bCs/>
                <w:color w:val="auto"/>
                <w:sz w:val="21"/>
                <w:szCs w:val="21"/>
                <w:lang w:val="en-US" w:eastAsia="zh-CN"/>
              </w:rPr>
            </w:pPr>
            <w:r>
              <w:rPr>
                <w:rFonts w:hint="default" w:ascii="Times New Roman" w:hAnsi="Times New Roman" w:eastAsia="宋体" w:cs="Times New Roman"/>
                <w:b/>
                <w:bCs/>
                <w:color w:val="auto"/>
                <w:sz w:val="21"/>
                <w:szCs w:val="21"/>
                <w:lang w:eastAsia="zh-CN"/>
              </w:rPr>
              <w:t>图</w:t>
            </w:r>
            <w:r>
              <w:rPr>
                <w:rFonts w:hint="default" w:ascii="Times New Roman" w:hAnsi="Times New Roman" w:eastAsia="宋体" w:cs="Times New Roman"/>
                <w:b/>
                <w:bCs/>
                <w:color w:val="auto"/>
                <w:sz w:val="21"/>
                <w:szCs w:val="21"/>
                <w:lang w:val="en-US" w:eastAsia="zh-CN"/>
              </w:rPr>
              <w:t>4-</w:t>
            </w:r>
            <w:r>
              <w:rPr>
                <w:rFonts w:hint="eastAsia" w:cs="Times New Roman"/>
                <w:b/>
                <w:bCs/>
                <w:color w:val="auto"/>
                <w:sz w:val="21"/>
                <w:szCs w:val="21"/>
                <w:lang w:val="en-US" w:eastAsia="zh-CN"/>
              </w:rPr>
              <w:t>1</w:t>
            </w:r>
            <w:r>
              <w:rPr>
                <w:rFonts w:hint="default" w:ascii="Times New Roman" w:hAnsi="Times New Roman" w:cs="Times New Roman"/>
                <w:b/>
                <w:bCs/>
                <w:color w:val="auto"/>
                <w:sz w:val="21"/>
                <w:szCs w:val="21"/>
                <w:lang w:val="en-US" w:eastAsia="zh-CN"/>
              </w:rPr>
              <w:t xml:space="preserve"> </w:t>
            </w:r>
            <w:r>
              <w:rPr>
                <w:rFonts w:hint="default" w:ascii="Times New Roman" w:hAnsi="Times New Roman" w:eastAsia="宋体" w:cs="Times New Roman"/>
                <w:b/>
                <w:bCs/>
                <w:color w:val="auto"/>
                <w:sz w:val="21"/>
                <w:szCs w:val="21"/>
                <w:lang w:val="en-US" w:eastAsia="zh-CN"/>
              </w:rPr>
              <w:t xml:space="preserve"> </w:t>
            </w:r>
            <w:r>
              <w:rPr>
                <w:rFonts w:hint="default" w:ascii="Times New Roman" w:hAnsi="Times New Roman" w:cs="Times New Roman"/>
                <w:b/>
                <w:bCs/>
                <w:color w:val="auto"/>
                <w:sz w:val="21"/>
                <w:szCs w:val="21"/>
                <w:lang w:val="en-US" w:eastAsia="zh-CN"/>
              </w:rPr>
              <w:t>危险废物转移处置记录单</w:t>
            </w:r>
          </w:p>
          <w:p w14:paraId="50228971">
            <w:pPr>
              <w:tabs>
                <w:tab w:val="left" w:pos="4800"/>
              </w:tabs>
              <w:spacing w:line="360" w:lineRule="auto"/>
              <w:ind w:firstLine="480" w:firstLineChars="200"/>
              <w:rPr>
                <w:rFonts w:hint="default" w:ascii="Times New Roman" w:hAnsi="Times New Roman" w:cs="Times New Roman"/>
                <w:color w:val="FF0000"/>
                <w:sz w:val="24"/>
              </w:rPr>
            </w:pPr>
            <w:r>
              <w:rPr>
                <w:rFonts w:hint="default" w:ascii="Times New Roman" w:hAnsi="Times New Roman" w:cs="Times New Roman"/>
                <w:color w:val="FF0000"/>
                <w:sz w:val="24"/>
              </w:rPr>
              <w:t>对于本项目所产生的上述固体废物，危险废物收集后委托有资质的单位处理，并做好台账，记录转运情况，符合国家有关危险废物处置的有关规定和标准要求。一般固体废物收集后送一般工业固废废物处置场处置，生活垃圾由环卫部门清运处置，均符合国家有关一般性固体废物处置的有关规定和标准要求。</w:t>
            </w:r>
          </w:p>
          <w:p w14:paraId="1E068614">
            <w:pPr>
              <w:keepNext w:val="0"/>
              <w:keepLines w:val="0"/>
              <w:pageBreakBefore w:val="0"/>
              <w:widowControl w:val="0"/>
              <w:numPr>
                <w:ilvl w:val="0"/>
                <w:numId w:val="0"/>
              </w:numPr>
              <w:tabs>
                <w:tab w:val="left" w:pos="4665"/>
                <w:tab w:val="left" w:pos="8970"/>
              </w:tabs>
              <w:kinsoku/>
              <w:wordWrap/>
              <w:overflowPunct/>
              <w:topLinePunct w:val="0"/>
              <w:autoSpaceDE/>
              <w:autoSpaceDN/>
              <w:bidi w:val="0"/>
              <w:adjustRightInd/>
              <w:snapToGrid/>
              <w:spacing w:line="360" w:lineRule="auto"/>
              <w:ind w:left="420" w:leftChars="0" w:firstLine="0" w:firstLineChars="0"/>
              <w:jc w:val="both"/>
              <w:textAlignment w:val="auto"/>
              <w:rPr>
                <w:rFonts w:hint="default" w:ascii="Times New Roman" w:hAnsi="Times New Roman" w:eastAsia="宋体" w:cs="Times New Roman"/>
                <w:b w:val="0"/>
                <w:bCs w:val="0"/>
                <w:color w:val="FF0000"/>
                <w:kern w:val="0"/>
                <w:sz w:val="24"/>
                <w:szCs w:val="24"/>
                <w:lang w:val="en-US" w:eastAsia="zh-CN" w:bidi="ar"/>
              </w:rPr>
            </w:pPr>
            <w:r>
              <w:rPr>
                <w:rFonts w:hint="default" w:ascii="Times New Roman" w:hAnsi="Times New Roman" w:eastAsia="宋体" w:cs="Times New Roman"/>
                <w:b w:val="0"/>
                <w:bCs w:val="0"/>
                <w:color w:val="FF0000"/>
                <w:kern w:val="0"/>
                <w:sz w:val="24"/>
                <w:szCs w:val="24"/>
                <w:lang w:val="en-US" w:eastAsia="zh-CN" w:bidi="ar"/>
              </w:rPr>
              <w:t>（</w:t>
            </w:r>
            <w:r>
              <w:rPr>
                <w:rFonts w:hint="eastAsia" w:cs="Times New Roman"/>
                <w:b w:val="0"/>
                <w:bCs w:val="0"/>
                <w:color w:val="FF0000"/>
                <w:kern w:val="0"/>
                <w:sz w:val="24"/>
                <w:szCs w:val="24"/>
                <w:lang w:val="en-US" w:eastAsia="zh-CN" w:bidi="ar"/>
              </w:rPr>
              <w:t>5</w:t>
            </w:r>
            <w:r>
              <w:rPr>
                <w:rFonts w:hint="default" w:ascii="Times New Roman" w:hAnsi="Times New Roman" w:eastAsia="宋体" w:cs="Times New Roman"/>
                <w:b w:val="0"/>
                <w:bCs w:val="0"/>
                <w:color w:val="FF0000"/>
                <w:kern w:val="0"/>
                <w:sz w:val="24"/>
                <w:szCs w:val="24"/>
                <w:lang w:val="en-US" w:eastAsia="zh-CN" w:bidi="ar"/>
              </w:rPr>
              <w:t>）</w:t>
            </w:r>
            <w:r>
              <w:rPr>
                <w:rFonts w:hint="default" w:ascii="Times New Roman" w:hAnsi="Times New Roman" w:cs="Times New Roman"/>
                <w:b w:val="0"/>
                <w:bCs w:val="0"/>
                <w:color w:val="FF0000"/>
                <w:spacing w:val="0"/>
                <w:kern w:val="2"/>
                <w:position w:val="0"/>
                <w:sz w:val="24"/>
                <w:szCs w:val="24"/>
                <w:lang w:val="en-US" w:eastAsia="zh-CN" w:bidi="ar-SA"/>
              </w:rPr>
              <w:t>废物管理计划、管理台账</w:t>
            </w:r>
          </w:p>
          <w:p w14:paraId="7ABEA9FE">
            <w:pPr>
              <w:keepNext w:val="0"/>
              <w:keepLines w:val="0"/>
              <w:pageBreakBefore w:val="0"/>
              <w:widowControl w:val="0"/>
              <w:numPr>
                <w:ilvl w:val="0"/>
                <w:numId w:val="0"/>
              </w:numPr>
              <w:tabs>
                <w:tab w:val="left" w:pos="4665"/>
                <w:tab w:val="left" w:pos="8970"/>
              </w:tabs>
              <w:kinsoku/>
              <w:wordWrap/>
              <w:overflowPunct/>
              <w:topLinePunct w:val="0"/>
              <w:autoSpaceDE/>
              <w:autoSpaceDN/>
              <w:bidi w:val="0"/>
              <w:adjustRightInd/>
              <w:snapToGrid/>
              <w:spacing w:line="360" w:lineRule="auto"/>
              <w:ind w:left="420" w:leftChars="0"/>
              <w:jc w:val="both"/>
              <w:textAlignment w:val="auto"/>
              <w:rPr>
                <w:rFonts w:hint="default" w:ascii="Times New Roman" w:hAnsi="Times New Roman" w:eastAsia="宋体" w:cs="Times New Roman"/>
                <w:color w:val="FF0000"/>
                <w:kern w:val="0"/>
                <w:sz w:val="24"/>
                <w:szCs w:val="24"/>
                <w:lang w:val="en-US" w:eastAsia="zh-CN" w:bidi="ar"/>
              </w:rPr>
            </w:pPr>
            <w:r>
              <w:rPr>
                <w:rFonts w:hint="default" w:ascii="Times New Roman" w:hAnsi="Times New Roman" w:eastAsia="宋体" w:cs="Times New Roman"/>
                <w:color w:val="FF0000"/>
                <w:kern w:val="0"/>
                <w:sz w:val="24"/>
                <w:szCs w:val="24"/>
                <w:lang w:val="en-US" w:eastAsia="zh-CN" w:bidi="ar"/>
              </w:rPr>
              <w:t>1）一般固体废物</w:t>
            </w:r>
          </w:p>
          <w:p w14:paraId="2E88A8DD">
            <w:pPr>
              <w:keepNext w:val="0"/>
              <w:keepLines w:val="0"/>
              <w:pageBreakBefore w:val="0"/>
              <w:tabs>
                <w:tab w:val="left" w:pos="4800"/>
              </w:tabs>
              <w:kinsoku/>
              <w:wordWrap/>
              <w:overflowPunct/>
              <w:topLinePunct w:val="0"/>
              <w:autoSpaceDE/>
              <w:autoSpaceDN/>
              <w:bidi w:val="0"/>
              <w:adjustRightInd/>
              <w:snapToGrid/>
              <w:spacing w:line="360" w:lineRule="auto"/>
              <w:ind w:right="0" w:firstLine="480" w:firstLineChars="200"/>
              <w:textAlignment w:val="auto"/>
              <w:rPr>
                <w:rFonts w:hint="default" w:ascii="Times New Roman" w:hAnsi="Times New Roman" w:cs="Times New Roman"/>
                <w:color w:val="FF0000"/>
                <w:sz w:val="24"/>
                <w:szCs w:val="24"/>
                <w:highlight w:val="none"/>
                <w:lang w:eastAsia="zh-CN"/>
              </w:rPr>
            </w:pPr>
            <w:r>
              <w:rPr>
                <w:rFonts w:hint="default" w:ascii="Times New Roman" w:hAnsi="Times New Roman" w:cs="Times New Roman"/>
                <w:color w:val="FF0000"/>
                <w:sz w:val="24"/>
                <w:szCs w:val="24"/>
                <w:highlight w:val="none"/>
                <w:lang w:val="en-US" w:eastAsia="zh-CN"/>
              </w:rPr>
              <w:t>企业根据《一般工业固体废物管理台账制定指南（试行）》要求制定一般固体废物</w:t>
            </w:r>
            <w:r>
              <w:rPr>
                <w:rFonts w:hint="default" w:ascii="Times New Roman" w:hAnsi="Times New Roman" w:cs="Times New Roman"/>
                <w:color w:val="FF0000"/>
                <w:sz w:val="24"/>
                <w:szCs w:val="24"/>
                <w:highlight w:val="none"/>
                <w:lang w:eastAsia="zh-CN"/>
              </w:rPr>
              <w:t>管理计划与管理台账；</w:t>
            </w:r>
          </w:p>
          <w:p w14:paraId="7203E8F6">
            <w:pPr>
              <w:keepNext w:val="0"/>
              <w:keepLines w:val="0"/>
              <w:pageBreakBefore w:val="0"/>
              <w:tabs>
                <w:tab w:val="left" w:pos="4800"/>
              </w:tabs>
              <w:kinsoku/>
              <w:wordWrap/>
              <w:overflowPunct/>
              <w:topLinePunct w:val="0"/>
              <w:autoSpaceDE/>
              <w:autoSpaceDN/>
              <w:bidi w:val="0"/>
              <w:adjustRightInd/>
              <w:snapToGrid/>
              <w:spacing w:line="360" w:lineRule="auto"/>
              <w:ind w:right="0" w:firstLine="480" w:firstLineChars="200"/>
              <w:textAlignment w:val="auto"/>
              <w:rPr>
                <w:rFonts w:hint="default" w:ascii="Times New Roman" w:hAnsi="Times New Roman" w:cs="Times New Roman"/>
                <w:color w:val="FF0000"/>
                <w:sz w:val="24"/>
                <w:szCs w:val="24"/>
                <w:highlight w:val="none"/>
                <w:lang w:val="en-US" w:eastAsia="zh-CN"/>
              </w:rPr>
            </w:pPr>
            <w:r>
              <w:rPr>
                <w:rFonts w:hint="default" w:ascii="Times New Roman" w:hAnsi="Times New Roman" w:cs="Times New Roman"/>
                <w:color w:val="FF0000"/>
                <w:sz w:val="24"/>
                <w:szCs w:val="24"/>
                <w:highlight w:val="none"/>
                <w:lang w:val="en-US" w:eastAsia="zh-CN"/>
              </w:rPr>
              <w:t>①分析一般工业固体废物的产生情况。从原辅材料与产品、生产工艺等方面分析固体废物的产生情况，确定固体废物的种类，了解并熟悉所产生固体废物的基本特性。</w:t>
            </w:r>
          </w:p>
          <w:p w14:paraId="06FA6D60">
            <w:pPr>
              <w:keepNext w:val="0"/>
              <w:keepLines w:val="0"/>
              <w:pageBreakBefore w:val="0"/>
              <w:tabs>
                <w:tab w:val="left" w:pos="4800"/>
              </w:tabs>
              <w:kinsoku/>
              <w:wordWrap/>
              <w:overflowPunct/>
              <w:topLinePunct w:val="0"/>
              <w:autoSpaceDE/>
              <w:autoSpaceDN/>
              <w:bidi w:val="0"/>
              <w:adjustRightInd/>
              <w:snapToGrid/>
              <w:spacing w:line="360" w:lineRule="auto"/>
              <w:ind w:right="0" w:firstLine="480" w:firstLineChars="200"/>
              <w:textAlignment w:val="auto"/>
              <w:rPr>
                <w:rFonts w:hint="default" w:ascii="Times New Roman" w:hAnsi="Times New Roman" w:cs="Times New Roman"/>
                <w:color w:val="FF0000"/>
                <w:sz w:val="24"/>
                <w:szCs w:val="24"/>
                <w:highlight w:val="none"/>
                <w:lang w:val="en-US" w:eastAsia="zh-CN"/>
              </w:rPr>
            </w:pPr>
            <w:r>
              <w:rPr>
                <w:rFonts w:hint="default" w:ascii="Times New Roman" w:hAnsi="Times New Roman" w:cs="Times New Roman"/>
                <w:color w:val="FF0000"/>
                <w:sz w:val="24"/>
                <w:szCs w:val="24"/>
                <w:highlight w:val="none"/>
                <w:lang w:val="en-US" w:eastAsia="zh-CN"/>
              </w:rPr>
              <w:t>②明确负责人及相关设施、场地。明确固体废物产生部门、 贮存部门、自行利用部门和自行处置部门负责人，为固体废物产生设施、贮存设施、自行利用设施和自行处置设施编码。</w:t>
            </w:r>
          </w:p>
          <w:p w14:paraId="7ACF195C">
            <w:pPr>
              <w:keepNext w:val="0"/>
              <w:keepLines w:val="0"/>
              <w:pageBreakBefore w:val="0"/>
              <w:tabs>
                <w:tab w:val="left" w:pos="4800"/>
              </w:tabs>
              <w:kinsoku/>
              <w:wordWrap/>
              <w:overflowPunct/>
              <w:topLinePunct w:val="0"/>
              <w:autoSpaceDE/>
              <w:autoSpaceDN/>
              <w:bidi w:val="0"/>
              <w:adjustRightInd/>
              <w:snapToGrid/>
              <w:spacing w:line="360" w:lineRule="auto"/>
              <w:ind w:right="0" w:firstLine="480" w:firstLineChars="200"/>
              <w:textAlignment w:val="auto"/>
              <w:rPr>
                <w:rFonts w:hint="default" w:ascii="Times New Roman" w:hAnsi="Times New Roman" w:cs="Times New Roman"/>
                <w:color w:val="FF0000"/>
                <w:sz w:val="24"/>
                <w:szCs w:val="24"/>
                <w:highlight w:val="none"/>
                <w:lang w:val="en-US" w:eastAsia="zh-CN"/>
              </w:rPr>
            </w:pPr>
            <w:r>
              <w:rPr>
                <w:rFonts w:hint="default" w:ascii="Times New Roman" w:hAnsi="Times New Roman" w:cs="Times New Roman"/>
                <w:color w:val="FF0000"/>
                <w:sz w:val="24"/>
                <w:szCs w:val="24"/>
                <w:highlight w:val="none"/>
                <w:lang w:val="en-US" w:eastAsia="zh-CN"/>
              </w:rPr>
              <w:t>③确定接受委托的利用处置单位。委托他人利用、处置的，应当按照《中华人民共和国固体废物污染环境防治法》第三十七条要求，选择有资格、有能力的利用处置单位。</w:t>
            </w:r>
          </w:p>
          <w:p w14:paraId="08CA1F3F">
            <w:pPr>
              <w:keepNext w:val="0"/>
              <w:keepLines w:val="0"/>
              <w:pageBreakBefore w:val="0"/>
              <w:numPr>
                <w:ilvl w:val="0"/>
                <w:numId w:val="6"/>
              </w:numPr>
              <w:tabs>
                <w:tab w:val="left" w:pos="4800"/>
              </w:tabs>
              <w:kinsoku/>
              <w:wordWrap/>
              <w:overflowPunct/>
              <w:topLinePunct w:val="0"/>
              <w:autoSpaceDE/>
              <w:autoSpaceDN/>
              <w:bidi w:val="0"/>
              <w:adjustRightInd/>
              <w:snapToGrid/>
              <w:spacing w:line="360" w:lineRule="auto"/>
              <w:ind w:right="0" w:firstLine="480" w:firstLineChars="200"/>
              <w:textAlignment w:val="auto"/>
              <w:rPr>
                <w:rFonts w:hint="default" w:ascii="Times New Roman" w:hAnsi="Times New Roman" w:cs="Times New Roman"/>
                <w:color w:val="FF0000"/>
                <w:sz w:val="24"/>
                <w:szCs w:val="24"/>
                <w:highlight w:val="none"/>
                <w:lang w:val="en-US" w:eastAsia="zh-CN"/>
              </w:rPr>
            </w:pPr>
            <w:r>
              <w:rPr>
                <w:rFonts w:hint="default" w:ascii="Times New Roman" w:hAnsi="Times New Roman" w:cs="Times New Roman"/>
                <w:color w:val="FF0000"/>
                <w:sz w:val="24"/>
                <w:szCs w:val="24"/>
                <w:highlight w:val="none"/>
                <w:lang w:val="en-US" w:eastAsia="zh-CN"/>
              </w:rPr>
              <w:t>危险废物</w:t>
            </w:r>
          </w:p>
          <w:p w14:paraId="345394A8">
            <w:pPr>
              <w:keepNext w:val="0"/>
              <w:keepLines w:val="0"/>
              <w:pageBreakBefore w:val="0"/>
              <w:tabs>
                <w:tab w:val="left" w:pos="4800"/>
              </w:tabs>
              <w:kinsoku/>
              <w:wordWrap/>
              <w:overflowPunct/>
              <w:topLinePunct w:val="0"/>
              <w:autoSpaceDE/>
              <w:autoSpaceDN/>
              <w:bidi w:val="0"/>
              <w:adjustRightInd/>
              <w:snapToGrid/>
              <w:spacing w:line="360" w:lineRule="auto"/>
              <w:ind w:right="0" w:firstLine="480" w:firstLineChars="200"/>
              <w:textAlignment w:val="auto"/>
              <w:rPr>
                <w:rFonts w:hint="default" w:ascii="Times New Roman" w:hAnsi="Times New Roman" w:cs="Times New Roman"/>
                <w:color w:val="FF0000"/>
                <w:sz w:val="24"/>
                <w:szCs w:val="24"/>
                <w:highlight w:val="none"/>
                <w:lang w:eastAsia="zh-CN"/>
              </w:rPr>
            </w:pPr>
            <w:r>
              <w:rPr>
                <w:rFonts w:hint="default" w:ascii="Times New Roman" w:hAnsi="Times New Roman" w:cs="Times New Roman"/>
                <w:color w:val="FF0000"/>
                <w:sz w:val="24"/>
                <w:szCs w:val="24"/>
                <w:highlight w:val="none"/>
                <w:lang w:val="en-US" w:eastAsia="zh-CN"/>
              </w:rPr>
              <w:t>企业根据《危险废物管理计划和管理台账制定技术导则》</w:t>
            </w:r>
            <w:r>
              <w:rPr>
                <w:rFonts w:hint="default" w:ascii="Times New Roman" w:hAnsi="Times New Roman" w:eastAsia="宋体" w:cs="Times New Roman"/>
                <w:color w:val="FF0000"/>
                <w:spacing w:val="0"/>
                <w:kern w:val="2"/>
                <w:position w:val="0"/>
                <w:sz w:val="24"/>
                <w:szCs w:val="24"/>
                <w:lang w:val="en-US" w:eastAsia="zh-CN" w:bidi="ar-SA"/>
              </w:rPr>
              <w:t>（</w:t>
            </w:r>
            <w:r>
              <w:rPr>
                <w:rFonts w:hint="default" w:ascii="Times New Roman" w:hAnsi="Times New Roman" w:cs="Times New Roman"/>
                <w:color w:val="FF0000"/>
                <w:spacing w:val="0"/>
                <w:kern w:val="2"/>
                <w:position w:val="0"/>
                <w:sz w:val="24"/>
                <w:szCs w:val="24"/>
                <w:lang w:val="en-US" w:eastAsia="zh-CN" w:bidi="ar-SA"/>
              </w:rPr>
              <w:t>HJ1259-2022</w:t>
            </w:r>
            <w:r>
              <w:rPr>
                <w:rFonts w:hint="default" w:ascii="Times New Roman" w:hAnsi="Times New Roman" w:eastAsia="宋体" w:cs="Times New Roman"/>
                <w:color w:val="FF0000"/>
                <w:spacing w:val="0"/>
                <w:kern w:val="2"/>
                <w:position w:val="0"/>
                <w:sz w:val="24"/>
                <w:szCs w:val="24"/>
                <w:lang w:val="en-US" w:eastAsia="zh-CN" w:bidi="ar-SA"/>
              </w:rPr>
              <w:t>）</w:t>
            </w:r>
            <w:r>
              <w:rPr>
                <w:rFonts w:hint="default" w:ascii="Times New Roman" w:hAnsi="Times New Roman" w:cs="Times New Roman"/>
                <w:color w:val="FF0000"/>
                <w:sz w:val="24"/>
                <w:szCs w:val="24"/>
                <w:highlight w:val="none"/>
                <w:lang w:val="en-US" w:eastAsia="zh-CN"/>
              </w:rPr>
              <w:t>要求制定危险废物</w:t>
            </w:r>
            <w:r>
              <w:rPr>
                <w:rFonts w:hint="default" w:ascii="Times New Roman" w:hAnsi="Times New Roman" w:cs="Times New Roman"/>
                <w:color w:val="FF0000"/>
                <w:sz w:val="24"/>
                <w:szCs w:val="24"/>
                <w:highlight w:val="none"/>
                <w:lang w:eastAsia="zh-CN"/>
              </w:rPr>
              <w:t>管理计划与管理台账；</w:t>
            </w:r>
          </w:p>
          <w:p w14:paraId="1FA0064F">
            <w:pPr>
              <w:keepNext w:val="0"/>
              <w:keepLines w:val="0"/>
              <w:pageBreakBefore w:val="0"/>
              <w:tabs>
                <w:tab w:val="left" w:pos="4800"/>
              </w:tabs>
              <w:kinsoku/>
              <w:wordWrap/>
              <w:overflowPunct/>
              <w:topLinePunct w:val="0"/>
              <w:autoSpaceDE/>
              <w:autoSpaceDN/>
              <w:bidi w:val="0"/>
              <w:adjustRightInd/>
              <w:snapToGrid/>
              <w:spacing w:line="360" w:lineRule="auto"/>
              <w:ind w:right="0" w:firstLine="480" w:firstLineChars="200"/>
              <w:textAlignment w:val="auto"/>
              <w:rPr>
                <w:rFonts w:hint="default" w:ascii="Times New Roman" w:hAnsi="Times New Roman" w:cs="Times New Roman"/>
                <w:color w:val="FF0000"/>
                <w:sz w:val="24"/>
                <w:szCs w:val="24"/>
                <w:highlight w:val="none"/>
                <w:lang w:val="en-US" w:eastAsia="zh-CN"/>
              </w:rPr>
            </w:pPr>
            <w:r>
              <w:rPr>
                <w:rFonts w:hint="default" w:ascii="Times New Roman" w:hAnsi="Times New Roman" w:cs="Times New Roman"/>
                <w:color w:val="FF0000"/>
                <w:sz w:val="24"/>
                <w:szCs w:val="24"/>
                <w:highlight w:val="none"/>
                <w:lang w:eastAsia="zh-CN"/>
              </w:rPr>
              <w:t>①</w:t>
            </w:r>
            <w:r>
              <w:rPr>
                <w:rFonts w:hint="default" w:ascii="Times New Roman" w:hAnsi="Times New Roman" w:cs="Times New Roman"/>
                <w:color w:val="FF0000"/>
                <w:sz w:val="24"/>
                <w:szCs w:val="24"/>
                <w:highlight w:val="none"/>
                <w:lang w:val="en-US" w:eastAsia="zh-CN"/>
              </w:rPr>
              <w:t>危险废物管理计划制定要求</w:t>
            </w:r>
          </w:p>
          <w:p w14:paraId="4D436654">
            <w:pPr>
              <w:keepNext w:val="0"/>
              <w:keepLines w:val="0"/>
              <w:pageBreakBefore w:val="0"/>
              <w:tabs>
                <w:tab w:val="left" w:pos="4800"/>
              </w:tabs>
              <w:kinsoku/>
              <w:wordWrap/>
              <w:overflowPunct/>
              <w:topLinePunct w:val="0"/>
              <w:autoSpaceDE/>
              <w:autoSpaceDN/>
              <w:bidi w:val="0"/>
              <w:adjustRightInd/>
              <w:snapToGrid/>
              <w:spacing w:line="360" w:lineRule="auto"/>
              <w:ind w:right="0" w:firstLine="480" w:firstLineChars="200"/>
              <w:textAlignment w:val="auto"/>
              <w:rPr>
                <w:rFonts w:hint="default" w:ascii="Times New Roman" w:hAnsi="Times New Roman" w:cs="Times New Roman"/>
                <w:color w:val="FF0000"/>
                <w:sz w:val="24"/>
                <w:szCs w:val="24"/>
                <w:highlight w:val="none"/>
                <w:lang w:val="en-US" w:eastAsia="zh-CN"/>
              </w:rPr>
            </w:pPr>
            <w:r>
              <w:rPr>
                <w:rFonts w:hint="default" w:ascii="Times New Roman" w:hAnsi="Times New Roman" w:cs="Times New Roman"/>
                <w:color w:val="FF0000"/>
                <w:sz w:val="24"/>
                <w:szCs w:val="24"/>
                <w:highlight w:val="none"/>
                <w:lang w:val="en-US" w:eastAsia="zh-CN"/>
              </w:rPr>
              <w:t>危险废物登记管理单位的管理计划制定内容应包括单位基本信息、危险废物产生情况信息、危险废物转移情况信息。</w:t>
            </w:r>
          </w:p>
          <w:p w14:paraId="0E48F510">
            <w:pPr>
              <w:keepNext w:val="0"/>
              <w:keepLines w:val="0"/>
              <w:pageBreakBefore w:val="0"/>
              <w:tabs>
                <w:tab w:val="left" w:pos="4800"/>
              </w:tabs>
              <w:kinsoku/>
              <w:wordWrap/>
              <w:overflowPunct/>
              <w:topLinePunct w:val="0"/>
              <w:autoSpaceDE/>
              <w:autoSpaceDN/>
              <w:bidi w:val="0"/>
              <w:adjustRightInd/>
              <w:snapToGrid/>
              <w:spacing w:line="360" w:lineRule="auto"/>
              <w:ind w:right="0" w:firstLine="480" w:firstLineChars="200"/>
              <w:textAlignment w:val="auto"/>
              <w:rPr>
                <w:rFonts w:hint="default" w:ascii="Times New Roman" w:hAnsi="Times New Roman" w:cs="Times New Roman"/>
                <w:color w:val="FF0000"/>
                <w:sz w:val="24"/>
                <w:szCs w:val="24"/>
                <w:highlight w:val="none"/>
                <w:lang w:val="en-US" w:eastAsia="zh-CN"/>
              </w:rPr>
            </w:pPr>
            <w:r>
              <w:rPr>
                <w:rFonts w:hint="default" w:ascii="Times New Roman" w:hAnsi="Times New Roman" w:cs="Times New Roman"/>
                <w:color w:val="FF0000"/>
                <w:sz w:val="24"/>
                <w:szCs w:val="24"/>
                <w:highlight w:val="none"/>
                <w:lang w:val="en-US" w:eastAsia="zh-CN"/>
              </w:rPr>
              <w:t xml:space="preserve">②危险废物管理台账制定要求 </w:t>
            </w:r>
          </w:p>
          <w:p w14:paraId="36DBB27A">
            <w:pPr>
              <w:keepNext w:val="0"/>
              <w:keepLines w:val="0"/>
              <w:pageBreakBefore w:val="0"/>
              <w:tabs>
                <w:tab w:val="left" w:pos="4800"/>
              </w:tabs>
              <w:kinsoku/>
              <w:wordWrap/>
              <w:overflowPunct/>
              <w:topLinePunct w:val="0"/>
              <w:autoSpaceDE/>
              <w:autoSpaceDN/>
              <w:bidi w:val="0"/>
              <w:adjustRightInd/>
              <w:snapToGrid/>
              <w:spacing w:line="360" w:lineRule="auto"/>
              <w:ind w:right="0" w:firstLine="480" w:firstLineChars="200"/>
              <w:textAlignment w:val="auto"/>
              <w:rPr>
                <w:rFonts w:hint="default" w:ascii="Times New Roman" w:hAnsi="Times New Roman" w:cs="Times New Roman"/>
                <w:color w:val="FF0000"/>
                <w:sz w:val="24"/>
                <w:szCs w:val="24"/>
                <w:highlight w:val="none"/>
                <w:lang w:val="en-US" w:eastAsia="zh-CN"/>
              </w:rPr>
            </w:pPr>
            <w:r>
              <w:rPr>
                <w:rFonts w:hint="default" w:ascii="Times New Roman" w:hAnsi="Times New Roman" w:cs="Times New Roman"/>
                <w:color w:val="FF0000"/>
                <w:sz w:val="24"/>
                <w:szCs w:val="24"/>
                <w:highlight w:val="none"/>
                <w:lang w:val="en-US" w:eastAsia="zh-CN"/>
              </w:rPr>
              <w:t xml:space="preserve">产生危险废物的单位应建立危险废物管理台账，落实危险废物管理台账记录的责任人，明确工作职责，并对危险废物管理台账的真实性、准确性和完整性负法律责任。 </w:t>
            </w:r>
          </w:p>
          <w:p w14:paraId="74F446B9">
            <w:pPr>
              <w:keepNext w:val="0"/>
              <w:keepLines w:val="0"/>
              <w:pageBreakBefore w:val="0"/>
              <w:tabs>
                <w:tab w:val="left" w:pos="4800"/>
              </w:tabs>
              <w:kinsoku/>
              <w:wordWrap/>
              <w:overflowPunct/>
              <w:topLinePunct w:val="0"/>
              <w:autoSpaceDE/>
              <w:autoSpaceDN/>
              <w:bidi w:val="0"/>
              <w:adjustRightInd/>
              <w:snapToGrid/>
              <w:spacing w:line="360" w:lineRule="auto"/>
              <w:ind w:right="0" w:firstLine="480" w:firstLineChars="200"/>
              <w:textAlignment w:val="auto"/>
              <w:rPr>
                <w:rFonts w:hint="default" w:ascii="Times New Roman" w:hAnsi="Times New Roman" w:cs="Times New Roman"/>
                <w:color w:val="FF0000"/>
                <w:sz w:val="24"/>
                <w:szCs w:val="24"/>
                <w:highlight w:val="none"/>
                <w:lang w:val="en-US" w:eastAsia="zh-CN"/>
              </w:rPr>
            </w:pPr>
            <w:r>
              <w:rPr>
                <w:rFonts w:hint="default" w:ascii="Times New Roman" w:hAnsi="Times New Roman" w:cs="Times New Roman"/>
                <w:color w:val="FF0000"/>
                <w:sz w:val="24"/>
                <w:szCs w:val="24"/>
                <w:highlight w:val="none"/>
                <w:lang w:val="en-US" w:eastAsia="zh-CN"/>
              </w:rPr>
              <w:t xml:space="preserve">产生危险废物的单位应根据危险废物产生、贮存、利用、处置等环节的动态流向，如实建立各环节的危险废物管理台账。 </w:t>
            </w:r>
          </w:p>
          <w:p w14:paraId="038498F5">
            <w:pPr>
              <w:keepNext w:val="0"/>
              <w:keepLines w:val="0"/>
              <w:pageBreakBefore w:val="0"/>
              <w:tabs>
                <w:tab w:val="left" w:pos="4800"/>
              </w:tabs>
              <w:kinsoku/>
              <w:wordWrap/>
              <w:overflowPunct/>
              <w:topLinePunct w:val="0"/>
              <w:autoSpaceDE/>
              <w:autoSpaceDN/>
              <w:bidi w:val="0"/>
              <w:adjustRightInd/>
              <w:snapToGrid/>
              <w:spacing w:line="360" w:lineRule="auto"/>
              <w:ind w:right="0" w:firstLine="480" w:firstLineChars="200"/>
              <w:textAlignment w:val="auto"/>
              <w:rPr>
                <w:rFonts w:hint="default" w:ascii="Times New Roman" w:hAnsi="Times New Roman" w:cs="Times New Roman"/>
                <w:color w:val="FF0000"/>
                <w:sz w:val="24"/>
                <w:szCs w:val="24"/>
                <w:highlight w:val="none"/>
                <w:lang w:val="en-US" w:eastAsia="zh-CN"/>
              </w:rPr>
            </w:pPr>
            <w:r>
              <w:rPr>
                <w:rFonts w:hint="default" w:ascii="Times New Roman" w:hAnsi="Times New Roman" w:cs="Times New Roman"/>
                <w:color w:val="FF0000"/>
                <w:sz w:val="24"/>
                <w:szCs w:val="24"/>
                <w:highlight w:val="none"/>
                <w:lang w:val="en-US" w:eastAsia="zh-CN"/>
              </w:rPr>
              <w:t>危险废物管理台账分为电子管理台账和纸质管理台账两种形式。产生危险废物的单位可通过国家危险废物信息管理系统、企业自建信息管理系统或第三方平台等方式记录电子管理台账。</w:t>
            </w:r>
          </w:p>
          <w:p w14:paraId="57FF81C1">
            <w:pPr>
              <w:widowControl/>
              <w:spacing w:line="360" w:lineRule="auto"/>
              <w:ind w:firstLine="480" w:firstLineChars="200"/>
              <w:jc w:val="left"/>
              <w:rPr>
                <w:rFonts w:hint="default" w:ascii="Times New Roman" w:hAnsi="Times New Roman" w:cs="Times New Roman"/>
                <w:sz w:val="24"/>
              </w:rPr>
            </w:pPr>
            <w:r>
              <w:rPr>
                <w:rFonts w:hint="default" w:ascii="Times New Roman" w:hAnsi="Times New Roman" w:cs="Times New Roman"/>
                <w:sz w:val="24"/>
              </w:rPr>
              <w:t>（</w:t>
            </w:r>
            <w:r>
              <w:rPr>
                <w:rFonts w:hint="eastAsia" w:cs="Times New Roman"/>
                <w:sz w:val="24"/>
                <w:lang w:val="en-US" w:eastAsia="zh-CN"/>
              </w:rPr>
              <w:t>6</w:t>
            </w:r>
            <w:r>
              <w:rPr>
                <w:rFonts w:hint="default" w:ascii="Times New Roman" w:hAnsi="Times New Roman" w:cs="Times New Roman"/>
                <w:sz w:val="24"/>
              </w:rPr>
              <w:t>）危废标识管理要求</w:t>
            </w:r>
          </w:p>
          <w:p w14:paraId="0021A175">
            <w:pPr>
              <w:pStyle w:val="49"/>
              <w:tabs>
                <w:tab w:val="left" w:pos="4665"/>
                <w:tab w:val="left" w:pos="8970"/>
              </w:tabs>
              <w:spacing w:line="360" w:lineRule="auto"/>
              <w:ind w:firstLine="480" w:firstLineChars="200"/>
              <w:rPr>
                <w:rFonts w:hint="default" w:ascii="Times New Roman" w:hAnsi="Times New Roman" w:eastAsia="宋体" w:cs="Times New Roman"/>
                <w:szCs w:val="24"/>
              </w:rPr>
            </w:pPr>
            <w:r>
              <w:rPr>
                <w:rFonts w:hint="default" w:ascii="Times New Roman" w:hAnsi="Times New Roman" w:eastAsia="宋体" w:cs="Times New Roman"/>
                <w:szCs w:val="24"/>
              </w:rPr>
              <w:t>危险废物贮存设施都必须按HJ1276的规定设置危险废物贮存设施或场所标志、危险废物贮存分区标志和危险废物标签等危险废物识别标志标志</w:t>
            </w:r>
            <w:r>
              <w:rPr>
                <w:rFonts w:hint="default" w:ascii="Times New Roman" w:hAnsi="Times New Roman" w:cs="Times New Roman"/>
                <w:szCs w:val="24"/>
              </w:rPr>
              <w:t>。</w:t>
            </w:r>
          </w:p>
          <w:p w14:paraId="253BBEE7">
            <w:pPr>
              <w:rPr>
                <w:rFonts w:hint="default" w:ascii="Times New Roman" w:hAnsi="Times New Roman" w:cs="Times New Roman"/>
              </w:rPr>
            </w:pPr>
            <w:r>
              <w:rPr>
                <w:rFonts w:hint="default" w:ascii="Times New Roman" w:hAnsi="Times New Roman" w:cs="Times New Roman"/>
              </w:rPr>
              <w:drawing>
                <wp:inline distT="0" distB="0" distL="114300" distR="114300">
                  <wp:extent cx="3677285" cy="2288540"/>
                  <wp:effectExtent l="0" t="0" r="18415" b="16510"/>
                  <wp:docPr id="44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 name="图片 1"/>
                          <pic:cNvPicPr>
                            <a:picLocks noChangeAspect="1"/>
                          </pic:cNvPicPr>
                        </pic:nvPicPr>
                        <pic:blipFill>
                          <a:blip r:embed="rId45"/>
                          <a:srcRect l="2613" t="2066" r="1307" b="2479"/>
                          <a:stretch>
                            <a:fillRect/>
                          </a:stretch>
                        </pic:blipFill>
                        <pic:spPr>
                          <a:xfrm>
                            <a:off x="0" y="0"/>
                            <a:ext cx="3677285" cy="2288540"/>
                          </a:xfrm>
                          <a:prstGeom prst="rect">
                            <a:avLst/>
                          </a:prstGeom>
                          <a:noFill/>
                          <a:ln>
                            <a:noFill/>
                          </a:ln>
                        </pic:spPr>
                      </pic:pic>
                    </a:graphicData>
                  </a:graphic>
                </wp:inline>
              </w:drawing>
            </w:r>
            <w:r>
              <w:rPr>
                <w:rFonts w:hint="default" w:ascii="Times New Roman" w:hAnsi="Times New Roman" w:cs="Times New Roman"/>
              </w:rPr>
              <w:drawing>
                <wp:inline distT="0" distB="0" distL="114300" distR="114300">
                  <wp:extent cx="1522095" cy="2289175"/>
                  <wp:effectExtent l="0" t="0" r="1905" b="15875"/>
                  <wp:docPr id="189"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图片 3"/>
                          <pic:cNvPicPr>
                            <a:picLocks noChangeAspect="1"/>
                          </pic:cNvPicPr>
                        </pic:nvPicPr>
                        <pic:blipFill>
                          <a:blip r:embed="rId46"/>
                          <a:stretch>
                            <a:fillRect/>
                          </a:stretch>
                        </pic:blipFill>
                        <pic:spPr>
                          <a:xfrm>
                            <a:off x="0" y="0"/>
                            <a:ext cx="1522095" cy="2289175"/>
                          </a:xfrm>
                          <a:prstGeom prst="rect">
                            <a:avLst/>
                          </a:prstGeom>
                          <a:noFill/>
                          <a:ln>
                            <a:noFill/>
                          </a:ln>
                        </pic:spPr>
                      </pic:pic>
                    </a:graphicData>
                  </a:graphic>
                </wp:inline>
              </w:drawing>
            </w:r>
          </w:p>
          <w:p w14:paraId="00175CA5">
            <w:pPr>
              <w:pStyle w:val="49"/>
              <w:tabs>
                <w:tab w:val="left" w:pos="4665"/>
                <w:tab w:val="left" w:pos="8970"/>
              </w:tabs>
              <w:spacing w:line="360" w:lineRule="auto"/>
              <w:jc w:val="center"/>
              <w:rPr>
                <w:rFonts w:hint="default" w:ascii="Times New Roman" w:hAnsi="Times New Roman" w:eastAsia="宋体" w:cs="Times New Roman"/>
                <w:b/>
                <w:bCs/>
                <w:sz w:val="21"/>
                <w:szCs w:val="21"/>
              </w:rPr>
            </w:pPr>
            <w:r>
              <w:rPr>
                <w:rFonts w:hint="default" w:ascii="Times New Roman" w:hAnsi="Times New Roman" w:eastAsia="宋体" w:cs="Times New Roman"/>
                <w:b/>
                <w:bCs/>
                <w:sz w:val="21"/>
                <w:szCs w:val="21"/>
              </w:rPr>
              <w:t>图4-</w:t>
            </w:r>
            <w:r>
              <w:rPr>
                <w:rFonts w:hint="eastAsia" w:ascii="Times New Roman" w:hAnsi="Times New Roman" w:eastAsia="宋体" w:cs="Times New Roman"/>
                <w:b/>
                <w:bCs/>
                <w:sz w:val="21"/>
                <w:szCs w:val="21"/>
                <w:lang w:val="en-US" w:eastAsia="zh-CN"/>
              </w:rPr>
              <w:t>5</w:t>
            </w:r>
            <w:r>
              <w:rPr>
                <w:rFonts w:hint="default" w:ascii="Times New Roman" w:hAnsi="Times New Roman" w:eastAsia="宋体" w:cs="Times New Roman"/>
                <w:b/>
                <w:bCs/>
                <w:sz w:val="21"/>
                <w:szCs w:val="21"/>
              </w:rPr>
              <w:t xml:space="preserve">  危险废物贮存设施标志</w:t>
            </w:r>
          </w:p>
          <w:p w14:paraId="1B49D4B3">
            <w:pPr>
              <w:jc w:val="center"/>
              <w:rPr>
                <w:rFonts w:hint="default" w:ascii="Times New Roman" w:hAnsi="Times New Roman" w:cs="Times New Roman"/>
              </w:rPr>
            </w:pPr>
            <w:r>
              <w:rPr>
                <w:rFonts w:hint="default" w:ascii="Times New Roman" w:hAnsi="Times New Roman" w:cs="Times New Roman"/>
              </w:rPr>
              <w:drawing>
                <wp:inline distT="0" distB="0" distL="114300" distR="114300">
                  <wp:extent cx="2875915" cy="2717800"/>
                  <wp:effectExtent l="0" t="0" r="635" b="6350"/>
                  <wp:docPr id="450"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 name="图片 2"/>
                          <pic:cNvPicPr>
                            <a:picLocks noChangeAspect="1"/>
                          </pic:cNvPicPr>
                        </pic:nvPicPr>
                        <pic:blipFill>
                          <a:blip r:embed="rId47"/>
                          <a:srcRect l="2361" t="1935"/>
                          <a:stretch>
                            <a:fillRect/>
                          </a:stretch>
                        </pic:blipFill>
                        <pic:spPr>
                          <a:xfrm>
                            <a:off x="0" y="0"/>
                            <a:ext cx="2875915" cy="2717800"/>
                          </a:xfrm>
                          <a:prstGeom prst="rect">
                            <a:avLst/>
                          </a:prstGeom>
                          <a:noFill/>
                          <a:ln>
                            <a:noFill/>
                          </a:ln>
                        </pic:spPr>
                      </pic:pic>
                    </a:graphicData>
                  </a:graphic>
                </wp:inline>
              </w:drawing>
            </w:r>
          </w:p>
          <w:p w14:paraId="7A7197B0">
            <w:pPr>
              <w:pStyle w:val="49"/>
              <w:tabs>
                <w:tab w:val="left" w:pos="4665"/>
                <w:tab w:val="left" w:pos="8970"/>
              </w:tabs>
              <w:spacing w:line="360" w:lineRule="auto"/>
              <w:jc w:val="center"/>
              <w:rPr>
                <w:rFonts w:hint="default" w:ascii="Times New Roman" w:hAnsi="Times New Roman" w:eastAsia="宋体" w:cs="Times New Roman"/>
                <w:b/>
                <w:bCs/>
                <w:sz w:val="21"/>
                <w:szCs w:val="21"/>
              </w:rPr>
            </w:pPr>
            <w:r>
              <w:rPr>
                <w:rFonts w:hint="default" w:ascii="Times New Roman" w:hAnsi="Times New Roman" w:eastAsia="宋体" w:cs="Times New Roman"/>
                <w:b/>
                <w:bCs/>
                <w:sz w:val="21"/>
                <w:szCs w:val="21"/>
              </w:rPr>
              <w:t>图4-</w:t>
            </w:r>
            <w:r>
              <w:rPr>
                <w:rFonts w:hint="eastAsia" w:ascii="Times New Roman" w:hAnsi="Times New Roman" w:eastAsia="宋体" w:cs="Times New Roman"/>
                <w:b/>
                <w:bCs/>
                <w:sz w:val="21"/>
                <w:szCs w:val="21"/>
                <w:lang w:val="en-US" w:eastAsia="zh-CN"/>
              </w:rPr>
              <w:t>6</w:t>
            </w:r>
            <w:r>
              <w:rPr>
                <w:rFonts w:hint="default" w:ascii="Times New Roman" w:hAnsi="Times New Roman" w:eastAsia="宋体" w:cs="Times New Roman"/>
                <w:b/>
                <w:bCs/>
                <w:sz w:val="21"/>
                <w:szCs w:val="21"/>
              </w:rPr>
              <w:t xml:space="preserve">  危险废物标签</w:t>
            </w:r>
          </w:p>
          <w:p w14:paraId="72D53F68">
            <w:pPr>
              <w:pStyle w:val="49"/>
              <w:tabs>
                <w:tab w:val="left" w:pos="4665"/>
                <w:tab w:val="left" w:pos="8970"/>
              </w:tabs>
              <w:jc w:val="center"/>
              <w:rPr>
                <w:rFonts w:hint="default" w:ascii="Times New Roman" w:hAnsi="Times New Roman" w:eastAsia="宋体" w:cs="Times New Roman"/>
              </w:rPr>
            </w:pPr>
            <w:r>
              <w:rPr>
                <w:rFonts w:hint="default" w:ascii="Times New Roman" w:hAnsi="Times New Roman" w:cs="Times New Roman"/>
              </w:rPr>
              <w:drawing>
                <wp:inline distT="0" distB="0" distL="114300" distR="114300">
                  <wp:extent cx="4925695" cy="3769995"/>
                  <wp:effectExtent l="0" t="0" r="8255" b="1905"/>
                  <wp:docPr id="451"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1" name="图片 4"/>
                          <pic:cNvPicPr>
                            <a:picLocks noChangeAspect="1"/>
                          </pic:cNvPicPr>
                        </pic:nvPicPr>
                        <pic:blipFill>
                          <a:blip r:embed="rId48"/>
                          <a:srcRect t="1544"/>
                          <a:stretch>
                            <a:fillRect/>
                          </a:stretch>
                        </pic:blipFill>
                        <pic:spPr>
                          <a:xfrm>
                            <a:off x="0" y="0"/>
                            <a:ext cx="4925695" cy="3769995"/>
                          </a:xfrm>
                          <a:prstGeom prst="rect">
                            <a:avLst/>
                          </a:prstGeom>
                          <a:noFill/>
                          <a:ln>
                            <a:noFill/>
                          </a:ln>
                        </pic:spPr>
                      </pic:pic>
                    </a:graphicData>
                  </a:graphic>
                </wp:inline>
              </w:drawing>
            </w:r>
          </w:p>
          <w:p w14:paraId="79EE7E60">
            <w:pPr>
              <w:tabs>
                <w:tab w:val="left" w:pos="4800"/>
              </w:tabs>
              <w:snapToGrid w:val="0"/>
              <w:spacing w:line="360" w:lineRule="auto"/>
              <w:jc w:val="center"/>
              <w:rPr>
                <w:rFonts w:hint="default" w:ascii="Times New Roman" w:hAnsi="Times New Roman" w:cs="Times New Roman"/>
                <w:szCs w:val="21"/>
              </w:rPr>
            </w:pPr>
            <w:r>
              <w:rPr>
                <w:rFonts w:hint="default" w:ascii="Times New Roman" w:hAnsi="Times New Roman" w:cs="Times New Roman"/>
                <w:b/>
                <w:bCs/>
                <w:szCs w:val="21"/>
              </w:rPr>
              <w:t>图4-</w:t>
            </w:r>
            <w:r>
              <w:rPr>
                <w:rFonts w:hint="eastAsia" w:cs="Times New Roman"/>
                <w:b/>
                <w:bCs/>
                <w:szCs w:val="21"/>
                <w:lang w:val="en-US" w:eastAsia="zh-CN"/>
              </w:rPr>
              <w:t>4</w:t>
            </w:r>
            <w:r>
              <w:rPr>
                <w:rFonts w:hint="default" w:ascii="Times New Roman" w:hAnsi="Times New Roman" w:cs="Times New Roman"/>
                <w:b/>
                <w:bCs/>
                <w:szCs w:val="21"/>
              </w:rPr>
              <w:t xml:space="preserve">  危险特性警示图形</w:t>
            </w:r>
          </w:p>
          <w:p w14:paraId="4D7323FB">
            <w:pPr>
              <w:pStyle w:val="84"/>
              <w:spacing w:line="360" w:lineRule="auto"/>
              <w:ind w:firstLine="482"/>
              <w:rPr>
                <w:rFonts w:hint="default" w:ascii="Times New Roman" w:hAnsi="Times New Roman" w:cs="Times New Roman"/>
                <w:b/>
                <w:bCs/>
              </w:rPr>
            </w:pPr>
            <w:r>
              <w:rPr>
                <w:rFonts w:hint="default" w:ascii="Times New Roman" w:hAnsi="Times New Roman" w:cs="Times New Roman"/>
                <w:b/>
                <w:bCs/>
              </w:rPr>
              <w:t>五、地下水及土壤</w:t>
            </w:r>
          </w:p>
          <w:p w14:paraId="55383ECE">
            <w:pPr>
              <w:pStyle w:val="116"/>
              <w:spacing w:before="40" w:line="360" w:lineRule="auto"/>
              <w:ind w:left="598"/>
              <w:rPr>
                <w:rFonts w:hint="default" w:ascii="Times New Roman" w:hAnsi="Times New Roman" w:cs="Times New Roman"/>
                <w:b/>
                <w:bCs/>
                <w:color w:val="000000" w:themeColor="text1"/>
                <w:lang w:eastAsia="zh-CN"/>
                <w14:textFill>
                  <w14:solidFill>
                    <w14:schemeClr w14:val="tx1"/>
                  </w14:solidFill>
                </w14:textFill>
              </w:rPr>
            </w:pPr>
            <w:r>
              <w:rPr>
                <w:rFonts w:hint="default" w:ascii="Times New Roman" w:hAnsi="Times New Roman" w:cs="Times New Roman"/>
                <w:b/>
                <w:bCs/>
                <w:color w:val="000000" w:themeColor="text1"/>
                <w:spacing w:val="-2"/>
                <w:lang w:eastAsia="zh-CN"/>
                <w14:textFill>
                  <w14:solidFill>
                    <w14:schemeClr w14:val="tx1"/>
                  </w14:solidFill>
                </w14:textFill>
              </w:rPr>
              <w:t>1.地下水、土壤污染途径</w:t>
            </w:r>
          </w:p>
          <w:p w14:paraId="69CE50E1">
            <w:pPr>
              <w:tabs>
                <w:tab w:val="left" w:pos="4800"/>
              </w:tabs>
              <w:spacing w:line="360" w:lineRule="auto"/>
              <w:ind w:firstLine="480" w:firstLineChars="200"/>
              <w:rPr>
                <w:rFonts w:hint="default" w:ascii="Times New Roman" w:hAnsi="Times New Roman" w:cs="Times New Roman"/>
                <w:sz w:val="24"/>
              </w:rPr>
            </w:pPr>
            <w:r>
              <w:rPr>
                <w:rFonts w:hint="default" w:ascii="Times New Roman" w:hAnsi="Times New Roman" w:cs="Times New Roman"/>
                <w:sz w:val="24"/>
              </w:rPr>
              <w:t>本项目对地下水、土壤环境影响主要为粉尘、挥发性有机物通过大气沉降可能对周边土壤造成一定的影响，石油类等废水、废液、危险废物发生事故泄漏的情况下主要可能通过地面漫流、垂直入渗等方式对厂区土壤和地下水质量造成一定的污染。</w:t>
            </w:r>
          </w:p>
          <w:p w14:paraId="2B01C518">
            <w:pPr>
              <w:tabs>
                <w:tab w:val="left" w:pos="4800"/>
              </w:tabs>
              <w:spacing w:line="360" w:lineRule="auto"/>
              <w:ind w:firstLine="480" w:firstLineChars="200"/>
              <w:rPr>
                <w:rFonts w:hint="default" w:ascii="Times New Roman" w:hAnsi="Times New Roman" w:cs="Times New Roman"/>
                <w:sz w:val="24"/>
              </w:rPr>
            </w:pPr>
            <w:r>
              <w:rPr>
                <w:rFonts w:hint="default" w:ascii="Times New Roman" w:hAnsi="Times New Roman" w:cs="Times New Roman"/>
                <w:sz w:val="24"/>
              </w:rPr>
              <w:t>（2）污染防控措施</w:t>
            </w:r>
          </w:p>
          <w:p w14:paraId="7DF2FF22">
            <w:pPr>
              <w:tabs>
                <w:tab w:val="left" w:pos="4800"/>
              </w:tabs>
              <w:spacing w:line="360" w:lineRule="auto"/>
              <w:ind w:firstLine="480" w:firstLineChars="200"/>
              <w:rPr>
                <w:rFonts w:hint="default" w:ascii="Times New Roman" w:hAnsi="Times New Roman" w:cs="Times New Roman"/>
                <w:sz w:val="24"/>
              </w:rPr>
            </w:pPr>
            <w:r>
              <w:rPr>
                <w:rFonts w:hint="default" w:ascii="Times New Roman" w:hAnsi="Times New Roman" w:cs="Times New Roman"/>
                <w:sz w:val="24"/>
              </w:rPr>
              <w:t>①源头控制</w:t>
            </w:r>
          </w:p>
          <w:p w14:paraId="6E32BE40">
            <w:pPr>
              <w:tabs>
                <w:tab w:val="left" w:pos="4800"/>
              </w:tabs>
              <w:spacing w:line="360" w:lineRule="auto"/>
              <w:ind w:firstLine="480" w:firstLineChars="200"/>
              <w:rPr>
                <w:rFonts w:hint="default" w:ascii="Times New Roman" w:hAnsi="Times New Roman" w:cs="Times New Roman"/>
                <w:sz w:val="24"/>
              </w:rPr>
            </w:pPr>
            <w:r>
              <w:rPr>
                <w:rFonts w:hint="default" w:ascii="Times New Roman" w:hAnsi="Times New Roman" w:cs="Times New Roman"/>
                <w:sz w:val="24"/>
              </w:rPr>
              <w:t>对管道、设备、污水储存及处理设施等严格检查，有质量问题及时更换，管道及阀门采用优质材料，防止和降低“跑、冒、滴、漏”现象。</w:t>
            </w:r>
          </w:p>
          <w:p w14:paraId="2BB983AE">
            <w:pPr>
              <w:tabs>
                <w:tab w:val="left" w:pos="4800"/>
              </w:tabs>
              <w:spacing w:line="360" w:lineRule="auto"/>
              <w:ind w:firstLine="480" w:firstLineChars="200"/>
              <w:rPr>
                <w:rFonts w:hint="default" w:ascii="Times New Roman" w:hAnsi="Times New Roman" w:cs="Times New Roman"/>
                <w:sz w:val="24"/>
              </w:rPr>
            </w:pPr>
            <w:r>
              <w:rPr>
                <w:rFonts w:hint="default" w:ascii="Times New Roman" w:hAnsi="Times New Roman" w:cs="Times New Roman"/>
                <w:sz w:val="24"/>
              </w:rPr>
              <w:t>②厂区防渗措施</w:t>
            </w:r>
          </w:p>
          <w:p w14:paraId="06FD6961">
            <w:pPr>
              <w:tabs>
                <w:tab w:val="left" w:pos="4800"/>
              </w:tabs>
              <w:spacing w:line="360" w:lineRule="auto"/>
              <w:ind w:firstLine="480" w:firstLineChars="200"/>
              <w:rPr>
                <w:rFonts w:hint="default" w:ascii="Times New Roman" w:hAnsi="Times New Roman" w:cs="Times New Roman"/>
                <w:sz w:val="24"/>
              </w:rPr>
            </w:pPr>
            <w:r>
              <w:rPr>
                <w:rFonts w:hint="default" w:ascii="Times New Roman" w:hAnsi="Times New Roman" w:cs="Times New Roman"/>
                <w:sz w:val="24"/>
              </w:rPr>
              <w:t>根据污染物泄漏的途径和生产功能单元所处的位置，厂区可划分为非污染防治区、一般污染防治区和重点污染防治区。</w:t>
            </w:r>
          </w:p>
          <w:p w14:paraId="42C0666F">
            <w:pPr>
              <w:tabs>
                <w:tab w:val="left" w:pos="4800"/>
              </w:tabs>
              <w:spacing w:line="360" w:lineRule="auto"/>
              <w:ind w:firstLine="480" w:firstLineChars="200"/>
              <w:rPr>
                <w:rFonts w:hint="default" w:ascii="Times New Roman" w:hAnsi="Times New Roman" w:cs="Times New Roman"/>
                <w:sz w:val="24"/>
              </w:rPr>
            </w:pPr>
            <w:r>
              <w:rPr>
                <w:rFonts w:hint="default" w:ascii="Times New Roman" w:hAnsi="Times New Roman" w:cs="Times New Roman"/>
                <w:sz w:val="24"/>
              </w:rPr>
              <w:t>A.重点防渗区域：主要为拆解车间</w:t>
            </w:r>
            <w:r>
              <w:rPr>
                <w:rFonts w:hint="eastAsia" w:cs="Times New Roman"/>
                <w:sz w:val="24"/>
                <w:lang w:eastAsia="zh-CN"/>
              </w:rPr>
              <w:t>、</w:t>
            </w:r>
            <w:r>
              <w:rPr>
                <w:rFonts w:hint="eastAsia" w:cs="Times New Roman"/>
                <w:sz w:val="24"/>
                <w:lang w:val="en-US" w:eastAsia="zh-CN"/>
              </w:rPr>
              <w:t>危废贮存点</w:t>
            </w:r>
            <w:r>
              <w:rPr>
                <w:rFonts w:hint="default" w:ascii="Times New Roman" w:hAnsi="Times New Roman" w:cs="Times New Roman"/>
                <w:sz w:val="24"/>
              </w:rPr>
              <w:t>，事故池、初期雨水池、污水处理站</w:t>
            </w:r>
            <w:r>
              <w:rPr>
                <w:rFonts w:hint="eastAsia" w:cs="Times New Roman"/>
                <w:sz w:val="24"/>
                <w:lang w:eastAsia="zh-CN"/>
              </w:rPr>
              <w:t>、</w:t>
            </w:r>
            <w:r>
              <w:rPr>
                <w:rFonts w:hint="eastAsia" w:cs="Times New Roman"/>
                <w:sz w:val="24"/>
                <w:lang w:val="en-US" w:eastAsia="zh-CN"/>
              </w:rPr>
              <w:t>整车贮存区</w:t>
            </w:r>
            <w:r>
              <w:rPr>
                <w:rFonts w:hint="default" w:ascii="Times New Roman" w:hAnsi="Times New Roman" w:cs="Times New Roman"/>
                <w:sz w:val="24"/>
              </w:rPr>
              <w:t>等。</w:t>
            </w:r>
            <w:r>
              <w:rPr>
                <w:rFonts w:hint="default" w:ascii="Times New Roman" w:hAnsi="Times New Roman" w:cs="Times New Roman"/>
                <w:sz w:val="24"/>
                <w:lang w:eastAsia="zh-CN"/>
              </w:rPr>
              <w:t>危废贮存点</w:t>
            </w:r>
            <w:r>
              <w:rPr>
                <w:rFonts w:hint="default" w:ascii="Times New Roman" w:hAnsi="Times New Roman" w:cs="Times New Roman"/>
                <w:sz w:val="24"/>
              </w:rPr>
              <w:t>按照危险废物执行《危险废物贮存污染控制标准》(GB18597-2023)相关要求建设。其他重点防渗区的防渗层为至少1m厚粘土层（渗透系数≤10</w:t>
            </w:r>
            <w:r>
              <w:rPr>
                <w:rFonts w:hint="default" w:ascii="Times New Roman" w:hAnsi="Times New Roman" w:cs="Times New Roman"/>
                <w:sz w:val="24"/>
                <w:vertAlign w:val="superscript"/>
              </w:rPr>
              <w:t>-7</w:t>
            </w:r>
            <w:r>
              <w:rPr>
                <w:rFonts w:hint="default" w:ascii="Times New Roman" w:hAnsi="Times New Roman" w:cs="Times New Roman"/>
                <w:sz w:val="24"/>
              </w:rPr>
              <w:t>cm/s），或2mm厚高密度聚乙烯，或至少2mm的其它人工材料，渗透系数≤10</w:t>
            </w:r>
            <w:r>
              <w:rPr>
                <w:rFonts w:hint="default" w:ascii="Times New Roman" w:hAnsi="Times New Roman" w:cs="Times New Roman"/>
                <w:sz w:val="24"/>
                <w:vertAlign w:val="superscript"/>
              </w:rPr>
              <w:t>-10</w:t>
            </w:r>
            <w:r>
              <w:rPr>
                <w:rFonts w:hint="default" w:ascii="Times New Roman" w:hAnsi="Times New Roman" w:cs="Times New Roman"/>
                <w:sz w:val="24"/>
              </w:rPr>
              <w:t>cm/s。地面与裙脚要用坚固、防渗的材料建造，建筑材料必须与危险废物相容；</w:t>
            </w:r>
          </w:p>
          <w:p w14:paraId="64E26FAB">
            <w:pPr>
              <w:tabs>
                <w:tab w:val="left" w:pos="4800"/>
              </w:tabs>
              <w:spacing w:line="360" w:lineRule="auto"/>
              <w:ind w:firstLine="480" w:firstLineChars="200"/>
              <w:rPr>
                <w:rFonts w:hint="default" w:ascii="Times New Roman" w:hAnsi="Times New Roman" w:cs="Times New Roman"/>
                <w:sz w:val="24"/>
              </w:rPr>
            </w:pPr>
            <w:r>
              <w:rPr>
                <w:rFonts w:hint="eastAsia" w:cs="Times New Roman"/>
                <w:sz w:val="24"/>
                <w:lang w:val="en-US" w:eastAsia="zh-CN"/>
              </w:rPr>
              <w:t>B</w:t>
            </w:r>
            <w:r>
              <w:rPr>
                <w:rFonts w:hint="default" w:ascii="Times New Roman" w:hAnsi="Times New Roman" w:cs="Times New Roman"/>
                <w:sz w:val="24"/>
              </w:rPr>
              <w:t>.简单防渗区域：厂区道路、办公楼等一般不会产生地下水污染的区域为简单防渗区。简单防渗区一般采取地面硬化。</w:t>
            </w:r>
          </w:p>
          <w:p w14:paraId="5DE2D8F2">
            <w:pPr>
              <w:pStyle w:val="19"/>
              <w:ind w:left="0" w:leftChars="0" w:firstLine="0" w:firstLineChars="0"/>
              <w:jc w:val="center"/>
              <w:rPr>
                <w:rFonts w:hint="default" w:ascii="Times New Roman" w:hAnsi="Times New Roman" w:cs="Times New Roman"/>
                <w:b/>
                <w:color w:val="FF0000"/>
                <w:spacing w:val="-10"/>
                <w:sz w:val="24"/>
              </w:rPr>
            </w:pPr>
            <w:r>
              <w:rPr>
                <w:rFonts w:hint="default" w:ascii="Times New Roman" w:hAnsi="Times New Roman" w:cs="Times New Roman"/>
                <w:b/>
                <w:bCs/>
                <w:color w:val="FF0000"/>
              </w:rPr>
              <w:t>表4-3</w:t>
            </w:r>
            <w:r>
              <w:rPr>
                <w:rFonts w:hint="eastAsia" w:cs="Times New Roman"/>
                <w:b/>
                <w:bCs/>
                <w:color w:val="FF0000"/>
                <w:lang w:val="en-US" w:eastAsia="zh-CN"/>
              </w:rPr>
              <w:t>8</w:t>
            </w:r>
            <w:r>
              <w:rPr>
                <w:rFonts w:hint="default" w:ascii="Times New Roman" w:hAnsi="Times New Roman" w:cs="Times New Roman"/>
                <w:b/>
                <w:bCs/>
                <w:color w:val="FF0000"/>
              </w:rPr>
              <w:t xml:space="preserve">    </w:t>
            </w:r>
            <w:r>
              <w:rPr>
                <w:rFonts w:hint="default" w:ascii="Times New Roman" w:hAnsi="Times New Roman" w:cs="Times New Roman"/>
                <w:b/>
                <w:bCs/>
                <w:color w:val="FF0000"/>
                <w:kern w:val="0"/>
                <w:szCs w:val="20"/>
              </w:rPr>
              <w:t>地下水及</w:t>
            </w:r>
            <w:r>
              <w:rPr>
                <w:rFonts w:hint="default" w:ascii="Times New Roman" w:hAnsi="Times New Roman" w:cs="Times New Roman"/>
                <w:b/>
                <w:bCs/>
                <w:color w:val="FF0000"/>
              </w:rPr>
              <w:t>土壤污染物情况一览表</w:t>
            </w:r>
          </w:p>
          <w:tbl>
            <w:tblPr>
              <w:tblStyle w:val="34"/>
              <w:tblW w:w="4998" w:type="pct"/>
              <w:jc w:val="center"/>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650"/>
              <w:gridCol w:w="2524"/>
              <w:gridCol w:w="4297"/>
            </w:tblGrid>
            <w:tr w14:paraId="553B3892">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73" w:type="pct"/>
                  <w:vAlign w:val="center"/>
                </w:tcPr>
                <w:p w14:paraId="62A9B658">
                  <w:pPr>
                    <w:pStyle w:val="19"/>
                    <w:spacing w:after="0"/>
                    <w:ind w:left="0" w:leftChars="0" w:firstLine="0" w:firstLineChars="0"/>
                    <w:jc w:val="center"/>
                    <w:rPr>
                      <w:rFonts w:hint="default" w:ascii="Times New Roman" w:hAnsi="Times New Roman" w:cs="Times New Roman"/>
                      <w:color w:val="FF0000"/>
                      <w:szCs w:val="21"/>
                    </w:rPr>
                  </w:pPr>
                  <w:r>
                    <w:rPr>
                      <w:rFonts w:hint="default" w:ascii="Times New Roman" w:hAnsi="Times New Roman" w:cs="Times New Roman"/>
                      <w:color w:val="FF0000"/>
                      <w:szCs w:val="21"/>
                    </w:rPr>
                    <w:t>污染源</w:t>
                  </w:r>
                </w:p>
              </w:tc>
              <w:tc>
                <w:tcPr>
                  <w:tcW w:w="1489" w:type="pct"/>
                  <w:vAlign w:val="center"/>
                </w:tcPr>
                <w:p w14:paraId="23C54688">
                  <w:pPr>
                    <w:pStyle w:val="19"/>
                    <w:spacing w:after="0"/>
                    <w:ind w:left="0" w:leftChars="0" w:firstLine="0" w:firstLineChars="0"/>
                    <w:jc w:val="center"/>
                    <w:rPr>
                      <w:rFonts w:hint="default" w:ascii="Times New Roman" w:hAnsi="Times New Roman" w:cs="Times New Roman"/>
                      <w:color w:val="FF0000"/>
                      <w:szCs w:val="21"/>
                    </w:rPr>
                  </w:pPr>
                  <w:r>
                    <w:rPr>
                      <w:rFonts w:hint="default" w:ascii="Times New Roman" w:hAnsi="Times New Roman" w:cs="Times New Roman"/>
                      <w:color w:val="FF0000"/>
                      <w:szCs w:val="21"/>
                    </w:rPr>
                    <w:t>生产</w:t>
                  </w:r>
                </w:p>
              </w:tc>
              <w:tc>
                <w:tcPr>
                  <w:tcW w:w="2536" w:type="pct"/>
                  <w:vAlign w:val="center"/>
                </w:tcPr>
                <w:p w14:paraId="622F8CD8">
                  <w:pPr>
                    <w:pStyle w:val="19"/>
                    <w:spacing w:after="0"/>
                    <w:ind w:left="0" w:leftChars="0" w:firstLine="0" w:firstLineChars="0"/>
                    <w:jc w:val="center"/>
                    <w:rPr>
                      <w:rFonts w:hint="default" w:ascii="Times New Roman" w:hAnsi="Times New Roman" w:eastAsia="宋体" w:cs="Times New Roman"/>
                      <w:color w:val="FF0000"/>
                      <w:szCs w:val="21"/>
                      <w:lang w:eastAsia="zh-CN"/>
                    </w:rPr>
                  </w:pPr>
                  <w:r>
                    <w:rPr>
                      <w:rFonts w:hint="default" w:ascii="Times New Roman" w:hAnsi="Times New Roman" w:cs="Times New Roman"/>
                      <w:color w:val="FF0000"/>
                      <w:szCs w:val="21"/>
                      <w:lang w:eastAsia="zh-CN"/>
                    </w:rPr>
                    <w:t>危废贮存点</w:t>
                  </w:r>
                </w:p>
              </w:tc>
            </w:tr>
            <w:tr w14:paraId="1C32DACA">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73" w:type="pct"/>
                  <w:vAlign w:val="center"/>
                </w:tcPr>
                <w:p w14:paraId="5BF62DC7">
                  <w:pPr>
                    <w:jc w:val="center"/>
                    <w:rPr>
                      <w:rFonts w:hint="default" w:ascii="Times New Roman" w:hAnsi="Times New Roman" w:cs="Times New Roman"/>
                      <w:color w:val="FF0000"/>
                      <w:szCs w:val="21"/>
                    </w:rPr>
                  </w:pPr>
                  <w:r>
                    <w:rPr>
                      <w:rFonts w:hint="default" w:ascii="Times New Roman" w:hAnsi="Times New Roman" w:cs="Times New Roman"/>
                      <w:color w:val="FF0000"/>
                      <w:szCs w:val="21"/>
                    </w:rPr>
                    <w:t>污染物类型</w:t>
                  </w:r>
                </w:p>
              </w:tc>
              <w:tc>
                <w:tcPr>
                  <w:tcW w:w="1489" w:type="pct"/>
                  <w:vAlign w:val="center"/>
                </w:tcPr>
                <w:p w14:paraId="0E4704FC">
                  <w:pPr>
                    <w:pStyle w:val="19"/>
                    <w:spacing w:after="0"/>
                    <w:ind w:left="0" w:leftChars="0" w:firstLine="0" w:firstLineChars="0"/>
                    <w:jc w:val="center"/>
                    <w:rPr>
                      <w:rFonts w:hint="default" w:ascii="Times New Roman" w:hAnsi="Times New Roman" w:cs="Times New Roman"/>
                      <w:color w:val="FF0000"/>
                      <w:szCs w:val="21"/>
                    </w:rPr>
                  </w:pPr>
                  <w:r>
                    <w:rPr>
                      <w:rFonts w:hint="default" w:ascii="Times New Roman" w:hAnsi="Times New Roman" w:cs="Times New Roman"/>
                      <w:color w:val="FF0000"/>
                      <w:szCs w:val="21"/>
                    </w:rPr>
                    <w:t>废气：粉尘、VOCs</w:t>
                  </w:r>
                </w:p>
              </w:tc>
              <w:tc>
                <w:tcPr>
                  <w:tcW w:w="2536" w:type="pct"/>
                  <w:vAlign w:val="center"/>
                </w:tcPr>
                <w:p w14:paraId="5596FB48">
                  <w:pPr>
                    <w:pStyle w:val="19"/>
                    <w:spacing w:after="0"/>
                    <w:ind w:left="0" w:leftChars="0" w:firstLine="0" w:firstLineChars="0"/>
                    <w:jc w:val="center"/>
                    <w:rPr>
                      <w:rFonts w:hint="default" w:ascii="Times New Roman" w:hAnsi="Times New Roman" w:cs="Times New Roman"/>
                      <w:color w:val="FF0000"/>
                      <w:szCs w:val="21"/>
                    </w:rPr>
                  </w:pPr>
                  <w:r>
                    <w:rPr>
                      <w:rFonts w:hint="default" w:ascii="Times New Roman" w:hAnsi="Times New Roman" w:cs="Times New Roman"/>
                      <w:color w:val="FF0000"/>
                      <w:szCs w:val="21"/>
                    </w:rPr>
                    <w:t>石油烃</w:t>
                  </w:r>
                </w:p>
              </w:tc>
            </w:tr>
            <w:tr w14:paraId="116EA843">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73" w:type="pct"/>
                  <w:vAlign w:val="center"/>
                </w:tcPr>
                <w:p w14:paraId="660044DB">
                  <w:pPr>
                    <w:jc w:val="center"/>
                    <w:rPr>
                      <w:rFonts w:hint="default" w:ascii="Times New Roman" w:hAnsi="Times New Roman" w:cs="Times New Roman"/>
                      <w:color w:val="FF0000"/>
                      <w:szCs w:val="21"/>
                    </w:rPr>
                  </w:pPr>
                  <w:r>
                    <w:rPr>
                      <w:rFonts w:hint="default" w:ascii="Times New Roman" w:hAnsi="Times New Roman" w:cs="Times New Roman"/>
                      <w:color w:val="FF0000"/>
                      <w:szCs w:val="21"/>
                    </w:rPr>
                    <w:t>污染途径</w:t>
                  </w:r>
                </w:p>
              </w:tc>
              <w:tc>
                <w:tcPr>
                  <w:tcW w:w="1489" w:type="pct"/>
                  <w:vAlign w:val="center"/>
                </w:tcPr>
                <w:p w14:paraId="335E7EB8">
                  <w:pPr>
                    <w:pStyle w:val="19"/>
                    <w:spacing w:after="0"/>
                    <w:ind w:left="0" w:leftChars="0" w:firstLine="0" w:firstLineChars="0"/>
                    <w:jc w:val="center"/>
                    <w:rPr>
                      <w:rFonts w:hint="default" w:ascii="Times New Roman" w:hAnsi="Times New Roman" w:cs="Times New Roman"/>
                      <w:color w:val="FF0000"/>
                      <w:szCs w:val="21"/>
                    </w:rPr>
                  </w:pPr>
                  <w:r>
                    <w:rPr>
                      <w:rFonts w:hint="default" w:ascii="Times New Roman" w:hAnsi="Times New Roman" w:cs="Times New Roman"/>
                      <w:color w:val="FF0000"/>
                      <w:szCs w:val="21"/>
                    </w:rPr>
                    <w:t>大气沉降</w:t>
                  </w:r>
                </w:p>
              </w:tc>
              <w:tc>
                <w:tcPr>
                  <w:tcW w:w="2536" w:type="pct"/>
                  <w:vAlign w:val="center"/>
                </w:tcPr>
                <w:p w14:paraId="4B3027AB">
                  <w:pPr>
                    <w:pStyle w:val="19"/>
                    <w:spacing w:after="0"/>
                    <w:ind w:left="0" w:leftChars="0" w:firstLine="0" w:firstLineChars="0"/>
                    <w:jc w:val="center"/>
                    <w:rPr>
                      <w:rFonts w:hint="default" w:ascii="Times New Roman" w:hAnsi="Times New Roman" w:cs="Times New Roman"/>
                      <w:color w:val="FF0000"/>
                      <w:szCs w:val="21"/>
                    </w:rPr>
                  </w:pPr>
                  <w:r>
                    <w:rPr>
                      <w:rFonts w:hint="default" w:ascii="Times New Roman" w:hAnsi="Times New Roman" w:cs="Times New Roman"/>
                      <w:color w:val="FF0000"/>
                      <w:szCs w:val="21"/>
                    </w:rPr>
                    <w:t>垂直入渗</w:t>
                  </w:r>
                </w:p>
              </w:tc>
            </w:tr>
            <w:tr w14:paraId="0B21E337">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000" w:type="pct"/>
                  <w:gridSpan w:val="3"/>
                  <w:vAlign w:val="center"/>
                </w:tcPr>
                <w:p w14:paraId="5D39BD59">
                  <w:pPr>
                    <w:pStyle w:val="19"/>
                    <w:spacing w:after="0"/>
                    <w:ind w:left="0" w:leftChars="0" w:firstLine="0" w:firstLineChars="0"/>
                    <w:jc w:val="center"/>
                    <w:rPr>
                      <w:rFonts w:hint="default" w:ascii="Times New Roman" w:hAnsi="Times New Roman" w:cs="Times New Roman"/>
                      <w:color w:val="FF0000"/>
                      <w:szCs w:val="21"/>
                    </w:rPr>
                  </w:pPr>
                  <w:r>
                    <w:rPr>
                      <w:rFonts w:hint="default" w:ascii="Times New Roman" w:hAnsi="Times New Roman" w:cs="Times New Roman"/>
                      <w:color w:val="FF0000"/>
                      <w:szCs w:val="21"/>
                    </w:rPr>
                    <w:t>防控措施</w:t>
                  </w:r>
                </w:p>
              </w:tc>
            </w:tr>
            <w:tr w14:paraId="29080B11">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73" w:type="pct"/>
                  <w:vAlign w:val="center"/>
                </w:tcPr>
                <w:p w14:paraId="2E166D54">
                  <w:pPr>
                    <w:widowControl/>
                    <w:jc w:val="center"/>
                    <w:rPr>
                      <w:rFonts w:hint="default" w:ascii="Times New Roman" w:hAnsi="Times New Roman" w:cs="Times New Roman"/>
                      <w:color w:val="FF0000"/>
                      <w:szCs w:val="21"/>
                    </w:rPr>
                  </w:pPr>
                  <w:r>
                    <w:rPr>
                      <w:rFonts w:hint="default" w:ascii="Times New Roman" w:hAnsi="Times New Roman" w:cs="Times New Roman"/>
                      <w:color w:val="FF0000"/>
                      <w:szCs w:val="21"/>
                    </w:rPr>
                    <w:t>分区防控</w:t>
                  </w:r>
                </w:p>
              </w:tc>
              <w:tc>
                <w:tcPr>
                  <w:tcW w:w="1489" w:type="pct"/>
                  <w:vAlign w:val="center"/>
                </w:tcPr>
                <w:p w14:paraId="2D6CF9C5">
                  <w:pPr>
                    <w:widowControl/>
                    <w:jc w:val="center"/>
                    <w:rPr>
                      <w:rFonts w:hint="default" w:ascii="Times New Roman" w:hAnsi="Times New Roman" w:cs="Times New Roman"/>
                      <w:color w:val="FF0000"/>
                      <w:szCs w:val="21"/>
                    </w:rPr>
                  </w:pPr>
                  <w:r>
                    <w:rPr>
                      <w:rFonts w:hint="default" w:ascii="Times New Roman" w:hAnsi="Times New Roman" w:cs="Times New Roman"/>
                      <w:color w:val="FF0000"/>
                      <w:szCs w:val="21"/>
                    </w:rPr>
                    <w:t>生产装置、单元名称</w:t>
                  </w:r>
                </w:p>
              </w:tc>
              <w:tc>
                <w:tcPr>
                  <w:tcW w:w="2536" w:type="pct"/>
                  <w:vAlign w:val="center"/>
                </w:tcPr>
                <w:p w14:paraId="48B6D4A1">
                  <w:pPr>
                    <w:widowControl/>
                    <w:jc w:val="center"/>
                    <w:rPr>
                      <w:rFonts w:hint="default" w:ascii="Times New Roman" w:hAnsi="Times New Roman" w:cs="Times New Roman"/>
                      <w:color w:val="FF0000"/>
                      <w:szCs w:val="21"/>
                    </w:rPr>
                  </w:pPr>
                  <w:r>
                    <w:rPr>
                      <w:rFonts w:hint="default" w:ascii="Times New Roman" w:hAnsi="Times New Roman" w:cs="Times New Roman"/>
                      <w:color w:val="FF0000"/>
                      <w:szCs w:val="21"/>
                    </w:rPr>
                    <w:t>防渗区域及要求</w:t>
                  </w:r>
                </w:p>
              </w:tc>
            </w:tr>
            <w:tr w14:paraId="127DC202">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39" w:hRule="atLeast"/>
                <w:jc w:val="center"/>
              </w:trPr>
              <w:tc>
                <w:tcPr>
                  <w:tcW w:w="973" w:type="pct"/>
                  <w:vMerge w:val="restart"/>
                  <w:vAlign w:val="center"/>
                </w:tcPr>
                <w:p w14:paraId="349D5834">
                  <w:pPr>
                    <w:widowControl/>
                    <w:jc w:val="center"/>
                    <w:rPr>
                      <w:rFonts w:hint="default" w:ascii="Times New Roman" w:hAnsi="Times New Roman" w:cs="Times New Roman"/>
                      <w:color w:val="FF0000"/>
                      <w:szCs w:val="21"/>
                    </w:rPr>
                  </w:pPr>
                  <w:r>
                    <w:rPr>
                      <w:rFonts w:hint="default" w:ascii="Times New Roman" w:hAnsi="Times New Roman" w:cs="Times New Roman"/>
                      <w:color w:val="FF0000"/>
                      <w:szCs w:val="21"/>
                    </w:rPr>
                    <w:t>重点防渗区</w:t>
                  </w:r>
                </w:p>
              </w:tc>
              <w:tc>
                <w:tcPr>
                  <w:tcW w:w="1489" w:type="pct"/>
                  <w:vAlign w:val="center"/>
                </w:tcPr>
                <w:p w14:paraId="134D923E">
                  <w:pPr>
                    <w:widowControl/>
                    <w:jc w:val="center"/>
                    <w:rPr>
                      <w:rFonts w:hint="default" w:ascii="Times New Roman" w:hAnsi="Times New Roman" w:cs="Times New Roman"/>
                      <w:color w:val="FF0000"/>
                      <w:szCs w:val="21"/>
                    </w:rPr>
                  </w:pPr>
                  <w:r>
                    <w:rPr>
                      <w:rFonts w:hint="default" w:ascii="Times New Roman" w:hAnsi="Times New Roman" w:cs="Times New Roman"/>
                      <w:color w:val="FF0000"/>
                      <w:szCs w:val="21"/>
                    </w:rPr>
                    <w:t>拆解车间</w:t>
                  </w:r>
                  <w:r>
                    <w:rPr>
                      <w:rFonts w:hint="eastAsia" w:cs="Times New Roman"/>
                      <w:color w:val="FF0000"/>
                      <w:szCs w:val="21"/>
                      <w:lang w:eastAsia="zh-CN"/>
                    </w:rPr>
                    <w:t>、</w:t>
                  </w:r>
                  <w:r>
                    <w:rPr>
                      <w:rFonts w:hint="default" w:ascii="Times New Roman" w:hAnsi="Times New Roman" w:cs="Times New Roman"/>
                      <w:color w:val="FF0000"/>
                      <w:szCs w:val="21"/>
                    </w:rPr>
                    <w:t>事故池、初期雨水池、污水处理站</w:t>
                  </w:r>
                  <w:r>
                    <w:rPr>
                      <w:rFonts w:hint="default" w:ascii="Times New Roman" w:hAnsi="Times New Roman" w:cs="Times New Roman"/>
                      <w:color w:val="FF0000"/>
                      <w:szCs w:val="21"/>
                      <w:lang w:eastAsia="zh-CN"/>
                    </w:rPr>
                    <w:t>、</w:t>
                  </w:r>
                  <w:r>
                    <w:rPr>
                      <w:rFonts w:hint="eastAsia" w:cs="Times New Roman"/>
                      <w:color w:val="FF0000"/>
                      <w:szCs w:val="21"/>
                      <w:lang w:val="en-US" w:eastAsia="zh-CN"/>
                    </w:rPr>
                    <w:t>整车</w:t>
                  </w:r>
                  <w:r>
                    <w:rPr>
                      <w:rFonts w:hint="default" w:ascii="Times New Roman" w:hAnsi="Times New Roman" w:cs="Times New Roman"/>
                      <w:color w:val="FF0000"/>
                      <w:szCs w:val="21"/>
                      <w:lang w:val="en-US" w:eastAsia="zh-CN"/>
                    </w:rPr>
                    <w:t>贮存区</w:t>
                  </w:r>
                </w:p>
              </w:tc>
              <w:tc>
                <w:tcPr>
                  <w:tcW w:w="2536" w:type="pct"/>
                  <w:vAlign w:val="center"/>
                </w:tcPr>
                <w:p w14:paraId="21F015B7">
                  <w:pPr>
                    <w:widowControl/>
                    <w:jc w:val="center"/>
                    <w:rPr>
                      <w:rFonts w:hint="default" w:ascii="Times New Roman" w:hAnsi="Times New Roman" w:cs="Times New Roman"/>
                      <w:color w:val="FF0000"/>
                      <w:szCs w:val="21"/>
                    </w:rPr>
                  </w:pPr>
                  <w:r>
                    <w:rPr>
                      <w:rFonts w:hint="default" w:ascii="Times New Roman" w:hAnsi="Times New Roman" w:cs="Times New Roman"/>
                      <w:color w:val="FF0000"/>
                      <w:szCs w:val="21"/>
                    </w:rPr>
                    <w:t>等效黏土防渗层Mb≥6.0m，K≤1×10-7</w:t>
                  </w:r>
                </w:p>
              </w:tc>
            </w:tr>
            <w:tr w14:paraId="4EE02C6D">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973" w:type="pct"/>
                  <w:vMerge w:val="continue"/>
                  <w:vAlign w:val="center"/>
                </w:tcPr>
                <w:p w14:paraId="7D8886DD">
                  <w:pPr>
                    <w:widowControl/>
                    <w:jc w:val="center"/>
                    <w:rPr>
                      <w:rFonts w:hint="default" w:ascii="Times New Roman" w:hAnsi="Times New Roman" w:cs="Times New Roman"/>
                      <w:color w:val="FF0000"/>
                      <w:szCs w:val="21"/>
                    </w:rPr>
                  </w:pPr>
                </w:p>
              </w:tc>
              <w:tc>
                <w:tcPr>
                  <w:tcW w:w="1489" w:type="pct"/>
                  <w:vAlign w:val="center"/>
                </w:tcPr>
                <w:p w14:paraId="79AAB8B4">
                  <w:pPr>
                    <w:widowControl/>
                    <w:jc w:val="center"/>
                    <w:rPr>
                      <w:rFonts w:hint="default" w:ascii="Times New Roman" w:hAnsi="Times New Roman" w:cs="Times New Roman"/>
                      <w:color w:val="FF0000"/>
                      <w:szCs w:val="21"/>
                    </w:rPr>
                  </w:pPr>
                </w:p>
                <w:p w14:paraId="257CCB4D">
                  <w:pPr>
                    <w:widowControl/>
                    <w:jc w:val="center"/>
                    <w:rPr>
                      <w:rFonts w:hint="default" w:ascii="Times New Roman" w:hAnsi="Times New Roman" w:cs="Times New Roman"/>
                      <w:color w:val="FF0000"/>
                      <w:szCs w:val="21"/>
                    </w:rPr>
                  </w:pPr>
                  <w:r>
                    <w:rPr>
                      <w:rFonts w:hint="default" w:ascii="Times New Roman" w:hAnsi="Times New Roman" w:cs="Times New Roman"/>
                      <w:color w:val="FF0000"/>
                      <w:szCs w:val="21"/>
                      <w:lang w:eastAsia="zh-CN"/>
                    </w:rPr>
                    <w:t>危废贮存点</w:t>
                  </w:r>
                </w:p>
              </w:tc>
              <w:tc>
                <w:tcPr>
                  <w:tcW w:w="2536" w:type="pct"/>
                  <w:vAlign w:val="center"/>
                </w:tcPr>
                <w:p w14:paraId="3F9010D4">
                  <w:pPr>
                    <w:widowControl/>
                    <w:jc w:val="center"/>
                    <w:rPr>
                      <w:rFonts w:hint="default" w:ascii="Times New Roman" w:hAnsi="Times New Roman" w:cs="Times New Roman"/>
                      <w:color w:val="FF0000"/>
                      <w:szCs w:val="21"/>
                    </w:rPr>
                  </w:pPr>
                  <w:r>
                    <w:rPr>
                      <w:rFonts w:hint="default" w:ascii="Times New Roman" w:hAnsi="Times New Roman" w:cs="Times New Roman"/>
                      <w:color w:val="FF0000"/>
                      <w:szCs w:val="21"/>
                    </w:rPr>
                    <w:t>《危险废物贮存污染控制标准》(GB18597-2023)；</w:t>
                  </w:r>
                </w:p>
                <w:p w14:paraId="14E27647">
                  <w:pPr>
                    <w:widowControl/>
                    <w:jc w:val="center"/>
                    <w:rPr>
                      <w:rFonts w:hint="default" w:ascii="Times New Roman" w:hAnsi="Times New Roman" w:cs="Times New Roman"/>
                      <w:color w:val="FF0000"/>
                      <w:szCs w:val="21"/>
                    </w:rPr>
                  </w:pPr>
                  <w:r>
                    <w:rPr>
                      <w:rFonts w:hint="default" w:ascii="Times New Roman" w:hAnsi="Times New Roman" w:cs="Times New Roman"/>
                      <w:color w:val="FF0000"/>
                      <w:szCs w:val="21"/>
                    </w:rPr>
                    <w:t>防渗层为至少 1m 厚粘土层（渗透系 数≤10</w:t>
                  </w:r>
                  <w:r>
                    <w:rPr>
                      <w:rFonts w:hint="default" w:ascii="Times New Roman" w:hAnsi="Times New Roman" w:cs="Times New Roman"/>
                      <w:color w:val="FF0000"/>
                      <w:szCs w:val="21"/>
                      <w:vertAlign w:val="superscript"/>
                    </w:rPr>
                    <w:t>-7</w:t>
                  </w:r>
                  <w:r>
                    <w:rPr>
                      <w:rFonts w:hint="default" w:ascii="Times New Roman" w:hAnsi="Times New Roman" w:cs="Times New Roman"/>
                      <w:color w:val="FF0000"/>
                      <w:szCs w:val="21"/>
                    </w:rPr>
                    <w:t>cm/s），或 2mm 厚高密度聚 乙烯，或至少 2mm 厚的其它人工材</w:t>
                  </w:r>
                </w:p>
              </w:tc>
            </w:tr>
            <w:tr w14:paraId="64A5CF02">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73" w:type="pct"/>
                  <w:vAlign w:val="center"/>
                </w:tcPr>
                <w:p w14:paraId="7848B9C1">
                  <w:pPr>
                    <w:widowControl/>
                    <w:jc w:val="center"/>
                    <w:rPr>
                      <w:rFonts w:hint="default" w:ascii="Times New Roman" w:hAnsi="Times New Roman" w:cs="Times New Roman"/>
                      <w:color w:val="FF0000"/>
                      <w:szCs w:val="21"/>
                    </w:rPr>
                  </w:pPr>
                  <w:r>
                    <w:rPr>
                      <w:rFonts w:hint="default" w:ascii="Times New Roman" w:hAnsi="Times New Roman" w:cs="Times New Roman"/>
                      <w:color w:val="FF0000"/>
                      <w:szCs w:val="21"/>
                    </w:rPr>
                    <w:t>简单防渗区</w:t>
                  </w:r>
                </w:p>
              </w:tc>
              <w:tc>
                <w:tcPr>
                  <w:tcW w:w="1489" w:type="pct"/>
                  <w:vAlign w:val="center"/>
                </w:tcPr>
                <w:p w14:paraId="190B2224">
                  <w:pPr>
                    <w:widowControl/>
                    <w:jc w:val="center"/>
                    <w:rPr>
                      <w:rFonts w:hint="default" w:ascii="Times New Roman" w:hAnsi="Times New Roman" w:cs="Times New Roman"/>
                      <w:color w:val="FF0000"/>
                      <w:szCs w:val="21"/>
                    </w:rPr>
                  </w:pPr>
                  <w:r>
                    <w:rPr>
                      <w:rFonts w:hint="default" w:ascii="Times New Roman" w:hAnsi="Times New Roman" w:cs="Times New Roman"/>
                      <w:color w:val="FF0000"/>
                      <w:szCs w:val="21"/>
                    </w:rPr>
                    <w:t>厂区道路、办公楼</w:t>
                  </w:r>
                </w:p>
              </w:tc>
              <w:tc>
                <w:tcPr>
                  <w:tcW w:w="2536" w:type="pct"/>
                  <w:vAlign w:val="center"/>
                </w:tcPr>
                <w:p w14:paraId="5B2990D3">
                  <w:pPr>
                    <w:widowControl/>
                    <w:jc w:val="center"/>
                    <w:rPr>
                      <w:rFonts w:hint="default" w:ascii="Times New Roman" w:hAnsi="Times New Roman" w:cs="Times New Roman"/>
                      <w:color w:val="FF0000"/>
                      <w:szCs w:val="21"/>
                    </w:rPr>
                  </w:pPr>
                  <w:r>
                    <w:rPr>
                      <w:rFonts w:hint="default" w:ascii="Times New Roman" w:hAnsi="Times New Roman" w:cs="Times New Roman"/>
                      <w:color w:val="FF0000"/>
                      <w:szCs w:val="21"/>
                    </w:rPr>
                    <w:t>地面硬化</w:t>
                  </w:r>
                </w:p>
              </w:tc>
            </w:tr>
          </w:tbl>
          <w:p w14:paraId="7A483019">
            <w:pPr>
              <w:adjustRightInd w:val="0"/>
              <w:snapToGrid w:val="0"/>
              <w:spacing w:line="360" w:lineRule="auto"/>
              <w:ind w:firstLine="480" w:firstLineChars="200"/>
              <w:rPr>
                <w:rFonts w:hint="default" w:ascii="Times New Roman" w:hAnsi="Times New Roman" w:cs="Times New Roman"/>
                <w:color w:val="FF0000"/>
                <w:sz w:val="24"/>
              </w:rPr>
            </w:pPr>
            <w:r>
              <w:rPr>
                <w:rFonts w:hint="default" w:ascii="Times New Roman" w:hAnsi="Times New Roman" w:cs="Times New Roman"/>
                <w:color w:val="FF0000"/>
                <w:sz w:val="24"/>
                <w:lang w:val="en-US" w:eastAsia="zh-CN"/>
              </w:rPr>
              <w:t>③</w:t>
            </w:r>
            <w:r>
              <w:rPr>
                <w:rFonts w:hint="default" w:ascii="Times New Roman" w:hAnsi="Times New Roman" w:cs="Times New Roman"/>
                <w:color w:val="FF0000"/>
                <w:sz w:val="24"/>
              </w:rPr>
              <w:t> 参照性管理要求</w:t>
            </w:r>
          </w:p>
          <w:p w14:paraId="44ED7910">
            <w:pPr>
              <w:adjustRightInd w:val="0"/>
              <w:snapToGrid w:val="0"/>
              <w:spacing w:line="360" w:lineRule="auto"/>
              <w:ind w:firstLine="480" w:firstLineChars="200"/>
              <w:rPr>
                <w:rFonts w:hint="default" w:ascii="Times New Roman" w:hAnsi="Times New Roman" w:cs="Times New Roman"/>
                <w:color w:val="FF0000"/>
                <w:sz w:val="24"/>
              </w:rPr>
            </w:pPr>
            <w:r>
              <w:rPr>
                <w:rFonts w:hint="default" w:ascii="Times New Roman" w:hAnsi="Times New Roman" w:cs="Times New Roman"/>
                <w:color w:val="FF0000"/>
                <w:sz w:val="24"/>
              </w:rPr>
              <w:t>根据《工矿用地土壤环境管理办法（试行）》第三条第四款</w:t>
            </w:r>
            <w:r>
              <w:rPr>
                <w:rFonts w:hint="default" w:ascii="Times New Roman" w:hAnsi="Times New Roman" w:cs="Times New Roman"/>
                <w:color w:val="FF0000"/>
                <w:sz w:val="24"/>
                <w:lang w:eastAsia="zh-CN"/>
              </w:rPr>
              <w:t>，</w:t>
            </w:r>
            <w:r>
              <w:rPr>
                <w:rFonts w:hint="default" w:ascii="Times New Roman" w:hAnsi="Times New Roman" w:cs="Times New Roman"/>
                <w:color w:val="FF0000"/>
                <w:sz w:val="24"/>
              </w:rPr>
              <w:t>本项目涉及有毒有害物质（石油类、重金属），建议参照重点单位管理要求执行以下措施：</w:t>
            </w:r>
          </w:p>
          <w:p w14:paraId="30EB84D6">
            <w:pPr>
              <w:adjustRightInd w:val="0"/>
              <w:snapToGrid w:val="0"/>
              <w:spacing w:line="360" w:lineRule="auto"/>
              <w:ind w:firstLine="480" w:firstLineChars="200"/>
              <w:rPr>
                <w:rFonts w:hint="default" w:ascii="Times New Roman" w:hAnsi="Times New Roman" w:cs="Times New Roman"/>
                <w:color w:val="FF0000"/>
                <w:sz w:val="24"/>
              </w:rPr>
            </w:pPr>
            <w:r>
              <w:rPr>
                <w:rFonts w:hint="default" w:ascii="Times New Roman" w:hAnsi="Times New Roman" w:cs="Times New Roman"/>
                <w:color w:val="FF0000"/>
                <w:sz w:val="24"/>
              </w:rPr>
              <w:t>建立简易隐患排查制度：</w:t>
            </w:r>
          </w:p>
          <w:p w14:paraId="65B5CACF">
            <w:pPr>
              <w:adjustRightInd w:val="0"/>
              <w:snapToGrid w:val="0"/>
              <w:spacing w:line="360" w:lineRule="auto"/>
              <w:ind w:firstLine="480" w:firstLineChars="200"/>
              <w:rPr>
                <w:rFonts w:hint="default" w:ascii="Times New Roman" w:hAnsi="Times New Roman" w:cs="Times New Roman"/>
                <w:color w:val="FF0000"/>
                <w:sz w:val="24"/>
              </w:rPr>
            </w:pPr>
            <w:r>
              <w:rPr>
                <w:rFonts w:hint="default" w:ascii="Times New Roman" w:hAnsi="Times New Roman" w:cs="Times New Roman"/>
                <w:color w:val="FF0000"/>
                <w:sz w:val="24"/>
              </w:rPr>
              <w:t>每半年对拆解车间</w:t>
            </w:r>
            <w:r>
              <w:rPr>
                <w:rFonts w:hint="default" w:ascii="Times New Roman" w:hAnsi="Times New Roman" w:cs="Times New Roman"/>
                <w:color w:val="FF0000"/>
                <w:sz w:val="24"/>
                <w:lang w:eastAsia="zh-CN"/>
              </w:rPr>
              <w:t>、</w:t>
            </w:r>
            <w:r>
              <w:rPr>
                <w:rFonts w:hint="default" w:ascii="Times New Roman" w:hAnsi="Times New Roman" w:cs="Times New Roman"/>
                <w:color w:val="FF0000"/>
                <w:sz w:val="24"/>
              </w:rPr>
              <w:t>事故池、初期雨水池、污水处理站</w:t>
            </w:r>
            <w:r>
              <w:rPr>
                <w:rFonts w:hint="default" w:ascii="Times New Roman" w:hAnsi="Times New Roman" w:cs="Times New Roman"/>
                <w:color w:val="FF0000"/>
                <w:sz w:val="24"/>
                <w:lang w:eastAsia="zh-CN"/>
              </w:rPr>
              <w:t>、</w:t>
            </w:r>
            <w:r>
              <w:rPr>
                <w:rFonts w:hint="default" w:ascii="Times New Roman" w:hAnsi="Times New Roman" w:cs="Times New Roman"/>
                <w:color w:val="FF0000"/>
                <w:sz w:val="24"/>
                <w:lang w:val="en-US" w:eastAsia="zh-CN"/>
              </w:rPr>
              <w:t>整车贮存区</w:t>
            </w:r>
            <w:r>
              <w:rPr>
                <w:rFonts w:hint="default" w:ascii="Times New Roman" w:hAnsi="Times New Roman" w:cs="Times New Roman"/>
                <w:color w:val="FF0000"/>
                <w:sz w:val="24"/>
              </w:rPr>
              <w:t>开展1次防渗层完整性检查，记录存档。</w:t>
            </w:r>
          </w:p>
          <w:p w14:paraId="19CC9F29">
            <w:pPr>
              <w:adjustRightInd w:val="0"/>
              <w:snapToGrid w:val="0"/>
              <w:spacing w:line="360" w:lineRule="auto"/>
              <w:ind w:firstLine="480" w:firstLineChars="200"/>
              <w:rPr>
                <w:rFonts w:hint="default" w:ascii="Times New Roman" w:hAnsi="Times New Roman" w:cs="Times New Roman"/>
                <w:color w:val="FF0000"/>
                <w:sz w:val="24"/>
              </w:rPr>
            </w:pPr>
            <w:r>
              <w:rPr>
                <w:rFonts w:hint="default" w:ascii="Times New Roman" w:hAnsi="Times New Roman" w:cs="Times New Roman"/>
                <w:color w:val="FF0000"/>
                <w:sz w:val="24"/>
              </w:rPr>
              <w:t>拆除活动污染防治：</w:t>
            </w:r>
          </w:p>
          <w:p w14:paraId="4C7B8DAD">
            <w:pPr>
              <w:adjustRightInd w:val="0"/>
              <w:snapToGrid w:val="0"/>
              <w:spacing w:line="360" w:lineRule="auto"/>
              <w:ind w:firstLine="480" w:firstLineChars="200"/>
              <w:rPr>
                <w:rFonts w:hint="default" w:ascii="Times New Roman" w:hAnsi="Times New Roman" w:cs="Times New Roman"/>
                <w:color w:val="FF0000"/>
                <w:sz w:val="24"/>
              </w:rPr>
            </w:pPr>
            <w:r>
              <w:rPr>
                <w:rFonts w:hint="default" w:ascii="Times New Roman" w:hAnsi="Times New Roman" w:cs="Times New Roman"/>
                <w:color w:val="FF0000"/>
                <w:sz w:val="24"/>
              </w:rPr>
              <w:t>拆解设备前制定《拆除污染防治方案》，明确残留废液（机油、电解液）清理流程及防渗应急措施。</w:t>
            </w:r>
          </w:p>
          <w:p w14:paraId="48037032">
            <w:pPr>
              <w:adjustRightInd w:val="0"/>
              <w:snapToGrid w:val="0"/>
              <w:spacing w:line="360" w:lineRule="auto"/>
              <w:ind w:firstLine="480" w:firstLineChars="200"/>
              <w:rPr>
                <w:rFonts w:hint="default" w:ascii="Times New Roman" w:hAnsi="Times New Roman" w:cs="Times New Roman"/>
                <w:color w:val="FF0000"/>
                <w:sz w:val="24"/>
              </w:rPr>
            </w:pPr>
            <w:r>
              <w:rPr>
                <w:rFonts w:hint="default" w:ascii="Times New Roman" w:hAnsi="Times New Roman" w:cs="Times New Roman"/>
                <w:color w:val="FF0000"/>
                <w:sz w:val="24"/>
              </w:rPr>
              <w:t>3、土壤及地下水跟踪监测计划</w:t>
            </w:r>
          </w:p>
          <w:p w14:paraId="46F3FA4B">
            <w:pPr>
              <w:pStyle w:val="95"/>
              <w:ind w:firstLine="480"/>
              <w:rPr>
                <w:rFonts w:hint="default" w:ascii="Times New Roman" w:hAnsi="Times New Roman" w:cs="Times New Roman"/>
                <w:color w:val="FF0000"/>
                <w:szCs w:val="24"/>
              </w:rPr>
            </w:pPr>
            <w:r>
              <w:rPr>
                <w:rFonts w:hint="default" w:ascii="Times New Roman" w:hAnsi="Times New Roman" w:cs="Times New Roman"/>
                <w:color w:val="FF0000"/>
              </w:rPr>
              <w:t>根据《排污单位自行监测技术指南 总则》(HJ819-2017)、</w:t>
            </w:r>
            <w:r>
              <w:rPr>
                <w:rFonts w:hint="default" w:ascii="Times New Roman" w:hAnsi="Times New Roman" w:cs="Times New Roman"/>
                <w:color w:val="FF0000"/>
                <w:szCs w:val="24"/>
              </w:rPr>
              <w:t>《排污许可证申请与核发技术规范 废弃资源加工工业》（HJ1034-2019）</w:t>
            </w:r>
            <w:r>
              <w:rPr>
                <w:rFonts w:hint="default" w:ascii="Times New Roman" w:hAnsi="Times New Roman" w:cs="Times New Roman"/>
                <w:color w:val="FF0000"/>
              </w:rPr>
              <w:t>中自行监测要求中自行监测要求，</w:t>
            </w:r>
            <w:r>
              <w:rPr>
                <w:rFonts w:hint="default" w:ascii="Times New Roman" w:hAnsi="Times New Roman" w:cs="Times New Roman"/>
                <w:color w:val="FF0000"/>
                <w:highlight w:val="none"/>
              </w:rPr>
              <w:t>本项目无需开展</w:t>
            </w:r>
            <w:r>
              <w:rPr>
                <w:rFonts w:hint="default" w:ascii="Times New Roman" w:hAnsi="Times New Roman" w:cs="Times New Roman"/>
                <w:color w:val="FF0000"/>
                <w:szCs w:val="24"/>
                <w:highlight w:val="none"/>
              </w:rPr>
              <w:t>土壤及地下水跟踪</w:t>
            </w:r>
            <w:r>
              <w:rPr>
                <w:rFonts w:hint="default" w:ascii="Times New Roman" w:hAnsi="Times New Roman" w:cs="Times New Roman"/>
                <w:color w:val="FF0000"/>
                <w:highlight w:val="none"/>
              </w:rPr>
              <w:t>监测。</w:t>
            </w:r>
          </w:p>
          <w:p w14:paraId="18D5D7B4">
            <w:pPr>
              <w:pStyle w:val="84"/>
              <w:spacing w:line="360" w:lineRule="auto"/>
              <w:ind w:firstLine="0" w:firstLineChars="0"/>
              <w:rPr>
                <w:rFonts w:hint="default" w:ascii="Times New Roman" w:hAnsi="Times New Roman" w:cs="Times New Roman"/>
                <w:b/>
                <w:color w:val="FF0000"/>
              </w:rPr>
            </w:pPr>
            <w:r>
              <w:rPr>
                <w:rFonts w:hint="default" w:ascii="Times New Roman" w:hAnsi="Times New Roman" w:cs="Times New Roman"/>
                <w:b/>
                <w:color w:val="FF0000"/>
              </w:rPr>
              <w:t>六、环境风险分析</w:t>
            </w:r>
          </w:p>
          <w:p w14:paraId="5EC0E0AB">
            <w:pPr>
              <w:spacing w:line="360" w:lineRule="auto"/>
              <w:ind w:firstLine="482" w:firstLineChars="200"/>
              <w:rPr>
                <w:rFonts w:hint="default" w:ascii="Times New Roman" w:hAnsi="Times New Roman" w:cs="Times New Roman"/>
                <w:b/>
                <w:bCs/>
                <w:color w:val="FF0000"/>
                <w:sz w:val="24"/>
              </w:rPr>
            </w:pPr>
            <w:r>
              <w:rPr>
                <w:rFonts w:hint="default" w:ascii="Times New Roman" w:hAnsi="Times New Roman" w:cs="Times New Roman"/>
                <w:b/>
                <w:bCs/>
                <w:color w:val="FF0000"/>
                <w:sz w:val="24"/>
              </w:rPr>
              <w:t>1.危险物质数量和分布情况</w:t>
            </w:r>
          </w:p>
          <w:p w14:paraId="2877D684">
            <w:pPr>
              <w:spacing w:line="360" w:lineRule="auto"/>
              <w:ind w:firstLine="480" w:firstLineChars="200"/>
              <w:rPr>
                <w:rFonts w:hint="default" w:ascii="Times New Roman" w:hAnsi="Times New Roman" w:cs="Times New Roman"/>
                <w:color w:val="FF0000"/>
                <w:sz w:val="24"/>
              </w:rPr>
            </w:pPr>
            <w:r>
              <w:rPr>
                <w:rFonts w:hint="default" w:ascii="Times New Roman" w:hAnsi="Times New Roman" w:cs="Times New Roman"/>
                <w:color w:val="FF0000"/>
                <w:sz w:val="24"/>
              </w:rPr>
              <w:t>经对照《建设项目环境风险评价技术导则》（HJ169-2018）中的“附录B.1突发环境事件风险物质及临界量”可知，该项目生产过程中产生的废蓄电池、废燃料油、废矿物油及油泥</w:t>
            </w:r>
            <w:r>
              <w:rPr>
                <w:rFonts w:hint="default" w:ascii="Times New Roman" w:hAnsi="Times New Roman" w:cs="Times New Roman"/>
                <w:color w:val="FF0000"/>
                <w:sz w:val="24"/>
                <w:lang w:val="en-US" w:eastAsia="zh-CN"/>
              </w:rPr>
              <w:t>及沉渣</w:t>
            </w:r>
            <w:r>
              <w:rPr>
                <w:rFonts w:hint="default" w:ascii="Times New Roman" w:hAnsi="Times New Roman" w:cs="Times New Roman"/>
                <w:color w:val="FF0000"/>
                <w:sz w:val="24"/>
              </w:rPr>
              <w:t>等属于危险物质。</w:t>
            </w:r>
          </w:p>
          <w:p w14:paraId="186D49FE">
            <w:pPr>
              <w:spacing w:line="360" w:lineRule="auto"/>
              <w:ind w:firstLine="480" w:firstLineChars="200"/>
              <w:rPr>
                <w:rFonts w:hint="default" w:ascii="Times New Roman" w:hAnsi="Times New Roman" w:cs="Times New Roman"/>
                <w:color w:val="FF0000"/>
                <w:sz w:val="24"/>
                <w:highlight w:val="none"/>
                <w:lang w:bidi="en-US"/>
              </w:rPr>
            </w:pPr>
            <w:r>
              <w:rPr>
                <w:rFonts w:hint="default" w:ascii="Times New Roman" w:hAnsi="Times New Roman" w:cs="Times New Roman"/>
                <w:color w:val="FF0000"/>
                <w:sz w:val="24"/>
              </w:rPr>
              <w:t>经对照《建设项目环境风险评价技术导则》（HJ169-2018）中的“附录B.1突发环境事件风险物质及临界量”可知，本项目危险物质包括：有毒物质，主要为硫酸；易燃物质，主要为油类物质。最终筛选出拟建项目环境风险物质有：硫酸、油类物质。硫酸来源于废旧铅</w:t>
            </w:r>
            <w:r>
              <w:rPr>
                <w:rFonts w:hint="eastAsia" w:cs="Times New Roman"/>
                <w:color w:val="FF0000"/>
                <w:sz w:val="24"/>
                <w:lang w:val="en-US" w:eastAsia="zh-CN"/>
              </w:rPr>
              <w:t>酸</w:t>
            </w:r>
            <w:r>
              <w:rPr>
                <w:rFonts w:hint="default" w:ascii="Times New Roman" w:hAnsi="Times New Roman" w:cs="Times New Roman"/>
                <w:color w:val="FF0000"/>
                <w:sz w:val="24"/>
              </w:rPr>
              <w:t>蓄电池，</w:t>
            </w:r>
            <w:r>
              <w:rPr>
                <w:rFonts w:hint="default" w:ascii="Times New Roman" w:hAnsi="Times New Roman" w:cs="Times New Roman"/>
                <w:bCs/>
                <w:color w:val="FF0000"/>
                <w:sz w:val="24"/>
              </w:rPr>
              <w:t>废旧铅酸电池内含有一定量的废稀硫酸，根据调查，铅酸蓄电池内电解液的含量为10%~20%(本项目以20%计)，电解液中硫酸浓度为35%~40%(本项目以40%计)。</w:t>
            </w:r>
            <w:r>
              <w:rPr>
                <w:rFonts w:hint="default" w:ascii="Times New Roman" w:hAnsi="Times New Roman" w:cs="Times New Roman"/>
                <w:color w:val="FF0000"/>
                <w:sz w:val="24"/>
              </w:rPr>
              <w:t>本项目</w:t>
            </w:r>
            <w:r>
              <w:rPr>
                <w:rFonts w:hint="eastAsia" w:cs="Times New Roman"/>
                <w:color w:val="FF0000"/>
                <w:sz w:val="24"/>
                <w:lang w:val="en-US" w:eastAsia="zh-CN"/>
              </w:rPr>
              <w:t>拆解后的铅酸</w:t>
            </w:r>
            <w:r>
              <w:rPr>
                <w:rFonts w:hint="default" w:ascii="Times New Roman" w:hAnsi="Times New Roman" w:cs="Times New Roman"/>
                <w:color w:val="FF0000"/>
                <w:sz w:val="24"/>
              </w:rPr>
              <w:t>蓄电池厂内最大暂存量</w:t>
            </w:r>
            <w:r>
              <w:rPr>
                <w:rFonts w:hint="default" w:ascii="Times New Roman" w:hAnsi="Times New Roman" w:cs="Times New Roman"/>
                <w:color w:val="FF0000"/>
                <w:sz w:val="24"/>
                <w:lang w:bidi="en-US"/>
              </w:rPr>
              <w:t>1</w:t>
            </w:r>
            <w:r>
              <w:rPr>
                <w:rFonts w:hint="eastAsia" w:cs="Times New Roman"/>
                <w:color w:val="FF0000"/>
                <w:sz w:val="24"/>
                <w:lang w:val="en-US" w:eastAsia="zh-CN" w:bidi="en-US"/>
              </w:rPr>
              <w:t>52</w:t>
            </w:r>
            <w:r>
              <w:rPr>
                <w:rFonts w:hint="default" w:ascii="Times New Roman" w:hAnsi="Times New Roman" w:cs="Times New Roman"/>
                <w:color w:val="FF0000"/>
                <w:sz w:val="24"/>
                <w:lang w:bidi="en-US"/>
              </w:rPr>
              <w:t>t</w:t>
            </w:r>
            <w:r>
              <w:rPr>
                <w:rFonts w:hint="default" w:ascii="Times New Roman" w:hAnsi="Times New Roman" w:cs="Times New Roman"/>
                <w:color w:val="FF0000"/>
                <w:sz w:val="24"/>
              </w:rPr>
              <w:t>，按最不利情况计算，则</w:t>
            </w:r>
            <w:r>
              <w:rPr>
                <w:rFonts w:hint="default" w:ascii="Times New Roman" w:hAnsi="Times New Roman" w:cs="Times New Roman"/>
                <w:color w:val="FF0000"/>
                <w:sz w:val="24"/>
                <w:highlight w:val="none"/>
              </w:rPr>
              <w:t>电解液硫酸液的最大存量为</w:t>
            </w:r>
            <w:r>
              <w:rPr>
                <w:rFonts w:hint="eastAsia" w:cs="Times New Roman"/>
                <w:color w:val="FF0000"/>
                <w:sz w:val="24"/>
                <w:highlight w:val="none"/>
                <w:lang w:val="en-US" w:eastAsia="zh-CN" w:bidi="en-US"/>
              </w:rPr>
              <w:t>8</w:t>
            </w:r>
            <w:r>
              <w:rPr>
                <w:rFonts w:hint="default" w:ascii="Times New Roman" w:hAnsi="Times New Roman" w:cs="Times New Roman"/>
                <w:color w:val="FF0000"/>
                <w:sz w:val="24"/>
                <w:highlight w:val="none"/>
                <w:lang w:bidi="en-US"/>
              </w:rPr>
              <w:t>t；</w:t>
            </w:r>
            <w:r>
              <w:rPr>
                <w:rFonts w:hint="eastAsia" w:cs="Times New Roman"/>
                <w:color w:val="FF0000"/>
                <w:sz w:val="24"/>
                <w:highlight w:val="none"/>
                <w:lang w:val="en-US" w:eastAsia="zh-CN" w:bidi="en-US"/>
              </w:rPr>
              <w:t>废</w:t>
            </w:r>
            <w:r>
              <w:rPr>
                <w:rFonts w:hint="default" w:ascii="Times New Roman" w:hAnsi="Times New Roman" w:cs="Times New Roman"/>
                <w:color w:val="FF0000"/>
                <w:sz w:val="24"/>
                <w:highlight w:val="none"/>
              </w:rPr>
              <w:t>燃料油（汽油、柴油）、废矿物油、油泥</w:t>
            </w:r>
            <w:r>
              <w:rPr>
                <w:rFonts w:hint="default" w:ascii="Times New Roman" w:hAnsi="Times New Roman" w:cs="Times New Roman"/>
                <w:color w:val="FF0000"/>
                <w:sz w:val="24"/>
                <w:highlight w:val="none"/>
                <w:lang w:val="en-US" w:eastAsia="zh-CN"/>
              </w:rPr>
              <w:t>及沉渣</w:t>
            </w:r>
            <w:r>
              <w:rPr>
                <w:rFonts w:hint="default" w:ascii="Times New Roman" w:hAnsi="Times New Roman" w:cs="Times New Roman"/>
                <w:color w:val="FF0000"/>
                <w:sz w:val="24"/>
                <w:highlight w:val="none"/>
              </w:rPr>
              <w:t>最大存量</w:t>
            </w:r>
            <w:r>
              <w:rPr>
                <w:rFonts w:hint="eastAsia" w:cs="Times New Roman"/>
                <w:color w:val="FF0000"/>
                <w:sz w:val="24"/>
                <w:highlight w:val="none"/>
                <w:lang w:val="en-US" w:eastAsia="zh-CN"/>
              </w:rPr>
              <w:t>合计</w:t>
            </w:r>
            <w:r>
              <w:rPr>
                <w:rFonts w:hint="default" w:ascii="Times New Roman" w:hAnsi="Times New Roman" w:cs="Times New Roman"/>
                <w:color w:val="FF0000"/>
                <w:sz w:val="24"/>
                <w:highlight w:val="none"/>
              </w:rPr>
              <w:t>为</w:t>
            </w:r>
            <w:r>
              <w:rPr>
                <w:rFonts w:hint="eastAsia" w:cs="Times New Roman"/>
                <w:color w:val="FF0000"/>
                <w:sz w:val="24"/>
                <w:highlight w:val="none"/>
                <w:lang w:val="en-US" w:eastAsia="zh-CN" w:bidi="en-US"/>
              </w:rPr>
              <w:t>3</w:t>
            </w:r>
            <w:r>
              <w:rPr>
                <w:rFonts w:hint="default" w:ascii="Times New Roman" w:hAnsi="Times New Roman" w:cs="Times New Roman"/>
                <w:color w:val="FF0000"/>
                <w:sz w:val="24"/>
                <w:highlight w:val="none"/>
                <w:lang w:bidi="en-US"/>
              </w:rPr>
              <w:t>t。</w:t>
            </w:r>
          </w:p>
          <w:p w14:paraId="33BC460E">
            <w:pPr>
              <w:spacing w:line="360" w:lineRule="auto"/>
              <w:ind w:firstLine="480" w:firstLineChars="200"/>
              <w:rPr>
                <w:rFonts w:hint="default" w:ascii="Times New Roman" w:hAnsi="Times New Roman" w:cs="Times New Roman"/>
                <w:color w:val="FF0000"/>
                <w:sz w:val="24"/>
                <w:highlight w:val="none"/>
              </w:rPr>
            </w:pPr>
            <w:r>
              <w:rPr>
                <w:rFonts w:hint="default" w:ascii="Times New Roman" w:hAnsi="Times New Roman" w:cs="Times New Roman"/>
                <w:color w:val="FF0000"/>
                <w:sz w:val="24"/>
                <w:highlight w:val="none"/>
              </w:rPr>
              <w:t>本项目危险物质数量和分布情况详见</w:t>
            </w:r>
            <w:r>
              <w:rPr>
                <w:rFonts w:hint="eastAsia" w:cs="Times New Roman"/>
                <w:color w:val="FF0000"/>
                <w:sz w:val="24"/>
                <w:highlight w:val="none"/>
                <w:lang w:val="en-US" w:eastAsia="zh-CN"/>
              </w:rPr>
              <w:t>下表</w:t>
            </w:r>
            <w:r>
              <w:rPr>
                <w:rFonts w:hint="default" w:ascii="Times New Roman" w:hAnsi="Times New Roman" w:cs="Times New Roman"/>
                <w:color w:val="FF0000"/>
                <w:sz w:val="24"/>
                <w:highlight w:val="none"/>
              </w:rPr>
              <w:t>。</w:t>
            </w:r>
          </w:p>
          <w:p w14:paraId="58D84414">
            <w:pPr>
              <w:spacing w:line="240" w:lineRule="auto"/>
              <w:jc w:val="center"/>
              <w:rPr>
                <w:rFonts w:hint="default" w:ascii="Times New Roman" w:hAnsi="Times New Roman" w:cs="Times New Roman"/>
                <w:b/>
                <w:color w:val="FF0000"/>
                <w:szCs w:val="21"/>
                <w:highlight w:val="none"/>
              </w:rPr>
            </w:pPr>
            <w:r>
              <w:rPr>
                <w:rFonts w:hint="default" w:ascii="Times New Roman" w:hAnsi="Times New Roman" w:cs="Times New Roman"/>
                <w:b/>
                <w:color w:val="FF0000"/>
                <w:szCs w:val="21"/>
                <w:highlight w:val="none"/>
              </w:rPr>
              <w:t>表4-3</w:t>
            </w:r>
            <w:r>
              <w:rPr>
                <w:rFonts w:hint="eastAsia" w:cs="Times New Roman"/>
                <w:b/>
                <w:color w:val="FF0000"/>
                <w:szCs w:val="21"/>
                <w:highlight w:val="none"/>
                <w:lang w:val="en-US" w:eastAsia="zh-CN"/>
              </w:rPr>
              <w:t>9</w:t>
            </w:r>
            <w:r>
              <w:rPr>
                <w:rFonts w:hint="default" w:ascii="Times New Roman" w:hAnsi="Times New Roman" w:cs="Times New Roman"/>
                <w:b/>
                <w:color w:val="FF0000"/>
                <w:szCs w:val="21"/>
                <w:highlight w:val="none"/>
              </w:rPr>
              <w:t xml:space="preserve">  建设项目危险物质数量和分布情况一览表</w:t>
            </w:r>
          </w:p>
          <w:tbl>
            <w:tblPr>
              <w:tblStyle w:val="34"/>
              <w:tblW w:w="4998" w:type="pct"/>
              <w:jc w:val="center"/>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125"/>
              <w:gridCol w:w="1740"/>
              <w:gridCol w:w="2359"/>
              <w:gridCol w:w="1851"/>
              <w:gridCol w:w="1396"/>
            </w:tblGrid>
            <w:tr w14:paraId="32E77DD1">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64" w:type="pct"/>
                  <w:tcBorders>
                    <w:tl2br w:val="nil"/>
                    <w:tr2bl w:val="nil"/>
                  </w:tcBorders>
                  <w:vAlign w:val="center"/>
                </w:tcPr>
                <w:p w14:paraId="7BB8878E">
                  <w:pPr>
                    <w:jc w:val="center"/>
                    <w:rPr>
                      <w:rFonts w:hint="default" w:ascii="Times New Roman" w:hAnsi="Times New Roman" w:cs="Times New Roman"/>
                      <w:b/>
                      <w:bCs/>
                      <w:color w:val="FF0000"/>
                      <w:szCs w:val="21"/>
                      <w:highlight w:val="none"/>
                    </w:rPr>
                  </w:pPr>
                  <w:r>
                    <w:rPr>
                      <w:rFonts w:hint="default" w:ascii="Times New Roman" w:hAnsi="Times New Roman" w:cs="Times New Roman"/>
                      <w:b/>
                      <w:bCs/>
                      <w:color w:val="FF0000"/>
                      <w:szCs w:val="21"/>
                      <w:highlight w:val="none"/>
                    </w:rPr>
                    <w:t>序号</w:t>
                  </w:r>
                </w:p>
              </w:tc>
              <w:tc>
                <w:tcPr>
                  <w:tcW w:w="1027" w:type="pct"/>
                  <w:tcBorders>
                    <w:tl2br w:val="nil"/>
                    <w:tr2bl w:val="nil"/>
                  </w:tcBorders>
                  <w:vAlign w:val="center"/>
                </w:tcPr>
                <w:p w14:paraId="7135600C">
                  <w:pPr>
                    <w:jc w:val="center"/>
                    <w:rPr>
                      <w:rFonts w:hint="default" w:ascii="Times New Roman" w:hAnsi="Times New Roman" w:cs="Times New Roman"/>
                      <w:b/>
                      <w:bCs/>
                      <w:color w:val="FF0000"/>
                      <w:szCs w:val="21"/>
                      <w:highlight w:val="none"/>
                    </w:rPr>
                  </w:pPr>
                  <w:r>
                    <w:rPr>
                      <w:rFonts w:hint="default" w:ascii="Times New Roman" w:hAnsi="Times New Roman" w:cs="Times New Roman"/>
                      <w:b/>
                      <w:bCs/>
                      <w:color w:val="FF0000"/>
                      <w:szCs w:val="21"/>
                      <w:highlight w:val="none"/>
                    </w:rPr>
                    <w:t>物质名称</w:t>
                  </w:r>
                </w:p>
              </w:tc>
              <w:tc>
                <w:tcPr>
                  <w:tcW w:w="1392" w:type="pct"/>
                  <w:tcBorders>
                    <w:tl2br w:val="nil"/>
                    <w:tr2bl w:val="nil"/>
                  </w:tcBorders>
                  <w:vAlign w:val="center"/>
                </w:tcPr>
                <w:p w14:paraId="27B2AA2A">
                  <w:pPr>
                    <w:jc w:val="center"/>
                    <w:rPr>
                      <w:rFonts w:hint="default" w:ascii="Times New Roman" w:hAnsi="Times New Roman" w:cs="Times New Roman"/>
                      <w:b/>
                      <w:bCs/>
                      <w:color w:val="FF0000"/>
                      <w:szCs w:val="21"/>
                      <w:highlight w:val="none"/>
                    </w:rPr>
                  </w:pPr>
                  <w:r>
                    <w:rPr>
                      <w:rFonts w:hint="default" w:ascii="Times New Roman" w:hAnsi="Times New Roman" w:cs="Times New Roman"/>
                      <w:b/>
                      <w:bCs/>
                      <w:color w:val="FF0000"/>
                      <w:szCs w:val="21"/>
                      <w:highlight w:val="none"/>
                    </w:rPr>
                    <w:t>最大存在量qn（t）</w:t>
                  </w:r>
                </w:p>
              </w:tc>
              <w:tc>
                <w:tcPr>
                  <w:tcW w:w="1092" w:type="pct"/>
                  <w:tcBorders>
                    <w:tl2br w:val="nil"/>
                    <w:tr2bl w:val="nil"/>
                  </w:tcBorders>
                  <w:vAlign w:val="center"/>
                </w:tcPr>
                <w:p w14:paraId="0C36E634">
                  <w:pPr>
                    <w:jc w:val="center"/>
                    <w:rPr>
                      <w:rFonts w:hint="default" w:ascii="Times New Roman" w:hAnsi="Times New Roman" w:cs="Times New Roman"/>
                      <w:b/>
                      <w:bCs/>
                      <w:color w:val="FF0000"/>
                      <w:szCs w:val="21"/>
                      <w:highlight w:val="none"/>
                    </w:rPr>
                  </w:pPr>
                  <w:r>
                    <w:rPr>
                      <w:rFonts w:hint="default" w:ascii="Times New Roman" w:hAnsi="Times New Roman" w:cs="Times New Roman"/>
                      <w:b/>
                      <w:bCs/>
                      <w:color w:val="FF0000"/>
                      <w:szCs w:val="21"/>
                      <w:highlight w:val="none"/>
                    </w:rPr>
                    <w:t>临界量Qn（t）</w:t>
                  </w:r>
                </w:p>
              </w:tc>
              <w:tc>
                <w:tcPr>
                  <w:tcW w:w="824" w:type="pct"/>
                  <w:tcBorders>
                    <w:tl2br w:val="nil"/>
                    <w:tr2bl w:val="nil"/>
                  </w:tcBorders>
                  <w:vAlign w:val="center"/>
                </w:tcPr>
                <w:p w14:paraId="3129FD4F">
                  <w:pPr>
                    <w:jc w:val="center"/>
                    <w:rPr>
                      <w:rFonts w:hint="default" w:ascii="Times New Roman" w:hAnsi="Times New Roman" w:cs="Times New Roman"/>
                      <w:b/>
                      <w:bCs/>
                      <w:color w:val="FF0000"/>
                      <w:szCs w:val="21"/>
                      <w:highlight w:val="none"/>
                    </w:rPr>
                  </w:pPr>
                  <w:r>
                    <w:rPr>
                      <w:rFonts w:hint="default" w:ascii="Times New Roman" w:hAnsi="Times New Roman" w:cs="Times New Roman"/>
                      <w:b/>
                      <w:bCs/>
                      <w:color w:val="FF0000"/>
                      <w:szCs w:val="21"/>
                      <w:highlight w:val="none"/>
                    </w:rPr>
                    <w:t>qn/Qn</w:t>
                  </w:r>
                </w:p>
              </w:tc>
            </w:tr>
            <w:tr w14:paraId="2D31BDC7">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64" w:type="pct"/>
                  <w:tcBorders>
                    <w:tl2br w:val="nil"/>
                    <w:tr2bl w:val="nil"/>
                  </w:tcBorders>
                  <w:vAlign w:val="center"/>
                </w:tcPr>
                <w:p w14:paraId="75D284A7">
                  <w:pPr>
                    <w:jc w:val="center"/>
                    <w:rPr>
                      <w:rFonts w:hint="default" w:ascii="Times New Roman" w:hAnsi="Times New Roman" w:cs="Times New Roman"/>
                      <w:color w:val="FF0000"/>
                      <w:szCs w:val="21"/>
                      <w:highlight w:val="none"/>
                    </w:rPr>
                  </w:pPr>
                  <w:r>
                    <w:rPr>
                      <w:rFonts w:hint="default" w:ascii="Times New Roman" w:hAnsi="Times New Roman" w:cs="Times New Roman"/>
                      <w:color w:val="FF0000"/>
                      <w:szCs w:val="21"/>
                      <w:highlight w:val="none"/>
                    </w:rPr>
                    <w:t>1</w:t>
                  </w:r>
                </w:p>
              </w:tc>
              <w:tc>
                <w:tcPr>
                  <w:tcW w:w="1027" w:type="pct"/>
                  <w:tcBorders>
                    <w:tl2br w:val="nil"/>
                    <w:tr2bl w:val="nil"/>
                  </w:tcBorders>
                  <w:vAlign w:val="center"/>
                </w:tcPr>
                <w:p w14:paraId="2837F0AF">
                  <w:pPr>
                    <w:jc w:val="center"/>
                    <w:rPr>
                      <w:rFonts w:hint="default" w:ascii="Times New Roman" w:hAnsi="Times New Roman" w:cs="Times New Roman"/>
                      <w:color w:val="FF0000"/>
                      <w:szCs w:val="21"/>
                      <w:highlight w:val="none"/>
                    </w:rPr>
                  </w:pPr>
                  <w:r>
                    <w:rPr>
                      <w:rFonts w:hint="default" w:ascii="Times New Roman" w:hAnsi="Times New Roman" w:cs="Times New Roman"/>
                      <w:color w:val="FF0000"/>
                      <w:szCs w:val="21"/>
                      <w:highlight w:val="none"/>
                    </w:rPr>
                    <w:t>硫酸</w:t>
                  </w:r>
                </w:p>
              </w:tc>
              <w:tc>
                <w:tcPr>
                  <w:tcW w:w="1392" w:type="pct"/>
                  <w:tcBorders>
                    <w:tl2br w:val="nil"/>
                    <w:tr2bl w:val="nil"/>
                  </w:tcBorders>
                  <w:vAlign w:val="center"/>
                </w:tcPr>
                <w:p w14:paraId="0519205A">
                  <w:pPr>
                    <w:jc w:val="center"/>
                    <w:rPr>
                      <w:rFonts w:hint="default" w:ascii="Times New Roman" w:hAnsi="Times New Roman" w:cs="Times New Roman"/>
                      <w:color w:val="FF0000"/>
                      <w:szCs w:val="21"/>
                      <w:highlight w:val="none"/>
                    </w:rPr>
                  </w:pPr>
                  <w:r>
                    <w:rPr>
                      <w:rFonts w:hint="default" w:ascii="Times New Roman" w:hAnsi="Times New Roman" w:cs="Times New Roman"/>
                      <w:color w:val="FF0000"/>
                      <w:szCs w:val="21"/>
                      <w:highlight w:val="none"/>
                    </w:rPr>
                    <w:t>8</w:t>
                  </w:r>
                </w:p>
              </w:tc>
              <w:tc>
                <w:tcPr>
                  <w:tcW w:w="1092" w:type="pct"/>
                  <w:tcBorders>
                    <w:tl2br w:val="nil"/>
                    <w:tr2bl w:val="nil"/>
                  </w:tcBorders>
                  <w:vAlign w:val="center"/>
                </w:tcPr>
                <w:p w14:paraId="2FFAC7B5">
                  <w:pPr>
                    <w:jc w:val="center"/>
                    <w:rPr>
                      <w:rFonts w:hint="default" w:ascii="Times New Roman" w:hAnsi="Times New Roman" w:cs="Times New Roman"/>
                      <w:color w:val="FF0000"/>
                      <w:szCs w:val="21"/>
                      <w:highlight w:val="none"/>
                    </w:rPr>
                  </w:pPr>
                  <w:r>
                    <w:rPr>
                      <w:rFonts w:hint="default" w:ascii="Times New Roman" w:hAnsi="Times New Roman" w:cs="Times New Roman"/>
                      <w:color w:val="FF0000"/>
                      <w:szCs w:val="21"/>
                      <w:highlight w:val="none"/>
                    </w:rPr>
                    <w:t>10</w:t>
                  </w:r>
                </w:p>
              </w:tc>
              <w:tc>
                <w:tcPr>
                  <w:tcW w:w="824" w:type="pct"/>
                  <w:tcBorders>
                    <w:tl2br w:val="nil"/>
                    <w:tr2bl w:val="nil"/>
                  </w:tcBorders>
                  <w:vAlign w:val="center"/>
                </w:tcPr>
                <w:p w14:paraId="42CC2845">
                  <w:pPr>
                    <w:jc w:val="center"/>
                    <w:rPr>
                      <w:rFonts w:hint="default" w:ascii="Times New Roman" w:hAnsi="Times New Roman" w:cs="Times New Roman"/>
                      <w:color w:val="FF0000"/>
                      <w:szCs w:val="21"/>
                      <w:highlight w:val="none"/>
                    </w:rPr>
                  </w:pPr>
                  <w:r>
                    <w:rPr>
                      <w:rFonts w:hint="default" w:ascii="Times New Roman" w:hAnsi="Times New Roman" w:cs="Times New Roman"/>
                      <w:color w:val="FF0000"/>
                      <w:szCs w:val="21"/>
                      <w:highlight w:val="none"/>
                    </w:rPr>
                    <w:t>0.8</w:t>
                  </w:r>
                </w:p>
              </w:tc>
            </w:tr>
            <w:tr w14:paraId="2CB760F1">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06" w:hRule="atLeast"/>
                <w:jc w:val="center"/>
              </w:trPr>
              <w:tc>
                <w:tcPr>
                  <w:tcW w:w="664" w:type="pct"/>
                  <w:tcBorders>
                    <w:tl2br w:val="nil"/>
                    <w:tr2bl w:val="nil"/>
                  </w:tcBorders>
                  <w:vAlign w:val="center"/>
                </w:tcPr>
                <w:p w14:paraId="684A458B">
                  <w:pPr>
                    <w:jc w:val="center"/>
                    <w:rPr>
                      <w:rFonts w:hint="default" w:ascii="Times New Roman" w:hAnsi="Times New Roman" w:cs="Times New Roman"/>
                      <w:color w:val="FF0000"/>
                      <w:szCs w:val="21"/>
                      <w:highlight w:val="none"/>
                    </w:rPr>
                  </w:pPr>
                  <w:r>
                    <w:rPr>
                      <w:rFonts w:hint="default" w:ascii="Times New Roman" w:hAnsi="Times New Roman" w:cs="Times New Roman"/>
                      <w:color w:val="FF0000"/>
                      <w:szCs w:val="21"/>
                      <w:highlight w:val="none"/>
                    </w:rPr>
                    <w:t>2</w:t>
                  </w:r>
                </w:p>
              </w:tc>
              <w:tc>
                <w:tcPr>
                  <w:tcW w:w="1027" w:type="pct"/>
                  <w:tcBorders>
                    <w:tl2br w:val="nil"/>
                    <w:tr2bl w:val="nil"/>
                  </w:tcBorders>
                  <w:vAlign w:val="center"/>
                </w:tcPr>
                <w:p w14:paraId="045AE5ED">
                  <w:pPr>
                    <w:jc w:val="center"/>
                    <w:rPr>
                      <w:rFonts w:hint="default" w:ascii="Times New Roman" w:hAnsi="Times New Roman" w:cs="Times New Roman"/>
                      <w:color w:val="FF0000"/>
                      <w:szCs w:val="21"/>
                      <w:highlight w:val="none"/>
                    </w:rPr>
                  </w:pPr>
                  <w:r>
                    <w:rPr>
                      <w:rFonts w:hint="default" w:ascii="Times New Roman" w:hAnsi="Times New Roman" w:cs="Times New Roman"/>
                      <w:color w:val="FF0000"/>
                      <w:szCs w:val="21"/>
                      <w:highlight w:val="none"/>
                    </w:rPr>
                    <w:t>油类物质</w:t>
                  </w:r>
                </w:p>
              </w:tc>
              <w:tc>
                <w:tcPr>
                  <w:tcW w:w="1392" w:type="pct"/>
                  <w:tcBorders>
                    <w:tl2br w:val="nil"/>
                    <w:tr2bl w:val="nil"/>
                  </w:tcBorders>
                  <w:vAlign w:val="center"/>
                </w:tcPr>
                <w:p w14:paraId="2E337550">
                  <w:pPr>
                    <w:jc w:val="center"/>
                    <w:rPr>
                      <w:rFonts w:hint="default" w:ascii="Times New Roman" w:hAnsi="Times New Roman" w:eastAsia="宋体" w:cs="Times New Roman"/>
                      <w:color w:val="FF0000"/>
                      <w:szCs w:val="21"/>
                      <w:highlight w:val="none"/>
                      <w:lang w:val="en-US" w:eastAsia="zh-CN"/>
                    </w:rPr>
                  </w:pPr>
                  <w:r>
                    <w:rPr>
                      <w:rFonts w:hint="eastAsia" w:cs="Times New Roman"/>
                      <w:color w:val="FF0000"/>
                      <w:szCs w:val="21"/>
                      <w:highlight w:val="none"/>
                      <w:lang w:val="en-US" w:eastAsia="zh-CN"/>
                    </w:rPr>
                    <w:t>3</w:t>
                  </w:r>
                </w:p>
              </w:tc>
              <w:tc>
                <w:tcPr>
                  <w:tcW w:w="1092" w:type="pct"/>
                  <w:tcBorders>
                    <w:tl2br w:val="nil"/>
                    <w:tr2bl w:val="nil"/>
                  </w:tcBorders>
                  <w:vAlign w:val="center"/>
                </w:tcPr>
                <w:p w14:paraId="07284B18">
                  <w:pPr>
                    <w:jc w:val="center"/>
                    <w:rPr>
                      <w:rFonts w:hint="default" w:ascii="Times New Roman" w:hAnsi="Times New Roman" w:cs="Times New Roman"/>
                      <w:color w:val="FF0000"/>
                      <w:szCs w:val="21"/>
                      <w:highlight w:val="none"/>
                    </w:rPr>
                  </w:pPr>
                  <w:r>
                    <w:rPr>
                      <w:rFonts w:hint="default" w:ascii="Times New Roman" w:hAnsi="Times New Roman" w:cs="Times New Roman"/>
                      <w:color w:val="FF0000"/>
                      <w:szCs w:val="21"/>
                      <w:highlight w:val="none"/>
                    </w:rPr>
                    <w:t>2500</w:t>
                  </w:r>
                </w:p>
              </w:tc>
              <w:tc>
                <w:tcPr>
                  <w:tcW w:w="824" w:type="pct"/>
                  <w:tcBorders>
                    <w:tl2br w:val="nil"/>
                    <w:tr2bl w:val="nil"/>
                  </w:tcBorders>
                  <w:vAlign w:val="center"/>
                </w:tcPr>
                <w:p w14:paraId="2FD580B5">
                  <w:pPr>
                    <w:jc w:val="center"/>
                    <w:rPr>
                      <w:rFonts w:hint="default" w:ascii="Times New Roman" w:hAnsi="Times New Roman" w:eastAsia="宋体" w:cs="Times New Roman"/>
                      <w:color w:val="FF0000"/>
                      <w:szCs w:val="21"/>
                      <w:highlight w:val="none"/>
                      <w:lang w:val="en-US" w:eastAsia="zh-CN"/>
                    </w:rPr>
                  </w:pPr>
                  <w:r>
                    <w:rPr>
                      <w:rFonts w:hint="default" w:ascii="Times New Roman" w:hAnsi="Times New Roman" w:cs="Times New Roman"/>
                      <w:color w:val="FF0000"/>
                      <w:szCs w:val="21"/>
                      <w:highlight w:val="none"/>
                    </w:rPr>
                    <w:t>0.00</w:t>
                  </w:r>
                  <w:r>
                    <w:rPr>
                      <w:rFonts w:hint="eastAsia" w:cs="Times New Roman"/>
                      <w:color w:val="FF0000"/>
                      <w:szCs w:val="21"/>
                      <w:highlight w:val="none"/>
                      <w:lang w:val="en-US" w:eastAsia="zh-CN"/>
                    </w:rPr>
                    <w:t>12</w:t>
                  </w:r>
                </w:p>
              </w:tc>
            </w:tr>
            <w:tr w14:paraId="27F648DC">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175" w:type="pct"/>
                  <w:gridSpan w:val="4"/>
                  <w:tcBorders>
                    <w:tl2br w:val="nil"/>
                    <w:tr2bl w:val="nil"/>
                  </w:tcBorders>
                  <w:vAlign w:val="center"/>
                </w:tcPr>
                <w:p w14:paraId="120ED871">
                  <w:pPr>
                    <w:jc w:val="center"/>
                    <w:rPr>
                      <w:rFonts w:hint="default" w:ascii="Times New Roman" w:hAnsi="Times New Roman" w:cs="Times New Roman"/>
                      <w:color w:val="FF0000"/>
                      <w:szCs w:val="21"/>
                      <w:highlight w:val="none"/>
                    </w:rPr>
                  </w:pPr>
                  <w:r>
                    <w:rPr>
                      <w:rFonts w:hint="default" w:ascii="Times New Roman" w:hAnsi="Times New Roman" w:cs="Times New Roman"/>
                      <w:color w:val="FF0000"/>
                      <w:szCs w:val="21"/>
                      <w:highlight w:val="none"/>
                    </w:rPr>
                    <w:t>合计</w:t>
                  </w:r>
                </w:p>
              </w:tc>
              <w:tc>
                <w:tcPr>
                  <w:tcW w:w="824" w:type="pct"/>
                  <w:tcBorders>
                    <w:tl2br w:val="nil"/>
                    <w:tr2bl w:val="nil"/>
                  </w:tcBorders>
                  <w:vAlign w:val="center"/>
                </w:tcPr>
                <w:p w14:paraId="5E922730">
                  <w:pPr>
                    <w:jc w:val="center"/>
                    <w:rPr>
                      <w:rFonts w:hint="default" w:ascii="Times New Roman" w:hAnsi="Times New Roman" w:eastAsia="宋体" w:cs="Times New Roman"/>
                      <w:color w:val="FF0000"/>
                      <w:szCs w:val="21"/>
                      <w:highlight w:val="none"/>
                      <w:lang w:val="en-US" w:eastAsia="zh-CN"/>
                    </w:rPr>
                  </w:pPr>
                  <w:r>
                    <w:rPr>
                      <w:rFonts w:hint="default" w:ascii="Times New Roman" w:hAnsi="Times New Roman" w:cs="Times New Roman"/>
                      <w:color w:val="FF0000"/>
                      <w:szCs w:val="21"/>
                      <w:highlight w:val="none"/>
                    </w:rPr>
                    <w:t>0.80</w:t>
                  </w:r>
                  <w:r>
                    <w:rPr>
                      <w:rFonts w:hint="eastAsia" w:cs="Times New Roman"/>
                      <w:color w:val="FF0000"/>
                      <w:szCs w:val="21"/>
                      <w:highlight w:val="none"/>
                      <w:lang w:val="en-US" w:eastAsia="zh-CN"/>
                    </w:rPr>
                    <w:t>12</w:t>
                  </w:r>
                </w:p>
              </w:tc>
            </w:tr>
          </w:tbl>
          <w:p w14:paraId="2E55F365">
            <w:pPr>
              <w:spacing w:line="360" w:lineRule="auto"/>
              <w:ind w:firstLine="480" w:firstLineChars="200"/>
              <w:rPr>
                <w:rFonts w:hint="default" w:ascii="Times New Roman" w:hAnsi="Times New Roman" w:cs="Times New Roman"/>
                <w:color w:val="FF0000"/>
                <w:sz w:val="24"/>
              </w:rPr>
            </w:pPr>
            <w:r>
              <w:rPr>
                <w:rFonts w:hint="default" w:ascii="Times New Roman" w:hAnsi="Times New Roman" w:cs="Times New Roman"/>
                <w:color w:val="FF0000"/>
                <w:sz w:val="24"/>
              </w:rPr>
              <w:t>由上表可知，本项目的Q值为0.80</w:t>
            </w:r>
            <w:r>
              <w:rPr>
                <w:rFonts w:hint="eastAsia" w:cs="Times New Roman"/>
                <w:color w:val="FF0000"/>
                <w:sz w:val="24"/>
                <w:lang w:val="en-US" w:eastAsia="zh-CN"/>
              </w:rPr>
              <w:t>12</w:t>
            </w:r>
            <w:r>
              <w:rPr>
                <w:rFonts w:hint="default" w:ascii="Times New Roman" w:hAnsi="Times New Roman" w:cs="Times New Roman"/>
                <w:color w:val="FF0000"/>
                <w:sz w:val="24"/>
              </w:rPr>
              <w:t>，根据《建设项目环境风险评价技术导则》（HJ169-2018），本项目环境风险评价为简单评价。</w:t>
            </w:r>
          </w:p>
          <w:p w14:paraId="32672A81">
            <w:pPr>
              <w:spacing w:line="360" w:lineRule="auto"/>
              <w:ind w:firstLine="482" w:firstLineChars="200"/>
              <w:rPr>
                <w:rFonts w:hint="default" w:ascii="Times New Roman" w:hAnsi="Times New Roman" w:cs="Times New Roman"/>
                <w:b/>
                <w:bCs/>
                <w:color w:val="FF0000"/>
                <w:sz w:val="24"/>
              </w:rPr>
            </w:pPr>
            <w:r>
              <w:rPr>
                <w:rFonts w:hint="default" w:ascii="Times New Roman" w:hAnsi="Times New Roman" w:cs="Times New Roman"/>
                <w:b/>
                <w:bCs/>
                <w:color w:val="FF0000"/>
                <w:sz w:val="24"/>
              </w:rPr>
              <w:t>2.环境影响途径</w:t>
            </w:r>
          </w:p>
          <w:p w14:paraId="3AD67546">
            <w:pPr>
              <w:spacing w:line="360" w:lineRule="auto"/>
              <w:ind w:firstLine="480" w:firstLineChars="200"/>
              <w:rPr>
                <w:rFonts w:hint="default" w:ascii="Times New Roman" w:hAnsi="Times New Roman" w:cs="Times New Roman"/>
                <w:color w:val="FF0000"/>
                <w:sz w:val="24"/>
              </w:rPr>
            </w:pPr>
            <w:r>
              <w:rPr>
                <w:rFonts w:hint="default" w:ascii="Times New Roman" w:hAnsi="Times New Roman" w:cs="Times New Roman"/>
                <w:color w:val="FF0000"/>
                <w:sz w:val="24"/>
              </w:rPr>
              <w:t>建设项目涉及的风险物质包括油类物质</w:t>
            </w:r>
            <w:r>
              <w:rPr>
                <w:rFonts w:hint="eastAsia" w:cs="Times New Roman"/>
                <w:color w:val="FF0000"/>
                <w:sz w:val="24"/>
                <w:lang w:eastAsia="zh-CN"/>
              </w:rPr>
              <w:t>、油泥</w:t>
            </w:r>
            <w:r>
              <w:rPr>
                <w:rFonts w:hint="eastAsia" w:cs="Times New Roman"/>
                <w:color w:val="FF0000"/>
                <w:sz w:val="24"/>
                <w:lang w:val="en-US" w:eastAsia="zh-CN"/>
              </w:rPr>
              <w:t>及沉渣</w:t>
            </w:r>
            <w:r>
              <w:rPr>
                <w:rFonts w:hint="default" w:ascii="Times New Roman" w:hAnsi="Times New Roman" w:cs="Times New Roman"/>
                <w:color w:val="FF0000"/>
                <w:sz w:val="24"/>
              </w:rPr>
              <w:t>和废蓄电池中所含的硫酸等。在生产过程中，一旦发生原料泄漏、火灾，这些风险物质将通过垂直入渗或地表漫流的方式进入土壤和地下水。此外，在事故应急处置过程中，产生的事故废水，如果未经有效拦截、收集而进入外部地表水体，将有可能对区域地表水环境造成污染。</w:t>
            </w:r>
          </w:p>
          <w:p w14:paraId="505DD32C">
            <w:pPr>
              <w:spacing w:line="360" w:lineRule="auto"/>
              <w:ind w:firstLine="480" w:firstLineChars="200"/>
              <w:rPr>
                <w:rFonts w:hint="default" w:ascii="Times New Roman" w:hAnsi="Times New Roman" w:cs="Times New Roman"/>
                <w:color w:val="FF0000"/>
                <w:sz w:val="24"/>
              </w:rPr>
            </w:pPr>
            <w:r>
              <w:rPr>
                <w:rFonts w:hint="default" w:ascii="Times New Roman" w:hAnsi="Times New Roman" w:cs="Times New Roman"/>
                <w:color w:val="FF0000"/>
                <w:sz w:val="24"/>
              </w:rPr>
              <w:t>因此，建设项目可能存在的事故影响途径汇总见表4-3</w:t>
            </w:r>
            <w:r>
              <w:rPr>
                <w:rFonts w:hint="eastAsia" w:cs="Times New Roman"/>
                <w:color w:val="FF0000"/>
                <w:sz w:val="24"/>
                <w:lang w:val="en-US" w:eastAsia="zh-CN"/>
              </w:rPr>
              <w:t>8</w:t>
            </w:r>
            <w:r>
              <w:rPr>
                <w:rFonts w:hint="default" w:ascii="Times New Roman" w:hAnsi="Times New Roman" w:cs="Times New Roman"/>
                <w:color w:val="FF0000"/>
                <w:sz w:val="24"/>
              </w:rPr>
              <w:t>。</w:t>
            </w:r>
          </w:p>
          <w:p w14:paraId="3A7B2988">
            <w:pPr>
              <w:spacing w:line="360" w:lineRule="auto"/>
              <w:jc w:val="center"/>
              <w:rPr>
                <w:rFonts w:hint="default" w:ascii="Times New Roman" w:hAnsi="Times New Roman" w:cs="Times New Roman"/>
                <w:b/>
                <w:color w:val="FF0000"/>
                <w:szCs w:val="21"/>
              </w:rPr>
            </w:pPr>
            <w:r>
              <w:rPr>
                <w:rFonts w:hint="default" w:ascii="Times New Roman" w:hAnsi="Times New Roman" w:cs="Times New Roman"/>
                <w:b/>
                <w:color w:val="FF0000"/>
                <w:szCs w:val="21"/>
              </w:rPr>
              <w:t>表4-</w:t>
            </w:r>
            <w:r>
              <w:rPr>
                <w:rFonts w:hint="eastAsia" w:cs="Times New Roman"/>
                <w:b/>
                <w:color w:val="FF0000"/>
                <w:szCs w:val="21"/>
                <w:lang w:val="en-US" w:eastAsia="zh-CN"/>
              </w:rPr>
              <w:t>40</w:t>
            </w:r>
            <w:r>
              <w:rPr>
                <w:rFonts w:hint="default" w:ascii="Times New Roman" w:hAnsi="Times New Roman" w:cs="Times New Roman"/>
                <w:b/>
                <w:color w:val="FF0000"/>
                <w:szCs w:val="21"/>
              </w:rPr>
              <w:t xml:space="preserve">  建设项目环境事故影响途径分析汇总一览表</w:t>
            </w:r>
          </w:p>
          <w:tbl>
            <w:tblPr>
              <w:tblStyle w:val="34"/>
              <w:tblW w:w="4998" w:type="pct"/>
              <w:jc w:val="center"/>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46"/>
              <w:gridCol w:w="1146"/>
              <w:gridCol w:w="1434"/>
              <w:gridCol w:w="1146"/>
              <w:gridCol w:w="1146"/>
              <w:gridCol w:w="1149"/>
              <w:gridCol w:w="1704"/>
            </w:tblGrid>
            <w:tr w14:paraId="26B6475F">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4" w:hRule="atLeast"/>
                <w:jc w:val="center"/>
              </w:trPr>
              <w:tc>
                <w:tcPr>
                  <w:tcW w:w="440" w:type="pct"/>
                  <w:vMerge w:val="restart"/>
                  <w:tcBorders>
                    <w:tl2br w:val="nil"/>
                    <w:tr2bl w:val="nil"/>
                  </w:tcBorders>
                  <w:vAlign w:val="center"/>
                </w:tcPr>
                <w:p w14:paraId="21F52B7D">
                  <w:pPr>
                    <w:jc w:val="center"/>
                    <w:rPr>
                      <w:rFonts w:hint="default" w:ascii="Times New Roman" w:hAnsi="Times New Roman" w:cs="Times New Roman"/>
                      <w:b/>
                      <w:color w:val="FF0000"/>
                      <w:szCs w:val="21"/>
                    </w:rPr>
                  </w:pPr>
                  <w:r>
                    <w:rPr>
                      <w:rFonts w:hint="default" w:ascii="Times New Roman" w:hAnsi="Times New Roman" w:cs="Times New Roman"/>
                      <w:b/>
                      <w:color w:val="FF0000"/>
                      <w:szCs w:val="21"/>
                    </w:rPr>
                    <w:t>事故类型</w:t>
                  </w:r>
                </w:p>
              </w:tc>
              <w:tc>
                <w:tcPr>
                  <w:tcW w:w="676" w:type="pct"/>
                  <w:vMerge w:val="restart"/>
                  <w:tcBorders>
                    <w:tl2br w:val="nil"/>
                    <w:tr2bl w:val="nil"/>
                  </w:tcBorders>
                  <w:vAlign w:val="center"/>
                </w:tcPr>
                <w:p w14:paraId="55920F29">
                  <w:pPr>
                    <w:jc w:val="center"/>
                    <w:rPr>
                      <w:rFonts w:hint="default" w:ascii="Times New Roman" w:hAnsi="Times New Roman" w:cs="Times New Roman"/>
                      <w:b/>
                      <w:color w:val="FF0000"/>
                      <w:szCs w:val="21"/>
                    </w:rPr>
                  </w:pPr>
                  <w:r>
                    <w:rPr>
                      <w:rFonts w:hint="default" w:ascii="Times New Roman" w:hAnsi="Times New Roman" w:cs="Times New Roman"/>
                      <w:b/>
                      <w:color w:val="FF0000"/>
                      <w:szCs w:val="21"/>
                    </w:rPr>
                    <w:t>事故位置</w:t>
                  </w:r>
                </w:p>
              </w:tc>
              <w:tc>
                <w:tcPr>
                  <w:tcW w:w="846" w:type="pct"/>
                  <w:vMerge w:val="restart"/>
                  <w:tcBorders>
                    <w:tl2br w:val="nil"/>
                    <w:tr2bl w:val="nil"/>
                  </w:tcBorders>
                  <w:vAlign w:val="center"/>
                </w:tcPr>
                <w:p w14:paraId="5F5C6CF0">
                  <w:pPr>
                    <w:jc w:val="center"/>
                    <w:rPr>
                      <w:rFonts w:hint="default" w:ascii="Times New Roman" w:hAnsi="Times New Roman" w:cs="Times New Roman"/>
                      <w:b/>
                      <w:color w:val="FF0000"/>
                      <w:szCs w:val="21"/>
                    </w:rPr>
                  </w:pPr>
                  <w:r>
                    <w:rPr>
                      <w:rFonts w:hint="default" w:ascii="Times New Roman" w:hAnsi="Times New Roman" w:cs="Times New Roman"/>
                      <w:b/>
                      <w:color w:val="FF0000"/>
                      <w:szCs w:val="21"/>
                    </w:rPr>
                    <w:t>泄漏物料</w:t>
                  </w:r>
                </w:p>
              </w:tc>
              <w:tc>
                <w:tcPr>
                  <w:tcW w:w="2030" w:type="pct"/>
                  <w:gridSpan w:val="3"/>
                  <w:tcBorders>
                    <w:tl2br w:val="nil"/>
                    <w:tr2bl w:val="nil"/>
                  </w:tcBorders>
                  <w:vAlign w:val="center"/>
                </w:tcPr>
                <w:p w14:paraId="77CC133E">
                  <w:pPr>
                    <w:jc w:val="center"/>
                    <w:rPr>
                      <w:rFonts w:hint="default" w:ascii="Times New Roman" w:hAnsi="Times New Roman" w:cs="Times New Roman"/>
                      <w:b/>
                      <w:color w:val="FF0000"/>
                      <w:szCs w:val="21"/>
                    </w:rPr>
                  </w:pPr>
                  <w:r>
                    <w:rPr>
                      <w:rFonts w:hint="default" w:ascii="Times New Roman" w:hAnsi="Times New Roman" w:cs="Times New Roman"/>
                      <w:b/>
                      <w:color w:val="FF0000"/>
                      <w:szCs w:val="21"/>
                    </w:rPr>
                    <w:t>污染物转移途径</w:t>
                  </w:r>
                </w:p>
              </w:tc>
              <w:tc>
                <w:tcPr>
                  <w:tcW w:w="1005" w:type="pct"/>
                  <w:vMerge w:val="restart"/>
                  <w:tcBorders>
                    <w:tl2br w:val="nil"/>
                    <w:tr2bl w:val="nil"/>
                  </w:tcBorders>
                  <w:vAlign w:val="center"/>
                </w:tcPr>
                <w:p w14:paraId="6B0B2C7A">
                  <w:pPr>
                    <w:jc w:val="center"/>
                    <w:rPr>
                      <w:rFonts w:hint="default" w:ascii="Times New Roman" w:hAnsi="Times New Roman" w:cs="Times New Roman"/>
                      <w:b/>
                      <w:color w:val="FF0000"/>
                      <w:szCs w:val="21"/>
                    </w:rPr>
                  </w:pPr>
                  <w:r>
                    <w:rPr>
                      <w:rFonts w:hint="default" w:ascii="Times New Roman" w:hAnsi="Times New Roman" w:cs="Times New Roman"/>
                      <w:b/>
                      <w:color w:val="FF0000"/>
                      <w:szCs w:val="21"/>
                    </w:rPr>
                    <w:t>危害形式</w:t>
                  </w:r>
                </w:p>
              </w:tc>
            </w:tr>
            <w:tr w14:paraId="7435FFC6">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40" w:type="pct"/>
                  <w:vMerge w:val="continue"/>
                  <w:tcBorders>
                    <w:tl2br w:val="nil"/>
                    <w:tr2bl w:val="nil"/>
                  </w:tcBorders>
                  <w:vAlign w:val="center"/>
                </w:tcPr>
                <w:p w14:paraId="39DCD583">
                  <w:pPr>
                    <w:jc w:val="center"/>
                    <w:rPr>
                      <w:rFonts w:hint="default" w:ascii="Times New Roman" w:hAnsi="Times New Roman" w:cs="Times New Roman"/>
                      <w:color w:val="FF0000"/>
                      <w:szCs w:val="21"/>
                    </w:rPr>
                  </w:pPr>
                </w:p>
              </w:tc>
              <w:tc>
                <w:tcPr>
                  <w:tcW w:w="676" w:type="pct"/>
                  <w:vMerge w:val="continue"/>
                  <w:tcBorders>
                    <w:tl2br w:val="nil"/>
                    <w:tr2bl w:val="nil"/>
                  </w:tcBorders>
                  <w:vAlign w:val="center"/>
                </w:tcPr>
                <w:p w14:paraId="67F7DFCC">
                  <w:pPr>
                    <w:jc w:val="center"/>
                    <w:rPr>
                      <w:rFonts w:hint="default" w:ascii="Times New Roman" w:hAnsi="Times New Roman" w:cs="Times New Roman"/>
                      <w:color w:val="FF0000"/>
                      <w:szCs w:val="21"/>
                    </w:rPr>
                  </w:pPr>
                </w:p>
              </w:tc>
              <w:tc>
                <w:tcPr>
                  <w:tcW w:w="846" w:type="pct"/>
                  <w:vMerge w:val="continue"/>
                  <w:tcBorders>
                    <w:tl2br w:val="nil"/>
                    <w:tr2bl w:val="nil"/>
                  </w:tcBorders>
                  <w:vAlign w:val="center"/>
                </w:tcPr>
                <w:p w14:paraId="2B5193D1">
                  <w:pPr>
                    <w:jc w:val="center"/>
                    <w:rPr>
                      <w:rFonts w:hint="default" w:ascii="Times New Roman" w:hAnsi="Times New Roman" w:cs="Times New Roman"/>
                      <w:color w:val="FF0000"/>
                      <w:szCs w:val="21"/>
                    </w:rPr>
                  </w:pPr>
                </w:p>
              </w:tc>
              <w:tc>
                <w:tcPr>
                  <w:tcW w:w="676" w:type="pct"/>
                  <w:tcBorders>
                    <w:tl2br w:val="nil"/>
                    <w:tr2bl w:val="nil"/>
                  </w:tcBorders>
                  <w:vAlign w:val="center"/>
                </w:tcPr>
                <w:p w14:paraId="73A07251">
                  <w:pPr>
                    <w:jc w:val="center"/>
                    <w:rPr>
                      <w:rFonts w:hint="default" w:ascii="Times New Roman" w:hAnsi="Times New Roman" w:cs="Times New Roman"/>
                      <w:b/>
                      <w:color w:val="FF0000"/>
                      <w:szCs w:val="21"/>
                    </w:rPr>
                  </w:pPr>
                  <w:r>
                    <w:rPr>
                      <w:rFonts w:hint="default" w:ascii="Times New Roman" w:hAnsi="Times New Roman" w:cs="Times New Roman"/>
                      <w:b/>
                      <w:color w:val="FF0000"/>
                      <w:szCs w:val="21"/>
                    </w:rPr>
                    <w:t>大气</w:t>
                  </w:r>
                </w:p>
              </w:tc>
              <w:tc>
                <w:tcPr>
                  <w:tcW w:w="676" w:type="pct"/>
                  <w:tcBorders>
                    <w:tl2br w:val="nil"/>
                    <w:tr2bl w:val="nil"/>
                  </w:tcBorders>
                  <w:vAlign w:val="center"/>
                </w:tcPr>
                <w:p w14:paraId="6D4E92DF">
                  <w:pPr>
                    <w:jc w:val="center"/>
                    <w:rPr>
                      <w:rFonts w:hint="default" w:ascii="Times New Roman" w:hAnsi="Times New Roman" w:cs="Times New Roman"/>
                      <w:b/>
                      <w:color w:val="FF0000"/>
                      <w:szCs w:val="21"/>
                    </w:rPr>
                  </w:pPr>
                  <w:r>
                    <w:rPr>
                      <w:rFonts w:hint="default" w:ascii="Times New Roman" w:hAnsi="Times New Roman" w:cs="Times New Roman"/>
                      <w:b/>
                      <w:color w:val="FF0000"/>
                      <w:szCs w:val="21"/>
                    </w:rPr>
                    <w:t>地表水</w:t>
                  </w:r>
                </w:p>
              </w:tc>
              <w:tc>
                <w:tcPr>
                  <w:tcW w:w="677" w:type="pct"/>
                  <w:tcBorders>
                    <w:tl2br w:val="nil"/>
                    <w:tr2bl w:val="nil"/>
                  </w:tcBorders>
                  <w:vAlign w:val="center"/>
                </w:tcPr>
                <w:p w14:paraId="7A65622E">
                  <w:pPr>
                    <w:jc w:val="center"/>
                    <w:rPr>
                      <w:rFonts w:hint="default" w:ascii="Times New Roman" w:hAnsi="Times New Roman" w:cs="Times New Roman"/>
                      <w:b/>
                      <w:color w:val="FF0000"/>
                      <w:szCs w:val="21"/>
                    </w:rPr>
                  </w:pPr>
                  <w:r>
                    <w:rPr>
                      <w:rFonts w:hint="default" w:ascii="Times New Roman" w:hAnsi="Times New Roman" w:cs="Times New Roman"/>
                      <w:b/>
                      <w:color w:val="FF0000"/>
                      <w:szCs w:val="21"/>
                    </w:rPr>
                    <w:t>其他</w:t>
                  </w:r>
                </w:p>
              </w:tc>
              <w:tc>
                <w:tcPr>
                  <w:tcW w:w="1005" w:type="pct"/>
                  <w:vMerge w:val="continue"/>
                  <w:tcBorders>
                    <w:tl2br w:val="nil"/>
                    <w:tr2bl w:val="nil"/>
                  </w:tcBorders>
                  <w:vAlign w:val="center"/>
                </w:tcPr>
                <w:p w14:paraId="1E747194">
                  <w:pPr>
                    <w:jc w:val="center"/>
                    <w:rPr>
                      <w:rFonts w:hint="default" w:ascii="Times New Roman" w:hAnsi="Times New Roman" w:cs="Times New Roman"/>
                      <w:color w:val="FF0000"/>
                      <w:szCs w:val="21"/>
                    </w:rPr>
                  </w:pPr>
                </w:p>
              </w:tc>
            </w:tr>
            <w:tr w14:paraId="1F71F61C">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PrEx>
              <w:trPr>
                <w:trHeight w:val="397" w:hRule="atLeast"/>
                <w:jc w:val="center"/>
              </w:trPr>
              <w:tc>
                <w:tcPr>
                  <w:tcW w:w="440" w:type="pct"/>
                  <w:tcBorders>
                    <w:tl2br w:val="nil"/>
                    <w:tr2bl w:val="nil"/>
                  </w:tcBorders>
                  <w:vAlign w:val="center"/>
                </w:tcPr>
                <w:p w14:paraId="56A233EF">
                  <w:pPr>
                    <w:jc w:val="center"/>
                    <w:rPr>
                      <w:rFonts w:hint="default" w:ascii="Times New Roman" w:hAnsi="Times New Roman" w:cs="Times New Roman"/>
                      <w:color w:val="FF0000"/>
                      <w:szCs w:val="21"/>
                    </w:rPr>
                  </w:pPr>
                  <w:r>
                    <w:rPr>
                      <w:rFonts w:hint="default" w:ascii="Times New Roman" w:hAnsi="Times New Roman" w:cs="Times New Roman"/>
                      <w:color w:val="FF0000"/>
                      <w:szCs w:val="21"/>
                    </w:rPr>
                    <w:t>物料泄漏</w:t>
                  </w:r>
                </w:p>
              </w:tc>
              <w:tc>
                <w:tcPr>
                  <w:tcW w:w="676" w:type="pct"/>
                  <w:tcBorders>
                    <w:tl2br w:val="nil"/>
                    <w:tr2bl w:val="nil"/>
                  </w:tcBorders>
                  <w:vAlign w:val="center"/>
                </w:tcPr>
                <w:p w14:paraId="27AF2BF8">
                  <w:pPr>
                    <w:jc w:val="center"/>
                    <w:rPr>
                      <w:rFonts w:hint="default" w:ascii="Times New Roman" w:hAnsi="Times New Roman" w:eastAsia="宋体" w:cs="Times New Roman"/>
                      <w:color w:val="FF0000"/>
                      <w:szCs w:val="21"/>
                      <w:lang w:eastAsia="zh-CN"/>
                    </w:rPr>
                  </w:pPr>
                  <w:r>
                    <w:rPr>
                      <w:rFonts w:hint="default" w:ascii="Times New Roman" w:hAnsi="Times New Roman" w:cs="Times New Roman"/>
                      <w:color w:val="FF0000"/>
                      <w:szCs w:val="21"/>
                      <w:lang w:eastAsia="zh-CN"/>
                    </w:rPr>
                    <w:t>危废贮存点</w:t>
                  </w:r>
                </w:p>
              </w:tc>
              <w:tc>
                <w:tcPr>
                  <w:tcW w:w="846" w:type="pct"/>
                  <w:tcBorders>
                    <w:tl2br w:val="nil"/>
                    <w:tr2bl w:val="nil"/>
                  </w:tcBorders>
                  <w:vAlign w:val="center"/>
                </w:tcPr>
                <w:p w14:paraId="0636A243">
                  <w:pPr>
                    <w:jc w:val="center"/>
                    <w:rPr>
                      <w:rFonts w:hint="default" w:ascii="Times New Roman" w:hAnsi="Times New Roman" w:cs="Times New Roman"/>
                      <w:color w:val="FF0000"/>
                      <w:szCs w:val="21"/>
                    </w:rPr>
                  </w:pPr>
                  <w:r>
                    <w:rPr>
                      <w:rFonts w:hint="default" w:ascii="Times New Roman" w:hAnsi="Times New Roman" w:cs="Times New Roman"/>
                      <w:color w:val="FF0000"/>
                      <w:szCs w:val="21"/>
                    </w:rPr>
                    <w:t>油类物质、硫酸</w:t>
                  </w:r>
                </w:p>
              </w:tc>
              <w:tc>
                <w:tcPr>
                  <w:tcW w:w="676" w:type="pct"/>
                  <w:tcBorders>
                    <w:tl2br w:val="nil"/>
                    <w:tr2bl w:val="nil"/>
                  </w:tcBorders>
                  <w:vAlign w:val="center"/>
                </w:tcPr>
                <w:p w14:paraId="78FB9DA8">
                  <w:pPr>
                    <w:jc w:val="center"/>
                    <w:rPr>
                      <w:rFonts w:hint="default" w:ascii="Times New Roman" w:hAnsi="Times New Roman" w:cs="Times New Roman"/>
                      <w:color w:val="FF0000"/>
                      <w:szCs w:val="21"/>
                    </w:rPr>
                  </w:pPr>
                  <w:r>
                    <w:rPr>
                      <w:rFonts w:hint="default" w:ascii="Times New Roman" w:hAnsi="Times New Roman" w:cs="Times New Roman"/>
                      <w:color w:val="FF0000"/>
                      <w:szCs w:val="21"/>
                    </w:rPr>
                    <w:t>--</w:t>
                  </w:r>
                </w:p>
              </w:tc>
              <w:tc>
                <w:tcPr>
                  <w:tcW w:w="676" w:type="pct"/>
                  <w:tcBorders>
                    <w:tl2br w:val="nil"/>
                    <w:tr2bl w:val="nil"/>
                  </w:tcBorders>
                  <w:vAlign w:val="center"/>
                </w:tcPr>
                <w:p w14:paraId="67DC3482">
                  <w:pPr>
                    <w:jc w:val="center"/>
                    <w:rPr>
                      <w:rFonts w:hint="default" w:ascii="Times New Roman" w:hAnsi="Times New Roman" w:cs="Times New Roman"/>
                      <w:color w:val="FF0000"/>
                      <w:szCs w:val="21"/>
                    </w:rPr>
                  </w:pPr>
                  <w:r>
                    <w:rPr>
                      <w:rFonts w:hint="default" w:ascii="Times New Roman" w:hAnsi="Times New Roman" w:cs="Times New Roman"/>
                      <w:color w:val="FF0000"/>
                      <w:szCs w:val="21"/>
                    </w:rPr>
                    <w:t>地表漫流</w:t>
                  </w:r>
                </w:p>
              </w:tc>
              <w:tc>
                <w:tcPr>
                  <w:tcW w:w="677" w:type="pct"/>
                  <w:tcBorders>
                    <w:tl2br w:val="nil"/>
                    <w:tr2bl w:val="nil"/>
                  </w:tcBorders>
                  <w:vAlign w:val="center"/>
                </w:tcPr>
                <w:p w14:paraId="05D75072">
                  <w:pPr>
                    <w:jc w:val="center"/>
                    <w:rPr>
                      <w:rFonts w:hint="default" w:ascii="Times New Roman" w:hAnsi="Times New Roman" w:cs="Times New Roman"/>
                      <w:color w:val="FF0000"/>
                      <w:szCs w:val="21"/>
                    </w:rPr>
                  </w:pPr>
                  <w:r>
                    <w:rPr>
                      <w:rFonts w:hint="default" w:ascii="Times New Roman" w:hAnsi="Times New Roman" w:cs="Times New Roman"/>
                      <w:color w:val="FF0000"/>
                      <w:szCs w:val="21"/>
                    </w:rPr>
                    <w:t>垂直入渗</w:t>
                  </w:r>
                </w:p>
              </w:tc>
              <w:tc>
                <w:tcPr>
                  <w:tcW w:w="1005" w:type="pct"/>
                  <w:tcBorders>
                    <w:tl2br w:val="nil"/>
                    <w:tr2bl w:val="nil"/>
                  </w:tcBorders>
                  <w:vAlign w:val="center"/>
                </w:tcPr>
                <w:p w14:paraId="3035EA80">
                  <w:pPr>
                    <w:jc w:val="center"/>
                    <w:rPr>
                      <w:rFonts w:hint="default" w:ascii="Times New Roman" w:hAnsi="Times New Roman" w:cs="Times New Roman"/>
                      <w:color w:val="FF0000"/>
                      <w:szCs w:val="21"/>
                    </w:rPr>
                  </w:pPr>
                  <w:r>
                    <w:rPr>
                      <w:rFonts w:hint="default" w:ascii="Times New Roman" w:hAnsi="Times New Roman" w:cs="Times New Roman"/>
                      <w:color w:val="FF0000"/>
                      <w:szCs w:val="21"/>
                    </w:rPr>
                    <w:t>地表水、地下水、土壤环境污染</w:t>
                  </w:r>
                </w:p>
              </w:tc>
            </w:tr>
            <w:tr w14:paraId="252792A2">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40" w:type="pct"/>
                  <w:tcBorders>
                    <w:tl2br w:val="nil"/>
                    <w:tr2bl w:val="nil"/>
                  </w:tcBorders>
                  <w:vAlign w:val="center"/>
                </w:tcPr>
                <w:p w14:paraId="71FB6031">
                  <w:pPr>
                    <w:jc w:val="center"/>
                    <w:rPr>
                      <w:rFonts w:hint="default" w:ascii="Times New Roman" w:hAnsi="Times New Roman" w:cs="Times New Roman"/>
                      <w:color w:val="FF0000"/>
                      <w:szCs w:val="21"/>
                    </w:rPr>
                  </w:pPr>
                  <w:r>
                    <w:rPr>
                      <w:rFonts w:hint="default" w:ascii="Times New Roman" w:hAnsi="Times New Roman" w:cs="Times New Roman"/>
                      <w:color w:val="FF0000"/>
                      <w:szCs w:val="21"/>
                    </w:rPr>
                    <w:t>火灾</w:t>
                  </w:r>
                </w:p>
              </w:tc>
              <w:tc>
                <w:tcPr>
                  <w:tcW w:w="676" w:type="pct"/>
                  <w:tcBorders>
                    <w:tl2br w:val="nil"/>
                    <w:tr2bl w:val="nil"/>
                  </w:tcBorders>
                  <w:vAlign w:val="center"/>
                </w:tcPr>
                <w:p w14:paraId="53A637B4">
                  <w:pPr>
                    <w:jc w:val="center"/>
                    <w:rPr>
                      <w:rFonts w:hint="default" w:ascii="Times New Roman" w:hAnsi="Times New Roman" w:cs="Times New Roman"/>
                      <w:color w:val="FF0000"/>
                      <w:szCs w:val="21"/>
                    </w:rPr>
                  </w:pPr>
                  <w:r>
                    <w:rPr>
                      <w:rFonts w:hint="default" w:ascii="Times New Roman" w:hAnsi="Times New Roman" w:cs="Times New Roman"/>
                      <w:color w:val="FF0000"/>
                      <w:szCs w:val="21"/>
                    </w:rPr>
                    <w:t>车间</w:t>
                  </w:r>
                </w:p>
              </w:tc>
              <w:tc>
                <w:tcPr>
                  <w:tcW w:w="846" w:type="pct"/>
                  <w:tcBorders>
                    <w:tl2br w:val="nil"/>
                    <w:tr2bl w:val="nil"/>
                  </w:tcBorders>
                  <w:vAlign w:val="center"/>
                </w:tcPr>
                <w:p w14:paraId="2AB3D0A1">
                  <w:pPr>
                    <w:jc w:val="center"/>
                    <w:rPr>
                      <w:rFonts w:hint="default" w:ascii="Times New Roman" w:hAnsi="Times New Roman" w:cs="Times New Roman"/>
                      <w:color w:val="FF0000"/>
                      <w:szCs w:val="21"/>
                    </w:rPr>
                  </w:pPr>
                  <w:r>
                    <w:rPr>
                      <w:rFonts w:hint="default" w:ascii="Times New Roman" w:hAnsi="Times New Roman" w:cs="Times New Roman"/>
                      <w:color w:val="FF0000"/>
                      <w:szCs w:val="21"/>
                    </w:rPr>
                    <w:t>事故废水</w:t>
                  </w:r>
                </w:p>
              </w:tc>
              <w:tc>
                <w:tcPr>
                  <w:tcW w:w="676" w:type="pct"/>
                  <w:tcBorders>
                    <w:tl2br w:val="nil"/>
                    <w:tr2bl w:val="nil"/>
                  </w:tcBorders>
                  <w:vAlign w:val="center"/>
                </w:tcPr>
                <w:p w14:paraId="4F577AF7">
                  <w:pPr>
                    <w:jc w:val="center"/>
                    <w:rPr>
                      <w:rFonts w:hint="default" w:ascii="Times New Roman" w:hAnsi="Times New Roman" w:cs="Times New Roman"/>
                      <w:color w:val="FF0000"/>
                      <w:szCs w:val="21"/>
                    </w:rPr>
                  </w:pPr>
                  <w:r>
                    <w:rPr>
                      <w:rFonts w:hint="default" w:ascii="Times New Roman" w:hAnsi="Times New Roman" w:cs="Times New Roman"/>
                      <w:color w:val="FF0000"/>
                      <w:szCs w:val="21"/>
                    </w:rPr>
                    <w:t>--</w:t>
                  </w:r>
                </w:p>
              </w:tc>
              <w:tc>
                <w:tcPr>
                  <w:tcW w:w="676" w:type="pct"/>
                  <w:tcBorders>
                    <w:tl2br w:val="nil"/>
                    <w:tr2bl w:val="nil"/>
                  </w:tcBorders>
                  <w:vAlign w:val="center"/>
                </w:tcPr>
                <w:p w14:paraId="6A1544B2">
                  <w:pPr>
                    <w:jc w:val="center"/>
                    <w:rPr>
                      <w:rFonts w:hint="default" w:ascii="Times New Roman" w:hAnsi="Times New Roman" w:cs="Times New Roman"/>
                      <w:color w:val="FF0000"/>
                      <w:szCs w:val="21"/>
                    </w:rPr>
                  </w:pPr>
                  <w:r>
                    <w:rPr>
                      <w:rFonts w:hint="default" w:ascii="Times New Roman" w:hAnsi="Times New Roman" w:cs="Times New Roman"/>
                      <w:color w:val="FF0000"/>
                      <w:szCs w:val="21"/>
                    </w:rPr>
                    <w:t>地表漫流</w:t>
                  </w:r>
                </w:p>
              </w:tc>
              <w:tc>
                <w:tcPr>
                  <w:tcW w:w="677" w:type="pct"/>
                  <w:tcBorders>
                    <w:tl2br w:val="nil"/>
                    <w:tr2bl w:val="nil"/>
                  </w:tcBorders>
                  <w:vAlign w:val="center"/>
                </w:tcPr>
                <w:p w14:paraId="4CF9613E">
                  <w:pPr>
                    <w:jc w:val="center"/>
                    <w:rPr>
                      <w:rFonts w:hint="default" w:ascii="Times New Roman" w:hAnsi="Times New Roman" w:cs="Times New Roman"/>
                      <w:color w:val="FF0000"/>
                      <w:szCs w:val="21"/>
                    </w:rPr>
                  </w:pPr>
                  <w:r>
                    <w:rPr>
                      <w:rFonts w:hint="default" w:ascii="Times New Roman" w:hAnsi="Times New Roman" w:cs="Times New Roman"/>
                      <w:color w:val="FF0000"/>
                      <w:szCs w:val="21"/>
                    </w:rPr>
                    <w:t>垂直入渗</w:t>
                  </w:r>
                </w:p>
              </w:tc>
              <w:tc>
                <w:tcPr>
                  <w:tcW w:w="1005" w:type="pct"/>
                  <w:tcBorders>
                    <w:tl2br w:val="nil"/>
                    <w:tr2bl w:val="nil"/>
                  </w:tcBorders>
                  <w:vAlign w:val="center"/>
                </w:tcPr>
                <w:p w14:paraId="161455AD">
                  <w:pPr>
                    <w:jc w:val="center"/>
                    <w:rPr>
                      <w:rFonts w:hint="default" w:ascii="Times New Roman" w:hAnsi="Times New Roman" w:cs="Times New Roman"/>
                      <w:color w:val="FF0000"/>
                      <w:szCs w:val="21"/>
                    </w:rPr>
                  </w:pPr>
                  <w:r>
                    <w:rPr>
                      <w:rFonts w:hint="default" w:ascii="Times New Roman" w:hAnsi="Times New Roman" w:cs="Times New Roman"/>
                      <w:color w:val="FF0000"/>
                      <w:szCs w:val="21"/>
                    </w:rPr>
                    <w:t>地表水、地下水、土壤环境污染</w:t>
                  </w:r>
                </w:p>
              </w:tc>
            </w:tr>
          </w:tbl>
          <w:p w14:paraId="7A3120F2">
            <w:pPr>
              <w:spacing w:line="360" w:lineRule="auto"/>
              <w:ind w:firstLine="482" w:firstLineChars="200"/>
              <w:rPr>
                <w:rFonts w:hint="default" w:ascii="Times New Roman" w:hAnsi="Times New Roman" w:cs="Times New Roman"/>
                <w:b/>
                <w:bCs/>
                <w:color w:val="000000"/>
                <w:sz w:val="24"/>
              </w:rPr>
            </w:pPr>
            <w:r>
              <w:rPr>
                <w:rFonts w:hint="default" w:ascii="Times New Roman" w:hAnsi="Times New Roman" w:cs="Times New Roman"/>
                <w:b/>
                <w:bCs/>
                <w:color w:val="000000"/>
                <w:sz w:val="24"/>
              </w:rPr>
              <w:t>3环境风险防范措施</w:t>
            </w:r>
          </w:p>
          <w:p w14:paraId="49C9EAC9">
            <w:pPr>
              <w:spacing w:line="360" w:lineRule="auto"/>
              <w:ind w:firstLine="480" w:firstLineChars="200"/>
              <w:rPr>
                <w:rFonts w:hint="default" w:ascii="Times New Roman" w:hAnsi="Times New Roman" w:cs="Times New Roman"/>
                <w:color w:val="000000"/>
                <w:sz w:val="24"/>
              </w:rPr>
            </w:pPr>
            <w:r>
              <w:rPr>
                <w:rFonts w:hint="default" w:ascii="Times New Roman" w:hAnsi="Times New Roman" w:cs="Times New Roman"/>
                <w:color w:val="000000"/>
                <w:sz w:val="24"/>
              </w:rPr>
              <w:t>实践证明，许多环境污染事故平时只要提高警惕，加强管理和防范是可以完全避免的。因此项目首要的是加强事故防范措施的宣传教育，防止风险事故的发生。此外应根据环评及实际生产情况对安全事故隐患进行调查登记，对企业的安全措施常抓不懈，将本项目风险事故的发生概率控制在最小范围内。</w:t>
            </w:r>
          </w:p>
          <w:p w14:paraId="6240F90F">
            <w:pPr>
              <w:spacing w:line="360" w:lineRule="auto"/>
              <w:ind w:firstLine="480" w:firstLineChars="200"/>
              <w:rPr>
                <w:rFonts w:hint="default" w:ascii="Times New Roman" w:hAnsi="Times New Roman" w:cs="Times New Roman"/>
                <w:color w:val="000000"/>
                <w:sz w:val="24"/>
              </w:rPr>
            </w:pPr>
            <w:r>
              <w:rPr>
                <w:rFonts w:hint="default" w:ascii="Times New Roman" w:hAnsi="Times New Roman" w:cs="Times New Roman"/>
                <w:color w:val="000000"/>
                <w:sz w:val="24"/>
              </w:rPr>
              <w:t>本项目具有有毒有害及易燃物料泄漏，进而引发火灾等次生事故的潜在环境风险隐患，对此必须采取有效的事故防范措施。</w:t>
            </w:r>
          </w:p>
          <w:p w14:paraId="719F9EB2">
            <w:pPr>
              <w:spacing w:line="360" w:lineRule="auto"/>
              <w:ind w:firstLine="480" w:firstLineChars="200"/>
              <w:rPr>
                <w:rFonts w:hint="default" w:ascii="Times New Roman" w:hAnsi="Times New Roman" w:cs="Times New Roman"/>
                <w:color w:val="000000"/>
                <w:kern w:val="0"/>
                <w:sz w:val="24"/>
              </w:rPr>
            </w:pPr>
            <w:r>
              <w:rPr>
                <w:rFonts w:hint="default" w:ascii="Times New Roman" w:hAnsi="Times New Roman" w:cs="Times New Roman"/>
                <w:color w:val="000000"/>
                <w:kern w:val="0"/>
                <w:sz w:val="24"/>
              </w:rPr>
              <w:t>1）危险物质管理、储存、使用、运输中风险防范措施</w:t>
            </w:r>
          </w:p>
          <w:p w14:paraId="1398023C">
            <w:pPr>
              <w:spacing w:line="360" w:lineRule="auto"/>
              <w:ind w:firstLine="480" w:firstLineChars="200"/>
              <w:rPr>
                <w:rFonts w:hint="default" w:ascii="Times New Roman" w:hAnsi="Times New Roman" w:cs="Times New Roman"/>
                <w:color w:val="000000"/>
                <w:kern w:val="0"/>
                <w:sz w:val="24"/>
              </w:rPr>
            </w:pPr>
            <w:r>
              <w:rPr>
                <w:rFonts w:hint="default" w:ascii="Times New Roman" w:hAnsi="Times New Roman" w:cs="Times New Roman"/>
                <w:color w:val="000000"/>
                <w:kern w:val="0"/>
                <w:sz w:val="24"/>
              </w:rPr>
              <w:t>①严格按《危险化学品安全管理条例》的要求，制定危险化学品安全操作规程;并对从事危险化学作业人员定期进行安全培训教育；定期对危险化学品作业场所进行安全检查。</w:t>
            </w:r>
          </w:p>
          <w:p w14:paraId="499A7D1B">
            <w:pPr>
              <w:spacing w:line="360" w:lineRule="auto"/>
              <w:ind w:firstLine="480" w:firstLineChars="200"/>
              <w:rPr>
                <w:rFonts w:hint="default" w:ascii="Times New Roman" w:hAnsi="Times New Roman" w:cs="Times New Roman"/>
                <w:color w:val="000000"/>
                <w:kern w:val="0"/>
                <w:sz w:val="24"/>
              </w:rPr>
            </w:pPr>
            <w:r>
              <w:rPr>
                <w:rFonts w:hint="default" w:ascii="Times New Roman" w:hAnsi="Times New Roman" w:cs="Times New Roman"/>
                <w:color w:val="000000"/>
                <w:kern w:val="0"/>
                <w:sz w:val="24"/>
              </w:rPr>
              <w:t>②采购危险化学品时，应该已获得危险化学品经营许可证的企业进行采购，并要求供应商提供技术说明书及相关技术资料；采购人员必须进行专业培训并取证;危险化学品的包装物、容器必须有专业检测机构检验合格才能使用;从事危险化学品运输、押运人员，应经有关培训并取证后才能从事危险化学品运输、押运工作;运输危险化学品的车、船应悬挂危险化学品标志不得在人口稠密地停留;危险化学品的运输、押运人员，应配置合格的防护器材。</w:t>
            </w:r>
          </w:p>
          <w:p w14:paraId="46BE4F52">
            <w:pPr>
              <w:spacing w:line="360" w:lineRule="auto"/>
              <w:ind w:firstLine="480" w:firstLineChars="200"/>
              <w:rPr>
                <w:rFonts w:hint="default" w:ascii="Times New Roman" w:hAnsi="Times New Roman" w:cs="Times New Roman"/>
                <w:color w:val="000000"/>
                <w:sz w:val="24"/>
              </w:rPr>
            </w:pPr>
            <w:r>
              <w:rPr>
                <w:rFonts w:hint="default" w:ascii="Times New Roman" w:hAnsi="Times New Roman" w:cs="Times New Roman"/>
                <w:color w:val="000000"/>
                <w:sz w:val="24"/>
              </w:rPr>
              <w:t>③物料泄漏事故的防范措施</w:t>
            </w:r>
          </w:p>
          <w:p w14:paraId="0DF5E6D1">
            <w:pPr>
              <w:spacing w:line="360" w:lineRule="auto"/>
              <w:ind w:firstLine="480" w:firstLineChars="200"/>
              <w:rPr>
                <w:rFonts w:hint="default" w:ascii="Times New Roman" w:hAnsi="Times New Roman" w:cs="Times New Roman"/>
                <w:color w:val="000000"/>
                <w:sz w:val="24"/>
              </w:rPr>
            </w:pPr>
            <w:r>
              <w:rPr>
                <w:rFonts w:hint="default" w:ascii="Times New Roman" w:hAnsi="Times New Roman" w:cs="Times New Roman"/>
                <w:color w:val="000000"/>
                <w:sz w:val="24"/>
              </w:rPr>
              <w:t>桶体泄漏时及时用木楔或胶块堵漏，将泄漏的液料用黄沙、毛毡、海绵等具有可吸附性的材料清理。大量泄漏时，要立即拨打“119”报警，划定警戒区，控制火种和无关人员进入，用泥土或塑料等物将流出的液体围住，防止流散。</w:t>
            </w:r>
          </w:p>
          <w:p w14:paraId="2DA4943A">
            <w:pPr>
              <w:spacing w:line="360" w:lineRule="auto"/>
              <w:ind w:firstLine="480" w:firstLineChars="200"/>
              <w:rPr>
                <w:rFonts w:hint="default" w:ascii="Times New Roman" w:hAnsi="Times New Roman" w:cs="Times New Roman"/>
                <w:color w:val="000000"/>
                <w:sz w:val="24"/>
              </w:rPr>
            </w:pPr>
            <w:r>
              <w:rPr>
                <w:rFonts w:hint="default" w:ascii="Times New Roman" w:hAnsi="Times New Roman" w:cs="Times New Roman"/>
                <w:color w:val="000000"/>
                <w:sz w:val="24"/>
              </w:rPr>
              <w:t>④</w:t>
            </w:r>
            <w:r>
              <w:rPr>
                <w:rFonts w:hint="eastAsia" w:cs="Times New Roman"/>
                <w:color w:val="000000"/>
                <w:sz w:val="24"/>
                <w:lang w:eastAsia="zh-CN"/>
              </w:rPr>
              <w:t>危废贮存点</w:t>
            </w:r>
            <w:r>
              <w:rPr>
                <w:rFonts w:hint="default" w:ascii="Times New Roman" w:hAnsi="Times New Roman" w:cs="Times New Roman"/>
                <w:color w:val="000000"/>
                <w:sz w:val="24"/>
              </w:rPr>
              <w:t>储存防范措施</w:t>
            </w:r>
          </w:p>
          <w:p w14:paraId="1DD746AB">
            <w:pPr>
              <w:spacing w:line="360" w:lineRule="auto"/>
              <w:ind w:firstLine="480" w:firstLineChars="200"/>
              <w:rPr>
                <w:rFonts w:hint="default" w:ascii="Times New Roman" w:hAnsi="Times New Roman" w:cs="Times New Roman"/>
                <w:color w:val="000000"/>
                <w:sz w:val="24"/>
              </w:rPr>
            </w:pPr>
            <w:r>
              <w:rPr>
                <w:rFonts w:hint="default" w:ascii="Times New Roman" w:hAnsi="Times New Roman" w:cs="Times New Roman"/>
                <w:color w:val="000000"/>
                <w:sz w:val="24"/>
              </w:rPr>
              <w:t>1、</w:t>
            </w:r>
            <w:r>
              <w:rPr>
                <w:rFonts w:hint="eastAsia" w:cs="Times New Roman"/>
                <w:color w:val="000000"/>
                <w:sz w:val="24"/>
                <w:lang w:eastAsia="zh-CN"/>
              </w:rPr>
              <w:t>危废贮存点</w:t>
            </w:r>
            <w:r>
              <w:rPr>
                <w:rFonts w:hint="default" w:ascii="Times New Roman" w:hAnsi="Times New Roman" w:cs="Times New Roman"/>
                <w:color w:val="000000"/>
                <w:sz w:val="24"/>
              </w:rPr>
              <w:t>内应设置可燃气体报警器。</w:t>
            </w:r>
          </w:p>
          <w:p w14:paraId="66BEE08A">
            <w:pPr>
              <w:spacing w:line="360" w:lineRule="auto"/>
              <w:ind w:firstLine="480" w:firstLineChars="200"/>
              <w:rPr>
                <w:rFonts w:hint="default" w:ascii="Times New Roman" w:hAnsi="Times New Roman" w:cs="Times New Roman"/>
                <w:color w:val="000000"/>
                <w:sz w:val="24"/>
              </w:rPr>
            </w:pPr>
            <w:r>
              <w:rPr>
                <w:rFonts w:hint="default" w:ascii="Times New Roman" w:hAnsi="Times New Roman" w:cs="Times New Roman"/>
                <w:color w:val="000000"/>
                <w:sz w:val="24"/>
              </w:rPr>
              <w:t>2、尽可能减少废旧铅蓄电池、燃油、废矿物油</w:t>
            </w:r>
            <w:r>
              <w:rPr>
                <w:rFonts w:hint="eastAsia" w:cs="Times New Roman"/>
                <w:color w:val="000000"/>
                <w:sz w:val="24"/>
                <w:lang w:eastAsia="zh-CN"/>
              </w:rPr>
              <w:t>、</w:t>
            </w:r>
            <w:r>
              <w:rPr>
                <w:rFonts w:hint="default" w:ascii="Times New Roman" w:hAnsi="Times New Roman" w:cs="Times New Roman"/>
                <w:color w:val="000000"/>
                <w:sz w:val="24"/>
              </w:rPr>
              <w:t>油泥</w:t>
            </w:r>
            <w:r>
              <w:rPr>
                <w:rFonts w:hint="default" w:ascii="Times New Roman" w:hAnsi="Times New Roman" w:cs="Times New Roman"/>
                <w:color w:val="000000"/>
                <w:sz w:val="24"/>
                <w:lang w:val="en-US" w:eastAsia="zh-CN"/>
              </w:rPr>
              <w:t>及沉渣</w:t>
            </w:r>
            <w:r>
              <w:rPr>
                <w:rFonts w:hint="default" w:ascii="Times New Roman" w:hAnsi="Times New Roman" w:cs="Times New Roman"/>
                <w:color w:val="000000"/>
                <w:sz w:val="24"/>
              </w:rPr>
              <w:t>等的存量。物料储存应符合《常用化学危险品贮存通则》（GB15603-1995）、《易燃易爆性商品储藏养护技术条件》（GB17914-2013）、《毒害性商品储藏养护技术条件》（GB17916-2013）等相关规范。</w:t>
            </w:r>
          </w:p>
          <w:p w14:paraId="43B906D8">
            <w:pPr>
              <w:spacing w:line="360" w:lineRule="auto"/>
              <w:ind w:firstLine="480" w:firstLineChars="200"/>
              <w:rPr>
                <w:rFonts w:hint="default" w:ascii="Times New Roman" w:hAnsi="Times New Roman" w:cs="Times New Roman"/>
                <w:color w:val="000000"/>
                <w:sz w:val="24"/>
              </w:rPr>
            </w:pPr>
            <w:r>
              <w:rPr>
                <w:rFonts w:hint="default" w:ascii="Times New Roman" w:hAnsi="Times New Roman" w:cs="Times New Roman"/>
                <w:color w:val="000000"/>
                <w:sz w:val="24"/>
              </w:rPr>
              <w:t>3、</w:t>
            </w:r>
            <w:r>
              <w:rPr>
                <w:rFonts w:hint="eastAsia" w:cs="Times New Roman"/>
                <w:color w:val="000000"/>
                <w:sz w:val="24"/>
                <w:lang w:eastAsia="zh-CN"/>
              </w:rPr>
              <w:t>危废贮存点</w:t>
            </w:r>
            <w:r>
              <w:rPr>
                <w:rFonts w:hint="default" w:ascii="Times New Roman" w:hAnsi="Times New Roman" w:cs="Times New Roman"/>
                <w:color w:val="000000"/>
                <w:sz w:val="24"/>
              </w:rPr>
              <w:t>等应设立检查制度。</w:t>
            </w:r>
          </w:p>
          <w:p w14:paraId="2C4857D9">
            <w:pPr>
              <w:spacing w:line="360" w:lineRule="auto"/>
              <w:ind w:firstLine="480" w:firstLineChars="200"/>
              <w:rPr>
                <w:rFonts w:hint="default" w:ascii="Times New Roman" w:hAnsi="Times New Roman" w:cs="Times New Roman"/>
                <w:color w:val="000000"/>
                <w:sz w:val="24"/>
              </w:rPr>
            </w:pPr>
            <w:r>
              <w:rPr>
                <w:rFonts w:hint="default" w:ascii="Times New Roman" w:hAnsi="Times New Roman" w:cs="Times New Roman"/>
                <w:color w:val="000000"/>
                <w:sz w:val="24"/>
              </w:rPr>
              <w:t>4、场内配备专业技术人员负责管理，同时配备必要的个人防护用品。库内物质分类存放，禁忌混合存放。易燃物与毒害物应分隔存放，并设置隔断。</w:t>
            </w:r>
          </w:p>
          <w:p w14:paraId="6E5EEF54">
            <w:pPr>
              <w:spacing w:line="360" w:lineRule="auto"/>
              <w:ind w:firstLine="480" w:firstLineChars="200"/>
              <w:rPr>
                <w:rFonts w:hint="default" w:ascii="Times New Roman" w:hAnsi="Times New Roman" w:cs="Times New Roman"/>
                <w:color w:val="000000"/>
                <w:sz w:val="24"/>
              </w:rPr>
            </w:pPr>
            <w:r>
              <w:rPr>
                <w:rFonts w:hint="default" w:ascii="Times New Roman" w:hAnsi="Times New Roman" w:cs="Times New Roman"/>
                <w:color w:val="000000"/>
                <w:sz w:val="24"/>
              </w:rPr>
              <w:t>⑤危险品使用防范措施</w:t>
            </w:r>
          </w:p>
          <w:p w14:paraId="4B105F01">
            <w:pPr>
              <w:spacing w:line="360" w:lineRule="auto"/>
              <w:ind w:firstLine="480" w:firstLineChars="200"/>
              <w:rPr>
                <w:rFonts w:hint="default" w:ascii="Times New Roman" w:hAnsi="Times New Roman" w:cs="Times New Roman"/>
                <w:color w:val="000000"/>
                <w:sz w:val="24"/>
              </w:rPr>
            </w:pPr>
            <w:r>
              <w:rPr>
                <w:rFonts w:hint="default" w:ascii="Times New Roman" w:hAnsi="Times New Roman" w:cs="Times New Roman"/>
                <w:color w:val="000000"/>
                <w:sz w:val="24"/>
              </w:rPr>
              <w:t>1、针对现场电线、电器设备等不安全因素，车间建筑电器进行消防电气安全检测。</w:t>
            </w:r>
          </w:p>
          <w:p w14:paraId="4E197C02">
            <w:pPr>
              <w:spacing w:line="360" w:lineRule="auto"/>
              <w:ind w:firstLine="480" w:firstLineChars="200"/>
              <w:rPr>
                <w:rFonts w:hint="default" w:ascii="Times New Roman" w:hAnsi="Times New Roman" w:cs="Times New Roman"/>
                <w:color w:val="000000"/>
                <w:sz w:val="24"/>
              </w:rPr>
            </w:pPr>
            <w:r>
              <w:rPr>
                <w:rFonts w:hint="default" w:ascii="Times New Roman" w:hAnsi="Times New Roman" w:cs="Times New Roman"/>
                <w:color w:val="000000"/>
                <w:sz w:val="24"/>
              </w:rPr>
              <w:t>2、生产车间的电器设备、开关选用均应考虑防腐蚀和密闭。线路的材料和安装件等必须采用具有防腐蚀性能的材质，以保证作业人员的安全。</w:t>
            </w:r>
          </w:p>
          <w:p w14:paraId="42B73FFA">
            <w:pPr>
              <w:spacing w:line="360" w:lineRule="auto"/>
              <w:ind w:firstLine="480" w:firstLineChars="200"/>
              <w:rPr>
                <w:rFonts w:hint="default" w:ascii="Times New Roman" w:hAnsi="Times New Roman" w:cs="Times New Roman"/>
                <w:color w:val="000000"/>
                <w:sz w:val="24"/>
              </w:rPr>
            </w:pPr>
            <w:r>
              <w:rPr>
                <w:rFonts w:hint="default" w:ascii="Times New Roman" w:hAnsi="Times New Roman" w:cs="Times New Roman"/>
                <w:color w:val="000000"/>
                <w:sz w:val="24"/>
              </w:rPr>
              <w:t>3、企业应制定化学品泄漏物和包装物的废弃处理程序，加强对废弃物的管理。凡有化学危险物品存放、使用场所，都应在醒目位置张贴《安全须知卡》。</w:t>
            </w:r>
          </w:p>
          <w:p w14:paraId="0B1E3F34">
            <w:pPr>
              <w:spacing w:line="360" w:lineRule="auto"/>
              <w:ind w:firstLine="480" w:firstLineChars="200"/>
              <w:rPr>
                <w:rFonts w:hint="default" w:ascii="Times New Roman" w:hAnsi="Times New Roman" w:cs="Times New Roman"/>
                <w:color w:val="000000"/>
                <w:sz w:val="24"/>
              </w:rPr>
            </w:pPr>
            <w:r>
              <w:rPr>
                <w:rFonts w:hint="default" w:ascii="Times New Roman" w:hAnsi="Times New Roman" w:cs="Times New Roman"/>
                <w:color w:val="000000"/>
                <w:sz w:val="24"/>
              </w:rPr>
              <w:t>4、使用危险化学品的操作空间应保证作业人员有充分的活动余地，并应考虑作业人员的操作空间。</w:t>
            </w:r>
          </w:p>
          <w:p w14:paraId="226B5827">
            <w:pPr>
              <w:spacing w:line="360" w:lineRule="auto"/>
              <w:ind w:firstLine="480" w:firstLineChars="200"/>
              <w:rPr>
                <w:rFonts w:hint="default" w:ascii="Times New Roman" w:hAnsi="Times New Roman" w:cs="Times New Roman"/>
                <w:color w:val="000000"/>
                <w:sz w:val="24"/>
              </w:rPr>
            </w:pPr>
            <w:r>
              <w:rPr>
                <w:rFonts w:hint="default" w:ascii="Times New Roman" w:hAnsi="Times New Roman" w:cs="Times New Roman"/>
                <w:color w:val="000000"/>
                <w:sz w:val="24"/>
              </w:rPr>
              <w:t>5、作业人员应接受安全技术培训后方可上岗，工作区、贮存区等禁止明火，应有禁止烟火的安全标志。设备检修时需要采用电焊、气焊、喷灯等明火作业，应严格执行动火安全制度，遵守安全操作规程，施工现场应有专人监管并配备灭火设施。</w:t>
            </w:r>
          </w:p>
          <w:p w14:paraId="0B2194BB">
            <w:pPr>
              <w:spacing w:line="360" w:lineRule="auto"/>
              <w:ind w:firstLine="480" w:firstLineChars="200"/>
              <w:rPr>
                <w:rFonts w:hint="default" w:ascii="Times New Roman" w:hAnsi="Times New Roman" w:cs="Times New Roman"/>
                <w:color w:val="000000"/>
                <w:sz w:val="24"/>
              </w:rPr>
            </w:pPr>
            <w:r>
              <w:rPr>
                <w:rFonts w:hint="default" w:ascii="Times New Roman" w:hAnsi="Times New Roman" w:cs="Times New Roman"/>
                <w:color w:val="000000"/>
                <w:sz w:val="24"/>
              </w:rPr>
              <w:t>6、用动火作业时，要应严格执行动火安全制度，遵守安全操作规程，施工现场应有专人监管并配备灭火设施。作业前应清理易燃易爆物品至安全距离外。</w:t>
            </w:r>
          </w:p>
          <w:p w14:paraId="22538521">
            <w:pPr>
              <w:spacing w:line="360" w:lineRule="auto"/>
              <w:ind w:firstLine="480" w:firstLineChars="200"/>
              <w:rPr>
                <w:rFonts w:hint="default" w:ascii="Times New Roman" w:hAnsi="Times New Roman" w:cs="Times New Roman"/>
                <w:color w:val="000000"/>
                <w:kern w:val="0"/>
                <w:sz w:val="24"/>
              </w:rPr>
            </w:pPr>
            <w:r>
              <w:rPr>
                <w:rFonts w:hint="default" w:ascii="Times New Roman" w:hAnsi="Times New Roman" w:cs="Times New Roman"/>
                <w:color w:val="000000"/>
                <w:kern w:val="0"/>
                <w:sz w:val="24"/>
              </w:rPr>
              <w:t>2）生产过程风险防范</w:t>
            </w:r>
          </w:p>
          <w:p w14:paraId="7927097E">
            <w:pPr>
              <w:spacing w:line="360" w:lineRule="auto"/>
              <w:ind w:firstLine="480" w:firstLineChars="200"/>
              <w:rPr>
                <w:rFonts w:hint="default" w:ascii="Times New Roman" w:hAnsi="Times New Roman" w:cs="Times New Roman"/>
                <w:color w:val="000000"/>
                <w:kern w:val="0"/>
                <w:sz w:val="24"/>
              </w:rPr>
            </w:pPr>
            <w:r>
              <w:rPr>
                <w:rFonts w:hint="default" w:ascii="Times New Roman" w:hAnsi="Times New Roman" w:cs="Times New Roman"/>
                <w:color w:val="000000"/>
                <w:kern w:val="0"/>
                <w:sz w:val="24"/>
              </w:rPr>
              <w:t>生产过程事故风险防范是安全生产的核心，要严格采取措施加以防范，尽可能降低事故发生概率。</w:t>
            </w:r>
          </w:p>
          <w:p w14:paraId="69A4240D">
            <w:pPr>
              <w:spacing w:line="360" w:lineRule="auto"/>
              <w:ind w:firstLine="480" w:firstLineChars="200"/>
              <w:rPr>
                <w:rFonts w:hint="default" w:ascii="Times New Roman" w:hAnsi="Times New Roman" w:cs="Times New Roman"/>
                <w:color w:val="000000"/>
                <w:kern w:val="0"/>
                <w:sz w:val="24"/>
              </w:rPr>
            </w:pPr>
            <w:r>
              <w:rPr>
                <w:rFonts w:hint="default" w:ascii="Times New Roman" w:hAnsi="Times New Roman" w:cs="Times New Roman"/>
                <w:color w:val="000000"/>
                <w:kern w:val="0"/>
                <w:sz w:val="24"/>
              </w:rPr>
              <w:t>①工艺技术尽量应用自动化、密闭化控制手段，在仪表控制系统尽量使用联锁、声光、报警灯事故应急系统。</w:t>
            </w:r>
          </w:p>
          <w:p w14:paraId="5907FB89">
            <w:pPr>
              <w:spacing w:line="360" w:lineRule="auto"/>
              <w:ind w:firstLine="480" w:firstLineChars="200"/>
              <w:rPr>
                <w:rFonts w:hint="default" w:ascii="Times New Roman" w:hAnsi="Times New Roman" w:cs="Times New Roman"/>
                <w:color w:val="000000"/>
                <w:kern w:val="0"/>
                <w:sz w:val="24"/>
              </w:rPr>
            </w:pPr>
            <w:r>
              <w:rPr>
                <w:rFonts w:hint="default" w:ascii="Times New Roman" w:hAnsi="Times New Roman" w:cs="Times New Roman"/>
                <w:color w:val="000000"/>
                <w:kern w:val="0"/>
                <w:sz w:val="24"/>
              </w:rPr>
              <w:t>②生产过程中，要求员工熟悉防火知识和正确掌握灭火器材的使用方法。车间内操作人员已穿戴好防护用品:车间、库房内应严禁烟火，已采用防爆灯照明和防爆风机。</w:t>
            </w:r>
          </w:p>
          <w:p w14:paraId="2249976E">
            <w:pPr>
              <w:spacing w:line="360" w:lineRule="auto"/>
              <w:ind w:firstLine="480" w:firstLineChars="200"/>
              <w:rPr>
                <w:rFonts w:hint="default" w:ascii="Times New Roman" w:hAnsi="Times New Roman" w:cs="Times New Roman"/>
                <w:color w:val="000000"/>
                <w:kern w:val="0"/>
                <w:sz w:val="24"/>
              </w:rPr>
            </w:pPr>
            <w:r>
              <w:rPr>
                <w:rFonts w:hint="default" w:ascii="Times New Roman" w:hAnsi="Times New Roman" w:cs="Times New Roman"/>
                <w:color w:val="000000"/>
                <w:kern w:val="0"/>
                <w:sz w:val="24"/>
              </w:rPr>
              <w:t>③企业应安排专门人员对生产过程中的安全进行监督管理，密切注意各类装置易发生事故的部位，并定期对设备进行检查与维修保养，严禁带病或不正常运转。</w:t>
            </w:r>
          </w:p>
          <w:p w14:paraId="7C431692">
            <w:pPr>
              <w:spacing w:line="360" w:lineRule="auto"/>
              <w:ind w:firstLine="480" w:firstLineChars="200"/>
              <w:rPr>
                <w:rFonts w:hint="default" w:ascii="Times New Roman" w:hAnsi="Times New Roman" w:cs="Times New Roman"/>
                <w:color w:val="000000"/>
                <w:kern w:val="0"/>
                <w:sz w:val="24"/>
              </w:rPr>
            </w:pPr>
            <w:r>
              <w:rPr>
                <w:rFonts w:hint="default" w:ascii="Times New Roman" w:hAnsi="Times New Roman" w:cs="Times New Roman"/>
                <w:color w:val="000000"/>
                <w:kern w:val="0"/>
                <w:sz w:val="24"/>
              </w:rPr>
              <w:t>3）废气事故风险预防措施</w:t>
            </w:r>
          </w:p>
          <w:p w14:paraId="34C5E769">
            <w:pPr>
              <w:spacing w:line="360" w:lineRule="auto"/>
              <w:ind w:firstLine="480" w:firstLineChars="200"/>
              <w:rPr>
                <w:rFonts w:hint="default" w:ascii="Times New Roman" w:hAnsi="Times New Roman" w:cs="Times New Roman"/>
                <w:color w:val="000000"/>
                <w:kern w:val="0"/>
                <w:sz w:val="24"/>
              </w:rPr>
            </w:pPr>
            <w:r>
              <w:rPr>
                <w:rFonts w:hint="default" w:ascii="Times New Roman" w:hAnsi="Times New Roman" w:cs="Times New Roman"/>
                <w:color w:val="000000"/>
                <w:kern w:val="0"/>
                <w:sz w:val="24"/>
              </w:rPr>
              <w:t>①平时加强废气处理设施的维护保养，及时发现处理设备的隐患，并及时进行维修，确保废气处理系统正常运行；</w:t>
            </w:r>
          </w:p>
          <w:p w14:paraId="274B711A">
            <w:pPr>
              <w:spacing w:line="360" w:lineRule="auto"/>
              <w:ind w:firstLine="480" w:firstLineChars="200"/>
              <w:rPr>
                <w:rFonts w:hint="default" w:ascii="Times New Roman" w:hAnsi="Times New Roman" w:cs="Times New Roman"/>
                <w:color w:val="000000"/>
                <w:kern w:val="0"/>
                <w:sz w:val="24"/>
              </w:rPr>
            </w:pPr>
            <w:r>
              <w:rPr>
                <w:rFonts w:hint="default" w:ascii="Times New Roman" w:hAnsi="Times New Roman" w:cs="Times New Roman"/>
                <w:color w:val="000000"/>
                <w:kern w:val="0"/>
                <w:sz w:val="24"/>
              </w:rPr>
              <w:t>②已建立健全的环保机构，并定期委托第三方监测单位进行检测，对管理人员和技术人员进行岗位培训，对废气处理实行全过程跟踪控制。实行以上制度及相关措施后，减少了大气环境风险所造成的影响，满足现有工程要求。</w:t>
            </w:r>
          </w:p>
          <w:p w14:paraId="143EB0A4">
            <w:pPr>
              <w:spacing w:line="360" w:lineRule="auto"/>
              <w:ind w:firstLine="480" w:firstLineChars="200"/>
              <w:rPr>
                <w:rFonts w:hint="default" w:ascii="Times New Roman" w:hAnsi="Times New Roman" w:cs="Times New Roman"/>
                <w:color w:val="000000"/>
                <w:kern w:val="0"/>
                <w:sz w:val="24"/>
              </w:rPr>
            </w:pPr>
            <w:r>
              <w:rPr>
                <w:rFonts w:hint="default" w:ascii="Times New Roman" w:hAnsi="Times New Roman" w:cs="Times New Roman"/>
                <w:color w:val="000000"/>
                <w:kern w:val="0"/>
                <w:sz w:val="24"/>
              </w:rPr>
              <w:t>4）废水事故风险预防措施</w:t>
            </w:r>
          </w:p>
          <w:p w14:paraId="440B2DEA">
            <w:pPr>
              <w:spacing w:line="360" w:lineRule="auto"/>
              <w:ind w:firstLine="480" w:firstLineChars="200"/>
              <w:rPr>
                <w:rFonts w:hint="default" w:ascii="Times New Roman" w:hAnsi="Times New Roman" w:cs="Times New Roman"/>
                <w:color w:val="000000"/>
                <w:kern w:val="0"/>
                <w:sz w:val="24"/>
              </w:rPr>
            </w:pPr>
            <w:r>
              <w:rPr>
                <w:rFonts w:hint="default" w:ascii="Times New Roman" w:hAnsi="Times New Roman" w:cs="Times New Roman"/>
                <w:color w:val="000000"/>
                <w:kern w:val="0"/>
                <w:sz w:val="24"/>
              </w:rPr>
              <w:t>本项目厂区事故废水主要来源于火灾状态下受到污染的消防水、污水处理站未处理的废水，直接引起周围区域地表水系的污染。</w:t>
            </w:r>
          </w:p>
          <w:p w14:paraId="7BED3588">
            <w:pPr>
              <w:spacing w:line="360" w:lineRule="auto"/>
              <w:ind w:firstLine="480" w:firstLineChars="200"/>
              <w:rPr>
                <w:rFonts w:hint="default" w:ascii="Times New Roman" w:hAnsi="Times New Roman" w:cs="Times New Roman"/>
                <w:color w:val="000000"/>
                <w:kern w:val="0"/>
                <w:sz w:val="24"/>
              </w:rPr>
            </w:pPr>
            <w:r>
              <w:rPr>
                <w:rFonts w:hint="default" w:ascii="Times New Roman" w:hAnsi="Times New Roman" w:cs="Times New Roman"/>
                <w:color w:val="000000"/>
                <w:kern w:val="0"/>
                <w:sz w:val="24"/>
              </w:rPr>
              <w:t>为保证本项目事故废水不会发生外泄流入附近地表水体而造成污染，不会因不稳定达标排放或未经处理排放对附近水体造成冲击。项目需在厂区最低处设置至少240m</w:t>
            </w:r>
            <w:r>
              <w:rPr>
                <w:rFonts w:hint="default" w:ascii="Times New Roman" w:hAnsi="Times New Roman" w:cs="Times New Roman"/>
                <w:color w:val="000000"/>
                <w:kern w:val="0"/>
                <w:sz w:val="24"/>
                <w:vertAlign w:val="superscript"/>
              </w:rPr>
              <w:t>3</w:t>
            </w:r>
            <w:r>
              <w:rPr>
                <w:rFonts w:hint="default" w:ascii="Times New Roman" w:hAnsi="Times New Roman" w:cs="Times New Roman"/>
                <w:color w:val="000000"/>
                <w:kern w:val="0"/>
                <w:sz w:val="24"/>
              </w:rPr>
              <w:t>的应急事故池、雨水截流阀，保证本项目事故废水不会发生外泄流入附近地表水体而造成污染。</w:t>
            </w:r>
          </w:p>
          <w:p w14:paraId="562BA634">
            <w:pPr>
              <w:spacing w:line="360" w:lineRule="auto"/>
              <w:ind w:firstLine="480" w:firstLineChars="200"/>
              <w:rPr>
                <w:rFonts w:hint="default" w:ascii="Times New Roman" w:hAnsi="Times New Roman" w:cs="Times New Roman"/>
                <w:color w:val="000000"/>
                <w:kern w:val="0"/>
                <w:sz w:val="24"/>
              </w:rPr>
            </w:pPr>
            <w:r>
              <w:rPr>
                <w:rFonts w:hint="default" w:ascii="Times New Roman" w:hAnsi="Times New Roman" w:cs="Times New Roman"/>
                <w:color w:val="000000"/>
                <w:kern w:val="0"/>
                <w:sz w:val="24"/>
              </w:rPr>
              <w:t>5）固废风险防范措施</w:t>
            </w:r>
          </w:p>
          <w:p w14:paraId="63940636">
            <w:pPr>
              <w:spacing w:line="360" w:lineRule="auto"/>
              <w:ind w:firstLine="480" w:firstLineChars="200"/>
              <w:rPr>
                <w:rFonts w:hint="default" w:ascii="Times New Roman" w:hAnsi="Times New Roman" w:cs="Times New Roman"/>
                <w:color w:val="000000"/>
                <w:kern w:val="0"/>
                <w:sz w:val="24"/>
              </w:rPr>
            </w:pPr>
            <w:r>
              <w:rPr>
                <w:rFonts w:hint="default" w:ascii="Times New Roman" w:hAnsi="Times New Roman" w:cs="Times New Roman"/>
                <w:color w:val="000000"/>
                <w:kern w:val="0"/>
                <w:sz w:val="24"/>
              </w:rPr>
              <w:t>本项目固废暂存的一般固废暂存处和</w:t>
            </w:r>
            <w:r>
              <w:rPr>
                <w:rFonts w:hint="default" w:ascii="Times New Roman" w:hAnsi="Times New Roman" w:cs="Times New Roman"/>
                <w:color w:val="000000"/>
                <w:kern w:val="0"/>
                <w:sz w:val="24"/>
                <w:lang w:eastAsia="zh-CN"/>
              </w:rPr>
              <w:t>危废贮存点</w:t>
            </w:r>
            <w:r>
              <w:rPr>
                <w:rFonts w:hint="default" w:ascii="Times New Roman" w:hAnsi="Times New Roman" w:cs="Times New Roman"/>
                <w:color w:val="000000"/>
                <w:kern w:val="0"/>
                <w:sz w:val="24"/>
              </w:rPr>
              <w:t>依托，分类收集暂存后，一般工业固废综合利用，危险废物委托有资质单位进行处置。固废得到有效处置，不会对环境产生二次污染。</w:t>
            </w:r>
          </w:p>
          <w:p w14:paraId="40BF1FFB">
            <w:pPr>
              <w:spacing w:line="360" w:lineRule="auto"/>
              <w:ind w:firstLine="480" w:firstLineChars="200"/>
              <w:rPr>
                <w:rFonts w:hint="default" w:ascii="Times New Roman" w:hAnsi="Times New Roman" w:cs="Times New Roman"/>
                <w:color w:val="000000"/>
                <w:kern w:val="0"/>
                <w:sz w:val="24"/>
              </w:rPr>
            </w:pPr>
            <w:r>
              <w:rPr>
                <w:rFonts w:hint="default" w:ascii="Times New Roman" w:hAnsi="Times New Roman" w:cs="Times New Roman"/>
                <w:color w:val="000000"/>
                <w:kern w:val="0"/>
                <w:sz w:val="24"/>
                <w:lang w:eastAsia="zh-CN"/>
              </w:rPr>
              <w:t>危废贮存点</w:t>
            </w:r>
            <w:r>
              <w:rPr>
                <w:rFonts w:hint="default" w:ascii="Times New Roman" w:hAnsi="Times New Roman" w:cs="Times New Roman"/>
                <w:color w:val="000000"/>
                <w:kern w:val="0"/>
                <w:sz w:val="24"/>
              </w:rPr>
              <w:t>需严格按照《危险废物储存污染控制标准》的要求设计，并对地面采取防雨、防腐和防渗“三防”措施。在建设过程中须做到以下相关要求：</w:t>
            </w:r>
          </w:p>
          <w:p w14:paraId="7F3ABC44">
            <w:pPr>
              <w:spacing w:line="360" w:lineRule="auto"/>
              <w:ind w:firstLine="480" w:firstLineChars="200"/>
              <w:rPr>
                <w:rFonts w:hint="default" w:ascii="Times New Roman" w:hAnsi="Times New Roman" w:cs="Times New Roman"/>
                <w:color w:val="000000"/>
                <w:kern w:val="0"/>
                <w:sz w:val="24"/>
              </w:rPr>
            </w:pPr>
            <w:r>
              <w:rPr>
                <w:rFonts w:hint="default" w:ascii="Times New Roman" w:hAnsi="Times New Roman" w:cs="Times New Roman"/>
                <w:color w:val="000000"/>
                <w:kern w:val="0"/>
                <w:sz w:val="24"/>
              </w:rPr>
              <w:t>①基础必须全面防渗，防渗层须具备防腐性能；</w:t>
            </w:r>
          </w:p>
          <w:p w14:paraId="0B5585FA">
            <w:pPr>
              <w:spacing w:line="360" w:lineRule="auto"/>
              <w:ind w:firstLine="480" w:firstLineChars="200"/>
              <w:rPr>
                <w:rFonts w:hint="default" w:ascii="Times New Roman" w:hAnsi="Times New Roman" w:cs="Times New Roman"/>
                <w:color w:val="000000"/>
                <w:kern w:val="0"/>
                <w:sz w:val="24"/>
              </w:rPr>
            </w:pPr>
            <w:r>
              <w:rPr>
                <w:rFonts w:hint="default" w:ascii="Times New Roman" w:hAnsi="Times New Roman" w:cs="Times New Roman"/>
                <w:color w:val="000000"/>
                <w:kern w:val="0"/>
                <w:sz w:val="24"/>
              </w:rPr>
              <w:t>②地面与裙脚要用坚固、防渗的材料建造，建筑材料必须与危险废物相容；</w:t>
            </w:r>
          </w:p>
          <w:p w14:paraId="6B01724D">
            <w:pPr>
              <w:spacing w:line="360" w:lineRule="auto"/>
              <w:ind w:firstLine="480" w:firstLineChars="200"/>
              <w:rPr>
                <w:rFonts w:hint="default" w:ascii="Times New Roman" w:hAnsi="Times New Roman" w:cs="Times New Roman"/>
                <w:color w:val="000000"/>
                <w:kern w:val="0"/>
                <w:sz w:val="24"/>
              </w:rPr>
            </w:pPr>
            <w:r>
              <w:rPr>
                <w:rFonts w:hint="default" w:ascii="Times New Roman" w:hAnsi="Times New Roman" w:cs="Times New Roman"/>
                <w:color w:val="000000"/>
                <w:kern w:val="0"/>
                <w:sz w:val="24"/>
              </w:rPr>
              <w:t>③项目危废暂存于</w:t>
            </w:r>
            <w:r>
              <w:rPr>
                <w:rFonts w:hint="default" w:ascii="Times New Roman" w:hAnsi="Times New Roman" w:cs="Times New Roman"/>
                <w:color w:val="000000"/>
                <w:kern w:val="0"/>
                <w:sz w:val="24"/>
                <w:lang w:eastAsia="zh-CN"/>
              </w:rPr>
              <w:t>危废贮存点</w:t>
            </w:r>
            <w:r>
              <w:rPr>
                <w:rFonts w:hint="default" w:ascii="Times New Roman" w:hAnsi="Times New Roman" w:cs="Times New Roman"/>
                <w:color w:val="000000"/>
                <w:kern w:val="0"/>
                <w:sz w:val="24"/>
              </w:rPr>
              <w:t>，危险废物贮存要贴上标签;容器及容器的材质要满足强度要求，并必须完整无损。</w:t>
            </w:r>
          </w:p>
          <w:p w14:paraId="318AF3CD">
            <w:pPr>
              <w:spacing w:line="360" w:lineRule="auto"/>
              <w:ind w:firstLine="480" w:firstLineChars="200"/>
              <w:rPr>
                <w:rFonts w:hint="default" w:ascii="Times New Roman" w:hAnsi="Times New Roman" w:cs="Times New Roman"/>
                <w:color w:val="000000"/>
                <w:kern w:val="0"/>
                <w:sz w:val="24"/>
              </w:rPr>
            </w:pPr>
            <w:r>
              <w:rPr>
                <w:rFonts w:hint="default" w:ascii="Times New Roman" w:hAnsi="Times New Roman" w:cs="Times New Roman"/>
                <w:color w:val="000000"/>
                <w:kern w:val="0"/>
                <w:sz w:val="24"/>
              </w:rPr>
              <w:t>④危险废物分类妥善收集后，按照相关操作规范储存、处理。废活性炭危险固废委托给具有处理资质的单位进行处置。项目处置危险固废的措施符合《中华人民共和国固体废物污染环境防治法》，并严格执行了《危险废物转移联单管理办法》规定的各项程序。</w:t>
            </w:r>
          </w:p>
          <w:p w14:paraId="58DA5DA6">
            <w:pPr>
              <w:spacing w:line="360" w:lineRule="auto"/>
              <w:ind w:firstLine="480" w:firstLineChars="200"/>
              <w:rPr>
                <w:rFonts w:hint="eastAsia" w:cs="Times New Roman"/>
                <w:color w:val="FF0000"/>
                <w:kern w:val="0"/>
                <w:sz w:val="24"/>
                <w:lang w:val="en-US" w:eastAsia="zh-CN"/>
              </w:rPr>
            </w:pPr>
            <w:r>
              <w:rPr>
                <w:rFonts w:hint="eastAsia" w:cs="Times New Roman"/>
                <w:color w:val="FF0000"/>
                <w:kern w:val="0"/>
                <w:sz w:val="24"/>
                <w:lang w:val="en-US" w:eastAsia="zh-CN"/>
              </w:rPr>
              <w:t>6）贮存设施标准化建设</w:t>
            </w:r>
          </w:p>
          <w:p w14:paraId="13F17D54">
            <w:pPr>
              <w:spacing w:line="360" w:lineRule="auto"/>
              <w:ind w:firstLine="480" w:firstLineChars="200"/>
              <w:rPr>
                <w:rFonts w:hint="eastAsia" w:cs="Times New Roman"/>
                <w:color w:val="FF0000"/>
                <w:kern w:val="0"/>
                <w:sz w:val="24"/>
                <w:lang w:val="en-US" w:eastAsia="zh-CN"/>
              </w:rPr>
            </w:pPr>
            <w:r>
              <w:rPr>
                <w:rFonts w:hint="eastAsia" w:cs="Times New Roman"/>
                <w:color w:val="FF0000"/>
                <w:kern w:val="0"/>
                <w:sz w:val="24"/>
                <w:lang w:val="en-US" w:eastAsia="zh-CN"/>
              </w:rPr>
              <w:t>油类物质危废贮存点需独立封闭建设，地面采用双层防渗结构（下层2mm厚HDPE膜，渗透系数≤10⁻¹⁰ cm/s；上层C30耐油混凝土），并设置防泄漏围堰（容积≥最大储罐110%）。贮存区配备防爆型可燃气体报警器，与强制通风系统联动，油气浓度超限时自动启动报警。铅酸蓄电池贮存间地面需进行防酸防腐处理（环氧树脂涂层+耐酸陶瓷砖），设置防渗托盘及导流沟（坡度≥2%），导流沟末端连接应急收集池。破损电池须存放于专用耐酸容器内，容器内衬硅藻土吸附材料，显著位置设置GB 15562.2规范的“腐蚀性”警示标识。</w:t>
            </w:r>
          </w:p>
          <w:p w14:paraId="0D8568F1">
            <w:pPr>
              <w:spacing w:line="360" w:lineRule="auto"/>
              <w:ind w:firstLine="480" w:firstLineChars="200"/>
              <w:rPr>
                <w:rFonts w:hint="eastAsia" w:cs="Times New Roman"/>
                <w:color w:val="FF0000"/>
                <w:kern w:val="0"/>
                <w:sz w:val="24"/>
                <w:lang w:val="en-US" w:eastAsia="zh-CN"/>
              </w:rPr>
            </w:pPr>
            <w:r>
              <w:rPr>
                <w:rFonts w:hint="eastAsia" w:cs="Times New Roman"/>
                <w:color w:val="FF0000"/>
                <w:kern w:val="0"/>
                <w:sz w:val="24"/>
                <w:lang w:val="en-US" w:eastAsia="zh-CN"/>
              </w:rPr>
              <w:t>7）泄漏防控与截留系统</w:t>
            </w:r>
          </w:p>
          <w:p w14:paraId="4A7AE0E5">
            <w:pPr>
              <w:spacing w:line="360" w:lineRule="auto"/>
              <w:ind w:firstLine="480" w:firstLineChars="200"/>
              <w:rPr>
                <w:rFonts w:hint="eastAsia" w:cs="Times New Roman"/>
                <w:color w:val="FF0000"/>
                <w:kern w:val="0"/>
                <w:sz w:val="24"/>
                <w:lang w:val="en-US" w:eastAsia="zh-CN"/>
              </w:rPr>
            </w:pPr>
            <w:r>
              <w:rPr>
                <w:rFonts w:hint="eastAsia" w:cs="Times New Roman"/>
                <w:color w:val="FF0000"/>
                <w:kern w:val="0"/>
                <w:sz w:val="24"/>
                <w:lang w:val="en-US" w:eastAsia="zh-CN"/>
              </w:rPr>
              <w:t>油类物质泄漏防控：储罐区配置二次防漏托盘（容积≥单桶150%），地面明沟导流系统直通260m³应急事故池，沟内衬耐油防腐材料。出入口设置电动截流阀，事故状态下自动关闭并切换废水流向。</w:t>
            </w:r>
          </w:p>
          <w:p w14:paraId="5A5DBE27">
            <w:pPr>
              <w:spacing w:line="360" w:lineRule="auto"/>
              <w:ind w:firstLine="480" w:firstLineChars="200"/>
              <w:rPr>
                <w:rFonts w:hint="eastAsia" w:cs="Times New Roman"/>
                <w:color w:val="FF0000"/>
                <w:kern w:val="0"/>
                <w:sz w:val="24"/>
                <w:lang w:val="en-US" w:eastAsia="zh-CN"/>
              </w:rPr>
            </w:pPr>
            <w:r>
              <w:rPr>
                <w:rFonts w:hint="eastAsia" w:cs="Times New Roman"/>
                <w:color w:val="FF0000"/>
                <w:kern w:val="0"/>
                <w:sz w:val="24"/>
                <w:lang w:val="en-US" w:eastAsia="zh-CN"/>
              </w:rPr>
              <w:t>铅酸蓄电池电解液截留：多层贮存采用防腐货架（层高≥15cm），货架底部设导流槽；破损电池存放容器内置耐酸吸附棉（pH耐受0-2）。地面导流沟嵌装耐酸陶瓷砖，确保泄漏电解液100%收集至中和应急池。</w:t>
            </w:r>
          </w:p>
          <w:p w14:paraId="051F2F7F">
            <w:pPr>
              <w:spacing w:line="360" w:lineRule="auto"/>
              <w:ind w:firstLine="480" w:firstLineChars="200"/>
              <w:rPr>
                <w:rFonts w:hint="eastAsia" w:cs="Times New Roman"/>
                <w:color w:val="FF0000"/>
                <w:kern w:val="0"/>
                <w:sz w:val="24"/>
                <w:lang w:val="en-US" w:eastAsia="zh-CN"/>
              </w:rPr>
            </w:pPr>
            <w:r>
              <w:rPr>
                <w:rFonts w:hint="eastAsia" w:cs="Times New Roman"/>
                <w:color w:val="FF0000"/>
                <w:kern w:val="0"/>
                <w:sz w:val="24"/>
                <w:lang w:val="en-US" w:eastAsia="zh-CN"/>
              </w:rPr>
              <w:t>8）清污应急与运行管理</w:t>
            </w:r>
          </w:p>
          <w:p w14:paraId="4AF7700B">
            <w:pPr>
              <w:spacing w:line="360" w:lineRule="auto"/>
              <w:ind w:firstLine="480" w:firstLineChars="200"/>
              <w:rPr>
                <w:rFonts w:hint="eastAsia" w:cs="Times New Roman"/>
                <w:color w:val="FF0000"/>
                <w:kern w:val="0"/>
                <w:sz w:val="24"/>
                <w:lang w:val="en-US" w:eastAsia="zh-CN"/>
              </w:rPr>
            </w:pPr>
            <w:r>
              <w:rPr>
                <w:rFonts w:hint="eastAsia" w:cs="Times New Roman"/>
                <w:color w:val="FF0000"/>
                <w:kern w:val="0"/>
                <w:sz w:val="24"/>
                <w:lang w:val="en-US" w:eastAsia="zh-CN"/>
              </w:rPr>
              <w:t>应急物资配置：</w:t>
            </w:r>
          </w:p>
          <w:p w14:paraId="7AD6B5B6">
            <w:pPr>
              <w:spacing w:line="360" w:lineRule="auto"/>
              <w:ind w:firstLine="480" w:firstLineChars="200"/>
              <w:rPr>
                <w:rFonts w:hint="eastAsia" w:cs="Times New Roman"/>
                <w:color w:val="FF0000"/>
                <w:kern w:val="0"/>
                <w:sz w:val="24"/>
                <w:lang w:val="en-US" w:eastAsia="zh-CN"/>
              </w:rPr>
            </w:pPr>
            <w:r>
              <w:rPr>
                <w:rFonts w:hint="eastAsia" w:cs="Times New Roman"/>
                <w:color w:val="FF0000"/>
                <w:kern w:val="0"/>
                <w:sz w:val="24"/>
                <w:lang w:val="en-US" w:eastAsia="zh-CN"/>
              </w:rPr>
              <w:t>油类区每50m²设应急箱（含吸油毡、凝油剂、防爆回收桶）；</w:t>
            </w:r>
          </w:p>
          <w:p w14:paraId="7FB56DED">
            <w:pPr>
              <w:spacing w:line="360" w:lineRule="auto"/>
              <w:ind w:firstLine="480" w:firstLineChars="200"/>
              <w:rPr>
                <w:rFonts w:hint="eastAsia" w:cs="Times New Roman"/>
                <w:color w:val="FF0000"/>
                <w:kern w:val="0"/>
                <w:sz w:val="24"/>
                <w:lang w:val="en-US" w:eastAsia="zh-CN"/>
              </w:rPr>
            </w:pPr>
            <w:r>
              <w:rPr>
                <w:rFonts w:hint="eastAsia" w:cs="Times New Roman"/>
                <w:color w:val="FF0000"/>
                <w:kern w:val="0"/>
                <w:sz w:val="24"/>
                <w:lang w:val="en-US" w:eastAsia="zh-CN"/>
              </w:rPr>
              <w:t>电池区配备生石灰中和剂、耐酸围堵沙袋、pH试纸及铅快速检测包。</w:t>
            </w:r>
          </w:p>
          <w:p w14:paraId="3AB7D4D1">
            <w:pPr>
              <w:spacing w:line="360" w:lineRule="auto"/>
              <w:ind w:firstLine="480" w:firstLineChars="200"/>
              <w:rPr>
                <w:rFonts w:hint="default" w:ascii="Times New Roman" w:hAnsi="Times New Roman" w:cs="Times New Roman"/>
                <w:color w:val="000000"/>
                <w:sz w:val="24"/>
                <w:szCs w:val="32"/>
              </w:rPr>
            </w:pPr>
            <w:r>
              <w:rPr>
                <w:rFonts w:hint="eastAsia" w:cs="Times New Roman"/>
                <w:color w:val="000000"/>
                <w:kern w:val="0"/>
                <w:sz w:val="24"/>
                <w:lang w:val="en-US" w:eastAsia="zh-CN"/>
              </w:rPr>
              <w:t>9</w:t>
            </w:r>
            <w:r>
              <w:rPr>
                <w:rFonts w:hint="default" w:ascii="Times New Roman" w:hAnsi="Times New Roman" w:cs="Times New Roman"/>
                <w:color w:val="000000"/>
                <w:kern w:val="0"/>
                <w:sz w:val="24"/>
              </w:rPr>
              <w:t>）根据环保部《突发环境事件应急管理办法》（环保部令第34号）、《企业事业单位突发环境事件应急预案备案管理办法（试行）》（环发〔2015〕4号）、《企业事业单位突发环境事件应急预案评审工作指南（试行）》的通知（环办应急〔2018〕8号）、环保部《关于进一步加强环境影响评价管理防范环境风险的通知》（环发〔2012〕77号）等的规定和要求，建议企业按有关内容和要求制定、完善突发环境事件应急预案。</w:t>
            </w:r>
          </w:p>
          <w:p w14:paraId="396C2B7F">
            <w:pPr>
              <w:widowControl/>
              <w:wordWrap w:val="0"/>
              <w:topLinePunct/>
              <w:adjustRightInd w:val="0"/>
              <w:spacing w:line="360" w:lineRule="auto"/>
              <w:ind w:firstLine="480" w:firstLineChars="200"/>
              <w:jc w:val="left"/>
              <w:textAlignment w:val="baseline"/>
              <w:rPr>
                <w:rFonts w:hint="default" w:ascii="Times New Roman" w:hAnsi="Times New Roman" w:cs="Times New Roman"/>
                <w:color w:val="000000"/>
                <w:sz w:val="24"/>
              </w:rPr>
            </w:pPr>
            <w:r>
              <w:rPr>
                <w:rFonts w:hint="eastAsia" w:cs="Times New Roman"/>
                <w:color w:val="000000"/>
                <w:sz w:val="24"/>
                <w:lang w:val="en-US" w:eastAsia="zh-CN"/>
              </w:rPr>
              <w:t>10</w:t>
            </w:r>
            <w:r>
              <w:rPr>
                <w:rFonts w:hint="default" w:ascii="Times New Roman" w:hAnsi="Times New Roman" w:cs="Times New Roman"/>
                <w:color w:val="000000"/>
                <w:sz w:val="24"/>
              </w:rPr>
              <w:t>）</w:t>
            </w:r>
            <w:r>
              <w:rPr>
                <w:rFonts w:hint="default" w:ascii="Times New Roman" w:hAnsi="Times New Roman" w:cs="Times New Roman"/>
                <w:color w:val="000000"/>
                <w:kern w:val="0"/>
                <w:sz w:val="24"/>
                <w:lang w:bidi="ar"/>
              </w:rPr>
              <w:t>生产经营单位应当制定本单位的应急预案演练计划，根据本单位的事故风险特点，每年至少组织一次综合应急预案演练或者专项应急预案演练，每半年至少组织一次现场处置方案演练。</w:t>
            </w:r>
          </w:p>
          <w:p w14:paraId="05CD6B40">
            <w:pPr>
              <w:spacing w:line="360" w:lineRule="auto"/>
              <w:ind w:firstLine="480" w:firstLineChars="200"/>
              <w:rPr>
                <w:rFonts w:hint="default" w:ascii="Times New Roman" w:hAnsi="Times New Roman" w:cs="Times New Roman"/>
                <w:color w:val="000000"/>
                <w:sz w:val="24"/>
              </w:rPr>
            </w:pPr>
            <w:r>
              <w:rPr>
                <w:rFonts w:hint="eastAsia" w:cs="Times New Roman"/>
                <w:color w:val="000000"/>
                <w:sz w:val="24"/>
                <w:lang w:val="en-US" w:eastAsia="zh-CN"/>
              </w:rPr>
              <w:t>11</w:t>
            </w:r>
            <w:r>
              <w:rPr>
                <w:rFonts w:hint="default" w:ascii="Times New Roman" w:hAnsi="Times New Roman" w:cs="Times New Roman"/>
                <w:color w:val="000000"/>
                <w:sz w:val="24"/>
              </w:rPr>
              <w:t>）设立应急事故池，应急事故池应设在雨水排口处，并于雨水管网相连接，连接处设三通阀，发生事故后及时停产，事故废水经厂内管网收集后在事故池中暂存，待事故排除后处理达标后排放，应急事故池做全池防渗。</w:t>
            </w:r>
          </w:p>
          <w:p w14:paraId="34982DFF">
            <w:pPr>
              <w:widowControl/>
              <w:wordWrap w:val="0"/>
              <w:topLinePunct/>
              <w:adjustRightInd w:val="0"/>
              <w:spacing w:line="360" w:lineRule="auto"/>
              <w:ind w:firstLine="480" w:firstLineChars="200"/>
              <w:jc w:val="left"/>
              <w:textAlignment w:val="baseline"/>
              <w:rPr>
                <w:rFonts w:hint="default" w:ascii="Times New Roman" w:hAnsi="Times New Roman" w:cs="Times New Roman"/>
                <w:color w:val="000000"/>
                <w:sz w:val="32"/>
                <w:szCs w:val="32"/>
              </w:rPr>
            </w:pPr>
            <w:r>
              <w:rPr>
                <w:rFonts w:hint="default" w:ascii="Times New Roman" w:hAnsi="Times New Roman" w:cs="Times New Roman"/>
                <w:color w:val="000000"/>
                <w:sz w:val="24"/>
              </w:rPr>
              <w:t>为了防止事故状况下的污染区泄漏对地表水体造成污染，设计中应设计防止事故污染物向地表水水体转移的事故水储存设施，具体如下：</w:t>
            </w:r>
          </w:p>
          <w:p w14:paraId="4D296EDF">
            <w:pPr>
              <w:pStyle w:val="141"/>
              <w:ind w:firstLine="480"/>
              <w:rPr>
                <w:rFonts w:hint="default" w:ascii="Times New Roman" w:hAnsi="Times New Roman" w:cs="Times New Roman"/>
                <w:sz w:val="24"/>
                <w:szCs w:val="32"/>
              </w:rPr>
            </w:pPr>
            <w:r>
              <w:rPr>
                <w:rFonts w:hint="default" w:ascii="Times New Roman" w:hAnsi="Times New Roman" w:cs="Times New Roman"/>
                <w:sz w:val="24"/>
                <w:szCs w:val="32"/>
              </w:rPr>
              <w:t>根据《事故状态下水体污染的预防和控制规范》（Q/SY08190-2019）中计算公式，报告中消防事故池容积合理性分析的计算公式：</w:t>
            </w:r>
          </w:p>
          <w:p w14:paraId="498F35AE">
            <w:pPr>
              <w:pStyle w:val="141"/>
              <w:ind w:firstLine="0" w:firstLineChars="0"/>
              <w:jc w:val="center"/>
              <w:rPr>
                <w:rFonts w:hint="default" w:ascii="Times New Roman" w:hAnsi="Times New Roman" w:cs="Times New Roman"/>
                <w:sz w:val="24"/>
                <w:szCs w:val="32"/>
              </w:rPr>
            </w:pPr>
            <w:r>
              <w:rPr>
                <w:rFonts w:hint="default" w:ascii="Times New Roman" w:hAnsi="Times New Roman" w:cs="Times New Roman"/>
                <w:sz w:val="24"/>
                <w:szCs w:val="32"/>
              </w:rPr>
              <w:t>V</w:t>
            </w:r>
            <w:r>
              <w:rPr>
                <w:rFonts w:hint="default" w:ascii="Times New Roman" w:hAnsi="Times New Roman" w:cs="Times New Roman"/>
                <w:sz w:val="24"/>
                <w:szCs w:val="32"/>
                <w:vertAlign w:val="subscript"/>
              </w:rPr>
              <w:t>总</w:t>
            </w:r>
            <w:r>
              <w:rPr>
                <w:rFonts w:hint="default" w:ascii="Times New Roman" w:hAnsi="Times New Roman" w:cs="Times New Roman"/>
                <w:sz w:val="24"/>
                <w:szCs w:val="32"/>
              </w:rPr>
              <w:t>=（V</w:t>
            </w:r>
            <w:r>
              <w:rPr>
                <w:rFonts w:hint="default" w:ascii="Times New Roman" w:hAnsi="Times New Roman" w:cs="Times New Roman"/>
                <w:sz w:val="24"/>
                <w:szCs w:val="32"/>
                <w:vertAlign w:val="subscript"/>
              </w:rPr>
              <w:t>1</w:t>
            </w:r>
            <w:r>
              <w:rPr>
                <w:rFonts w:hint="default" w:ascii="Times New Roman" w:hAnsi="Times New Roman" w:cs="Times New Roman"/>
                <w:sz w:val="24"/>
                <w:szCs w:val="32"/>
              </w:rPr>
              <w:t>+V</w:t>
            </w:r>
            <w:r>
              <w:rPr>
                <w:rFonts w:hint="default" w:ascii="Times New Roman" w:hAnsi="Times New Roman" w:cs="Times New Roman"/>
                <w:sz w:val="24"/>
                <w:szCs w:val="32"/>
                <w:vertAlign w:val="subscript"/>
              </w:rPr>
              <w:t>2</w:t>
            </w:r>
            <w:r>
              <w:rPr>
                <w:rFonts w:hint="default" w:ascii="Times New Roman" w:hAnsi="Times New Roman" w:cs="Times New Roman"/>
                <w:sz w:val="24"/>
                <w:szCs w:val="32"/>
              </w:rPr>
              <w:t>-V</w:t>
            </w:r>
            <w:r>
              <w:rPr>
                <w:rFonts w:hint="default" w:ascii="Times New Roman" w:hAnsi="Times New Roman" w:cs="Times New Roman"/>
                <w:sz w:val="24"/>
                <w:szCs w:val="32"/>
                <w:vertAlign w:val="subscript"/>
              </w:rPr>
              <w:t>3</w:t>
            </w:r>
            <w:r>
              <w:rPr>
                <w:rFonts w:hint="default" w:ascii="Times New Roman" w:hAnsi="Times New Roman" w:cs="Times New Roman"/>
                <w:sz w:val="24"/>
                <w:szCs w:val="32"/>
              </w:rPr>
              <w:t>）</w:t>
            </w:r>
            <w:r>
              <w:rPr>
                <w:rFonts w:hint="default" w:ascii="Times New Roman" w:hAnsi="Times New Roman" w:cs="Times New Roman"/>
                <w:sz w:val="24"/>
                <w:szCs w:val="32"/>
                <w:vertAlign w:val="subscript"/>
              </w:rPr>
              <w:t>max</w:t>
            </w:r>
            <w:r>
              <w:rPr>
                <w:rFonts w:hint="default" w:ascii="Times New Roman" w:hAnsi="Times New Roman" w:cs="Times New Roman"/>
                <w:sz w:val="24"/>
                <w:szCs w:val="32"/>
              </w:rPr>
              <w:t>+V</w:t>
            </w:r>
            <w:r>
              <w:rPr>
                <w:rFonts w:hint="default" w:ascii="Times New Roman" w:hAnsi="Times New Roman" w:cs="Times New Roman"/>
                <w:sz w:val="24"/>
                <w:szCs w:val="32"/>
                <w:vertAlign w:val="subscript"/>
              </w:rPr>
              <w:t>4</w:t>
            </w:r>
            <w:r>
              <w:rPr>
                <w:rFonts w:hint="default" w:ascii="Times New Roman" w:hAnsi="Times New Roman" w:cs="Times New Roman"/>
                <w:sz w:val="24"/>
                <w:szCs w:val="32"/>
              </w:rPr>
              <w:t>+V</w:t>
            </w:r>
            <w:r>
              <w:rPr>
                <w:rFonts w:hint="default" w:ascii="Times New Roman" w:hAnsi="Times New Roman" w:cs="Times New Roman"/>
                <w:sz w:val="24"/>
                <w:szCs w:val="32"/>
                <w:vertAlign w:val="subscript"/>
              </w:rPr>
              <w:t>5</w:t>
            </w:r>
          </w:p>
          <w:p w14:paraId="160B37CB">
            <w:pPr>
              <w:pStyle w:val="141"/>
              <w:ind w:firstLine="480"/>
              <w:rPr>
                <w:rFonts w:hint="default" w:ascii="Times New Roman" w:hAnsi="Times New Roman" w:cs="Times New Roman"/>
                <w:sz w:val="24"/>
                <w:szCs w:val="32"/>
              </w:rPr>
            </w:pPr>
            <w:r>
              <w:rPr>
                <w:rFonts w:hint="default" w:ascii="Times New Roman" w:hAnsi="Times New Roman" w:cs="Times New Roman"/>
                <w:sz w:val="24"/>
                <w:szCs w:val="32"/>
              </w:rPr>
              <w:t>注：（V</w:t>
            </w:r>
            <w:r>
              <w:rPr>
                <w:rFonts w:hint="default" w:ascii="Times New Roman" w:hAnsi="Times New Roman" w:cs="Times New Roman"/>
                <w:sz w:val="24"/>
                <w:szCs w:val="32"/>
                <w:vertAlign w:val="subscript"/>
              </w:rPr>
              <w:t>1</w:t>
            </w:r>
            <w:r>
              <w:rPr>
                <w:rFonts w:hint="default" w:ascii="Times New Roman" w:hAnsi="Times New Roman" w:cs="Times New Roman"/>
                <w:sz w:val="24"/>
                <w:szCs w:val="32"/>
              </w:rPr>
              <w:t>+V</w:t>
            </w:r>
            <w:r>
              <w:rPr>
                <w:rFonts w:hint="default" w:ascii="Times New Roman" w:hAnsi="Times New Roman" w:cs="Times New Roman"/>
                <w:sz w:val="24"/>
                <w:szCs w:val="32"/>
                <w:vertAlign w:val="subscript"/>
              </w:rPr>
              <w:t>2</w:t>
            </w:r>
            <w:r>
              <w:rPr>
                <w:rFonts w:hint="default" w:ascii="Times New Roman" w:hAnsi="Times New Roman" w:cs="Times New Roman"/>
                <w:sz w:val="24"/>
                <w:szCs w:val="32"/>
              </w:rPr>
              <w:t>-V</w:t>
            </w:r>
            <w:r>
              <w:rPr>
                <w:rFonts w:hint="default" w:ascii="Times New Roman" w:hAnsi="Times New Roman" w:cs="Times New Roman"/>
                <w:sz w:val="24"/>
                <w:szCs w:val="32"/>
                <w:vertAlign w:val="subscript"/>
              </w:rPr>
              <w:t>3</w:t>
            </w:r>
            <w:r>
              <w:rPr>
                <w:rFonts w:hint="default" w:ascii="Times New Roman" w:hAnsi="Times New Roman" w:cs="Times New Roman"/>
                <w:sz w:val="24"/>
                <w:szCs w:val="32"/>
              </w:rPr>
              <w:t>）</w:t>
            </w:r>
            <w:r>
              <w:rPr>
                <w:rFonts w:hint="default" w:ascii="Times New Roman" w:hAnsi="Times New Roman" w:cs="Times New Roman"/>
                <w:sz w:val="24"/>
                <w:szCs w:val="32"/>
                <w:vertAlign w:val="subscript"/>
              </w:rPr>
              <w:t>max</w:t>
            </w:r>
            <w:r>
              <w:rPr>
                <w:rFonts w:hint="default" w:ascii="Times New Roman" w:hAnsi="Times New Roman" w:cs="Times New Roman"/>
                <w:sz w:val="24"/>
                <w:szCs w:val="32"/>
              </w:rPr>
              <w:t>是指对收集系统范围内不同罐组或装置分别计算V</w:t>
            </w:r>
            <w:r>
              <w:rPr>
                <w:rFonts w:hint="default" w:ascii="Times New Roman" w:hAnsi="Times New Roman" w:cs="Times New Roman"/>
                <w:sz w:val="24"/>
                <w:szCs w:val="32"/>
                <w:vertAlign w:val="subscript"/>
              </w:rPr>
              <w:t>1</w:t>
            </w:r>
            <w:r>
              <w:rPr>
                <w:rFonts w:hint="default" w:ascii="Times New Roman" w:hAnsi="Times New Roman" w:cs="Times New Roman"/>
                <w:sz w:val="24"/>
                <w:szCs w:val="32"/>
              </w:rPr>
              <w:t>+V</w:t>
            </w:r>
            <w:r>
              <w:rPr>
                <w:rFonts w:hint="default" w:ascii="Times New Roman" w:hAnsi="Times New Roman" w:cs="Times New Roman"/>
                <w:sz w:val="24"/>
                <w:szCs w:val="32"/>
                <w:vertAlign w:val="subscript"/>
              </w:rPr>
              <w:t>2</w:t>
            </w:r>
            <w:r>
              <w:rPr>
                <w:rFonts w:hint="default" w:ascii="Times New Roman" w:hAnsi="Times New Roman" w:cs="Times New Roman"/>
                <w:sz w:val="24"/>
                <w:szCs w:val="32"/>
              </w:rPr>
              <w:t>-V</w:t>
            </w:r>
            <w:r>
              <w:rPr>
                <w:rFonts w:hint="default" w:ascii="Times New Roman" w:hAnsi="Times New Roman" w:cs="Times New Roman"/>
                <w:sz w:val="24"/>
                <w:szCs w:val="32"/>
                <w:vertAlign w:val="subscript"/>
              </w:rPr>
              <w:t>3</w:t>
            </w:r>
            <w:r>
              <w:rPr>
                <w:rFonts w:hint="default" w:ascii="Times New Roman" w:hAnsi="Times New Roman" w:cs="Times New Roman"/>
                <w:sz w:val="24"/>
                <w:szCs w:val="32"/>
              </w:rPr>
              <w:t>，取其中最大值。</w:t>
            </w:r>
          </w:p>
          <w:p w14:paraId="47682995">
            <w:pPr>
              <w:pStyle w:val="141"/>
              <w:ind w:firstLine="1200" w:firstLineChars="500"/>
              <w:rPr>
                <w:rFonts w:hint="default" w:ascii="Times New Roman" w:hAnsi="Times New Roman" w:cs="Times New Roman"/>
                <w:sz w:val="24"/>
                <w:szCs w:val="32"/>
              </w:rPr>
            </w:pPr>
            <w:r>
              <w:rPr>
                <w:rFonts w:hint="default" w:ascii="Times New Roman" w:hAnsi="Times New Roman" w:cs="Times New Roman"/>
                <w:sz w:val="24"/>
                <w:szCs w:val="32"/>
              </w:rPr>
              <w:t>V</w:t>
            </w:r>
            <w:r>
              <w:rPr>
                <w:rFonts w:hint="default" w:ascii="Times New Roman" w:hAnsi="Times New Roman" w:cs="Times New Roman"/>
                <w:sz w:val="24"/>
                <w:szCs w:val="32"/>
                <w:vertAlign w:val="subscript"/>
              </w:rPr>
              <w:t>1</w:t>
            </w:r>
            <w:r>
              <w:rPr>
                <w:rFonts w:hint="default" w:ascii="Times New Roman" w:hAnsi="Times New Roman" w:cs="Times New Roman"/>
                <w:sz w:val="24"/>
                <w:szCs w:val="32"/>
              </w:rPr>
              <w:t>—收集系统范围内发生事故的一个罐组或一套装置的物料量。</w:t>
            </w:r>
          </w:p>
          <w:p w14:paraId="021013DF">
            <w:pPr>
              <w:pStyle w:val="141"/>
              <w:ind w:firstLine="1200" w:firstLineChars="500"/>
              <w:rPr>
                <w:rFonts w:hint="default" w:ascii="Times New Roman" w:hAnsi="Times New Roman" w:cs="Times New Roman"/>
                <w:sz w:val="24"/>
                <w:szCs w:val="32"/>
              </w:rPr>
            </w:pPr>
            <w:r>
              <w:rPr>
                <w:rFonts w:hint="default" w:ascii="Times New Roman" w:hAnsi="Times New Roman" w:cs="Times New Roman"/>
                <w:sz w:val="24"/>
                <w:szCs w:val="32"/>
              </w:rPr>
              <w:t>注：储存相同物料的罐组按一个最大储罐计，装置物料量按存留最大物料量的一台反应器或中间储罐计。</w:t>
            </w:r>
          </w:p>
          <w:p w14:paraId="3DD70437">
            <w:pPr>
              <w:pStyle w:val="141"/>
              <w:ind w:firstLine="1200" w:firstLineChars="500"/>
              <w:rPr>
                <w:rFonts w:hint="default" w:ascii="Times New Roman" w:hAnsi="Times New Roman" w:cs="Times New Roman"/>
                <w:sz w:val="24"/>
                <w:szCs w:val="32"/>
              </w:rPr>
            </w:pPr>
            <w:r>
              <w:rPr>
                <w:rFonts w:hint="default" w:ascii="Times New Roman" w:hAnsi="Times New Roman" w:cs="Times New Roman"/>
                <w:sz w:val="24"/>
                <w:szCs w:val="32"/>
              </w:rPr>
              <w:t>V</w:t>
            </w:r>
            <w:r>
              <w:rPr>
                <w:rFonts w:hint="default" w:ascii="Times New Roman" w:hAnsi="Times New Roman" w:cs="Times New Roman"/>
                <w:sz w:val="24"/>
                <w:szCs w:val="32"/>
                <w:vertAlign w:val="subscript"/>
              </w:rPr>
              <w:t>2</w:t>
            </w:r>
            <w:r>
              <w:rPr>
                <w:rFonts w:hint="default" w:ascii="Times New Roman" w:hAnsi="Times New Roman" w:cs="Times New Roman"/>
                <w:sz w:val="24"/>
                <w:szCs w:val="32"/>
              </w:rPr>
              <w:t>—发生事故的储罐或装置的消防水量，m</w:t>
            </w:r>
            <w:r>
              <w:rPr>
                <w:rFonts w:hint="default" w:ascii="Times New Roman" w:hAnsi="Times New Roman" w:cs="Times New Roman"/>
                <w:sz w:val="24"/>
                <w:szCs w:val="32"/>
                <w:vertAlign w:val="superscript"/>
              </w:rPr>
              <w:t>3</w:t>
            </w:r>
            <w:r>
              <w:rPr>
                <w:rFonts w:hint="default" w:ascii="Times New Roman" w:hAnsi="Times New Roman" w:cs="Times New Roman"/>
                <w:sz w:val="24"/>
                <w:szCs w:val="32"/>
              </w:rPr>
              <w:t>；</w:t>
            </w:r>
          </w:p>
          <w:p w14:paraId="7CC98048">
            <w:pPr>
              <w:pStyle w:val="141"/>
              <w:ind w:firstLine="0" w:firstLineChars="0"/>
              <w:jc w:val="center"/>
              <w:rPr>
                <w:rFonts w:hint="default" w:ascii="Times New Roman" w:hAnsi="Times New Roman" w:cs="Times New Roman"/>
                <w:sz w:val="24"/>
                <w:szCs w:val="32"/>
              </w:rPr>
            </w:pPr>
            <w:r>
              <w:rPr>
                <w:rFonts w:hint="default" w:ascii="Times New Roman" w:hAnsi="Times New Roman" w:cs="Times New Roman"/>
                <w:sz w:val="24"/>
                <w:szCs w:val="32"/>
              </w:rPr>
              <w:t>V</w:t>
            </w:r>
            <w:r>
              <w:rPr>
                <w:rFonts w:hint="default" w:ascii="Times New Roman" w:hAnsi="Times New Roman" w:cs="Times New Roman"/>
                <w:sz w:val="24"/>
                <w:szCs w:val="32"/>
                <w:vertAlign w:val="subscript"/>
              </w:rPr>
              <w:t>2</w:t>
            </w:r>
            <w:r>
              <w:rPr>
                <w:rFonts w:hint="default" w:ascii="Times New Roman" w:hAnsi="Times New Roman" w:cs="Times New Roman"/>
                <w:sz w:val="24"/>
                <w:szCs w:val="32"/>
              </w:rPr>
              <w:t>=∑Q</w:t>
            </w:r>
            <w:r>
              <w:rPr>
                <w:rFonts w:hint="default" w:ascii="Times New Roman" w:hAnsi="Times New Roman" w:cs="Times New Roman"/>
                <w:sz w:val="24"/>
                <w:szCs w:val="32"/>
                <w:vertAlign w:val="subscript"/>
              </w:rPr>
              <w:t>消</w:t>
            </w:r>
            <w:r>
              <w:rPr>
                <w:rFonts w:hint="default" w:ascii="Times New Roman" w:hAnsi="Times New Roman" w:cs="Times New Roman"/>
                <w:sz w:val="24"/>
                <w:szCs w:val="32"/>
              </w:rPr>
              <w:t>t</w:t>
            </w:r>
            <w:r>
              <w:rPr>
                <w:rFonts w:hint="default" w:ascii="Times New Roman" w:hAnsi="Times New Roman" w:cs="Times New Roman"/>
                <w:sz w:val="24"/>
                <w:szCs w:val="32"/>
                <w:vertAlign w:val="subscript"/>
              </w:rPr>
              <w:t>消</w:t>
            </w:r>
          </w:p>
          <w:p w14:paraId="594B33E1">
            <w:pPr>
              <w:pStyle w:val="141"/>
              <w:ind w:firstLine="480"/>
              <w:rPr>
                <w:rFonts w:hint="default" w:ascii="Times New Roman" w:hAnsi="Times New Roman" w:cs="Times New Roman"/>
                <w:sz w:val="24"/>
                <w:szCs w:val="32"/>
              </w:rPr>
            </w:pPr>
            <w:r>
              <w:rPr>
                <w:rFonts w:hint="default" w:ascii="Times New Roman" w:hAnsi="Times New Roman" w:cs="Times New Roman"/>
                <w:sz w:val="24"/>
                <w:szCs w:val="32"/>
              </w:rPr>
              <w:t>式中：Q</w:t>
            </w:r>
            <w:r>
              <w:rPr>
                <w:rFonts w:hint="default" w:ascii="Times New Roman" w:hAnsi="Times New Roman" w:cs="Times New Roman"/>
                <w:sz w:val="24"/>
                <w:szCs w:val="32"/>
                <w:vertAlign w:val="subscript"/>
              </w:rPr>
              <w:t>消</w:t>
            </w:r>
            <w:r>
              <w:rPr>
                <w:rFonts w:hint="default" w:ascii="Times New Roman" w:hAnsi="Times New Roman" w:cs="Times New Roman"/>
                <w:sz w:val="24"/>
                <w:szCs w:val="32"/>
              </w:rPr>
              <w:t>—发生事故的储罐或装置的同时适用的消防设施给水量，m</w:t>
            </w:r>
            <w:r>
              <w:rPr>
                <w:rFonts w:hint="default" w:ascii="Times New Roman" w:hAnsi="Times New Roman" w:cs="Times New Roman"/>
                <w:sz w:val="24"/>
                <w:szCs w:val="32"/>
                <w:vertAlign w:val="superscript"/>
              </w:rPr>
              <w:t>3</w:t>
            </w:r>
            <w:r>
              <w:rPr>
                <w:rFonts w:hint="default" w:ascii="Times New Roman" w:hAnsi="Times New Roman" w:cs="Times New Roman"/>
                <w:sz w:val="24"/>
                <w:szCs w:val="32"/>
              </w:rPr>
              <w:t>/h；</w:t>
            </w:r>
          </w:p>
          <w:p w14:paraId="351223F8">
            <w:pPr>
              <w:pStyle w:val="141"/>
              <w:ind w:firstLine="1200" w:firstLineChars="500"/>
              <w:rPr>
                <w:rFonts w:hint="default" w:ascii="Times New Roman" w:hAnsi="Times New Roman" w:cs="Times New Roman"/>
                <w:sz w:val="24"/>
                <w:szCs w:val="32"/>
              </w:rPr>
            </w:pPr>
            <w:r>
              <w:rPr>
                <w:rFonts w:hint="default" w:ascii="Times New Roman" w:hAnsi="Times New Roman" w:cs="Times New Roman"/>
                <w:sz w:val="24"/>
                <w:szCs w:val="32"/>
              </w:rPr>
              <w:t>t</w:t>
            </w:r>
            <w:r>
              <w:rPr>
                <w:rFonts w:hint="default" w:ascii="Times New Roman" w:hAnsi="Times New Roman" w:cs="Times New Roman"/>
                <w:sz w:val="24"/>
                <w:szCs w:val="32"/>
                <w:vertAlign w:val="subscript"/>
              </w:rPr>
              <w:t>消</w:t>
            </w:r>
            <w:r>
              <w:rPr>
                <w:rFonts w:hint="default" w:ascii="Times New Roman" w:hAnsi="Times New Roman" w:cs="Times New Roman"/>
                <w:sz w:val="24"/>
                <w:szCs w:val="32"/>
              </w:rPr>
              <w:t>—消防设施对应的设计消防历时，h；</w:t>
            </w:r>
          </w:p>
          <w:p w14:paraId="13FAA3C8">
            <w:pPr>
              <w:pStyle w:val="141"/>
              <w:ind w:firstLine="1200" w:firstLineChars="500"/>
              <w:rPr>
                <w:rFonts w:hint="default" w:ascii="Times New Roman" w:hAnsi="Times New Roman" w:cs="Times New Roman"/>
                <w:sz w:val="24"/>
                <w:szCs w:val="32"/>
              </w:rPr>
            </w:pPr>
            <w:r>
              <w:rPr>
                <w:rFonts w:hint="default" w:ascii="Times New Roman" w:hAnsi="Times New Roman" w:cs="Times New Roman"/>
                <w:sz w:val="24"/>
                <w:szCs w:val="32"/>
              </w:rPr>
              <w:t>V</w:t>
            </w:r>
            <w:r>
              <w:rPr>
                <w:rFonts w:hint="default" w:ascii="Times New Roman" w:hAnsi="Times New Roman" w:cs="Times New Roman"/>
                <w:sz w:val="24"/>
                <w:szCs w:val="32"/>
                <w:vertAlign w:val="subscript"/>
              </w:rPr>
              <w:t>2</w:t>
            </w:r>
            <w:r>
              <w:rPr>
                <w:rFonts w:hint="default" w:ascii="Times New Roman" w:hAnsi="Times New Roman" w:cs="Times New Roman"/>
                <w:sz w:val="24"/>
                <w:szCs w:val="32"/>
              </w:rPr>
              <w:t>—发生事故的储罐或装置的消防水量，</w:t>
            </w:r>
          </w:p>
          <w:p w14:paraId="1169FC76">
            <w:pPr>
              <w:pStyle w:val="141"/>
              <w:ind w:firstLine="480"/>
              <w:rPr>
                <w:rFonts w:hint="default" w:ascii="Times New Roman" w:hAnsi="Times New Roman" w:cs="Times New Roman"/>
                <w:sz w:val="24"/>
                <w:szCs w:val="32"/>
              </w:rPr>
            </w:pPr>
            <w:r>
              <w:rPr>
                <w:rFonts w:hint="default" w:ascii="Times New Roman" w:hAnsi="Times New Roman" w:cs="Times New Roman"/>
                <w:sz w:val="24"/>
                <w:szCs w:val="32"/>
              </w:rPr>
              <w:t>根据《精细化工企业工程设计防火标准》（GB51283-2020）“厂房、仓库室内消火栓设计流量和储罐区消防用水应符合《消防给水及消火栓系统技术规范》GB50974规定”，《消防给水及消火栓系统技术规范》GB50974规定“建筑耐火等级均为二级，甲类厂房15L/s、乙类罐区15L/s”，本项目建筑耐火等级均为二级，同时参照《石油化工企业设计防火标准》（GB50160-2018），厂区内消防用水量按照同一时间最大一处火灾用水量确定最大消防水量40L/s，火灾延续时间2h。</w:t>
            </w:r>
          </w:p>
          <w:p w14:paraId="2A06F550">
            <w:pPr>
              <w:pStyle w:val="141"/>
              <w:ind w:firstLine="1200" w:firstLineChars="500"/>
              <w:rPr>
                <w:rFonts w:hint="default" w:ascii="Times New Roman" w:hAnsi="Times New Roman" w:cs="Times New Roman"/>
                <w:sz w:val="24"/>
                <w:szCs w:val="32"/>
              </w:rPr>
            </w:pPr>
            <w:r>
              <w:rPr>
                <w:rFonts w:hint="default" w:ascii="Times New Roman" w:hAnsi="Times New Roman" w:cs="Times New Roman"/>
                <w:sz w:val="24"/>
                <w:szCs w:val="32"/>
              </w:rPr>
              <w:t>V</w:t>
            </w:r>
            <w:r>
              <w:rPr>
                <w:rFonts w:hint="default" w:ascii="Times New Roman" w:hAnsi="Times New Roman" w:cs="Times New Roman"/>
                <w:sz w:val="24"/>
                <w:szCs w:val="32"/>
                <w:vertAlign w:val="subscript"/>
              </w:rPr>
              <w:t>3</w:t>
            </w:r>
            <w:r>
              <w:rPr>
                <w:rFonts w:hint="default" w:ascii="Times New Roman" w:hAnsi="Times New Roman" w:cs="Times New Roman"/>
                <w:sz w:val="24"/>
                <w:szCs w:val="32"/>
              </w:rPr>
              <w:t>—发生事故时可以传输到其他储存或处理设施的物料量，m</w:t>
            </w:r>
            <w:r>
              <w:rPr>
                <w:rFonts w:hint="default" w:ascii="Times New Roman" w:hAnsi="Times New Roman" w:cs="Times New Roman"/>
                <w:sz w:val="24"/>
                <w:szCs w:val="32"/>
                <w:vertAlign w:val="superscript"/>
              </w:rPr>
              <w:t>3</w:t>
            </w:r>
            <w:r>
              <w:rPr>
                <w:rFonts w:hint="default" w:ascii="Times New Roman" w:hAnsi="Times New Roman" w:cs="Times New Roman"/>
                <w:sz w:val="24"/>
                <w:szCs w:val="32"/>
              </w:rPr>
              <w:t>。</w:t>
            </w:r>
          </w:p>
          <w:p w14:paraId="67FDCB9C">
            <w:pPr>
              <w:pStyle w:val="141"/>
              <w:ind w:firstLine="1200" w:firstLineChars="500"/>
              <w:rPr>
                <w:rFonts w:hint="default" w:ascii="Times New Roman" w:hAnsi="Times New Roman" w:cs="Times New Roman"/>
                <w:sz w:val="24"/>
                <w:szCs w:val="32"/>
              </w:rPr>
            </w:pPr>
            <w:r>
              <w:rPr>
                <w:rFonts w:hint="default" w:ascii="Times New Roman" w:hAnsi="Times New Roman" w:cs="Times New Roman"/>
                <w:sz w:val="24"/>
                <w:szCs w:val="32"/>
              </w:rPr>
              <w:t>V</w:t>
            </w:r>
            <w:r>
              <w:rPr>
                <w:rFonts w:hint="default" w:ascii="Times New Roman" w:hAnsi="Times New Roman" w:cs="Times New Roman"/>
                <w:sz w:val="24"/>
                <w:szCs w:val="32"/>
                <w:vertAlign w:val="subscript"/>
              </w:rPr>
              <w:t>4</w:t>
            </w:r>
            <w:r>
              <w:rPr>
                <w:rFonts w:hint="default" w:ascii="Times New Roman" w:hAnsi="Times New Roman" w:cs="Times New Roman"/>
                <w:sz w:val="24"/>
                <w:szCs w:val="32"/>
              </w:rPr>
              <w:t>—发生事故时仍必须进入该收集系统的生产废水量，m</w:t>
            </w:r>
            <w:r>
              <w:rPr>
                <w:rFonts w:hint="default" w:ascii="Times New Roman" w:hAnsi="Times New Roman" w:cs="Times New Roman"/>
                <w:sz w:val="24"/>
                <w:szCs w:val="32"/>
                <w:vertAlign w:val="superscript"/>
              </w:rPr>
              <w:t>3</w:t>
            </w:r>
            <w:r>
              <w:rPr>
                <w:rFonts w:hint="default" w:ascii="Times New Roman" w:hAnsi="Times New Roman" w:cs="Times New Roman"/>
                <w:sz w:val="24"/>
                <w:szCs w:val="32"/>
              </w:rPr>
              <w:t>；</w:t>
            </w:r>
          </w:p>
          <w:p w14:paraId="0E791FCD">
            <w:pPr>
              <w:pStyle w:val="141"/>
              <w:ind w:firstLine="1200" w:firstLineChars="500"/>
              <w:rPr>
                <w:rFonts w:hint="default" w:ascii="Times New Roman" w:hAnsi="Times New Roman" w:cs="Times New Roman"/>
                <w:sz w:val="24"/>
                <w:szCs w:val="32"/>
              </w:rPr>
            </w:pPr>
            <w:r>
              <w:rPr>
                <w:rFonts w:hint="default" w:ascii="Times New Roman" w:hAnsi="Times New Roman" w:cs="Times New Roman"/>
                <w:sz w:val="24"/>
                <w:szCs w:val="32"/>
              </w:rPr>
              <w:t>V</w:t>
            </w:r>
            <w:r>
              <w:rPr>
                <w:rFonts w:hint="default" w:ascii="Times New Roman" w:hAnsi="Times New Roman" w:cs="Times New Roman"/>
                <w:sz w:val="24"/>
                <w:szCs w:val="32"/>
                <w:vertAlign w:val="subscript"/>
              </w:rPr>
              <w:t>5</w:t>
            </w:r>
            <w:r>
              <w:rPr>
                <w:rFonts w:hint="default" w:ascii="Times New Roman" w:hAnsi="Times New Roman" w:cs="Times New Roman"/>
                <w:sz w:val="24"/>
                <w:szCs w:val="32"/>
              </w:rPr>
              <w:t>—发生事故时可能进入该收集系统的降雨量，m</w:t>
            </w:r>
            <w:r>
              <w:rPr>
                <w:rFonts w:hint="default" w:ascii="Times New Roman" w:hAnsi="Times New Roman" w:cs="Times New Roman"/>
                <w:sz w:val="24"/>
                <w:szCs w:val="32"/>
                <w:vertAlign w:val="superscript"/>
              </w:rPr>
              <w:t>3</w:t>
            </w:r>
            <w:r>
              <w:rPr>
                <w:rFonts w:hint="default" w:ascii="Times New Roman" w:hAnsi="Times New Roman" w:cs="Times New Roman"/>
                <w:sz w:val="24"/>
                <w:szCs w:val="32"/>
              </w:rPr>
              <w:t>；</w:t>
            </w:r>
          </w:p>
          <w:p w14:paraId="57C5C62D">
            <w:pPr>
              <w:pStyle w:val="141"/>
              <w:ind w:firstLine="0" w:firstLineChars="0"/>
              <w:jc w:val="center"/>
              <w:rPr>
                <w:rFonts w:hint="default" w:ascii="Times New Roman" w:hAnsi="Times New Roman" w:cs="Times New Roman"/>
                <w:sz w:val="24"/>
                <w:szCs w:val="32"/>
              </w:rPr>
            </w:pPr>
            <w:r>
              <w:rPr>
                <w:rFonts w:hint="default" w:ascii="Times New Roman" w:hAnsi="Times New Roman" w:cs="Times New Roman"/>
                <w:sz w:val="24"/>
                <w:szCs w:val="32"/>
              </w:rPr>
              <w:t>V</w:t>
            </w:r>
            <w:r>
              <w:rPr>
                <w:rFonts w:hint="default" w:ascii="Times New Roman" w:hAnsi="Times New Roman" w:cs="Times New Roman"/>
                <w:sz w:val="24"/>
                <w:szCs w:val="32"/>
                <w:vertAlign w:val="subscript"/>
              </w:rPr>
              <w:t>5</w:t>
            </w:r>
            <w:r>
              <w:rPr>
                <w:rFonts w:hint="default" w:ascii="Times New Roman" w:hAnsi="Times New Roman" w:cs="Times New Roman"/>
                <w:sz w:val="24"/>
                <w:szCs w:val="32"/>
              </w:rPr>
              <w:t>=10qF</w:t>
            </w:r>
          </w:p>
          <w:p w14:paraId="595089DB">
            <w:pPr>
              <w:pStyle w:val="141"/>
              <w:ind w:firstLine="480"/>
              <w:rPr>
                <w:rFonts w:hint="default" w:ascii="Times New Roman" w:hAnsi="Times New Roman" w:cs="Times New Roman"/>
                <w:sz w:val="24"/>
                <w:szCs w:val="32"/>
              </w:rPr>
            </w:pPr>
            <w:r>
              <w:rPr>
                <w:rFonts w:hint="default" w:ascii="Times New Roman" w:hAnsi="Times New Roman" w:cs="Times New Roman"/>
                <w:sz w:val="24"/>
                <w:szCs w:val="32"/>
              </w:rPr>
              <w:t>式中：q—降雨强度，mm，平均日降雨量按480mm；</w:t>
            </w:r>
          </w:p>
          <w:p w14:paraId="01C58AC7">
            <w:pPr>
              <w:pStyle w:val="141"/>
              <w:ind w:firstLine="1200" w:firstLineChars="500"/>
              <w:rPr>
                <w:rFonts w:hint="default" w:ascii="Times New Roman" w:hAnsi="Times New Roman" w:cs="Times New Roman"/>
                <w:sz w:val="24"/>
                <w:szCs w:val="32"/>
              </w:rPr>
            </w:pPr>
            <w:r>
              <w:rPr>
                <w:rFonts w:hint="default" w:ascii="Times New Roman" w:hAnsi="Times New Roman" w:cs="Times New Roman"/>
                <w:sz w:val="24"/>
                <w:szCs w:val="32"/>
              </w:rPr>
              <w:t>F—必须进入事故废水收集系统的雨水汇水面积，1.65ha；</w:t>
            </w:r>
          </w:p>
          <w:p w14:paraId="12699D35">
            <w:pPr>
              <w:pStyle w:val="141"/>
              <w:ind w:firstLine="0" w:firstLineChars="0"/>
              <w:jc w:val="center"/>
              <w:rPr>
                <w:rFonts w:hint="default" w:ascii="Times New Roman" w:hAnsi="Times New Roman" w:cs="Times New Roman"/>
                <w:sz w:val="24"/>
                <w:szCs w:val="32"/>
              </w:rPr>
            </w:pPr>
            <w:r>
              <w:rPr>
                <w:rFonts w:hint="default" w:ascii="Times New Roman" w:hAnsi="Times New Roman" w:cs="Times New Roman"/>
                <w:sz w:val="24"/>
                <w:szCs w:val="32"/>
              </w:rPr>
              <w:t>q=q</w:t>
            </w:r>
            <w:r>
              <w:rPr>
                <w:rFonts w:hint="default" w:ascii="Times New Roman" w:hAnsi="Times New Roman" w:cs="Times New Roman"/>
                <w:sz w:val="24"/>
                <w:szCs w:val="32"/>
                <w:vertAlign w:val="subscript"/>
              </w:rPr>
              <w:t>a</w:t>
            </w:r>
            <w:r>
              <w:rPr>
                <w:rFonts w:hint="default" w:ascii="Times New Roman" w:hAnsi="Times New Roman" w:cs="Times New Roman"/>
                <w:sz w:val="24"/>
                <w:szCs w:val="32"/>
              </w:rPr>
              <w:t>/n</w:t>
            </w:r>
          </w:p>
          <w:p w14:paraId="78C0B479">
            <w:pPr>
              <w:pStyle w:val="141"/>
              <w:ind w:firstLine="480"/>
              <w:rPr>
                <w:rFonts w:hint="default" w:ascii="Times New Roman" w:hAnsi="Times New Roman" w:cs="Times New Roman"/>
                <w:sz w:val="24"/>
                <w:szCs w:val="32"/>
              </w:rPr>
            </w:pPr>
            <w:r>
              <w:rPr>
                <w:rFonts w:hint="default" w:ascii="Times New Roman" w:hAnsi="Times New Roman" w:cs="Times New Roman"/>
                <w:sz w:val="24"/>
                <w:szCs w:val="32"/>
              </w:rPr>
              <w:t>式中：q</w:t>
            </w:r>
            <w:r>
              <w:rPr>
                <w:rFonts w:hint="default" w:ascii="Times New Roman" w:hAnsi="Times New Roman" w:cs="Times New Roman"/>
                <w:sz w:val="24"/>
                <w:szCs w:val="32"/>
                <w:vertAlign w:val="subscript"/>
              </w:rPr>
              <w:t>a</w:t>
            </w:r>
            <w:r>
              <w:rPr>
                <w:rFonts w:hint="default" w:ascii="Times New Roman" w:hAnsi="Times New Roman" w:cs="Times New Roman"/>
                <w:sz w:val="24"/>
                <w:szCs w:val="32"/>
              </w:rPr>
              <w:t>—年平均降雨量，q=480/60=8mm；</w:t>
            </w:r>
          </w:p>
          <w:p w14:paraId="13D87BF9">
            <w:pPr>
              <w:pStyle w:val="141"/>
              <w:ind w:firstLine="1200" w:firstLineChars="500"/>
              <w:rPr>
                <w:rFonts w:hint="default" w:ascii="Times New Roman" w:hAnsi="Times New Roman" w:cs="Times New Roman"/>
                <w:sz w:val="24"/>
                <w:szCs w:val="32"/>
              </w:rPr>
            </w:pPr>
            <w:r>
              <w:rPr>
                <w:rFonts w:hint="default" w:ascii="Times New Roman" w:hAnsi="Times New Roman" w:cs="Times New Roman"/>
                <w:sz w:val="24"/>
                <w:szCs w:val="32"/>
              </w:rPr>
              <w:t>n---年平均降雨日数，60d；</w:t>
            </w:r>
          </w:p>
          <w:p w14:paraId="7318B63A">
            <w:pPr>
              <w:pStyle w:val="141"/>
              <w:ind w:firstLine="1200" w:firstLineChars="500"/>
              <w:jc w:val="center"/>
              <w:rPr>
                <w:rFonts w:hint="default" w:ascii="Times New Roman" w:hAnsi="Times New Roman" w:cs="Times New Roman"/>
                <w:sz w:val="24"/>
                <w:szCs w:val="32"/>
              </w:rPr>
            </w:pPr>
            <w:r>
              <w:rPr>
                <w:rFonts w:hint="default" w:ascii="Times New Roman" w:hAnsi="Times New Roman" w:cs="Times New Roman"/>
                <w:sz w:val="24"/>
                <w:szCs w:val="32"/>
              </w:rPr>
              <w:t>V</w:t>
            </w:r>
            <w:r>
              <w:rPr>
                <w:rFonts w:hint="default" w:ascii="Times New Roman" w:hAnsi="Times New Roman" w:cs="Times New Roman"/>
                <w:sz w:val="24"/>
                <w:szCs w:val="32"/>
                <w:vertAlign w:val="subscript"/>
              </w:rPr>
              <w:t>5</w:t>
            </w:r>
            <w:r>
              <w:rPr>
                <w:rFonts w:hint="default" w:ascii="Times New Roman" w:hAnsi="Times New Roman" w:cs="Times New Roman"/>
                <w:sz w:val="24"/>
                <w:szCs w:val="32"/>
              </w:rPr>
              <w:t>=10qF=10×8×1.65=132m</w:t>
            </w:r>
            <w:r>
              <w:rPr>
                <w:rFonts w:hint="default" w:ascii="Times New Roman" w:hAnsi="Times New Roman" w:cs="Times New Roman"/>
                <w:sz w:val="24"/>
                <w:szCs w:val="32"/>
                <w:vertAlign w:val="superscript"/>
              </w:rPr>
              <w:t>3</w:t>
            </w:r>
            <w:r>
              <w:rPr>
                <w:rFonts w:hint="default" w:ascii="Times New Roman" w:hAnsi="Times New Roman" w:cs="Times New Roman"/>
                <w:sz w:val="24"/>
                <w:szCs w:val="32"/>
              </w:rPr>
              <w:t>。</w:t>
            </w:r>
          </w:p>
          <w:p w14:paraId="1613C6CF">
            <w:pPr>
              <w:pStyle w:val="141"/>
              <w:ind w:firstLine="480"/>
              <w:rPr>
                <w:rFonts w:hint="default" w:ascii="Times New Roman" w:hAnsi="Times New Roman" w:cs="Times New Roman"/>
                <w:sz w:val="24"/>
                <w:szCs w:val="32"/>
              </w:rPr>
            </w:pPr>
            <w:r>
              <w:rPr>
                <w:rFonts w:hint="default" w:ascii="Times New Roman" w:hAnsi="Times New Roman" w:cs="Times New Roman"/>
                <w:sz w:val="24"/>
                <w:szCs w:val="32"/>
              </w:rPr>
              <w:t>通过明沟将本项目事故状态下产生的消防废水、泄漏物料等无动力自流进入事故池中，待事故后，排入厂区内污水处理站进行相应处理。</w:t>
            </w:r>
          </w:p>
          <w:p w14:paraId="0FBEB0DE">
            <w:pPr>
              <w:pStyle w:val="141"/>
              <w:ind w:firstLine="480"/>
              <w:rPr>
                <w:rFonts w:hint="default" w:ascii="Times New Roman" w:hAnsi="Times New Roman" w:cs="Times New Roman"/>
                <w:sz w:val="24"/>
                <w:szCs w:val="32"/>
              </w:rPr>
            </w:pPr>
            <w:r>
              <w:rPr>
                <w:rFonts w:hint="default" w:ascii="Times New Roman" w:hAnsi="Times New Roman" w:cs="Times New Roman"/>
                <w:sz w:val="24"/>
                <w:szCs w:val="32"/>
              </w:rPr>
              <w:t>事故池容积计算见表4-</w:t>
            </w:r>
            <w:r>
              <w:rPr>
                <w:rFonts w:hint="eastAsia" w:cs="Times New Roman"/>
                <w:sz w:val="24"/>
                <w:szCs w:val="32"/>
                <w:lang w:val="en-US" w:eastAsia="zh-CN"/>
              </w:rPr>
              <w:t>41</w:t>
            </w:r>
            <w:r>
              <w:rPr>
                <w:rFonts w:hint="default" w:ascii="Times New Roman" w:hAnsi="Times New Roman" w:cs="Times New Roman"/>
                <w:sz w:val="24"/>
                <w:szCs w:val="32"/>
              </w:rPr>
              <w:t>。</w:t>
            </w:r>
          </w:p>
          <w:p w14:paraId="2193FAEF">
            <w:pPr>
              <w:pStyle w:val="142"/>
              <w:rPr>
                <w:rFonts w:hint="default" w:ascii="Times New Roman" w:hAnsi="Times New Roman" w:cs="Times New Roman"/>
              </w:rPr>
            </w:pPr>
            <w:r>
              <w:rPr>
                <w:rFonts w:hint="default" w:ascii="Times New Roman" w:hAnsi="Times New Roman" w:cs="Times New Roman"/>
              </w:rPr>
              <w:t>表4-</w:t>
            </w:r>
            <w:r>
              <w:rPr>
                <w:rFonts w:hint="eastAsia" w:cs="Times New Roman"/>
                <w:lang w:val="en-US" w:eastAsia="zh-CN"/>
              </w:rPr>
              <w:t>41</w:t>
            </w:r>
            <w:r>
              <w:rPr>
                <w:rFonts w:hint="default" w:ascii="Times New Roman" w:hAnsi="Times New Roman" w:cs="Times New Roman"/>
              </w:rPr>
              <w:t xml:space="preserve">  事故池容积计算</w:t>
            </w:r>
          </w:p>
          <w:tbl>
            <w:tblPr>
              <w:tblStyle w:val="34"/>
              <w:tblW w:w="5000" w:type="pct"/>
              <w:tblInd w:w="0" w:type="dxa"/>
              <w:tblBorders>
                <w:top w:val="double" w:color="000000" w:sz="4" w:space="0"/>
                <w:left w:val="none" w:color="auto" w:sz="0" w:space="0"/>
                <w:bottom w:val="double" w:color="000000" w:sz="4"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
            <w:tblGrid>
              <w:gridCol w:w="683"/>
              <w:gridCol w:w="2516"/>
              <w:gridCol w:w="3680"/>
              <w:gridCol w:w="1595"/>
            </w:tblGrid>
            <w:tr w14:paraId="73C4F425">
              <w:tblPrEx>
                <w:tblBorders>
                  <w:top w:val="double" w:color="000000" w:sz="4" w:space="0"/>
                  <w:left w:val="none" w:color="auto" w:sz="0" w:space="0"/>
                  <w:bottom w:val="doub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c>
                <w:tcPr>
                  <w:tcW w:w="403" w:type="pct"/>
                  <w:tcBorders>
                    <w:tl2br w:val="nil"/>
                    <w:tr2bl w:val="nil"/>
                  </w:tcBorders>
                  <w:vAlign w:val="center"/>
                </w:tcPr>
                <w:p w14:paraId="450E64D6">
                  <w:pPr>
                    <w:pStyle w:val="143"/>
                    <w:rPr>
                      <w:rFonts w:hint="default" w:ascii="Times New Roman" w:hAnsi="Times New Roman" w:cs="Times New Roman"/>
                    </w:rPr>
                  </w:pPr>
                  <w:r>
                    <w:rPr>
                      <w:rFonts w:hint="default" w:ascii="Times New Roman" w:hAnsi="Times New Roman" w:cs="Times New Roman"/>
                    </w:rPr>
                    <w:t>符号</w:t>
                  </w:r>
                </w:p>
              </w:tc>
              <w:tc>
                <w:tcPr>
                  <w:tcW w:w="1484" w:type="pct"/>
                  <w:tcBorders>
                    <w:tl2br w:val="nil"/>
                    <w:tr2bl w:val="nil"/>
                  </w:tcBorders>
                  <w:vAlign w:val="center"/>
                </w:tcPr>
                <w:p w14:paraId="543F408E">
                  <w:pPr>
                    <w:pStyle w:val="143"/>
                    <w:rPr>
                      <w:rFonts w:hint="default" w:ascii="Times New Roman" w:hAnsi="Times New Roman" w:cs="Times New Roman"/>
                    </w:rPr>
                  </w:pPr>
                  <w:r>
                    <w:rPr>
                      <w:rFonts w:hint="default" w:ascii="Times New Roman" w:hAnsi="Times New Roman" w:cs="Times New Roman"/>
                    </w:rPr>
                    <w:t>意义</w:t>
                  </w:r>
                </w:p>
              </w:tc>
              <w:tc>
                <w:tcPr>
                  <w:tcW w:w="2171" w:type="pct"/>
                  <w:tcBorders>
                    <w:tl2br w:val="nil"/>
                    <w:tr2bl w:val="nil"/>
                  </w:tcBorders>
                  <w:vAlign w:val="center"/>
                </w:tcPr>
                <w:p w14:paraId="199C671F">
                  <w:pPr>
                    <w:pStyle w:val="143"/>
                    <w:rPr>
                      <w:rFonts w:hint="default" w:ascii="Times New Roman" w:hAnsi="Times New Roman" w:cs="Times New Roman"/>
                    </w:rPr>
                  </w:pPr>
                  <w:r>
                    <w:rPr>
                      <w:rFonts w:hint="default" w:ascii="Times New Roman" w:hAnsi="Times New Roman" w:cs="Times New Roman"/>
                    </w:rPr>
                    <w:t>取值依据</w:t>
                  </w:r>
                </w:p>
              </w:tc>
              <w:tc>
                <w:tcPr>
                  <w:tcW w:w="941" w:type="pct"/>
                  <w:tcBorders>
                    <w:tl2br w:val="nil"/>
                    <w:tr2bl w:val="nil"/>
                  </w:tcBorders>
                  <w:vAlign w:val="center"/>
                </w:tcPr>
                <w:p w14:paraId="202CDA71">
                  <w:pPr>
                    <w:pStyle w:val="143"/>
                    <w:rPr>
                      <w:rFonts w:hint="default" w:ascii="Times New Roman" w:hAnsi="Times New Roman" w:cs="Times New Roman"/>
                    </w:rPr>
                  </w:pPr>
                  <w:r>
                    <w:rPr>
                      <w:rFonts w:hint="default" w:ascii="Times New Roman" w:hAnsi="Times New Roman" w:cs="Times New Roman"/>
                    </w:rPr>
                    <w:t>计算结果（m</w:t>
                  </w:r>
                  <w:r>
                    <w:rPr>
                      <w:rFonts w:hint="default" w:ascii="Times New Roman" w:hAnsi="Times New Roman" w:cs="Times New Roman"/>
                      <w:vertAlign w:val="superscript"/>
                    </w:rPr>
                    <w:t>3</w:t>
                  </w:r>
                  <w:r>
                    <w:rPr>
                      <w:rFonts w:hint="default" w:ascii="Times New Roman" w:hAnsi="Times New Roman" w:cs="Times New Roman"/>
                    </w:rPr>
                    <w:t>）</w:t>
                  </w:r>
                </w:p>
              </w:tc>
            </w:tr>
            <w:tr w14:paraId="29FC2481">
              <w:tblPrEx>
                <w:tblBorders>
                  <w:top w:val="double" w:color="000000" w:sz="4" w:space="0"/>
                  <w:left w:val="none" w:color="auto" w:sz="0" w:space="0"/>
                  <w:bottom w:val="doub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c>
                <w:tcPr>
                  <w:tcW w:w="403" w:type="pct"/>
                  <w:tcBorders>
                    <w:tl2br w:val="nil"/>
                    <w:tr2bl w:val="nil"/>
                  </w:tcBorders>
                  <w:vAlign w:val="center"/>
                </w:tcPr>
                <w:p w14:paraId="65D71A23">
                  <w:pPr>
                    <w:pStyle w:val="143"/>
                    <w:rPr>
                      <w:rFonts w:hint="default" w:ascii="Times New Roman" w:hAnsi="Times New Roman" w:cs="Times New Roman"/>
                    </w:rPr>
                  </w:pPr>
                  <w:r>
                    <w:rPr>
                      <w:rFonts w:hint="default" w:ascii="Times New Roman" w:hAnsi="Times New Roman" w:cs="Times New Roman"/>
                    </w:rPr>
                    <w:t>V1</w:t>
                  </w:r>
                </w:p>
              </w:tc>
              <w:tc>
                <w:tcPr>
                  <w:tcW w:w="1484" w:type="pct"/>
                  <w:tcBorders>
                    <w:tl2br w:val="nil"/>
                    <w:tr2bl w:val="nil"/>
                  </w:tcBorders>
                  <w:vAlign w:val="center"/>
                </w:tcPr>
                <w:p w14:paraId="0812A3BC">
                  <w:pPr>
                    <w:pStyle w:val="143"/>
                    <w:rPr>
                      <w:rFonts w:hint="default" w:ascii="Times New Roman" w:hAnsi="Times New Roman" w:cs="Times New Roman"/>
                    </w:rPr>
                  </w:pPr>
                  <w:r>
                    <w:rPr>
                      <w:rFonts w:hint="default" w:ascii="Times New Roman" w:hAnsi="Times New Roman" w:cs="Times New Roman"/>
                    </w:rPr>
                    <w:t>收集系统范围内发生事故的一个罐组物料量</w:t>
                  </w:r>
                </w:p>
              </w:tc>
              <w:tc>
                <w:tcPr>
                  <w:tcW w:w="2171" w:type="pct"/>
                  <w:tcBorders>
                    <w:tl2br w:val="nil"/>
                    <w:tr2bl w:val="nil"/>
                  </w:tcBorders>
                  <w:vAlign w:val="center"/>
                </w:tcPr>
                <w:p w14:paraId="4E200FCE">
                  <w:pPr>
                    <w:pStyle w:val="143"/>
                    <w:rPr>
                      <w:rFonts w:hint="default" w:ascii="Times New Roman" w:hAnsi="Times New Roman" w:cs="Times New Roman"/>
                    </w:rPr>
                  </w:pPr>
                  <w:r>
                    <w:rPr>
                      <w:rFonts w:hint="default" w:ascii="Times New Roman" w:hAnsi="Times New Roman" w:cs="Times New Roman"/>
                    </w:rPr>
                    <w:t>本项目</w:t>
                  </w:r>
                  <w:r>
                    <w:rPr>
                      <w:rFonts w:hint="default" w:ascii="Times New Roman" w:hAnsi="Times New Roman" w:cs="Times New Roman"/>
                      <w:lang w:eastAsia="zh-CN"/>
                    </w:rPr>
                    <w:t>危废贮存点</w:t>
                  </w:r>
                  <w:r>
                    <w:rPr>
                      <w:rFonts w:hint="default" w:ascii="Times New Roman" w:hAnsi="Times New Roman" w:cs="Times New Roman"/>
                    </w:rPr>
                    <w:t>废蓄电池泄漏时硫酸液的最大存量为8t；废矿物油最大存量为11.775t。</w:t>
                  </w:r>
                </w:p>
              </w:tc>
              <w:tc>
                <w:tcPr>
                  <w:tcW w:w="941" w:type="pct"/>
                  <w:tcBorders>
                    <w:tl2br w:val="nil"/>
                    <w:tr2bl w:val="nil"/>
                  </w:tcBorders>
                  <w:vAlign w:val="center"/>
                </w:tcPr>
                <w:p w14:paraId="3F0B27A1">
                  <w:pPr>
                    <w:pStyle w:val="143"/>
                    <w:rPr>
                      <w:rFonts w:hint="default" w:ascii="Times New Roman" w:hAnsi="Times New Roman" w:cs="Times New Roman"/>
                    </w:rPr>
                  </w:pPr>
                  <w:r>
                    <w:rPr>
                      <w:rFonts w:hint="default" w:ascii="Times New Roman" w:hAnsi="Times New Roman" w:cs="Times New Roman"/>
                    </w:rPr>
                    <w:t>19.805</w:t>
                  </w:r>
                </w:p>
              </w:tc>
            </w:tr>
            <w:tr w14:paraId="7DE753CC">
              <w:tblPrEx>
                <w:tblBorders>
                  <w:top w:val="double" w:color="000000" w:sz="4" w:space="0"/>
                  <w:left w:val="none" w:color="auto" w:sz="0" w:space="0"/>
                  <w:bottom w:val="doub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90" w:hRule="atLeast"/>
              </w:trPr>
              <w:tc>
                <w:tcPr>
                  <w:tcW w:w="403" w:type="pct"/>
                  <w:tcBorders>
                    <w:tl2br w:val="nil"/>
                    <w:tr2bl w:val="nil"/>
                  </w:tcBorders>
                  <w:vAlign w:val="center"/>
                </w:tcPr>
                <w:p w14:paraId="49113A9C">
                  <w:pPr>
                    <w:pStyle w:val="143"/>
                    <w:rPr>
                      <w:rFonts w:hint="default" w:ascii="Times New Roman" w:hAnsi="Times New Roman" w:cs="Times New Roman"/>
                    </w:rPr>
                  </w:pPr>
                  <w:r>
                    <w:rPr>
                      <w:rFonts w:hint="default" w:ascii="Times New Roman" w:hAnsi="Times New Roman" w:cs="Times New Roman"/>
                    </w:rPr>
                    <w:t>V2</w:t>
                  </w:r>
                </w:p>
              </w:tc>
              <w:tc>
                <w:tcPr>
                  <w:tcW w:w="1484" w:type="pct"/>
                  <w:tcBorders>
                    <w:tl2br w:val="nil"/>
                    <w:tr2bl w:val="nil"/>
                  </w:tcBorders>
                  <w:vAlign w:val="center"/>
                </w:tcPr>
                <w:p w14:paraId="35025308">
                  <w:pPr>
                    <w:pStyle w:val="143"/>
                    <w:rPr>
                      <w:rFonts w:hint="default" w:ascii="Times New Roman" w:hAnsi="Times New Roman" w:cs="Times New Roman"/>
                    </w:rPr>
                  </w:pPr>
                  <w:r>
                    <w:rPr>
                      <w:rFonts w:hint="default" w:ascii="Times New Roman" w:hAnsi="Times New Roman" w:cs="Times New Roman"/>
                    </w:rPr>
                    <w:t>发生事故的储罐、装置或铁路、汽车装卸区的消防水量</w:t>
                  </w:r>
                </w:p>
              </w:tc>
              <w:tc>
                <w:tcPr>
                  <w:tcW w:w="2171" w:type="pct"/>
                  <w:tcBorders>
                    <w:tl2br w:val="nil"/>
                    <w:tr2bl w:val="nil"/>
                  </w:tcBorders>
                  <w:vAlign w:val="center"/>
                </w:tcPr>
                <w:p w14:paraId="35382403">
                  <w:pPr>
                    <w:pStyle w:val="143"/>
                    <w:rPr>
                      <w:rFonts w:hint="default" w:ascii="Times New Roman" w:hAnsi="Times New Roman" w:cs="Times New Roman"/>
                    </w:rPr>
                  </w:pPr>
                  <w:r>
                    <w:rPr>
                      <w:rFonts w:hint="default" w:ascii="Times New Roman" w:hAnsi="Times New Roman" w:cs="Times New Roman"/>
                    </w:rPr>
                    <w:t>最大消防水量及水幕40L/s，火灾延续时间2h，计算得出一次消防水量最大为80m</w:t>
                  </w:r>
                  <w:r>
                    <w:rPr>
                      <w:rFonts w:hint="default" w:ascii="Times New Roman" w:hAnsi="Times New Roman" w:cs="Times New Roman"/>
                      <w:vertAlign w:val="superscript"/>
                    </w:rPr>
                    <w:t>3</w:t>
                  </w:r>
                  <w:r>
                    <w:rPr>
                      <w:rFonts w:hint="default" w:ascii="Times New Roman" w:hAnsi="Times New Roman" w:cs="Times New Roman"/>
                    </w:rPr>
                    <w:t>。</w:t>
                  </w:r>
                </w:p>
              </w:tc>
              <w:tc>
                <w:tcPr>
                  <w:tcW w:w="941" w:type="pct"/>
                  <w:tcBorders>
                    <w:tl2br w:val="nil"/>
                    <w:tr2bl w:val="nil"/>
                  </w:tcBorders>
                  <w:vAlign w:val="center"/>
                </w:tcPr>
                <w:p w14:paraId="45CA5338">
                  <w:pPr>
                    <w:pStyle w:val="143"/>
                    <w:rPr>
                      <w:rFonts w:hint="default" w:ascii="Times New Roman" w:hAnsi="Times New Roman" w:cs="Times New Roman"/>
                    </w:rPr>
                  </w:pPr>
                  <w:r>
                    <w:rPr>
                      <w:rFonts w:hint="default" w:ascii="Times New Roman" w:hAnsi="Times New Roman" w:cs="Times New Roman"/>
                    </w:rPr>
                    <w:t>80</w:t>
                  </w:r>
                </w:p>
              </w:tc>
            </w:tr>
            <w:tr w14:paraId="79C6E35E">
              <w:tblPrEx>
                <w:tblBorders>
                  <w:top w:val="double" w:color="000000" w:sz="4" w:space="0"/>
                  <w:left w:val="none" w:color="auto" w:sz="0" w:space="0"/>
                  <w:bottom w:val="doub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c>
                <w:tcPr>
                  <w:tcW w:w="403" w:type="pct"/>
                  <w:tcBorders>
                    <w:tl2br w:val="nil"/>
                    <w:tr2bl w:val="nil"/>
                  </w:tcBorders>
                  <w:vAlign w:val="center"/>
                </w:tcPr>
                <w:p w14:paraId="2E86ABC0">
                  <w:pPr>
                    <w:pStyle w:val="143"/>
                    <w:rPr>
                      <w:rFonts w:hint="default" w:ascii="Times New Roman" w:hAnsi="Times New Roman" w:cs="Times New Roman"/>
                    </w:rPr>
                  </w:pPr>
                  <w:r>
                    <w:rPr>
                      <w:rFonts w:hint="default" w:ascii="Times New Roman" w:hAnsi="Times New Roman" w:cs="Times New Roman"/>
                    </w:rPr>
                    <w:t>V3</w:t>
                  </w:r>
                </w:p>
              </w:tc>
              <w:tc>
                <w:tcPr>
                  <w:tcW w:w="1484" w:type="pct"/>
                  <w:tcBorders>
                    <w:tl2br w:val="nil"/>
                    <w:tr2bl w:val="nil"/>
                  </w:tcBorders>
                  <w:vAlign w:val="center"/>
                </w:tcPr>
                <w:p w14:paraId="7F77BB4A">
                  <w:pPr>
                    <w:pStyle w:val="143"/>
                    <w:rPr>
                      <w:rFonts w:hint="default" w:ascii="Times New Roman" w:hAnsi="Times New Roman" w:cs="Times New Roman"/>
                    </w:rPr>
                  </w:pPr>
                  <w:r>
                    <w:rPr>
                      <w:rFonts w:hint="default" w:ascii="Times New Roman" w:hAnsi="Times New Roman" w:cs="Times New Roman"/>
                    </w:rPr>
                    <w:t>发生事故时可以转输到其他储存或处理设施的物料量</w:t>
                  </w:r>
                </w:p>
              </w:tc>
              <w:tc>
                <w:tcPr>
                  <w:tcW w:w="2171" w:type="pct"/>
                  <w:tcBorders>
                    <w:tl2br w:val="nil"/>
                    <w:tr2bl w:val="nil"/>
                  </w:tcBorders>
                  <w:vAlign w:val="center"/>
                </w:tcPr>
                <w:p w14:paraId="2F58FE38">
                  <w:pPr>
                    <w:pStyle w:val="143"/>
                    <w:rPr>
                      <w:rFonts w:hint="default" w:ascii="Times New Roman" w:hAnsi="Times New Roman" w:cs="Times New Roman"/>
                    </w:rPr>
                  </w:pPr>
                  <w:r>
                    <w:rPr>
                      <w:rFonts w:hint="default" w:ascii="Times New Roman" w:hAnsi="Times New Roman" w:cs="Times New Roman"/>
                    </w:rPr>
                    <w:t>无</w:t>
                  </w:r>
                </w:p>
              </w:tc>
              <w:tc>
                <w:tcPr>
                  <w:tcW w:w="941" w:type="pct"/>
                  <w:tcBorders>
                    <w:tl2br w:val="nil"/>
                    <w:tr2bl w:val="nil"/>
                  </w:tcBorders>
                  <w:vAlign w:val="center"/>
                </w:tcPr>
                <w:p w14:paraId="041D7966">
                  <w:pPr>
                    <w:pStyle w:val="143"/>
                    <w:rPr>
                      <w:rFonts w:hint="default" w:ascii="Times New Roman" w:hAnsi="Times New Roman" w:cs="Times New Roman"/>
                    </w:rPr>
                  </w:pPr>
                  <w:r>
                    <w:rPr>
                      <w:rFonts w:hint="default" w:ascii="Times New Roman" w:hAnsi="Times New Roman" w:cs="Times New Roman"/>
                    </w:rPr>
                    <w:t>0</w:t>
                  </w:r>
                </w:p>
              </w:tc>
            </w:tr>
            <w:tr w14:paraId="76265ACB">
              <w:tblPrEx>
                <w:tblBorders>
                  <w:top w:val="double" w:color="000000" w:sz="4" w:space="0"/>
                  <w:left w:val="none" w:color="auto" w:sz="0" w:space="0"/>
                  <w:bottom w:val="doub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c>
                <w:tcPr>
                  <w:tcW w:w="403" w:type="pct"/>
                  <w:tcBorders>
                    <w:tl2br w:val="nil"/>
                    <w:tr2bl w:val="nil"/>
                  </w:tcBorders>
                  <w:vAlign w:val="center"/>
                </w:tcPr>
                <w:p w14:paraId="5E0D7885">
                  <w:pPr>
                    <w:pStyle w:val="143"/>
                    <w:rPr>
                      <w:rFonts w:hint="default" w:ascii="Times New Roman" w:hAnsi="Times New Roman" w:cs="Times New Roman"/>
                    </w:rPr>
                  </w:pPr>
                  <w:r>
                    <w:rPr>
                      <w:rFonts w:hint="default" w:ascii="Times New Roman" w:hAnsi="Times New Roman" w:cs="Times New Roman"/>
                    </w:rPr>
                    <w:t>V4</w:t>
                  </w:r>
                </w:p>
              </w:tc>
              <w:tc>
                <w:tcPr>
                  <w:tcW w:w="1484" w:type="pct"/>
                  <w:tcBorders>
                    <w:tl2br w:val="nil"/>
                    <w:tr2bl w:val="nil"/>
                  </w:tcBorders>
                  <w:vAlign w:val="center"/>
                </w:tcPr>
                <w:p w14:paraId="45D56B65">
                  <w:pPr>
                    <w:pStyle w:val="143"/>
                    <w:rPr>
                      <w:rFonts w:hint="default" w:ascii="Times New Roman" w:hAnsi="Times New Roman" w:cs="Times New Roman"/>
                    </w:rPr>
                  </w:pPr>
                  <w:r>
                    <w:rPr>
                      <w:rFonts w:hint="default" w:ascii="Times New Roman" w:hAnsi="Times New Roman" w:cs="Times New Roman"/>
                    </w:rPr>
                    <w:t>发生事故时仍必须进入该收集系统的生产废水量</w:t>
                  </w:r>
                </w:p>
              </w:tc>
              <w:tc>
                <w:tcPr>
                  <w:tcW w:w="2171" w:type="pct"/>
                  <w:tcBorders>
                    <w:tl2br w:val="nil"/>
                    <w:tr2bl w:val="nil"/>
                  </w:tcBorders>
                  <w:vAlign w:val="center"/>
                </w:tcPr>
                <w:p w14:paraId="2785DCCE">
                  <w:pPr>
                    <w:pStyle w:val="143"/>
                    <w:rPr>
                      <w:rFonts w:hint="default" w:ascii="Times New Roman" w:hAnsi="Times New Roman" w:cs="Times New Roman"/>
                    </w:rPr>
                  </w:pPr>
                  <w:r>
                    <w:rPr>
                      <w:rFonts w:hint="default" w:ascii="Times New Roman" w:hAnsi="Times New Roman" w:cs="Times New Roman"/>
                    </w:rPr>
                    <w:t>发生事故时，生产废水量取0m</w:t>
                  </w:r>
                  <w:r>
                    <w:rPr>
                      <w:rFonts w:hint="default" w:ascii="Times New Roman" w:hAnsi="Times New Roman" w:cs="Times New Roman"/>
                      <w:vertAlign w:val="superscript"/>
                    </w:rPr>
                    <w:t>3</w:t>
                  </w:r>
                  <w:r>
                    <w:rPr>
                      <w:rFonts w:hint="default" w:ascii="Times New Roman" w:hAnsi="Times New Roman" w:cs="Times New Roman"/>
                    </w:rPr>
                    <w:t>。</w:t>
                  </w:r>
                </w:p>
              </w:tc>
              <w:tc>
                <w:tcPr>
                  <w:tcW w:w="941" w:type="pct"/>
                  <w:tcBorders>
                    <w:tl2br w:val="nil"/>
                    <w:tr2bl w:val="nil"/>
                  </w:tcBorders>
                  <w:vAlign w:val="center"/>
                </w:tcPr>
                <w:p w14:paraId="55749FE1">
                  <w:pPr>
                    <w:pStyle w:val="143"/>
                    <w:rPr>
                      <w:rFonts w:hint="default" w:ascii="Times New Roman" w:hAnsi="Times New Roman" w:cs="Times New Roman"/>
                    </w:rPr>
                  </w:pPr>
                  <w:r>
                    <w:rPr>
                      <w:rFonts w:hint="default" w:ascii="Times New Roman" w:hAnsi="Times New Roman" w:cs="Times New Roman"/>
                    </w:rPr>
                    <w:t>0</w:t>
                  </w:r>
                </w:p>
              </w:tc>
            </w:tr>
            <w:tr w14:paraId="7200F374">
              <w:tblPrEx>
                <w:tblBorders>
                  <w:top w:val="double" w:color="000000" w:sz="4" w:space="0"/>
                  <w:left w:val="none" w:color="auto" w:sz="0" w:space="0"/>
                  <w:bottom w:val="doub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c>
                <w:tcPr>
                  <w:tcW w:w="403" w:type="pct"/>
                  <w:tcBorders>
                    <w:tl2br w:val="nil"/>
                    <w:tr2bl w:val="nil"/>
                  </w:tcBorders>
                  <w:vAlign w:val="center"/>
                </w:tcPr>
                <w:p w14:paraId="387618B4">
                  <w:pPr>
                    <w:pStyle w:val="143"/>
                    <w:rPr>
                      <w:rFonts w:hint="default" w:ascii="Times New Roman" w:hAnsi="Times New Roman" w:cs="Times New Roman"/>
                    </w:rPr>
                  </w:pPr>
                  <w:r>
                    <w:rPr>
                      <w:rFonts w:hint="default" w:ascii="Times New Roman" w:hAnsi="Times New Roman" w:cs="Times New Roman"/>
                    </w:rPr>
                    <w:t>V5</w:t>
                  </w:r>
                </w:p>
              </w:tc>
              <w:tc>
                <w:tcPr>
                  <w:tcW w:w="1484" w:type="pct"/>
                  <w:tcBorders>
                    <w:tl2br w:val="nil"/>
                    <w:tr2bl w:val="nil"/>
                  </w:tcBorders>
                  <w:vAlign w:val="center"/>
                </w:tcPr>
                <w:p w14:paraId="259E8E14">
                  <w:pPr>
                    <w:pStyle w:val="143"/>
                    <w:rPr>
                      <w:rFonts w:hint="default" w:ascii="Times New Roman" w:hAnsi="Times New Roman" w:cs="Times New Roman"/>
                    </w:rPr>
                  </w:pPr>
                  <w:r>
                    <w:rPr>
                      <w:rFonts w:hint="default" w:ascii="Times New Roman" w:hAnsi="Times New Roman" w:cs="Times New Roman"/>
                    </w:rPr>
                    <w:t>发生事故时可能进入该收集系统的降雨量</w:t>
                  </w:r>
                </w:p>
              </w:tc>
              <w:tc>
                <w:tcPr>
                  <w:tcW w:w="2171" w:type="pct"/>
                  <w:tcBorders>
                    <w:tl2br w:val="nil"/>
                    <w:tr2bl w:val="nil"/>
                  </w:tcBorders>
                  <w:vAlign w:val="center"/>
                </w:tcPr>
                <w:p w14:paraId="4EBD6331">
                  <w:pPr>
                    <w:pStyle w:val="143"/>
                    <w:rPr>
                      <w:rFonts w:hint="default" w:ascii="Times New Roman" w:hAnsi="Times New Roman" w:cs="Times New Roman"/>
                    </w:rPr>
                  </w:pPr>
                  <w:r>
                    <w:rPr>
                      <w:rFonts w:hint="default" w:ascii="Times New Roman" w:hAnsi="Times New Roman" w:cs="Times New Roman"/>
                    </w:rPr>
                    <w:t>由于厂区地面均已硬化，厂区汇水面积1.65万平方米。</w:t>
                  </w:r>
                </w:p>
              </w:tc>
              <w:tc>
                <w:tcPr>
                  <w:tcW w:w="941" w:type="pct"/>
                  <w:tcBorders>
                    <w:tl2br w:val="nil"/>
                    <w:tr2bl w:val="nil"/>
                  </w:tcBorders>
                  <w:vAlign w:val="center"/>
                </w:tcPr>
                <w:p w14:paraId="5293250B">
                  <w:pPr>
                    <w:pStyle w:val="143"/>
                    <w:rPr>
                      <w:rFonts w:hint="default" w:ascii="Times New Roman" w:hAnsi="Times New Roman" w:cs="Times New Roman"/>
                    </w:rPr>
                  </w:pPr>
                  <w:r>
                    <w:rPr>
                      <w:rFonts w:hint="default" w:ascii="Times New Roman" w:hAnsi="Times New Roman" w:cs="Times New Roman"/>
                    </w:rPr>
                    <w:t>132</w:t>
                  </w:r>
                </w:p>
              </w:tc>
            </w:tr>
            <w:tr w14:paraId="0002E338">
              <w:tblPrEx>
                <w:tblBorders>
                  <w:top w:val="double" w:color="000000" w:sz="4" w:space="0"/>
                  <w:left w:val="none" w:color="auto" w:sz="0" w:space="0"/>
                  <w:bottom w:val="doub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c>
                <w:tcPr>
                  <w:tcW w:w="403" w:type="pct"/>
                  <w:tcBorders>
                    <w:tl2br w:val="nil"/>
                    <w:tr2bl w:val="nil"/>
                  </w:tcBorders>
                  <w:vAlign w:val="center"/>
                </w:tcPr>
                <w:p w14:paraId="2988AEE4">
                  <w:pPr>
                    <w:pStyle w:val="143"/>
                    <w:rPr>
                      <w:rFonts w:hint="default" w:ascii="Times New Roman" w:hAnsi="Times New Roman" w:cs="Times New Roman"/>
                    </w:rPr>
                  </w:pPr>
                  <w:r>
                    <w:rPr>
                      <w:rFonts w:hint="default" w:ascii="Times New Roman" w:hAnsi="Times New Roman" w:cs="Times New Roman"/>
                    </w:rPr>
                    <w:t>V总</w:t>
                  </w:r>
                </w:p>
              </w:tc>
              <w:tc>
                <w:tcPr>
                  <w:tcW w:w="3655" w:type="pct"/>
                  <w:gridSpan w:val="2"/>
                  <w:tcBorders>
                    <w:tl2br w:val="nil"/>
                    <w:tr2bl w:val="nil"/>
                  </w:tcBorders>
                  <w:vAlign w:val="center"/>
                </w:tcPr>
                <w:p w14:paraId="7BAA1D24">
                  <w:pPr>
                    <w:pStyle w:val="143"/>
                    <w:rPr>
                      <w:rFonts w:hint="default" w:ascii="Times New Roman" w:hAnsi="Times New Roman" w:cs="Times New Roman"/>
                    </w:rPr>
                  </w:pPr>
                  <w:r>
                    <w:rPr>
                      <w:rFonts w:hint="default" w:ascii="Times New Roman" w:hAnsi="Times New Roman" w:cs="Times New Roman"/>
                    </w:rPr>
                    <w:t>V总=（V</w:t>
                  </w:r>
                  <w:r>
                    <w:rPr>
                      <w:rFonts w:hint="default" w:ascii="Times New Roman" w:hAnsi="Times New Roman" w:cs="Times New Roman"/>
                      <w:vertAlign w:val="subscript"/>
                    </w:rPr>
                    <w:t>1</w:t>
                  </w:r>
                  <w:r>
                    <w:rPr>
                      <w:rFonts w:hint="default" w:ascii="Times New Roman" w:hAnsi="Times New Roman" w:cs="Times New Roman"/>
                    </w:rPr>
                    <w:t>+V</w:t>
                  </w:r>
                  <w:r>
                    <w:rPr>
                      <w:rFonts w:hint="default" w:ascii="Times New Roman" w:hAnsi="Times New Roman" w:cs="Times New Roman"/>
                      <w:vertAlign w:val="subscript"/>
                    </w:rPr>
                    <w:t>2</w:t>
                  </w:r>
                  <w:r>
                    <w:rPr>
                      <w:rFonts w:hint="default" w:ascii="Times New Roman" w:hAnsi="Times New Roman" w:cs="Times New Roman"/>
                    </w:rPr>
                    <w:t>-V</w:t>
                  </w:r>
                  <w:r>
                    <w:rPr>
                      <w:rFonts w:hint="default" w:ascii="Times New Roman" w:hAnsi="Times New Roman" w:cs="Times New Roman"/>
                      <w:vertAlign w:val="subscript"/>
                    </w:rPr>
                    <w:t>3</w:t>
                  </w:r>
                  <w:r>
                    <w:rPr>
                      <w:rFonts w:hint="default" w:ascii="Times New Roman" w:hAnsi="Times New Roman" w:cs="Times New Roman"/>
                    </w:rPr>
                    <w:t>）</w:t>
                  </w:r>
                  <w:r>
                    <w:rPr>
                      <w:rFonts w:hint="default" w:ascii="Times New Roman" w:hAnsi="Times New Roman" w:cs="Times New Roman"/>
                      <w:vertAlign w:val="subscript"/>
                    </w:rPr>
                    <w:t>max</w:t>
                  </w:r>
                  <w:r>
                    <w:rPr>
                      <w:rFonts w:hint="default" w:ascii="Times New Roman" w:hAnsi="Times New Roman" w:cs="Times New Roman"/>
                    </w:rPr>
                    <w:t>+V</w:t>
                  </w:r>
                  <w:r>
                    <w:rPr>
                      <w:rFonts w:hint="default" w:ascii="Times New Roman" w:hAnsi="Times New Roman" w:cs="Times New Roman"/>
                      <w:vertAlign w:val="subscript"/>
                    </w:rPr>
                    <w:t>4</w:t>
                  </w:r>
                  <w:r>
                    <w:rPr>
                      <w:rFonts w:hint="default" w:ascii="Times New Roman" w:hAnsi="Times New Roman" w:cs="Times New Roman"/>
                    </w:rPr>
                    <w:t>+V</w:t>
                  </w:r>
                  <w:r>
                    <w:rPr>
                      <w:rFonts w:hint="default" w:ascii="Times New Roman" w:hAnsi="Times New Roman" w:cs="Times New Roman"/>
                      <w:vertAlign w:val="subscript"/>
                    </w:rPr>
                    <w:t>5</w:t>
                  </w:r>
                </w:p>
              </w:tc>
              <w:tc>
                <w:tcPr>
                  <w:tcW w:w="941" w:type="pct"/>
                  <w:tcBorders>
                    <w:tl2br w:val="nil"/>
                    <w:tr2bl w:val="nil"/>
                  </w:tcBorders>
                  <w:vAlign w:val="center"/>
                </w:tcPr>
                <w:p w14:paraId="482CF6BF">
                  <w:pPr>
                    <w:pStyle w:val="143"/>
                    <w:rPr>
                      <w:rFonts w:hint="default" w:ascii="Times New Roman" w:hAnsi="Times New Roman" w:cs="Times New Roman"/>
                    </w:rPr>
                  </w:pPr>
                  <w:r>
                    <w:rPr>
                      <w:rFonts w:hint="default" w:ascii="Times New Roman" w:hAnsi="Times New Roman" w:cs="Times New Roman"/>
                    </w:rPr>
                    <w:t>231.805</w:t>
                  </w:r>
                </w:p>
              </w:tc>
            </w:tr>
            <w:tr w14:paraId="3AE0EE03">
              <w:tblPrEx>
                <w:tblBorders>
                  <w:top w:val="double" w:color="000000" w:sz="4" w:space="0"/>
                  <w:left w:val="none" w:color="auto" w:sz="0" w:space="0"/>
                  <w:bottom w:val="doub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11" w:hRule="atLeast"/>
              </w:trPr>
              <w:tc>
                <w:tcPr>
                  <w:tcW w:w="4058" w:type="pct"/>
                  <w:gridSpan w:val="3"/>
                  <w:tcBorders>
                    <w:tl2br w:val="nil"/>
                    <w:tr2bl w:val="nil"/>
                  </w:tcBorders>
                  <w:vAlign w:val="center"/>
                </w:tcPr>
                <w:p w14:paraId="09D3890E">
                  <w:pPr>
                    <w:pStyle w:val="143"/>
                    <w:rPr>
                      <w:rFonts w:hint="default" w:ascii="Times New Roman" w:hAnsi="Times New Roman" w:cs="Times New Roman"/>
                    </w:rPr>
                  </w:pPr>
                  <w:r>
                    <w:rPr>
                      <w:rFonts w:hint="default" w:ascii="Times New Roman" w:hAnsi="Times New Roman" w:cs="Times New Roman"/>
                    </w:rPr>
                    <w:t>本厂区事故水池总容积</w:t>
                  </w:r>
                </w:p>
              </w:tc>
              <w:tc>
                <w:tcPr>
                  <w:tcW w:w="941" w:type="pct"/>
                  <w:tcBorders>
                    <w:tl2br w:val="nil"/>
                    <w:tr2bl w:val="nil"/>
                  </w:tcBorders>
                  <w:vAlign w:val="center"/>
                </w:tcPr>
                <w:p w14:paraId="133D89EC">
                  <w:pPr>
                    <w:pStyle w:val="143"/>
                    <w:rPr>
                      <w:rFonts w:hint="default" w:ascii="Times New Roman" w:hAnsi="Times New Roman" w:cs="Times New Roman"/>
                    </w:rPr>
                  </w:pPr>
                  <w:r>
                    <w:rPr>
                      <w:rFonts w:hint="default" w:ascii="Times New Roman" w:hAnsi="Times New Roman" w:cs="Times New Roman"/>
                    </w:rPr>
                    <w:t>240</w:t>
                  </w:r>
                </w:p>
              </w:tc>
            </w:tr>
          </w:tbl>
          <w:p w14:paraId="6217AA33">
            <w:pPr>
              <w:spacing w:line="360" w:lineRule="auto"/>
              <w:ind w:firstLine="480" w:firstLineChars="200"/>
              <w:rPr>
                <w:rFonts w:hint="default" w:ascii="Times New Roman" w:hAnsi="Times New Roman" w:cs="Times New Roman"/>
                <w:color w:val="000000"/>
                <w:sz w:val="24"/>
              </w:rPr>
            </w:pPr>
            <w:r>
              <w:rPr>
                <w:rFonts w:hint="default" w:ascii="Times New Roman" w:hAnsi="Times New Roman" w:cs="Times New Roman"/>
                <w:color w:val="000000"/>
                <w:sz w:val="24"/>
              </w:rPr>
              <w:t>综上所述，项目所需事故废水收集池的容积至少为231.805m</w:t>
            </w:r>
            <w:r>
              <w:rPr>
                <w:rFonts w:hint="default" w:ascii="Times New Roman" w:hAnsi="Times New Roman" w:cs="Times New Roman"/>
                <w:color w:val="000000"/>
                <w:sz w:val="24"/>
                <w:vertAlign w:val="superscript"/>
              </w:rPr>
              <w:t>3</w:t>
            </w:r>
            <w:r>
              <w:rPr>
                <w:rFonts w:hint="default" w:ascii="Times New Roman" w:hAnsi="Times New Roman" w:cs="Times New Roman"/>
                <w:color w:val="000000"/>
                <w:sz w:val="24"/>
              </w:rPr>
              <w:t>，需建有效容积不小于240m</w:t>
            </w:r>
            <w:r>
              <w:rPr>
                <w:rFonts w:hint="default" w:ascii="Times New Roman" w:hAnsi="Times New Roman" w:cs="Times New Roman"/>
                <w:color w:val="000000"/>
                <w:sz w:val="24"/>
                <w:vertAlign w:val="superscript"/>
              </w:rPr>
              <w:t>3</w:t>
            </w:r>
            <w:r>
              <w:rPr>
                <w:rFonts w:hint="default" w:ascii="Times New Roman" w:hAnsi="Times New Roman" w:cs="Times New Roman"/>
                <w:color w:val="000000"/>
                <w:sz w:val="24"/>
              </w:rPr>
              <w:t>的事故废水收集池，且在正常生产时应为空的，一旦出现危险物质泄漏或火灾事故，泄漏的物料及消防水全部经明沟排入预留事故废水收集池临时储存，保证事故废水不会进入周围水体，待事故排除后再将暂存的废水</w:t>
            </w:r>
            <w:r>
              <w:rPr>
                <w:rFonts w:hint="default" w:ascii="Times New Roman" w:hAnsi="Times New Roman" w:cs="Times New Roman"/>
                <w:sz w:val="24"/>
                <w:szCs w:val="32"/>
              </w:rPr>
              <w:t>排入厂区内污水处理站进行相应</w:t>
            </w:r>
            <w:r>
              <w:rPr>
                <w:rFonts w:hint="default" w:ascii="Times New Roman" w:hAnsi="Times New Roman" w:cs="Times New Roman"/>
                <w:color w:val="000000"/>
                <w:sz w:val="24"/>
              </w:rPr>
              <w:t>处理达标排放，确保事故废水不会对水环境造成污染。事故废水收集池建设的同时，确保各车间的配套收集管网建设，确保废水收集率100%。</w:t>
            </w:r>
          </w:p>
          <w:p w14:paraId="40E960D0">
            <w:pPr>
              <w:spacing w:line="360" w:lineRule="auto"/>
              <w:ind w:firstLine="480" w:firstLineChars="200"/>
              <w:rPr>
                <w:rFonts w:hint="default" w:ascii="Times New Roman" w:hAnsi="Times New Roman" w:cs="Times New Roman"/>
                <w:color w:val="000000"/>
                <w:sz w:val="24"/>
              </w:rPr>
            </w:pPr>
            <w:r>
              <w:rPr>
                <w:rFonts w:hint="default" w:ascii="Times New Roman" w:hAnsi="Times New Roman" w:cs="Times New Roman"/>
                <w:color w:val="000000"/>
                <w:kern w:val="0"/>
                <w:sz w:val="24"/>
              </w:rPr>
              <w:t>为防止消防废水等从雨水排口直接排出，在排水管网（雨水管网、污水管网）全部设置切断装置，必要时立即切断所有排水管网（雨水管网、污水管网），严防未经处理的事故废水外排。</w:t>
            </w:r>
          </w:p>
          <w:p w14:paraId="5433CFD2">
            <w:pPr>
              <w:spacing w:line="360" w:lineRule="auto"/>
              <w:ind w:firstLine="482" w:firstLineChars="200"/>
              <w:rPr>
                <w:rFonts w:hint="default" w:ascii="Times New Roman" w:hAnsi="Times New Roman" w:cs="Times New Roman"/>
                <w:b/>
                <w:color w:val="000000"/>
                <w:sz w:val="24"/>
              </w:rPr>
            </w:pPr>
            <w:r>
              <w:rPr>
                <w:rFonts w:hint="default" w:ascii="Times New Roman" w:hAnsi="Times New Roman" w:cs="Times New Roman"/>
                <w:b/>
                <w:color w:val="000000"/>
                <w:sz w:val="24"/>
              </w:rPr>
              <w:t>事故废水截断措施;</w:t>
            </w:r>
          </w:p>
          <w:p w14:paraId="62B89755">
            <w:pPr>
              <w:spacing w:line="360" w:lineRule="auto"/>
              <w:ind w:firstLine="480" w:firstLineChars="200"/>
              <w:rPr>
                <w:rFonts w:hint="default" w:ascii="Times New Roman" w:hAnsi="Times New Roman" w:cs="Times New Roman"/>
                <w:bCs/>
                <w:color w:val="000000"/>
                <w:sz w:val="24"/>
              </w:rPr>
            </w:pPr>
            <w:r>
              <w:rPr>
                <w:rFonts w:hint="default" w:ascii="Times New Roman" w:hAnsi="Times New Roman" w:cs="Times New Roman"/>
                <w:bCs/>
                <w:color w:val="000000"/>
                <w:sz w:val="24"/>
              </w:rPr>
              <w:t>①防护墙：在事故水池周围建立高度足够的防护墙，以阻挡事故物质扩散。防护墙应具备足够的抗压能力和密封性能，以防止事故物质渗透。</w:t>
            </w:r>
          </w:p>
          <w:p w14:paraId="5E92953B">
            <w:pPr>
              <w:spacing w:line="360" w:lineRule="auto"/>
              <w:ind w:firstLine="480" w:firstLineChars="200"/>
              <w:rPr>
                <w:rFonts w:hint="default" w:ascii="Times New Roman" w:hAnsi="Times New Roman" w:cs="Times New Roman"/>
                <w:bCs/>
                <w:color w:val="000000"/>
                <w:sz w:val="24"/>
              </w:rPr>
            </w:pPr>
            <w:r>
              <w:rPr>
                <w:rFonts w:hint="default" w:ascii="Times New Roman" w:hAnsi="Times New Roman" w:cs="Times New Roman"/>
                <w:bCs/>
                <w:color w:val="000000"/>
                <w:sz w:val="24"/>
              </w:rPr>
              <w:t>②防护罩：事故水池上方设置防护罩，能够有效阻挡事故物质的溅射和飞散，减少事故对周边环境的污染。</w:t>
            </w:r>
          </w:p>
          <w:p w14:paraId="3873F437">
            <w:pPr>
              <w:spacing w:line="360" w:lineRule="auto"/>
              <w:ind w:firstLine="480" w:firstLineChars="200"/>
              <w:rPr>
                <w:rFonts w:hint="default" w:ascii="Times New Roman" w:hAnsi="Times New Roman" w:cs="Times New Roman"/>
                <w:bCs/>
                <w:color w:val="000000"/>
                <w:sz w:val="24"/>
              </w:rPr>
            </w:pPr>
            <w:r>
              <w:rPr>
                <w:rFonts w:hint="default" w:ascii="Times New Roman" w:hAnsi="Times New Roman" w:cs="Times New Roman"/>
                <w:bCs/>
                <w:color w:val="000000"/>
                <w:sz w:val="24"/>
              </w:rPr>
              <w:t>③阀门和闸门：在事故水池入口和出口设置阀门和闸门，以便在事故发生时能够及时切断物质流动，避免泄漏扩散。</w:t>
            </w:r>
          </w:p>
          <w:p w14:paraId="536CBE84">
            <w:pPr>
              <w:spacing w:line="360" w:lineRule="auto"/>
              <w:ind w:firstLine="482" w:firstLineChars="200"/>
              <w:rPr>
                <w:rFonts w:hint="default" w:ascii="Times New Roman" w:hAnsi="Times New Roman" w:cs="Times New Roman"/>
                <w:b/>
                <w:color w:val="000000"/>
                <w:sz w:val="24"/>
              </w:rPr>
            </w:pPr>
            <w:r>
              <w:rPr>
                <w:rFonts w:hint="default" w:ascii="Times New Roman" w:hAnsi="Times New Roman" w:cs="Times New Roman"/>
                <w:b/>
                <w:color w:val="000000"/>
                <w:sz w:val="24"/>
              </w:rPr>
              <w:t>事故废水收集池可行性分析：</w:t>
            </w:r>
          </w:p>
          <w:p w14:paraId="0DD5B44F">
            <w:pPr>
              <w:spacing w:line="360" w:lineRule="auto"/>
              <w:ind w:firstLine="480" w:firstLineChars="200"/>
              <w:rPr>
                <w:rFonts w:hint="default" w:ascii="Times New Roman" w:hAnsi="Times New Roman" w:cs="Times New Roman"/>
                <w:color w:val="000000"/>
                <w:sz w:val="24"/>
              </w:rPr>
            </w:pPr>
            <w:r>
              <w:rPr>
                <w:rFonts w:hint="default" w:ascii="Times New Roman" w:hAnsi="Times New Roman" w:cs="Times New Roman"/>
                <w:color w:val="000000"/>
                <w:sz w:val="24"/>
              </w:rPr>
              <w:t>经上述核算，项目事故废水量约为231.805m</w:t>
            </w:r>
            <w:r>
              <w:rPr>
                <w:rFonts w:hint="default" w:ascii="Times New Roman" w:hAnsi="Times New Roman" w:cs="Times New Roman"/>
                <w:color w:val="000000"/>
                <w:sz w:val="24"/>
                <w:vertAlign w:val="superscript"/>
              </w:rPr>
              <w:t>3</w:t>
            </w:r>
            <w:r>
              <w:rPr>
                <w:rFonts w:hint="default" w:ascii="Times New Roman" w:hAnsi="Times New Roman" w:cs="Times New Roman"/>
                <w:color w:val="000000"/>
                <w:sz w:val="24"/>
              </w:rPr>
              <w:t>，设置的事故池容积为240m</w:t>
            </w:r>
            <w:r>
              <w:rPr>
                <w:rFonts w:hint="default" w:ascii="Times New Roman" w:hAnsi="Times New Roman" w:cs="Times New Roman"/>
                <w:color w:val="000000"/>
                <w:sz w:val="24"/>
                <w:vertAlign w:val="superscript"/>
              </w:rPr>
              <w:t>3</w:t>
            </w:r>
            <w:r>
              <w:rPr>
                <w:rFonts w:hint="default" w:ascii="Times New Roman" w:hAnsi="Times New Roman" w:cs="Times New Roman"/>
                <w:color w:val="000000"/>
                <w:sz w:val="24"/>
              </w:rPr>
              <w:t>，能够满足本项目的事故废水的暂存要求。同时，事故池设置在厂区地势最低的西侧，在厂区的雨水接入市政雨水管网处和雨水管网连入应急事故池处均设有切断阀，事故状态下，事故废水能够自流进入事故池，故本项目事故池设置的位置合理可行。</w:t>
            </w:r>
          </w:p>
          <w:p w14:paraId="5A72F2D2">
            <w:pPr>
              <w:pStyle w:val="84"/>
              <w:ind w:firstLine="0" w:firstLineChars="0"/>
              <w:rPr>
                <w:rFonts w:hint="default" w:ascii="Times New Roman" w:hAnsi="Times New Roman" w:cs="Times New Roman"/>
                <w:b/>
                <w:color w:val="FF0000"/>
              </w:rPr>
            </w:pPr>
            <w:r>
              <w:rPr>
                <w:rFonts w:hint="default" w:ascii="Times New Roman" w:hAnsi="Times New Roman" w:cs="Times New Roman"/>
                <w:b/>
                <w:color w:val="FF0000"/>
              </w:rPr>
              <w:t>七、环保投资</w:t>
            </w:r>
          </w:p>
          <w:p w14:paraId="06DA3E01">
            <w:pPr>
              <w:pStyle w:val="84"/>
              <w:ind w:firstLine="480"/>
              <w:rPr>
                <w:rFonts w:hint="default" w:ascii="Times New Roman" w:hAnsi="Times New Roman" w:cs="Times New Roman"/>
                <w:b/>
                <w:color w:val="FF0000"/>
              </w:rPr>
            </w:pPr>
            <w:r>
              <w:rPr>
                <w:rFonts w:hint="default" w:ascii="Times New Roman" w:hAnsi="Times New Roman" w:cs="Times New Roman"/>
                <w:bCs/>
                <w:color w:val="FF0000"/>
              </w:rPr>
              <w:t>本项目总投资为800万元，其中环保投资为107万元，占总投资的13.38%，详见下表</w:t>
            </w:r>
            <w:r>
              <w:rPr>
                <w:rFonts w:hint="default" w:ascii="Times New Roman" w:hAnsi="Times New Roman" w:cs="Times New Roman"/>
                <w:b/>
                <w:color w:val="FF0000"/>
              </w:rPr>
              <w:t>。</w:t>
            </w:r>
          </w:p>
          <w:p w14:paraId="7D896C6C">
            <w:pPr>
              <w:adjustRightInd w:val="0"/>
              <w:snapToGrid w:val="0"/>
              <w:jc w:val="center"/>
              <w:rPr>
                <w:rFonts w:hint="default" w:ascii="Times New Roman" w:hAnsi="Times New Roman" w:cs="Times New Roman"/>
                <w:b/>
                <w:bCs/>
                <w:color w:val="FF0000"/>
                <w:spacing w:val="10"/>
                <w:szCs w:val="21"/>
              </w:rPr>
            </w:pPr>
            <w:r>
              <w:rPr>
                <w:rFonts w:hint="default" w:ascii="Times New Roman" w:hAnsi="Times New Roman" w:cs="Times New Roman"/>
                <w:b/>
                <w:bCs/>
                <w:color w:val="FF0000"/>
                <w:spacing w:val="10"/>
                <w:szCs w:val="21"/>
              </w:rPr>
              <w:t>表4-4</w:t>
            </w:r>
            <w:r>
              <w:rPr>
                <w:rFonts w:hint="eastAsia" w:cs="Times New Roman"/>
                <w:b/>
                <w:bCs/>
                <w:color w:val="FF0000"/>
                <w:spacing w:val="10"/>
                <w:szCs w:val="21"/>
                <w:lang w:val="en-US" w:eastAsia="zh-CN"/>
              </w:rPr>
              <w:t>2</w:t>
            </w:r>
            <w:r>
              <w:rPr>
                <w:rFonts w:hint="default" w:ascii="Times New Roman" w:hAnsi="Times New Roman" w:cs="Times New Roman"/>
                <w:b/>
                <w:bCs/>
                <w:color w:val="FF0000"/>
                <w:spacing w:val="10"/>
                <w:szCs w:val="21"/>
              </w:rPr>
              <w:t xml:space="preserve">    环保投资一览表</w:t>
            </w:r>
          </w:p>
          <w:tbl>
            <w:tblPr>
              <w:tblStyle w:val="34"/>
              <w:tblW w:w="4998" w:type="pct"/>
              <w:jc w:val="center"/>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444"/>
              <w:gridCol w:w="3024"/>
              <w:gridCol w:w="1256"/>
              <w:gridCol w:w="1505"/>
              <w:gridCol w:w="1242"/>
            </w:tblGrid>
            <w:tr w14:paraId="385E63F0">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852" w:type="pct"/>
                  <w:tcBorders>
                    <w:tl2br w:val="nil"/>
                    <w:tr2bl w:val="nil"/>
                  </w:tcBorders>
                  <w:vAlign w:val="center"/>
                </w:tcPr>
                <w:p w14:paraId="1C11770E">
                  <w:pPr>
                    <w:autoSpaceDE w:val="0"/>
                    <w:autoSpaceDN w:val="0"/>
                    <w:jc w:val="center"/>
                    <w:rPr>
                      <w:rFonts w:hint="default" w:ascii="Times New Roman" w:hAnsi="Times New Roman" w:cs="Times New Roman"/>
                      <w:b/>
                      <w:color w:val="FF0000"/>
                      <w:kern w:val="0"/>
                      <w:szCs w:val="21"/>
                    </w:rPr>
                  </w:pPr>
                  <w:r>
                    <w:rPr>
                      <w:rFonts w:hint="default" w:ascii="Times New Roman" w:hAnsi="Times New Roman" w:cs="Times New Roman"/>
                      <w:b/>
                      <w:color w:val="FF0000"/>
                      <w:kern w:val="0"/>
                      <w:szCs w:val="21"/>
                    </w:rPr>
                    <w:t>污染源</w:t>
                  </w:r>
                </w:p>
              </w:tc>
              <w:tc>
                <w:tcPr>
                  <w:tcW w:w="1784" w:type="pct"/>
                  <w:tcBorders>
                    <w:tl2br w:val="nil"/>
                    <w:tr2bl w:val="nil"/>
                  </w:tcBorders>
                  <w:vAlign w:val="center"/>
                </w:tcPr>
                <w:p w14:paraId="65110576">
                  <w:pPr>
                    <w:autoSpaceDE w:val="0"/>
                    <w:autoSpaceDN w:val="0"/>
                    <w:jc w:val="center"/>
                    <w:rPr>
                      <w:rFonts w:hint="default" w:ascii="Times New Roman" w:hAnsi="Times New Roman" w:cs="Times New Roman"/>
                      <w:b/>
                      <w:color w:val="FF0000"/>
                      <w:kern w:val="0"/>
                      <w:szCs w:val="21"/>
                    </w:rPr>
                  </w:pPr>
                  <w:r>
                    <w:rPr>
                      <w:rFonts w:hint="default" w:ascii="Times New Roman" w:hAnsi="Times New Roman" w:cs="Times New Roman"/>
                      <w:b/>
                      <w:color w:val="FF0000"/>
                      <w:kern w:val="0"/>
                      <w:szCs w:val="21"/>
                    </w:rPr>
                    <w:t>环保设施名称</w:t>
                  </w:r>
                </w:p>
              </w:tc>
              <w:tc>
                <w:tcPr>
                  <w:tcW w:w="741" w:type="pct"/>
                  <w:tcBorders>
                    <w:tl2br w:val="nil"/>
                    <w:tr2bl w:val="nil"/>
                  </w:tcBorders>
                  <w:vAlign w:val="center"/>
                </w:tcPr>
                <w:p w14:paraId="590B749B">
                  <w:pPr>
                    <w:autoSpaceDE w:val="0"/>
                    <w:autoSpaceDN w:val="0"/>
                    <w:jc w:val="center"/>
                    <w:rPr>
                      <w:rFonts w:hint="default" w:ascii="Times New Roman" w:hAnsi="Times New Roman" w:cs="Times New Roman"/>
                      <w:b/>
                      <w:color w:val="FF0000"/>
                      <w:kern w:val="0"/>
                      <w:szCs w:val="21"/>
                    </w:rPr>
                  </w:pPr>
                  <w:r>
                    <w:rPr>
                      <w:rFonts w:hint="default" w:ascii="Times New Roman" w:hAnsi="Times New Roman" w:cs="Times New Roman"/>
                      <w:b/>
                      <w:color w:val="FF0000"/>
                      <w:kern w:val="0"/>
                      <w:szCs w:val="21"/>
                    </w:rPr>
                    <w:t>数量</w:t>
                  </w:r>
                </w:p>
              </w:tc>
              <w:tc>
                <w:tcPr>
                  <w:tcW w:w="888" w:type="pct"/>
                  <w:tcBorders>
                    <w:tl2br w:val="nil"/>
                    <w:tr2bl w:val="nil"/>
                  </w:tcBorders>
                  <w:vAlign w:val="center"/>
                </w:tcPr>
                <w:p w14:paraId="3CC21BBC">
                  <w:pPr>
                    <w:jc w:val="center"/>
                    <w:rPr>
                      <w:rFonts w:hint="default" w:ascii="Times New Roman" w:hAnsi="Times New Roman" w:cs="Times New Roman"/>
                      <w:b/>
                      <w:color w:val="FF0000"/>
                      <w:szCs w:val="21"/>
                    </w:rPr>
                  </w:pPr>
                  <w:r>
                    <w:rPr>
                      <w:rFonts w:hint="default" w:ascii="Times New Roman" w:hAnsi="Times New Roman" w:cs="Times New Roman"/>
                      <w:b/>
                      <w:color w:val="FF0000"/>
                      <w:kern w:val="0"/>
                      <w:szCs w:val="21"/>
                    </w:rPr>
                    <w:t>投资(万元)</w:t>
                  </w:r>
                </w:p>
              </w:tc>
              <w:tc>
                <w:tcPr>
                  <w:tcW w:w="733" w:type="pct"/>
                  <w:tcBorders>
                    <w:tl2br w:val="nil"/>
                    <w:tr2bl w:val="nil"/>
                  </w:tcBorders>
                  <w:vAlign w:val="center"/>
                </w:tcPr>
                <w:p w14:paraId="7DAEDCED">
                  <w:pPr>
                    <w:jc w:val="center"/>
                    <w:rPr>
                      <w:rFonts w:hint="default" w:ascii="Times New Roman" w:hAnsi="Times New Roman" w:cs="Times New Roman"/>
                      <w:b/>
                      <w:color w:val="FF0000"/>
                      <w:szCs w:val="21"/>
                    </w:rPr>
                  </w:pPr>
                  <w:r>
                    <w:rPr>
                      <w:rFonts w:hint="default" w:ascii="Times New Roman" w:hAnsi="Times New Roman" w:cs="Times New Roman"/>
                      <w:b/>
                      <w:color w:val="FF0000"/>
                      <w:kern w:val="0"/>
                      <w:szCs w:val="21"/>
                    </w:rPr>
                    <w:t>进度</w:t>
                  </w:r>
                </w:p>
              </w:tc>
            </w:tr>
            <w:tr w14:paraId="58B83C17">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852" w:type="pct"/>
                  <w:vMerge w:val="restart"/>
                  <w:tcBorders>
                    <w:tl2br w:val="nil"/>
                    <w:tr2bl w:val="nil"/>
                  </w:tcBorders>
                  <w:vAlign w:val="center"/>
                </w:tcPr>
                <w:p w14:paraId="182CC123">
                  <w:pPr>
                    <w:jc w:val="center"/>
                    <w:rPr>
                      <w:rFonts w:hint="default" w:ascii="Times New Roman" w:hAnsi="Times New Roman" w:cs="Times New Roman"/>
                      <w:color w:val="FF0000"/>
                      <w:szCs w:val="21"/>
                    </w:rPr>
                  </w:pPr>
                  <w:r>
                    <w:rPr>
                      <w:rFonts w:hint="default" w:ascii="Times New Roman" w:hAnsi="Times New Roman" w:cs="Times New Roman"/>
                      <w:color w:val="FF0000"/>
                      <w:szCs w:val="21"/>
                    </w:rPr>
                    <w:t>废水</w:t>
                  </w:r>
                </w:p>
              </w:tc>
              <w:tc>
                <w:tcPr>
                  <w:tcW w:w="1784" w:type="pct"/>
                  <w:tcBorders>
                    <w:tl2br w:val="nil"/>
                    <w:tr2bl w:val="nil"/>
                  </w:tcBorders>
                  <w:vAlign w:val="center"/>
                </w:tcPr>
                <w:p w14:paraId="07FA121E">
                  <w:pPr>
                    <w:jc w:val="center"/>
                    <w:rPr>
                      <w:rFonts w:hint="default" w:ascii="Times New Roman" w:hAnsi="Times New Roman" w:cs="Times New Roman"/>
                      <w:color w:val="FF0000"/>
                      <w:kern w:val="0"/>
                      <w:szCs w:val="21"/>
                    </w:rPr>
                  </w:pPr>
                  <w:r>
                    <w:rPr>
                      <w:rFonts w:hint="default" w:ascii="Times New Roman" w:hAnsi="Times New Roman" w:cs="Times New Roman"/>
                      <w:color w:val="FF0000"/>
                      <w:kern w:val="0"/>
                      <w:szCs w:val="21"/>
                    </w:rPr>
                    <w:t>初期雨水池</w:t>
                  </w:r>
                </w:p>
              </w:tc>
              <w:tc>
                <w:tcPr>
                  <w:tcW w:w="741" w:type="pct"/>
                  <w:tcBorders>
                    <w:tl2br w:val="nil"/>
                    <w:tr2bl w:val="nil"/>
                  </w:tcBorders>
                  <w:vAlign w:val="center"/>
                </w:tcPr>
                <w:p w14:paraId="1F95B76E">
                  <w:pPr>
                    <w:jc w:val="center"/>
                    <w:rPr>
                      <w:rFonts w:hint="default" w:ascii="Times New Roman" w:hAnsi="Times New Roman" w:cs="Times New Roman"/>
                      <w:color w:val="FF0000"/>
                      <w:szCs w:val="21"/>
                    </w:rPr>
                  </w:pPr>
                  <w:r>
                    <w:rPr>
                      <w:rFonts w:hint="default" w:ascii="Times New Roman" w:hAnsi="Times New Roman" w:cs="Times New Roman"/>
                      <w:color w:val="FF0000"/>
                      <w:szCs w:val="21"/>
                    </w:rPr>
                    <w:t>1座</w:t>
                  </w:r>
                </w:p>
              </w:tc>
              <w:tc>
                <w:tcPr>
                  <w:tcW w:w="888" w:type="pct"/>
                  <w:tcBorders>
                    <w:tl2br w:val="nil"/>
                    <w:tr2bl w:val="nil"/>
                  </w:tcBorders>
                  <w:vAlign w:val="center"/>
                </w:tcPr>
                <w:p w14:paraId="4DAAC915">
                  <w:pPr>
                    <w:jc w:val="center"/>
                    <w:rPr>
                      <w:rFonts w:hint="default" w:ascii="Times New Roman" w:hAnsi="Times New Roman" w:cs="Times New Roman"/>
                      <w:color w:val="FF0000"/>
                      <w:szCs w:val="21"/>
                    </w:rPr>
                  </w:pPr>
                  <w:r>
                    <w:rPr>
                      <w:rFonts w:hint="default" w:ascii="Times New Roman" w:hAnsi="Times New Roman" w:cs="Times New Roman"/>
                      <w:color w:val="FF0000"/>
                      <w:szCs w:val="21"/>
                    </w:rPr>
                    <w:t>10</w:t>
                  </w:r>
                </w:p>
              </w:tc>
              <w:tc>
                <w:tcPr>
                  <w:tcW w:w="733" w:type="pct"/>
                  <w:vMerge w:val="restart"/>
                  <w:tcBorders>
                    <w:tl2br w:val="nil"/>
                    <w:tr2bl w:val="nil"/>
                  </w:tcBorders>
                  <w:vAlign w:val="center"/>
                </w:tcPr>
                <w:p w14:paraId="2BF10777">
                  <w:pPr>
                    <w:jc w:val="center"/>
                    <w:rPr>
                      <w:rFonts w:hint="default" w:ascii="Times New Roman" w:hAnsi="Times New Roman" w:cs="Times New Roman"/>
                      <w:color w:val="FF0000"/>
                      <w:szCs w:val="21"/>
                    </w:rPr>
                  </w:pPr>
                  <w:r>
                    <w:rPr>
                      <w:rFonts w:hint="default" w:ascii="Times New Roman" w:hAnsi="Times New Roman" w:cs="Times New Roman"/>
                      <w:color w:val="FF0000"/>
                      <w:szCs w:val="21"/>
                    </w:rPr>
                    <w:t>与建设项目同时设计、同时施工、同时投入运营</w:t>
                  </w:r>
                </w:p>
              </w:tc>
            </w:tr>
            <w:tr w14:paraId="0389982D">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852" w:type="pct"/>
                  <w:vMerge w:val="continue"/>
                  <w:tcBorders>
                    <w:tl2br w:val="nil"/>
                    <w:tr2bl w:val="nil"/>
                  </w:tcBorders>
                  <w:vAlign w:val="center"/>
                </w:tcPr>
                <w:p w14:paraId="2EE632B8">
                  <w:pPr>
                    <w:jc w:val="center"/>
                    <w:rPr>
                      <w:rFonts w:hint="default" w:ascii="Times New Roman" w:hAnsi="Times New Roman" w:cs="Times New Roman"/>
                      <w:color w:val="FF0000"/>
                      <w:szCs w:val="21"/>
                    </w:rPr>
                  </w:pPr>
                </w:p>
              </w:tc>
              <w:tc>
                <w:tcPr>
                  <w:tcW w:w="1784" w:type="pct"/>
                  <w:tcBorders>
                    <w:tl2br w:val="nil"/>
                    <w:tr2bl w:val="nil"/>
                  </w:tcBorders>
                  <w:vAlign w:val="center"/>
                </w:tcPr>
                <w:p w14:paraId="50349A0E">
                  <w:pPr>
                    <w:jc w:val="center"/>
                    <w:rPr>
                      <w:rFonts w:hint="default" w:ascii="Times New Roman" w:hAnsi="Times New Roman" w:cs="Times New Roman"/>
                      <w:color w:val="FF0000"/>
                      <w:kern w:val="0"/>
                      <w:szCs w:val="21"/>
                    </w:rPr>
                  </w:pPr>
                  <w:r>
                    <w:rPr>
                      <w:rFonts w:hint="default" w:ascii="Times New Roman" w:hAnsi="Times New Roman" w:cs="Times New Roman"/>
                      <w:color w:val="FF0000"/>
                      <w:kern w:val="0"/>
                      <w:szCs w:val="21"/>
                    </w:rPr>
                    <w:t>污水处理站</w:t>
                  </w:r>
                </w:p>
              </w:tc>
              <w:tc>
                <w:tcPr>
                  <w:tcW w:w="741" w:type="pct"/>
                  <w:tcBorders>
                    <w:tl2br w:val="nil"/>
                    <w:tr2bl w:val="nil"/>
                  </w:tcBorders>
                  <w:vAlign w:val="center"/>
                </w:tcPr>
                <w:p w14:paraId="0D06E36E">
                  <w:pPr>
                    <w:jc w:val="center"/>
                    <w:rPr>
                      <w:rFonts w:hint="default" w:ascii="Times New Roman" w:hAnsi="Times New Roman" w:cs="Times New Roman"/>
                      <w:color w:val="FF0000"/>
                      <w:szCs w:val="21"/>
                    </w:rPr>
                  </w:pPr>
                  <w:r>
                    <w:rPr>
                      <w:rFonts w:hint="default" w:ascii="Times New Roman" w:hAnsi="Times New Roman" w:cs="Times New Roman"/>
                      <w:color w:val="FF0000"/>
                      <w:szCs w:val="21"/>
                    </w:rPr>
                    <w:t>1座</w:t>
                  </w:r>
                </w:p>
              </w:tc>
              <w:tc>
                <w:tcPr>
                  <w:tcW w:w="888" w:type="pct"/>
                  <w:tcBorders>
                    <w:tl2br w:val="nil"/>
                    <w:tr2bl w:val="nil"/>
                  </w:tcBorders>
                  <w:vAlign w:val="center"/>
                </w:tcPr>
                <w:p w14:paraId="5C4FAC5B">
                  <w:pPr>
                    <w:jc w:val="center"/>
                    <w:rPr>
                      <w:rFonts w:hint="default" w:ascii="Times New Roman" w:hAnsi="Times New Roman" w:cs="Times New Roman"/>
                      <w:color w:val="FF0000"/>
                      <w:szCs w:val="21"/>
                    </w:rPr>
                  </w:pPr>
                  <w:r>
                    <w:rPr>
                      <w:rFonts w:hint="default" w:ascii="Times New Roman" w:hAnsi="Times New Roman" w:cs="Times New Roman"/>
                      <w:color w:val="FF0000"/>
                      <w:szCs w:val="21"/>
                    </w:rPr>
                    <w:t>30</w:t>
                  </w:r>
                </w:p>
              </w:tc>
              <w:tc>
                <w:tcPr>
                  <w:tcW w:w="733" w:type="pct"/>
                  <w:vMerge w:val="continue"/>
                  <w:tcBorders>
                    <w:tl2br w:val="nil"/>
                    <w:tr2bl w:val="nil"/>
                  </w:tcBorders>
                  <w:vAlign w:val="center"/>
                </w:tcPr>
                <w:p w14:paraId="7793FE24">
                  <w:pPr>
                    <w:jc w:val="center"/>
                    <w:rPr>
                      <w:rFonts w:hint="default" w:ascii="Times New Roman" w:hAnsi="Times New Roman" w:cs="Times New Roman"/>
                      <w:color w:val="FF0000"/>
                      <w:szCs w:val="21"/>
                    </w:rPr>
                  </w:pPr>
                </w:p>
              </w:tc>
            </w:tr>
            <w:tr w14:paraId="222BDAE4">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852" w:type="pct"/>
                  <w:vMerge w:val="continue"/>
                  <w:tcBorders>
                    <w:tl2br w:val="nil"/>
                    <w:tr2bl w:val="nil"/>
                  </w:tcBorders>
                  <w:vAlign w:val="center"/>
                </w:tcPr>
                <w:p w14:paraId="509FBBCE">
                  <w:pPr>
                    <w:jc w:val="center"/>
                    <w:rPr>
                      <w:rFonts w:hint="default" w:ascii="Times New Roman" w:hAnsi="Times New Roman" w:cs="Times New Roman"/>
                      <w:color w:val="FF0000"/>
                      <w:szCs w:val="21"/>
                    </w:rPr>
                  </w:pPr>
                </w:p>
              </w:tc>
              <w:tc>
                <w:tcPr>
                  <w:tcW w:w="1784" w:type="pct"/>
                  <w:tcBorders>
                    <w:tl2br w:val="nil"/>
                    <w:tr2bl w:val="nil"/>
                  </w:tcBorders>
                  <w:vAlign w:val="center"/>
                </w:tcPr>
                <w:p w14:paraId="1AF4B64A">
                  <w:pPr>
                    <w:jc w:val="center"/>
                    <w:rPr>
                      <w:rFonts w:hint="default" w:ascii="Times New Roman" w:hAnsi="Times New Roman" w:cs="Times New Roman"/>
                      <w:color w:val="FF0000"/>
                      <w:kern w:val="0"/>
                      <w:szCs w:val="21"/>
                    </w:rPr>
                  </w:pPr>
                  <w:r>
                    <w:rPr>
                      <w:rFonts w:hint="default" w:ascii="Times New Roman" w:hAnsi="Times New Roman" w:cs="Times New Roman"/>
                      <w:color w:val="FF0000"/>
                      <w:kern w:val="0"/>
                      <w:szCs w:val="21"/>
                    </w:rPr>
                    <w:t>应急事故池</w:t>
                  </w:r>
                </w:p>
              </w:tc>
              <w:tc>
                <w:tcPr>
                  <w:tcW w:w="741" w:type="pct"/>
                  <w:tcBorders>
                    <w:tl2br w:val="nil"/>
                    <w:tr2bl w:val="nil"/>
                  </w:tcBorders>
                  <w:vAlign w:val="center"/>
                </w:tcPr>
                <w:p w14:paraId="3901F04D">
                  <w:pPr>
                    <w:jc w:val="center"/>
                    <w:rPr>
                      <w:rFonts w:hint="default" w:ascii="Times New Roman" w:hAnsi="Times New Roman" w:cs="Times New Roman"/>
                      <w:color w:val="FF0000"/>
                      <w:szCs w:val="21"/>
                    </w:rPr>
                  </w:pPr>
                  <w:r>
                    <w:rPr>
                      <w:rFonts w:hint="default" w:ascii="Times New Roman" w:hAnsi="Times New Roman" w:cs="Times New Roman"/>
                      <w:color w:val="FF0000"/>
                      <w:szCs w:val="21"/>
                    </w:rPr>
                    <w:t>1座</w:t>
                  </w:r>
                </w:p>
              </w:tc>
              <w:tc>
                <w:tcPr>
                  <w:tcW w:w="888" w:type="pct"/>
                  <w:tcBorders>
                    <w:tl2br w:val="nil"/>
                    <w:tr2bl w:val="nil"/>
                  </w:tcBorders>
                  <w:vAlign w:val="center"/>
                </w:tcPr>
                <w:p w14:paraId="1A6C9563">
                  <w:pPr>
                    <w:jc w:val="center"/>
                    <w:rPr>
                      <w:rFonts w:hint="default" w:ascii="Times New Roman" w:hAnsi="Times New Roman" w:cs="Times New Roman"/>
                      <w:color w:val="FF0000"/>
                      <w:szCs w:val="21"/>
                    </w:rPr>
                  </w:pPr>
                  <w:r>
                    <w:rPr>
                      <w:rFonts w:hint="default" w:ascii="Times New Roman" w:hAnsi="Times New Roman" w:cs="Times New Roman"/>
                      <w:color w:val="FF0000"/>
                      <w:szCs w:val="21"/>
                    </w:rPr>
                    <w:t>10</w:t>
                  </w:r>
                </w:p>
              </w:tc>
              <w:tc>
                <w:tcPr>
                  <w:tcW w:w="733" w:type="pct"/>
                  <w:vMerge w:val="continue"/>
                  <w:tcBorders>
                    <w:tl2br w:val="nil"/>
                    <w:tr2bl w:val="nil"/>
                  </w:tcBorders>
                  <w:vAlign w:val="center"/>
                </w:tcPr>
                <w:p w14:paraId="52ABC185">
                  <w:pPr>
                    <w:jc w:val="center"/>
                    <w:rPr>
                      <w:rFonts w:hint="default" w:ascii="Times New Roman" w:hAnsi="Times New Roman" w:cs="Times New Roman"/>
                      <w:color w:val="FF0000"/>
                      <w:szCs w:val="21"/>
                    </w:rPr>
                  </w:pPr>
                </w:p>
              </w:tc>
            </w:tr>
            <w:tr w14:paraId="3BFA13FE">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852" w:type="pct"/>
                  <w:vMerge w:val="restart"/>
                  <w:tcBorders>
                    <w:tl2br w:val="nil"/>
                    <w:tr2bl w:val="nil"/>
                  </w:tcBorders>
                  <w:vAlign w:val="center"/>
                </w:tcPr>
                <w:p w14:paraId="077932ED">
                  <w:pPr>
                    <w:jc w:val="center"/>
                    <w:rPr>
                      <w:rFonts w:hint="default" w:ascii="Times New Roman" w:hAnsi="Times New Roman" w:cs="Times New Roman"/>
                      <w:color w:val="FF0000"/>
                      <w:szCs w:val="21"/>
                    </w:rPr>
                  </w:pPr>
                  <w:r>
                    <w:rPr>
                      <w:rFonts w:hint="default" w:ascii="Times New Roman" w:hAnsi="Times New Roman" w:cs="Times New Roman"/>
                      <w:color w:val="FF0000"/>
                      <w:szCs w:val="21"/>
                    </w:rPr>
                    <w:t>废气</w:t>
                  </w:r>
                </w:p>
              </w:tc>
              <w:tc>
                <w:tcPr>
                  <w:tcW w:w="1784" w:type="pct"/>
                  <w:tcBorders>
                    <w:tl2br w:val="nil"/>
                    <w:tr2bl w:val="nil"/>
                  </w:tcBorders>
                  <w:vAlign w:val="center"/>
                </w:tcPr>
                <w:p w14:paraId="4FA35642">
                  <w:pPr>
                    <w:autoSpaceDE w:val="0"/>
                    <w:autoSpaceDN w:val="0"/>
                    <w:jc w:val="center"/>
                    <w:rPr>
                      <w:rFonts w:hint="default" w:ascii="Times New Roman" w:hAnsi="Times New Roman" w:cs="Times New Roman"/>
                      <w:color w:val="FF0000"/>
                      <w:kern w:val="0"/>
                      <w:szCs w:val="21"/>
                    </w:rPr>
                  </w:pPr>
                  <w:r>
                    <w:rPr>
                      <w:rFonts w:hint="default" w:ascii="Times New Roman" w:hAnsi="Times New Roman" w:cs="Times New Roman"/>
                      <w:snapToGrid w:val="0"/>
                      <w:color w:val="FF0000"/>
                      <w:spacing w:val="-4"/>
                      <w:kern w:val="0"/>
                      <w:szCs w:val="21"/>
                    </w:rPr>
                    <w:t>二级活性炭吸附装置</w:t>
                  </w:r>
                </w:p>
              </w:tc>
              <w:tc>
                <w:tcPr>
                  <w:tcW w:w="741" w:type="pct"/>
                  <w:tcBorders>
                    <w:tl2br w:val="nil"/>
                    <w:tr2bl w:val="nil"/>
                  </w:tcBorders>
                  <w:vAlign w:val="center"/>
                </w:tcPr>
                <w:p w14:paraId="4831099A">
                  <w:pPr>
                    <w:jc w:val="center"/>
                    <w:rPr>
                      <w:rFonts w:hint="default" w:ascii="Times New Roman" w:hAnsi="Times New Roman" w:cs="Times New Roman"/>
                      <w:color w:val="FF0000"/>
                      <w:szCs w:val="21"/>
                    </w:rPr>
                  </w:pPr>
                  <w:r>
                    <w:rPr>
                      <w:rFonts w:hint="eastAsia" w:cs="Times New Roman"/>
                      <w:color w:val="FF0000"/>
                      <w:szCs w:val="21"/>
                      <w:lang w:val="en-US" w:eastAsia="zh-CN"/>
                    </w:rPr>
                    <w:t>1</w:t>
                  </w:r>
                  <w:r>
                    <w:rPr>
                      <w:rFonts w:hint="default" w:ascii="Times New Roman" w:hAnsi="Times New Roman" w:cs="Times New Roman"/>
                      <w:color w:val="FF0000"/>
                      <w:szCs w:val="21"/>
                    </w:rPr>
                    <w:t>套</w:t>
                  </w:r>
                </w:p>
              </w:tc>
              <w:tc>
                <w:tcPr>
                  <w:tcW w:w="888" w:type="pct"/>
                  <w:tcBorders>
                    <w:tl2br w:val="nil"/>
                    <w:tr2bl w:val="nil"/>
                  </w:tcBorders>
                  <w:vAlign w:val="center"/>
                </w:tcPr>
                <w:p w14:paraId="1C4A3ACE">
                  <w:pPr>
                    <w:jc w:val="center"/>
                    <w:rPr>
                      <w:rFonts w:hint="default" w:ascii="Times New Roman" w:hAnsi="Times New Roman" w:eastAsia="宋体" w:cs="Times New Roman"/>
                      <w:color w:val="FF0000"/>
                      <w:szCs w:val="21"/>
                      <w:lang w:val="en-US" w:eastAsia="zh-CN"/>
                    </w:rPr>
                  </w:pPr>
                  <w:r>
                    <w:rPr>
                      <w:rFonts w:hint="eastAsia" w:cs="Times New Roman"/>
                      <w:color w:val="FF0000"/>
                      <w:szCs w:val="21"/>
                      <w:lang w:val="en-US" w:eastAsia="zh-CN"/>
                    </w:rPr>
                    <w:t>5</w:t>
                  </w:r>
                </w:p>
              </w:tc>
              <w:tc>
                <w:tcPr>
                  <w:tcW w:w="733" w:type="pct"/>
                  <w:vMerge w:val="continue"/>
                  <w:tcBorders>
                    <w:tl2br w:val="nil"/>
                    <w:tr2bl w:val="nil"/>
                  </w:tcBorders>
                  <w:vAlign w:val="center"/>
                </w:tcPr>
                <w:p w14:paraId="66BEACDA">
                  <w:pPr>
                    <w:jc w:val="center"/>
                    <w:rPr>
                      <w:rFonts w:hint="default" w:ascii="Times New Roman" w:hAnsi="Times New Roman" w:cs="Times New Roman"/>
                      <w:color w:val="FF0000"/>
                      <w:szCs w:val="21"/>
                    </w:rPr>
                  </w:pPr>
                </w:p>
              </w:tc>
            </w:tr>
            <w:tr w14:paraId="6F89C317">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852" w:type="pct"/>
                  <w:vMerge w:val="continue"/>
                  <w:tcBorders>
                    <w:tl2br w:val="nil"/>
                    <w:tr2bl w:val="nil"/>
                  </w:tcBorders>
                  <w:vAlign w:val="center"/>
                </w:tcPr>
                <w:p w14:paraId="03DDC73A">
                  <w:pPr>
                    <w:jc w:val="center"/>
                    <w:rPr>
                      <w:rFonts w:hint="default" w:ascii="Times New Roman" w:hAnsi="Times New Roman" w:cs="Times New Roman"/>
                      <w:color w:val="FF0000"/>
                      <w:szCs w:val="21"/>
                    </w:rPr>
                  </w:pPr>
                </w:p>
              </w:tc>
              <w:tc>
                <w:tcPr>
                  <w:tcW w:w="1784" w:type="pct"/>
                  <w:tcBorders>
                    <w:tl2br w:val="nil"/>
                    <w:tr2bl w:val="nil"/>
                  </w:tcBorders>
                  <w:vAlign w:val="center"/>
                </w:tcPr>
                <w:p w14:paraId="6E30A847">
                  <w:pPr>
                    <w:autoSpaceDE w:val="0"/>
                    <w:autoSpaceDN w:val="0"/>
                    <w:jc w:val="center"/>
                    <w:rPr>
                      <w:rFonts w:hint="default" w:ascii="Times New Roman" w:hAnsi="Times New Roman" w:cs="Times New Roman"/>
                      <w:color w:val="FF0000"/>
                      <w:kern w:val="0"/>
                      <w:szCs w:val="21"/>
                    </w:rPr>
                  </w:pPr>
                  <w:r>
                    <w:rPr>
                      <w:rFonts w:hint="default" w:ascii="Times New Roman" w:hAnsi="Times New Roman" w:cs="Times New Roman"/>
                      <w:color w:val="FF0000"/>
                      <w:kern w:val="0"/>
                      <w:szCs w:val="21"/>
                    </w:rPr>
                    <w:t>袋式除尘器</w:t>
                  </w:r>
                </w:p>
              </w:tc>
              <w:tc>
                <w:tcPr>
                  <w:tcW w:w="741" w:type="pct"/>
                  <w:tcBorders>
                    <w:tl2br w:val="nil"/>
                    <w:tr2bl w:val="nil"/>
                  </w:tcBorders>
                  <w:vAlign w:val="center"/>
                </w:tcPr>
                <w:p w14:paraId="5BB48C13">
                  <w:pPr>
                    <w:jc w:val="center"/>
                    <w:rPr>
                      <w:rFonts w:hint="default" w:ascii="Times New Roman" w:hAnsi="Times New Roman" w:cs="Times New Roman"/>
                      <w:color w:val="FF0000"/>
                      <w:szCs w:val="21"/>
                    </w:rPr>
                  </w:pPr>
                  <w:r>
                    <w:rPr>
                      <w:rFonts w:hint="default" w:ascii="Times New Roman" w:hAnsi="Times New Roman" w:cs="Times New Roman"/>
                      <w:color w:val="FF0000"/>
                      <w:szCs w:val="21"/>
                    </w:rPr>
                    <w:t>1套</w:t>
                  </w:r>
                </w:p>
              </w:tc>
              <w:tc>
                <w:tcPr>
                  <w:tcW w:w="888" w:type="pct"/>
                  <w:tcBorders>
                    <w:tl2br w:val="nil"/>
                    <w:tr2bl w:val="nil"/>
                  </w:tcBorders>
                  <w:vAlign w:val="center"/>
                </w:tcPr>
                <w:p w14:paraId="386E9E7A">
                  <w:pPr>
                    <w:jc w:val="center"/>
                    <w:rPr>
                      <w:rFonts w:hint="default" w:ascii="Times New Roman" w:hAnsi="Times New Roman" w:cs="Times New Roman"/>
                      <w:color w:val="FF0000"/>
                      <w:szCs w:val="21"/>
                    </w:rPr>
                  </w:pPr>
                  <w:r>
                    <w:rPr>
                      <w:rFonts w:hint="default" w:ascii="Times New Roman" w:hAnsi="Times New Roman" w:cs="Times New Roman"/>
                      <w:color w:val="FF0000"/>
                      <w:szCs w:val="21"/>
                    </w:rPr>
                    <w:t>5</w:t>
                  </w:r>
                </w:p>
              </w:tc>
              <w:tc>
                <w:tcPr>
                  <w:tcW w:w="733" w:type="pct"/>
                  <w:vMerge w:val="continue"/>
                  <w:tcBorders>
                    <w:tl2br w:val="nil"/>
                    <w:tr2bl w:val="nil"/>
                  </w:tcBorders>
                  <w:vAlign w:val="center"/>
                </w:tcPr>
                <w:p w14:paraId="06C2858A">
                  <w:pPr>
                    <w:jc w:val="center"/>
                    <w:rPr>
                      <w:rFonts w:hint="default" w:ascii="Times New Roman" w:hAnsi="Times New Roman" w:cs="Times New Roman"/>
                      <w:color w:val="FF0000"/>
                      <w:szCs w:val="21"/>
                    </w:rPr>
                  </w:pPr>
                </w:p>
              </w:tc>
            </w:tr>
            <w:tr w14:paraId="5F89EA11">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852" w:type="pct"/>
                  <w:vMerge w:val="continue"/>
                  <w:tcBorders>
                    <w:tl2br w:val="nil"/>
                    <w:tr2bl w:val="nil"/>
                  </w:tcBorders>
                  <w:vAlign w:val="center"/>
                </w:tcPr>
                <w:p w14:paraId="130E3FE5">
                  <w:pPr>
                    <w:jc w:val="center"/>
                    <w:rPr>
                      <w:rFonts w:hint="default" w:ascii="Times New Roman" w:hAnsi="Times New Roman" w:cs="Times New Roman"/>
                      <w:color w:val="FF0000"/>
                      <w:szCs w:val="21"/>
                    </w:rPr>
                  </w:pPr>
                </w:p>
              </w:tc>
              <w:tc>
                <w:tcPr>
                  <w:tcW w:w="1784" w:type="pct"/>
                  <w:tcBorders>
                    <w:tl2br w:val="nil"/>
                    <w:tr2bl w:val="nil"/>
                  </w:tcBorders>
                  <w:vAlign w:val="center"/>
                </w:tcPr>
                <w:p w14:paraId="24B5F575">
                  <w:pPr>
                    <w:autoSpaceDE w:val="0"/>
                    <w:autoSpaceDN w:val="0"/>
                    <w:jc w:val="center"/>
                    <w:rPr>
                      <w:rFonts w:hint="default" w:ascii="Times New Roman" w:hAnsi="Times New Roman" w:cs="Times New Roman"/>
                      <w:color w:val="FF0000"/>
                      <w:kern w:val="0"/>
                      <w:szCs w:val="21"/>
                    </w:rPr>
                  </w:pPr>
                  <w:r>
                    <w:rPr>
                      <w:rFonts w:hint="default" w:ascii="Times New Roman" w:hAnsi="Times New Roman" w:cs="Times New Roman"/>
                      <w:snapToGrid w:val="0"/>
                      <w:color w:val="FF0000"/>
                      <w:spacing w:val="-4"/>
                      <w:kern w:val="0"/>
                      <w:szCs w:val="21"/>
                    </w:rPr>
                    <w:t>排气筒</w:t>
                  </w:r>
                </w:p>
              </w:tc>
              <w:tc>
                <w:tcPr>
                  <w:tcW w:w="741" w:type="pct"/>
                  <w:tcBorders>
                    <w:tl2br w:val="nil"/>
                    <w:tr2bl w:val="nil"/>
                  </w:tcBorders>
                  <w:vAlign w:val="center"/>
                </w:tcPr>
                <w:p w14:paraId="739644FF">
                  <w:pPr>
                    <w:jc w:val="center"/>
                    <w:rPr>
                      <w:rFonts w:hint="default" w:ascii="Times New Roman" w:hAnsi="Times New Roman" w:cs="Times New Roman"/>
                      <w:color w:val="FF0000"/>
                      <w:szCs w:val="21"/>
                    </w:rPr>
                  </w:pPr>
                  <w:r>
                    <w:rPr>
                      <w:rFonts w:hint="default" w:ascii="Times New Roman" w:hAnsi="Times New Roman" w:cs="Times New Roman"/>
                      <w:color w:val="FF0000"/>
                      <w:szCs w:val="21"/>
                      <w:lang w:val="en-US" w:eastAsia="zh-CN"/>
                    </w:rPr>
                    <w:t>2</w:t>
                  </w:r>
                  <w:r>
                    <w:rPr>
                      <w:rFonts w:hint="default" w:ascii="Times New Roman" w:hAnsi="Times New Roman" w:cs="Times New Roman"/>
                      <w:color w:val="FF0000"/>
                      <w:szCs w:val="21"/>
                    </w:rPr>
                    <w:t>套</w:t>
                  </w:r>
                </w:p>
              </w:tc>
              <w:tc>
                <w:tcPr>
                  <w:tcW w:w="888" w:type="pct"/>
                  <w:tcBorders>
                    <w:tl2br w:val="nil"/>
                    <w:tr2bl w:val="nil"/>
                  </w:tcBorders>
                  <w:vAlign w:val="center"/>
                </w:tcPr>
                <w:p w14:paraId="66E1CD04">
                  <w:pPr>
                    <w:jc w:val="center"/>
                    <w:rPr>
                      <w:rFonts w:hint="default" w:ascii="Times New Roman" w:hAnsi="Times New Roman" w:cs="Times New Roman"/>
                      <w:color w:val="FF0000"/>
                      <w:szCs w:val="21"/>
                    </w:rPr>
                  </w:pPr>
                  <w:r>
                    <w:rPr>
                      <w:rFonts w:hint="default" w:ascii="Times New Roman" w:hAnsi="Times New Roman" w:cs="Times New Roman"/>
                      <w:color w:val="FF0000"/>
                      <w:szCs w:val="21"/>
                    </w:rPr>
                    <w:t>2</w:t>
                  </w:r>
                </w:p>
              </w:tc>
              <w:tc>
                <w:tcPr>
                  <w:tcW w:w="733" w:type="pct"/>
                  <w:vMerge w:val="continue"/>
                  <w:tcBorders>
                    <w:tl2br w:val="nil"/>
                    <w:tr2bl w:val="nil"/>
                  </w:tcBorders>
                  <w:vAlign w:val="center"/>
                </w:tcPr>
                <w:p w14:paraId="7F82FF52">
                  <w:pPr>
                    <w:jc w:val="center"/>
                    <w:rPr>
                      <w:rFonts w:hint="default" w:ascii="Times New Roman" w:hAnsi="Times New Roman" w:cs="Times New Roman"/>
                      <w:color w:val="FF0000"/>
                      <w:szCs w:val="21"/>
                    </w:rPr>
                  </w:pPr>
                </w:p>
              </w:tc>
            </w:tr>
            <w:tr w14:paraId="2526B2CE">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852" w:type="pct"/>
                  <w:tcBorders>
                    <w:tl2br w:val="nil"/>
                    <w:tr2bl w:val="nil"/>
                  </w:tcBorders>
                  <w:vAlign w:val="center"/>
                </w:tcPr>
                <w:p w14:paraId="48E582FD">
                  <w:pPr>
                    <w:jc w:val="center"/>
                    <w:rPr>
                      <w:rFonts w:hint="default" w:ascii="Times New Roman" w:hAnsi="Times New Roman" w:cs="Times New Roman"/>
                      <w:color w:val="FF0000"/>
                      <w:szCs w:val="21"/>
                    </w:rPr>
                  </w:pPr>
                  <w:r>
                    <w:rPr>
                      <w:rFonts w:hint="default" w:ascii="Times New Roman" w:hAnsi="Times New Roman" w:cs="Times New Roman"/>
                      <w:color w:val="FF0000"/>
                      <w:szCs w:val="21"/>
                    </w:rPr>
                    <w:t>噪声</w:t>
                  </w:r>
                </w:p>
              </w:tc>
              <w:tc>
                <w:tcPr>
                  <w:tcW w:w="2525" w:type="pct"/>
                  <w:gridSpan w:val="2"/>
                  <w:tcBorders>
                    <w:tl2br w:val="nil"/>
                    <w:tr2bl w:val="nil"/>
                  </w:tcBorders>
                  <w:vAlign w:val="center"/>
                </w:tcPr>
                <w:p w14:paraId="27DF0492">
                  <w:pPr>
                    <w:jc w:val="center"/>
                    <w:rPr>
                      <w:rFonts w:hint="default" w:ascii="Times New Roman" w:hAnsi="Times New Roman" w:cs="Times New Roman"/>
                      <w:color w:val="FF0000"/>
                      <w:kern w:val="0"/>
                      <w:szCs w:val="21"/>
                    </w:rPr>
                  </w:pPr>
                  <w:r>
                    <w:rPr>
                      <w:rFonts w:hint="default" w:ascii="Times New Roman" w:hAnsi="Times New Roman" w:cs="Times New Roman"/>
                      <w:color w:val="FF0000"/>
                      <w:kern w:val="0"/>
                      <w:szCs w:val="21"/>
                    </w:rPr>
                    <w:t>主要为减振基座、墙体隔声等</w:t>
                  </w:r>
                </w:p>
              </w:tc>
              <w:tc>
                <w:tcPr>
                  <w:tcW w:w="888" w:type="pct"/>
                  <w:tcBorders>
                    <w:tl2br w:val="nil"/>
                    <w:tr2bl w:val="nil"/>
                  </w:tcBorders>
                  <w:vAlign w:val="center"/>
                </w:tcPr>
                <w:p w14:paraId="31BF14A8">
                  <w:pPr>
                    <w:jc w:val="center"/>
                    <w:rPr>
                      <w:rFonts w:hint="default" w:ascii="Times New Roman" w:hAnsi="Times New Roman" w:cs="Times New Roman"/>
                      <w:color w:val="FF0000"/>
                      <w:szCs w:val="21"/>
                    </w:rPr>
                  </w:pPr>
                  <w:r>
                    <w:rPr>
                      <w:rFonts w:hint="default" w:ascii="Times New Roman" w:hAnsi="Times New Roman" w:cs="Times New Roman"/>
                      <w:color w:val="FF0000"/>
                      <w:szCs w:val="21"/>
                    </w:rPr>
                    <w:t>10</w:t>
                  </w:r>
                </w:p>
              </w:tc>
              <w:tc>
                <w:tcPr>
                  <w:tcW w:w="733" w:type="pct"/>
                  <w:vMerge w:val="continue"/>
                  <w:tcBorders>
                    <w:tl2br w:val="nil"/>
                    <w:tr2bl w:val="nil"/>
                  </w:tcBorders>
                  <w:vAlign w:val="center"/>
                </w:tcPr>
                <w:p w14:paraId="0A882CAE">
                  <w:pPr>
                    <w:jc w:val="center"/>
                    <w:rPr>
                      <w:rFonts w:hint="default" w:ascii="Times New Roman" w:hAnsi="Times New Roman" w:cs="Times New Roman"/>
                      <w:color w:val="FF0000"/>
                      <w:szCs w:val="21"/>
                    </w:rPr>
                  </w:pPr>
                </w:p>
              </w:tc>
            </w:tr>
            <w:tr w14:paraId="482809C7">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852" w:type="pct"/>
                  <w:tcBorders>
                    <w:tl2br w:val="nil"/>
                    <w:tr2bl w:val="nil"/>
                  </w:tcBorders>
                  <w:vAlign w:val="center"/>
                </w:tcPr>
                <w:p w14:paraId="58A64706">
                  <w:pPr>
                    <w:jc w:val="center"/>
                    <w:rPr>
                      <w:rFonts w:hint="default" w:ascii="Times New Roman" w:hAnsi="Times New Roman" w:cs="Times New Roman"/>
                      <w:color w:val="FF0000"/>
                      <w:szCs w:val="21"/>
                    </w:rPr>
                  </w:pPr>
                  <w:r>
                    <w:rPr>
                      <w:rFonts w:hint="default" w:ascii="Times New Roman" w:hAnsi="Times New Roman" w:cs="Times New Roman"/>
                      <w:color w:val="FF0000"/>
                      <w:kern w:val="0"/>
                      <w:szCs w:val="21"/>
                    </w:rPr>
                    <w:t>固废</w:t>
                  </w:r>
                </w:p>
              </w:tc>
              <w:tc>
                <w:tcPr>
                  <w:tcW w:w="2525" w:type="pct"/>
                  <w:gridSpan w:val="2"/>
                  <w:tcBorders>
                    <w:tl2br w:val="nil"/>
                    <w:tr2bl w:val="nil"/>
                  </w:tcBorders>
                  <w:vAlign w:val="center"/>
                </w:tcPr>
                <w:p w14:paraId="7DFFA83D">
                  <w:pPr>
                    <w:jc w:val="center"/>
                    <w:rPr>
                      <w:rFonts w:hint="default" w:ascii="Times New Roman" w:hAnsi="Times New Roman" w:cs="Times New Roman"/>
                      <w:color w:val="FF0000"/>
                      <w:kern w:val="0"/>
                      <w:szCs w:val="21"/>
                    </w:rPr>
                  </w:pPr>
                  <w:r>
                    <w:rPr>
                      <w:rFonts w:hint="default" w:ascii="Times New Roman" w:hAnsi="Times New Roman" w:cs="Times New Roman"/>
                      <w:color w:val="FF0000"/>
                      <w:kern w:val="0"/>
                      <w:szCs w:val="21"/>
                    </w:rPr>
                    <w:t>一般固废、危废各自设立专用堆放场所及地面防渗处理</w:t>
                  </w:r>
                </w:p>
              </w:tc>
              <w:tc>
                <w:tcPr>
                  <w:tcW w:w="888" w:type="pct"/>
                  <w:tcBorders>
                    <w:tl2br w:val="nil"/>
                    <w:tr2bl w:val="nil"/>
                  </w:tcBorders>
                  <w:vAlign w:val="center"/>
                </w:tcPr>
                <w:p w14:paraId="53E61E0D">
                  <w:pPr>
                    <w:jc w:val="center"/>
                    <w:rPr>
                      <w:rFonts w:hint="default" w:ascii="Times New Roman" w:hAnsi="Times New Roman" w:eastAsia="宋体" w:cs="Times New Roman"/>
                      <w:color w:val="FF0000"/>
                      <w:szCs w:val="21"/>
                      <w:lang w:val="en-US" w:eastAsia="zh-CN"/>
                    </w:rPr>
                  </w:pPr>
                  <w:r>
                    <w:rPr>
                      <w:rFonts w:hint="eastAsia" w:cs="Times New Roman"/>
                      <w:color w:val="FF0000"/>
                      <w:kern w:val="0"/>
                      <w:szCs w:val="21"/>
                      <w:lang w:val="en-US" w:eastAsia="zh-CN"/>
                    </w:rPr>
                    <w:t>15</w:t>
                  </w:r>
                </w:p>
              </w:tc>
              <w:tc>
                <w:tcPr>
                  <w:tcW w:w="733" w:type="pct"/>
                  <w:vMerge w:val="continue"/>
                  <w:tcBorders>
                    <w:tl2br w:val="nil"/>
                    <w:tr2bl w:val="nil"/>
                  </w:tcBorders>
                  <w:vAlign w:val="center"/>
                </w:tcPr>
                <w:p w14:paraId="3E1BB629">
                  <w:pPr>
                    <w:jc w:val="center"/>
                    <w:rPr>
                      <w:rFonts w:hint="default" w:ascii="Times New Roman" w:hAnsi="Times New Roman" w:cs="Times New Roman"/>
                      <w:color w:val="FF0000"/>
                      <w:szCs w:val="21"/>
                    </w:rPr>
                  </w:pPr>
                </w:p>
              </w:tc>
            </w:tr>
            <w:tr w14:paraId="56507FB9">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852" w:type="pct"/>
                  <w:tcBorders>
                    <w:tl2br w:val="nil"/>
                    <w:tr2bl w:val="nil"/>
                  </w:tcBorders>
                  <w:vAlign w:val="center"/>
                </w:tcPr>
                <w:p w14:paraId="430BEAB0">
                  <w:pPr>
                    <w:jc w:val="center"/>
                    <w:rPr>
                      <w:rFonts w:hint="default" w:ascii="Times New Roman" w:hAnsi="Times New Roman" w:cs="Times New Roman"/>
                      <w:color w:val="FF0000"/>
                      <w:kern w:val="0"/>
                      <w:szCs w:val="21"/>
                    </w:rPr>
                  </w:pPr>
                  <w:r>
                    <w:rPr>
                      <w:rFonts w:hint="default" w:ascii="Times New Roman" w:hAnsi="Times New Roman" w:cs="Times New Roman"/>
                      <w:color w:val="FF0000"/>
                      <w:kern w:val="0"/>
                      <w:szCs w:val="21"/>
                    </w:rPr>
                    <w:t>地下水、土壤</w:t>
                  </w:r>
                </w:p>
              </w:tc>
              <w:tc>
                <w:tcPr>
                  <w:tcW w:w="2525" w:type="pct"/>
                  <w:gridSpan w:val="2"/>
                  <w:tcBorders>
                    <w:tl2br w:val="nil"/>
                    <w:tr2bl w:val="nil"/>
                  </w:tcBorders>
                  <w:vAlign w:val="center"/>
                </w:tcPr>
                <w:p w14:paraId="3B374225">
                  <w:pPr>
                    <w:jc w:val="center"/>
                    <w:rPr>
                      <w:rFonts w:hint="default" w:ascii="Times New Roman" w:hAnsi="Times New Roman" w:cs="Times New Roman"/>
                      <w:color w:val="FF0000"/>
                      <w:kern w:val="0"/>
                      <w:szCs w:val="21"/>
                    </w:rPr>
                  </w:pPr>
                  <w:r>
                    <w:rPr>
                      <w:rFonts w:hint="default" w:ascii="Times New Roman" w:hAnsi="Times New Roman" w:cs="Times New Roman"/>
                      <w:color w:val="FF0000"/>
                      <w:kern w:val="0"/>
                      <w:szCs w:val="21"/>
                    </w:rPr>
                    <w:t>分区防渗</w:t>
                  </w:r>
                </w:p>
              </w:tc>
              <w:tc>
                <w:tcPr>
                  <w:tcW w:w="888" w:type="pct"/>
                  <w:tcBorders>
                    <w:tl2br w:val="nil"/>
                    <w:tr2bl w:val="nil"/>
                  </w:tcBorders>
                  <w:vAlign w:val="center"/>
                </w:tcPr>
                <w:p w14:paraId="51F167F9">
                  <w:pPr>
                    <w:jc w:val="center"/>
                    <w:rPr>
                      <w:rFonts w:hint="default" w:ascii="Times New Roman" w:hAnsi="Times New Roman" w:cs="Times New Roman"/>
                      <w:color w:val="FF0000"/>
                      <w:kern w:val="0"/>
                      <w:szCs w:val="21"/>
                    </w:rPr>
                  </w:pPr>
                  <w:r>
                    <w:rPr>
                      <w:rFonts w:hint="default" w:ascii="Times New Roman" w:hAnsi="Times New Roman" w:cs="Times New Roman"/>
                      <w:color w:val="FF0000"/>
                      <w:kern w:val="0"/>
                      <w:szCs w:val="21"/>
                    </w:rPr>
                    <w:t>20</w:t>
                  </w:r>
                </w:p>
              </w:tc>
              <w:tc>
                <w:tcPr>
                  <w:tcW w:w="733" w:type="pct"/>
                  <w:vMerge w:val="continue"/>
                  <w:tcBorders>
                    <w:tl2br w:val="nil"/>
                    <w:tr2bl w:val="nil"/>
                  </w:tcBorders>
                  <w:vAlign w:val="center"/>
                </w:tcPr>
                <w:p w14:paraId="352E8FD4">
                  <w:pPr>
                    <w:jc w:val="center"/>
                    <w:rPr>
                      <w:rFonts w:hint="default" w:ascii="Times New Roman" w:hAnsi="Times New Roman" w:cs="Times New Roman"/>
                      <w:color w:val="FF0000"/>
                      <w:szCs w:val="21"/>
                    </w:rPr>
                  </w:pPr>
                </w:p>
              </w:tc>
            </w:tr>
            <w:tr w14:paraId="6F9EE857">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377" w:type="pct"/>
                  <w:gridSpan w:val="3"/>
                  <w:tcBorders>
                    <w:tl2br w:val="nil"/>
                    <w:tr2bl w:val="nil"/>
                  </w:tcBorders>
                  <w:vAlign w:val="center"/>
                </w:tcPr>
                <w:p w14:paraId="6940AF86">
                  <w:pPr>
                    <w:jc w:val="center"/>
                    <w:rPr>
                      <w:rFonts w:hint="default" w:ascii="Times New Roman" w:hAnsi="Times New Roman" w:cs="Times New Roman"/>
                      <w:color w:val="FF0000"/>
                      <w:kern w:val="0"/>
                      <w:szCs w:val="21"/>
                    </w:rPr>
                  </w:pPr>
                  <w:r>
                    <w:rPr>
                      <w:rFonts w:hint="default" w:ascii="Times New Roman" w:hAnsi="Times New Roman" w:cs="Times New Roman"/>
                      <w:color w:val="FF0000"/>
                      <w:kern w:val="0"/>
                      <w:szCs w:val="21"/>
                    </w:rPr>
                    <w:t>合计</w:t>
                  </w:r>
                </w:p>
              </w:tc>
              <w:tc>
                <w:tcPr>
                  <w:tcW w:w="888" w:type="pct"/>
                  <w:tcBorders>
                    <w:tl2br w:val="nil"/>
                    <w:tr2bl w:val="nil"/>
                  </w:tcBorders>
                  <w:vAlign w:val="center"/>
                </w:tcPr>
                <w:p w14:paraId="719AA748">
                  <w:pPr>
                    <w:jc w:val="center"/>
                    <w:rPr>
                      <w:rFonts w:hint="default" w:ascii="Times New Roman" w:hAnsi="Times New Roman" w:cs="Times New Roman"/>
                      <w:color w:val="FF0000"/>
                      <w:kern w:val="0"/>
                      <w:szCs w:val="21"/>
                    </w:rPr>
                  </w:pPr>
                  <w:r>
                    <w:rPr>
                      <w:rFonts w:hint="default" w:ascii="Times New Roman" w:hAnsi="Times New Roman" w:cs="Times New Roman"/>
                      <w:color w:val="FF0000"/>
                      <w:kern w:val="0"/>
                      <w:szCs w:val="21"/>
                    </w:rPr>
                    <w:t>107</w:t>
                  </w:r>
                </w:p>
              </w:tc>
              <w:tc>
                <w:tcPr>
                  <w:tcW w:w="733" w:type="pct"/>
                  <w:vMerge w:val="continue"/>
                  <w:tcBorders>
                    <w:tl2br w:val="nil"/>
                    <w:tr2bl w:val="nil"/>
                  </w:tcBorders>
                  <w:vAlign w:val="center"/>
                </w:tcPr>
                <w:p w14:paraId="55105BCF">
                  <w:pPr>
                    <w:jc w:val="center"/>
                    <w:rPr>
                      <w:rFonts w:hint="default" w:ascii="Times New Roman" w:hAnsi="Times New Roman" w:cs="Times New Roman"/>
                      <w:color w:val="FF0000"/>
                      <w:szCs w:val="21"/>
                    </w:rPr>
                  </w:pPr>
                </w:p>
              </w:tc>
            </w:tr>
          </w:tbl>
          <w:p w14:paraId="0F5D996D">
            <w:pPr>
              <w:pStyle w:val="13"/>
              <w:ind w:left="0" w:leftChars="0" w:firstLine="0" w:firstLineChars="0"/>
              <w:rPr>
                <w:rFonts w:hint="eastAsia" w:ascii="Times New Roman" w:hAnsi="Times New Roman" w:eastAsia="宋体"/>
                <w:b/>
                <w:color w:val="FF0000"/>
                <w:sz w:val="24"/>
                <w:szCs w:val="24"/>
                <w:lang w:eastAsia="zh-CN"/>
              </w:rPr>
            </w:pPr>
            <w:r>
              <w:rPr>
                <w:rFonts w:hint="eastAsia"/>
                <w:b/>
                <w:color w:val="FF0000"/>
                <w:sz w:val="24"/>
                <w:szCs w:val="24"/>
                <w:lang w:val="en-US" w:eastAsia="zh-CN"/>
              </w:rPr>
              <w:t>八</w:t>
            </w:r>
            <w:r>
              <w:rPr>
                <w:rFonts w:hint="eastAsia"/>
                <w:b/>
                <w:color w:val="FF0000"/>
                <w:sz w:val="24"/>
                <w:szCs w:val="24"/>
                <w:lang w:eastAsia="zh-CN"/>
              </w:rPr>
              <w:t>、</w:t>
            </w:r>
            <w:r>
              <w:rPr>
                <w:rFonts w:hint="eastAsia" w:ascii="Times New Roman" w:hAnsi="Times New Roman" w:eastAsia="宋体"/>
                <w:b/>
                <w:color w:val="FF0000"/>
                <w:sz w:val="24"/>
                <w:szCs w:val="24"/>
              </w:rPr>
              <w:t>主</w:t>
            </w:r>
            <w:r>
              <w:rPr>
                <w:rFonts w:ascii="Times New Roman" w:hAnsi="Times New Roman" w:eastAsia="宋体"/>
                <w:b/>
                <w:color w:val="FF0000"/>
                <w:sz w:val="24"/>
                <w:szCs w:val="24"/>
              </w:rPr>
              <w:t>要污染物排放</w:t>
            </w:r>
            <w:r>
              <w:rPr>
                <w:rFonts w:hint="eastAsia"/>
                <w:b/>
                <w:color w:val="FF0000"/>
                <w:sz w:val="24"/>
                <w:szCs w:val="24"/>
                <w:lang w:eastAsia="zh-CN"/>
              </w:rPr>
              <w:t>量统计</w:t>
            </w:r>
          </w:p>
          <w:p w14:paraId="1E19B480">
            <w:pPr>
              <w:tabs>
                <w:tab w:val="left" w:pos="1440"/>
              </w:tabs>
              <w:spacing w:line="360" w:lineRule="auto"/>
              <w:ind w:firstLine="480" w:firstLineChars="200"/>
              <w:rPr>
                <w:rFonts w:ascii="Times New Roman" w:hAnsi="Times New Roman" w:eastAsia="宋体"/>
                <w:color w:val="FF0000"/>
                <w:sz w:val="24"/>
                <w:szCs w:val="24"/>
              </w:rPr>
            </w:pPr>
            <w:r>
              <w:rPr>
                <w:rFonts w:hint="eastAsia" w:ascii="Times New Roman" w:hAnsi="Times New Roman" w:eastAsia="宋体"/>
                <w:color w:val="FF0000"/>
                <w:sz w:val="24"/>
                <w:szCs w:val="24"/>
                <w:lang w:eastAsia="zh-CN"/>
              </w:rPr>
              <w:t>本</w:t>
            </w:r>
            <w:r>
              <w:rPr>
                <w:rFonts w:ascii="Times New Roman" w:hAnsi="Times New Roman" w:eastAsia="宋体"/>
                <w:color w:val="FF0000"/>
                <w:sz w:val="24"/>
                <w:szCs w:val="24"/>
              </w:rPr>
              <w:t>项目为</w:t>
            </w:r>
            <w:r>
              <w:rPr>
                <w:rFonts w:hint="eastAsia"/>
                <w:color w:val="FF0000"/>
                <w:sz w:val="24"/>
                <w:szCs w:val="24"/>
                <w:lang w:eastAsia="zh-CN"/>
              </w:rPr>
              <w:t>新建</w:t>
            </w:r>
            <w:r>
              <w:rPr>
                <w:rFonts w:ascii="Times New Roman" w:hAnsi="Times New Roman" w:eastAsia="宋体"/>
                <w:color w:val="FF0000"/>
                <w:sz w:val="24"/>
                <w:szCs w:val="24"/>
              </w:rPr>
              <w:t>项目，主要污染物排放见表</w:t>
            </w:r>
            <w:r>
              <w:rPr>
                <w:rFonts w:hint="eastAsia" w:ascii="Times New Roman" w:hAnsi="Times New Roman" w:eastAsia="宋体"/>
                <w:color w:val="FF0000"/>
                <w:sz w:val="24"/>
                <w:szCs w:val="24"/>
                <w:lang w:val="en-US" w:eastAsia="zh-CN"/>
              </w:rPr>
              <w:t>4-</w:t>
            </w:r>
            <w:r>
              <w:rPr>
                <w:rFonts w:hint="eastAsia"/>
                <w:color w:val="FF0000"/>
                <w:sz w:val="24"/>
                <w:szCs w:val="24"/>
                <w:lang w:val="en-US" w:eastAsia="zh-CN"/>
              </w:rPr>
              <w:t>43</w:t>
            </w:r>
            <w:r>
              <w:rPr>
                <w:rFonts w:ascii="Times New Roman" w:hAnsi="Times New Roman" w:eastAsia="宋体"/>
                <w:color w:val="FF0000"/>
                <w:sz w:val="24"/>
                <w:szCs w:val="24"/>
              </w:rPr>
              <w:t>。</w:t>
            </w:r>
          </w:p>
          <w:p w14:paraId="776B8E59">
            <w:pPr>
              <w:tabs>
                <w:tab w:val="left" w:pos="1440"/>
              </w:tabs>
              <w:spacing w:line="240" w:lineRule="auto"/>
              <w:ind w:firstLine="422" w:firstLineChars="200"/>
              <w:jc w:val="center"/>
              <w:rPr>
                <w:rFonts w:ascii="Times New Roman" w:hAnsi="Times New Roman" w:eastAsia="宋体"/>
                <w:b/>
                <w:color w:val="FF0000"/>
                <w:sz w:val="21"/>
                <w:szCs w:val="21"/>
              </w:rPr>
            </w:pPr>
            <w:r>
              <w:rPr>
                <w:rFonts w:ascii="Times New Roman" w:hAnsi="Times New Roman" w:eastAsia="宋体"/>
                <w:b/>
                <w:color w:val="FF0000"/>
                <w:sz w:val="21"/>
                <w:szCs w:val="21"/>
              </w:rPr>
              <w:t>表</w:t>
            </w:r>
            <w:r>
              <w:rPr>
                <w:rFonts w:hint="eastAsia" w:ascii="Times New Roman" w:hAnsi="Times New Roman" w:eastAsia="宋体"/>
                <w:b/>
                <w:color w:val="FF0000"/>
                <w:sz w:val="21"/>
                <w:szCs w:val="21"/>
                <w:lang w:val="en-US" w:eastAsia="zh-CN"/>
              </w:rPr>
              <w:t>4-</w:t>
            </w:r>
            <w:r>
              <w:rPr>
                <w:rFonts w:hint="eastAsia"/>
                <w:b/>
                <w:color w:val="FF0000"/>
                <w:sz w:val="21"/>
                <w:szCs w:val="21"/>
                <w:lang w:val="en-US" w:eastAsia="zh-CN"/>
              </w:rPr>
              <w:t>43</w:t>
            </w:r>
            <w:r>
              <w:rPr>
                <w:rFonts w:ascii="Times New Roman" w:hAnsi="Times New Roman" w:eastAsia="宋体"/>
                <w:b/>
                <w:color w:val="FF0000"/>
                <w:sz w:val="21"/>
                <w:szCs w:val="21"/>
              </w:rPr>
              <w:t xml:space="preserve">    污染物排放量统计    单位（t/a）</w:t>
            </w:r>
          </w:p>
          <w:tbl>
            <w:tblPr>
              <w:tblStyle w:val="34"/>
              <w:tblW w:w="4997" w:type="pct"/>
              <w:tblInd w:w="0" w:type="dxa"/>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516"/>
              <w:gridCol w:w="713"/>
              <w:gridCol w:w="1867"/>
              <w:gridCol w:w="1494"/>
              <w:gridCol w:w="1301"/>
              <w:gridCol w:w="1301"/>
              <w:gridCol w:w="1276"/>
            </w:tblGrid>
            <w:tr w14:paraId="273DD635">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25" w:type="pct"/>
                  <w:gridSpan w:val="2"/>
                  <w:noWrap w:val="0"/>
                  <w:vAlign w:val="top"/>
                </w:tcPr>
                <w:p w14:paraId="7402E609">
                  <w:pPr>
                    <w:tabs>
                      <w:tab w:val="left" w:pos="1440"/>
                    </w:tabs>
                    <w:jc w:val="center"/>
                    <w:rPr>
                      <w:rFonts w:hint="default" w:ascii="Times New Roman" w:hAnsi="Times New Roman" w:eastAsia="宋体" w:cs="Times New Roman"/>
                      <w:b/>
                      <w:color w:val="FF0000"/>
                      <w:sz w:val="21"/>
                      <w:szCs w:val="21"/>
                    </w:rPr>
                  </w:pPr>
                  <w:r>
                    <w:rPr>
                      <w:rFonts w:hint="default" w:ascii="Times New Roman" w:hAnsi="Times New Roman" w:eastAsia="宋体" w:cs="Times New Roman"/>
                      <w:b/>
                      <w:color w:val="FF0000"/>
                      <w:sz w:val="21"/>
                      <w:szCs w:val="21"/>
                    </w:rPr>
                    <w:t>类别</w:t>
                  </w:r>
                </w:p>
              </w:tc>
              <w:tc>
                <w:tcPr>
                  <w:tcW w:w="1102" w:type="pct"/>
                  <w:noWrap w:val="0"/>
                  <w:vAlign w:val="top"/>
                </w:tcPr>
                <w:p w14:paraId="1CADF064">
                  <w:pPr>
                    <w:tabs>
                      <w:tab w:val="left" w:pos="1440"/>
                    </w:tabs>
                    <w:jc w:val="center"/>
                    <w:rPr>
                      <w:rFonts w:hint="default" w:ascii="Times New Roman" w:hAnsi="Times New Roman" w:eastAsia="宋体" w:cs="Times New Roman"/>
                      <w:b/>
                      <w:color w:val="FF0000"/>
                      <w:sz w:val="21"/>
                      <w:szCs w:val="21"/>
                    </w:rPr>
                  </w:pPr>
                  <w:r>
                    <w:rPr>
                      <w:rFonts w:hint="default" w:ascii="Times New Roman" w:hAnsi="Times New Roman" w:eastAsia="宋体" w:cs="Times New Roman"/>
                      <w:b/>
                      <w:color w:val="FF0000"/>
                      <w:sz w:val="21"/>
                      <w:szCs w:val="21"/>
                    </w:rPr>
                    <w:t>污染物</w:t>
                  </w:r>
                </w:p>
              </w:tc>
              <w:tc>
                <w:tcPr>
                  <w:tcW w:w="882" w:type="pct"/>
                  <w:noWrap w:val="0"/>
                  <w:vAlign w:val="top"/>
                </w:tcPr>
                <w:p w14:paraId="38102CAB">
                  <w:pPr>
                    <w:tabs>
                      <w:tab w:val="left" w:pos="1440"/>
                    </w:tabs>
                    <w:jc w:val="center"/>
                    <w:rPr>
                      <w:rFonts w:hint="eastAsia" w:ascii="Times New Roman" w:hAnsi="Times New Roman" w:eastAsia="宋体" w:cs="Times New Roman"/>
                      <w:b/>
                      <w:color w:val="FF0000"/>
                      <w:sz w:val="21"/>
                      <w:szCs w:val="21"/>
                      <w:lang w:eastAsia="zh-CN"/>
                    </w:rPr>
                  </w:pPr>
                  <w:r>
                    <w:rPr>
                      <w:rFonts w:hint="eastAsia" w:cs="Times New Roman"/>
                      <w:b/>
                      <w:color w:val="FF0000"/>
                      <w:sz w:val="21"/>
                      <w:szCs w:val="21"/>
                      <w:lang w:eastAsia="zh-CN"/>
                    </w:rPr>
                    <w:t>产生量</w:t>
                  </w:r>
                </w:p>
              </w:tc>
              <w:tc>
                <w:tcPr>
                  <w:tcW w:w="768" w:type="pct"/>
                  <w:noWrap w:val="0"/>
                  <w:vAlign w:val="top"/>
                </w:tcPr>
                <w:p w14:paraId="1F2FF281">
                  <w:pPr>
                    <w:tabs>
                      <w:tab w:val="left" w:pos="1440"/>
                    </w:tabs>
                    <w:jc w:val="center"/>
                    <w:rPr>
                      <w:rFonts w:hint="eastAsia" w:ascii="Times New Roman" w:hAnsi="Times New Roman" w:eastAsia="宋体" w:cs="Times New Roman"/>
                      <w:b/>
                      <w:color w:val="FF0000"/>
                      <w:sz w:val="21"/>
                      <w:szCs w:val="21"/>
                      <w:lang w:eastAsia="zh-CN"/>
                    </w:rPr>
                  </w:pPr>
                  <w:r>
                    <w:rPr>
                      <w:rFonts w:hint="eastAsia" w:cs="Times New Roman"/>
                      <w:b/>
                      <w:color w:val="FF0000"/>
                      <w:sz w:val="21"/>
                      <w:szCs w:val="21"/>
                      <w:lang w:eastAsia="zh-CN"/>
                    </w:rPr>
                    <w:t>削减量</w:t>
                  </w:r>
                </w:p>
              </w:tc>
              <w:tc>
                <w:tcPr>
                  <w:tcW w:w="768" w:type="pct"/>
                  <w:noWrap w:val="0"/>
                  <w:vAlign w:val="top"/>
                </w:tcPr>
                <w:p w14:paraId="30CB209F">
                  <w:pPr>
                    <w:tabs>
                      <w:tab w:val="left" w:pos="1440"/>
                    </w:tabs>
                    <w:jc w:val="center"/>
                    <w:rPr>
                      <w:rFonts w:hint="eastAsia" w:ascii="Times New Roman" w:hAnsi="Times New Roman" w:eastAsia="宋体" w:cs="Times New Roman"/>
                      <w:b/>
                      <w:color w:val="FF0000"/>
                      <w:sz w:val="21"/>
                      <w:szCs w:val="21"/>
                      <w:lang w:eastAsia="zh-CN"/>
                    </w:rPr>
                  </w:pPr>
                  <w:r>
                    <w:rPr>
                      <w:rFonts w:hint="eastAsia" w:cs="Times New Roman"/>
                      <w:b/>
                      <w:color w:val="FF0000"/>
                      <w:sz w:val="21"/>
                      <w:szCs w:val="21"/>
                      <w:lang w:eastAsia="zh-CN"/>
                    </w:rPr>
                    <w:t>排放量</w:t>
                  </w:r>
                </w:p>
              </w:tc>
              <w:tc>
                <w:tcPr>
                  <w:tcW w:w="753" w:type="pct"/>
                  <w:noWrap w:val="0"/>
                  <w:vAlign w:val="top"/>
                </w:tcPr>
                <w:p w14:paraId="65E2778A">
                  <w:pPr>
                    <w:tabs>
                      <w:tab w:val="left" w:pos="1440"/>
                    </w:tabs>
                    <w:jc w:val="center"/>
                    <w:rPr>
                      <w:rFonts w:hint="eastAsia" w:ascii="Times New Roman" w:hAnsi="Times New Roman" w:eastAsia="宋体" w:cs="Times New Roman"/>
                      <w:b/>
                      <w:color w:val="FF0000"/>
                      <w:sz w:val="21"/>
                      <w:szCs w:val="21"/>
                      <w:lang w:eastAsia="zh-CN"/>
                    </w:rPr>
                  </w:pPr>
                  <w:r>
                    <w:rPr>
                      <w:rFonts w:hint="eastAsia" w:cs="Times New Roman"/>
                      <w:b/>
                      <w:color w:val="FF0000"/>
                      <w:sz w:val="21"/>
                      <w:szCs w:val="21"/>
                      <w:lang w:eastAsia="zh-CN"/>
                    </w:rPr>
                    <w:t>拟申请总量</w:t>
                  </w:r>
                </w:p>
              </w:tc>
            </w:tr>
            <w:tr w14:paraId="42E5EA4A">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25" w:type="pct"/>
                  <w:gridSpan w:val="2"/>
                  <w:vMerge w:val="restart"/>
                  <w:noWrap w:val="0"/>
                  <w:vAlign w:val="center"/>
                </w:tcPr>
                <w:p w14:paraId="5738F3BE">
                  <w:pPr>
                    <w:keepNext w:val="0"/>
                    <w:keepLines w:val="0"/>
                    <w:widowControl/>
                    <w:suppressLineNumbers w:val="0"/>
                    <w:jc w:val="center"/>
                    <w:textAlignment w:val="center"/>
                    <w:rPr>
                      <w:rFonts w:hint="default" w:ascii="Times New Roman" w:hAnsi="Times New Roman" w:eastAsia="宋体" w:cs="Times New Roman"/>
                      <w:i w:val="0"/>
                      <w:iCs w:val="0"/>
                      <w:color w:val="FF0000"/>
                      <w:kern w:val="0"/>
                      <w:sz w:val="21"/>
                      <w:szCs w:val="21"/>
                      <w:u w:val="none"/>
                      <w:lang w:val="en-US" w:eastAsia="zh-CN" w:bidi="ar"/>
                    </w:rPr>
                  </w:pPr>
                  <w:r>
                    <w:rPr>
                      <w:rFonts w:hint="default" w:ascii="Times New Roman" w:hAnsi="Times New Roman" w:eastAsia="宋体" w:cs="Times New Roman"/>
                      <w:i w:val="0"/>
                      <w:iCs w:val="0"/>
                      <w:color w:val="FF0000"/>
                      <w:kern w:val="0"/>
                      <w:sz w:val="21"/>
                      <w:szCs w:val="21"/>
                      <w:u w:val="none"/>
                      <w:lang w:val="en-US" w:eastAsia="zh-CN" w:bidi="ar"/>
                    </w:rPr>
                    <w:t>废气</w:t>
                  </w:r>
                </w:p>
              </w:tc>
              <w:tc>
                <w:tcPr>
                  <w:tcW w:w="1102" w:type="pct"/>
                  <w:noWrap w:val="0"/>
                  <w:vAlign w:val="center"/>
                </w:tcPr>
                <w:p w14:paraId="0DD3F27F">
                  <w:pPr>
                    <w:keepNext w:val="0"/>
                    <w:keepLines w:val="0"/>
                    <w:widowControl/>
                    <w:suppressLineNumbers w:val="0"/>
                    <w:jc w:val="center"/>
                    <w:textAlignment w:val="center"/>
                    <w:rPr>
                      <w:rFonts w:hint="default" w:ascii="Times New Roman" w:hAnsi="Times New Roman" w:eastAsia="宋体" w:cs="Times New Roman"/>
                      <w:i w:val="0"/>
                      <w:iCs w:val="0"/>
                      <w:color w:val="FF0000"/>
                      <w:kern w:val="0"/>
                      <w:sz w:val="21"/>
                      <w:szCs w:val="21"/>
                      <w:u w:val="none"/>
                      <w:lang w:val="en-US" w:eastAsia="zh-CN" w:bidi="ar"/>
                    </w:rPr>
                  </w:pPr>
                  <w:r>
                    <w:rPr>
                      <w:rFonts w:hint="default" w:ascii="Times New Roman" w:hAnsi="Times New Roman" w:eastAsia="宋体" w:cs="Times New Roman"/>
                      <w:i w:val="0"/>
                      <w:iCs w:val="0"/>
                      <w:color w:val="FF0000"/>
                      <w:kern w:val="0"/>
                      <w:sz w:val="21"/>
                      <w:szCs w:val="21"/>
                      <w:u w:val="none"/>
                      <w:lang w:val="en-US" w:eastAsia="zh-CN" w:bidi="ar"/>
                    </w:rPr>
                    <w:t>颗粒物</w:t>
                  </w:r>
                </w:p>
              </w:tc>
              <w:tc>
                <w:tcPr>
                  <w:tcW w:w="882" w:type="pct"/>
                  <w:noWrap w:val="0"/>
                  <w:vAlign w:val="bottom"/>
                </w:tcPr>
                <w:p w14:paraId="7F30521E">
                  <w:pPr>
                    <w:keepNext w:val="0"/>
                    <w:keepLines w:val="0"/>
                    <w:widowControl/>
                    <w:suppressLineNumbers w:val="0"/>
                    <w:jc w:val="center"/>
                    <w:textAlignment w:val="center"/>
                    <w:rPr>
                      <w:rFonts w:hint="default" w:ascii="Times New Roman" w:hAnsi="Times New Roman" w:eastAsia="宋体" w:cs="Times New Roman"/>
                      <w:i w:val="0"/>
                      <w:iCs w:val="0"/>
                      <w:color w:val="FF0000"/>
                      <w:kern w:val="0"/>
                      <w:sz w:val="21"/>
                      <w:szCs w:val="21"/>
                      <w:u w:val="none"/>
                      <w:lang w:val="en-US" w:eastAsia="zh-CN" w:bidi="ar"/>
                    </w:rPr>
                  </w:pPr>
                  <w:r>
                    <w:rPr>
                      <w:rFonts w:hint="default" w:ascii="Times New Roman" w:hAnsi="Times New Roman" w:eastAsia="宋体" w:cs="Times New Roman"/>
                      <w:i w:val="0"/>
                      <w:iCs w:val="0"/>
                      <w:color w:val="FF0000"/>
                      <w:kern w:val="0"/>
                      <w:sz w:val="21"/>
                      <w:szCs w:val="21"/>
                      <w:u w:val="none"/>
                      <w:lang w:val="en-US" w:eastAsia="zh-CN" w:bidi="ar"/>
                    </w:rPr>
                    <w:t>23.206</w:t>
                  </w:r>
                </w:p>
              </w:tc>
              <w:tc>
                <w:tcPr>
                  <w:tcW w:w="768" w:type="pct"/>
                  <w:noWrap w:val="0"/>
                  <w:vAlign w:val="center"/>
                </w:tcPr>
                <w:p w14:paraId="5B8A9282">
                  <w:pPr>
                    <w:keepNext w:val="0"/>
                    <w:keepLines w:val="0"/>
                    <w:widowControl/>
                    <w:suppressLineNumbers w:val="0"/>
                    <w:jc w:val="center"/>
                    <w:textAlignment w:val="center"/>
                    <w:rPr>
                      <w:rFonts w:hint="default" w:ascii="Times New Roman" w:hAnsi="Times New Roman" w:eastAsia="宋体" w:cs="Times New Roman"/>
                      <w:i w:val="0"/>
                      <w:iCs w:val="0"/>
                      <w:color w:val="FF0000"/>
                      <w:kern w:val="0"/>
                      <w:sz w:val="21"/>
                      <w:szCs w:val="21"/>
                      <w:u w:val="none"/>
                      <w:lang w:val="en-US" w:eastAsia="zh-CN" w:bidi="ar"/>
                    </w:rPr>
                  </w:pPr>
                  <w:r>
                    <w:rPr>
                      <w:rFonts w:hint="default" w:ascii="Times New Roman" w:hAnsi="Times New Roman" w:eastAsia="宋体" w:cs="Times New Roman"/>
                      <w:i w:val="0"/>
                      <w:iCs w:val="0"/>
                      <w:color w:val="FF0000"/>
                      <w:kern w:val="0"/>
                      <w:sz w:val="21"/>
                      <w:szCs w:val="21"/>
                      <w:u w:val="none"/>
                      <w:lang w:val="en-US" w:eastAsia="zh-CN" w:bidi="ar"/>
                    </w:rPr>
                    <w:t>22.953</w:t>
                  </w:r>
                </w:p>
              </w:tc>
              <w:tc>
                <w:tcPr>
                  <w:tcW w:w="768" w:type="pct"/>
                  <w:noWrap w:val="0"/>
                  <w:vAlign w:val="center"/>
                </w:tcPr>
                <w:p w14:paraId="57D30A24">
                  <w:pPr>
                    <w:keepNext w:val="0"/>
                    <w:keepLines w:val="0"/>
                    <w:widowControl/>
                    <w:suppressLineNumbers w:val="0"/>
                    <w:jc w:val="center"/>
                    <w:textAlignment w:val="center"/>
                    <w:rPr>
                      <w:rFonts w:hint="default" w:ascii="Times New Roman" w:hAnsi="Times New Roman" w:eastAsia="宋体" w:cs="Times New Roman"/>
                      <w:i w:val="0"/>
                      <w:iCs w:val="0"/>
                      <w:color w:val="FF0000"/>
                      <w:kern w:val="0"/>
                      <w:sz w:val="21"/>
                      <w:szCs w:val="21"/>
                      <w:u w:val="none"/>
                      <w:lang w:val="en-US" w:eastAsia="zh-CN" w:bidi="ar"/>
                    </w:rPr>
                  </w:pPr>
                  <w:r>
                    <w:rPr>
                      <w:rFonts w:hint="default" w:ascii="Times New Roman" w:hAnsi="Times New Roman" w:eastAsia="宋体" w:cs="Times New Roman"/>
                      <w:i w:val="0"/>
                      <w:iCs w:val="0"/>
                      <w:color w:val="FF0000"/>
                      <w:kern w:val="0"/>
                      <w:sz w:val="21"/>
                      <w:szCs w:val="21"/>
                      <w:u w:val="none"/>
                      <w:lang w:val="en-US" w:eastAsia="zh-CN" w:bidi="ar"/>
                    </w:rPr>
                    <w:t>0.253</w:t>
                  </w:r>
                </w:p>
              </w:tc>
              <w:tc>
                <w:tcPr>
                  <w:tcW w:w="753" w:type="pct"/>
                  <w:noWrap w:val="0"/>
                  <w:vAlign w:val="center"/>
                </w:tcPr>
                <w:p w14:paraId="52667EB5">
                  <w:pPr>
                    <w:keepNext w:val="0"/>
                    <w:keepLines w:val="0"/>
                    <w:widowControl/>
                    <w:suppressLineNumbers w:val="0"/>
                    <w:jc w:val="center"/>
                    <w:textAlignment w:val="center"/>
                    <w:rPr>
                      <w:rFonts w:hint="default" w:ascii="Times New Roman" w:hAnsi="Times New Roman" w:eastAsia="宋体" w:cs="Times New Roman"/>
                      <w:i w:val="0"/>
                      <w:iCs w:val="0"/>
                      <w:color w:val="FF0000"/>
                      <w:kern w:val="0"/>
                      <w:sz w:val="21"/>
                      <w:szCs w:val="21"/>
                      <w:u w:val="none"/>
                      <w:lang w:val="en-US" w:eastAsia="zh-CN" w:bidi="ar"/>
                    </w:rPr>
                  </w:pPr>
                  <w:r>
                    <w:rPr>
                      <w:rFonts w:hint="eastAsia" w:cs="Times New Roman"/>
                      <w:i w:val="0"/>
                      <w:iCs w:val="0"/>
                      <w:color w:val="FF0000"/>
                      <w:kern w:val="0"/>
                      <w:sz w:val="21"/>
                      <w:szCs w:val="21"/>
                      <w:u w:val="none"/>
                      <w:lang w:val="en-US" w:eastAsia="zh-CN" w:bidi="ar"/>
                    </w:rPr>
                    <w:t>/</w:t>
                  </w:r>
                </w:p>
              </w:tc>
            </w:tr>
            <w:tr w14:paraId="51C84827">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25" w:type="pct"/>
                  <w:gridSpan w:val="2"/>
                  <w:vMerge w:val="continue"/>
                  <w:noWrap w:val="0"/>
                  <w:vAlign w:val="center"/>
                </w:tcPr>
                <w:p w14:paraId="26238DF3">
                  <w:pPr>
                    <w:keepNext w:val="0"/>
                    <w:keepLines w:val="0"/>
                    <w:widowControl/>
                    <w:suppressLineNumbers w:val="0"/>
                    <w:jc w:val="center"/>
                    <w:textAlignment w:val="center"/>
                    <w:rPr>
                      <w:rFonts w:hint="default" w:ascii="Times New Roman" w:hAnsi="Times New Roman" w:eastAsia="宋体" w:cs="Times New Roman"/>
                      <w:i w:val="0"/>
                      <w:iCs w:val="0"/>
                      <w:color w:val="FF0000"/>
                      <w:kern w:val="0"/>
                      <w:sz w:val="21"/>
                      <w:szCs w:val="21"/>
                      <w:u w:val="none"/>
                      <w:lang w:val="en-US" w:eastAsia="zh-CN" w:bidi="ar"/>
                    </w:rPr>
                  </w:pPr>
                </w:p>
              </w:tc>
              <w:tc>
                <w:tcPr>
                  <w:tcW w:w="1102" w:type="pct"/>
                  <w:noWrap w:val="0"/>
                  <w:vAlign w:val="center"/>
                </w:tcPr>
                <w:p w14:paraId="08339437">
                  <w:pPr>
                    <w:keepNext w:val="0"/>
                    <w:keepLines w:val="0"/>
                    <w:widowControl/>
                    <w:suppressLineNumbers w:val="0"/>
                    <w:jc w:val="center"/>
                    <w:textAlignment w:val="center"/>
                    <w:rPr>
                      <w:rFonts w:hint="default" w:ascii="Times New Roman" w:hAnsi="Times New Roman" w:eastAsia="宋体" w:cs="Times New Roman"/>
                      <w:i w:val="0"/>
                      <w:iCs w:val="0"/>
                      <w:color w:val="FF0000"/>
                      <w:kern w:val="0"/>
                      <w:sz w:val="21"/>
                      <w:szCs w:val="21"/>
                      <w:u w:val="none"/>
                      <w:lang w:val="en-US" w:eastAsia="zh-CN" w:bidi="ar"/>
                    </w:rPr>
                  </w:pPr>
                  <w:r>
                    <w:rPr>
                      <w:rFonts w:hint="eastAsia" w:ascii="Times New Roman" w:hAnsi="Times New Roman" w:eastAsia="宋体" w:cs="Times New Roman"/>
                      <w:i w:val="0"/>
                      <w:iCs w:val="0"/>
                      <w:color w:val="FF0000"/>
                      <w:kern w:val="0"/>
                      <w:sz w:val="21"/>
                      <w:szCs w:val="21"/>
                      <w:u w:val="none"/>
                      <w:lang w:val="en-US" w:eastAsia="zh-CN" w:bidi="ar"/>
                    </w:rPr>
                    <w:t>非甲烷总烃</w:t>
                  </w:r>
                </w:p>
              </w:tc>
              <w:tc>
                <w:tcPr>
                  <w:tcW w:w="882" w:type="pct"/>
                  <w:noWrap w:val="0"/>
                  <w:vAlign w:val="bottom"/>
                </w:tcPr>
                <w:p w14:paraId="3281A71C">
                  <w:pPr>
                    <w:keepNext w:val="0"/>
                    <w:keepLines w:val="0"/>
                    <w:widowControl/>
                    <w:suppressLineNumbers w:val="0"/>
                    <w:jc w:val="center"/>
                    <w:textAlignment w:val="center"/>
                    <w:rPr>
                      <w:rFonts w:hint="default" w:ascii="Times New Roman" w:hAnsi="Times New Roman" w:eastAsia="宋体" w:cs="Times New Roman"/>
                      <w:i w:val="0"/>
                      <w:iCs w:val="0"/>
                      <w:color w:val="FF0000"/>
                      <w:kern w:val="0"/>
                      <w:sz w:val="21"/>
                      <w:szCs w:val="21"/>
                      <w:u w:val="none"/>
                      <w:lang w:val="en-US" w:eastAsia="zh-CN" w:bidi="ar"/>
                    </w:rPr>
                  </w:pPr>
                  <w:r>
                    <w:rPr>
                      <w:rFonts w:hint="default" w:ascii="Times New Roman" w:hAnsi="Times New Roman" w:eastAsia="宋体" w:cs="Times New Roman"/>
                      <w:i w:val="0"/>
                      <w:iCs w:val="0"/>
                      <w:color w:val="FF0000"/>
                      <w:kern w:val="0"/>
                      <w:sz w:val="21"/>
                      <w:szCs w:val="21"/>
                      <w:u w:val="none"/>
                      <w:lang w:val="en-US" w:eastAsia="zh-CN" w:bidi="ar"/>
                    </w:rPr>
                    <w:t>0.348</w:t>
                  </w:r>
                </w:p>
              </w:tc>
              <w:tc>
                <w:tcPr>
                  <w:tcW w:w="768" w:type="pct"/>
                  <w:noWrap w:val="0"/>
                  <w:vAlign w:val="center"/>
                </w:tcPr>
                <w:p w14:paraId="6E523E29">
                  <w:pPr>
                    <w:keepNext w:val="0"/>
                    <w:keepLines w:val="0"/>
                    <w:widowControl/>
                    <w:suppressLineNumbers w:val="0"/>
                    <w:jc w:val="center"/>
                    <w:textAlignment w:val="center"/>
                    <w:rPr>
                      <w:rFonts w:hint="default" w:ascii="Times New Roman" w:hAnsi="Times New Roman" w:eastAsia="宋体" w:cs="Times New Roman"/>
                      <w:i w:val="0"/>
                      <w:iCs w:val="0"/>
                      <w:color w:val="FF0000"/>
                      <w:kern w:val="0"/>
                      <w:sz w:val="21"/>
                      <w:szCs w:val="21"/>
                      <w:u w:val="none"/>
                      <w:lang w:val="en-US" w:eastAsia="zh-CN" w:bidi="ar"/>
                    </w:rPr>
                  </w:pPr>
                  <w:r>
                    <w:rPr>
                      <w:rFonts w:hint="default" w:ascii="Times New Roman" w:hAnsi="Times New Roman" w:eastAsia="宋体" w:cs="Times New Roman"/>
                      <w:i w:val="0"/>
                      <w:iCs w:val="0"/>
                      <w:color w:val="FF0000"/>
                      <w:kern w:val="0"/>
                      <w:sz w:val="21"/>
                      <w:szCs w:val="21"/>
                      <w:u w:val="none"/>
                      <w:lang w:val="en-US" w:eastAsia="zh-CN" w:bidi="ar"/>
                    </w:rPr>
                    <w:t>0.2786</w:t>
                  </w:r>
                </w:p>
              </w:tc>
              <w:tc>
                <w:tcPr>
                  <w:tcW w:w="768" w:type="pct"/>
                  <w:noWrap w:val="0"/>
                  <w:vAlign w:val="center"/>
                </w:tcPr>
                <w:p w14:paraId="5AF4CA03">
                  <w:pPr>
                    <w:keepNext w:val="0"/>
                    <w:keepLines w:val="0"/>
                    <w:widowControl/>
                    <w:suppressLineNumbers w:val="0"/>
                    <w:jc w:val="center"/>
                    <w:textAlignment w:val="center"/>
                    <w:rPr>
                      <w:rFonts w:hint="default" w:ascii="Times New Roman" w:hAnsi="Times New Roman" w:eastAsia="宋体" w:cs="Times New Roman"/>
                      <w:i w:val="0"/>
                      <w:iCs w:val="0"/>
                      <w:color w:val="FF0000"/>
                      <w:kern w:val="0"/>
                      <w:sz w:val="21"/>
                      <w:szCs w:val="21"/>
                      <w:u w:val="none"/>
                      <w:lang w:val="en-US" w:eastAsia="zh-CN" w:bidi="ar"/>
                    </w:rPr>
                  </w:pPr>
                  <w:r>
                    <w:rPr>
                      <w:rFonts w:hint="default" w:ascii="Times New Roman" w:hAnsi="Times New Roman" w:eastAsia="宋体" w:cs="Times New Roman"/>
                      <w:i w:val="0"/>
                      <w:iCs w:val="0"/>
                      <w:color w:val="FF0000"/>
                      <w:kern w:val="0"/>
                      <w:sz w:val="21"/>
                      <w:szCs w:val="21"/>
                      <w:u w:val="none"/>
                      <w:lang w:val="en-US" w:eastAsia="zh-CN" w:bidi="ar"/>
                    </w:rPr>
                    <w:t>0.0694</w:t>
                  </w:r>
                </w:p>
              </w:tc>
              <w:tc>
                <w:tcPr>
                  <w:tcW w:w="753" w:type="pct"/>
                  <w:noWrap w:val="0"/>
                  <w:vAlign w:val="center"/>
                </w:tcPr>
                <w:p w14:paraId="6A0A9D76">
                  <w:pPr>
                    <w:keepNext w:val="0"/>
                    <w:keepLines w:val="0"/>
                    <w:widowControl/>
                    <w:suppressLineNumbers w:val="0"/>
                    <w:jc w:val="center"/>
                    <w:textAlignment w:val="center"/>
                    <w:rPr>
                      <w:rFonts w:hint="default" w:ascii="Times New Roman" w:hAnsi="Times New Roman" w:eastAsia="宋体" w:cs="Times New Roman"/>
                      <w:i w:val="0"/>
                      <w:iCs w:val="0"/>
                      <w:color w:val="FF0000"/>
                      <w:kern w:val="0"/>
                      <w:sz w:val="21"/>
                      <w:szCs w:val="21"/>
                      <w:u w:val="none"/>
                      <w:lang w:val="en-US" w:eastAsia="zh-CN" w:bidi="ar"/>
                    </w:rPr>
                  </w:pPr>
                  <w:r>
                    <w:rPr>
                      <w:rFonts w:hint="default" w:ascii="Times New Roman" w:hAnsi="Times New Roman" w:eastAsia="宋体" w:cs="Times New Roman"/>
                      <w:i w:val="0"/>
                      <w:iCs w:val="0"/>
                      <w:color w:val="FF0000"/>
                      <w:kern w:val="0"/>
                      <w:sz w:val="21"/>
                      <w:szCs w:val="21"/>
                      <w:u w:val="none"/>
                      <w:lang w:val="en-US" w:eastAsia="zh-CN" w:bidi="ar"/>
                    </w:rPr>
                    <w:t>0.0694</w:t>
                  </w:r>
                </w:p>
              </w:tc>
            </w:tr>
            <w:tr w14:paraId="4BA2219F">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25" w:type="pct"/>
                  <w:gridSpan w:val="2"/>
                  <w:vMerge w:val="continue"/>
                  <w:noWrap w:val="0"/>
                  <w:vAlign w:val="center"/>
                </w:tcPr>
                <w:p w14:paraId="005A6FB3">
                  <w:pPr>
                    <w:keepNext w:val="0"/>
                    <w:keepLines w:val="0"/>
                    <w:widowControl/>
                    <w:suppressLineNumbers w:val="0"/>
                    <w:jc w:val="center"/>
                    <w:textAlignment w:val="center"/>
                    <w:rPr>
                      <w:rFonts w:hint="default" w:ascii="Times New Roman" w:hAnsi="Times New Roman" w:eastAsia="宋体" w:cs="Times New Roman"/>
                      <w:i w:val="0"/>
                      <w:iCs w:val="0"/>
                      <w:color w:val="FF0000"/>
                      <w:kern w:val="0"/>
                      <w:sz w:val="21"/>
                      <w:szCs w:val="21"/>
                      <w:u w:val="none"/>
                      <w:lang w:val="en-US" w:eastAsia="zh-CN" w:bidi="ar"/>
                    </w:rPr>
                  </w:pPr>
                </w:p>
              </w:tc>
              <w:tc>
                <w:tcPr>
                  <w:tcW w:w="1102" w:type="pct"/>
                  <w:noWrap w:val="0"/>
                  <w:vAlign w:val="center"/>
                </w:tcPr>
                <w:p w14:paraId="1AF7C9CA">
                  <w:pPr>
                    <w:keepNext w:val="0"/>
                    <w:keepLines w:val="0"/>
                    <w:widowControl/>
                    <w:suppressLineNumbers w:val="0"/>
                    <w:jc w:val="center"/>
                    <w:textAlignment w:val="center"/>
                    <w:rPr>
                      <w:rFonts w:hint="default" w:ascii="Times New Roman" w:hAnsi="Times New Roman" w:eastAsia="宋体" w:cs="Times New Roman"/>
                      <w:i w:val="0"/>
                      <w:iCs w:val="0"/>
                      <w:color w:val="FF0000"/>
                      <w:kern w:val="0"/>
                      <w:sz w:val="21"/>
                      <w:szCs w:val="21"/>
                      <w:u w:val="none"/>
                      <w:lang w:val="en-US" w:eastAsia="zh-CN" w:bidi="ar"/>
                    </w:rPr>
                  </w:pPr>
                  <w:r>
                    <w:rPr>
                      <w:rFonts w:hint="eastAsia" w:ascii="Times New Roman" w:hAnsi="Times New Roman" w:eastAsia="宋体" w:cs="Times New Roman"/>
                      <w:i w:val="0"/>
                      <w:iCs w:val="0"/>
                      <w:color w:val="FF0000"/>
                      <w:kern w:val="0"/>
                      <w:sz w:val="21"/>
                      <w:szCs w:val="21"/>
                      <w:u w:val="none"/>
                      <w:lang w:val="en-US" w:eastAsia="zh-CN" w:bidi="ar"/>
                    </w:rPr>
                    <w:t>氨</w:t>
                  </w:r>
                </w:p>
              </w:tc>
              <w:tc>
                <w:tcPr>
                  <w:tcW w:w="882" w:type="pct"/>
                  <w:noWrap w:val="0"/>
                  <w:vAlign w:val="bottom"/>
                </w:tcPr>
                <w:p w14:paraId="04107E3A">
                  <w:pPr>
                    <w:keepNext w:val="0"/>
                    <w:keepLines w:val="0"/>
                    <w:widowControl/>
                    <w:suppressLineNumbers w:val="0"/>
                    <w:jc w:val="center"/>
                    <w:textAlignment w:val="center"/>
                    <w:rPr>
                      <w:rFonts w:hint="default" w:ascii="Times New Roman" w:hAnsi="Times New Roman" w:eastAsia="宋体" w:cs="Times New Roman"/>
                      <w:i w:val="0"/>
                      <w:iCs w:val="0"/>
                      <w:color w:val="FF0000"/>
                      <w:kern w:val="0"/>
                      <w:sz w:val="21"/>
                      <w:szCs w:val="21"/>
                      <w:u w:val="none"/>
                      <w:lang w:val="en-US" w:eastAsia="zh-CN" w:bidi="ar"/>
                    </w:rPr>
                  </w:pPr>
                  <w:r>
                    <w:rPr>
                      <w:rFonts w:hint="default" w:ascii="Times New Roman" w:hAnsi="Times New Roman" w:eastAsia="宋体" w:cs="Times New Roman"/>
                      <w:i w:val="0"/>
                      <w:iCs w:val="0"/>
                      <w:color w:val="FF0000"/>
                      <w:kern w:val="0"/>
                      <w:sz w:val="21"/>
                      <w:szCs w:val="21"/>
                      <w:u w:val="none"/>
                      <w:lang w:val="en-US" w:eastAsia="zh-CN" w:bidi="ar"/>
                    </w:rPr>
                    <w:t>0.00516</w:t>
                  </w:r>
                </w:p>
              </w:tc>
              <w:tc>
                <w:tcPr>
                  <w:tcW w:w="768" w:type="pct"/>
                  <w:noWrap w:val="0"/>
                  <w:vAlign w:val="center"/>
                </w:tcPr>
                <w:p w14:paraId="59A02B4F">
                  <w:pPr>
                    <w:keepNext w:val="0"/>
                    <w:keepLines w:val="0"/>
                    <w:widowControl/>
                    <w:suppressLineNumbers w:val="0"/>
                    <w:jc w:val="center"/>
                    <w:textAlignment w:val="center"/>
                    <w:rPr>
                      <w:rFonts w:hint="default" w:ascii="Times New Roman" w:hAnsi="Times New Roman" w:eastAsia="宋体" w:cs="Times New Roman"/>
                      <w:i w:val="0"/>
                      <w:iCs w:val="0"/>
                      <w:color w:val="FF0000"/>
                      <w:kern w:val="0"/>
                      <w:sz w:val="21"/>
                      <w:szCs w:val="21"/>
                      <w:u w:val="none"/>
                      <w:lang w:val="en-US" w:eastAsia="zh-CN" w:bidi="ar"/>
                    </w:rPr>
                  </w:pPr>
                  <w:r>
                    <w:rPr>
                      <w:rFonts w:hint="default" w:ascii="Times New Roman" w:hAnsi="Times New Roman" w:eastAsia="宋体" w:cs="Times New Roman"/>
                      <w:i w:val="0"/>
                      <w:iCs w:val="0"/>
                      <w:color w:val="FF0000"/>
                      <w:kern w:val="0"/>
                      <w:sz w:val="21"/>
                      <w:szCs w:val="21"/>
                      <w:u w:val="none"/>
                      <w:lang w:val="en-US" w:eastAsia="zh-CN" w:bidi="ar"/>
                    </w:rPr>
                    <w:t>0.00243</w:t>
                  </w:r>
                </w:p>
              </w:tc>
              <w:tc>
                <w:tcPr>
                  <w:tcW w:w="768" w:type="pct"/>
                  <w:noWrap w:val="0"/>
                  <w:vAlign w:val="center"/>
                </w:tcPr>
                <w:p w14:paraId="55364162">
                  <w:pPr>
                    <w:keepNext w:val="0"/>
                    <w:keepLines w:val="0"/>
                    <w:widowControl/>
                    <w:suppressLineNumbers w:val="0"/>
                    <w:jc w:val="center"/>
                    <w:textAlignment w:val="center"/>
                    <w:rPr>
                      <w:rFonts w:hint="default" w:ascii="Times New Roman" w:hAnsi="Times New Roman" w:eastAsia="宋体" w:cs="Times New Roman"/>
                      <w:i w:val="0"/>
                      <w:iCs w:val="0"/>
                      <w:color w:val="FF0000"/>
                      <w:kern w:val="0"/>
                      <w:sz w:val="21"/>
                      <w:szCs w:val="21"/>
                      <w:u w:val="none"/>
                      <w:lang w:val="en-US" w:eastAsia="zh-CN" w:bidi="ar"/>
                    </w:rPr>
                  </w:pPr>
                  <w:r>
                    <w:rPr>
                      <w:rFonts w:hint="default" w:ascii="Times New Roman" w:hAnsi="Times New Roman" w:eastAsia="宋体" w:cs="Times New Roman"/>
                      <w:i w:val="0"/>
                      <w:iCs w:val="0"/>
                      <w:color w:val="FF0000"/>
                      <w:kern w:val="0"/>
                      <w:sz w:val="21"/>
                      <w:szCs w:val="21"/>
                      <w:u w:val="none"/>
                      <w:lang w:val="en-US" w:eastAsia="zh-CN" w:bidi="ar"/>
                    </w:rPr>
                    <w:t>0.00273</w:t>
                  </w:r>
                </w:p>
              </w:tc>
              <w:tc>
                <w:tcPr>
                  <w:tcW w:w="753" w:type="pct"/>
                  <w:noWrap w:val="0"/>
                  <w:vAlign w:val="center"/>
                </w:tcPr>
                <w:p w14:paraId="6D8D6E19">
                  <w:pPr>
                    <w:keepNext w:val="0"/>
                    <w:keepLines w:val="0"/>
                    <w:widowControl/>
                    <w:suppressLineNumbers w:val="0"/>
                    <w:jc w:val="center"/>
                    <w:textAlignment w:val="center"/>
                    <w:rPr>
                      <w:rFonts w:hint="default" w:ascii="Times New Roman" w:hAnsi="Times New Roman" w:eastAsia="宋体" w:cs="Times New Roman"/>
                      <w:i w:val="0"/>
                      <w:iCs w:val="0"/>
                      <w:color w:val="FF0000"/>
                      <w:kern w:val="0"/>
                      <w:sz w:val="21"/>
                      <w:szCs w:val="21"/>
                      <w:u w:val="none"/>
                      <w:lang w:val="en-US" w:eastAsia="zh-CN" w:bidi="ar"/>
                    </w:rPr>
                  </w:pPr>
                  <w:r>
                    <w:rPr>
                      <w:rFonts w:hint="eastAsia" w:cs="Times New Roman"/>
                      <w:i w:val="0"/>
                      <w:iCs w:val="0"/>
                      <w:color w:val="FF0000"/>
                      <w:kern w:val="0"/>
                      <w:sz w:val="21"/>
                      <w:szCs w:val="21"/>
                      <w:u w:val="none"/>
                      <w:lang w:val="en-US" w:eastAsia="zh-CN" w:bidi="ar"/>
                    </w:rPr>
                    <w:t>/</w:t>
                  </w:r>
                </w:p>
              </w:tc>
            </w:tr>
            <w:tr w14:paraId="569B47FC">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25" w:type="pct"/>
                  <w:gridSpan w:val="2"/>
                  <w:vMerge w:val="continue"/>
                  <w:noWrap w:val="0"/>
                  <w:vAlign w:val="center"/>
                </w:tcPr>
                <w:p w14:paraId="7F0D5AAE">
                  <w:pPr>
                    <w:keepNext w:val="0"/>
                    <w:keepLines w:val="0"/>
                    <w:widowControl/>
                    <w:suppressLineNumbers w:val="0"/>
                    <w:jc w:val="center"/>
                    <w:textAlignment w:val="center"/>
                    <w:rPr>
                      <w:rFonts w:hint="default" w:ascii="Times New Roman" w:hAnsi="Times New Roman" w:eastAsia="宋体" w:cs="Times New Roman"/>
                      <w:i w:val="0"/>
                      <w:iCs w:val="0"/>
                      <w:color w:val="FF0000"/>
                      <w:kern w:val="0"/>
                      <w:sz w:val="21"/>
                      <w:szCs w:val="21"/>
                      <w:u w:val="none"/>
                      <w:lang w:val="en-US" w:eastAsia="zh-CN" w:bidi="ar"/>
                    </w:rPr>
                  </w:pPr>
                </w:p>
              </w:tc>
              <w:tc>
                <w:tcPr>
                  <w:tcW w:w="1102" w:type="pct"/>
                  <w:noWrap w:val="0"/>
                  <w:vAlign w:val="center"/>
                </w:tcPr>
                <w:p w14:paraId="07B161AE">
                  <w:pPr>
                    <w:keepNext w:val="0"/>
                    <w:keepLines w:val="0"/>
                    <w:widowControl/>
                    <w:suppressLineNumbers w:val="0"/>
                    <w:jc w:val="center"/>
                    <w:textAlignment w:val="center"/>
                    <w:rPr>
                      <w:rFonts w:hint="default" w:ascii="Times New Roman" w:hAnsi="Times New Roman" w:eastAsia="宋体" w:cs="Times New Roman"/>
                      <w:i w:val="0"/>
                      <w:iCs w:val="0"/>
                      <w:color w:val="FF0000"/>
                      <w:kern w:val="0"/>
                      <w:sz w:val="21"/>
                      <w:szCs w:val="21"/>
                      <w:u w:val="none"/>
                      <w:lang w:val="en-US" w:eastAsia="zh-CN" w:bidi="ar"/>
                    </w:rPr>
                  </w:pPr>
                  <w:r>
                    <w:rPr>
                      <w:rFonts w:hint="eastAsia" w:ascii="Times New Roman" w:hAnsi="Times New Roman" w:eastAsia="宋体" w:cs="Times New Roman"/>
                      <w:i w:val="0"/>
                      <w:iCs w:val="0"/>
                      <w:color w:val="FF0000"/>
                      <w:kern w:val="0"/>
                      <w:sz w:val="21"/>
                      <w:szCs w:val="21"/>
                      <w:u w:val="none"/>
                      <w:lang w:val="en-US" w:eastAsia="zh-CN" w:bidi="ar"/>
                    </w:rPr>
                    <w:t>硫化氢</w:t>
                  </w:r>
                </w:p>
              </w:tc>
              <w:tc>
                <w:tcPr>
                  <w:tcW w:w="882" w:type="pct"/>
                  <w:noWrap w:val="0"/>
                  <w:vAlign w:val="center"/>
                </w:tcPr>
                <w:p w14:paraId="1B0DD3B7">
                  <w:pPr>
                    <w:keepNext w:val="0"/>
                    <w:keepLines w:val="0"/>
                    <w:widowControl/>
                    <w:suppressLineNumbers w:val="0"/>
                    <w:jc w:val="center"/>
                    <w:textAlignment w:val="center"/>
                    <w:rPr>
                      <w:rFonts w:hint="eastAsia" w:ascii="Times New Roman" w:hAnsi="Times New Roman" w:eastAsia="宋体" w:cs="Times New Roman"/>
                      <w:i w:val="0"/>
                      <w:iCs w:val="0"/>
                      <w:color w:val="FF0000"/>
                      <w:kern w:val="0"/>
                      <w:sz w:val="21"/>
                      <w:szCs w:val="21"/>
                      <w:u w:val="none"/>
                      <w:lang w:val="en-US" w:eastAsia="zh-CN" w:bidi="ar"/>
                    </w:rPr>
                  </w:pPr>
                  <w:r>
                    <w:rPr>
                      <w:rFonts w:hint="default" w:ascii="Times New Roman" w:hAnsi="Times New Roman" w:eastAsia="宋体" w:cs="Times New Roman"/>
                      <w:i w:val="0"/>
                      <w:iCs w:val="0"/>
                      <w:color w:val="FF0000"/>
                      <w:kern w:val="0"/>
                      <w:sz w:val="21"/>
                      <w:szCs w:val="21"/>
                      <w:u w:val="none"/>
                      <w:lang w:val="en-US" w:eastAsia="zh-CN" w:bidi="ar"/>
                    </w:rPr>
                    <w:t>0.000057</w:t>
                  </w:r>
                </w:p>
              </w:tc>
              <w:tc>
                <w:tcPr>
                  <w:tcW w:w="768" w:type="pct"/>
                  <w:noWrap w:val="0"/>
                  <w:vAlign w:val="center"/>
                </w:tcPr>
                <w:p w14:paraId="16B5CAFB">
                  <w:pPr>
                    <w:keepNext w:val="0"/>
                    <w:keepLines w:val="0"/>
                    <w:widowControl/>
                    <w:suppressLineNumbers w:val="0"/>
                    <w:jc w:val="center"/>
                    <w:textAlignment w:val="center"/>
                    <w:rPr>
                      <w:rFonts w:hint="default" w:ascii="Times New Roman" w:hAnsi="Times New Roman" w:eastAsia="宋体" w:cs="Times New Roman"/>
                      <w:i w:val="0"/>
                      <w:iCs w:val="0"/>
                      <w:color w:val="FF0000"/>
                      <w:kern w:val="0"/>
                      <w:sz w:val="21"/>
                      <w:szCs w:val="21"/>
                      <w:u w:val="none"/>
                      <w:lang w:val="en-US" w:eastAsia="zh-CN" w:bidi="ar"/>
                    </w:rPr>
                  </w:pPr>
                  <w:r>
                    <w:rPr>
                      <w:rFonts w:hint="default" w:ascii="Times New Roman" w:hAnsi="Times New Roman" w:eastAsia="宋体" w:cs="Times New Roman"/>
                      <w:i w:val="0"/>
                      <w:iCs w:val="0"/>
                      <w:color w:val="FF0000"/>
                      <w:kern w:val="0"/>
                      <w:sz w:val="21"/>
                      <w:szCs w:val="21"/>
                      <w:u w:val="none"/>
                      <w:lang w:val="en-US" w:eastAsia="zh-CN" w:bidi="ar"/>
                    </w:rPr>
                    <w:t>0.000027</w:t>
                  </w:r>
                </w:p>
              </w:tc>
              <w:tc>
                <w:tcPr>
                  <w:tcW w:w="768" w:type="pct"/>
                  <w:noWrap w:val="0"/>
                  <w:vAlign w:val="center"/>
                </w:tcPr>
                <w:p w14:paraId="582C8EE6">
                  <w:pPr>
                    <w:keepNext w:val="0"/>
                    <w:keepLines w:val="0"/>
                    <w:widowControl/>
                    <w:suppressLineNumbers w:val="0"/>
                    <w:jc w:val="center"/>
                    <w:textAlignment w:val="center"/>
                    <w:rPr>
                      <w:rFonts w:hint="default" w:ascii="Times New Roman" w:hAnsi="Times New Roman" w:eastAsia="宋体" w:cs="Times New Roman"/>
                      <w:i w:val="0"/>
                      <w:iCs w:val="0"/>
                      <w:color w:val="FF0000"/>
                      <w:kern w:val="0"/>
                      <w:sz w:val="21"/>
                      <w:szCs w:val="21"/>
                      <w:u w:val="none"/>
                      <w:lang w:val="en-US" w:eastAsia="zh-CN" w:bidi="ar"/>
                    </w:rPr>
                  </w:pPr>
                  <w:r>
                    <w:rPr>
                      <w:rFonts w:hint="default" w:ascii="Times New Roman" w:hAnsi="Times New Roman" w:eastAsia="宋体" w:cs="Times New Roman"/>
                      <w:i w:val="0"/>
                      <w:iCs w:val="0"/>
                      <w:color w:val="FF0000"/>
                      <w:kern w:val="0"/>
                      <w:sz w:val="21"/>
                      <w:szCs w:val="21"/>
                      <w:u w:val="none"/>
                      <w:lang w:val="en-US" w:eastAsia="zh-CN" w:bidi="ar"/>
                    </w:rPr>
                    <w:t>0.00003</w:t>
                  </w:r>
                </w:p>
              </w:tc>
              <w:tc>
                <w:tcPr>
                  <w:tcW w:w="753" w:type="pct"/>
                  <w:noWrap w:val="0"/>
                  <w:vAlign w:val="center"/>
                </w:tcPr>
                <w:p w14:paraId="61008B7B">
                  <w:pPr>
                    <w:keepNext w:val="0"/>
                    <w:keepLines w:val="0"/>
                    <w:widowControl/>
                    <w:suppressLineNumbers w:val="0"/>
                    <w:jc w:val="center"/>
                    <w:textAlignment w:val="center"/>
                    <w:rPr>
                      <w:rFonts w:hint="default" w:ascii="Times New Roman" w:hAnsi="Times New Roman" w:eastAsia="宋体" w:cs="Times New Roman"/>
                      <w:i w:val="0"/>
                      <w:iCs w:val="0"/>
                      <w:color w:val="FF0000"/>
                      <w:kern w:val="0"/>
                      <w:sz w:val="21"/>
                      <w:szCs w:val="21"/>
                      <w:u w:val="none"/>
                      <w:lang w:val="en-US" w:eastAsia="zh-CN" w:bidi="ar"/>
                    </w:rPr>
                  </w:pPr>
                  <w:r>
                    <w:rPr>
                      <w:rFonts w:hint="eastAsia" w:cs="Times New Roman"/>
                      <w:i w:val="0"/>
                      <w:iCs w:val="0"/>
                      <w:color w:val="FF0000"/>
                      <w:kern w:val="0"/>
                      <w:sz w:val="21"/>
                      <w:szCs w:val="21"/>
                      <w:u w:val="none"/>
                      <w:lang w:val="en-US" w:eastAsia="zh-CN" w:bidi="ar"/>
                    </w:rPr>
                    <w:t>/</w:t>
                  </w:r>
                </w:p>
              </w:tc>
            </w:tr>
            <w:tr w14:paraId="4D6FEC2C">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25" w:type="pct"/>
                  <w:gridSpan w:val="2"/>
                  <w:vMerge w:val="restart"/>
                  <w:noWrap w:val="0"/>
                  <w:vAlign w:val="center"/>
                </w:tcPr>
                <w:p w14:paraId="20F04BC8">
                  <w:pPr>
                    <w:keepNext w:val="0"/>
                    <w:keepLines w:val="0"/>
                    <w:widowControl/>
                    <w:suppressLineNumbers w:val="0"/>
                    <w:jc w:val="center"/>
                    <w:textAlignment w:val="center"/>
                    <w:rPr>
                      <w:rFonts w:hint="default" w:ascii="Times New Roman" w:hAnsi="Times New Roman" w:eastAsia="宋体" w:cs="Times New Roman"/>
                      <w:i w:val="0"/>
                      <w:iCs w:val="0"/>
                      <w:color w:val="FF0000"/>
                      <w:kern w:val="0"/>
                      <w:sz w:val="21"/>
                      <w:szCs w:val="21"/>
                      <w:u w:val="none"/>
                      <w:lang w:val="en-US" w:eastAsia="zh-CN" w:bidi="ar"/>
                    </w:rPr>
                  </w:pPr>
                  <w:r>
                    <w:rPr>
                      <w:rFonts w:hint="default" w:ascii="Times New Roman" w:hAnsi="Times New Roman" w:eastAsia="宋体" w:cs="Times New Roman"/>
                      <w:i w:val="0"/>
                      <w:iCs w:val="0"/>
                      <w:color w:val="FF0000"/>
                      <w:kern w:val="0"/>
                      <w:sz w:val="21"/>
                      <w:szCs w:val="21"/>
                      <w:u w:val="none"/>
                      <w:lang w:val="en-US" w:eastAsia="zh-CN" w:bidi="ar"/>
                    </w:rPr>
                    <w:t>废水</w:t>
                  </w:r>
                </w:p>
              </w:tc>
              <w:tc>
                <w:tcPr>
                  <w:tcW w:w="1102" w:type="pct"/>
                  <w:noWrap w:val="0"/>
                  <w:vAlign w:val="center"/>
                </w:tcPr>
                <w:p w14:paraId="6EF9F86B">
                  <w:pPr>
                    <w:keepNext w:val="0"/>
                    <w:keepLines w:val="0"/>
                    <w:widowControl/>
                    <w:suppressLineNumbers w:val="0"/>
                    <w:jc w:val="center"/>
                    <w:textAlignment w:val="center"/>
                    <w:rPr>
                      <w:rFonts w:hint="default" w:ascii="Times New Roman" w:hAnsi="Times New Roman" w:eastAsia="宋体" w:cs="Times New Roman"/>
                      <w:i w:val="0"/>
                      <w:iCs w:val="0"/>
                      <w:color w:val="FF0000"/>
                      <w:kern w:val="0"/>
                      <w:sz w:val="21"/>
                      <w:szCs w:val="21"/>
                      <w:u w:val="none"/>
                      <w:lang w:val="en-US" w:eastAsia="zh-CN" w:bidi="ar"/>
                    </w:rPr>
                  </w:pPr>
                  <w:r>
                    <w:rPr>
                      <w:rFonts w:hint="default" w:ascii="Times New Roman" w:hAnsi="Times New Roman" w:eastAsia="宋体" w:cs="Times New Roman"/>
                      <w:i w:val="0"/>
                      <w:iCs w:val="0"/>
                      <w:color w:val="FF0000"/>
                      <w:kern w:val="0"/>
                      <w:sz w:val="21"/>
                      <w:szCs w:val="21"/>
                      <w:u w:val="none"/>
                      <w:lang w:val="en-US" w:eastAsia="zh-CN" w:bidi="ar"/>
                    </w:rPr>
                    <w:t>COD</w:t>
                  </w:r>
                </w:p>
              </w:tc>
              <w:tc>
                <w:tcPr>
                  <w:tcW w:w="882" w:type="pct"/>
                  <w:noWrap w:val="0"/>
                  <w:vAlign w:val="center"/>
                </w:tcPr>
                <w:p w14:paraId="3EC4149C">
                  <w:pPr>
                    <w:keepNext w:val="0"/>
                    <w:keepLines w:val="0"/>
                    <w:widowControl/>
                    <w:suppressLineNumbers w:val="0"/>
                    <w:jc w:val="center"/>
                    <w:textAlignment w:val="center"/>
                    <w:rPr>
                      <w:rFonts w:hint="default" w:ascii="Times New Roman" w:hAnsi="Times New Roman" w:eastAsia="宋体" w:cs="Times New Roman"/>
                      <w:i w:val="0"/>
                      <w:iCs w:val="0"/>
                      <w:color w:val="FF0000"/>
                      <w:kern w:val="0"/>
                      <w:sz w:val="21"/>
                      <w:szCs w:val="21"/>
                      <w:u w:val="none"/>
                      <w:lang w:val="en-US" w:eastAsia="zh-CN" w:bidi="ar"/>
                    </w:rPr>
                  </w:pPr>
                  <w:r>
                    <w:rPr>
                      <w:rFonts w:hint="eastAsia" w:ascii="Times New Roman" w:hAnsi="Times New Roman" w:eastAsia="宋体" w:cs="Times New Roman"/>
                      <w:i w:val="0"/>
                      <w:iCs w:val="0"/>
                      <w:color w:val="FF0000"/>
                      <w:kern w:val="0"/>
                      <w:sz w:val="21"/>
                      <w:szCs w:val="21"/>
                      <w:u w:val="none"/>
                      <w:lang w:val="en-US" w:eastAsia="zh-CN" w:bidi="ar"/>
                    </w:rPr>
                    <w:t>0.001268</w:t>
                  </w:r>
                </w:p>
              </w:tc>
              <w:tc>
                <w:tcPr>
                  <w:tcW w:w="768" w:type="pct"/>
                  <w:noWrap w:val="0"/>
                  <w:vAlign w:val="center"/>
                </w:tcPr>
                <w:p w14:paraId="1C9DFC65">
                  <w:pPr>
                    <w:keepNext w:val="0"/>
                    <w:keepLines w:val="0"/>
                    <w:widowControl/>
                    <w:suppressLineNumbers w:val="0"/>
                    <w:jc w:val="center"/>
                    <w:textAlignment w:val="center"/>
                    <w:rPr>
                      <w:rFonts w:hint="default" w:ascii="Times New Roman" w:hAnsi="Times New Roman" w:eastAsia="宋体" w:cs="Times New Roman"/>
                      <w:i w:val="0"/>
                      <w:iCs w:val="0"/>
                      <w:color w:val="FF0000"/>
                      <w:kern w:val="0"/>
                      <w:sz w:val="21"/>
                      <w:szCs w:val="21"/>
                      <w:u w:val="none"/>
                      <w:lang w:val="en-US" w:eastAsia="zh-CN" w:bidi="ar"/>
                    </w:rPr>
                  </w:pPr>
                  <w:r>
                    <w:rPr>
                      <w:rFonts w:hint="eastAsia" w:ascii="Times New Roman" w:hAnsi="Times New Roman" w:eastAsia="宋体" w:cs="Times New Roman"/>
                      <w:i w:val="0"/>
                      <w:iCs w:val="0"/>
                      <w:color w:val="FF0000"/>
                      <w:kern w:val="0"/>
                      <w:sz w:val="21"/>
                      <w:szCs w:val="21"/>
                      <w:u w:val="none"/>
                      <w:lang w:val="en-US" w:eastAsia="zh-CN" w:bidi="ar"/>
                    </w:rPr>
                    <w:t>0.000882</w:t>
                  </w:r>
                </w:p>
              </w:tc>
              <w:tc>
                <w:tcPr>
                  <w:tcW w:w="768" w:type="pct"/>
                  <w:noWrap w:val="0"/>
                  <w:vAlign w:val="center"/>
                </w:tcPr>
                <w:p w14:paraId="6EF5BE98">
                  <w:pPr>
                    <w:keepNext w:val="0"/>
                    <w:keepLines w:val="0"/>
                    <w:widowControl/>
                    <w:suppressLineNumbers w:val="0"/>
                    <w:jc w:val="center"/>
                    <w:textAlignment w:val="center"/>
                    <w:rPr>
                      <w:rFonts w:hint="default" w:ascii="Times New Roman" w:hAnsi="Times New Roman" w:eastAsia="宋体" w:cs="Times New Roman"/>
                      <w:i w:val="0"/>
                      <w:iCs w:val="0"/>
                      <w:color w:val="FF0000"/>
                      <w:kern w:val="0"/>
                      <w:sz w:val="21"/>
                      <w:szCs w:val="21"/>
                      <w:u w:val="none"/>
                      <w:lang w:val="en-US" w:eastAsia="zh-CN" w:bidi="ar"/>
                    </w:rPr>
                  </w:pPr>
                  <w:r>
                    <w:rPr>
                      <w:rFonts w:hint="eastAsia" w:ascii="Times New Roman" w:hAnsi="Times New Roman" w:eastAsia="宋体" w:cs="Times New Roman"/>
                      <w:i w:val="0"/>
                      <w:iCs w:val="0"/>
                      <w:color w:val="FF0000"/>
                      <w:kern w:val="0"/>
                      <w:sz w:val="21"/>
                      <w:szCs w:val="21"/>
                      <w:u w:val="none"/>
                      <w:lang w:val="en-US" w:eastAsia="zh-CN" w:bidi="ar"/>
                    </w:rPr>
                    <w:t>0.000386</w:t>
                  </w:r>
                </w:p>
              </w:tc>
              <w:tc>
                <w:tcPr>
                  <w:tcW w:w="753" w:type="pct"/>
                  <w:noWrap w:val="0"/>
                  <w:vAlign w:val="center"/>
                </w:tcPr>
                <w:p w14:paraId="6403CF54">
                  <w:pPr>
                    <w:keepNext w:val="0"/>
                    <w:keepLines w:val="0"/>
                    <w:widowControl/>
                    <w:suppressLineNumbers w:val="0"/>
                    <w:jc w:val="center"/>
                    <w:textAlignment w:val="center"/>
                    <w:rPr>
                      <w:rFonts w:hint="default" w:ascii="Times New Roman" w:hAnsi="Times New Roman" w:eastAsia="宋体" w:cs="Times New Roman"/>
                      <w:i w:val="0"/>
                      <w:iCs w:val="0"/>
                      <w:color w:val="FF0000"/>
                      <w:kern w:val="0"/>
                      <w:sz w:val="21"/>
                      <w:szCs w:val="21"/>
                      <w:u w:val="none"/>
                      <w:lang w:val="en-US" w:eastAsia="zh-CN" w:bidi="ar"/>
                    </w:rPr>
                  </w:pPr>
                  <w:r>
                    <w:rPr>
                      <w:rFonts w:hint="eastAsia" w:ascii="Times New Roman" w:hAnsi="Times New Roman" w:eastAsia="宋体" w:cs="Times New Roman"/>
                      <w:i w:val="0"/>
                      <w:iCs w:val="0"/>
                      <w:color w:val="FF0000"/>
                      <w:kern w:val="0"/>
                      <w:sz w:val="21"/>
                      <w:szCs w:val="21"/>
                      <w:u w:val="none"/>
                      <w:lang w:val="en-US" w:eastAsia="zh-CN" w:bidi="ar"/>
                    </w:rPr>
                    <w:t>0.000386</w:t>
                  </w:r>
                </w:p>
              </w:tc>
            </w:tr>
            <w:tr w14:paraId="320F1970">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725" w:type="pct"/>
                  <w:gridSpan w:val="2"/>
                  <w:vMerge w:val="continue"/>
                  <w:noWrap w:val="0"/>
                  <w:vAlign w:val="center"/>
                </w:tcPr>
                <w:p w14:paraId="532B9C41">
                  <w:pPr>
                    <w:keepNext w:val="0"/>
                    <w:keepLines w:val="0"/>
                    <w:widowControl/>
                    <w:suppressLineNumbers w:val="0"/>
                    <w:jc w:val="center"/>
                    <w:textAlignment w:val="center"/>
                    <w:rPr>
                      <w:rFonts w:hint="default" w:ascii="Times New Roman" w:hAnsi="Times New Roman" w:eastAsia="宋体" w:cs="Times New Roman"/>
                      <w:i w:val="0"/>
                      <w:iCs w:val="0"/>
                      <w:color w:val="FF0000"/>
                      <w:kern w:val="0"/>
                      <w:sz w:val="21"/>
                      <w:szCs w:val="21"/>
                      <w:u w:val="none"/>
                      <w:lang w:val="en-US" w:eastAsia="zh-CN" w:bidi="ar"/>
                    </w:rPr>
                  </w:pPr>
                </w:p>
              </w:tc>
              <w:tc>
                <w:tcPr>
                  <w:tcW w:w="1102" w:type="pct"/>
                  <w:noWrap w:val="0"/>
                  <w:vAlign w:val="center"/>
                </w:tcPr>
                <w:p w14:paraId="30BAFEDE">
                  <w:pPr>
                    <w:keepNext w:val="0"/>
                    <w:keepLines w:val="0"/>
                    <w:widowControl/>
                    <w:suppressLineNumbers w:val="0"/>
                    <w:jc w:val="center"/>
                    <w:textAlignment w:val="center"/>
                    <w:rPr>
                      <w:rFonts w:hint="default" w:ascii="Times New Roman" w:hAnsi="Times New Roman" w:eastAsia="宋体" w:cs="Times New Roman"/>
                      <w:i w:val="0"/>
                      <w:iCs w:val="0"/>
                      <w:color w:val="FF0000"/>
                      <w:kern w:val="0"/>
                      <w:sz w:val="21"/>
                      <w:szCs w:val="21"/>
                      <w:u w:val="none"/>
                      <w:lang w:val="en-US" w:eastAsia="zh-CN" w:bidi="ar"/>
                    </w:rPr>
                  </w:pPr>
                  <w:r>
                    <w:rPr>
                      <w:rFonts w:hint="default" w:ascii="Times New Roman" w:hAnsi="Times New Roman" w:eastAsia="宋体" w:cs="Times New Roman"/>
                      <w:i w:val="0"/>
                      <w:iCs w:val="0"/>
                      <w:color w:val="FF0000"/>
                      <w:kern w:val="0"/>
                      <w:sz w:val="21"/>
                      <w:szCs w:val="21"/>
                      <w:u w:val="none"/>
                      <w:lang w:val="en-US" w:eastAsia="zh-CN" w:bidi="ar"/>
                    </w:rPr>
                    <w:t>BOD5</w:t>
                  </w:r>
                </w:p>
              </w:tc>
              <w:tc>
                <w:tcPr>
                  <w:tcW w:w="882" w:type="pct"/>
                  <w:noWrap w:val="0"/>
                  <w:vAlign w:val="center"/>
                </w:tcPr>
                <w:p w14:paraId="2C869765">
                  <w:pPr>
                    <w:keepNext w:val="0"/>
                    <w:keepLines w:val="0"/>
                    <w:widowControl/>
                    <w:suppressLineNumbers w:val="0"/>
                    <w:jc w:val="center"/>
                    <w:textAlignment w:val="center"/>
                    <w:rPr>
                      <w:rFonts w:hint="default" w:ascii="Times New Roman" w:hAnsi="Times New Roman" w:eastAsia="宋体" w:cs="Times New Roman"/>
                      <w:i w:val="0"/>
                      <w:iCs w:val="0"/>
                      <w:color w:val="FF0000"/>
                      <w:kern w:val="0"/>
                      <w:sz w:val="21"/>
                      <w:szCs w:val="21"/>
                      <w:u w:val="none"/>
                      <w:lang w:val="en-US" w:eastAsia="zh-CN" w:bidi="ar"/>
                    </w:rPr>
                  </w:pPr>
                  <w:r>
                    <w:rPr>
                      <w:rFonts w:hint="eastAsia" w:ascii="Times New Roman" w:hAnsi="Times New Roman" w:eastAsia="宋体" w:cs="Times New Roman"/>
                      <w:i w:val="0"/>
                      <w:iCs w:val="0"/>
                      <w:color w:val="FF0000"/>
                      <w:kern w:val="0"/>
                      <w:sz w:val="21"/>
                      <w:szCs w:val="21"/>
                      <w:u w:val="none"/>
                      <w:lang w:val="en-US" w:eastAsia="zh-CN" w:bidi="ar"/>
                    </w:rPr>
                    <w:t>0.000029</w:t>
                  </w:r>
                </w:p>
              </w:tc>
              <w:tc>
                <w:tcPr>
                  <w:tcW w:w="768" w:type="pct"/>
                  <w:noWrap w:val="0"/>
                  <w:vAlign w:val="center"/>
                </w:tcPr>
                <w:p w14:paraId="1E55E252">
                  <w:pPr>
                    <w:keepNext w:val="0"/>
                    <w:keepLines w:val="0"/>
                    <w:widowControl/>
                    <w:suppressLineNumbers w:val="0"/>
                    <w:jc w:val="center"/>
                    <w:textAlignment w:val="center"/>
                    <w:rPr>
                      <w:rFonts w:hint="default" w:ascii="Times New Roman" w:hAnsi="Times New Roman" w:eastAsia="宋体" w:cs="Times New Roman"/>
                      <w:i w:val="0"/>
                      <w:iCs w:val="0"/>
                      <w:color w:val="FF0000"/>
                      <w:kern w:val="0"/>
                      <w:sz w:val="21"/>
                      <w:szCs w:val="21"/>
                      <w:u w:val="none"/>
                      <w:lang w:val="en-US" w:eastAsia="zh-CN" w:bidi="ar"/>
                    </w:rPr>
                  </w:pPr>
                  <w:r>
                    <w:rPr>
                      <w:rFonts w:hint="eastAsia" w:ascii="Times New Roman" w:hAnsi="Times New Roman" w:eastAsia="宋体" w:cs="Times New Roman"/>
                      <w:i w:val="0"/>
                      <w:iCs w:val="0"/>
                      <w:color w:val="FF0000"/>
                      <w:kern w:val="0"/>
                      <w:sz w:val="21"/>
                      <w:szCs w:val="21"/>
                      <w:u w:val="none"/>
                      <w:lang w:val="en-US" w:eastAsia="zh-CN" w:bidi="ar"/>
                    </w:rPr>
                    <w:t>0.000012</w:t>
                  </w:r>
                </w:p>
              </w:tc>
              <w:tc>
                <w:tcPr>
                  <w:tcW w:w="768" w:type="pct"/>
                  <w:noWrap w:val="0"/>
                  <w:vAlign w:val="center"/>
                </w:tcPr>
                <w:p w14:paraId="3CEA8E62">
                  <w:pPr>
                    <w:keepNext w:val="0"/>
                    <w:keepLines w:val="0"/>
                    <w:widowControl/>
                    <w:suppressLineNumbers w:val="0"/>
                    <w:jc w:val="center"/>
                    <w:textAlignment w:val="center"/>
                    <w:rPr>
                      <w:rFonts w:hint="eastAsia" w:ascii="Times New Roman" w:hAnsi="Times New Roman" w:eastAsia="宋体" w:cs="Times New Roman"/>
                      <w:i w:val="0"/>
                      <w:iCs w:val="0"/>
                      <w:color w:val="FF0000"/>
                      <w:kern w:val="0"/>
                      <w:sz w:val="21"/>
                      <w:szCs w:val="21"/>
                      <w:u w:val="none"/>
                      <w:lang w:val="en-US" w:eastAsia="zh-CN" w:bidi="ar"/>
                    </w:rPr>
                  </w:pPr>
                  <w:r>
                    <w:rPr>
                      <w:rFonts w:hint="eastAsia" w:ascii="Times New Roman" w:hAnsi="Times New Roman" w:eastAsia="宋体" w:cs="Times New Roman"/>
                      <w:i w:val="0"/>
                      <w:iCs w:val="0"/>
                      <w:color w:val="FF0000"/>
                      <w:kern w:val="0"/>
                      <w:sz w:val="21"/>
                      <w:szCs w:val="21"/>
                      <w:u w:val="none"/>
                      <w:lang w:val="en-US" w:eastAsia="zh-CN" w:bidi="ar"/>
                    </w:rPr>
                    <w:t>0.000017</w:t>
                  </w:r>
                </w:p>
              </w:tc>
              <w:tc>
                <w:tcPr>
                  <w:tcW w:w="753" w:type="pct"/>
                  <w:noWrap w:val="0"/>
                  <w:vAlign w:val="center"/>
                </w:tcPr>
                <w:p w14:paraId="16B25877">
                  <w:pPr>
                    <w:keepNext w:val="0"/>
                    <w:keepLines w:val="0"/>
                    <w:widowControl/>
                    <w:suppressLineNumbers w:val="0"/>
                    <w:jc w:val="center"/>
                    <w:textAlignment w:val="center"/>
                    <w:rPr>
                      <w:rFonts w:hint="default" w:ascii="Times New Roman" w:hAnsi="Times New Roman" w:eastAsia="宋体" w:cs="Times New Roman"/>
                      <w:i w:val="0"/>
                      <w:iCs w:val="0"/>
                      <w:color w:val="FF0000"/>
                      <w:kern w:val="0"/>
                      <w:sz w:val="21"/>
                      <w:szCs w:val="21"/>
                      <w:u w:val="none"/>
                      <w:lang w:val="en-US" w:eastAsia="zh-CN" w:bidi="ar"/>
                    </w:rPr>
                  </w:pPr>
                  <w:r>
                    <w:rPr>
                      <w:rFonts w:hint="eastAsia" w:cs="Times New Roman"/>
                      <w:i w:val="0"/>
                      <w:iCs w:val="0"/>
                      <w:color w:val="FF0000"/>
                      <w:kern w:val="0"/>
                      <w:sz w:val="21"/>
                      <w:szCs w:val="21"/>
                      <w:u w:val="none"/>
                      <w:lang w:val="en-US" w:eastAsia="zh-CN" w:bidi="ar"/>
                    </w:rPr>
                    <w:t>/</w:t>
                  </w:r>
                </w:p>
              </w:tc>
            </w:tr>
            <w:tr w14:paraId="6C5CA6E3">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25" w:type="pct"/>
                  <w:gridSpan w:val="2"/>
                  <w:vMerge w:val="continue"/>
                  <w:noWrap w:val="0"/>
                  <w:vAlign w:val="center"/>
                </w:tcPr>
                <w:p w14:paraId="6C1B37E4">
                  <w:pPr>
                    <w:keepNext w:val="0"/>
                    <w:keepLines w:val="0"/>
                    <w:widowControl/>
                    <w:suppressLineNumbers w:val="0"/>
                    <w:jc w:val="center"/>
                    <w:textAlignment w:val="center"/>
                    <w:rPr>
                      <w:rFonts w:hint="default" w:ascii="Times New Roman" w:hAnsi="Times New Roman" w:eastAsia="宋体" w:cs="Times New Roman"/>
                      <w:i w:val="0"/>
                      <w:iCs w:val="0"/>
                      <w:color w:val="FF0000"/>
                      <w:kern w:val="0"/>
                      <w:sz w:val="21"/>
                      <w:szCs w:val="21"/>
                      <w:u w:val="none"/>
                      <w:lang w:val="en-US" w:eastAsia="zh-CN" w:bidi="ar"/>
                    </w:rPr>
                  </w:pPr>
                </w:p>
              </w:tc>
              <w:tc>
                <w:tcPr>
                  <w:tcW w:w="1102" w:type="pct"/>
                  <w:noWrap w:val="0"/>
                  <w:vAlign w:val="center"/>
                </w:tcPr>
                <w:p w14:paraId="027FE541">
                  <w:pPr>
                    <w:keepNext w:val="0"/>
                    <w:keepLines w:val="0"/>
                    <w:widowControl/>
                    <w:suppressLineNumbers w:val="0"/>
                    <w:jc w:val="center"/>
                    <w:textAlignment w:val="center"/>
                    <w:rPr>
                      <w:rFonts w:hint="default" w:ascii="Times New Roman" w:hAnsi="Times New Roman" w:eastAsia="宋体" w:cs="Times New Roman"/>
                      <w:i w:val="0"/>
                      <w:iCs w:val="0"/>
                      <w:color w:val="FF0000"/>
                      <w:kern w:val="0"/>
                      <w:sz w:val="21"/>
                      <w:szCs w:val="21"/>
                      <w:u w:val="none"/>
                      <w:lang w:val="en-US" w:eastAsia="zh-CN" w:bidi="ar"/>
                    </w:rPr>
                  </w:pPr>
                  <w:r>
                    <w:rPr>
                      <w:rFonts w:hint="default" w:ascii="Times New Roman" w:hAnsi="Times New Roman" w:eastAsia="宋体" w:cs="Times New Roman"/>
                      <w:i w:val="0"/>
                      <w:iCs w:val="0"/>
                      <w:color w:val="FF0000"/>
                      <w:kern w:val="0"/>
                      <w:sz w:val="21"/>
                      <w:szCs w:val="21"/>
                      <w:u w:val="none"/>
                      <w:lang w:val="en-US" w:eastAsia="zh-CN" w:bidi="ar"/>
                    </w:rPr>
                    <w:t>SS</w:t>
                  </w:r>
                </w:p>
              </w:tc>
              <w:tc>
                <w:tcPr>
                  <w:tcW w:w="882" w:type="pct"/>
                  <w:noWrap w:val="0"/>
                  <w:vAlign w:val="center"/>
                </w:tcPr>
                <w:p w14:paraId="110E2E2B">
                  <w:pPr>
                    <w:keepNext w:val="0"/>
                    <w:keepLines w:val="0"/>
                    <w:widowControl/>
                    <w:suppressLineNumbers w:val="0"/>
                    <w:jc w:val="center"/>
                    <w:textAlignment w:val="center"/>
                    <w:rPr>
                      <w:rFonts w:hint="default" w:ascii="Times New Roman" w:hAnsi="Times New Roman" w:eastAsia="宋体" w:cs="Times New Roman"/>
                      <w:i w:val="0"/>
                      <w:iCs w:val="0"/>
                      <w:color w:val="FF0000"/>
                      <w:kern w:val="0"/>
                      <w:sz w:val="21"/>
                      <w:szCs w:val="21"/>
                      <w:u w:val="none"/>
                      <w:lang w:val="en-US" w:eastAsia="zh-CN" w:bidi="ar"/>
                    </w:rPr>
                  </w:pPr>
                  <w:r>
                    <w:rPr>
                      <w:rFonts w:hint="eastAsia" w:ascii="Times New Roman" w:hAnsi="Times New Roman" w:eastAsia="宋体" w:cs="Times New Roman"/>
                      <w:i w:val="0"/>
                      <w:iCs w:val="0"/>
                      <w:color w:val="FF0000"/>
                      <w:kern w:val="0"/>
                      <w:sz w:val="21"/>
                      <w:szCs w:val="21"/>
                      <w:u w:val="none"/>
                      <w:lang w:val="en-US" w:eastAsia="zh-CN" w:bidi="ar"/>
                    </w:rPr>
                    <w:t>0.00022</w:t>
                  </w:r>
                </w:p>
              </w:tc>
              <w:tc>
                <w:tcPr>
                  <w:tcW w:w="768" w:type="pct"/>
                  <w:noWrap w:val="0"/>
                  <w:vAlign w:val="center"/>
                </w:tcPr>
                <w:p w14:paraId="355B1F4D">
                  <w:pPr>
                    <w:keepNext w:val="0"/>
                    <w:keepLines w:val="0"/>
                    <w:widowControl/>
                    <w:suppressLineNumbers w:val="0"/>
                    <w:jc w:val="center"/>
                    <w:textAlignment w:val="center"/>
                    <w:rPr>
                      <w:rFonts w:hint="default" w:ascii="Times New Roman" w:hAnsi="Times New Roman" w:eastAsia="宋体" w:cs="Times New Roman"/>
                      <w:i w:val="0"/>
                      <w:iCs w:val="0"/>
                      <w:color w:val="FF0000"/>
                      <w:kern w:val="0"/>
                      <w:sz w:val="21"/>
                      <w:szCs w:val="21"/>
                      <w:u w:val="none"/>
                      <w:lang w:val="en-US" w:eastAsia="zh-CN" w:bidi="ar"/>
                    </w:rPr>
                  </w:pPr>
                  <w:r>
                    <w:rPr>
                      <w:rFonts w:hint="eastAsia" w:ascii="Times New Roman" w:hAnsi="Times New Roman" w:eastAsia="宋体" w:cs="Times New Roman"/>
                      <w:i w:val="0"/>
                      <w:iCs w:val="0"/>
                      <w:color w:val="FF0000"/>
                      <w:kern w:val="0"/>
                      <w:sz w:val="21"/>
                      <w:szCs w:val="21"/>
                      <w:u w:val="none"/>
                      <w:lang w:val="en-US" w:eastAsia="zh-CN" w:bidi="ar"/>
                    </w:rPr>
                    <w:t>0.000167</w:t>
                  </w:r>
                </w:p>
              </w:tc>
              <w:tc>
                <w:tcPr>
                  <w:tcW w:w="768" w:type="pct"/>
                  <w:noWrap w:val="0"/>
                  <w:vAlign w:val="center"/>
                </w:tcPr>
                <w:p w14:paraId="2FB5ED0F">
                  <w:pPr>
                    <w:keepNext w:val="0"/>
                    <w:keepLines w:val="0"/>
                    <w:widowControl/>
                    <w:suppressLineNumbers w:val="0"/>
                    <w:jc w:val="center"/>
                    <w:textAlignment w:val="center"/>
                    <w:rPr>
                      <w:rFonts w:hint="eastAsia" w:ascii="Times New Roman" w:hAnsi="Times New Roman" w:eastAsia="宋体" w:cs="Times New Roman"/>
                      <w:i w:val="0"/>
                      <w:iCs w:val="0"/>
                      <w:color w:val="FF0000"/>
                      <w:kern w:val="0"/>
                      <w:sz w:val="21"/>
                      <w:szCs w:val="21"/>
                      <w:u w:val="none"/>
                      <w:lang w:val="en-US" w:eastAsia="zh-CN" w:bidi="ar"/>
                    </w:rPr>
                  </w:pPr>
                  <w:r>
                    <w:rPr>
                      <w:rFonts w:hint="eastAsia" w:ascii="Times New Roman" w:hAnsi="Times New Roman" w:eastAsia="宋体" w:cs="Times New Roman"/>
                      <w:i w:val="0"/>
                      <w:iCs w:val="0"/>
                      <w:color w:val="FF0000"/>
                      <w:kern w:val="0"/>
                      <w:sz w:val="21"/>
                      <w:szCs w:val="21"/>
                      <w:u w:val="none"/>
                      <w:lang w:val="en-US" w:eastAsia="zh-CN" w:bidi="ar"/>
                    </w:rPr>
                    <w:t>0.000053</w:t>
                  </w:r>
                </w:p>
              </w:tc>
              <w:tc>
                <w:tcPr>
                  <w:tcW w:w="753" w:type="pct"/>
                  <w:noWrap w:val="0"/>
                  <w:vAlign w:val="center"/>
                </w:tcPr>
                <w:p w14:paraId="59843D30">
                  <w:pPr>
                    <w:keepNext w:val="0"/>
                    <w:keepLines w:val="0"/>
                    <w:widowControl/>
                    <w:suppressLineNumbers w:val="0"/>
                    <w:jc w:val="center"/>
                    <w:textAlignment w:val="center"/>
                    <w:rPr>
                      <w:rFonts w:hint="default" w:ascii="Times New Roman" w:hAnsi="Times New Roman" w:eastAsia="宋体" w:cs="Times New Roman"/>
                      <w:i w:val="0"/>
                      <w:iCs w:val="0"/>
                      <w:color w:val="FF0000"/>
                      <w:kern w:val="0"/>
                      <w:sz w:val="21"/>
                      <w:szCs w:val="21"/>
                      <w:u w:val="none"/>
                      <w:lang w:val="en-US" w:eastAsia="zh-CN" w:bidi="ar"/>
                    </w:rPr>
                  </w:pPr>
                  <w:r>
                    <w:rPr>
                      <w:rFonts w:hint="eastAsia" w:cs="Times New Roman"/>
                      <w:i w:val="0"/>
                      <w:iCs w:val="0"/>
                      <w:color w:val="FF0000"/>
                      <w:kern w:val="0"/>
                      <w:sz w:val="21"/>
                      <w:szCs w:val="21"/>
                      <w:u w:val="none"/>
                      <w:lang w:val="en-US" w:eastAsia="zh-CN" w:bidi="ar"/>
                    </w:rPr>
                    <w:t>/</w:t>
                  </w:r>
                </w:p>
              </w:tc>
            </w:tr>
            <w:tr w14:paraId="694330ED">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25" w:type="pct"/>
                  <w:gridSpan w:val="2"/>
                  <w:vMerge w:val="continue"/>
                  <w:noWrap w:val="0"/>
                  <w:vAlign w:val="center"/>
                </w:tcPr>
                <w:p w14:paraId="53F907E2">
                  <w:pPr>
                    <w:keepNext w:val="0"/>
                    <w:keepLines w:val="0"/>
                    <w:widowControl/>
                    <w:suppressLineNumbers w:val="0"/>
                    <w:jc w:val="center"/>
                    <w:textAlignment w:val="center"/>
                    <w:rPr>
                      <w:rFonts w:hint="default" w:ascii="Times New Roman" w:hAnsi="Times New Roman" w:eastAsia="宋体" w:cs="Times New Roman"/>
                      <w:i w:val="0"/>
                      <w:iCs w:val="0"/>
                      <w:color w:val="FF0000"/>
                      <w:kern w:val="0"/>
                      <w:sz w:val="21"/>
                      <w:szCs w:val="21"/>
                      <w:u w:val="none"/>
                      <w:lang w:val="en-US" w:eastAsia="zh-CN" w:bidi="ar"/>
                    </w:rPr>
                  </w:pPr>
                </w:p>
              </w:tc>
              <w:tc>
                <w:tcPr>
                  <w:tcW w:w="1102" w:type="pct"/>
                  <w:noWrap w:val="0"/>
                  <w:vAlign w:val="center"/>
                </w:tcPr>
                <w:p w14:paraId="03DB31A9">
                  <w:pPr>
                    <w:keepNext w:val="0"/>
                    <w:keepLines w:val="0"/>
                    <w:widowControl/>
                    <w:suppressLineNumbers w:val="0"/>
                    <w:jc w:val="center"/>
                    <w:textAlignment w:val="center"/>
                    <w:rPr>
                      <w:rFonts w:hint="default" w:ascii="Times New Roman" w:hAnsi="Times New Roman" w:eastAsia="宋体" w:cs="Times New Roman"/>
                      <w:i w:val="0"/>
                      <w:iCs w:val="0"/>
                      <w:color w:val="FF0000"/>
                      <w:kern w:val="0"/>
                      <w:sz w:val="21"/>
                      <w:szCs w:val="21"/>
                      <w:u w:val="none"/>
                      <w:lang w:val="en-US" w:eastAsia="zh-CN" w:bidi="ar"/>
                    </w:rPr>
                  </w:pPr>
                  <w:r>
                    <w:rPr>
                      <w:rFonts w:hint="default" w:ascii="Times New Roman" w:hAnsi="Times New Roman" w:eastAsia="宋体" w:cs="Times New Roman"/>
                      <w:i w:val="0"/>
                      <w:iCs w:val="0"/>
                      <w:color w:val="FF0000"/>
                      <w:kern w:val="0"/>
                      <w:sz w:val="21"/>
                      <w:szCs w:val="21"/>
                      <w:u w:val="none"/>
                      <w:lang w:val="en-US" w:eastAsia="zh-CN" w:bidi="ar"/>
                    </w:rPr>
                    <w:t>NH3-N</w:t>
                  </w:r>
                </w:p>
              </w:tc>
              <w:tc>
                <w:tcPr>
                  <w:tcW w:w="882" w:type="pct"/>
                  <w:noWrap w:val="0"/>
                  <w:vAlign w:val="center"/>
                </w:tcPr>
                <w:p w14:paraId="60780E86">
                  <w:pPr>
                    <w:keepNext w:val="0"/>
                    <w:keepLines w:val="0"/>
                    <w:widowControl/>
                    <w:suppressLineNumbers w:val="0"/>
                    <w:jc w:val="center"/>
                    <w:textAlignment w:val="center"/>
                    <w:rPr>
                      <w:rFonts w:hint="default" w:ascii="Times New Roman" w:hAnsi="Times New Roman" w:eastAsia="宋体" w:cs="Times New Roman"/>
                      <w:i w:val="0"/>
                      <w:iCs w:val="0"/>
                      <w:color w:val="FF0000"/>
                      <w:kern w:val="0"/>
                      <w:sz w:val="21"/>
                      <w:szCs w:val="21"/>
                      <w:u w:val="none"/>
                      <w:lang w:val="en-US" w:eastAsia="zh-CN" w:bidi="ar"/>
                    </w:rPr>
                  </w:pPr>
                  <w:r>
                    <w:rPr>
                      <w:rFonts w:hint="eastAsia" w:ascii="Times New Roman" w:hAnsi="Times New Roman" w:eastAsia="宋体" w:cs="Times New Roman"/>
                      <w:i w:val="0"/>
                      <w:iCs w:val="0"/>
                      <w:color w:val="FF0000"/>
                      <w:kern w:val="0"/>
                      <w:sz w:val="21"/>
                      <w:szCs w:val="21"/>
                      <w:u w:val="none"/>
                      <w:lang w:val="en-US" w:eastAsia="zh-CN" w:bidi="ar"/>
                    </w:rPr>
                    <w:t>0.000027</w:t>
                  </w:r>
                </w:p>
              </w:tc>
              <w:tc>
                <w:tcPr>
                  <w:tcW w:w="768" w:type="pct"/>
                  <w:noWrap w:val="0"/>
                  <w:vAlign w:val="center"/>
                </w:tcPr>
                <w:p w14:paraId="10AFB8A2">
                  <w:pPr>
                    <w:keepNext w:val="0"/>
                    <w:keepLines w:val="0"/>
                    <w:widowControl/>
                    <w:suppressLineNumbers w:val="0"/>
                    <w:jc w:val="center"/>
                    <w:textAlignment w:val="center"/>
                    <w:rPr>
                      <w:rFonts w:hint="default" w:ascii="Times New Roman" w:hAnsi="Times New Roman" w:eastAsia="宋体" w:cs="Times New Roman"/>
                      <w:i w:val="0"/>
                      <w:iCs w:val="0"/>
                      <w:color w:val="FF0000"/>
                      <w:kern w:val="0"/>
                      <w:sz w:val="21"/>
                      <w:szCs w:val="21"/>
                      <w:u w:val="none"/>
                      <w:lang w:val="en-US" w:eastAsia="zh-CN" w:bidi="ar"/>
                    </w:rPr>
                  </w:pPr>
                  <w:r>
                    <w:rPr>
                      <w:rFonts w:hint="eastAsia" w:ascii="Times New Roman" w:hAnsi="Times New Roman" w:eastAsia="宋体" w:cs="Times New Roman"/>
                      <w:i w:val="0"/>
                      <w:iCs w:val="0"/>
                      <w:color w:val="FF0000"/>
                      <w:kern w:val="0"/>
                      <w:sz w:val="21"/>
                      <w:szCs w:val="21"/>
                      <w:u w:val="none"/>
                      <w:lang w:val="en-US" w:eastAsia="zh-CN" w:bidi="ar"/>
                    </w:rPr>
                    <w:t>0.000015</w:t>
                  </w:r>
                </w:p>
              </w:tc>
              <w:tc>
                <w:tcPr>
                  <w:tcW w:w="768" w:type="pct"/>
                  <w:noWrap w:val="0"/>
                  <w:vAlign w:val="center"/>
                </w:tcPr>
                <w:p w14:paraId="1438CE9A">
                  <w:pPr>
                    <w:keepNext w:val="0"/>
                    <w:keepLines w:val="0"/>
                    <w:widowControl/>
                    <w:suppressLineNumbers w:val="0"/>
                    <w:jc w:val="center"/>
                    <w:textAlignment w:val="center"/>
                    <w:rPr>
                      <w:rFonts w:hint="eastAsia" w:ascii="Times New Roman" w:hAnsi="Times New Roman" w:eastAsia="宋体" w:cs="Times New Roman"/>
                      <w:i w:val="0"/>
                      <w:iCs w:val="0"/>
                      <w:color w:val="FF0000"/>
                      <w:kern w:val="0"/>
                      <w:sz w:val="21"/>
                      <w:szCs w:val="21"/>
                      <w:u w:val="none"/>
                      <w:lang w:val="en-US" w:eastAsia="zh-CN" w:bidi="ar"/>
                    </w:rPr>
                  </w:pPr>
                  <w:r>
                    <w:rPr>
                      <w:rFonts w:hint="eastAsia" w:ascii="Times New Roman" w:hAnsi="Times New Roman" w:eastAsia="宋体" w:cs="Times New Roman"/>
                      <w:i w:val="0"/>
                      <w:iCs w:val="0"/>
                      <w:color w:val="FF0000"/>
                      <w:kern w:val="0"/>
                      <w:sz w:val="21"/>
                      <w:szCs w:val="21"/>
                      <w:u w:val="none"/>
                      <w:lang w:val="en-US" w:eastAsia="zh-CN" w:bidi="ar"/>
                    </w:rPr>
                    <w:t>0.000012</w:t>
                  </w:r>
                </w:p>
              </w:tc>
              <w:tc>
                <w:tcPr>
                  <w:tcW w:w="753" w:type="pct"/>
                  <w:noWrap w:val="0"/>
                  <w:vAlign w:val="center"/>
                </w:tcPr>
                <w:p w14:paraId="5208EC48">
                  <w:pPr>
                    <w:keepNext w:val="0"/>
                    <w:keepLines w:val="0"/>
                    <w:widowControl/>
                    <w:suppressLineNumbers w:val="0"/>
                    <w:jc w:val="center"/>
                    <w:textAlignment w:val="center"/>
                    <w:rPr>
                      <w:rFonts w:hint="default" w:ascii="Times New Roman" w:hAnsi="Times New Roman" w:eastAsia="宋体" w:cs="Times New Roman"/>
                      <w:i w:val="0"/>
                      <w:iCs w:val="0"/>
                      <w:color w:val="FF0000"/>
                      <w:kern w:val="0"/>
                      <w:sz w:val="21"/>
                      <w:szCs w:val="21"/>
                      <w:u w:val="none"/>
                      <w:lang w:val="en-US" w:eastAsia="zh-CN" w:bidi="ar"/>
                    </w:rPr>
                  </w:pPr>
                  <w:r>
                    <w:rPr>
                      <w:rFonts w:hint="eastAsia" w:ascii="Times New Roman" w:hAnsi="Times New Roman" w:eastAsia="宋体" w:cs="Times New Roman"/>
                      <w:i w:val="0"/>
                      <w:iCs w:val="0"/>
                      <w:color w:val="FF0000"/>
                      <w:kern w:val="0"/>
                      <w:sz w:val="21"/>
                      <w:szCs w:val="21"/>
                      <w:u w:val="none"/>
                      <w:lang w:val="en-US" w:eastAsia="zh-CN" w:bidi="ar"/>
                    </w:rPr>
                    <w:t>0.000012</w:t>
                  </w:r>
                </w:p>
              </w:tc>
            </w:tr>
            <w:tr w14:paraId="57A72F9F">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25" w:type="pct"/>
                  <w:gridSpan w:val="2"/>
                  <w:vMerge w:val="continue"/>
                  <w:noWrap w:val="0"/>
                  <w:vAlign w:val="center"/>
                </w:tcPr>
                <w:p w14:paraId="34B4235E">
                  <w:pPr>
                    <w:keepNext w:val="0"/>
                    <w:keepLines w:val="0"/>
                    <w:widowControl/>
                    <w:suppressLineNumbers w:val="0"/>
                    <w:jc w:val="center"/>
                    <w:textAlignment w:val="center"/>
                    <w:rPr>
                      <w:rFonts w:hint="default" w:ascii="Times New Roman" w:hAnsi="Times New Roman" w:eastAsia="宋体" w:cs="Times New Roman"/>
                      <w:i w:val="0"/>
                      <w:iCs w:val="0"/>
                      <w:color w:val="FF0000"/>
                      <w:kern w:val="0"/>
                      <w:sz w:val="21"/>
                      <w:szCs w:val="21"/>
                      <w:u w:val="none"/>
                      <w:lang w:val="en-US" w:eastAsia="zh-CN" w:bidi="ar"/>
                    </w:rPr>
                  </w:pPr>
                </w:p>
              </w:tc>
              <w:tc>
                <w:tcPr>
                  <w:tcW w:w="1102" w:type="pct"/>
                  <w:noWrap w:val="0"/>
                  <w:vAlign w:val="center"/>
                </w:tcPr>
                <w:p w14:paraId="5DA1181B">
                  <w:pPr>
                    <w:keepNext w:val="0"/>
                    <w:keepLines w:val="0"/>
                    <w:widowControl/>
                    <w:suppressLineNumbers w:val="0"/>
                    <w:jc w:val="center"/>
                    <w:textAlignment w:val="center"/>
                    <w:rPr>
                      <w:rFonts w:hint="default" w:ascii="Times New Roman" w:hAnsi="Times New Roman" w:eastAsia="宋体" w:cs="Times New Roman"/>
                      <w:i w:val="0"/>
                      <w:iCs w:val="0"/>
                      <w:color w:val="FF0000"/>
                      <w:kern w:val="0"/>
                      <w:sz w:val="21"/>
                      <w:szCs w:val="21"/>
                      <w:u w:val="none"/>
                      <w:lang w:val="en-US" w:eastAsia="zh-CN" w:bidi="ar"/>
                    </w:rPr>
                  </w:pPr>
                  <w:r>
                    <w:rPr>
                      <w:rFonts w:hint="default" w:ascii="Times New Roman" w:hAnsi="Times New Roman" w:eastAsia="宋体" w:cs="Times New Roman"/>
                      <w:i w:val="0"/>
                      <w:iCs w:val="0"/>
                      <w:color w:val="FF0000"/>
                      <w:kern w:val="0"/>
                      <w:sz w:val="21"/>
                      <w:szCs w:val="21"/>
                      <w:u w:val="none"/>
                      <w:lang w:val="en-US" w:eastAsia="zh-CN" w:bidi="ar"/>
                    </w:rPr>
                    <w:t>TP</w:t>
                  </w:r>
                </w:p>
              </w:tc>
              <w:tc>
                <w:tcPr>
                  <w:tcW w:w="882" w:type="pct"/>
                  <w:noWrap w:val="0"/>
                  <w:vAlign w:val="center"/>
                </w:tcPr>
                <w:p w14:paraId="640C2D50">
                  <w:pPr>
                    <w:keepNext w:val="0"/>
                    <w:keepLines w:val="0"/>
                    <w:widowControl/>
                    <w:suppressLineNumbers w:val="0"/>
                    <w:jc w:val="center"/>
                    <w:textAlignment w:val="center"/>
                    <w:rPr>
                      <w:rFonts w:hint="default" w:ascii="Times New Roman" w:hAnsi="Times New Roman" w:eastAsia="宋体" w:cs="Times New Roman"/>
                      <w:i w:val="0"/>
                      <w:iCs w:val="0"/>
                      <w:color w:val="FF0000"/>
                      <w:kern w:val="0"/>
                      <w:sz w:val="21"/>
                      <w:szCs w:val="21"/>
                      <w:u w:val="none"/>
                      <w:lang w:val="en-US" w:eastAsia="zh-CN" w:bidi="ar"/>
                    </w:rPr>
                  </w:pPr>
                  <w:r>
                    <w:rPr>
                      <w:rFonts w:hint="eastAsia" w:ascii="Times New Roman" w:hAnsi="Times New Roman" w:eastAsia="宋体" w:cs="Times New Roman"/>
                      <w:i w:val="0"/>
                      <w:iCs w:val="0"/>
                      <w:color w:val="FF0000"/>
                      <w:kern w:val="0"/>
                      <w:sz w:val="21"/>
                      <w:szCs w:val="21"/>
                      <w:u w:val="none"/>
                      <w:lang w:val="en-US" w:eastAsia="zh-CN" w:bidi="ar"/>
                    </w:rPr>
                    <w:t>0.000001</w:t>
                  </w:r>
                </w:p>
              </w:tc>
              <w:tc>
                <w:tcPr>
                  <w:tcW w:w="768" w:type="pct"/>
                  <w:noWrap w:val="0"/>
                  <w:vAlign w:val="center"/>
                </w:tcPr>
                <w:p w14:paraId="59D6E26A">
                  <w:pPr>
                    <w:keepNext w:val="0"/>
                    <w:keepLines w:val="0"/>
                    <w:widowControl/>
                    <w:suppressLineNumbers w:val="0"/>
                    <w:jc w:val="center"/>
                    <w:textAlignment w:val="center"/>
                    <w:rPr>
                      <w:rFonts w:hint="default" w:ascii="Times New Roman" w:hAnsi="Times New Roman" w:eastAsia="宋体" w:cs="Times New Roman"/>
                      <w:i w:val="0"/>
                      <w:iCs w:val="0"/>
                      <w:color w:val="FF0000"/>
                      <w:kern w:val="0"/>
                      <w:sz w:val="21"/>
                      <w:szCs w:val="21"/>
                      <w:u w:val="none"/>
                      <w:lang w:val="en-US" w:eastAsia="zh-CN" w:bidi="ar"/>
                    </w:rPr>
                  </w:pPr>
                  <w:r>
                    <w:rPr>
                      <w:rFonts w:hint="eastAsia" w:ascii="Times New Roman" w:hAnsi="Times New Roman" w:eastAsia="宋体" w:cs="Times New Roman"/>
                      <w:i w:val="0"/>
                      <w:iCs w:val="0"/>
                      <w:color w:val="FF0000"/>
                      <w:kern w:val="0"/>
                      <w:sz w:val="21"/>
                      <w:szCs w:val="21"/>
                      <w:u w:val="none"/>
                      <w:lang w:val="en-US" w:eastAsia="zh-CN" w:bidi="ar"/>
                    </w:rPr>
                    <w:t>0</w:t>
                  </w:r>
                </w:p>
              </w:tc>
              <w:tc>
                <w:tcPr>
                  <w:tcW w:w="768" w:type="pct"/>
                  <w:noWrap w:val="0"/>
                  <w:vAlign w:val="center"/>
                </w:tcPr>
                <w:p w14:paraId="73D9FF94">
                  <w:pPr>
                    <w:keepNext w:val="0"/>
                    <w:keepLines w:val="0"/>
                    <w:widowControl/>
                    <w:suppressLineNumbers w:val="0"/>
                    <w:jc w:val="center"/>
                    <w:textAlignment w:val="center"/>
                    <w:rPr>
                      <w:rFonts w:hint="eastAsia" w:ascii="Times New Roman" w:hAnsi="Times New Roman" w:eastAsia="宋体" w:cs="Times New Roman"/>
                      <w:i w:val="0"/>
                      <w:iCs w:val="0"/>
                      <w:color w:val="FF0000"/>
                      <w:kern w:val="0"/>
                      <w:sz w:val="21"/>
                      <w:szCs w:val="21"/>
                      <w:u w:val="none"/>
                      <w:lang w:val="en-US" w:eastAsia="zh-CN" w:bidi="ar"/>
                    </w:rPr>
                  </w:pPr>
                  <w:r>
                    <w:rPr>
                      <w:rFonts w:hint="eastAsia" w:ascii="Times New Roman" w:hAnsi="Times New Roman" w:eastAsia="宋体" w:cs="Times New Roman"/>
                      <w:i w:val="0"/>
                      <w:iCs w:val="0"/>
                      <w:color w:val="FF0000"/>
                      <w:kern w:val="0"/>
                      <w:sz w:val="21"/>
                      <w:szCs w:val="21"/>
                      <w:u w:val="none"/>
                      <w:lang w:val="en-US" w:eastAsia="zh-CN" w:bidi="ar"/>
                    </w:rPr>
                    <w:t>0.000001</w:t>
                  </w:r>
                </w:p>
              </w:tc>
              <w:tc>
                <w:tcPr>
                  <w:tcW w:w="753" w:type="pct"/>
                  <w:noWrap w:val="0"/>
                  <w:vAlign w:val="center"/>
                </w:tcPr>
                <w:p w14:paraId="79B128F6">
                  <w:pPr>
                    <w:keepNext w:val="0"/>
                    <w:keepLines w:val="0"/>
                    <w:widowControl/>
                    <w:suppressLineNumbers w:val="0"/>
                    <w:jc w:val="center"/>
                    <w:textAlignment w:val="center"/>
                    <w:rPr>
                      <w:rFonts w:hint="default" w:ascii="Times New Roman" w:hAnsi="Times New Roman" w:eastAsia="宋体" w:cs="Times New Roman"/>
                      <w:i w:val="0"/>
                      <w:iCs w:val="0"/>
                      <w:color w:val="FF0000"/>
                      <w:kern w:val="0"/>
                      <w:sz w:val="21"/>
                      <w:szCs w:val="21"/>
                      <w:u w:val="none"/>
                      <w:lang w:val="en-US" w:eastAsia="zh-CN" w:bidi="ar"/>
                    </w:rPr>
                  </w:pPr>
                  <w:r>
                    <w:rPr>
                      <w:rFonts w:hint="eastAsia" w:cs="Times New Roman"/>
                      <w:i w:val="0"/>
                      <w:iCs w:val="0"/>
                      <w:color w:val="FF0000"/>
                      <w:kern w:val="0"/>
                      <w:sz w:val="21"/>
                      <w:szCs w:val="21"/>
                      <w:u w:val="none"/>
                      <w:lang w:val="en-US" w:eastAsia="zh-CN" w:bidi="ar"/>
                    </w:rPr>
                    <w:t>/</w:t>
                  </w:r>
                </w:p>
              </w:tc>
            </w:tr>
            <w:tr w14:paraId="760E9D53">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25" w:type="pct"/>
                  <w:gridSpan w:val="2"/>
                  <w:vMerge w:val="continue"/>
                  <w:noWrap w:val="0"/>
                  <w:vAlign w:val="center"/>
                </w:tcPr>
                <w:p w14:paraId="519209AE">
                  <w:pPr>
                    <w:keepNext w:val="0"/>
                    <w:keepLines w:val="0"/>
                    <w:widowControl/>
                    <w:suppressLineNumbers w:val="0"/>
                    <w:jc w:val="center"/>
                    <w:textAlignment w:val="center"/>
                    <w:rPr>
                      <w:rFonts w:hint="default" w:ascii="Times New Roman" w:hAnsi="Times New Roman" w:eastAsia="宋体" w:cs="Times New Roman"/>
                      <w:i w:val="0"/>
                      <w:iCs w:val="0"/>
                      <w:color w:val="FF0000"/>
                      <w:kern w:val="0"/>
                      <w:sz w:val="21"/>
                      <w:szCs w:val="21"/>
                      <w:u w:val="none"/>
                      <w:lang w:val="en-US" w:eastAsia="zh-CN" w:bidi="ar"/>
                    </w:rPr>
                  </w:pPr>
                </w:p>
              </w:tc>
              <w:tc>
                <w:tcPr>
                  <w:tcW w:w="1102" w:type="pct"/>
                  <w:noWrap w:val="0"/>
                  <w:vAlign w:val="center"/>
                </w:tcPr>
                <w:p w14:paraId="59E99FB6">
                  <w:pPr>
                    <w:keepNext w:val="0"/>
                    <w:keepLines w:val="0"/>
                    <w:widowControl/>
                    <w:suppressLineNumbers w:val="0"/>
                    <w:jc w:val="center"/>
                    <w:textAlignment w:val="center"/>
                    <w:rPr>
                      <w:rFonts w:hint="eastAsia" w:ascii="Times New Roman" w:hAnsi="Times New Roman" w:eastAsia="宋体" w:cs="Times New Roman"/>
                      <w:i w:val="0"/>
                      <w:iCs w:val="0"/>
                      <w:color w:val="FF0000"/>
                      <w:kern w:val="0"/>
                      <w:sz w:val="21"/>
                      <w:szCs w:val="21"/>
                      <w:u w:val="none"/>
                      <w:lang w:val="en-US" w:eastAsia="zh-CN" w:bidi="ar"/>
                    </w:rPr>
                  </w:pPr>
                  <w:r>
                    <w:rPr>
                      <w:rFonts w:hint="default" w:ascii="Times New Roman" w:hAnsi="Times New Roman" w:eastAsia="宋体" w:cs="Times New Roman"/>
                      <w:i w:val="0"/>
                      <w:iCs w:val="0"/>
                      <w:color w:val="FF0000"/>
                      <w:kern w:val="0"/>
                      <w:sz w:val="21"/>
                      <w:szCs w:val="21"/>
                      <w:u w:val="none"/>
                      <w:lang w:val="en-US" w:eastAsia="zh-CN" w:bidi="ar"/>
                    </w:rPr>
                    <w:t>TN</w:t>
                  </w:r>
                </w:p>
              </w:tc>
              <w:tc>
                <w:tcPr>
                  <w:tcW w:w="882" w:type="pct"/>
                  <w:noWrap w:val="0"/>
                  <w:vAlign w:val="center"/>
                </w:tcPr>
                <w:p w14:paraId="02DABC20">
                  <w:pPr>
                    <w:keepNext w:val="0"/>
                    <w:keepLines w:val="0"/>
                    <w:widowControl/>
                    <w:suppressLineNumbers w:val="0"/>
                    <w:jc w:val="center"/>
                    <w:textAlignment w:val="center"/>
                    <w:rPr>
                      <w:rFonts w:hint="default" w:ascii="Times New Roman" w:hAnsi="Times New Roman" w:eastAsia="宋体" w:cs="Times New Roman"/>
                      <w:i w:val="0"/>
                      <w:iCs w:val="0"/>
                      <w:color w:val="FF0000"/>
                      <w:kern w:val="0"/>
                      <w:sz w:val="21"/>
                      <w:szCs w:val="21"/>
                      <w:u w:val="none"/>
                      <w:lang w:val="en-US" w:eastAsia="zh-CN" w:bidi="ar"/>
                    </w:rPr>
                  </w:pPr>
                  <w:r>
                    <w:rPr>
                      <w:rFonts w:hint="eastAsia" w:ascii="Times New Roman" w:hAnsi="Times New Roman" w:eastAsia="宋体" w:cs="Times New Roman"/>
                      <w:i w:val="0"/>
                      <w:iCs w:val="0"/>
                      <w:color w:val="FF0000"/>
                      <w:kern w:val="0"/>
                      <w:sz w:val="21"/>
                      <w:szCs w:val="21"/>
                      <w:u w:val="none"/>
                      <w:lang w:val="en-US" w:eastAsia="zh-CN" w:bidi="ar"/>
                    </w:rPr>
                    <w:t>0.000008</w:t>
                  </w:r>
                </w:p>
              </w:tc>
              <w:tc>
                <w:tcPr>
                  <w:tcW w:w="768" w:type="pct"/>
                  <w:noWrap w:val="0"/>
                  <w:vAlign w:val="center"/>
                </w:tcPr>
                <w:p w14:paraId="24A4BF3A">
                  <w:pPr>
                    <w:keepNext w:val="0"/>
                    <w:keepLines w:val="0"/>
                    <w:widowControl/>
                    <w:suppressLineNumbers w:val="0"/>
                    <w:jc w:val="center"/>
                    <w:textAlignment w:val="center"/>
                    <w:rPr>
                      <w:rFonts w:hint="default" w:ascii="Times New Roman" w:hAnsi="Times New Roman" w:eastAsia="宋体" w:cs="Times New Roman"/>
                      <w:i w:val="0"/>
                      <w:iCs w:val="0"/>
                      <w:color w:val="FF0000"/>
                      <w:kern w:val="0"/>
                      <w:sz w:val="21"/>
                      <w:szCs w:val="21"/>
                      <w:u w:val="none"/>
                      <w:lang w:val="en-US" w:eastAsia="zh-CN" w:bidi="ar"/>
                    </w:rPr>
                  </w:pPr>
                  <w:r>
                    <w:rPr>
                      <w:rFonts w:hint="eastAsia" w:ascii="Times New Roman" w:hAnsi="Times New Roman" w:eastAsia="宋体" w:cs="Times New Roman"/>
                      <w:i w:val="0"/>
                      <w:iCs w:val="0"/>
                      <w:color w:val="FF0000"/>
                      <w:kern w:val="0"/>
                      <w:sz w:val="21"/>
                      <w:szCs w:val="21"/>
                      <w:u w:val="none"/>
                      <w:lang w:val="en-US" w:eastAsia="zh-CN" w:bidi="ar"/>
                    </w:rPr>
                    <w:t>0.000001</w:t>
                  </w:r>
                </w:p>
              </w:tc>
              <w:tc>
                <w:tcPr>
                  <w:tcW w:w="768" w:type="pct"/>
                  <w:noWrap w:val="0"/>
                  <w:vAlign w:val="center"/>
                </w:tcPr>
                <w:p w14:paraId="76BA4D75">
                  <w:pPr>
                    <w:keepNext w:val="0"/>
                    <w:keepLines w:val="0"/>
                    <w:widowControl/>
                    <w:suppressLineNumbers w:val="0"/>
                    <w:jc w:val="center"/>
                    <w:textAlignment w:val="center"/>
                    <w:rPr>
                      <w:rFonts w:hint="eastAsia" w:ascii="Times New Roman" w:hAnsi="Times New Roman" w:eastAsia="宋体" w:cs="Times New Roman"/>
                      <w:i w:val="0"/>
                      <w:iCs w:val="0"/>
                      <w:color w:val="FF0000"/>
                      <w:kern w:val="0"/>
                      <w:sz w:val="21"/>
                      <w:szCs w:val="21"/>
                      <w:u w:val="none"/>
                      <w:lang w:val="en-US" w:eastAsia="zh-CN" w:bidi="ar"/>
                    </w:rPr>
                  </w:pPr>
                  <w:r>
                    <w:rPr>
                      <w:rFonts w:hint="eastAsia" w:ascii="Times New Roman" w:hAnsi="Times New Roman" w:eastAsia="宋体" w:cs="Times New Roman"/>
                      <w:i w:val="0"/>
                      <w:iCs w:val="0"/>
                      <w:color w:val="FF0000"/>
                      <w:kern w:val="0"/>
                      <w:sz w:val="21"/>
                      <w:szCs w:val="21"/>
                      <w:u w:val="none"/>
                      <w:lang w:val="en-US" w:eastAsia="zh-CN" w:bidi="ar"/>
                    </w:rPr>
                    <w:t>0.000007</w:t>
                  </w:r>
                </w:p>
              </w:tc>
              <w:tc>
                <w:tcPr>
                  <w:tcW w:w="753" w:type="pct"/>
                  <w:noWrap w:val="0"/>
                  <w:vAlign w:val="center"/>
                </w:tcPr>
                <w:p w14:paraId="3A087AC6">
                  <w:pPr>
                    <w:keepNext w:val="0"/>
                    <w:keepLines w:val="0"/>
                    <w:widowControl/>
                    <w:suppressLineNumbers w:val="0"/>
                    <w:jc w:val="center"/>
                    <w:textAlignment w:val="center"/>
                    <w:rPr>
                      <w:rFonts w:hint="default" w:ascii="Times New Roman" w:hAnsi="Times New Roman" w:eastAsia="宋体" w:cs="Times New Roman"/>
                      <w:i w:val="0"/>
                      <w:iCs w:val="0"/>
                      <w:color w:val="FF0000"/>
                      <w:kern w:val="0"/>
                      <w:sz w:val="21"/>
                      <w:szCs w:val="21"/>
                      <w:u w:val="none"/>
                      <w:lang w:val="en-US" w:eastAsia="zh-CN" w:bidi="ar"/>
                    </w:rPr>
                  </w:pPr>
                  <w:r>
                    <w:rPr>
                      <w:rFonts w:hint="eastAsia" w:cs="Times New Roman"/>
                      <w:i w:val="0"/>
                      <w:iCs w:val="0"/>
                      <w:color w:val="FF0000"/>
                      <w:kern w:val="0"/>
                      <w:sz w:val="21"/>
                      <w:szCs w:val="21"/>
                      <w:u w:val="none"/>
                      <w:lang w:val="en-US" w:eastAsia="zh-CN" w:bidi="ar"/>
                    </w:rPr>
                    <w:t>/</w:t>
                  </w:r>
                </w:p>
              </w:tc>
            </w:tr>
            <w:tr w14:paraId="16163505">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25" w:type="pct"/>
                  <w:gridSpan w:val="2"/>
                  <w:vMerge w:val="continue"/>
                  <w:noWrap w:val="0"/>
                  <w:vAlign w:val="center"/>
                </w:tcPr>
                <w:p w14:paraId="724773FC">
                  <w:pPr>
                    <w:keepNext w:val="0"/>
                    <w:keepLines w:val="0"/>
                    <w:widowControl/>
                    <w:suppressLineNumbers w:val="0"/>
                    <w:jc w:val="center"/>
                    <w:textAlignment w:val="center"/>
                    <w:rPr>
                      <w:rFonts w:hint="default" w:ascii="Times New Roman" w:hAnsi="Times New Roman" w:eastAsia="宋体" w:cs="Times New Roman"/>
                      <w:i w:val="0"/>
                      <w:iCs w:val="0"/>
                      <w:color w:val="FF0000"/>
                      <w:kern w:val="0"/>
                      <w:sz w:val="21"/>
                      <w:szCs w:val="21"/>
                      <w:u w:val="none"/>
                      <w:lang w:val="en-US" w:eastAsia="zh-CN" w:bidi="ar"/>
                    </w:rPr>
                  </w:pPr>
                </w:p>
              </w:tc>
              <w:tc>
                <w:tcPr>
                  <w:tcW w:w="1102" w:type="pct"/>
                  <w:noWrap w:val="0"/>
                  <w:vAlign w:val="center"/>
                </w:tcPr>
                <w:p w14:paraId="5ACA61BA">
                  <w:pPr>
                    <w:keepNext w:val="0"/>
                    <w:keepLines w:val="0"/>
                    <w:widowControl/>
                    <w:suppressLineNumbers w:val="0"/>
                    <w:jc w:val="center"/>
                    <w:textAlignment w:val="center"/>
                    <w:rPr>
                      <w:rFonts w:hint="eastAsia" w:ascii="Times New Roman" w:hAnsi="Times New Roman" w:eastAsia="宋体" w:cs="Times New Roman"/>
                      <w:i w:val="0"/>
                      <w:iCs w:val="0"/>
                      <w:color w:val="FF0000"/>
                      <w:kern w:val="0"/>
                      <w:sz w:val="21"/>
                      <w:szCs w:val="21"/>
                      <w:u w:val="none"/>
                      <w:lang w:val="en-US" w:eastAsia="zh-CN" w:bidi="ar"/>
                    </w:rPr>
                  </w:pPr>
                  <w:r>
                    <w:rPr>
                      <w:rFonts w:hint="eastAsia" w:ascii="Times New Roman" w:hAnsi="Times New Roman" w:eastAsia="宋体" w:cs="Times New Roman"/>
                      <w:i w:val="0"/>
                      <w:iCs w:val="0"/>
                      <w:color w:val="FF0000"/>
                      <w:kern w:val="0"/>
                      <w:sz w:val="21"/>
                      <w:szCs w:val="21"/>
                      <w:u w:val="none"/>
                      <w:lang w:val="en-US" w:eastAsia="zh-CN" w:bidi="ar"/>
                    </w:rPr>
                    <w:t>石油类</w:t>
                  </w:r>
                </w:p>
              </w:tc>
              <w:tc>
                <w:tcPr>
                  <w:tcW w:w="882" w:type="pct"/>
                  <w:noWrap w:val="0"/>
                  <w:vAlign w:val="center"/>
                </w:tcPr>
                <w:p w14:paraId="2B328D20">
                  <w:pPr>
                    <w:keepNext w:val="0"/>
                    <w:keepLines w:val="0"/>
                    <w:widowControl/>
                    <w:suppressLineNumbers w:val="0"/>
                    <w:jc w:val="center"/>
                    <w:textAlignment w:val="center"/>
                    <w:rPr>
                      <w:rFonts w:hint="default" w:ascii="Times New Roman" w:hAnsi="Times New Roman" w:eastAsia="宋体" w:cs="Times New Roman"/>
                      <w:i w:val="0"/>
                      <w:iCs w:val="0"/>
                      <w:color w:val="FF0000"/>
                      <w:kern w:val="0"/>
                      <w:sz w:val="21"/>
                      <w:szCs w:val="21"/>
                      <w:u w:val="none"/>
                      <w:lang w:val="en-US" w:eastAsia="zh-CN" w:bidi="ar"/>
                    </w:rPr>
                  </w:pPr>
                  <w:r>
                    <w:rPr>
                      <w:rFonts w:hint="eastAsia" w:ascii="Times New Roman" w:hAnsi="Times New Roman" w:eastAsia="宋体" w:cs="Times New Roman"/>
                      <w:i w:val="0"/>
                      <w:iCs w:val="0"/>
                      <w:color w:val="FF0000"/>
                      <w:kern w:val="0"/>
                      <w:sz w:val="21"/>
                      <w:szCs w:val="21"/>
                      <w:u w:val="none"/>
                      <w:lang w:val="en-US" w:eastAsia="zh-CN" w:bidi="ar"/>
                    </w:rPr>
                    <w:t>0.000808</w:t>
                  </w:r>
                </w:p>
              </w:tc>
              <w:tc>
                <w:tcPr>
                  <w:tcW w:w="768" w:type="pct"/>
                  <w:noWrap w:val="0"/>
                  <w:vAlign w:val="center"/>
                </w:tcPr>
                <w:p w14:paraId="60D9F675">
                  <w:pPr>
                    <w:keepNext w:val="0"/>
                    <w:keepLines w:val="0"/>
                    <w:widowControl/>
                    <w:suppressLineNumbers w:val="0"/>
                    <w:jc w:val="center"/>
                    <w:textAlignment w:val="center"/>
                    <w:rPr>
                      <w:rFonts w:hint="default" w:ascii="Times New Roman" w:hAnsi="Times New Roman" w:eastAsia="宋体" w:cs="Times New Roman"/>
                      <w:i w:val="0"/>
                      <w:iCs w:val="0"/>
                      <w:color w:val="FF0000"/>
                      <w:kern w:val="0"/>
                      <w:sz w:val="21"/>
                      <w:szCs w:val="21"/>
                      <w:u w:val="none"/>
                      <w:lang w:val="en-US" w:eastAsia="zh-CN" w:bidi="ar"/>
                    </w:rPr>
                  </w:pPr>
                  <w:r>
                    <w:rPr>
                      <w:rFonts w:hint="eastAsia" w:ascii="Times New Roman" w:hAnsi="Times New Roman" w:eastAsia="宋体" w:cs="Times New Roman"/>
                      <w:i w:val="0"/>
                      <w:iCs w:val="0"/>
                      <w:color w:val="FF0000"/>
                      <w:kern w:val="0"/>
                      <w:sz w:val="21"/>
                      <w:szCs w:val="21"/>
                      <w:u w:val="none"/>
                      <w:lang w:val="en-US" w:eastAsia="zh-CN" w:bidi="ar"/>
                    </w:rPr>
                    <w:t>0.000776</w:t>
                  </w:r>
                </w:p>
              </w:tc>
              <w:tc>
                <w:tcPr>
                  <w:tcW w:w="768" w:type="pct"/>
                  <w:noWrap w:val="0"/>
                  <w:vAlign w:val="center"/>
                </w:tcPr>
                <w:p w14:paraId="5B06CA15">
                  <w:pPr>
                    <w:keepNext w:val="0"/>
                    <w:keepLines w:val="0"/>
                    <w:widowControl/>
                    <w:suppressLineNumbers w:val="0"/>
                    <w:jc w:val="center"/>
                    <w:textAlignment w:val="center"/>
                    <w:rPr>
                      <w:rFonts w:hint="eastAsia" w:ascii="Times New Roman" w:hAnsi="Times New Roman" w:eastAsia="宋体" w:cs="Times New Roman"/>
                      <w:i w:val="0"/>
                      <w:iCs w:val="0"/>
                      <w:color w:val="FF0000"/>
                      <w:kern w:val="0"/>
                      <w:sz w:val="21"/>
                      <w:szCs w:val="21"/>
                      <w:u w:val="none"/>
                      <w:lang w:val="en-US" w:eastAsia="zh-CN" w:bidi="ar"/>
                    </w:rPr>
                  </w:pPr>
                  <w:r>
                    <w:rPr>
                      <w:rFonts w:hint="eastAsia" w:ascii="Times New Roman" w:hAnsi="Times New Roman" w:eastAsia="宋体" w:cs="Times New Roman"/>
                      <w:i w:val="0"/>
                      <w:iCs w:val="0"/>
                      <w:color w:val="FF0000"/>
                      <w:kern w:val="0"/>
                      <w:sz w:val="21"/>
                      <w:szCs w:val="21"/>
                      <w:u w:val="none"/>
                      <w:lang w:val="en-US" w:eastAsia="zh-CN" w:bidi="ar"/>
                    </w:rPr>
                    <w:t>0.000032</w:t>
                  </w:r>
                </w:p>
              </w:tc>
              <w:tc>
                <w:tcPr>
                  <w:tcW w:w="753" w:type="pct"/>
                  <w:noWrap w:val="0"/>
                  <w:vAlign w:val="center"/>
                </w:tcPr>
                <w:p w14:paraId="11016E8B">
                  <w:pPr>
                    <w:keepNext w:val="0"/>
                    <w:keepLines w:val="0"/>
                    <w:widowControl/>
                    <w:suppressLineNumbers w:val="0"/>
                    <w:jc w:val="center"/>
                    <w:textAlignment w:val="center"/>
                    <w:rPr>
                      <w:rFonts w:hint="default" w:ascii="Times New Roman" w:hAnsi="Times New Roman" w:eastAsia="宋体" w:cs="Times New Roman"/>
                      <w:i w:val="0"/>
                      <w:iCs w:val="0"/>
                      <w:color w:val="FF0000"/>
                      <w:kern w:val="0"/>
                      <w:sz w:val="21"/>
                      <w:szCs w:val="21"/>
                      <w:u w:val="none"/>
                      <w:lang w:val="en-US" w:eastAsia="zh-CN" w:bidi="ar"/>
                    </w:rPr>
                  </w:pPr>
                  <w:r>
                    <w:rPr>
                      <w:rFonts w:hint="eastAsia" w:cs="Times New Roman"/>
                      <w:i w:val="0"/>
                      <w:iCs w:val="0"/>
                      <w:color w:val="FF0000"/>
                      <w:kern w:val="0"/>
                      <w:sz w:val="21"/>
                      <w:szCs w:val="21"/>
                      <w:u w:val="none"/>
                      <w:lang w:val="en-US" w:eastAsia="zh-CN" w:bidi="ar"/>
                    </w:rPr>
                    <w:t>/</w:t>
                  </w:r>
                </w:p>
              </w:tc>
            </w:tr>
            <w:tr w14:paraId="5A2C0A0E">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304" w:type="pct"/>
                  <w:vMerge w:val="restart"/>
                  <w:noWrap w:val="0"/>
                  <w:vAlign w:val="center"/>
                </w:tcPr>
                <w:p w14:paraId="2EEBB1B9">
                  <w:pPr>
                    <w:keepNext w:val="0"/>
                    <w:keepLines w:val="0"/>
                    <w:widowControl/>
                    <w:suppressLineNumbers w:val="0"/>
                    <w:jc w:val="center"/>
                    <w:textAlignment w:val="center"/>
                    <w:rPr>
                      <w:rFonts w:hint="default" w:ascii="Times New Roman" w:hAnsi="Times New Roman" w:eastAsia="宋体" w:cs="Times New Roman"/>
                      <w:i w:val="0"/>
                      <w:iCs w:val="0"/>
                      <w:color w:val="FF0000"/>
                      <w:kern w:val="0"/>
                      <w:sz w:val="21"/>
                      <w:szCs w:val="21"/>
                      <w:u w:val="none"/>
                      <w:lang w:val="en-US" w:eastAsia="zh-CN" w:bidi="ar"/>
                    </w:rPr>
                  </w:pPr>
                  <w:r>
                    <w:rPr>
                      <w:rFonts w:hint="default" w:ascii="Times New Roman" w:hAnsi="Times New Roman" w:eastAsia="宋体" w:cs="Times New Roman"/>
                      <w:i w:val="0"/>
                      <w:iCs w:val="0"/>
                      <w:color w:val="FF0000"/>
                      <w:kern w:val="0"/>
                      <w:sz w:val="21"/>
                      <w:szCs w:val="21"/>
                      <w:u w:val="none"/>
                      <w:lang w:val="en-US" w:eastAsia="zh-CN" w:bidi="ar"/>
                    </w:rPr>
                    <w:t>固废</w:t>
                  </w:r>
                </w:p>
              </w:tc>
              <w:tc>
                <w:tcPr>
                  <w:tcW w:w="420" w:type="pct"/>
                  <w:vMerge w:val="restart"/>
                  <w:noWrap w:val="0"/>
                  <w:vAlign w:val="center"/>
                </w:tcPr>
                <w:p w14:paraId="7AFEB73B">
                  <w:pPr>
                    <w:keepNext w:val="0"/>
                    <w:keepLines w:val="0"/>
                    <w:widowControl/>
                    <w:suppressLineNumbers w:val="0"/>
                    <w:jc w:val="center"/>
                    <w:textAlignment w:val="center"/>
                    <w:rPr>
                      <w:rFonts w:hint="eastAsia" w:ascii="Times New Roman" w:hAnsi="Times New Roman" w:eastAsia="宋体" w:cs="Times New Roman"/>
                      <w:i w:val="0"/>
                      <w:iCs w:val="0"/>
                      <w:color w:val="FF0000"/>
                      <w:kern w:val="0"/>
                      <w:sz w:val="21"/>
                      <w:szCs w:val="21"/>
                      <w:u w:val="none"/>
                      <w:lang w:val="en-US" w:eastAsia="zh-CN" w:bidi="ar"/>
                    </w:rPr>
                  </w:pPr>
                  <w:r>
                    <w:rPr>
                      <w:rFonts w:hint="eastAsia" w:ascii="Times New Roman" w:hAnsi="Times New Roman" w:eastAsia="宋体" w:cs="Times New Roman"/>
                      <w:i w:val="0"/>
                      <w:iCs w:val="0"/>
                      <w:color w:val="FF0000"/>
                      <w:kern w:val="0"/>
                      <w:sz w:val="21"/>
                      <w:szCs w:val="21"/>
                      <w:u w:val="none"/>
                      <w:lang w:val="en-US" w:eastAsia="zh-CN" w:bidi="ar"/>
                    </w:rPr>
                    <w:t>一般固体废物</w:t>
                  </w:r>
                </w:p>
              </w:tc>
              <w:tc>
                <w:tcPr>
                  <w:tcW w:w="1102" w:type="pct"/>
                  <w:noWrap w:val="0"/>
                  <w:vAlign w:val="center"/>
                </w:tcPr>
                <w:p w14:paraId="3ACDECA5">
                  <w:pPr>
                    <w:keepNext w:val="0"/>
                    <w:keepLines w:val="0"/>
                    <w:widowControl/>
                    <w:suppressLineNumbers w:val="0"/>
                    <w:jc w:val="center"/>
                    <w:textAlignment w:val="center"/>
                    <w:rPr>
                      <w:rFonts w:hint="default" w:ascii="Times New Roman" w:hAnsi="Times New Roman" w:eastAsia="宋体" w:cs="Times New Roman"/>
                      <w:i w:val="0"/>
                      <w:iCs w:val="0"/>
                      <w:color w:val="FF0000"/>
                      <w:kern w:val="0"/>
                      <w:sz w:val="21"/>
                      <w:szCs w:val="21"/>
                      <w:u w:val="none"/>
                      <w:lang w:val="en-US" w:eastAsia="zh-CN" w:bidi="ar"/>
                    </w:rPr>
                  </w:pPr>
                  <w:r>
                    <w:rPr>
                      <w:rFonts w:hint="default" w:ascii="Times New Roman" w:hAnsi="Times New Roman" w:eastAsia="宋体" w:cs="Times New Roman"/>
                      <w:i w:val="0"/>
                      <w:iCs w:val="0"/>
                      <w:color w:val="FF0000"/>
                      <w:kern w:val="0"/>
                      <w:sz w:val="21"/>
                      <w:szCs w:val="21"/>
                      <w:u w:val="none"/>
                      <w:lang w:val="en-US" w:eastAsia="zh-CN" w:bidi="ar"/>
                    </w:rPr>
                    <w:t>可回用钢铁</w:t>
                  </w:r>
                </w:p>
              </w:tc>
              <w:tc>
                <w:tcPr>
                  <w:tcW w:w="882" w:type="pct"/>
                  <w:noWrap w:val="0"/>
                  <w:vAlign w:val="center"/>
                </w:tcPr>
                <w:p w14:paraId="3F471369">
                  <w:pPr>
                    <w:keepNext w:val="0"/>
                    <w:keepLines w:val="0"/>
                    <w:widowControl/>
                    <w:suppressLineNumbers w:val="0"/>
                    <w:jc w:val="center"/>
                    <w:textAlignment w:val="center"/>
                    <w:rPr>
                      <w:rFonts w:hint="default" w:ascii="Times New Roman" w:hAnsi="Times New Roman" w:eastAsia="宋体" w:cs="Times New Roman"/>
                      <w:i w:val="0"/>
                      <w:iCs w:val="0"/>
                      <w:color w:val="FF0000"/>
                      <w:kern w:val="0"/>
                      <w:sz w:val="21"/>
                      <w:szCs w:val="21"/>
                      <w:u w:val="none"/>
                      <w:lang w:val="en-US" w:eastAsia="zh-CN" w:bidi="ar"/>
                    </w:rPr>
                  </w:pPr>
                  <w:r>
                    <w:rPr>
                      <w:rFonts w:hint="default" w:ascii="Times New Roman" w:hAnsi="Times New Roman" w:eastAsia="宋体" w:cs="Times New Roman"/>
                      <w:i w:val="0"/>
                      <w:iCs w:val="0"/>
                      <w:color w:val="FF0000"/>
                      <w:kern w:val="0"/>
                      <w:sz w:val="21"/>
                      <w:szCs w:val="21"/>
                      <w:u w:val="none"/>
                      <w:lang w:val="en-US" w:eastAsia="zh-CN" w:bidi="ar"/>
                    </w:rPr>
                    <w:t>63243.79</w:t>
                  </w:r>
                </w:p>
              </w:tc>
              <w:tc>
                <w:tcPr>
                  <w:tcW w:w="768" w:type="pct"/>
                  <w:noWrap w:val="0"/>
                  <w:vAlign w:val="center"/>
                </w:tcPr>
                <w:p w14:paraId="5BF760F6">
                  <w:pPr>
                    <w:keepNext w:val="0"/>
                    <w:keepLines w:val="0"/>
                    <w:widowControl/>
                    <w:suppressLineNumbers w:val="0"/>
                    <w:jc w:val="center"/>
                    <w:textAlignment w:val="center"/>
                    <w:rPr>
                      <w:rFonts w:hint="default" w:ascii="Times New Roman" w:hAnsi="Times New Roman" w:eastAsia="宋体" w:cs="Times New Roman"/>
                      <w:i w:val="0"/>
                      <w:iCs w:val="0"/>
                      <w:color w:val="FF0000"/>
                      <w:kern w:val="0"/>
                      <w:sz w:val="21"/>
                      <w:szCs w:val="21"/>
                      <w:u w:val="none"/>
                      <w:lang w:val="en-US" w:eastAsia="zh-CN" w:bidi="ar"/>
                    </w:rPr>
                  </w:pPr>
                  <w:r>
                    <w:rPr>
                      <w:rFonts w:hint="eastAsia" w:ascii="Times New Roman" w:hAnsi="Times New Roman" w:eastAsia="宋体" w:cs="Times New Roman"/>
                      <w:i w:val="0"/>
                      <w:iCs w:val="0"/>
                      <w:color w:val="FF0000"/>
                      <w:kern w:val="0"/>
                      <w:sz w:val="21"/>
                      <w:szCs w:val="21"/>
                      <w:u w:val="none"/>
                      <w:lang w:val="en-US" w:eastAsia="zh-CN" w:bidi="ar"/>
                    </w:rPr>
                    <w:t>0</w:t>
                  </w:r>
                </w:p>
              </w:tc>
              <w:tc>
                <w:tcPr>
                  <w:tcW w:w="768" w:type="pct"/>
                  <w:noWrap w:val="0"/>
                  <w:vAlign w:val="center"/>
                </w:tcPr>
                <w:p w14:paraId="7127901F">
                  <w:pPr>
                    <w:keepNext w:val="0"/>
                    <w:keepLines w:val="0"/>
                    <w:widowControl/>
                    <w:suppressLineNumbers w:val="0"/>
                    <w:jc w:val="center"/>
                    <w:textAlignment w:val="center"/>
                    <w:rPr>
                      <w:rFonts w:hint="default" w:ascii="Times New Roman" w:hAnsi="Times New Roman" w:eastAsia="宋体" w:cs="Times New Roman"/>
                      <w:i w:val="0"/>
                      <w:iCs w:val="0"/>
                      <w:color w:val="FF0000"/>
                      <w:kern w:val="0"/>
                      <w:sz w:val="21"/>
                      <w:szCs w:val="21"/>
                      <w:u w:val="none"/>
                      <w:lang w:val="en-US" w:eastAsia="zh-CN" w:bidi="ar"/>
                    </w:rPr>
                  </w:pPr>
                  <w:r>
                    <w:rPr>
                      <w:rFonts w:hint="eastAsia" w:ascii="Times New Roman" w:hAnsi="Times New Roman" w:eastAsia="宋体" w:cs="Times New Roman"/>
                      <w:i w:val="0"/>
                      <w:iCs w:val="0"/>
                      <w:color w:val="FF0000"/>
                      <w:kern w:val="0"/>
                      <w:sz w:val="21"/>
                      <w:szCs w:val="21"/>
                      <w:u w:val="none"/>
                      <w:lang w:val="en-US" w:eastAsia="zh-CN" w:bidi="ar"/>
                    </w:rPr>
                    <w:t>0</w:t>
                  </w:r>
                </w:p>
              </w:tc>
              <w:tc>
                <w:tcPr>
                  <w:tcW w:w="753" w:type="pct"/>
                  <w:noWrap w:val="0"/>
                  <w:vAlign w:val="center"/>
                </w:tcPr>
                <w:p w14:paraId="7AFB5205">
                  <w:pPr>
                    <w:keepNext w:val="0"/>
                    <w:keepLines w:val="0"/>
                    <w:widowControl/>
                    <w:suppressLineNumbers w:val="0"/>
                    <w:jc w:val="center"/>
                    <w:textAlignment w:val="center"/>
                    <w:rPr>
                      <w:rFonts w:hint="default" w:ascii="Times New Roman" w:hAnsi="Times New Roman" w:eastAsia="宋体" w:cs="Times New Roman"/>
                      <w:i w:val="0"/>
                      <w:iCs w:val="0"/>
                      <w:color w:val="FF0000"/>
                      <w:kern w:val="0"/>
                      <w:sz w:val="21"/>
                      <w:szCs w:val="21"/>
                      <w:u w:val="none"/>
                      <w:lang w:val="en-US" w:eastAsia="zh-CN" w:bidi="ar"/>
                    </w:rPr>
                  </w:pPr>
                  <w:r>
                    <w:rPr>
                      <w:rFonts w:hint="eastAsia" w:cs="Times New Roman"/>
                      <w:i w:val="0"/>
                      <w:iCs w:val="0"/>
                      <w:color w:val="FF0000"/>
                      <w:kern w:val="0"/>
                      <w:sz w:val="21"/>
                      <w:szCs w:val="21"/>
                      <w:u w:val="none"/>
                      <w:lang w:val="en-US" w:eastAsia="zh-CN" w:bidi="ar"/>
                    </w:rPr>
                    <w:t>/</w:t>
                  </w:r>
                </w:p>
              </w:tc>
            </w:tr>
            <w:tr w14:paraId="13B232CA">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04" w:type="pct"/>
                  <w:vMerge w:val="continue"/>
                  <w:noWrap w:val="0"/>
                  <w:vAlign w:val="center"/>
                </w:tcPr>
                <w:p w14:paraId="1F0E5E89">
                  <w:pPr>
                    <w:keepNext w:val="0"/>
                    <w:keepLines w:val="0"/>
                    <w:widowControl/>
                    <w:suppressLineNumbers w:val="0"/>
                    <w:jc w:val="center"/>
                    <w:textAlignment w:val="center"/>
                    <w:rPr>
                      <w:rFonts w:hint="default" w:ascii="Times New Roman" w:hAnsi="Times New Roman" w:eastAsia="宋体" w:cs="Times New Roman"/>
                      <w:i w:val="0"/>
                      <w:iCs w:val="0"/>
                      <w:color w:val="FF0000"/>
                      <w:kern w:val="0"/>
                      <w:sz w:val="21"/>
                      <w:szCs w:val="21"/>
                      <w:u w:val="none"/>
                      <w:lang w:val="en-US" w:eastAsia="zh-CN" w:bidi="ar"/>
                    </w:rPr>
                  </w:pPr>
                </w:p>
              </w:tc>
              <w:tc>
                <w:tcPr>
                  <w:tcW w:w="420" w:type="pct"/>
                  <w:vMerge w:val="continue"/>
                  <w:noWrap w:val="0"/>
                  <w:vAlign w:val="center"/>
                </w:tcPr>
                <w:p w14:paraId="6F5AAFC1">
                  <w:pPr>
                    <w:keepNext w:val="0"/>
                    <w:keepLines w:val="0"/>
                    <w:widowControl/>
                    <w:suppressLineNumbers w:val="0"/>
                    <w:jc w:val="center"/>
                    <w:textAlignment w:val="center"/>
                    <w:rPr>
                      <w:rFonts w:hint="default" w:ascii="Times New Roman" w:hAnsi="Times New Roman" w:eastAsia="宋体" w:cs="Times New Roman"/>
                      <w:i w:val="0"/>
                      <w:iCs w:val="0"/>
                      <w:color w:val="FF0000"/>
                      <w:kern w:val="0"/>
                      <w:sz w:val="21"/>
                      <w:szCs w:val="21"/>
                      <w:u w:val="none"/>
                      <w:lang w:val="en-US" w:eastAsia="zh-CN" w:bidi="ar"/>
                    </w:rPr>
                  </w:pPr>
                </w:p>
              </w:tc>
              <w:tc>
                <w:tcPr>
                  <w:tcW w:w="1102" w:type="pct"/>
                  <w:noWrap w:val="0"/>
                  <w:vAlign w:val="center"/>
                </w:tcPr>
                <w:p w14:paraId="60554ADC">
                  <w:pPr>
                    <w:keepNext w:val="0"/>
                    <w:keepLines w:val="0"/>
                    <w:widowControl/>
                    <w:suppressLineNumbers w:val="0"/>
                    <w:jc w:val="center"/>
                    <w:textAlignment w:val="center"/>
                    <w:rPr>
                      <w:rFonts w:hint="default" w:ascii="Times New Roman" w:hAnsi="Times New Roman" w:eastAsia="宋体" w:cs="Times New Roman"/>
                      <w:i w:val="0"/>
                      <w:iCs w:val="0"/>
                      <w:color w:val="FF0000"/>
                      <w:kern w:val="0"/>
                      <w:sz w:val="21"/>
                      <w:szCs w:val="21"/>
                      <w:u w:val="none"/>
                      <w:lang w:val="en-US" w:eastAsia="zh-CN" w:bidi="ar"/>
                    </w:rPr>
                  </w:pPr>
                  <w:r>
                    <w:rPr>
                      <w:rFonts w:hint="default" w:ascii="Times New Roman" w:hAnsi="Times New Roman" w:eastAsia="宋体" w:cs="Times New Roman"/>
                      <w:i w:val="0"/>
                      <w:iCs w:val="0"/>
                      <w:color w:val="FF0000"/>
                      <w:kern w:val="0"/>
                      <w:sz w:val="21"/>
                      <w:szCs w:val="21"/>
                      <w:u w:val="none"/>
                      <w:lang w:val="en-US" w:eastAsia="zh-CN" w:bidi="ar"/>
                    </w:rPr>
                    <w:t>可回用有色金属</w:t>
                  </w:r>
                </w:p>
              </w:tc>
              <w:tc>
                <w:tcPr>
                  <w:tcW w:w="882" w:type="pct"/>
                  <w:noWrap w:val="0"/>
                  <w:vAlign w:val="center"/>
                </w:tcPr>
                <w:p w14:paraId="6DD258FA">
                  <w:pPr>
                    <w:keepNext w:val="0"/>
                    <w:keepLines w:val="0"/>
                    <w:widowControl/>
                    <w:suppressLineNumbers w:val="0"/>
                    <w:jc w:val="center"/>
                    <w:textAlignment w:val="center"/>
                    <w:rPr>
                      <w:rFonts w:hint="default" w:ascii="Times New Roman" w:hAnsi="Times New Roman" w:eastAsia="宋体" w:cs="Times New Roman"/>
                      <w:i w:val="0"/>
                      <w:iCs w:val="0"/>
                      <w:color w:val="FF0000"/>
                      <w:kern w:val="0"/>
                      <w:sz w:val="21"/>
                      <w:szCs w:val="21"/>
                      <w:u w:val="none"/>
                      <w:lang w:val="en-US" w:eastAsia="zh-CN" w:bidi="ar"/>
                    </w:rPr>
                  </w:pPr>
                  <w:r>
                    <w:rPr>
                      <w:rFonts w:hint="default" w:ascii="Times New Roman" w:hAnsi="Times New Roman" w:eastAsia="宋体" w:cs="Times New Roman"/>
                      <w:i w:val="0"/>
                      <w:iCs w:val="0"/>
                      <w:color w:val="FF0000"/>
                      <w:kern w:val="0"/>
                      <w:sz w:val="21"/>
                      <w:szCs w:val="21"/>
                      <w:u w:val="none"/>
                      <w:lang w:val="en-US" w:eastAsia="zh-CN" w:bidi="ar"/>
                    </w:rPr>
                    <w:t>1818.17</w:t>
                  </w:r>
                </w:p>
              </w:tc>
              <w:tc>
                <w:tcPr>
                  <w:tcW w:w="768" w:type="pct"/>
                  <w:noWrap w:val="0"/>
                  <w:vAlign w:val="center"/>
                </w:tcPr>
                <w:p w14:paraId="49F77513">
                  <w:pPr>
                    <w:keepNext w:val="0"/>
                    <w:keepLines w:val="0"/>
                    <w:widowControl/>
                    <w:suppressLineNumbers w:val="0"/>
                    <w:jc w:val="center"/>
                    <w:textAlignment w:val="center"/>
                    <w:rPr>
                      <w:rFonts w:hint="default" w:ascii="Times New Roman" w:hAnsi="Times New Roman" w:eastAsia="宋体" w:cs="Times New Roman"/>
                      <w:i w:val="0"/>
                      <w:iCs w:val="0"/>
                      <w:color w:val="FF0000"/>
                      <w:kern w:val="0"/>
                      <w:sz w:val="21"/>
                      <w:szCs w:val="21"/>
                      <w:u w:val="none"/>
                      <w:lang w:val="en-US" w:eastAsia="zh-CN" w:bidi="ar"/>
                    </w:rPr>
                  </w:pPr>
                  <w:r>
                    <w:rPr>
                      <w:rFonts w:hint="eastAsia" w:ascii="Times New Roman" w:hAnsi="Times New Roman" w:eastAsia="宋体" w:cs="Times New Roman"/>
                      <w:i w:val="0"/>
                      <w:iCs w:val="0"/>
                      <w:color w:val="FF0000"/>
                      <w:kern w:val="0"/>
                      <w:sz w:val="21"/>
                      <w:szCs w:val="21"/>
                      <w:u w:val="none"/>
                      <w:lang w:val="en-US" w:eastAsia="zh-CN" w:bidi="ar"/>
                    </w:rPr>
                    <w:t>0</w:t>
                  </w:r>
                </w:p>
              </w:tc>
              <w:tc>
                <w:tcPr>
                  <w:tcW w:w="768" w:type="pct"/>
                  <w:noWrap w:val="0"/>
                  <w:vAlign w:val="center"/>
                </w:tcPr>
                <w:p w14:paraId="4004517D">
                  <w:pPr>
                    <w:keepNext w:val="0"/>
                    <w:keepLines w:val="0"/>
                    <w:widowControl/>
                    <w:suppressLineNumbers w:val="0"/>
                    <w:jc w:val="center"/>
                    <w:textAlignment w:val="center"/>
                    <w:rPr>
                      <w:rFonts w:hint="default" w:ascii="Times New Roman" w:hAnsi="Times New Roman" w:eastAsia="宋体" w:cs="Times New Roman"/>
                      <w:i w:val="0"/>
                      <w:iCs w:val="0"/>
                      <w:color w:val="FF0000"/>
                      <w:kern w:val="0"/>
                      <w:sz w:val="21"/>
                      <w:szCs w:val="21"/>
                      <w:u w:val="none"/>
                      <w:lang w:val="en-US" w:eastAsia="zh-CN" w:bidi="ar"/>
                    </w:rPr>
                  </w:pPr>
                  <w:r>
                    <w:rPr>
                      <w:rFonts w:hint="eastAsia" w:ascii="Times New Roman" w:hAnsi="Times New Roman" w:eastAsia="宋体" w:cs="Times New Roman"/>
                      <w:i w:val="0"/>
                      <w:iCs w:val="0"/>
                      <w:color w:val="FF0000"/>
                      <w:kern w:val="0"/>
                      <w:sz w:val="21"/>
                      <w:szCs w:val="21"/>
                      <w:u w:val="none"/>
                      <w:lang w:val="en-US" w:eastAsia="zh-CN" w:bidi="ar"/>
                    </w:rPr>
                    <w:t>0</w:t>
                  </w:r>
                </w:p>
              </w:tc>
              <w:tc>
                <w:tcPr>
                  <w:tcW w:w="753" w:type="pct"/>
                  <w:noWrap w:val="0"/>
                  <w:vAlign w:val="center"/>
                </w:tcPr>
                <w:p w14:paraId="398830B3">
                  <w:pPr>
                    <w:keepNext w:val="0"/>
                    <w:keepLines w:val="0"/>
                    <w:widowControl/>
                    <w:suppressLineNumbers w:val="0"/>
                    <w:jc w:val="center"/>
                    <w:textAlignment w:val="center"/>
                    <w:rPr>
                      <w:rFonts w:hint="default" w:ascii="Times New Roman" w:hAnsi="Times New Roman" w:eastAsia="宋体" w:cs="Times New Roman"/>
                      <w:i w:val="0"/>
                      <w:iCs w:val="0"/>
                      <w:color w:val="FF0000"/>
                      <w:kern w:val="0"/>
                      <w:sz w:val="21"/>
                      <w:szCs w:val="21"/>
                      <w:u w:val="none"/>
                      <w:lang w:val="en-US" w:eastAsia="zh-CN" w:bidi="ar"/>
                    </w:rPr>
                  </w:pPr>
                  <w:r>
                    <w:rPr>
                      <w:rFonts w:hint="eastAsia" w:cs="Times New Roman"/>
                      <w:i w:val="0"/>
                      <w:iCs w:val="0"/>
                      <w:color w:val="FF0000"/>
                      <w:kern w:val="0"/>
                      <w:sz w:val="21"/>
                      <w:szCs w:val="21"/>
                      <w:u w:val="none"/>
                      <w:lang w:val="en-US" w:eastAsia="zh-CN" w:bidi="ar"/>
                    </w:rPr>
                    <w:t>/</w:t>
                  </w:r>
                </w:p>
              </w:tc>
            </w:tr>
            <w:tr w14:paraId="74EEAACA">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04" w:type="pct"/>
                  <w:vMerge w:val="continue"/>
                  <w:noWrap w:val="0"/>
                  <w:vAlign w:val="center"/>
                </w:tcPr>
                <w:p w14:paraId="3BB82016">
                  <w:pPr>
                    <w:keepNext w:val="0"/>
                    <w:keepLines w:val="0"/>
                    <w:widowControl/>
                    <w:suppressLineNumbers w:val="0"/>
                    <w:jc w:val="center"/>
                    <w:textAlignment w:val="center"/>
                    <w:rPr>
                      <w:rFonts w:hint="default" w:ascii="Times New Roman" w:hAnsi="Times New Roman" w:eastAsia="宋体" w:cs="Times New Roman"/>
                      <w:i w:val="0"/>
                      <w:iCs w:val="0"/>
                      <w:color w:val="FF0000"/>
                      <w:kern w:val="0"/>
                      <w:sz w:val="21"/>
                      <w:szCs w:val="21"/>
                      <w:u w:val="none"/>
                      <w:lang w:val="en-US" w:eastAsia="zh-CN" w:bidi="ar"/>
                    </w:rPr>
                  </w:pPr>
                </w:p>
              </w:tc>
              <w:tc>
                <w:tcPr>
                  <w:tcW w:w="420" w:type="pct"/>
                  <w:vMerge w:val="continue"/>
                  <w:noWrap w:val="0"/>
                  <w:vAlign w:val="center"/>
                </w:tcPr>
                <w:p w14:paraId="0F1DA5EC">
                  <w:pPr>
                    <w:keepNext w:val="0"/>
                    <w:keepLines w:val="0"/>
                    <w:widowControl/>
                    <w:suppressLineNumbers w:val="0"/>
                    <w:jc w:val="center"/>
                    <w:textAlignment w:val="center"/>
                    <w:rPr>
                      <w:rFonts w:hint="default" w:ascii="Times New Roman" w:hAnsi="Times New Roman" w:eastAsia="宋体" w:cs="Times New Roman"/>
                      <w:i w:val="0"/>
                      <w:iCs w:val="0"/>
                      <w:color w:val="FF0000"/>
                      <w:kern w:val="0"/>
                      <w:sz w:val="21"/>
                      <w:szCs w:val="21"/>
                      <w:u w:val="none"/>
                      <w:lang w:val="en-US" w:eastAsia="zh-CN" w:bidi="ar"/>
                    </w:rPr>
                  </w:pPr>
                </w:p>
              </w:tc>
              <w:tc>
                <w:tcPr>
                  <w:tcW w:w="1102" w:type="pct"/>
                  <w:noWrap w:val="0"/>
                  <w:vAlign w:val="center"/>
                </w:tcPr>
                <w:p w14:paraId="7491DE91">
                  <w:pPr>
                    <w:keepNext w:val="0"/>
                    <w:keepLines w:val="0"/>
                    <w:widowControl/>
                    <w:suppressLineNumbers w:val="0"/>
                    <w:jc w:val="center"/>
                    <w:textAlignment w:val="center"/>
                    <w:rPr>
                      <w:rFonts w:hint="default" w:ascii="Times New Roman" w:hAnsi="Times New Roman" w:eastAsia="宋体" w:cs="Times New Roman"/>
                      <w:i w:val="0"/>
                      <w:iCs w:val="0"/>
                      <w:color w:val="FF0000"/>
                      <w:kern w:val="0"/>
                      <w:sz w:val="21"/>
                      <w:szCs w:val="21"/>
                      <w:u w:val="none"/>
                      <w:lang w:val="en-US" w:eastAsia="zh-CN" w:bidi="ar"/>
                    </w:rPr>
                  </w:pPr>
                  <w:r>
                    <w:rPr>
                      <w:rFonts w:hint="default" w:ascii="Times New Roman" w:hAnsi="Times New Roman" w:eastAsia="宋体" w:cs="Times New Roman"/>
                      <w:i w:val="0"/>
                      <w:iCs w:val="0"/>
                      <w:color w:val="FF0000"/>
                      <w:kern w:val="0"/>
                      <w:sz w:val="21"/>
                      <w:szCs w:val="21"/>
                      <w:u w:val="none"/>
                      <w:lang w:val="en-US" w:eastAsia="zh-CN" w:bidi="ar"/>
                    </w:rPr>
                    <w:t>可回用玻璃</w:t>
                  </w:r>
                </w:p>
              </w:tc>
              <w:tc>
                <w:tcPr>
                  <w:tcW w:w="882" w:type="pct"/>
                  <w:noWrap w:val="0"/>
                  <w:vAlign w:val="center"/>
                </w:tcPr>
                <w:p w14:paraId="788E85C6">
                  <w:pPr>
                    <w:keepNext w:val="0"/>
                    <w:keepLines w:val="0"/>
                    <w:widowControl/>
                    <w:suppressLineNumbers w:val="0"/>
                    <w:jc w:val="center"/>
                    <w:textAlignment w:val="center"/>
                    <w:rPr>
                      <w:rFonts w:hint="default" w:ascii="Times New Roman" w:hAnsi="Times New Roman" w:eastAsia="宋体" w:cs="Times New Roman"/>
                      <w:i w:val="0"/>
                      <w:iCs w:val="0"/>
                      <w:color w:val="FF0000"/>
                      <w:kern w:val="0"/>
                      <w:sz w:val="21"/>
                      <w:szCs w:val="21"/>
                      <w:u w:val="none"/>
                      <w:lang w:val="en-US" w:eastAsia="zh-CN" w:bidi="ar"/>
                    </w:rPr>
                  </w:pPr>
                  <w:r>
                    <w:rPr>
                      <w:rFonts w:hint="default" w:ascii="Times New Roman" w:hAnsi="Times New Roman" w:eastAsia="宋体" w:cs="Times New Roman"/>
                      <w:i w:val="0"/>
                      <w:iCs w:val="0"/>
                      <w:color w:val="FF0000"/>
                      <w:kern w:val="0"/>
                      <w:sz w:val="21"/>
                      <w:szCs w:val="21"/>
                      <w:u w:val="none"/>
                      <w:lang w:val="en-US" w:eastAsia="zh-CN" w:bidi="ar"/>
                    </w:rPr>
                    <w:t>616.15</w:t>
                  </w:r>
                </w:p>
              </w:tc>
              <w:tc>
                <w:tcPr>
                  <w:tcW w:w="768" w:type="pct"/>
                  <w:noWrap w:val="0"/>
                  <w:vAlign w:val="center"/>
                </w:tcPr>
                <w:p w14:paraId="7E970FE6">
                  <w:pPr>
                    <w:keepNext w:val="0"/>
                    <w:keepLines w:val="0"/>
                    <w:widowControl/>
                    <w:suppressLineNumbers w:val="0"/>
                    <w:jc w:val="center"/>
                    <w:textAlignment w:val="center"/>
                    <w:rPr>
                      <w:rFonts w:hint="default" w:ascii="Times New Roman" w:hAnsi="Times New Roman" w:eastAsia="宋体" w:cs="Times New Roman"/>
                      <w:i w:val="0"/>
                      <w:iCs w:val="0"/>
                      <w:color w:val="FF0000"/>
                      <w:kern w:val="0"/>
                      <w:sz w:val="21"/>
                      <w:szCs w:val="21"/>
                      <w:u w:val="none"/>
                      <w:lang w:val="en-US" w:eastAsia="zh-CN" w:bidi="ar"/>
                    </w:rPr>
                  </w:pPr>
                  <w:r>
                    <w:rPr>
                      <w:rFonts w:hint="eastAsia" w:ascii="Times New Roman" w:hAnsi="Times New Roman" w:eastAsia="宋体" w:cs="Times New Roman"/>
                      <w:i w:val="0"/>
                      <w:iCs w:val="0"/>
                      <w:color w:val="FF0000"/>
                      <w:kern w:val="0"/>
                      <w:sz w:val="21"/>
                      <w:szCs w:val="21"/>
                      <w:u w:val="none"/>
                      <w:lang w:val="en-US" w:eastAsia="zh-CN" w:bidi="ar"/>
                    </w:rPr>
                    <w:t>0</w:t>
                  </w:r>
                </w:p>
              </w:tc>
              <w:tc>
                <w:tcPr>
                  <w:tcW w:w="768" w:type="pct"/>
                  <w:noWrap w:val="0"/>
                  <w:vAlign w:val="center"/>
                </w:tcPr>
                <w:p w14:paraId="3AF064CB">
                  <w:pPr>
                    <w:keepNext w:val="0"/>
                    <w:keepLines w:val="0"/>
                    <w:widowControl/>
                    <w:suppressLineNumbers w:val="0"/>
                    <w:jc w:val="center"/>
                    <w:textAlignment w:val="center"/>
                    <w:rPr>
                      <w:rFonts w:hint="default" w:ascii="Times New Roman" w:hAnsi="Times New Roman" w:eastAsia="宋体" w:cs="Times New Roman"/>
                      <w:i w:val="0"/>
                      <w:iCs w:val="0"/>
                      <w:color w:val="FF0000"/>
                      <w:kern w:val="0"/>
                      <w:sz w:val="21"/>
                      <w:szCs w:val="21"/>
                      <w:u w:val="none"/>
                      <w:lang w:val="en-US" w:eastAsia="zh-CN" w:bidi="ar"/>
                    </w:rPr>
                  </w:pPr>
                  <w:r>
                    <w:rPr>
                      <w:rFonts w:hint="eastAsia" w:ascii="Times New Roman" w:hAnsi="Times New Roman" w:eastAsia="宋体" w:cs="Times New Roman"/>
                      <w:i w:val="0"/>
                      <w:iCs w:val="0"/>
                      <w:color w:val="FF0000"/>
                      <w:kern w:val="0"/>
                      <w:sz w:val="21"/>
                      <w:szCs w:val="21"/>
                      <w:u w:val="none"/>
                      <w:lang w:val="en-US" w:eastAsia="zh-CN" w:bidi="ar"/>
                    </w:rPr>
                    <w:t>0</w:t>
                  </w:r>
                </w:p>
              </w:tc>
              <w:tc>
                <w:tcPr>
                  <w:tcW w:w="753" w:type="pct"/>
                  <w:noWrap w:val="0"/>
                  <w:vAlign w:val="center"/>
                </w:tcPr>
                <w:p w14:paraId="19121C05">
                  <w:pPr>
                    <w:keepNext w:val="0"/>
                    <w:keepLines w:val="0"/>
                    <w:widowControl/>
                    <w:suppressLineNumbers w:val="0"/>
                    <w:jc w:val="center"/>
                    <w:textAlignment w:val="center"/>
                    <w:rPr>
                      <w:rFonts w:hint="default" w:ascii="Times New Roman" w:hAnsi="Times New Roman" w:eastAsia="宋体" w:cs="Times New Roman"/>
                      <w:i w:val="0"/>
                      <w:iCs w:val="0"/>
                      <w:color w:val="FF0000"/>
                      <w:kern w:val="0"/>
                      <w:sz w:val="21"/>
                      <w:szCs w:val="21"/>
                      <w:u w:val="none"/>
                      <w:lang w:val="en-US" w:eastAsia="zh-CN" w:bidi="ar"/>
                    </w:rPr>
                  </w:pPr>
                  <w:r>
                    <w:rPr>
                      <w:rFonts w:hint="eastAsia" w:cs="Times New Roman"/>
                      <w:i w:val="0"/>
                      <w:iCs w:val="0"/>
                      <w:color w:val="FF0000"/>
                      <w:kern w:val="0"/>
                      <w:sz w:val="21"/>
                      <w:szCs w:val="21"/>
                      <w:u w:val="none"/>
                      <w:lang w:val="en-US" w:eastAsia="zh-CN" w:bidi="ar"/>
                    </w:rPr>
                    <w:t>/</w:t>
                  </w:r>
                </w:p>
              </w:tc>
            </w:tr>
            <w:tr w14:paraId="47F7B828">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04" w:type="pct"/>
                  <w:vMerge w:val="continue"/>
                  <w:noWrap w:val="0"/>
                  <w:vAlign w:val="center"/>
                </w:tcPr>
                <w:p w14:paraId="163FE3DB">
                  <w:pPr>
                    <w:keepNext w:val="0"/>
                    <w:keepLines w:val="0"/>
                    <w:widowControl/>
                    <w:suppressLineNumbers w:val="0"/>
                    <w:jc w:val="center"/>
                    <w:textAlignment w:val="center"/>
                    <w:rPr>
                      <w:rFonts w:hint="default" w:ascii="Times New Roman" w:hAnsi="Times New Roman" w:eastAsia="宋体" w:cs="Times New Roman"/>
                      <w:i w:val="0"/>
                      <w:iCs w:val="0"/>
                      <w:color w:val="FF0000"/>
                      <w:kern w:val="0"/>
                      <w:sz w:val="21"/>
                      <w:szCs w:val="21"/>
                      <w:u w:val="none"/>
                      <w:lang w:val="en-US" w:eastAsia="zh-CN" w:bidi="ar"/>
                    </w:rPr>
                  </w:pPr>
                </w:p>
              </w:tc>
              <w:tc>
                <w:tcPr>
                  <w:tcW w:w="420" w:type="pct"/>
                  <w:vMerge w:val="continue"/>
                  <w:noWrap w:val="0"/>
                  <w:vAlign w:val="center"/>
                </w:tcPr>
                <w:p w14:paraId="5F30BA09">
                  <w:pPr>
                    <w:keepNext w:val="0"/>
                    <w:keepLines w:val="0"/>
                    <w:widowControl/>
                    <w:suppressLineNumbers w:val="0"/>
                    <w:jc w:val="center"/>
                    <w:textAlignment w:val="center"/>
                    <w:rPr>
                      <w:rFonts w:hint="default" w:ascii="Times New Roman" w:hAnsi="Times New Roman" w:eastAsia="宋体" w:cs="Times New Roman"/>
                      <w:i w:val="0"/>
                      <w:iCs w:val="0"/>
                      <w:color w:val="FF0000"/>
                      <w:kern w:val="0"/>
                      <w:sz w:val="21"/>
                      <w:szCs w:val="21"/>
                      <w:u w:val="none"/>
                      <w:lang w:val="en-US" w:eastAsia="zh-CN" w:bidi="ar"/>
                    </w:rPr>
                  </w:pPr>
                </w:p>
              </w:tc>
              <w:tc>
                <w:tcPr>
                  <w:tcW w:w="1102" w:type="pct"/>
                  <w:noWrap w:val="0"/>
                  <w:vAlign w:val="center"/>
                </w:tcPr>
                <w:p w14:paraId="43740FE6">
                  <w:pPr>
                    <w:keepNext w:val="0"/>
                    <w:keepLines w:val="0"/>
                    <w:widowControl/>
                    <w:suppressLineNumbers w:val="0"/>
                    <w:jc w:val="center"/>
                    <w:textAlignment w:val="center"/>
                    <w:rPr>
                      <w:rFonts w:hint="default" w:ascii="Times New Roman" w:hAnsi="Times New Roman" w:eastAsia="宋体" w:cs="Times New Roman"/>
                      <w:i w:val="0"/>
                      <w:iCs w:val="0"/>
                      <w:color w:val="FF0000"/>
                      <w:kern w:val="0"/>
                      <w:sz w:val="21"/>
                      <w:szCs w:val="21"/>
                      <w:u w:val="none"/>
                      <w:lang w:val="en-US" w:eastAsia="zh-CN" w:bidi="ar"/>
                    </w:rPr>
                  </w:pPr>
                  <w:r>
                    <w:rPr>
                      <w:rFonts w:hint="default" w:ascii="Times New Roman" w:hAnsi="Times New Roman" w:eastAsia="宋体" w:cs="Times New Roman"/>
                      <w:i w:val="0"/>
                      <w:iCs w:val="0"/>
                      <w:color w:val="FF0000"/>
                      <w:kern w:val="0"/>
                      <w:sz w:val="21"/>
                      <w:szCs w:val="21"/>
                      <w:u w:val="none"/>
                      <w:lang w:val="en-US" w:eastAsia="zh-CN" w:bidi="ar"/>
                    </w:rPr>
                    <w:t>可回用橡胶</w:t>
                  </w:r>
                </w:p>
              </w:tc>
              <w:tc>
                <w:tcPr>
                  <w:tcW w:w="882" w:type="pct"/>
                  <w:noWrap w:val="0"/>
                  <w:vAlign w:val="center"/>
                </w:tcPr>
                <w:p w14:paraId="195EAEBB">
                  <w:pPr>
                    <w:keepNext w:val="0"/>
                    <w:keepLines w:val="0"/>
                    <w:widowControl/>
                    <w:suppressLineNumbers w:val="0"/>
                    <w:jc w:val="center"/>
                    <w:textAlignment w:val="center"/>
                    <w:rPr>
                      <w:rFonts w:hint="default" w:ascii="Times New Roman" w:hAnsi="Times New Roman" w:eastAsia="宋体" w:cs="Times New Roman"/>
                      <w:i w:val="0"/>
                      <w:iCs w:val="0"/>
                      <w:color w:val="FF0000"/>
                      <w:kern w:val="0"/>
                      <w:sz w:val="21"/>
                      <w:szCs w:val="21"/>
                      <w:u w:val="none"/>
                      <w:lang w:val="en-US" w:eastAsia="zh-CN" w:bidi="ar"/>
                    </w:rPr>
                  </w:pPr>
                  <w:r>
                    <w:rPr>
                      <w:rFonts w:hint="default" w:ascii="Times New Roman" w:hAnsi="Times New Roman" w:eastAsia="宋体" w:cs="Times New Roman"/>
                      <w:i w:val="0"/>
                      <w:iCs w:val="0"/>
                      <w:color w:val="FF0000"/>
                      <w:kern w:val="0"/>
                      <w:sz w:val="21"/>
                      <w:szCs w:val="21"/>
                      <w:u w:val="none"/>
                      <w:lang w:val="en-US" w:eastAsia="zh-CN" w:bidi="ar"/>
                    </w:rPr>
                    <w:t>2090.92</w:t>
                  </w:r>
                </w:p>
              </w:tc>
              <w:tc>
                <w:tcPr>
                  <w:tcW w:w="768" w:type="pct"/>
                  <w:noWrap w:val="0"/>
                  <w:vAlign w:val="center"/>
                </w:tcPr>
                <w:p w14:paraId="64361055">
                  <w:pPr>
                    <w:keepNext w:val="0"/>
                    <w:keepLines w:val="0"/>
                    <w:widowControl/>
                    <w:suppressLineNumbers w:val="0"/>
                    <w:jc w:val="center"/>
                    <w:textAlignment w:val="center"/>
                    <w:rPr>
                      <w:rFonts w:hint="default" w:ascii="Times New Roman" w:hAnsi="Times New Roman" w:eastAsia="宋体" w:cs="Times New Roman"/>
                      <w:i w:val="0"/>
                      <w:iCs w:val="0"/>
                      <w:color w:val="FF0000"/>
                      <w:kern w:val="0"/>
                      <w:sz w:val="21"/>
                      <w:szCs w:val="21"/>
                      <w:u w:val="none"/>
                      <w:lang w:val="en-US" w:eastAsia="zh-CN" w:bidi="ar"/>
                    </w:rPr>
                  </w:pPr>
                  <w:r>
                    <w:rPr>
                      <w:rFonts w:hint="eastAsia" w:ascii="Times New Roman" w:hAnsi="Times New Roman" w:eastAsia="宋体" w:cs="Times New Roman"/>
                      <w:i w:val="0"/>
                      <w:iCs w:val="0"/>
                      <w:color w:val="FF0000"/>
                      <w:kern w:val="0"/>
                      <w:sz w:val="21"/>
                      <w:szCs w:val="21"/>
                      <w:u w:val="none"/>
                      <w:lang w:val="en-US" w:eastAsia="zh-CN" w:bidi="ar"/>
                    </w:rPr>
                    <w:t>0</w:t>
                  </w:r>
                </w:p>
              </w:tc>
              <w:tc>
                <w:tcPr>
                  <w:tcW w:w="768" w:type="pct"/>
                  <w:noWrap w:val="0"/>
                  <w:vAlign w:val="center"/>
                </w:tcPr>
                <w:p w14:paraId="50E7C1EC">
                  <w:pPr>
                    <w:keepNext w:val="0"/>
                    <w:keepLines w:val="0"/>
                    <w:widowControl/>
                    <w:suppressLineNumbers w:val="0"/>
                    <w:jc w:val="center"/>
                    <w:textAlignment w:val="center"/>
                    <w:rPr>
                      <w:rFonts w:hint="default" w:ascii="Times New Roman" w:hAnsi="Times New Roman" w:eastAsia="宋体" w:cs="Times New Roman"/>
                      <w:i w:val="0"/>
                      <w:iCs w:val="0"/>
                      <w:color w:val="FF0000"/>
                      <w:kern w:val="0"/>
                      <w:sz w:val="21"/>
                      <w:szCs w:val="21"/>
                      <w:u w:val="none"/>
                      <w:lang w:val="en-US" w:eastAsia="zh-CN" w:bidi="ar"/>
                    </w:rPr>
                  </w:pPr>
                  <w:r>
                    <w:rPr>
                      <w:rFonts w:hint="eastAsia" w:ascii="Times New Roman" w:hAnsi="Times New Roman" w:eastAsia="宋体" w:cs="Times New Roman"/>
                      <w:i w:val="0"/>
                      <w:iCs w:val="0"/>
                      <w:color w:val="FF0000"/>
                      <w:kern w:val="0"/>
                      <w:sz w:val="21"/>
                      <w:szCs w:val="21"/>
                      <w:u w:val="none"/>
                      <w:lang w:val="en-US" w:eastAsia="zh-CN" w:bidi="ar"/>
                    </w:rPr>
                    <w:t>0</w:t>
                  </w:r>
                </w:p>
              </w:tc>
              <w:tc>
                <w:tcPr>
                  <w:tcW w:w="753" w:type="pct"/>
                  <w:noWrap w:val="0"/>
                  <w:vAlign w:val="center"/>
                </w:tcPr>
                <w:p w14:paraId="50660E6B">
                  <w:pPr>
                    <w:keepNext w:val="0"/>
                    <w:keepLines w:val="0"/>
                    <w:widowControl/>
                    <w:suppressLineNumbers w:val="0"/>
                    <w:jc w:val="center"/>
                    <w:textAlignment w:val="center"/>
                    <w:rPr>
                      <w:rFonts w:hint="default" w:ascii="Times New Roman" w:hAnsi="Times New Roman" w:eastAsia="宋体" w:cs="Times New Roman"/>
                      <w:i w:val="0"/>
                      <w:iCs w:val="0"/>
                      <w:color w:val="FF0000"/>
                      <w:kern w:val="0"/>
                      <w:sz w:val="21"/>
                      <w:szCs w:val="21"/>
                      <w:u w:val="none"/>
                      <w:lang w:val="en-US" w:eastAsia="zh-CN" w:bidi="ar"/>
                    </w:rPr>
                  </w:pPr>
                  <w:r>
                    <w:rPr>
                      <w:rFonts w:hint="eastAsia" w:cs="Times New Roman"/>
                      <w:i w:val="0"/>
                      <w:iCs w:val="0"/>
                      <w:color w:val="FF0000"/>
                      <w:kern w:val="0"/>
                      <w:sz w:val="21"/>
                      <w:szCs w:val="21"/>
                      <w:u w:val="none"/>
                      <w:lang w:val="en-US" w:eastAsia="zh-CN" w:bidi="ar"/>
                    </w:rPr>
                    <w:t>/</w:t>
                  </w:r>
                </w:p>
              </w:tc>
            </w:tr>
            <w:tr w14:paraId="508DF4BD">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04" w:type="pct"/>
                  <w:vMerge w:val="continue"/>
                  <w:noWrap w:val="0"/>
                  <w:vAlign w:val="center"/>
                </w:tcPr>
                <w:p w14:paraId="6154368C">
                  <w:pPr>
                    <w:keepNext w:val="0"/>
                    <w:keepLines w:val="0"/>
                    <w:widowControl/>
                    <w:suppressLineNumbers w:val="0"/>
                    <w:jc w:val="center"/>
                    <w:textAlignment w:val="center"/>
                    <w:rPr>
                      <w:rFonts w:hint="default" w:ascii="Times New Roman" w:hAnsi="Times New Roman" w:eastAsia="宋体" w:cs="Times New Roman"/>
                      <w:i w:val="0"/>
                      <w:iCs w:val="0"/>
                      <w:color w:val="FF0000"/>
                      <w:kern w:val="0"/>
                      <w:sz w:val="21"/>
                      <w:szCs w:val="21"/>
                      <w:u w:val="none"/>
                      <w:lang w:val="en-US" w:eastAsia="zh-CN" w:bidi="ar"/>
                    </w:rPr>
                  </w:pPr>
                </w:p>
              </w:tc>
              <w:tc>
                <w:tcPr>
                  <w:tcW w:w="420" w:type="pct"/>
                  <w:vMerge w:val="continue"/>
                  <w:noWrap w:val="0"/>
                  <w:vAlign w:val="center"/>
                </w:tcPr>
                <w:p w14:paraId="65F3E90B">
                  <w:pPr>
                    <w:keepNext w:val="0"/>
                    <w:keepLines w:val="0"/>
                    <w:widowControl/>
                    <w:suppressLineNumbers w:val="0"/>
                    <w:jc w:val="center"/>
                    <w:textAlignment w:val="center"/>
                    <w:rPr>
                      <w:rFonts w:hint="default" w:ascii="Times New Roman" w:hAnsi="Times New Roman" w:eastAsia="宋体" w:cs="Times New Roman"/>
                      <w:i w:val="0"/>
                      <w:iCs w:val="0"/>
                      <w:color w:val="FF0000"/>
                      <w:kern w:val="0"/>
                      <w:sz w:val="21"/>
                      <w:szCs w:val="21"/>
                      <w:u w:val="none"/>
                      <w:lang w:val="en-US" w:eastAsia="zh-CN" w:bidi="ar"/>
                    </w:rPr>
                  </w:pPr>
                </w:p>
              </w:tc>
              <w:tc>
                <w:tcPr>
                  <w:tcW w:w="1102" w:type="pct"/>
                  <w:noWrap w:val="0"/>
                  <w:vAlign w:val="center"/>
                </w:tcPr>
                <w:p w14:paraId="01D8BCA2">
                  <w:pPr>
                    <w:keepNext w:val="0"/>
                    <w:keepLines w:val="0"/>
                    <w:widowControl/>
                    <w:suppressLineNumbers w:val="0"/>
                    <w:jc w:val="center"/>
                    <w:textAlignment w:val="center"/>
                    <w:rPr>
                      <w:rFonts w:hint="default" w:ascii="Times New Roman" w:hAnsi="Times New Roman" w:eastAsia="宋体" w:cs="Times New Roman"/>
                      <w:i w:val="0"/>
                      <w:iCs w:val="0"/>
                      <w:color w:val="FF0000"/>
                      <w:kern w:val="0"/>
                      <w:sz w:val="21"/>
                      <w:szCs w:val="21"/>
                      <w:u w:val="none"/>
                      <w:lang w:val="en-US" w:eastAsia="zh-CN" w:bidi="ar"/>
                    </w:rPr>
                  </w:pPr>
                  <w:r>
                    <w:rPr>
                      <w:rFonts w:hint="default" w:ascii="Times New Roman" w:hAnsi="Times New Roman" w:eastAsia="宋体" w:cs="Times New Roman"/>
                      <w:i w:val="0"/>
                      <w:iCs w:val="0"/>
                      <w:color w:val="FF0000"/>
                      <w:kern w:val="0"/>
                      <w:sz w:val="21"/>
                      <w:szCs w:val="21"/>
                      <w:u w:val="none"/>
                      <w:lang w:val="en-US" w:eastAsia="zh-CN" w:bidi="ar"/>
                    </w:rPr>
                    <w:t>可回用塑料</w:t>
                  </w:r>
                </w:p>
              </w:tc>
              <w:tc>
                <w:tcPr>
                  <w:tcW w:w="882" w:type="pct"/>
                  <w:noWrap w:val="0"/>
                  <w:vAlign w:val="center"/>
                </w:tcPr>
                <w:p w14:paraId="649DC7B2">
                  <w:pPr>
                    <w:keepNext w:val="0"/>
                    <w:keepLines w:val="0"/>
                    <w:widowControl/>
                    <w:suppressLineNumbers w:val="0"/>
                    <w:jc w:val="center"/>
                    <w:textAlignment w:val="center"/>
                    <w:rPr>
                      <w:rFonts w:hint="default" w:ascii="Times New Roman" w:hAnsi="Times New Roman" w:eastAsia="宋体" w:cs="Times New Roman"/>
                      <w:i w:val="0"/>
                      <w:iCs w:val="0"/>
                      <w:color w:val="FF0000"/>
                      <w:kern w:val="0"/>
                      <w:sz w:val="21"/>
                      <w:szCs w:val="21"/>
                      <w:u w:val="none"/>
                      <w:lang w:val="en-US" w:eastAsia="zh-CN" w:bidi="ar"/>
                    </w:rPr>
                  </w:pPr>
                  <w:r>
                    <w:rPr>
                      <w:rFonts w:hint="default" w:ascii="Times New Roman" w:hAnsi="Times New Roman" w:eastAsia="宋体" w:cs="Times New Roman"/>
                      <w:i w:val="0"/>
                      <w:iCs w:val="0"/>
                      <w:color w:val="FF0000"/>
                      <w:kern w:val="0"/>
                      <w:sz w:val="21"/>
                      <w:szCs w:val="21"/>
                      <w:u w:val="none"/>
                      <w:lang w:val="en-US" w:eastAsia="zh-CN" w:bidi="ar"/>
                    </w:rPr>
                    <w:t>979.48</w:t>
                  </w:r>
                </w:p>
              </w:tc>
              <w:tc>
                <w:tcPr>
                  <w:tcW w:w="768" w:type="pct"/>
                  <w:noWrap w:val="0"/>
                  <w:vAlign w:val="center"/>
                </w:tcPr>
                <w:p w14:paraId="681F9886">
                  <w:pPr>
                    <w:keepNext w:val="0"/>
                    <w:keepLines w:val="0"/>
                    <w:widowControl/>
                    <w:suppressLineNumbers w:val="0"/>
                    <w:jc w:val="center"/>
                    <w:textAlignment w:val="center"/>
                    <w:rPr>
                      <w:rFonts w:hint="default" w:ascii="Times New Roman" w:hAnsi="Times New Roman" w:eastAsia="宋体" w:cs="Times New Roman"/>
                      <w:i w:val="0"/>
                      <w:iCs w:val="0"/>
                      <w:color w:val="FF0000"/>
                      <w:kern w:val="0"/>
                      <w:sz w:val="21"/>
                      <w:szCs w:val="21"/>
                      <w:u w:val="none"/>
                      <w:lang w:val="en-US" w:eastAsia="zh-CN" w:bidi="ar"/>
                    </w:rPr>
                  </w:pPr>
                  <w:r>
                    <w:rPr>
                      <w:rFonts w:hint="eastAsia" w:ascii="Times New Roman" w:hAnsi="Times New Roman" w:eastAsia="宋体" w:cs="Times New Roman"/>
                      <w:i w:val="0"/>
                      <w:iCs w:val="0"/>
                      <w:color w:val="FF0000"/>
                      <w:kern w:val="0"/>
                      <w:sz w:val="21"/>
                      <w:szCs w:val="21"/>
                      <w:u w:val="none"/>
                      <w:lang w:val="en-US" w:eastAsia="zh-CN" w:bidi="ar"/>
                    </w:rPr>
                    <w:t>0</w:t>
                  </w:r>
                </w:p>
              </w:tc>
              <w:tc>
                <w:tcPr>
                  <w:tcW w:w="768" w:type="pct"/>
                  <w:noWrap w:val="0"/>
                  <w:vAlign w:val="center"/>
                </w:tcPr>
                <w:p w14:paraId="0E6F9B8C">
                  <w:pPr>
                    <w:keepNext w:val="0"/>
                    <w:keepLines w:val="0"/>
                    <w:widowControl/>
                    <w:suppressLineNumbers w:val="0"/>
                    <w:jc w:val="center"/>
                    <w:textAlignment w:val="center"/>
                    <w:rPr>
                      <w:rFonts w:hint="default" w:ascii="Times New Roman" w:hAnsi="Times New Roman" w:eastAsia="宋体" w:cs="Times New Roman"/>
                      <w:i w:val="0"/>
                      <w:iCs w:val="0"/>
                      <w:color w:val="FF0000"/>
                      <w:kern w:val="0"/>
                      <w:sz w:val="21"/>
                      <w:szCs w:val="21"/>
                      <w:u w:val="none"/>
                      <w:lang w:val="en-US" w:eastAsia="zh-CN" w:bidi="ar"/>
                    </w:rPr>
                  </w:pPr>
                  <w:r>
                    <w:rPr>
                      <w:rFonts w:hint="eastAsia" w:ascii="Times New Roman" w:hAnsi="Times New Roman" w:eastAsia="宋体" w:cs="Times New Roman"/>
                      <w:i w:val="0"/>
                      <w:iCs w:val="0"/>
                      <w:color w:val="FF0000"/>
                      <w:kern w:val="0"/>
                      <w:sz w:val="21"/>
                      <w:szCs w:val="21"/>
                      <w:u w:val="none"/>
                      <w:lang w:val="en-US" w:eastAsia="zh-CN" w:bidi="ar"/>
                    </w:rPr>
                    <w:t>0</w:t>
                  </w:r>
                </w:p>
              </w:tc>
              <w:tc>
                <w:tcPr>
                  <w:tcW w:w="753" w:type="pct"/>
                  <w:noWrap w:val="0"/>
                  <w:vAlign w:val="center"/>
                </w:tcPr>
                <w:p w14:paraId="73154AFD">
                  <w:pPr>
                    <w:keepNext w:val="0"/>
                    <w:keepLines w:val="0"/>
                    <w:widowControl/>
                    <w:suppressLineNumbers w:val="0"/>
                    <w:jc w:val="center"/>
                    <w:textAlignment w:val="center"/>
                    <w:rPr>
                      <w:rFonts w:hint="default" w:ascii="Times New Roman" w:hAnsi="Times New Roman" w:eastAsia="宋体" w:cs="Times New Roman"/>
                      <w:i w:val="0"/>
                      <w:iCs w:val="0"/>
                      <w:color w:val="FF0000"/>
                      <w:kern w:val="0"/>
                      <w:sz w:val="21"/>
                      <w:szCs w:val="21"/>
                      <w:u w:val="none"/>
                      <w:lang w:val="en-US" w:eastAsia="zh-CN" w:bidi="ar"/>
                    </w:rPr>
                  </w:pPr>
                  <w:r>
                    <w:rPr>
                      <w:rFonts w:hint="eastAsia" w:cs="Times New Roman"/>
                      <w:i w:val="0"/>
                      <w:iCs w:val="0"/>
                      <w:color w:val="FF0000"/>
                      <w:kern w:val="0"/>
                      <w:sz w:val="21"/>
                      <w:szCs w:val="21"/>
                      <w:u w:val="none"/>
                      <w:lang w:val="en-US" w:eastAsia="zh-CN" w:bidi="ar"/>
                    </w:rPr>
                    <w:t>/</w:t>
                  </w:r>
                </w:p>
              </w:tc>
            </w:tr>
            <w:tr w14:paraId="71139805">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04" w:type="pct"/>
                  <w:vMerge w:val="continue"/>
                  <w:noWrap w:val="0"/>
                  <w:vAlign w:val="center"/>
                </w:tcPr>
                <w:p w14:paraId="342DFA80">
                  <w:pPr>
                    <w:keepNext w:val="0"/>
                    <w:keepLines w:val="0"/>
                    <w:widowControl/>
                    <w:suppressLineNumbers w:val="0"/>
                    <w:jc w:val="center"/>
                    <w:textAlignment w:val="center"/>
                    <w:rPr>
                      <w:rFonts w:hint="default" w:ascii="Times New Roman" w:hAnsi="Times New Roman" w:eastAsia="宋体" w:cs="Times New Roman"/>
                      <w:i w:val="0"/>
                      <w:iCs w:val="0"/>
                      <w:color w:val="FF0000"/>
                      <w:kern w:val="0"/>
                      <w:sz w:val="21"/>
                      <w:szCs w:val="21"/>
                      <w:u w:val="none"/>
                      <w:lang w:val="en-US" w:eastAsia="zh-CN" w:bidi="ar"/>
                    </w:rPr>
                  </w:pPr>
                </w:p>
              </w:tc>
              <w:tc>
                <w:tcPr>
                  <w:tcW w:w="420" w:type="pct"/>
                  <w:vMerge w:val="continue"/>
                  <w:noWrap w:val="0"/>
                  <w:vAlign w:val="center"/>
                </w:tcPr>
                <w:p w14:paraId="1C182FF7">
                  <w:pPr>
                    <w:keepNext w:val="0"/>
                    <w:keepLines w:val="0"/>
                    <w:widowControl/>
                    <w:suppressLineNumbers w:val="0"/>
                    <w:jc w:val="center"/>
                    <w:textAlignment w:val="center"/>
                    <w:rPr>
                      <w:rFonts w:hint="default" w:ascii="Times New Roman" w:hAnsi="Times New Roman" w:eastAsia="宋体" w:cs="Times New Roman"/>
                      <w:i w:val="0"/>
                      <w:iCs w:val="0"/>
                      <w:color w:val="FF0000"/>
                      <w:kern w:val="0"/>
                      <w:sz w:val="21"/>
                      <w:szCs w:val="21"/>
                      <w:u w:val="none"/>
                      <w:lang w:val="en-US" w:eastAsia="zh-CN" w:bidi="ar"/>
                    </w:rPr>
                  </w:pPr>
                </w:p>
              </w:tc>
              <w:tc>
                <w:tcPr>
                  <w:tcW w:w="1102" w:type="pct"/>
                  <w:noWrap w:val="0"/>
                  <w:vAlign w:val="center"/>
                </w:tcPr>
                <w:p w14:paraId="053BF051">
                  <w:pPr>
                    <w:keepNext w:val="0"/>
                    <w:keepLines w:val="0"/>
                    <w:widowControl/>
                    <w:suppressLineNumbers w:val="0"/>
                    <w:jc w:val="center"/>
                    <w:textAlignment w:val="center"/>
                    <w:rPr>
                      <w:rFonts w:hint="default" w:ascii="Times New Roman" w:hAnsi="Times New Roman" w:eastAsia="宋体" w:cs="Times New Roman"/>
                      <w:i w:val="0"/>
                      <w:iCs w:val="0"/>
                      <w:color w:val="FF0000"/>
                      <w:kern w:val="0"/>
                      <w:sz w:val="21"/>
                      <w:szCs w:val="21"/>
                      <w:u w:val="none"/>
                      <w:lang w:val="en-US" w:eastAsia="zh-CN" w:bidi="ar"/>
                    </w:rPr>
                  </w:pPr>
                  <w:r>
                    <w:rPr>
                      <w:rFonts w:hint="default" w:ascii="Times New Roman" w:hAnsi="Times New Roman" w:eastAsia="宋体" w:cs="Times New Roman"/>
                      <w:i w:val="0"/>
                      <w:iCs w:val="0"/>
                      <w:color w:val="FF0000"/>
                      <w:kern w:val="0"/>
                      <w:sz w:val="21"/>
                      <w:szCs w:val="21"/>
                      <w:u w:val="none"/>
                      <w:lang w:val="en-US" w:eastAsia="zh-CN" w:bidi="ar"/>
                    </w:rPr>
                    <w:t>动力电池</w:t>
                  </w:r>
                </w:p>
              </w:tc>
              <w:tc>
                <w:tcPr>
                  <w:tcW w:w="882" w:type="pct"/>
                  <w:noWrap w:val="0"/>
                  <w:vAlign w:val="center"/>
                </w:tcPr>
                <w:p w14:paraId="66D41847">
                  <w:pPr>
                    <w:keepNext w:val="0"/>
                    <w:keepLines w:val="0"/>
                    <w:widowControl/>
                    <w:suppressLineNumbers w:val="0"/>
                    <w:jc w:val="center"/>
                    <w:textAlignment w:val="center"/>
                    <w:rPr>
                      <w:rFonts w:hint="default" w:ascii="Times New Roman" w:hAnsi="Times New Roman" w:eastAsia="宋体" w:cs="Times New Roman"/>
                      <w:i w:val="0"/>
                      <w:iCs w:val="0"/>
                      <w:color w:val="FF0000"/>
                      <w:kern w:val="0"/>
                      <w:sz w:val="21"/>
                      <w:szCs w:val="21"/>
                      <w:u w:val="none"/>
                      <w:lang w:val="en-US" w:eastAsia="zh-CN" w:bidi="ar"/>
                    </w:rPr>
                  </w:pPr>
                  <w:r>
                    <w:rPr>
                      <w:rFonts w:hint="default" w:ascii="Times New Roman" w:hAnsi="Times New Roman" w:eastAsia="宋体" w:cs="Times New Roman"/>
                      <w:i w:val="0"/>
                      <w:iCs w:val="0"/>
                      <w:color w:val="FF0000"/>
                      <w:kern w:val="0"/>
                      <w:sz w:val="21"/>
                      <w:szCs w:val="21"/>
                      <w:u w:val="none"/>
                      <w:lang w:val="en-US" w:eastAsia="zh-CN" w:bidi="ar"/>
                    </w:rPr>
                    <w:t>253.48</w:t>
                  </w:r>
                </w:p>
              </w:tc>
              <w:tc>
                <w:tcPr>
                  <w:tcW w:w="768" w:type="pct"/>
                  <w:noWrap w:val="0"/>
                  <w:vAlign w:val="center"/>
                </w:tcPr>
                <w:p w14:paraId="1557BCE9">
                  <w:pPr>
                    <w:keepNext w:val="0"/>
                    <w:keepLines w:val="0"/>
                    <w:widowControl/>
                    <w:suppressLineNumbers w:val="0"/>
                    <w:jc w:val="center"/>
                    <w:textAlignment w:val="center"/>
                    <w:rPr>
                      <w:rFonts w:hint="eastAsia" w:ascii="Times New Roman" w:hAnsi="Times New Roman" w:eastAsia="宋体" w:cs="Times New Roman"/>
                      <w:i w:val="0"/>
                      <w:iCs w:val="0"/>
                      <w:color w:val="FF0000"/>
                      <w:kern w:val="0"/>
                      <w:sz w:val="21"/>
                      <w:szCs w:val="21"/>
                      <w:u w:val="none"/>
                      <w:lang w:val="en-US" w:eastAsia="zh-CN" w:bidi="ar"/>
                    </w:rPr>
                  </w:pPr>
                  <w:r>
                    <w:rPr>
                      <w:rFonts w:hint="eastAsia" w:ascii="Times New Roman" w:hAnsi="Times New Roman" w:eastAsia="宋体" w:cs="Times New Roman"/>
                      <w:i w:val="0"/>
                      <w:iCs w:val="0"/>
                      <w:color w:val="FF0000"/>
                      <w:kern w:val="0"/>
                      <w:sz w:val="21"/>
                      <w:szCs w:val="21"/>
                      <w:u w:val="none"/>
                      <w:lang w:val="en-US" w:eastAsia="zh-CN" w:bidi="ar"/>
                    </w:rPr>
                    <w:t>0</w:t>
                  </w:r>
                </w:p>
              </w:tc>
              <w:tc>
                <w:tcPr>
                  <w:tcW w:w="768" w:type="pct"/>
                  <w:noWrap w:val="0"/>
                  <w:vAlign w:val="center"/>
                </w:tcPr>
                <w:p w14:paraId="6EA42D0C">
                  <w:pPr>
                    <w:keepNext w:val="0"/>
                    <w:keepLines w:val="0"/>
                    <w:widowControl/>
                    <w:suppressLineNumbers w:val="0"/>
                    <w:jc w:val="center"/>
                    <w:textAlignment w:val="center"/>
                    <w:rPr>
                      <w:rFonts w:hint="default" w:ascii="Times New Roman" w:hAnsi="Times New Roman" w:eastAsia="宋体" w:cs="Times New Roman"/>
                      <w:i w:val="0"/>
                      <w:iCs w:val="0"/>
                      <w:color w:val="FF0000"/>
                      <w:kern w:val="0"/>
                      <w:sz w:val="21"/>
                      <w:szCs w:val="21"/>
                      <w:u w:val="none"/>
                      <w:lang w:val="en-US" w:eastAsia="zh-CN" w:bidi="ar"/>
                    </w:rPr>
                  </w:pPr>
                  <w:r>
                    <w:rPr>
                      <w:rFonts w:hint="eastAsia" w:ascii="Times New Roman" w:hAnsi="Times New Roman" w:eastAsia="宋体" w:cs="Times New Roman"/>
                      <w:i w:val="0"/>
                      <w:iCs w:val="0"/>
                      <w:color w:val="FF0000"/>
                      <w:kern w:val="0"/>
                      <w:sz w:val="21"/>
                      <w:szCs w:val="21"/>
                      <w:u w:val="none"/>
                      <w:lang w:val="en-US" w:eastAsia="zh-CN" w:bidi="ar"/>
                    </w:rPr>
                    <w:t>0</w:t>
                  </w:r>
                </w:p>
              </w:tc>
              <w:tc>
                <w:tcPr>
                  <w:tcW w:w="753" w:type="pct"/>
                  <w:noWrap w:val="0"/>
                  <w:vAlign w:val="center"/>
                </w:tcPr>
                <w:p w14:paraId="38CE2602">
                  <w:pPr>
                    <w:keepNext w:val="0"/>
                    <w:keepLines w:val="0"/>
                    <w:widowControl/>
                    <w:suppressLineNumbers w:val="0"/>
                    <w:jc w:val="center"/>
                    <w:textAlignment w:val="center"/>
                    <w:rPr>
                      <w:rFonts w:hint="default" w:ascii="Times New Roman" w:hAnsi="Times New Roman" w:eastAsia="宋体" w:cs="Times New Roman"/>
                      <w:i w:val="0"/>
                      <w:iCs w:val="0"/>
                      <w:color w:val="FF0000"/>
                      <w:kern w:val="0"/>
                      <w:sz w:val="21"/>
                      <w:szCs w:val="21"/>
                      <w:u w:val="none"/>
                      <w:lang w:val="en-US" w:eastAsia="zh-CN" w:bidi="ar"/>
                    </w:rPr>
                  </w:pPr>
                  <w:r>
                    <w:rPr>
                      <w:rFonts w:hint="eastAsia" w:cs="Times New Roman"/>
                      <w:i w:val="0"/>
                      <w:iCs w:val="0"/>
                      <w:color w:val="FF0000"/>
                      <w:kern w:val="0"/>
                      <w:sz w:val="21"/>
                      <w:szCs w:val="21"/>
                      <w:u w:val="none"/>
                      <w:lang w:val="en-US" w:eastAsia="zh-CN" w:bidi="ar"/>
                    </w:rPr>
                    <w:t>/</w:t>
                  </w:r>
                </w:p>
              </w:tc>
            </w:tr>
            <w:tr w14:paraId="636E6558">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5" w:hRule="atLeast"/>
              </w:trPr>
              <w:tc>
                <w:tcPr>
                  <w:tcW w:w="304" w:type="pct"/>
                  <w:vMerge w:val="continue"/>
                  <w:noWrap w:val="0"/>
                  <w:vAlign w:val="center"/>
                </w:tcPr>
                <w:p w14:paraId="4DB3FBF9">
                  <w:pPr>
                    <w:keepNext w:val="0"/>
                    <w:keepLines w:val="0"/>
                    <w:widowControl/>
                    <w:suppressLineNumbers w:val="0"/>
                    <w:jc w:val="center"/>
                    <w:textAlignment w:val="center"/>
                    <w:rPr>
                      <w:rFonts w:hint="default" w:ascii="Times New Roman" w:hAnsi="Times New Roman" w:eastAsia="宋体" w:cs="Times New Roman"/>
                      <w:i w:val="0"/>
                      <w:iCs w:val="0"/>
                      <w:color w:val="FF0000"/>
                      <w:kern w:val="0"/>
                      <w:sz w:val="21"/>
                      <w:szCs w:val="21"/>
                      <w:u w:val="none"/>
                      <w:lang w:val="en-US" w:eastAsia="zh-CN" w:bidi="ar"/>
                    </w:rPr>
                  </w:pPr>
                </w:p>
              </w:tc>
              <w:tc>
                <w:tcPr>
                  <w:tcW w:w="420" w:type="pct"/>
                  <w:vMerge w:val="continue"/>
                  <w:noWrap w:val="0"/>
                  <w:vAlign w:val="center"/>
                </w:tcPr>
                <w:p w14:paraId="689010F0">
                  <w:pPr>
                    <w:keepNext w:val="0"/>
                    <w:keepLines w:val="0"/>
                    <w:widowControl/>
                    <w:suppressLineNumbers w:val="0"/>
                    <w:jc w:val="center"/>
                    <w:textAlignment w:val="center"/>
                    <w:rPr>
                      <w:rFonts w:hint="default" w:ascii="Times New Roman" w:hAnsi="Times New Roman" w:eastAsia="宋体" w:cs="Times New Roman"/>
                      <w:i w:val="0"/>
                      <w:iCs w:val="0"/>
                      <w:color w:val="FF0000"/>
                      <w:kern w:val="0"/>
                      <w:sz w:val="21"/>
                      <w:szCs w:val="21"/>
                      <w:u w:val="none"/>
                      <w:lang w:val="en-US" w:eastAsia="zh-CN" w:bidi="ar"/>
                    </w:rPr>
                  </w:pPr>
                </w:p>
              </w:tc>
              <w:tc>
                <w:tcPr>
                  <w:tcW w:w="1102" w:type="pct"/>
                  <w:noWrap w:val="0"/>
                  <w:vAlign w:val="center"/>
                </w:tcPr>
                <w:p w14:paraId="34F2D8A9">
                  <w:pPr>
                    <w:keepNext w:val="0"/>
                    <w:keepLines w:val="0"/>
                    <w:widowControl/>
                    <w:suppressLineNumbers w:val="0"/>
                    <w:jc w:val="center"/>
                    <w:textAlignment w:val="center"/>
                    <w:rPr>
                      <w:rFonts w:hint="default" w:ascii="Times New Roman" w:hAnsi="Times New Roman" w:eastAsia="宋体" w:cs="Times New Roman"/>
                      <w:i w:val="0"/>
                      <w:iCs w:val="0"/>
                      <w:color w:val="FF0000"/>
                      <w:kern w:val="0"/>
                      <w:sz w:val="21"/>
                      <w:szCs w:val="21"/>
                      <w:u w:val="none"/>
                      <w:lang w:val="en-US" w:eastAsia="zh-CN" w:bidi="ar"/>
                    </w:rPr>
                  </w:pPr>
                  <w:r>
                    <w:rPr>
                      <w:rFonts w:hint="default" w:ascii="Times New Roman" w:hAnsi="Times New Roman" w:eastAsia="宋体" w:cs="Times New Roman"/>
                      <w:i w:val="0"/>
                      <w:iCs w:val="0"/>
                      <w:color w:val="FF0000"/>
                      <w:kern w:val="0"/>
                      <w:sz w:val="21"/>
                      <w:szCs w:val="21"/>
                      <w:u w:val="none"/>
                      <w:lang w:val="en-US" w:eastAsia="zh-CN" w:bidi="ar"/>
                    </w:rPr>
                    <w:t>废皮布制品</w:t>
                  </w:r>
                </w:p>
              </w:tc>
              <w:tc>
                <w:tcPr>
                  <w:tcW w:w="882" w:type="pct"/>
                  <w:noWrap w:val="0"/>
                  <w:vAlign w:val="center"/>
                </w:tcPr>
                <w:p w14:paraId="7776EAE8">
                  <w:pPr>
                    <w:keepNext w:val="0"/>
                    <w:keepLines w:val="0"/>
                    <w:widowControl/>
                    <w:suppressLineNumbers w:val="0"/>
                    <w:jc w:val="center"/>
                    <w:textAlignment w:val="center"/>
                    <w:rPr>
                      <w:rFonts w:hint="default" w:ascii="Times New Roman" w:hAnsi="Times New Roman" w:eastAsia="宋体" w:cs="Times New Roman"/>
                      <w:i w:val="0"/>
                      <w:iCs w:val="0"/>
                      <w:color w:val="FF0000"/>
                      <w:kern w:val="0"/>
                      <w:sz w:val="21"/>
                      <w:szCs w:val="21"/>
                      <w:u w:val="none"/>
                      <w:lang w:val="en-US" w:eastAsia="zh-CN" w:bidi="ar"/>
                    </w:rPr>
                  </w:pPr>
                  <w:r>
                    <w:rPr>
                      <w:rFonts w:hint="default" w:ascii="Times New Roman" w:hAnsi="Times New Roman" w:eastAsia="宋体" w:cs="Times New Roman"/>
                      <w:i w:val="0"/>
                      <w:iCs w:val="0"/>
                      <w:color w:val="FF0000"/>
                      <w:kern w:val="0"/>
                      <w:sz w:val="21"/>
                      <w:szCs w:val="21"/>
                      <w:u w:val="none"/>
                      <w:lang w:val="en-US" w:eastAsia="zh-CN" w:bidi="ar"/>
                    </w:rPr>
                    <w:t>674.94</w:t>
                  </w:r>
                </w:p>
              </w:tc>
              <w:tc>
                <w:tcPr>
                  <w:tcW w:w="768" w:type="pct"/>
                  <w:noWrap w:val="0"/>
                  <w:vAlign w:val="center"/>
                </w:tcPr>
                <w:p w14:paraId="3DD5D7D1">
                  <w:pPr>
                    <w:keepNext w:val="0"/>
                    <w:keepLines w:val="0"/>
                    <w:widowControl/>
                    <w:suppressLineNumbers w:val="0"/>
                    <w:jc w:val="center"/>
                    <w:textAlignment w:val="center"/>
                    <w:rPr>
                      <w:rFonts w:hint="eastAsia" w:ascii="Times New Roman" w:hAnsi="Times New Roman" w:eastAsia="宋体" w:cs="Times New Roman"/>
                      <w:i w:val="0"/>
                      <w:iCs w:val="0"/>
                      <w:color w:val="FF0000"/>
                      <w:kern w:val="0"/>
                      <w:sz w:val="21"/>
                      <w:szCs w:val="21"/>
                      <w:u w:val="none"/>
                      <w:lang w:val="en-US" w:eastAsia="zh-CN" w:bidi="ar"/>
                    </w:rPr>
                  </w:pPr>
                  <w:r>
                    <w:rPr>
                      <w:rFonts w:hint="eastAsia" w:ascii="Times New Roman" w:hAnsi="Times New Roman" w:eastAsia="宋体" w:cs="Times New Roman"/>
                      <w:i w:val="0"/>
                      <w:iCs w:val="0"/>
                      <w:color w:val="FF0000"/>
                      <w:kern w:val="0"/>
                      <w:sz w:val="21"/>
                      <w:szCs w:val="21"/>
                      <w:u w:val="none"/>
                      <w:lang w:val="en-US" w:eastAsia="zh-CN" w:bidi="ar"/>
                    </w:rPr>
                    <w:t>0</w:t>
                  </w:r>
                </w:p>
              </w:tc>
              <w:tc>
                <w:tcPr>
                  <w:tcW w:w="768" w:type="pct"/>
                  <w:noWrap w:val="0"/>
                  <w:vAlign w:val="center"/>
                </w:tcPr>
                <w:p w14:paraId="1C1A841E">
                  <w:pPr>
                    <w:keepNext w:val="0"/>
                    <w:keepLines w:val="0"/>
                    <w:widowControl/>
                    <w:suppressLineNumbers w:val="0"/>
                    <w:jc w:val="center"/>
                    <w:textAlignment w:val="center"/>
                    <w:rPr>
                      <w:rFonts w:hint="default" w:ascii="Times New Roman" w:hAnsi="Times New Roman" w:eastAsia="宋体" w:cs="Times New Roman"/>
                      <w:i w:val="0"/>
                      <w:iCs w:val="0"/>
                      <w:color w:val="FF0000"/>
                      <w:kern w:val="0"/>
                      <w:sz w:val="21"/>
                      <w:szCs w:val="21"/>
                      <w:u w:val="none"/>
                      <w:lang w:val="en-US" w:eastAsia="zh-CN" w:bidi="ar"/>
                    </w:rPr>
                  </w:pPr>
                  <w:r>
                    <w:rPr>
                      <w:rFonts w:hint="eastAsia" w:ascii="Times New Roman" w:hAnsi="Times New Roman" w:eastAsia="宋体" w:cs="Times New Roman"/>
                      <w:i w:val="0"/>
                      <w:iCs w:val="0"/>
                      <w:color w:val="FF0000"/>
                      <w:kern w:val="0"/>
                      <w:sz w:val="21"/>
                      <w:szCs w:val="21"/>
                      <w:u w:val="none"/>
                      <w:lang w:val="en-US" w:eastAsia="zh-CN" w:bidi="ar"/>
                    </w:rPr>
                    <w:t>0</w:t>
                  </w:r>
                </w:p>
              </w:tc>
              <w:tc>
                <w:tcPr>
                  <w:tcW w:w="753" w:type="pct"/>
                  <w:noWrap w:val="0"/>
                  <w:vAlign w:val="center"/>
                </w:tcPr>
                <w:p w14:paraId="184C4109">
                  <w:pPr>
                    <w:keepNext w:val="0"/>
                    <w:keepLines w:val="0"/>
                    <w:widowControl/>
                    <w:suppressLineNumbers w:val="0"/>
                    <w:jc w:val="center"/>
                    <w:textAlignment w:val="center"/>
                    <w:rPr>
                      <w:rFonts w:hint="default" w:ascii="Times New Roman" w:hAnsi="Times New Roman" w:eastAsia="宋体" w:cs="Times New Roman"/>
                      <w:i w:val="0"/>
                      <w:iCs w:val="0"/>
                      <w:color w:val="FF0000"/>
                      <w:kern w:val="0"/>
                      <w:sz w:val="21"/>
                      <w:szCs w:val="21"/>
                      <w:u w:val="none"/>
                      <w:lang w:val="en-US" w:eastAsia="zh-CN" w:bidi="ar"/>
                    </w:rPr>
                  </w:pPr>
                  <w:r>
                    <w:rPr>
                      <w:rFonts w:hint="eastAsia" w:cs="Times New Roman"/>
                      <w:i w:val="0"/>
                      <w:iCs w:val="0"/>
                      <w:color w:val="FF0000"/>
                      <w:kern w:val="0"/>
                      <w:sz w:val="21"/>
                      <w:szCs w:val="21"/>
                      <w:u w:val="none"/>
                      <w:lang w:val="en-US" w:eastAsia="zh-CN" w:bidi="ar"/>
                    </w:rPr>
                    <w:t>/</w:t>
                  </w:r>
                </w:p>
              </w:tc>
            </w:tr>
            <w:tr w14:paraId="1B2FFB71">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5" w:hRule="atLeast"/>
              </w:trPr>
              <w:tc>
                <w:tcPr>
                  <w:tcW w:w="304" w:type="pct"/>
                  <w:vMerge w:val="continue"/>
                  <w:noWrap w:val="0"/>
                  <w:vAlign w:val="center"/>
                </w:tcPr>
                <w:p w14:paraId="46956BEB">
                  <w:pPr>
                    <w:keepNext w:val="0"/>
                    <w:keepLines w:val="0"/>
                    <w:widowControl/>
                    <w:suppressLineNumbers w:val="0"/>
                    <w:jc w:val="center"/>
                    <w:textAlignment w:val="center"/>
                    <w:rPr>
                      <w:rFonts w:hint="eastAsia" w:ascii="Times New Roman" w:hAnsi="Times New Roman" w:eastAsia="宋体" w:cs="Times New Roman"/>
                      <w:i w:val="0"/>
                      <w:iCs w:val="0"/>
                      <w:color w:val="FF0000"/>
                      <w:kern w:val="0"/>
                      <w:sz w:val="21"/>
                      <w:szCs w:val="21"/>
                      <w:u w:val="none"/>
                      <w:lang w:val="en-US" w:eastAsia="zh-CN" w:bidi="ar"/>
                    </w:rPr>
                  </w:pPr>
                </w:p>
              </w:tc>
              <w:tc>
                <w:tcPr>
                  <w:tcW w:w="420" w:type="pct"/>
                  <w:vMerge w:val="continue"/>
                  <w:noWrap w:val="0"/>
                  <w:vAlign w:val="center"/>
                </w:tcPr>
                <w:p w14:paraId="4436A12F">
                  <w:pPr>
                    <w:keepNext w:val="0"/>
                    <w:keepLines w:val="0"/>
                    <w:widowControl/>
                    <w:suppressLineNumbers w:val="0"/>
                    <w:jc w:val="center"/>
                    <w:textAlignment w:val="center"/>
                    <w:rPr>
                      <w:rFonts w:hint="eastAsia" w:ascii="Times New Roman" w:hAnsi="Times New Roman" w:eastAsia="宋体" w:cs="Times New Roman"/>
                      <w:i w:val="0"/>
                      <w:iCs w:val="0"/>
                      <w:color w:val="FF0000"/>
                      <w:kern w:val="0"/>
                      <w:sz w:val="21"/>
                      <w:szCs w:val="21"/>
                      <w:u w:val="none"/>
                      <w:lang w:val="en-US" w:eastAsia="zh-CN" w:bidi="ar"/>
                    </w:rPr>
                  </w:pPr>
                </w:p>
              </w:tc>
              <w:tc>
                <w:tcPr>
                  <w:tcW w:w="1102" w:type="pct"/>
                  <w:noWrap w:val="0"/>
                  <w:vAlign w:val="center"/>
                </w:tcPr>
                <w:p w14:paraId="6A9E0A1B">
                  <w:pPr>
                    <w:keepNext w:val="0"/>
                    <w:keepLines w:val="0"/>
                    <w:widowControl/>
                    <w:suppressLineNumbers w:val="0"/>
                    <w:jc w:val="center"/>
                    <w:textAlignment w:val="center"/>
                    <w:rPr>
                      <w:rFonts w:hint="default" w:ascii="Times New Roman" w:hAnsi="Times New Roman" w:eastAsia="宋体" w:cs="Times New Roman"/>
                      <w:i w:val="0"/>
                      <w:iCs w:val="0"/>
                      <w:color w:val="FF0000"/>
                      <w:kern w:val="0"/>
                      <w:sz w:val="21"/>
                      <w:szCs w:val="21"/>
                      <w:u w:val="none"/>
                      <w:lang w:val="en-US" w:eastAsia="zh-CN" w:bidi="ar"/>
                    </w:rPr>
                  </w:pPr>
                  <w:r>
                    <w:rPr>
                      <w:rFonts w:hint="default" w:ascii="Times New Roman" w:hAnsi="Times New Roman" w:eastAsia="宋体" w:cs="Times New Roman"/>
                      <w:i w:val="0"/>
                      <w:iCs w:val="0"/>
                      <w:color w:val="FF0000"/>
                      <w:kern w:val="0"/>
                      <w:sz w:val="21"/>
                      <w:szCs w:val="21"/>
                      <w:u w:val="none"/>
                      <w:lang w:val="en-US" w:eastAsia="zh-CN" w:bidi="ar"/>
                    </w:rPr>
                    <w:t>其他不可利用物</w:t>
                  </w:r>
                </w:p>
              </w:tc>
              <w:tc>
                <w:tcPr>
                  <w:tcW w:w="882" w:type="pct"/>
                  <w:noWrap w:val="0"/>
                  <w:vAlign w:val="center"/>
                </w:tcPr>
                <w:p w14:paraId="219992DD">
                  <w:pPr>
                    <w:keepNext w:val="0"/>
                    <w:keepLines w:val="0"/>
                    <w:widowControl/>
                    <w:suppressLineNumbers w:val="0"/>
                    <w:jc w:val="center"/>
                    <w:textAlignment w:val="center"/>
                    <w:rPr>
                      <w:rFonts w:hint="default" w:ascii="Times New Roman" w:hAnsi="Times New Roman" w:eastAsia="宋体" w:cs="Times New Roman"/>
                      <w:i w:val="0"/>
                      <w:iCs w:val="0"/>
                      <w:color w:val="FF0000"/>
                      <w:kern w:val="0"/>
                      <w:sz w:val="21"/>
                      <w:szCs w:val="21"/>
                      <w:u w:val="none"/>
                      <w:lang w:val="en-US" w:eastAsia="zh-CN" w:bidi="ar"/>
                    </w:rPr>
                  </w:pPr>
                  <w:r>
                    <w:rPr>
                      <w:rFonts w:hint="default" w:ascii="Times New Roman" w:hAnsi="Times New Roman" w:eastAsia="宋体" w:cs="Times New Roman"/>
                      <w:i w:val="0"/>
                      <w:iCs w:val="0"/>
                      <w:color w:val="FF0000"/>
                      <w:kern w:val="0"/>
                      <w:sz w:val="21"/>
                      <w:szCs w:val="21"/>
                      <w:u w:val="none"/>
                      <w:lang w:val="en-US" w:eastAsia="zh-CN" w:bidi="ar"/>
                    </w:rPr>
                    <w:t>149.44</w:t>
                  </w:r>
                </w:p>
              </w:tc>
              <w:tc>
                <w:tcPr>
                  <w:tcW w:w="768" w:type="pct"/>
                  <w:noWrap w:val="0"/>
                  <w:vAlign w:val="center"/>
                </w:tcPr>
                <w:p w14:paraId="229BA42B">
                  <w:pPr>
                    <w:keepNext w:val="0"/>
                    <w:keepLines w:val="0"/>
                    <w:widowControl/>
                    <w:suppressLineNumbers w:val="0"/>
                    <w:jc w:val="center"/>
                    <w:textAlignment w:val="center"/>
                    <w:rPr>
                      <w:rFonts w:hint="default" w:ascii="Times New Roman" w:hAnsi="Times New Roman" w:eastAsia="宋体" w:cs="Times New Roman"/>
                      <w:i w:val="0"/>
                      <w:iCs w:val="0"/>
                      <w:color w:val="FF0000"/>
                      <w:kern w:val="0"/>
                      <w:sz w:val="21"/>
                      <w:szCs w:val="21"/>
                      <w:u w:val="none"/>
                      <w:lang w:val="en-US" w:eastAsia="zh-CN" w:bidi="ar"/>
                    </w:rPr>
                  </w:pPr>
                  <w:r>
                    <w:rPr>
                      <w:rFonts w:hint="eastAsia" w:ascii="Times New Roman" w:hAnsi="Times New Roman" w:eastAsia="宋体" w:cs="Times New Roman"/>
                      <w:i w:val="0"/>
                      <w:iCs w:val="0"/>
                      <w:color w:val="FF0000"/>
                      <w:kern w:val="0"/>
                      <w:sz w:val="21"/>
                      <w:szCs w:val="21"/>
                      <w:u w:val="none"/>
                      <w:lang w:val="en-US" w:eastAsia="zh-CN" w:bidi="ar"/>
                    </w:rPr>
                    <w:t>0</w:t>
                  </w:r>
                </w:p>
              </w:tc>
              <w:tc>
                <w:tcPr>
                  <w:tcW w:w="768" w:type="pct"/>
                  <w:noWrap w:val="0"/>
                  <w:vAlign w:val="center"/>
                </w:tcPr>
                <w:p w14:paraId="049FF90E">
                  <w:pPr>
                    <w:keepNext w:val="0"/>
                    <w:keepLines w:val="0"/>
                    <w:widowControl/>
                    <w:suppressLineNumbers w:val="0"/>
                    <w:jc w:val="center"/>
                    <w:textAlignment w:val="center"/>
                    <w:rPr>
                      <w:rFonts w:hint="default" w:ascii="Times New Roman" w:hAnsi="Times New Roman" w:eastAsia="宋体" w:cs="Times New Roman"/>
                      <w:i w:val="0"/>
                      <w:iCs w:val="0"/>
                      <w:color w:val="FF0000"/>
                      <w:kern w:val="0"/>
                      <w:sz w:val="21"/>
                      <w:szCs w:val="21"/>
                      <w:u w:val="none"/>
                      <w:lang w:val="en-US" w:eastAsia="zh-CN" w:bidi="ar"/>
                    </w:rPr>
                  </w:pPr>
                  <w:r>
                    <w:rPr>
                      <w:rFonts w:hint="eastAsia" w:ascii="Times New Roman" w:hAnsi="Times New Roman" w:eastAsia="宋体" w:cs="Times New Roman"/>
                      <w:i w:val="0"/>
                      <w:iCs w:val="0"/>
                      <w:color w:val="FF0000"/>
                      <w:kern w:val="0"/>
                      <w:sz w:val="21"/>
                      <w:szCs w:val="21"/>
                      <w:u w:val="none"/>
                      <w:lang w:val="en-US" w:eastAsia="zh-CN" w:bidi="ar"/>
                    </w:rPr>
                    <w:t>0</w:t>
                  </w:r>
                </w:p>
              </w:tc>
              <w:tc>
                <w:tcPr>
                  <w:tcW w:w="753" w:type="pct"/>
                  <w:noWrap w:val="0"/>
                  <w:vAlign w:val="center"/>
                </w:tcPr>
                <w:p w14:paraId="66D4F6C5">
                  <w:pPr>
                    <w:keepNext w:val="0"/>
                    <w:keepLines w:val="0"/>
                    <w:widowControl/>
                    <w:suppressLineNumbers w:val="0"/>
                    <w:jc w:val="center"/>
                    <w:textAlignment w:val="center"/>
                    <w:rPr>
                      <w:rFonts w:hint="default" w:ascii="Times New Roman" w:hAnsi="Times New Roman" w:eastAsia="宋体" w:cs="Times New Roman"/>
                      <w:i w:val="0"/>
                      <w:iCs w:val="0"/>
                      <w:color w:val="FF0000"/>
                      <w:kern w:val="0"/>
                      <w:sz w:val="21"/>
                      <w:szCs w:val="21"/>
                      <w:u w:val="none"/>
                      <w:lang w:val="en-US" w:eastAsia="zh-CN" w:bidi="ar"/>
                    </w:rPr>
                  </w:pPr>
                  <w:r>
                    <w:rPr>
                      <w:rFonts w:hint="eastAsia" w:cs="Times New Roman"/>
                      <w:i w:val="0"/>
                      <w:iCs w:val="0"/>
                      <w:color w:val="FF0000"/>
                      <w:kern w:val="0"/>
                      <w:sz w:val="21"/>
                      <w:szCs w:val="21"/>
                      <w:u w:val="none"/>
                      <w:lang w:val="en-US" w:eastAsia="zh-CN" w:bidi="ar"/>
                    </w:rPr>
                    <w:t>/</w:t>
                  </w:r>
                </w:p>
              </w:tc>
            </w:tr>
            <w:tr w14:paraId="08F1F054">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5" w:hRule="atLeast"/>
              </w:trPr>
              <w:tc>
                <w:tcPr>
                  <w:tcW w:w="304" w:type="pct"/>
                  <w:vMerge w:val="continue"/>
                  <w:noWrap w:val="0"/>
                  <w:vAlign w:val="center"/>
                </w:tcPr>
                <w:p w14:paraId="1A1C5C6B">
                  <w:pPr>
                    <w:keepNext w:val="0"/>
                    <w:keepLines w:val="0"/>
                    <w:widowControl/>
                    <w:suppressLineNumbers w:val="0"/>
                    <w:jc w:val="center"/>
                    <w:textAlignment w:val="center"/>
                    <w:rPr>
                      <w:rFonts w:hint="default" w:ascii="Times New Roman" w:hAnsi="Times New Roman" w:eastAsia="宋体" w:cs="Times New Roman"/>
                      <w:i w:val="0"/>
                      <w:iCs w:val="0"/>
                      <w:color w:val="FF0000"/>
                      <w:kern w:val="0"/>
                      <w:sz w:val="21"/>
                      <w:szCs w:val="21"/>
                      <w:u w:val="none"/>
                      <w:lang w:val="en-US" w:eastAsia="zh-CN" w:bidi="ar"/>
                    </w:rPr>
                  </w:pPr>
                </w:p>
              </w:tc>
              <w:tc>
                <w:tcPr>
                  <w:tcW w:w="420" w:type="pct"/>
                  <w:vMerge w:val="continue"/>
                  <w:noWrap w:val="0"/>
                  <w:vAlign w:val="center"/>
                </w:tcPr>
                <w:p w14:paraId="618DA46E">
                  <w:pPr>
                    <w:keepNext w:val="0"/>
                    <w:keepLines w:val="0"/>
                    <w:widowControl/>
                    <w:suppressLineNumbers w:val="0"/>
                    <w:jc w:val="center"/>
                    <w:textAlignment w:val="center"/>
                    <w:rPr>
                      <w:rFonts w:hint="default" w:ascii="Times New Roman" w:hAnsi="Times New Roman" w:eastAsia="宋体" w:cs="Times New Roman"/>
                      <w:i w:val="0"/>
                      <w:iCs w:val="0"/>
                      <w:color w:val="FF0000"/>
                      <w:kern w:val="0"/>
                      <w:sz w:val="21"/>
                      <w:szCs w:val="21"/>
                      <w:u w:val="none"/>
                      <w:lang w:val="en-US" w:eastAsia="zh-CN" w:bidi="ar"/>
                    </w:rPr>
                  </w:pPr>
                </w:p>
              </w:tc>
              <w:tc>
                <w:tcPr>
                  <w:tcW w:w="1102" w:type="pct"/>
                  <w:noWrap w:val="0"/>
                  <w:vAlign w:val="center"/>
                </w:tcPr>
                <w:p w14:paraId="1131ADC4">
                  <w:pPr>
                    <w:keepNext w:val="0"/>
                    <w:keepLines w:val="0"/>
                    <w:widowControl/>
                    <w:suppressLineNumbers w:val="0"/>
                    <w:jc w:val="center"/>
                    <w:textAlignment w:val="center"/>
                    <w:rPr>
                      <w:rFonts w:hint="default" w:ascii="Times New Roman" w:hAnsi="Times New Roman" w:eastAsia="宋体" w:cs="Times New Roman"/>
                      <w:i w:val="0"/>
                      <w:iCs w:val="0"/>
                      <w:color w:val="FF0000"/>
                      <w:kern w:val="0"/>
                      <w:sz w:val="21"/>
                      <w:szCs w:val="21"/>
                      <w:u w:val="none"/>
                      <w:lang w:val="en-US" w:eastAsia="zh-CN" w:bidi="ar"/>
                    </w:rPr>
                  </w:pPr>
                  <w:r>
                    <w:rPr>
                      <w:rFonts w:hint="default" w:ascii="Times New Roman" w:hAnsi="Times New Roman" w:eastAsia="宋体" w:cs="Times New Roman"/>
                      <w:i w:val="0"/>
                      <w:iCs w:val="0"/>
                      <w:color w:val="FF0000"/>
                      <w:kern w:val="0"/>
                      <w:sz w:val="21"/>
                      <w:szCs w:val="21"/>
                      <w:u w:val="none"/>
                      <w:lang w:val="en-US" w:eastAsia="zh-CN" w:bidi="ar"/>
                    </w:rPr>
                    <w:t>除尘灰</w:t>
                  </w:r>
                </w:p>
              </w:tc>
              <w:tc>
                <w:tcPr>
                  <w:tcW w:w="882" w:type="pct"/>
                  <w:noWrap w:val="0"/>
                  <w:vAlign w:val="center"/>
                </w:tcPr>
                <w:p w14:paraId="6AFB251B">
                  <w:pPr>
                    <w:keepNext w:val="0"/>
                    <w:keepLines w:val="0"/>
                    <w:widowControl/>
                    <w:suppressLineNumbers w:val="0"/>
                    <w:jc w:val="center"/>
                    <w:textAlignment w:val="center"/>
                    <w:rPr>
                      <w:rFonts w:hint="default" w:ascii="Times New Roman" w:hAnsi="Times New Roman" w:eastAsia="宋体" w:cs="Times New Roman"/>
                      <w:i w:val="0"/>
                      <w:iCs w:val="0"/>
                      <w:color w:val="FF0000"/>
                      <w:kern w:val="0"/>
                      <w:sz w:val="21"/>
                      <w:szCs w:val="21"/>
                      <w:u w:val="none"/>
                      <w:lang w:val="en-US" w:eastAsia="zh-CN" w:bidi="ar"/>
                    </w:rPr>
                  </w:pPr>
                  <w:r>
                    <w:rPr>
                      <w:rFonts w:hint="default" w:ascii="Times New Roman" w:hAnsi="Times New Roman" w:eastAsia="宋体" w:cs="Times New Roman"/>
                      <w:i w:val="0"/>
                      <w:iCs w:val="0"/>
                      <w:color w:val="FF0000"/>
                      <w:kern w:val="0"/>
                      <w:sz w:val="21"/>
                      <w:szCs w:val="21"/>
                      <w:u w:val="none"/>
                      <w:lang w:val="en-US" w:eastAsia="zh-CN" w:bidi="ar"/>
                    </w:rPr>
                    <w:t>18.379</w:t>
                  </w:r>
                </w:p>
              </w:tc>
              <w:tc>
                <w:tcPr>
                  <w:tcW w:w="768" w:type="pct"/>
                  <w:noWrap w:val="0"/>
                  <w:vAlign w:val="center"/>
                </w:tcPr>
                <w:p w14:paraId="2C51FBC1">
                  <w:pPr>
                    <w:keepNext w:val="0"/>
                    <w:keepLines w:val="0"/>
                    <w:widowControl/>
                    <w:suppressLineNumbers w:val="0"/>
                    <w:jc w:val="center"/>
                    <w:textAlignment w:val="center"/>
                    <w:rPr>
                      <w:rFonts w:hint="default" w:ascii="Times New Roman" w:hAnsi="Times New Roman" w:eastAsia="宋体" w:cs="Times New Roman"/>
                      <w:i w:val="0"/>
                      <w:iCs w:val="0"/>
                      <w:color w:val="FF0000"/>
                      <w:kern w:val="0"/>
                      <w:sz w:val="21"/>
                      <w:szCs w:val="21"/>
                      <w:u w:val="none"/>
                      <w:lang w:val="en-US" w:eastAsia="zh-CN" w:bidi="ar"/>
                    </w:rPr>
                  </w:pPr>
                  <w:r>
                    <w:rPr>
                      <w:rFonts w:hint="eastAsia" w:ascii="Times New Roman" w:hAnsi="Times New Roman" w:eastAsia="宋体" w:cs="Times New Roman"/>
                      <w:i w:val="0"/>
                      <w:iCs w:val="0"/>
                      <w:color w:val="FF0000"/>
                      <w:kern w:val="0"/>
                      <w:sz w:val="21"/>
                      <w:szCs w:val="21"/>
                      <w:u w:val="none"/>
                      <w:lang w:val="en-US" w:eastAsia="zh-CN" w:bidi="ar"/>
                    </w:rPr>
                    <w:t>0</w:t>
                  </w:r>
                </w:p>
              </w:tc>
              <w:tc>
                <w:tcPr>
                  <w:tcW w:w="768" w:type="pct"/>
                  <w:noWrap w:val="0"/>
                  <w:vAlign w:val="center"/>
                </w:tcPr>
                <w:p w14:paraId="3A6699D5">
                  <w:pPr>
                    <w:keepNext w:val="0"/>
                    <w:keepLines w:val="0"/>
                    <w:widowControl/>
                    <w:suppressLineNumbers w:val="0"/>
                    <w:jc w:val="center"/>
                    <w:textAlignment w:val="center"/>
                    <w:rPr>
                      <w:rFonts w:hint="default" w:ascii="Times New Roman" w:hAnsi="Times New Roman" w:eastAsia="宋体" w:cs="Times New Roman"/>
                      <w:i w:val="0"/>
                      <w:iCs w:val="0"/>
                      <w:color w:val="FF0000"/>
                      <w:kern w:val="0"/>
                      <w:sz w:val="21"/>
                      <w:szCs w:val="21"/>
                      <w:u w:val="none"/>
                      <w:lang w:val="en-US" w:eastAsia="zh-CN" w:bidi="ar"/>
                    </w:rPr>
                  </w:pPr>
                  <w:r>
                    <w:rPr>
                      <w:rFonts w:hint="eastAsia" w:ascii="Times New Roman" w:hAnsi="Times New Roman" w:eastAsia="宋体" w:cs="Times New Roman"/>
                      <w:i w:val="0"/>
                      <w:iCs w:val="0"/>
                      <w:color w:val="FF0000"/>
                      <w:kern w:val="0"/>
                      <w:sz w:val="21"/>
                      <w:szCs w:val="21"/>
                      <w:u w:val="none"/>
                      <w:lang w:val="en-US" w:eastAsia="zh-CN" w:bidi="ar"/>
                    </w:rPr>
                    <w:t>0</w:t>
                  </w:r>
                </w:p>
              </w:tc>
              <w:tc>
                <w:tcPr>
                  <w:tcW w:w="753" w:type="pct"/>
                  <w:noWrap w:val="0"/>
                  <w:vAlign w:val="center"/>
                </w:tcPr>
                <w:p w14:paraId="00A6A1FC">
                  <w:pPr>
                    <w:keepNext w:val="0"/>
                    <w:keepLines w:val="0"/>
                    <w:widowControl/>
                    <w:suppressLineNumbers w:val="0"/>
                    <w:jc w:val="center"/>
                    <w:textAlignment w:val="center"/>
                    <w:rPr>
                      <w:rFonts w:hint="default" w:ascii="Times New Roman" w:hAnsi="Times New Roman" w:eastAsia="宋体" w:cs="Times New Roman"/>
                      <w:i w:val="0"/>
                      <w:iCs w:val="0"/>
                      <w:color w:val="FF0000"/>
                      <w:kern w:val="0"/>
                      <w:sz w:val="21"/>
                      <w:szCs w:val="21"/>
                      <w:u w:val="none"/>
                      <w:lang w:val="en-US" w:eastAsia="zh-CN" w:bidi="ar"/>
                    </w:rPr>
                  </w:pPr>
                  <w:r>
                    <w:rPr>
                      <w:rFonts w:hint="eastAsia" w:cs="Times New Roman"/>
                      <w:i w:val="0"/>
                      <w:iCs w:val="0"/>
                      <w:color w:val="FF0000"/>
                      <w:kern w:val="0"/>
                      <w:sz w:val="21"/>
                      <w:szCs w:val="21"/>
                      <w:u w:val="none"/>
                      <w:lang w:val="en-US" w:eastAsia="zh-CN" w:bidi="ar"/>
                    </w:rPr>
                    <w:t>/</w:t>
                  </w:r>
                </w:p>
              </w:tc>
            </w:tr>
            <w:tr w14:paraId="455C6BA3">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5" w:hRule="atLeast"/>
              </w:trPr>
              <w:tc>
                <w:tcPr>
                  <w:tcW w:w="304" w:type="pct"/>
                  <w:vMerge w:val="continue"/>
                  <w:noWrap w:val="0"/>
                  <w:vAlign w:val="center"/>
                </w:tcPr>
                <w:p w14:paraId="6841903E">
                  <w:pPr>
                    <w:keepNext w:val="0"/>
                    <w:keepLines w:val="0"/>
                    <w:widowControl/>
                    <w:suppressLineNumbers w:val="0"/>
                    <w:jc w:val="center"/>
                    <w:textAlignment w:val="center"/>
                    <w:rPr>
                      <w:rFonts w:hint="default" w:ascii="Times New Roman" w:hAnsi="Times New Roman" w:eastAsia="宋体" w:cs="Times New Roman"/>
                      <w:i w:val="0"/>
                      <w:iCs w:val="0"/>
                      <w:color w:val="FF0000"/>
                      <w:kern w:val="0"/>
                      <w:sz w:val="21"/>
                      <w:szCs w:val="21"/>
                      <w:u w:val="none"/>
                      <w:lang w:val="en-US" w:eastAsia="zh-CN" w:bidi="ar"/>
                    </w:rPr>
                  </w:pPr>
                </w:p>
              </w:tc>
              <w:tc>
                <w:tcPr>
                  <w:tcW w:w="420" w:type="pct"/>
                  <w:vMerge w:val="continue"/>
                  <w:noWrap w:val="0"/>
                  <w:vAlign w:val="center"/>
                </w:tcPr>
                <w:p w14:paraId="2E4B9AC2">
                  <w:pPr>
                    <w:keepNext w:val="0"/>
                    <w:keepLines w:val="0"/>
                    <w:widowControl/>
                    <w:suppressLineNumbers w:val="0"/>
                    <w:jc w:val="center"/>
                    <w:textAlignment w:val="center"/>
                    <w:rPr>
                      <w:rFonts w:hint="default" w:ascii="Times New Roman" w:hAnsi="Times New Roman" w:eastAsia="宋体" w:cs="Times New Roman"/>
                      <w:i w:val="0"/>
                      <w:iCs w:val="0"/>
                      <w:color w:val="FF0000"/>
                      <w:kern w:val="0"/>
                      <w:sz w:val="21"/>
                      <w:szCs w:val="21"/>
                      <w:u w:val="none"/>
                      <w:lang w:val="en-US" w:eastAsia="zh-CN" w:bidi="ar"/>
                    </w:rPr>
                  </w:pPr>
                </w:p>
              </w:tc>
              <w:tc>
                <w:tcPr>
                  <w:tcW w:w="1102" w:type="pct"/>
                  <w:noWrap w:val="0"/>
                  <w:vAlign w:val="center"/>
                </w:tcPr>
                <w:p w14:paraId="2FCE8DE8">
                  <w:pPr>
                    <w:keepNext w:val="0"/>
                    <w:keepLines w:val="0"/>
                    <w:widowControl/>
                    <w:suppressLineNumbers w:val="0"/>
                    <w:jc w:val="center"/>
                    <w:textAlignment w:val="center"/>
                    <w:rPr>
                      <w:rFonts w:hint="default" w:ascii="Times New Roman" w:hAnsi="Times New Roman" w:eastAsia="宋体" w:cs="Times New Roman"/>
                      <w:i w:val="0"/>
                      <w:iCs w:val="0"/>
                      <w:color w:val="FF0000"/>
                      <w:kern w:val="0"/>
                      <w:sz w:val="21"/>
                      <w:szCs w:val="21"/>
                      <w:u w:val="none"/>
                      <w:lang w:val="en-US" w:eastAsia="zh-CN" w:bidi="ar"/>
                    </w:rPr>
                  </w:pPr>
                  <w:r>
                    <w:rPr>
                      <w:rFonts w:hint="default" w:ascii="Times New Roman" w:hAnsi="Times New Roman" w:eastAsia="宋体" w:cs="Times New Roman"/>
                      <w:i w:val="0"/>
                      <w:iCs w:val="0"/>
                      <w:color w:val="FF0000"/>
                      <w:kern w:val="0"/>
                      <w:sz w:val="21"/>
                      <w:szCs w:val="21"/>
                      <w:u w:val="none"/>
                      <w:lang w:val="en-US" w:eastAsia="zh-CN" w:bidi="ar"/>
                    </w:rPr>
                    <w:t>落地粉尘</w:t>
                  </w:r>
                </w:p>
              </w:tc>
              <w:tc>
                <w:tcPr>
                  <w:tcW w:w="882" w:type="pct"/>
                  <w:noWrap w:val="0"/>
                  <w:vAlign w:val="center"/>
                </w:tcPr>
                <w:p w14:paraId="53F1EF1D">
                  <w:pPr>
                    <w:keepNext w:val="0"/>
                    <w:keepLines w:val="0"/>
                    <w:widowControl/>
                    <w:suppressLineNumbers w:val="0"/>
                    <w:jc w:val="center"/>
                    <w:textAlignment w:val="center"/>
                    <w:rPr>
                      <w:rFonts w:hint="default" w:ascii="Times New Roman" w:hAnsi="Times New Roman" w:eastAsia="宋体" w:cs="Times New Roman"/>
                      <w:i w:val="0"/>
                      <w:iCs w:val="0"/>
                      <w:color w:val="FF0000"/>
                      <w:kern w:val="0"/>
                      <w:sz w:val="21"/>
                      <w:szCs w:val="21"/>
                      <w:u w:val="none"/>
                      <w:lang w:val="en-US" w:eastAsia="zh-CN" w:bidi="ar"/>
                    </w:rPr>
                  </w:pPr>
                  <w:r>
                    <w:rPr>
                      <w:rFonts w:hint="eastAsia" w:ascii="Times New Roman" w:hAnsi="Times New Roman" w:eastAsia="宋体" w:cs="Times New Roman"/>
                      <w:i w:val="0"/>
                      <w:iCs w:val="0"/>
                      <w:color w:val="FF0000"/>
                      <w:kern w:val="0"/>
                      <w:sz w:val="21"/>
                      <w:szCs w:val="21"/>
                      <w:u w:val="none"/>
                      <w:lang w:val="en-US" w:eastAsia="zh-CN" w:bidi="ar"/>
                    </w:rPr>
                    <w:t>4.177</w:t>
                  </w:r>
                </w:p>
              </w:tc>
              <w:tc>
                <w:tcPr>
                  <w:tcW w:w="768" w:type="pct"/>
                  <w:noWrap w:val="0"/>
                  <w:vAlign w:val="center"/>
                </w:tcPr>
                <w:p w14:paraId="2C2C1918">
                  <w:pPr>
                    <w:keepNext w:val="0"/>
                    <w:keepLines w:val="0"/>
                    <w:widowControl/>
                    <w:suppressLineNumbers w:val="0"/>
                    <w:jc w:val="center"/>
                    <w:textAlignment w:val="center"/>
                    <w:rPr>
                      <w:rFonts w:hint="default" w:ascii="Times New Roman" w:hAnsi="Times New Roman" w:eastAsia="宋体" w:cs="Times New Roman"/>
                      <w:i w:val="0"/>
                      <w:iCs w:val="0"/>
                      <w:color w:val="FF0000"/>
                      <w:kern w:val="0"/>
                      <w:sz w:val="21"/>
                      <w:szCs w:val="21"/>
                      <w:u w:val="none"/>
                      <w:lang w:val="en-US" w:eastAsia="zh-CN" w:bidi="ar"/>
                    </w:rPr>
                  </w:pPr>
                  <w:r>
                    <w:rPr>
                      <w:rFonts w:hint="eastAsia" w:ascii="Times New Roman" w:hAnsi="Times New Roman" w:eastAsia="宋体" w:cs="Times New Roman"/>
                      <w:i w:val="0"/>
                      <w:iCs w:val="0"/>
                      <w:color w:val="FF0000"/>
                      <w:kern w:val="0"/>
                      <w:sz w:val="21"/>
                      <w:szCs w:val="21"/>
                      <w:u w:val="none"/>
                      <w:lang w:val="en-US" w:eastAsia="zh-CN" w:bidi="ar"/>
                    </w:rPr>
                    <w:t>0</w:t>
                  </w:r>
                </w:p>
              </w:tc>
              <w:tc>
                <w:tcPr>
                  <w:tcW w:w="768" w:type="pct"/>
                  <w:noWrap w:val="0"/>
                  <w:vAlign w:val="center"/>
                </w:tcPr>
                <w:p w14:paraId="0CF8AE99">
                  <w:pPr>
                    <w:keepNext w:val="0"/>
                    <w:keepLines w:val="0"/>
                    <w:widowControl/>
                    <w:suppressLineNumbers w:val="0"/>
                    <w:jc w:val="center"/>
                    <w:textAlignment w:val="center"/>
                    <w:rPr>
                      <w:rFonts w:hint="default" w:ascii="Times New Roman" w:hAnsi="Times New Roman" w:eastAsia="宋体" w:cs="Times New Roman"/>
                      <w:i w:val="0"/>
                      <w:iCs w:val="0"/>
                      <w:color w:val="FF0000"/>
                      <w:kern w:val="0"/>
                      <w:sz w:val="21"/>
                      <w:szCs w:val="21"/>
                      <w:u w:val="none"/>
                      <w:lang w:val="en-US" w:eastAsia="zh-CN" w:bidi="ar"/>
                    </w:rPr>
                  </w:pPr>
                  <w:r>
                    <w:rPr>
                      <w:rFonts w:hint="eastAsia" w:ascii="Times New Roman" w:hAnsi="Times New Roman" w:eastAsia="宋体" w:cs="Times New Roman"/>
                      <w:i w:val="0"/>
                      <w:iCs w:val="0"/>
                      <w:color w:val="FF0000"/>
                      <w:kern w:val="0"/>
                      <w:sz w:val="21"/>
                      <w:szCs w:val="21"/>
                      <w:u w:val="none"/>
                      <w:lang w:val="en-US" w:eastAsia="zh-CN" w:bidi="ar"/>
                    </w:rPr>
                    <w:t>0</w:t>
                  </w:r>
                </w:p>
              </w:tc>
              <w:tc>
                <w:tcPr>
                  <w:tcW w:w="753" w:type="pct"/>
                  <w:noWrap w:val="0"/>
                  <w:vAlign w:val="center"/>
                </w:tcPr>
                <w:p w14:paraId="3346ADA8">
                  <w:pPr>
                    <w:keepNext w:val="0"/>
                    <w:keepLines w:val="0"/>
                    <w:widowControl/>
                    <w:suppressLineNumbers w:val="0"/>
                    <w:jc w:val="center"/>
                    <w:textAlignment w:val="center"/>
                    <w:rPr>
                      <w:rFonts w:hint="default" w:ascii="Times New Roman" w:hAnsi="Times New Roman" w:eastAsia="宋体" w:cs="Times New Roman"/>
                      <w:i w:val="0"/>
                      <w:iCs w:val="0"/>
                      <w:color w:val="FF0000"/>
                      <w:kern w:val="0"/>
                      <w:sz w:val="21"/>
                      <w:szCs w:val="21"/>
                      <w:u w:val="none"/>
                      <w:lang w:val="en-US" w:eastAsia="zh-CN" w:bidi="ar"/>
                    </w:rPr>
                  </w:pPr>
                  <w:r>
                    <w:rPr>
                      <w:rFonts w:hint="eastAsia" w:cs="Times New Roman"/>
                      <w:i w:val="0"/>
                      <w:iCs w:val="0"/>
                      <w:color w:val="FF0000"/>
                      <w:kern w:val="0"/>
                      <w:sz w:val="21"/>
                      <w:szCs w:val="21"/>
                      <w:u w:val="none"/>
                      <w:lang w:val="en-US" w:eastAsia="zh-CN" w:bidi="ar"/>
                    </w:rPr>
                    <w:t>/</w:t>
                  </w:r>
                </w:p>
              </w:tc>
            </w:tr>
            <w:tr w14:paraId="737D736E">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04" w:type="pct"/>
                  <w:vMerge w:val="continue"/>
                  <w:noWrap w:val="0"/>
                  <w:vAlign w:val="center"/>
                </w:tcPr>
                <w:p w14:paraId="0C9D3D7B">
                  <w:pPr>
                    <w:keepNext w:val="0"/>
                    <w:keepLines w:val="0"/>
                    <w:widowControl/>
                    <w:suppressLineNumbers w:val="0"/>
                    <w:jc w:val="center"/>
                    <w:textAlignment w:val="center"/>
                    <w:rPr>
                      <w:rFonts w:hint="default" w:ascii="Times New Roman" w:hAnsi="Times New Roman" w:eastAsia="宋体" w:cs="Times New Roman"/>
                      <w:i w:val="0"/>
                      <w:iCs w:val="0"/>
                      <w:color w:val="FF0000"/>
                      <w:kern w:val="0"/>
                      <w:sz w:val="21"/>
                      <w:szCs w:val="21"/>
                      <w:u w:val="none"/>
                      <w:lang w:val="en-US" w:eastAsia="zh-CN" w:bidi="ar"/>
                    </w:rPr>
                  </w:pPr>
                </w:p>
              </w:tc>
              <w:tc>
                <w:tcPr>
                  <w:tcW w:w="420" w:type="pct"/>
                  <w:noWrap w:val="0"/>
                  <w:vAlign w:val="center"/>
                </w:tcPr>
                <w:p w14:paraId="052C032C">
                  <w:pPr>
                    <w:keepNext w:val="0"/>
                    <w:keepLines w:val="0"/>
                    <w:widowControl/>
                    <w:suppressLineNumbers w:val="0"/>
                    <w:jc w:val="center"/>
                    <w:textAlignment w:val="center"/>
                    <w:rPr>
                      <w:rFonts w:hint="eastAsia" w:ascii="Times New Roman" w:hAnsi="Times New Roman" w:eastAsia="宋体" w:cs="Times New Roman"/>
                      <w:i w:val="0"/>
                      <w:iCs w:val="0"/>
                      <w:color w:val="FF0000"/>
                      <w:kern w:val="0"/>
                      <w:sz w:val="21"/>
                      <w:szCs w:val="21"/>
                      <w:u w:val="none"/>
                      <w:lang w:val="en-US" w:eastAsia="zh-CN" w:bidi="ar"/>
                    </w:rPr>
                  </w:pPr>
                  <w:r>
                    <w:rPr>
                      <w:rFonts w:hint="eastAsia" w:ascii="Times New Roman" w:hAnsi="Times New Roman" w:eastAsia="宋体" w:cs="Times New Roman"/>
                      <w:i w:val="0"/>
                      <w:iCs w:val="0"/>
                      <w:color w:val="FF0000"/>
                      <w:kern w:val="0"/>
                      <w:sz w:val="21"/>
                      <w:szCs w:val="21"/>
                      <w:u w:val="none"/>
                      <w:lang w:val="en-US" w:eastAsia="zh-CN" w:bidi="ar"/>
                    </w:rPr>
                    <w:t>生活垃圾</w:t>
                  </w:r>
                </w:p>
              </w:tc>
              <w:tc>
                <w:tcPr>
                  <w:tcW w:w="1102" w:type="pct"/>
                  <w:noWrap w:val="0"/>
                  <w:vAlign w:val="center"/>
                </w:tcPr>
                <w:p w14:paraId="037AA81D">
                  <w:pPr>
                    <w:keepNext w:val="0"/>
                    <w:keepLines w:val="0"/>
                    <w:widowControl/>
                    <w:suppressLineNumbers w:val="0"/>
                    <w:jc w:val="center"/>
                    <w:textAlignment w:val="center"/>
                    <w:rPr>
                      <w:rFonts w:hint="default" w:ascii="Times New Roman" w:hAnsi="Times New Roman" w:eastAsia="宋体" w:cs="Times New Roman"/>
                      <w:i w:val="0"/>
                      <w:iCs w:val="0"/>
                      <w:color w:val="FF0000"/>
                      <w:kern w:val="0"/>
                      <w:sz w:val="21"/>
                      <w:szCs w:val="21"/>
                      <w:u w:val="none"/>
                      <w:lang w:val="en-US" w:eastAsia="zh-CN" w:bidi="ar"/>
                    </w:rPr>
                  </w:pPr>
                  <w:r>
                    <w:rPr>
                      <w:rFonts w:hint="eastAsia" w:ascii="Times New Roman" w:hAnsi="Times New Roman" w:eastAsia="宋体" w:cs="Times New Roman"/>
                      <w:i w:val="0"/>
                      <w:iCs w:val="0"/>
                      <w:color w:val="FF0000"/>
                      <w:kern w:val="0"/>
                      <w:sz w:val="21"/>
                      <w:szCs w:val="21"/>
                      <w:u w:val="none"/>
                      <w:lang w:val="en-US" w:eastAsia="zh-CN" w:bidi="ar"/>
                    </w:rPr>
                    <w:t>生活垃圾</w:t>
                  </w:r>
                </w:p>
              </w:tc>
              <w:tc>
                <w:tcPr>
                  <w:tcW w:w="882" w:type="pct"/>
                  <w:noWrap w:val="0"/>
                  <w:vAlign w:val="center"/>
                </w:tcPr>
                <w:p w14:paraId="45EA9F43">
                  <w:pPr>
                    <w:keepNext w:val="0"/>
                    <w:keepLines w:val="0"/>
                    <w:widowControl/>
                    <w:suppressLineNumbers w:val="0"/>
                    <w:jc w:val="center"/>
                    <w:textAlignment w:val="center"/>
                    <w:rPr>
                      <w:rFonts w:hint="default" w:ascii="Times New Roman" w:hAnsi="Times New Roman" w:eastAsia="宋体" w:cs="Times New Roman"/>
                      <w:i w:val="0"/>
                      <w:iCs w:val="0"/>
                      <w:color w:val="FF0000"/>
                      <w:kern w:val="0"/>
                      <w:sz w:val="21"/>
                      <w:szCs w:val="21"/>
                      <w:u w:val="none"/>
                      <w:lang w:val="en-US" w:eastAsia="zh-CN" w:bidi="ar"/>
                    </w:rPr>
                  </w:pPr>
                  <w:r>
                    <w:rPr>
                      <w:rFonts w:hint="eastAsia" w:ascii="Times New Roman" w:hAnsi="Times New Roman" w:eastAsia="宋体" w:cs="Times New Roman"/>
                      <w:i w:val="0"/>
                      <w:iCs w:val="0"/>
                      <w:color w:val="FF0000"/>
                      <w:kern w:val="0"/>
                      <w:sz w:val="21"/>
                      <w:szCs w:val="21"/>
                      <w:u w:val="none"/>
                      <w:lang w:val="en-US" w:eastAsia="zh-CN" w:bidi="ar"/>
                    </w:rPr>
                    <w:t>2.25</w:t>
                  </w:r>
                </w:p>
              </w:tc>
              <w:tc>
                <w:tcPr>
                  <w:tcW w:w="768" w:type="pct"/>
                  <w:noWrap w:val="0"/>
                  <w:vAlign w:val="center"/>
                </w:tcPr>
                <w:p w14:paraId="0DEBF36F">
                  <w:pPr>
                    <w:keepNext w:val="0"/>
                    <w:keepLines w:val="0"/>
                    <w:widowControl/>
                    <w:suppressLineNumbers w:val="0"/>
                    <w:jc w:val="center"/>
                    <w:textAlignment w:val="center"/>
                    <w:rPr>
                      <w:rFonts w:hint="eastAsia" w:ascii="Times New Roman" w:hAnsi="Times New Roman" w:eastAsia="宋体" w:cs="Times New Roman"/>
                      <w:i w:val="0"/>
                      <w:iCs w:val="0"/>
                      <w:color w:val="FF0000"/>
                      <w:kern w:val="0"/>
                      <w:sz w:val="21"/>
                      <w:szCs w:val="21"/>
                      <w:u w:val="none"/>
                      <w:lang w:val="en-US" w:eastAsia="zh-CN" w:bidi="ar"/>
                    </w:rPr>
                  </w:pPr>
                  <w:r>
                    <w:rPr>
                      <w:rFonts w:hint="eastAsia" w:ascii="Times New Roman" w:hAnsi="Times New Roman" w:eastAsia="宋体" w:cs="Times New Roman"/>
                      <w:i w:val="0"/>
                      <w:iCs w:val="0"/>
                      <w:color w:val="FF0000"/>
                      <w:kern w:val="0"/>
                      <w:sz w:val="21"/>
                      <w:szCs w:val="21"/>
                      <w:u w:val="none"/>
                      <w:lang w:val="en-US" w:eastAsia="zh-CN" w:bidi="ar"/>
                    </w:rPr>
                    <w:t>0</w:t>
                  </w:r>
                </w:p>
              </w:tc>
              <w:tc>
                <w:tcPr>
                  <w:tcW w:w="768" w:type="pct"/>
                  <w:noWrap w:val="0"/>
                  <w:vAlign w:val="center"/>
                </w:tcPr>
                <w:p w14:paraId="37573CB9">
                  <w:pPr>
                    <w:keepNext w:val="0"/>
                    <w:keepLines w:val="0"/>
                    <w:widowControl/>
                    <w:suppressLineNumbers w:val="0"/>
                    <w:jc w:val="center"/>
                    <w:textAlignment w:val="center"/>
                    <w:rPr>
                      <w:rFonts w:hint="default" w:ascii="Times New Roman" w:hAnsi="Times New Roman" w:eastAsia="宋体" w:cs="Times New Roman"/>
                      <w:i w:val="0"/>
                      <w:iCs w:val="0"/>
                      <w:color w:val="FF0000"/>
                      <w:kern w:val="0"/>
                      <w:sz w:val="21"/>
                      <w:szCs w:val="21"/>
                      <w:u w:val="none"/>
                      <w:lang w:val="en-US" w:eastAsia="zh-CN" w:bidi="ar"/>
                    </w:rPr>
                  </w:pPr>
                  <w:r>
                    <w:rPr>
                      <w:rFonts w:hint="eastAsia" w:ascii="Times New Roman" w:hAnsi="Times New Roman" w:eastAsia="宋体" w:cs="Times New Roman"/>
                      <w:i w:val="0"/>
                      <w:iCs w:val="0"/>
                      <w:color w:val="FF0000"/>
                      <w:kern w:val="0"/>
                      <w:sz w:val="21"/>
                      <w:szCs w:val="21"/>
                      <w:u w:val="none"/>
                      <w:lang w:val="en-US" w:eastAsia="zh-CN" w:bidi="ar"/>
                    </w:rPr>
                    <w:t>0</w:t>
                  </w:r>
                </w:p>
              </w:tc>
              <w:tc>
                <w:tcPr>
                  <w:tcW w:w="753" w:type="pct"/>
                  <w:noWrap w:val="0"/>
                  <w:vAlign w:val="center"/>
                </w:tcPr>
                <w:p w14:paraId="6C32C489">
                  <w:pPr>
                    <w:keepNext w:val="0"/>
                    <w:keepLines w:val="0"/>
                    <w:widowControl/>
                    <w:suppressLineNumbers w:val="0"/>
                    <w:jc w:val="center"/>
                    <w:textAlignment w:val="center"/>
                    <w:rPr>
                      <w:rFonts w:hint="default" w:ascii="Times New Roman" w:hAnsi="Times New Roman" w:eastAsia="宋体" w:cs="Times New Roman"/>
                      <w:i w:val="0"/>
                      <w:iCs w:val="0"/>
                      <w:color w:val="FF0000"/>
                      <w:kern w:val="0"/>
                      <w:sz w:val="21"/>
                      <w:szCs w:val="21"/>
                      <w:u w:val="none"/>
                      <w:lang w:val="en-US" w:eastAsia="zh-CN" w:bidi="ar"/>
                    </w:rPr>
                  </w:pPr>
                  <w:r>
                    <w:rPr>
                      <w:rFonts w:hint="eastAsia" w:cs="Times New Roman"/>
                      <w:i w:val="0"/>
                      <w:iCs w:val="0"/>
                      <w:color w:val="FF0000"/>
                      <w:kern w:val="0"/>
                      <w:sz w:val="21"/>
                      <w:szCs w:val="21"/>
                      <w:u w:val="none"/>
                      <w:lang w:val="en-US" w:eastAsia="zh-CN" w:bidi="ar"/>
                    </w:rPr>
                    <w:t>/</w:t>
                  </w:r>
                </w:p>
              </w:tc>
            </w:tr>
            <w:tr w14:paraId="31DA35F5">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04" w:type="pct"/>
                  <w:vMerge w:val="continue"/>
                  <w:noWrap w:val="0"/>
                  <w:vAlign w:val="center"/>
                </w:tcPr>
                <w:p w14:paraId="7B9CB0CF">
                  <w:pPr>
                    <w:keepNext w:val="0"/>
                    <w:keepLines w:val="0"/>
                    <w:widowControl/>
                    <w:suppressLineNumbers w:val="0"/>
                    <w:jc w:val="center"/>
                    <w:textAlignment w:val="center"/>
                    <w:rPr>
                      <w:rFonts w:hint="default" w:ascii="Times New Roman" w:hAnsi="Times New Roman" w:eastAsia="宋体" w:cs="Times New Roman"/>
                      <w:i w:val="0"/>
                      <w:iCs w:val="0"/>
                      <w:color w:val="FF0000"/>
                      <w:kern w:val="0"/>
                      <w:sz w:val="21"/>
                      <w:szCs w:val="21"/>
                      <w:u w:val="none"/>
                      <w:lang w:val="en-US" w:eastAsia="zh-CN" w:bidi="ar"/>
                    </w:rPr>
                  </w:pPr>
                </w:p>
              </w:tc>
              <w:tc>
                <w:tcPr>
                  <w:tcW w:w="420" w:type="pct"/>
                  <w:vMerge w:val="restart"/>
                  <w:noWrap w:val="0"/>
                  <w:vAlign w:val="center"/>
                </w:tcPr>
                <w:p w14:paraId="1238745F">
                  <w:pPr>
                    <w:keepNext w:val="0"/>
                    <w:keepLines w:val="0"/>
                    <w:widowControl/>
                    <w:suppressLineNumbers w:val="0"/>
                    <w:jc w:val="center"/>
                    <w:textAlignment w:val="center"/>
                    <w:rPr>
                      <w:rFonts w:hint="default" w:ascii="Times New Roman" w:hAnsi="Times New Roman" w:eastAsia="宋体" w:cs="Times New Roman"/>
                      <w:i w:val="0"/>
                      <w:iCs w:val="0"/>
                      <w:color w:val="FF0000"/>
                      <w:kern w:val="0"/>
                      <w:sz w:val="21"/>
                      <w:szCs w:val="21"/>
                      <w:u w:val="none"/>
                      <w:lang w:val="en-US" w:eastAsia="zh-CN" w:bidi="ar"/>
                    </w:rPr>
                  </w:pPr>
                  <w:r>
                    <w:rPr>
                      <w:rFonts w:hint="eastAsia" w:ascii="Times New Roman" w:hAnsi="Times New Roman" w:eastAsia="宋体" w:cs="Times New Roman"/>
                      <w:i w:val="0"/>
                      <w:iCs w:val="0"/>
                      <w:color w:val="FF0000"/>
                      <w:kern w:val="0"/>
                      <w:sz w:val="21"/>
                      <w:szCs w:val="21"/>
                      <w:u w:val="none"/>
                      <w:lang w:val="en-US" w:eastAsia="zh-CN" w:bidi="ar"/>
                    </w:rPr>
                    <w:t>危险废物</w:t>
                  </w:r>
                </w:p>
              </w:tc>
              <w:tc>
                <w:tcPr>
                  <w:tcW w:w="1102" w:type="pct"/>
                  <w:noWrap w:val="0"/>
                  <w:vAlign w:val="center"/>
                </w:tcPr>
                <w:p w14:paraId="66D90DE3">
                  <w:pPr>
                    <w:keepNext w:val="0"/>
                    <w:keepLines w:val="0"/>
                    <w:widowControl/>
                    <w:suppressLineNumbers w:val="0"/>
                    <w:jc w:val="center"/>
                    <w:textAlignment w:val="center"/>
                    <w:rPr>
                      <w:rFonts w:hint="default" w:ascii="Times New Roman" w:hAnsi="Times New Roman" w:eastAsia="宋体" w:cs="Times New Roman"/>
                      <w:i w:val="0"/>
                      <w:iCs w:val="0"/>
                      <w:color w:val="FF0000"/>
                      <w:kern w:val="0"/>
                      <w:sz w:val="21"/>
                      <w:szCs w:val="21"/>
                      <w:u w:val="none"/>
                      <w:lang w:val="en-US" w:eastAsia="zh-CN" w:bidi="ar"/>
                    </w:rPr>
                  </w:pPr>
                  <w:r>
                    <w:rPr>
                      <w:rFonts w:hint="default" w:ascii="Times New Roman" w:hAnsi="Times New Roman" w:eastAsia="宋体" w:cs="Times New Roman"/>
                      <w:i w:val="0"/>
                      <w:iCs w:val="0"/>
                      <w:color w:val="FF0000"/>
                      <w:kern w:val="0"/>
                      <w:sz w:val="21"/>
                      <w:szCs w:val="21"/>
                      <w:u w:val="none"/>
                      <w:lang w:val="en-US" w:eastAsia="zh-CN" w:bidi="ar"/>
                    </w:rPr>
                    <w:t>废液化气罐</w:t>
                  </w:r>
                </w:p>
              </w:tc>
              <w:tc>
                <w:tcPr>
                  <w:tcW w:w="882" w:type="pct"/>
                  <w:shd w:val="clear" w:color="auto" w:fill="auto"/>
                  <w:noWrap w:val="0"/>
                  <w:vAlign w:val="center"/>
                </w:tcPr>
                <w:p w14:paraId="284368B6">
                  <w:pPr>
                    <w:keepNext w:val="0"/>
                    <w:keepLines w:val="0"/>
                    <w:widowControl/>
                    <w:suppressLineNumbers w:val="0"/>
                    <w:jc w:val="center"/>
                    <w:textAlignment w:val="center"/>
                    <w:rPr>
                      <w:rFonts w:hint="default" w:ascii="Times New Roman" w:hAnsi="Times New Roman" w:eastAsia="宋体" w:cs="Times New Roman"/>
                      <w:i w:val="0"/>
                      <w:iCs w:val="0"/>
                      <w:color w:val="FF0000"/>
                      <w:kern w:val="0"/>
                      <w:sz w:val="21"/>
                      <w:szCs w:val="21"/>
                      <w:u w:val="none"/>
                      <w:lang w:val="en-US" w:eastAsia="zh-CN" w:bidi="ar"/>
                    </w:rPr>
                  </w:pPr>
                  <w:r>
                    <w:rPr>
                      <w:rFonts w:hint="default" w:ascii="Times New Roman" w:hAnsi="Times New Roman" w:eastAsia="宋体" w:cs="Times New Roman"/>
                      <w:i w:val="0"/>
                      <w:iCs w:val="0"/>
                      <w:color w:val="FF0000"/>
                      <w:kern w:val="0"/>
                      <w:sz w:val="21"/>
                      <w:szCs w:val="21"/>
                      <w:u w:val="none"/>
                      <w:lang w:val="en-US" w:eastAsia="zh-CN" w:bidi="ar"/>
                    </w:rPr>
                    <w:t>74.71</w:t>
                  </w:r>
                </w:p>
              </w:tc>
              <w:tc>
                <w:tcPr>
                  <w:tcW w:w="768" w:type="pct"/>
                  <w:noWrap w:val="0"/>
                  <w:vAlign w:val="center"/>
                </w:tcPr>
                <w:p w14:paraId="28D79444">
                  <w:pPr>
                    <w:keepNext w:val="0"/>
                    <w:keepLines w:val="0"/>
                    <w:widowControl/>
                    <w:suppressLineNumbers w:val="0"/>
                    <w:jc w:val="center"/>
                    <w:textAlignment w:val="center"/>
                    <w:rPr>
                      <w:rFonts w:hint="eastAsia" w:ascii="Times New Roman" w:hAnsi="Times New Roman" w:eastAsia="宋体" w:cs="Times New Roman"/>
                      <w:i w:val="0"/>
                      <w:iCs w:val="0"/>
                      <w:color w:val="FF0000"/>
                      <w:kern w:val="0"/>
                      <w:sz w:val="21"/>
                      <w:szCs w:val="21"/>
                      <w:u w:val="none"/>
                      <w:lang w:val="en-US" w:eastAsia="zh-CN" w:bidi="ar"/>
                    </w:rPr>
                  </w:pPr>
                  <w:r>
                    <w:rPr>
                      <w:rFonts w:hint="eastAsia" w:ascii="Times New Roman" w:hAnsi="Times New Roman" w:eastAsia="宋体" w:cs="Times New Roman"/>
                      <w:i w:val="0"/>
                      <w:iCs w:val="0"/>
                      <w:color w:val="FF0000"/>
                      <w:kern w:val="0"/>
                      <w:sz w:val="21"/>
                      <w:szCs w:val="21"/>
                      <w:u w:val="none"/>
                      <w:lang w:val="en-US" w:eastAsia="zh-CN" w:bidi="ar"/>
                    </w:rPr>
                    <w:t>0</w:t>
                  </w:r>
                </w:p>
              </w:tc>
              <w:tc>
                <w:tcPr>
                  <w:tcW w:w="768" w:type="pct"/>
                  <w:noWrap w:val="0"/>
                  <w:vAlign w:val="center"/>
                </w:tcPr>
                <w:p w14:paraId="22DBDA4E">
                  <w:pPr>
                    <w:keepNext w:val="0"/>
                    <w:keepLines w:val="0"/>
                    <w:widowControl/>
                    <w:suppressLineNumbers w:val="0"/>
                    <w:jc w:val="center"/>
                    <w:textAlignment w:val="center"/>
                    <w:rPr>
                      <w:rFonts w:hint="default" w:ascii="Times New Roman" w:hAnsi="Times New Roman" w:eastAsia="宋体" w:cs="Times New Roman"/>
                      <w:i w:val="0"/>
                      <w:iCs w:val="0"/>
                      <w:color w:val="FF0000"/>
                      <w:kern w:val="0"/>
                      <w:sz w:val="21"/>
                      <w:szCs w:val="21"/>
                      <w:u w:val="none"/>
                      <w:lang w:val="en-US" w:eastAsia="zh-CN" w:bidi="ar"/>
                    </w:rPr>
                  </w:pPr>
                  <w:r>
                    <w:rPr>
                      <w:rFonts w:hint="eastAsia" w:ascii="Times New Roman" w:hAnsi="Times New Roman" w:eastAsia="宋体" w:cs="Times New Roman"/>
                      <w:i w:val="0"/>
                      <w:iCs w:val="0"/>
                      <w:color w:val="FF0000"/>
                      <w:kern w:val="0"/>
                      <w:sz w:val="21"/>
                      <w:szCs w:val="21"/>
                      <w:u w:val="none"/>
                      <w:lang w:val="en-US" w:eastAsia="zh-CN" w:bidi="ar"/>
                    </w:rPr>
                    <w:t>0</w:t>
                  </w:r>
                </w:p>
              </w:tc>
              <w:tc>
                <w:tcPr>
                  <w:tcW w:w="753" w:type="pct"/>
                  <w:noWrap w:val="0"/>
                  <w:vAlign w:val="center"/>
                </w:tcPr>
                <w:p w14:paraId="7B8E5CB6">
                  <w:pPr>
                    <w:keepNext w:val="0"/>
                    <w:keepLines w:val="0"/>
                    <w:widowControl/>
                    <w:suppressLineNumbers w:val="0"/>
                    <w:jc w:val="center"/>
                    <w:textAlignment w:val="center"/>
                    <w:rPr>
                      <w:rFonts w:hint="default" w:ascii="Times New Roman" w:hAnsi="Times New Roman" w:eastAsia="宋体" w:cs="Times New Roman"/>
                      <w:i w:val="0"/>
                      <w:iCs w:val="0"/>
                      <w:color w:val="FF0000"/>
                      <w:kern w:val="0"/>
                      <w:sz w:val="21"/>
                      <w:szCs w:val="21"/>
                      <w:u w:val="none"/>
                      <w:lang w:val="en-US" w:eastAsia="zh-CN" w:bidi="ar"/>
                    </w:rPr>
                  </w:pPr>
                  <w:r>
                    <w:rPr>
                      <w:rFonts w:hint="eastAsia" w:cs="Times New Roman"/>
                      <w:i w:val="0"/>
                      <w:iCs w:val="0"/>
                      <w:color w:val="FF0000"/>
                      <w:kern w:val="0"/>
                      <w:sz w:val="21"/>
                      <w:szCs w:val="21"/>
                      <w:u w:val="none"/>
                      <w:lang w:val="en-US" w:eastAsia="zh-CN" w:bidi="ar"/>
                    </w:rPr>
                    <w:t>/</w:t>
                  </w:r>
                </w:p>
              </w:tc>
            </w:tr>
            <w:tr w14:paraId="3CFF1175">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04" w:type="pct"/>
                  <w:vMerge w:val="continue"/>
                  <w:noWrap w:val="0"/>
                  <w:vAlign w:val="center"/>
                </w:tcPr>
                <w:p w14:paraId="05925D75">
                  <w:pPr>
                    <w:keepNext w:val="0"/>
                    <w:keepLines w:val="0"/>
                    <w:widowControl/>
                    <w:suppressLineNumbers w:val="0"/>
                    <w:jc w:val="center"/>
                    <w:textAlignment w:val="center"/>
                    <w:rPr>
                      <w:rFonts w:hint="default" w:ascii="Times New Roman" w:hAnsi="Times New Roman" w:eastAsia="宋体" w:cs="Times New Roman"/>
                      <w:i w:val="0"/>
                      <w:iCs w:val="0"/>
                      <w:color w:val="FF0000"/>
                      <w:kern w:val="0"/>
                      <w:sz w:val="21"/>
                      <w:szCs w:val="21"/>
                      <w:u w:val="none"/>
                      <w:lang w:val="en-US" w:eastAsia="zh-CN" w:bidi="ar"/>
                    </w:rPr>
                  </w:pPr>
                </w:p>
              </w:tc>
              <w:tc>
                <w:tcPr>
                  <w:tcW w:w="420" w:type="pct"/>
                  <w:vMerge w:val="continue"/>
                  <w:noWrap w:val="0"/>
                  <w:vAlign w:val="center"/>
                </w:tcPr>
                <w:p w14:paraId="4E4D0E93">
                  <w:pPr>
                    <w:keepNext w:val="0"/>
                    <w:keepLines w:val="0"/>
                    <w:widowControl/>
                    <w:suppressLineNumbers w:val="0"/>
                    <w:jc w:val="center"/>
                    <w:textAlignment w:val="center"/>
                    <w:rPr>
                      <w:rFonts w:hint="default" w:ascii="Times New Roman" w:hAnsi="Times New Roman" w:eastAsia="宋体" w:cs="Times New Roman"/>
                      <w:i w:val="0"/>
                      <w:iCs w:val="0"/>
                      <w:color w:val="FF0000"/>
                      <w:kern w:val="0"/>
                      <w:sz w:val="21"/>
                      <w:szCs w:val="21"/>
                      <w:u w:val="none"/>
                      <w:lang w:val="en-US" w:eastAsia="zh-CN" w:bidi="ar"/>
                    </w:rPr>
                  </w:pPr>
                </w:p>
              </w:tc>
              <w:tc>
                <w:tcPr>
                  <w:tcW w:w="1102" w:type="pct"/>
                  <w:noWrap w:val="0"/>
                  <w:vAlign w:val="center"/>
                </w:tcPr>
                <w:p w14:paraId="358F9862">
                  <w:pPr>
                    <w:keepNext w:val="0"/>
                    <w:keepLines w:val="0"/>
                    <w:widowControl/>
                    <w:suppressLineNumbers w:val="0"/>
                    <w:jc w:val="center"/>
                    <w:textAlignment w:val="center"/>
                    <w:rPr>
                      <w:rFonts w:hint="default" w:ascii="Times New Roman" w:hAnsi="Times New Roman" w:eastAsia="宋体" w:cs="Times New Roman"/>
                      <w:i w:val="0"/>
                      <w:iCs w:val="0"/>
                      <w:color w:val="FF0000"/>
                      <w:kern w:val="0"/>
                      <w:sz w:val="21"/>
                      <w:szCs w:val="21"/>
                      <w:u w:val="none"/>
                      <w:lang w:val="en-US" w:eastAsia="zh-CN" w:bidi="ar"/>
                    </w:rPr>
                  </w:pPr>
                  <w:r>
                    <w:rPr>
                      <w:rFonts w:hint="default" w:ascii="Times New Roman" w:hAnsi="Times New Roman" w:eastAsia="宋体" w:cs="Times New Roman"/>
                      <w:i w:val="0"/>
                      <w:iCs w:val="0"/>
                      <w:color w:val="FF0000"/>
                      <w:kern w:val="0"/>
                      <w:sz w:val="21"/>
                      <w:szCs w:val="21"/>
                      <w:u w:val="none"/>
                      <w:lang w:val="en-US" w:eastAsia="zh-CN" w:bidi="ar"/>
                    </w:rPr>
                    <w:t>废制冷剂</w:t>
                  </w:r>
                </w:p>
              </w:tc>
              <w:tc>
                <w:tcPr>
                  <w:tcW w:w="882" w:type="pct"/>
                  <w:shd w:val="clear" w:color="auto" w:fill="auto"/>
                  <w:noWrap w:val="0"/>
                  <w:vAlign w:val="center"/>
                </w:tcPr>
                <w:p w14:paraId="51DAAA70">
                  <w:pPr>
                    <w:keepNext w:val="0"/>
                    <w:keepLines w:val="0"/>
                    <w:widowControl/>
                    <w:suppressLineNumbers w:val="0"/>
                    <w:jc w:val="center"/>
                    <w:textAlignment w:val="center"/>
                    <w:rPr>
                      <w:rFonts w:hint="default" w:ascii="Times New Roman" w:hAnsi="Times New Roman" w:eastAsia="宋体" w:cs="Times New Roman"/>
                      <w:i w:val="0"/>
                      <w:iCs w:val="0"/>
                      <w:color w:val="FF0000"/>
                      <w:kern w:val="0"/>
                      <w:sz w:val="21"/>
                      <w:szCs w:val="21"/>
                      <w:u w:val="none"/>
                      <w:lang w:val="en-US" w:eastAsia="zh-CN" w:bidi="ar"/>
                    </w:rPr>
                  </w:pPr>
                  <w:r>
                    <w:rPr>
                      <w:rFonts w:hint="default" w:ascii="Times New Roman" w:hAnsi="Times New Roman" w:eastAsia="宋体" w:cs="Times New Roman"/>
                      <w:i w:val="0"/>
                      <w:iCs w:val="0"/>
                      <w:color w:val="FF0000"/>
                      <w:kern w:val="0"/>
                      <w:sz w:val="21"/>
                      <w:szCs w:val="21"/>
                      <w:u w:val="none"/>
                      <w:lang w:val="en-US" w:eastAsia="zh-CN" w:bidi="ar"/>
                    </w:rPr>
                    <w:t>2.78</w:t>
                  </w:r>
                </w:p>
              </w:tc>
              <w:tc>
                <w:tcPr>
                  <w:tcW w:w="768" w:type="pct"/>
                  <w:noWrap w:val="0"/>
                  <w:vAlign w:val="center"/>
                </w:tcPr>
                <w:p w14:paraId="259DEA84">
                  <w:pPr>
                    <w:keepNext w:val="0"/>
                    <w:keepLines w:val="0"/>
                    <w:widowControl/>
                    <w:suppressLineNumbers w:val="0"/>
                    <w:jc w:val="center"/>
                    <w:textAlignment w:val="center"/>
                    <w:rPr>
                      <w:rFonts w:hint="eastAsia" w:ascii="Times New Roman" w:hAnsi="Times New Roman" w:eastAsia="宋体" w:cs="Times New Roman"/>
                      <w:i w:val="0"/>
                      <w:iCs w:val="0"/>
                      <w:color w:val="FF0000"/>
                      <w:kern w:val="0"/>
                      <w:sz w:val="21"/>
                      <w:szCs w:val="21"/>
                      <w:u w:val="none"/>
                      <w:lang w:val="en-US" w:eastAsia="zh-CN" w:bidi="ar"/>
                    </w:rPr>
                  </w:pPr>
                  <w:r>
                    <w:rPr>
                      <w:rFonts w:hint="eastAsia" w:ascii="Times New Roman" w:hAnsi="Times New Roman" w:eastAsia="宋体" w:cs="Times New Roman"/>
                      <w:i w:val="0"/>
                      <w:iCs w:val="0"/>
                      <w:color w:val="FF0000"/>
                      <w:kern w:val="0"/>
                      <w:sz w:val="21"/>
                      <w:szCs w:val="21"/>
                      <w:u w:val="none"/>
                      <w:lang w:val="en-US" w:eastAsia="zh-CN" w:bidi="ar"/>
                    </w:rPr>
                    <w:t>0</w:t>
                  </w:r>
                </w:p>
              </w:tc>
              <w:tc>
                <w:tcPr>
                  <w:tcW w:w="768" w:type="pct"/>
                  <w:noWrap w:val="0"/>
                  <w:vAlign w:val="center"/>
                </w:tcPr>
                <w:p w14:paraId="4F596AC0">
                  <w:pPr>
                    <w:keepNext w:val="0"/>
                    <w:keepLines w:val="0"/>
                    <w:widowControl/>
                    <w:suppressLineNumbers w:val="0"/>
                    <w:jc w:val="center"/>
                    <w:textAlignment w:val="center"/>
                    <w:rPr>
                      <w:rFonts w:hint="default" w:ascii="Times New Roman" w:hAnsi="Times New Roman" w:eastAsia="宋体" w:cs="Times New Roman"/>
                      <w:i w:val="0"/>
                      <w:iCs w:val="0"/>
                      <w:color w:val="FF0000"/>
                      <w:kern w:val="0"/>
                      <w:sz w:val="21"/>
                      <w:szCs w:val="21"/>
                      <w:u w:val="none"/>
                      <w:lang w:val="en-US" w:eastAsia="zh-CN" w:bidi="ar"/>
                    </w:rPr>
                  </w:pPr>
                  <w:r>
                    <w:rPr>
                      <w:rFonts w:hint="eastAsia" w:ascii="Times New Roman" w:hAnsi="Times New Roman" w:eastAsia="宋体" w:cs="Times New Roman"/>
                      <w:i w:val="0"/>
                      <w:iCs w:val="0"/>
                      <w:color w:val="FF0000"/>
                      <w:kern w:val="0"/>
                      <w:sz w:val="21"/>
                      <w:szCs w:val="21"/>
                      <w:u w:val="none"/>
                      <w:lang w:val="en-US" w:eastAsia="zh-CN" w:bidi="ar"/>
                    </w:rPr>
                    <w:t>0</w:t>
                  </w:r>
                </w:p>
              </w:tc>
              <w:tc>
                <w:tcPr>
                  <w:tcW w:w="753" w:type="pct"/>
                  <w:noWrap w:val="0"/>
                  <w:vAlign w:val="center"/>
                </w:tcPr>
                <w:p w14:paraId="2423465F">
                  <w:pPr>
                    <w:keepNext w:val="0"/>
                    <w:keepLines w:val="0"/>
                    <w:widowControl/>
                    <w:suppressLineNumbers w:val="0"/>
                    <w:jc w:val="center"/>
                    <w:textAlignment w:val="center"/>
                    <w:rPr>
                      <w:rFonts w:hint="default" w:ascii="Times New Roman" w:hAnsi="Times New Roman" w:eastAsia="宋体" w:cs="Times New Roman"/>
                      <w:i w:val="0"/>
                      <w:iCs w:val="0"/>
                      <w:color w:val="FF0000"/>
                      <w:kern w:val="0"/>
                      <w:sz w:val="21"/>
                      <w:szCs w:val="21"/>
                      <w:u w:val="none"/>
                      <w:lang w:val="en-US" w:eastAsia="zh-CN" w:bidi="ar"/>
                    </w:rPr>
                  </w:pPr>
                  <w:r>
                    <w:rPr>
                      <w:rFonts w:hint="eastAsia" w:cs="Times New Roman"/>
                      <w:i w:val="0"/>
                      <w:iCs w:val="0"/>
                      <w:color w:val="FF0000"/>
                      <w:kern w:val="0"/>
                      <w:sz w:val="21"/>
                      <w:szCs w:val="21"/>
                      <w:u w:val="none"/>
                      <w:lang w:val="en-US" w:eastAsia="zh-CN" w:bidi="ar"/>
                    </w:rPr>
                    <w:t>/</w:t>
                  </w:r>
                </w:p>
              </w:tc>
            </w:tr>
            <w:tr w14:paraId="106E62F5">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04" w:type="pct"/>
                  <w:vMerge w:val="continue"/>
                  <w:noWrap w:val="0"/>
                  <w:vAlign w:val="center"/>
                </w:tcPr>
                <w:p w14:paraId="14BC78E3">
                  <w:pPr>
                    <w:keepNext w:val="0"/>
                    <w:keepLines w:val="0"/>
                    <w:widowControl/>
                    <w:suppressLineNumbers w:val="0"/>
                    <w:jc w:val="center"/>
                    <w:textAlignment w:val="center"/>
                    <w:rPr>
                      <w:rFonts w:hint="default" w:ascii="Times New Roman" w:hAnsi="Times New Roman" w:eastAsia="宋体" w:cs="Times New Roman"/>
                      <w:i w:val="0"/>
                      <w:iCs w:val="0"/>
                      <w:color w:val="FF0000"/>
                      <w:kern w:val="0"/>
                      <w:sz w:val="21"/>
                      <w:szCs w:val="21"/>
                      <w:u w:val="none"/>
                      <w:lang w:val="en-US" w:eastAsia="zh-CN" w:bidi="ar"/>
                    </w:rPr>
                  </w:pPr>
                </w:p>
              </w:tc>
              <w:tc>
                <w:tcPr>
                  <w:tcW w:w="420" w:type="pct"/>
                  <w:vMerge w:val="continue"/>
                  <w:noWrap w:val="0"/>
                  <w:vAlign w:val="center"/>
                </w:tcPr>
                <w:p w14:paraId="0254ECE9">
                  <w:pPr>
                    <w:keepNext w:val="0"/>
                    <w:keepLines w:val="0"/>
                    <w:widowControl/>
                    <w:suppressLineNumbers w:val="0"/>
                    <w:jc w:val="center"/>
                    <w:textAlignment w:val="center"/>
                    <w:rPr>
                      <w:rFonts w:hint="default" w:ascii="Times New Roman" w:hAnsi="Times New Roman" w:eastAsia="宋体" w:cs="Times New Roman"/>
                      <w:i w:val="0"/>
                      <w:iCs w:val="0"/>
                      <w:color w:val="FF0000"/>
                      <w:kern w:val="0"/>
                      <w:sz w:val="21"/>
                      <w:szCs w:val="21"/>
                      <w:u w:val="none"/>
                      <w:lang w:val="en-US" w:eastAsia="zh-CN" w:bidi="ar"/>
                    </w:rPr>
                  </w:pPr>
                </w:p>
              </w:tc>
              <w:tc>
                <w:tcPr>
                  <w:tcW w:w="1102" w:type="pct"/>
                  <w:noWrap w:val="0"/>
                  <w:vAlign w:val="center"/>
                </w:tcPr>
                <w:p w14:paraId="5503A055">
                  <w:pPr>
                    <w:keepNext w:val="0"/>
                    <w:keepLines w:val="0"/>
                    <w:widowControl/>
                    <w:suppressLineNumbers w:val="0"/>
                    <w:jc w:val="center"/>
                    <w:textAlignment w:val="center"/>
                    <w:rPr>
                      <w:rFonts w:hint="eastAsia" w:ascii="Times New Roman" w:hAnsi="Times New Roman" w:eastAsia="宋体" w:cs="Times New Roman"/>
                      <w:i w:val="0"/>
                      <w:iCs w:val="0"/>
                      <w:color w:val="FF0000"/>
                      <w:kern w:val="0"/>
                      <w:sz w:val="21"/>
                      <w:szCs w:val="21"/>
                      <w:u w:val="none"/>
                      <w:lang w:val="en-US" w:eastAsia="zh-CN" w:bidi="ar"/>
                    </w:rPr>
                  </w:pPr>
                  <w:r>
                    <w:rPr>
                      <w:rFonts w:hint="default" w:ascii="Times New Roman" w:hAnsi="Times New Roman" w:eastAsia="宋体" w:cs="Times New Roman"/>
                      <w:i w:val="0"/>
                      <w:iCs w:val="0"/>
                      <w:color w:val="FF0000"/>
                      <w:kern w:val="0"/>
                      <w:sz w:val="21"/>
                      <w:szCs w:val="21"/>
                      <w:u w:val="none"/>
                      <w:lang w:val="en-US" w:eastAsia="zh-CN" w:bidi="ar"/>
                    </w:rPr>
                    <w:t>铅酸蓄电池</w:t>
                  </w:r>
                </w:p>
              </w:tc>
              <w:tc>
                <w:tcPr>
                  <w:tcW w:w="882" w:type="pct"/>
                  <w:shd w:val="clear" w:color="auto" w:fill="auto"/>
                  <w:noWrap w:val="0"/>
                  <w:vAlign w:val="center"/>
                </w:tcPr>
                <w:p w14:paraId="231C8572">
                  <w:pPr>
                    <w:keepNext w:val="0"/>
                    <w:keepLines w:val="0"/>
                    <w:widowControl/>
                    <w:suppressLineNumbers w:val="0"/>
                    <w:jc w:val="center"/>
                    <w:textAlignment w:val="center"/>
                    <w:rPr>
                      <w:rFonts w:hint="default" w:ascii="Times New Roman" w:hAnsi="Times New Roman" w:eastAsia="宋体" w:cs="Times New Roman"/>
                      <w:i w:val="0"/>
                      <w:iCs w:val="0"/>
                      <w:color w:val="FF0000"/>
                      <w:kern w:val="0"/>
                      <w:sz w:val="21"/>
                      <w:szCs w:val="21"/>
                      <w:u w:val="none"/>
                      <w:lang w:val="en-US" w:eastAsia="zh-CN" w:bidi="ar"/>
                    </w:rPr>
                  </w:pPr>
                  <w:r>
                    <w:rPr>
                      <w:rFonts w:hint="default" w:ascii="Times New Roman" w:hAnsi="Times New Roman" w:eastAsia="宋体" w:cs="Times New Roman"/>
                      <w:i w:val="0"/>
                      <w:iCs w:val="0"/>
                      <w:color w:val="FF0000"/>
                      <w:kern w:val="0"/>
                      <w:sz w:val="21"/>
                      <w:szCs w:val="21"/>
                      <w:u w:val="none"/>
                      <w:lang w:val="en-US" w:eastAsia="zh-CN" w:bidi="ar"/>
                    </w:rPr>
                    <w:t>1518.18</w:t>
                  </w:r>
                </w:p>
              </w:tc>
              <w:tc>
                <w:tcPr>
                  <w:tcW w:w="768" w:type="pct"/>
                  <w:noWrap w:val="0"/>
                  <w:vAlign w:val="center"/>
                </w:tcPr>
                <w:p w14:paraId="3CB47F00">
                  <w:pPr>
                    <w:keepNext w:val="0"/>
                    <w:keepLines w:val="0"/>
                    <w:widowControl/>
                    <w:suppressLineNumbers w:val="0"/>
                    <w:jc w:val="center"/>
                    <w:textAlignment w:val="center"/>
                    <w:rPr>
                      <w:rFonts w:hint="default" w:ascii="Times New Roman" w:hAnsi="Times New Roman" w:eastAsia="宋体" w:cs="Times New Roman"/>
                      <w:i w:val="0"/>
                      <w:iCs w:val="0"/>
                      <w:color w:val="FF0000"/>
                      <w:kern w:val="0"/>
                      <w:sz w:val="21"/>
                      <w:szCs w:val="21"/>
                      <w:u w:val="none"/>
                      <w:lang w:val="en-US" w:eastAsia="zh-CN" w:bidi="ar"/>
                    </w:rPr>
                  </w:pPr>
                  <w:r>
                    <w:rPr>
                      <w:rFonts w:hint="eastAsia" w:ascii="Times New Roman" w:hAnsi="Times New Roman" w:eastAsia="宋体" w:cs="Times New Roman"/>
                      <w:i w:val="0"/>
                      <w:iCs w:val="0"/>
                      <w:color w:val="FF0000"/>
                      <w:kern w:val="0"/>
                      <w:sz w:val="21"/>
                      <w:szCs w:val="21"/>
                      <w:u w:val="none"/>
                      <w:lang w:val="en-US" w:eastAsia="zh-CN" w:bidi="ar"/>
                    </w:rPr>
                    <w:t>0</w:t>
                  </w:r>
                </w:p>
              </w:tc>
              <w:tc>
                <w:tcPr>
                  <w:tcW w:w="768" w:type="pct"/>
                  <w:noWrap w:val="0"/>
                  <w:vAlign w:val="center"/>
                </w:tcPr>
                <w:p w14:paraId="4CA87B65">
                  <w:pPr>
                    <w:keepNext w:val="0"/>
                    <w:keepLines w:val="0"/>
                    <w:widowControl/>
                    <w:suppressLineNumbers w:val="0"/>
                    <w:jc w:val="center"/>
                    <w:textAlignment w:val="center"/>
                    <w:rPr>
                      <w:rFonts w:hint="default" w:ascii="Times New Roman" w:hAnsi="Times New Roman" w:eastAsia="宋体" w:cs="Times New Roman"/>
                      <w:i w:val="0"/>
                      <w:iCs w:val="0"/>
                      <w:color w:val="FF0000"/>
                      <w:kern w:val="0"/>
                      <w:sz w:val="21"/>
                      <w:szCs w:val="21"/>
                      <w:u w:val="none"/>
                      <w:lang w:val="en-US" w:eastAsia="zh-CN" w:bidi="ar"/>
                    </w:rPr>
                  </w:pPr>
                  <w:r>
                    <w:rPr>
                      <w:rFonts w:hint="eastAsia" w:ascii="Times New Roman" w:hAnsi="Times New Roman" w:eastAsia="宋体" w:cs="Times New Roman"/>
                      <w:i w:val="0"/>
                      <w:iCs w:val="0"/>
                      <w:color w:val="FF0000"/>
                      <w:kern w:val="0"/>
                      <w:sz w:val="21"/>
                      <w:szCs w:val="21"/>
                      <w:u w:val="none"/>
                      <w:lang w:val="en-US" w:eastAsia="zh-CN" w:bidi="ar"/>
                    </w:rPr>
                    <w:t>0</w:t>
                  </w:r>
                </w:p>
              </w:tc>
              <w:tc>
                <w:tcPr>
                  <w:tcW w:w="753" w:type="pct"/>
                  <w:noWrap w:val="0"/>
                  <w:vAlign w:val="center"/>
                </w:tcPr>
                <w:p w14:paraId="1AD9ADC2">
                  <w:pPr>
                    <w:keepNext w:val="0"/>
                    <w:keepLines w:val="0"/>
                    <w:widowControl/>
                    <w:suppressLineNumbers w:val="0"/>
                    <w:jc w:val="center"/>
                    <w:textAlignment w:val="center"/>
                    <w:rPr>
                      <w:rFonts w:hint="default" w:ascii="Times New Roman" w:hAnsi="Times New Roman" w:eastAsia="宋体" w:cs="Times New Roman"/>
                      <w:i w:val="0"/>
                      <w:iCs w:val="0"/>
                      <w:color w:val="FF0000"/>
                      <w:kern w:val="0"/>
                      <w:sz w:val="21"/>
                      <w:szCs w:val="21"/>
                      <w:u w:val="none"/>
                      <w:lang w:val="en-US" w:eastAsia="zh-CN" w:bidi="ar"/>
                    </w:rPr>
                  </w:pPr>
                  <w:r>
                    <w:rPr>
                      <w:rFonts w:hint="eastAsia" w:cs="Times New Roman"/>
                      <w:i w:val="0"/>
                      <w:iCs w:val="0"/>
                      <w:color w:val="FF0000"/>
                      <w:kern w:val="0"/>
                      <w:sz w:val="21"/>
                      <w:szCs w:val="21"/>
                      <w:u w:val="none"/>
                      <w:lang w:val="en-US" w:eastAsia="zh-CN" w:bidi="ar"/>
                    </w:rPr>
                    <w:t>/</w:t>
                  </w:r>
                </w:p>
              </w:tc>
            </w:tr>
            <w:tr w14:paraId="22C8A4E0">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04" w:type="pct"/>
                  <w:vMerge w:val="continue"/>
                  <w:noWrap w:val="0"/>
                  <w:vAlign w:val="center"/>
                </w:tcPr>
                <w:p w14:paraId="5560203A">
                  <w:pPr>
                    <w:keepNext w:val="0"/>
                    <w:keepLines w:val="0"/>
                    <w:widowControl/>
                    <w:suppressLineNumbers w:val="0"/>
                    <w:jc w:val="center"/>
                    <w:textAlignment w:val="center"/>
                    <w:rPr>
                      <w:rFonts w:hint="default" w:ascii="Times New Roman" w:hAnsi="Times New Roman" w:eastAsia="宋体" w:cs="Times New Roman"/>
                      <w:i w:val="0"/>
                      <w:iCs w:val="0"/>
                      <w:color w:val="FF0000"/>
                      <w:kern w:val="0"/>
                      <w:sz w:val="21"/>
                      <w:szCs w:val="21"/>
                      <w:u w:val="none"/>
                      <w:lang w:val="en-US" w:eastAsia="zh-CN" w:bidi="ar"/>
                    </w:rPr>
                  </w:pPr>
                </w:p>
              </w:tc>
              <w:tc>
                <w:tcPr>
                  <w:tcW w:w="420" w:type="pct"/>
                  <w:vMerge w:val="continue"/>
                  <w:noWrap w:val="0"/>
                  <w:vAlign w:val="center"/>
                </w:tcPr>
                <w:p w14:paraId="207EBEDF">
                  <w:pPr>
                    <w:keepNext w:val="0"/>
                    <w:keepLines w:val="0"/>
                    <w:widowControl/>
                    <w:suppressLineNumbers w:val="0"/>
                    <w:jc w:val="center"/>
                    <w:textAlignment w:val="center"/>
                    <w:rPr>
                      <w:rFonts w:hint="default" w:ascii="Times New Roman" w:hAnsi="Times New Roman" w:eastAsia="宋体" w:cs="Times New Roman"/>
                      <w:i w:val="0"/>
                      <w:iCs w:val="0"/>
                      <w:color w:val="FF0000"/>
                      <w:kern w:val="0"/>
                      <w:sz w:val="21"/>
                      <w:szCs w:val="21"/>
                      <w:u w:val="none"/>
                      <w:lang w:val="en-US" w:eastAsia="zh-CN" w:bidi="ar"/>
                    </w:rPr>
                  </w:pPr>
                </w:p>
              </w:tc>
              <w:tc>
                <w:tcPr>
                  <w:tcW w:w="1102" w:type="pct"/>
                  <w:noWrap w:val="0"/>
                  <w:vAlign w:val="center"/>
                </w:tcPr>
                <w:p w14:paraId="77F3203D">
                  <w:pPr>
                    <w:keepNext w:val="0"/>
                    <w:keepLines w:val="0"/>
                    <w:widowControl/>
                    <w:suppressLineNumbers w:val="0"/>
                    <w:jc w:val="center"/>
                    <w:textAlignment w:val="center"/>
                    <w:rPr>
                      <w:rFonts w:hint="eastAsia" w:ascii="Times New Roman" w:hAnsi="Times New Roman" w:eastAsia="宋体" w:cs="Times New Roman"/>
                      <w:i w:val="0"/>
                      <w:iCs w:val="0"/>
                      <w:color w:val="FF0000"/>
                      <w:kern w:val="0"/>
                      <w:sz w:val="21"/>
                      <w:szCs w:val="21"/>
                      <w:u w:val="none"/>
                      <w:lang w:val="en-US" w:eastAsia="zh-CN" w:bidi="ar"/>
                    </w:rPr>
                  </w:pPr>
                  <w:r>
                    <w:rPr>
                      <w:rFonts w:hint="default" w:ascii="Times New Roman" w:hAnsi="Times New Roman" w:eastAsia="宋体" w:cs="Times New Roman"/>
                      <w:i w:val="0"/>
                      <w:iCs w:val="0"/>
                      <w:color w:val="FF0000"/>
                      <w:kern w:val="0"/>
                      <w:sz w:val="21"/>
                      <w:szCs w:val="21"/>
                      <w:u w:val="none"/>
                      <w:lang w:val="en-US" w:eastAsia="zh-CN" w:bidi="ar"/>
                    </w:rPr>
                    <w:t>废矿物油</w:t>
                  </w:r>
                </w:p>
              </w:tc>
              <w:tc>
                <w:tcPr>
                  <w:tcW w:w="882" w:type="pct"/>
                  <w:shd w:val="clear" w:color="auto" w:fill="auto"/>
                  <w:noWrap w:val="0"/>
                  <w:vAlign w:val="center"/>
                </w:tcPr>
                <w:p w14:paraId="704C6269">
                  <w:pPr>
                    <w:keepNext w:val="0"/>
                    <w:keepLines w:val="0"/>
                    <w:widowControl/>
                    <w:suppressLineNumbers w:val="0"/>
                    <w:jc w:val="center"/>
                    <w:textAlignment w:val="center"/>
                    <w:rPr>
                      <w:rFonts w:hint="default" w:ascii="Times New Roman" w:hAnsi="Times New Roman" w:eastAsia="宋体" w:cs="Times New Roman"/>
                      <w:i w:val="0"/>
                      <w:iCs w:val="0"/>
                      <w:color w:val="FF0000"/>
                      <w:kern w:val="0"/>
                      <w:sz w:val="21"/>
                      <w:szCs w:val="21"/>
                      <w:u w:val="none"/>
                      <w:lang w:val="en-US" w:eastAsia="zh-CN" w:bidi="ar"/>
                    </w:rPr>
                  </w:pPr>
                  <w:r>
                    <w:rPr>
                      <w:rFonts w:hint="default" w:ascii="Times New Roman" w:hAnsi="Times New Roman" w:eastAsia="宋体" w:cs="Times New Roman"/>
                      <w:i w:val="0"/>
                      <w:iCs w:val="0"/>
                      <w:color w:val="FF0000"/>
                      <w:kern w:val="0"/>
                      <w:sz w:val="21"/>
                      <w:szCs w:val="21"/>
                      <w:u w:val="none"/>
                      <w:lang w:val="en-US" w:eastAsia="zh-CN" w:bidi="ar"/>
                    </w:rPr>
                    <w:t>33.95</w:t>
                  </w:r>
                </w:p>
              </w:tc>
              <w:tc>
                <w:tcPr>
                  <w:tcW w:w="768" w:type="pct"/>
                  <w:noWrap w:val="0"/>
                  <w:vAlign w:val="center"/>
                </w:tcPr>
                <w:p w14:paraId="4CCB9787">
                  <w:pPr>
                    <w:keepNext w:val="0"/>
                    <w:keepLines w:val="0"/>
                    <w:widowControl/>
                    <w:suppressLineNumbers w:val="0"/>
                    <w:jc w:val="center"/>
                    <w:textAlignment w:val="center"/>
                    <w:rPr>
                      <w:rFonts w:hint="default" w:ascii="Times New Roman" w:hAnsi="Times New Roman" w:eastAsia="宋体" w:cs="Times New Roman"/>
                      <w:i w:val="0"/>
                      <w:iCs w:val="0"/>
                      <w:color w:val="FF0000"/>
                      <w:kern w:val="0"/>
                      <w:sz w:val="21"/>
                      <w:szCs w:val="21"/>
                      <w:u w:val="none"/>
                      <w:lang w:val="en-US" w:eastAsia="zh-CN" w:bidi="ar"/>
                    </w:rPr>
                  </w:pPr>
                  <w:r>
                    <w:rPr>
                      <w:rFonts w:hint="eastAsia" w:ascii="Times New Roman" w:hAnsi="Times New Roman" w:eastAsia="宋体" w:cs="Times New Roman"/>
                      <w:i w:val="0"/>
                      <w:iCs w:val="0"/>
                      <w:color w:val="FF0000"/>
                      <w:kern w:val="0"/>
                      <w:sz w:val="21"/>
                      <w:szCs w:val="21"/>
                      <w:u w:val="none"/>
                      <w:lang w:val="en-US" w:eastAsia="zh-CN" w:bidi="ar"/>
                    </w:rPr>
                    <w:t>0</w:t>
                  </w:r>
                </w:p>
              </w:tc>
              <w:tc>
                <w:tcPr>
                  <w:tcW w:w="768" w:type="pct"/>
                  <w:noWrap w:val="0"/>
                  <w:vAlign w:val="center"/>
                </w:tcPr>
                <w:p w14:paraId="487F2E45">
                  <w:pPr>
                    <w:keepNext w:val="0"/>
                    <w:keepLines w:val="0"/>
                    <w:widowControl/>
                    <w:suppressLineNumbers w:val="0"/>
                    <w:jc w:val="center"/>
                    <w:textAlignment w:val="center"/>
                    <w:rPr>
                      <w:rFonts w:hint="default" w:ascii="Times New Roman" w:hAnsi="Times New Roman" w:eastAsia="宋体" w:cs="Times New Roman"/>
                      <w:i w:val="0"/>
                      <w:iCs w:val="0"/>
                      <w:color w:val="FF0000"/>
                      <w:kern w:val="0"/>
                      <w:sz w:val="21"/>
                      <w:szCs w:val="21"/>
                      <w:u w:val="none"/>
                      <w:lang w:val="en-US" w:eastAsia="zh-CN" w:bidi="ar"/>
                    </w:rPr>
                  </w:pPr>
                  <w:r>
                    <w:rPr>
                      <w:rFonts w:hint="eastAsia" w:ascii="Times New Roman" w:hAnsi="Times New Roman" w:eastAsia="宋体" w:cs="Times New Roman"/>
                      <w:i w:val="0"/>
                      <w:iCs w:val="0"/>
                      <w:color w:val="FF0000"/>
                      <w:kern w:val="0"/>
                      <w:sz w:val="21"/>
                      <w:szCs w:val="21"/>
                      <w:u w:val="none"/>
                      <w:lang w:val="en-US" w:eastAsia="zh-CN" w:bidi="ar"/>
                    </w:rPr>
                    <w:t>0</w:t>
                  </w:r>
                </w:p>
              </w:tc>
              <w:tc>
                <w:tcPr>
                  <w:tcW w:w="753" w:type="pct"/>
                  <w:noWrap w:val="0"/>
                  <w:vAlign w:val="center"/>
                </w:tcPr>
                <w:p w14:paraId="3B9A0ED3">
                  <w:pPr>
                    <w:keepNext w:val="0"/>
                    <w:keepLines w:val="0"/>
                    <w:widowControl/>
                    <w:suppressLineNumbers w:val="0"/>
                    <w:jc w:val="center"/>
                    <w:textAlignment w:val="center"/>
                    <w:rPr>
                      <w:rFonts w:hint="default" w:ascii="Times New Roman" w:hAnsi="Times New Roman" w:eastAsia="宋体" w:cs="Times New Roman"/>
                      <w:i w:val="0"/>
                      <w:iCs w:val="0"/>
                      <w:color w:val="FF0000"/>
                      <w:kern w:val="0"/>
                      <w:sz w:val="21"/>
                      <w:szCs w:val="21"/>
                      <w:u w:val="none"/>
                      <w:lang w:val="en-US" w:eastAsia="zh-CN" w:bidi="ar"/>
                    </w:rPr>
                  </w:pPr>
                  <w:r>
                    <w:rPr>
                      <w:rFonts w:hint="eastAsia" w:cs="Times New Roman"/>
                      <w:i w:val="0"/>
                      <w:iCs w:val="0"/>
                      <w:color w:val="FF0000"/>
                      <w:kern w:val="0"/>
                      <w:sz w:val="21"/>
                      <w:szCs w:val="21"/>
                      <w:u w:val="none"/>
                      <w:lang w:val="en-US" w:eastAsia="zh-CN" w:bidi="ar"/>
                    </w:rPr>
                    <w:t>/</w:t>
                  </w:r>
                </w:p>
              </w:tc>
            </w:tr>
            <w:tr w14:paraId="3C996D68">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04" w:type="pct"/>
                  <w:vMerge w:val="continue"/>
                  <w:noWrap w:val="0"/>
                  <w:vAlign w:val="center"/>
                </w:tcPr>
                <w:p w14:paraId="770B715E">
                  <w:pPr>
                    <w:keepNext w:val="0"/>
                    <w:keepLines w:val="0"/>
                    <w:widowControl/>
                    <w:suppressLineNumbers w:val="0"/>
                    <w:jc w:val="center"/>
                    <w:textAlignment w:val="center"/>
                    <w:rPr>
                      <w:rFonts w:hint="default" w:ascii="Times New Roman" w:hAnsi="Times New Roman" w:eastAsia="宋体" w:cs="Times New Roman"/>
                      <w:i w:val="0"/>
                      <w:iCs w:val="0"/>
                      <w:color w:val="FF0000"/>
                      <w:kern w:val="0"/>
                      <w:sz w:val="21"/>
                      <w:szCs w:val="21"/>
                      <w:u w:val="none"/>
                      <w:lang w:val="en-US" w:eastAsia="zh-CN" w:bidi="ar"/>
                    </w:rPr>
                  </w:pPr>
                </w:p>
              </w:tc>
              <w:tc>
                <w:tcPr>
                  <w:tcW w:w="420" w:type="pct"/>
                  <w:vMerge w:val="continue"/>
                  <w:noWrap w:val="0"/>
                  <w:vAlign w:val="center"/>
                </w:tcPr>
                <w:p w14:paraId="76ED6965">
                  <w:pPr>
                    <w:keepNext w:val="0"/>
                    <w:keepLines w:val="0"/>
                    <w:widowControl/>
                    <w:suppressLineNumbers w:val="0"/>
                    <w:jc w:val="center"/>
                    <w:textAlignment w:val="center"/>
                    <w:rPr>
                      <w:rFonts w:hint="default" w:ascii="Times New Roman" w:hAnsi="Times New Roman" w:eastAsia="宋体" w:cs="Times New Roman"/>
                      <w:i w:val="0"/>
                      <w:iCs w:val="0"/>
                      <w:color w:val="FF0000"/>
                      <w:kern w:val="0"/>
                      <w:sz w:val="21"/>
                      <w:szCs w:val="21"/>
                      <w:u w:val="none"/>
                      <w:lang w:val="en-US" w:eastAsia="zh-CN" w:bidi="ar"/>
                    </w:rPr>
                  </w:pPr>
                </w:p>
              </w:tc>
              <w:tc>
                <w:tcPr>
                  <w:tcW w:w="1102" w:type="pct"/>
                  <w:noWrap w:val="0"/>
                  <w:vAlign w:val="center"/>
                </w:tcPr>
                <w:p w14:paraId="7D634EBA">
                  <w:pPr>
                    <w:keepNext w:val="0"/>
                    <w:keepLines w:val="0"/>
                    <w:widowControl/>
                    <w:suppressLineNumbers w:val="0"/>
                    <w:jc w:val="center"/>
                    <w:textAlignment w:val="center"/>
                    <w:rPr>
                      <w:rFonts w:hint="default" w:ascii="Times New Roman" w:hAnsi="Times New Roman" w:eastAsia="宋体" w:cs="Times New Roman"/>
                      <w:i w:val="0"/>
                      <w:iCs w:val="0"/>
                      <w:color w:val="FF0000"/>
                      <w:kern w:val="0"/>
                      <w:sz w:val="21"/>
                      <w:szCs w:val="21"/>
                      <w:u w:val="none"/>
                      <w:lang w:val="en-US" w:eastAsia="zh-CN" w:bidi="ar"/>
                    </w:rPr>
                  </w:pPr>
                  <w:r>
                    <w:rPr>
                      <w:rFonts w:hint="default" w:ascii="Times New Roman" w:hAnsi="Times New Roman" w:eastAsia="宋体" w:cs="Times New Roman"/>
                      <w:i w:val="0"/>
                      <w:iCs w:val="0"/>
                      <w:color w:val="FF0000"/>
                      <w:kern w:val="0"/>
                      <w:sz w:val="21"/>
                      <w:szCs w:val="21"/>
                      <w:u w:val="none"/>
                      <w:lang w:val="en-US" w:eastAsia="zh-CN" w:bidi="ar"/>
                    </w:rPr>
                    <w:t>废燃料油</w:t>
                  </w:r>
                </w:p>
              </w:tc>
              <w:tc>
                <w:tcPr>
                  <w:tcW w:w="882" w:type="pct"/>
                  <w:shd w:val="clear" w:color="auto" w:fill="auto"/>
                  <w:noWrap w:val="0"/>
                  <w:vAlign w:val="center"/>
                </w:tcPr>
                <w:p w14:paraId="2FF6ADF5">
                  <w:pPr>
                    <w:keepNext w:val="0"/>
                    <w:keepLines w:val="0"/>
                    <w:widowControl/>
                    <w:suppressLineNumbers w:val="0"/>
                    <w:jc w:val="center"/>
                    <w:textAlignment w:val="center"/>
                    <w:rPr>
                      <w:rFonts w:hint="default" w:ascii="Times New Roman" w:hAnsi="Times New Roman" w:eastAsia="宋体" w:cs="Times New Roman"/>
                      <w:i w:val="0"/>
                      <w:iCs w:val="0"/>
                      <w:color w:val="FF0000"/>
                      <w:kern w:val="0"/>
                      <w:sz w:val="21"/>
                      <w:szCs w:val="21"/>
                      <w:u w:val="none"/>
                      <w:lang w:val="en-US" w:eastAsia="zh-CN" w:bidi="ar"/>
                    </w:rPr>
                  </w:pPr>
                  <w:r>
                    <w:rPr>
                      <w:rFonts w:hint="default" w:ascii="Times New Roman" w:hAnsi="Times New Roman" w:eastAsia="宋体" w:cs="Times New Roman"/>
                      <w:i w:val="0"/>
                      <w:iCs w:val="0"/>
                      <w:color w:val="FF0000"/>
                      <w:kern w:val="0"/>
                      <w:sz w:val="21"/>
                      <w:szCs w:val="21"/>
                      <w:u w:val="none"/>
                      <w:lang w:val="en-US" w:eastAsia="zh-CN" w:bidi="ar"/>
                    </w:rPr>
                    <w:t>33.95</w:t>
                  </w:r>
                </w:p>
              </w:tc>
              <w:tc>
                <w:tcPr>
                  <w:tcW w:w="768" w:type="pct"/>
                  <w:noWrap w:val="0"/>
                  <w:vAlign w:val="center"/>
                </w:tcPr>
                <w:p w14:paraId="6155536A">
                  <w:pPr>
                    <w:keepNext w:val="0"/>
                    <w:keepLines w:val="0"/>
                    <w:widowControl/>
                    <w:suppressLineNumbers w:val="0"/>
                    <w:jc w:val="center"/>
                    <w:textAlignment w:val="center"/>
                    <w:rPr>
                      <w:rFonts w:hint="default" w:ascii="Times New Roman" w:hAnsi="Times New Roman" w:eastAsia="宋体" w:cs="Times New Roman"/>
                      <w:i w:val="0"/>
                      <w:iCs w:val="0"/>
                      <w:color w:val="FF0000"/>
                      <w:kern w:val="0"/>
                      <w:sz w:val="21"/>
                      <w:szCs w:val="21"/>
                      <w:u w:val="none"/>
                      <w:lang w:val="en-US" w:eastAsia="zh-CN" w:bidi="ar"/>
                    </w:rPr>
                  </w:pPr>
                  <w:r>
                    <w:rPr>
                      <w:rFonts w:hint="eastAsia" w:ascii="Times New Roman" w:hAnsi="Times New Roman" w:eastAsia="宋体" w:cs="Times New Roman"/>
                      <w:i w:val="0"/>
                      <w:iCs w:val="0"/>
                      <w:color w:val="FF0000"/>
                      <w:kern w:val="0"/>
                      <w:sz w:val="21"/>
                      <w:szCs w:val="21"/>
                      <w:u w:val="none"/>
                      <w:lang w:val="en-US" w:eastAsia="zh-CN" w:bidi="ar"/>
                    </w:rPr>
                    <w:t>0</w:t>
                  </w:r>
                </w:p>
              </w:tc>
              <w:tc>
                <w:tcPr>
                  <w:tcW w:w="768" w:type="pct"/>
                  <w:noWrap w:val="0"/>
                  <w:vAlign w:val="center"/>
                </w:tcPr>
                <w:p w14:paraId="60942EA4">
                  <w:pPr>
                    <w:keepNext w:val="0"/>
                    <w:keepLines w:val="0"/>
                    <w:widowControl/>
                    <w:suppressLineNumbers w:val="0"/>
                    <w:jc w:val="center"/>
                    <w:textAlignment w:val="center"/>
                    <w:rPr>
                      <w:rFonts w:hint="default" w:ascii="Times New Roman" w:hAnsi="Times New Roman" w:eastAsia="宋体" w:cs="Times New Roman"/>
                      <w:i w:val="0"/>
                      <w:iCs w:val="0"/>
                      <w:color w:val="FF0000"/>
                      <w:kern w:val="0"/>
                      <w:sz w:val="21"/>
                      <w:szCs w:val="21"/>
                      <w:u w:val="none"/>
                      <w:lang w:val="en-US" w:eastAsia="zh-CN" w:bidi="ar"/>
                    </w:rPr>
                  </w:pPr>
                  <w:r>
                    <w:rPr>
                      <w:rFonts w:hint="eastAsia" w:ascii="Times New Roman" w:hAnsi="Times New Roman" w:eastAsia="宋体" w:cs="Times New Roman"/>
                      <w:i w:val="0"/>
                      <w:iCs w:val="0"/>
                      <w:color w:val="FF0000"/>
                      <w:kern w:val="0"/>
                      <w:sz w:val="21"/>
                      <w:szCs w:val="21"/>
                      <w:u w:val="none"/>
                      <w:lang w:val="en-US" w:eastAsia="zh-CN" w:bidi="ar"/>
                    </w:rPr>
                    <w:t>0</w:t>
                  </w:r>
                </w:p>
              </w:tc>
              <w:tc>
                <w:tcPr>
                  <w:tcW w:w="753" w:type="pct"/>
                  <w:noWrap w:val="0"/>
                  <w:vAlign w:val="center"/>
                </w:tcPr>
                <w:p w14:paraId="7638186D">
                  <w:pPr>
                    <w:keepNext w:val="0"/>
                    <w:keepLines w:val="0"/>
                    <w:widowControl/>
                    <w:suppressLineNumbers w:val="0"/>
                    <w:jc w:val="center"/>
                    <w:textAlignment w:val="center"/>
                    <w:rPr>
                      <w:rFonts w:hint="default" w:ascii="Times New Roman" w:hAnsi="Times New Roman" w:eastAsia="宋体" w:cs="Times New Roman"/>
                      <w:i w:val="0"/>
                      <w:iCs w:val="0"/>
                      <w:color w:val="FF0000"/>
                      <w:kern w:val="0"/>
                      <w:sz w:val="21"/>
                      <w:szCs w:val="21"/>
                      <w:u w:val="none"/>
                      <w:lang w:val="en-US" w:eastAsia="zh-CN" w:bidi="ar"/>
                    </w:rPr>
                  </w:pPr>
                  <w:r>
                    <w:rPr>
                      <w:rFonts w:hint="eastAsia" w:cs="Times New Roman"/>
                      <w:i w:val="0"/>
                      <w:iCs w:val="0"/>
                      <w:color w:val="FF0000"/>
                      <w:kern w:val="0"/>
                      <w:sz w:val="21"/>
                      <w:szCs w:val="21"/>
                      <w:u w:val="none"/>
                      <w:lang w:val="en-US" w:eastAsia="zh-CN" w:bidi="ar"/>
                    </w:rPr>
                    <w:t>/</w:t>
                  </w:r>
                </w:p>
              </w:tc>
            </w:tr>
            <w:tr w14:paraId="36C1546B">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04" w:type="pct"/>
                  <w:vMerge w:val="continue"/>
                  <w:noWrap w:val="0"/>
                  <w:vAlign w:val="center"/>
                </w:tcPr>
                <w:p w14:paraId="14CC8CAB">
                  <w:pPr>
                    <w:keepNext w:val="0"/>
                    <w:keepLines w:val="0"/>
                    <w:widowControl/>
                    <w:suppressLineNumbers w:val="0"/>
                    <w:jc w:val="center"/>
                    <w:textAlignment w:val="center"/>
                    <w:rPr>
                      <w:rFonts w:hint="default" w:ascii="Times New Roman" w:hAnsi="Times New Roman" w:eastAsia="宋体" w:cs="Times New Roman"/>
                      <w:i w:val="0"/>
                      <w:iCs w:val="0"/>
                      <w:color w:val="FF0000"/>
                      <w:kern w:val="0"/>
                      <w:sz w:val="21"/>
                      <w:szCs w:val="21"/>
                      <w:u w:val="none"/>
                      <w:lang w:val="en-US" w:eastAsia="zh-CN" w:bidi="ar"/>
                    </w:rPr>
                  </w:pPr>
                </w:p>
              </w:tc>
              <w:tc>
                <w:tcPr>
                  <w:tcW w:w="420" w:type="pct"/>
                  <w:vMerge w:val="continue"/>
                  <w:noWrap w:val="0"/>
                  <w:vAlign w:val="center"/>
                </w:tcPr>
                <w:p w14:paraId="635BB368">
                  <w:pPr>
                    <w:keepNext w:val="0"/>
                    <w:keepLines w:val="0"/>
                    <w:widowControl/>
                    <w:suppressLineNumbers w:val="0"/>
                    <w:jc w:val="center"/>
                    <w:textAlignment w:val="center"/>
                    <w:rPr>
                      <w:rFonts w:hint="default" w:ascii="Times New Roman" w:hAnsi="Times New Roman" w:eastAsia="宋体" w:cs="Times New Roman"/>
                      <w:i w:val="0"/>
                      <w:iCs w:val="0"/>
                      <w:color w:val="FF0000"/>
                      <w:kern w:val="0"/>
                      <w:sz w:val="21"/>
                      <w:szCs w:val="21"/>
                      <w:u w:val="none"/>
                      <w:lang w:val="en-US" w:eastAsia="zh-CN" w:bidi="ar"/>
                    </w:rPr>
                  </w:pPr>
                </w:p>
              </w:tc>
              <w:tc>
                <w:tcPr>
                  <w:tcW w:w="1102" w:type="pct"/>
                  <w:noWrap w:val="0"/>
                  <w:vAlign w:val="center"/>
                </w:tcPr>
                <w:p w14:paraId="17CC1A47">
                  <w:pPr>
                    <w:keepNext w:val="0"/>
                    <w:keepLines w:val="0"/>
                    <w:widowControl/>
                    <w:suppressLineNumbers w:val="0"/>
                    <w:jc w:val="center"/>
                    <w:textAlignment w:val="center"/>
                    <w:rPr>
                      <w:rFonts w:hint="default" w:ascii="Times New Roman" w:hAnsi="Times New Roman" w:eastAsia="宋体" w:cs="Times New Roman"/>
                      <w:i w:val="0"/>
                      <w:iCs w:val="0"/>
                      <w:color w:val="FF0000"/>
                      <w:kern w:val="0"/>
                      <w:sz w:val="21"/>
                      <w:szCs w:val="21"/>
                      <w:u w:val="none"/>
                      <w:lang w:val="en-US" w:eastAsia="zh-CN" w:bidi="ar"/>
                    </w:rPr>
                  </w:pPr>
                  <w:r>
                    <w:rPr>
                      <w:rFonts w:hint="default" w:ascii="Times New Roman" w:hAnsi="Times New Roman" w:eastAsia="宋体" w:cs="Times New Roman"/>
                      <w:i w:val="0"/>
                      <w:iCs w:val="0"/>
                      <w:color w:val="FF0000"/>
                      <w:kern w:val="0"/>
                      <w:sz w:val="21"/>
                      <w:szCs w:val="21"/>
                      <w:u w:val="none"/>
                      <w:lang w:val="en-US" w:eastAsia="zh-CN" w:bidi="ar"/>
                    </w:rPr>
                    <w:t>废尾气净化装置及催化剂</w:t>
                  </w:r>
                </w:p>
              </w:tc>
              <w:tc>
                <w:tcPr>
                  <w:tcW w:w="882" w:type="pct"/>
                  <w:shd w:val="clear" w:color="auto" w:fill="auto"/>
                  <w:noWrap w:val="0"/>
                  <w:vAlign w:val="center"/>
                </w:tcPr>
                <w:p w14:paraId="5D63299A">
                  <w:pPr>
                    <w:keepNext w:val="0"/>
                    <w:keepLines w:val="0"/>
                    <w:widowControl/>
                    <w:suppressLineNumbers w:val="0"/>
                    <w:jc w:val="center"/>
                    <w:textAlignment w:val="center"/>
                    <w:rPr>
                      <w:rFonts w:hint="default" w:ascii="Times New Roman" w:hAnsi="Times New Roman" w:eastAsia="宋体" w:cs="Times New Roman"/>
                      <w:i w:val="0"/>
                      <w:iCs w:val="0"/>
                      <w:color w:val="FF0000"/>
                      <w:kern w:val="0"/>
                      <w:sz w:val="21"/>
                      <w:szCs w:val="21"/>
                      <w:u w:val="none"/>
                      <w:lang w:val="en-US" w:eastAsia="zh-CN" w:bidi="ar"/>
                    </w:rPr>
                  </w:pPr>
                  <w:r>
                    <w:rPr>
                      <w:rFonts w:hint="default" w:ascii="Times New Roman" w:hAnsi="Times New Roman" w:eastAsia="宋体" w:cs="Times New Roman"/>
                      <w:i w:val="0"/>
                      <w:iCs w:val="0"/>
                      <w:color w:val="FF0000"/>
                      <w:kern w:val="0"/>
                      <w:sz w:val="21"/>
                      <w:szCs w:val="21"/>
                      <w:u w:val="none"/>
                      <w:lang w:val="en-US" w:eastAsia="zh-CN" w:bidi="ar"/>
                    </w:rPr>
                    <w:t>11.92</w:t>
                  </w:r>
                </w:p>
              </w:tc>
              <w:tc>
                <w:tcPr>
                  <w:tcW w:w="768" w:type="pct"/>
                  <w:noWrap w:val="0"/>
                  <w:vAlign w:val="center"/>
                </w:tcPr>
                <w:p w14:paraId="28E87541">
                  <w:pPr>
                    <w:keepNext w:val="0"/>
                    <w:keepLines w:val="0"/>
                    <w:widowControl/>
                    <w:suppressLineNumbers w:val="0"/>
                    <w:jc w:val="center"/>
                    <w:textAlignment w:val="center"/>
                    <w:rPr>
                      <w:rFonts w:hint="default" w:ascii="Times New Roman" w:hAnsi="Times New Roman" w:eastAsia="宋体" w:cs="Times New Roman"/>
                      <w:i w:val="0"/>
                      <w:iCs w:val="0"/>
                      <w:color w:val="FF0000"/>
                      <w:kern w:val="0"/>
                      <w:sz w:val="21"/>
                      <w:szCs w:val="21"/>
                      <w:u w:val="none"/>
                      <w:lang w:val="en-US" w:eastAsia="zh-CN" w:bidi="ar"/>
                    </w:rPr>
                  </w:pPr>
                  <w:r>
                    <w:rPr>
                      <w:rFonts w:hint="eastAsia" w:ascii="Times New Roman" w:hAnsi="Times New Roman" w:eastAsia="宋体" w:cs="Times New Roman"/>
                      <w:i w:val="0"/>
                      <w:iCs w:val="0"/>
                      <w:color w:val="FF0000"/>
                      <w:kern w:val="0"/>
                      <w:sz w:val="21"/>
                      <w:szCs w:val="21"/>
                      <w:u w:val="none"/>
                      <w:lang w:val="en-US" w:eastAsia="zh-CN" w:bidi="ar"/>
                    </w:rPr>
                    <w:t>0</w:t>
                  </w:r>
                </w:p>
              </w:tc>
              <w:tc>
                <w:tcPr>
                  <w:tcW w:w="768" w:type="pct"/>
                  <w:noWrap w:val="0"/>
                  <w:vAlign w:val="center"/>
                </w:tcPr>
                <w:p w14:paraId="6DED1A10">
                  <w:pPr>
                    <w:keepNext w:val="0"/>
                    <w:keepLines w:val="0"/>
                    <w:widowControl/>
                    <w:suppressLineNumbers w:val="0"/>
                    <w:jc w:val="center"/>
                    <w:textAlignment w:val="center"/>
                    <w:rPr>
                      <w:rFonts w:hint="default" w:ascii="Times New Roman" w:hAnsi="Times New Roman" w:eastAsia="宋体" w:cs="Times New Roman"/>
                      <w:i w:val="0"/>
                      <w:iCs w:val="0"/>
                      <w:color w:val="FF0000"/>
                      <w:kern w:val="0"/>
                      <w:sz w:val="21"/>
                      <w:szCs w:val="21"/>
                      <w:u w:val="none"/>
                      <w:lang w:val="en-US" w:eastAsia="zh-CN" w:bidi="ar"/>
                    </w:rPr>
                  </w:pPr>
                  <w:r>
                    <w:rPr>
                      <w:rFonts w:hint="eastAsia" w:ascii="Times New Roman" w:hAnsi="Times New Roman" w:eastAsia="宋体" w:cs="Times New Roman"/>
                      <w:i w:val="0"/>
                      <w:iCs w:val="0"/>
                      <w:color w:val="FF0000"/>
                      <w:kern w:val="0"/>
                      <w:sz w:val="21"/>
                      <w:szCs w:val="21"/>
                      <w:u w:val="none"/>
                      <w:lang w:val="en-US" w:eastAsia="zh-CN" w:bidi="ar"/>
                    </w:rPr>
                    <w:t>0</w:t>
                  </w:r>
                </w:p>
              </w:tc>
              <w:tc>
                <w:tcPr>
                  <w:tcW w:w="753" w:type="pct"/>
                  <w:noWrap w:val="0"/>
                  <w:vAlign w:val="center"/>
                </w:tcPr>
                <w:p w14:paraId="78768CAA">
                  <w:pPr>
                    <w:keepNext w:val="0"/>
                    <w:keepLines w:val="0"/>
                    <w:widowControl/>
                    <w:suppressLineNumbers w:val="0"/>
                    <w:jc w:val="center"/>
                    <w:textAlignment w:val="center"/>
                    <w:rPr>
                      <w:rFonts w:hint="default" w:ascii="Times New Roman" w:hAnsi="Times New Roman" w:eastAsia="宋体" w:cs="Times New Roman"/>
                      <w:i w:val="0"/>
                      <w:iCs w:val="0"/>
                      <w:color w:val="FF0000"/>
                      <w:kern w:val="0"/>
                      <w:sz w:val="21"/>
                      <w:szCs w:val="21"/>
                      <w:u w:val="none"/>
                      <w:lang w:val="en-US" w:eastAsia="zh-CN" w:bidi="ar"/>
                    </w:rPr>
                  </w:pPr>
                  <w:r>
                    <w:rPr>
                      <w:rFonts w:hint="eastAsia" w:cs="Times New Roman"/>
                      <w:i w:val="0"/>
                      <w:iCs w:val="0"/>
                      <w:color w:val="FF0000"/>
                      <w:kern w:val="0"/>
                      <w:sz w:val="21"/>
                      <w:szCs w:val="21"/>
                      <w:u w:val="none"/>
                      <w:lang w:val="en-US" w:eastAsia="zh-CN" w:bidi="ar"/>
                    </w:rPr>
                    <w:t>/</w:t>
                  </w:r>
                </w:p>
              </w:tc>
            </w:tr>
            <w:tr w14:paraId="4D7A7B35">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304" w:type="pct"/>
                  <w:vMerge w:val="continue"/>
                  <w:noWrap w:val="0"/>
                  <w:vAlign w:val="center"/>
                </w:tcPr>
                <w:p w14:paraId="3898791E">
                  <w:pPr>
                    <w:keepNext w:val="0"/>
                    <w:keepLines w:val="0"/>
                    <w:widowControl/>
                    <w:suppressLineNumbers w:val="0"/>
                    <w:jc w:val="center"/>
                    <w:textAlignment w:val="center"/>
                    <w:rPr>
                      <w:rFonts w:hint="default" w:ascii="Times New Roman" w:hAnsi="Times New Roman" w:eastAsia="宋体" w:cs="Times New Roman"/>
                      <w:i w:val="0"/>
                      <w:iCs w:val="0"/>
                      <w:color w:val="FF0000"/>
                      <w:kern w:val="0"/>
                      <w:sz w:val="21"/>
                      <w:szCs w:val="21"/>
                      <w:u w:val="none"/>
                      <w:lang w:val="en-US" w:eastAsia="zh-CN" w:bidi="ar"/>
                    </w:rPr>
                  </w:pPr>
                </w:p>
              </w:tc>
              <w:tc>
                <w:tcPr>
                  <w:tcW w:w="420" w:type="pct"/>
                  <w:vMerge w:val="continue"/>
                  <w:noWrap w:val="0"/>
                  <w:vAlign w:val="center"/>
                </w:tcPr>
                <w:p w14:paraId="7B37E9FC">
                  <w:pPr>
                    <w:keepNext w:val="0"/>
                    <w:keepLines w:val="0"/>
                    <w:widowControl/>
                    <w:suppressLineNumbers w:val="0"/>
                    <w:jc w:val="center"/>
                    <w:textAlignment w:val="center"/>
                    <w:rPr>
                      <w:rFonts w:hint="default" w:ascii="Times New Roman" w:hAnsi="Times New Roman" w:eastAsia="宋体" w:cs="Times New Roman"/>
                      <w:i w:val="0"/>
                      <w:iCs w:val="0"/>
                      <w:color w:val="FF0000"/>
                      <w:kern w:val="0"/>
                      <w:sz w:val="21"/>
                      <w:szCs w:val="21"/>
                      <w:u w:val="none"/>
                      <w:lang w:val="en-US" w:eastAsia="zh-CN" w:bidi="ar"/>
                    </w:rPr>
                  </w:pPr>
                </w:p>
              </w:tc>
              <w:tc>
                <w:tcPr>
                  <w:tcW w:w="1102" w:type="pct"/>
                  <w:noWrap w:val="0"/>
                  <w:vAlign w:val="center"/>
                </w:tcPr>
                <w:p w14:paraId="60DB662D">
                  <w:pPr>
                    <w:keepNext w:val="0"/>
                    <w:keepLines w:val="0"/>
                    <w:widowControl/>
                    <w:suppressLineNumbers w:val="0"/>
                    <w:jc w:val="center"/>
                    <w:textAlignment w:val="center"/>
                    <w:rPr>
                      <w:rFonts w:hint="default" w:ascii="Times New Roman" w:hAnsi="Times New Roman" w:eastAsia="宋体" w:cs="Times New Roman"/>
                      <w:i w:val="0"/>
                      <w:iCs w:val="0"/>
                      <w:color w:val="FF0000"/>
                      <w:kern w:val="0"/>
                      <w:sz w:val="21"/>
                      <w:szCs w:val="21"/>
                      <w:u w:val="none"/>
                      <w:lang w:val="en-US" w:eastAsia="zh-CN" w:bidi="ar"/>
                    </w:rPr>
                  </w:pPr>
                  <w:r>
                    <w:rPr>
                      <w:rFonts w:hint="default" w:ascii="Times New Roman" w:hAnsi="Times New Roman" w:eastAsia="宋体" w:cs="Times New Roman"/>
                      <w:i w:val="0"/>
                      <w:iCs w:val="0"/>
                      <w:color w:val="FF0000"/>
                      <w:kern w:val="0"/>
                      <w:sz w:val="21"/>
                      <w:szCs w:val="21"/>
                      <w:u w:val="none"/>
                      <w:lang w:val="en-US" w:eastAsia="zh-CN" w:bidi="ar"/>
                    </w:rPr>
                    <w:t>废滤清器和废油箱</w:t>
                  </w:r>
                </w:p>
              </w:tc>
              <w:tc>
                <w:tcPr>
                  <w:tcW w:w="882" w:type="pct"/>
                  <w:shd w:val="clear" w:color="auto" w:fill="auto"/>
                  <w:noWrap w:val="0"/>
                  <w:vAlign w:val="center"/>
                </w:tcPr>
                <w:p w14:paraId="1E95A4F8">
                  <w:pPr>
                    <w:keepNext w:val="0"/>
                    <w:keepLines w:val="0"/>
                    <w:widowControl/>
                    <w:suppressLineNumbers w:val="0"/>
                    <w:jc w:val="center"/>
                    <w:textAlignment w:val="center"/>
                    <w:rPr>
                      <w:rFonts w:hint="default" w:ascii="Times New Roman" w:hAnsi="Times New Roman" w:eastAsia="宋体" w:cs="Times New Roman"/>
                      <w:i w:val="0"/>
                      <w:iCs w:val="0"/>
                      <w:color w:val="FF0000"/>
                      <w:kern w:val="0"/>
                      <w:sz w:val="21"/>
                      <w:szCs w:val="21"/>
                      <w:u w:val="none"/>
                      <w:lang w:val="en-US" w:eastAsia="zh-CN" w:bidi="ar"/>
                    </w:rPr>
                  </w:pPr>
                  <w:r>
                    <w:rPr>
                      <w:rFonts w:hint="default" w:ascii="Times New Roman" w:hAnsi="Times New Roman" w:eastAsia="宋体" w:cs="Times New Roman"/>
                      <w:i w:val="0"/>
                      <w:iCs w:val="0"/>
                      <w:color w:val="FF0000"/>
                      <w:kern w:val="0"/>
                      <w:sz w:val="21"/>
                      <w:szCs w:val="21"/>
                      <w:u w:val="none"/>
                      <w:lang w:val="en-US" w:eastAsia="zh-CN" w:bidi="ar"/>
                    </w:rPr>
                    <w:t>128.58</w:t>
                  </w:r>
                </w:p>
              </w:tc>
              <w:tc>
                <w:tcPr>
                  <w:tcW w:w="768" w:type="pct"/>
                  <w:noWrap w:val="0"/>
                  <w:vAlign w:val="center"/>
                </w:tcPr>
                <w:p w14:paraId="63818457">
                  <w:pPr>
                    <w:keepNext w:val="0"/>
                    <w:keepLines w:val="0"/>
                    <w:widowControl/>
                    <w:suppressLineNumbers w:val="0"/>
                    <w:jc w:val="center"/>
                    <w:textAlignment w:val="center"/>
                    <w:rPr>
                      <w:rFonts w:hint="default" w:ascii="Times New Roman" w:hAnsi="Times New Roman" w:eastAsia="宋体" w:cs="Times New Roman"/>
                      <w:i w:val="0"/>
                      <w:iCs w:val="0"/>
                      <w:color w:val="FF0000"/>
                      <w:kern w:val="0"/>
                      <w:sz w:val="21"/>
                      <w:szCs w:val="21"/>
                      <w:u w:val="none"/>
                      <w:lang w:val="en-US" w:eastAsia="zh-CN" w:bidi="ar"/>
                    </w:rPr>
                  </w:pPr>
                  <w:r>
                    <w:rPr>
                      <w:rFonts w:hint="eastAsia" w:ascii="Times New Roman" w:hAnsi="Times New Roman" w:eastAsia="宋体" w:cs="Times New Roman"/>
                      <w:i w:val="0"/>
                      <w:iCs w:val="0"/>
                      <w:color w:val="FF0000"/>
                      <w:kern w:val="0"/>
                      <w:sz w:val="21"/>
                      <w:szCs w:val="21"/>
                      <w:u w:val="none"/>
                      <w:lang w:val="en-US" w:eastAsia="zh-CN" w:bidi="ar"/>
                    </w:rPr>
                    <w:t>0</w:t>
                  </w:r>
                </w:p>
              </w:tc>
              <w:tc>
                <w:tcPr>
                  <w:tcW w:w="768" w:type="pct"/>
                  <w:noWrap w:val="0"/>
                  <w:vAlign w:val="center"/>
                </w:tcPr>
                <w:p w14:paraId="0669B9FF">
                  <w:pPr>
                    <w:keepNext w:val="0"/>
                    <w:keepLines w:val="0"/>
                    <w:widowControl/>
                    <w:suppressLineNumbers w:val="0"/>
                    <w:jc w:val="center"/>
                    <w:textAlignment w:val="center"/>
                    <w:rPr>
                      <w:rFonts w:hint="default" w:ascii="Times New Roman" w:hAnsi="Times New Roman" w:eastAsia="宋体" w:cs="Times New Roman"/>
                      <w:i w:val="0"/>
                      <w:iCs w:val="0"/>
                      <w:color w:val="FF0000"/>
                      <w:kern w:val="0"/>
                      <w:sz w:val="21"/>
                      <w:szCs w:val="21"/>
                      <w:u w:val="none"/>
                      <w:lang w:val="en-US" w:eastAsia="zh-CN" w:bidi="ar"/>
                    </w:rPr>
                  </w:pPr>
                  <w:r>
                    <w:rPr>
                      <w:rFonts w:hint="eastAsia" w:ascii="Times New Roman" w:hAnsi="Times New Roman" w:eastAsia="宋体" w:cs="Times New Roman"/>
                      <w:i w:val="0"/>
                      <w:iCs w:val="0"/>
                      <w:color w:val="FF0000"/>
                      <w:kern w:val="0"/>
                      <w:sz w:val="21"/>
                      <w:szCs w:val="21"/>
                      <w:u w:val="none"/>
                      <w:lang w:val="en-US" w:eastAsia="zh-CN" w:bidi="ar"/>
                    </w:rPr>
                    <w:t>0</w:t>
                  </w:r>
                </w:p>
              </w:tc>
              <w:tc>
                <w:tcPr>
                  <w:tcW w:w="753" w:type="pct"/>
                  <w:noWrap w:val="0"/>
                  <w:vAlign w:val="center"/>
                </w:tcPr>
                <w:p w14:paraId="76531DD8">
                  <w:pPr>
                    <w:keepNext w:val="0"/>
                    <w:keepLines w:val="0"/>
                    <w:widowControl/>
                    <w:suppressLineNumbers w:val="0"/>
                    <w:jc w:val="center"/>
                    <w:textAlignment w:val="center"/>
                    <w:rPr>
                      <w:rFonts w:hint="default" w:ascii="Times New Roman" w:hAnsi="Times New Roman" w:eastAsia="宋体" w:cs="Times New Roman"/>
                      <w:i w:val="0"/>
                      <w:iCs w:val="0"/>
                      <w:color w:val="FF0000"/>
                      <w:kern w:val="0"/>
                      <w:sz w:val="21"/>
                      <w:szCs w:val="21"/>
                      <w:u w:val="none"/>
                      <w:lang w:val="en-US" w:eastAsia="zh-CN" w:bidi="ar"/>
                    </w:rPr>
                  </w:pPr>
                  <w:r>
                    <w:rPr>
                      <w:rFonts w:hint="eastAsia" w:cs="Times New Roman"/>
                      <w:i w:val="0"/>
                      <w:iCs w:val="0"/>
                      <w:color w:val="FF0000"/>
                      <w:kern w:val="0"/>
                      <w:sz w:val="21"/>
                      <w:szCs w:val="21"/>
                      <w:u w:val="none"/>
                      <w:lang w:val="en-US" w:eastAsia="zh-CN" w:bidi="ar"/>
                    </w:rPr>
                    <w:t>/</w:t>
                  </w:r>
                </w:p>
              </w:tc>
            </w:tr>
            <w:tr w14:paraId="256956BB">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6" w:hRule="atLeast"/>
              </w:trPr>
              <w:tc>
                <w:tcPr>
                  <w:tcW w:w="304" w:type="pct"/>
                  <w:vMerge w:val="continue"/>
                  <w:noWrap w:val="0"/>
                  <w:vAlign w:val="center"/>
                </w:tcPr>
                <w:p w14:paraId="3C9B917D">
                  <w:pPr>
                    <w:keepNext w:val="0"/>
                    <w:keepLines w:val="0"/>
                    <w:widowControl/>
                    <w:suppressLineNumbers w:val="0"/>
                    <w:jc w:val="center"/>
                    <w:textAlignment w:val="center"/>
                    <w:rPr>
                      <w:rFonts w:hint="default" w:ascii="Times New Roman" w:hAnsi="Times New Roman" w:eastAsia="宋体" w:cs="Times New Roman"/>
                      <w:i w:val="0"/>
                      <w:iCs w:val="0"/>
                      <w:color w:val="FF0000"/>
                      <w:kern w:val="0"/>
                      <w:sz w:val="21"/>
                      <w:szCs w:val="21"/>
                      <w:u w:val="none"/>
                      <w:lang w:val="en-US" w:eastAsia="zh-CN" w:bidi="ar"/>
                    </w:rPr>
                  </w:pPr>
                </w:p>
              </w:tc>
              <w:tc>
                <w:tcPr>
                  <w:tcW w:w="420" w:type="pct"/>
                  <w:vMerge w:val="continue"/>
                  <w:noWrap w:val="0"/>
                  <w:vAlign w:val="center"/>
                </w:tcPr>
                <w:p w14:paraId="75624A22">
                  <w:pPr>
                    <w:keepNext w:val="0"/>
                    <w:keepLines w:val="0"/>
                    <w:widowControl/>
                    <w:suppressLineNumbers w:val="0"/>
                    <w:jc w:val="center"/>
                    <w:textAlignment w:val="center"/>
                    <w:rPr>
                      <w:rFonts w:hint="default" w:ascii="Times New Roman" w:hAnsi="Times New Roman" w:eastAsia="宋体" w:cs="Times New Roman"/>
                      <w:i w:val="0"/>
                      <w:iCs w:val="0"/>
                      <w:color w:val="FF0000"/>
                      <w:kern w:val="0"/>
                      <w:sz w:val="21"/>
                      <w:szCs w:val="21"/>
                      <w:u w:val="none"/>
                      <w:lang w:val="en-US" w:eastAsia="zh-CN" w:bidi="ar"/>
                    </w:rPr>
                  </w:pPr>
                </w:p>
              </w:tc>
              <w:tc>
                <w:tcPr>
                  <w:tcW w:w="1102" w:type="pct"/>
                  <w:noWrap w:val="0"/>
                  <w:vAlign w:val="center"/>
                </w:tcPr>
                <w:p w14:paraId="6C66E720">
                  <w:pPr>
                    <w:keepNext w:val="0"/>
                    <w:keepLines w:val="0"/>
                    <w:widowControl/>
                    <w:suppressLineNumbers w:val="0"/>
                    <w:jc w:val="center"/>
                    <w:textAlignment w:val="center"/>
                    <w:rPr>
                      <w:rFonts w:hint="default" w:ascii="Times New Roman" w:hAnsi="Times New Roman" w:eastAsia="宋体" w:cs="Times New Roman"/>
                      <w:i w:val="0"/>
                      <w:iCs w:val="0"/>
                      <w:color w:val="FF0000"/>
                      <w:kern w:val="0"/>
                      <w:sz w:val="21"/>
                      <w:szCs w:val="21"/>
                      <w:u w:val="none"/>
                      <w:lang w:val="en-US" w:eastAsia="zh-CN" w:bidi="ar"/>
                    </w:rPr>
                  </w:pPr>
                  <w:r>
                    <w:rPr>
                      <w:rFonts w:hint="default" w:ascii="Times New Roman" w:hAnsi="Times New Roman" w:eastAsia="宋体" w:cs="Times New Roman"/>
                      <w:i w:val="0"/>
                      <w:iCs w:val="0"/>
                      <w:color w:val="FF0000"/>
                      <w:kern w:val="0"/>
                      <w:sz w:val="21"/>
                      <w:szCs w:val="21"/>
                      <w:u w:val="none"/>
                      <w:lang w:val="en-US" w:eastAsia="zh-CN" w:bidi="ar"/>
                    </w:rPr>
                    <w:t>废电路板及电子元件</w:t>
                  </w:r>
                </w:p>
              </w:tc>
              <w:tc>
                <w:tcPr>
                  <w:tcW w:w="882" w:type="pct"/>
                  <w:shd w:val="clear" w:color="auto" w:fill="auto"/>
                  <w:noWrap w:val="0"/>
                  <w:vAlign w:val="center"/>
                </w:tcPr>
                <w:p w14:paraId="16D684FA">
                  <w:pPr>
                    <w:keepNext w:val="0"/>
                    <w:keepLines w:val="0"/>
                    <w:widowControl/>
                    <w:suppressLineNumbers w:val="0"/>
                    <w:jc w:val="center"/>
                    <w:textAlignment w:val="center"/>
                    <w:rPr>
                      <w:rFonts w:hint="default" w:ascii="Times New Roman" w:hAnsi="Times New Roman" w:eastAsia="宋体" w:cs="Times New Roman"/>
                      <w:i w:val="0"/>
                      <w:iCs w:val="0"/>
                      <w:color w:val="FF0000"/>
                      <w:kern w:val="0"/>
                      <w:sz w:val="21"/>
                      <w:szCs w:val="21"/>
                      <w:u w:val="none"/>
                      <w:lang w:val="en-US" w:eastAsia="zh-CN" w:bidi="ar"/>
                    </w:rPr>
                  </w:pPr>
                  <w:r>
                    <w:rPr>
                      <w:rFonts w:hint="default" w:ascii="Times New Roman" w:hAnsi="Times New Roman" w:eastAsia="宋体" w:cs="Times New Roman"/>
                      <w:i w:val="0"/>
                      <w:iCs w:val="0"/>
                      <w:color w:val="FF0000"/>
                      <w:kern w:val="0"/>
                      <w:sz w:val="21"/>
                      <w:szCs w:val="21"/>
                      <w:u w:val="none"/>
                      <w:lang w:val="en-US" w:eastAsia="zh-CN" w:bidi="ar"/>
                    </w:rPr>
                    <w:t>60.59</w:t>
                  </w:r>
                </w:p>
              </w:tc>
              <w:tc>
                <w:tcPr>
                  <w:tcW w:w="768" w:type="pct"/>
                  <w:noWrap w:val="0"/>
                  <w:vAlign w:val="center"/>
                </w:tcPr>
                <w:p w14:paraId="48AF54ED">
                  <w:pPr>
                    <w:keepNext w:val="0"/>
                    <w:keepLines w:val="0"/>
                    <w:widowControl/>
                    <w:suppressLineNumbers w:val="0"/>
                    <w:jc w:val="center"/>
                    <w:textAlignment w:val="center"/>
                    <w:rPr>
                      <w:rFonts w:hint="default" w:ascii="Times New Roman" w:hAnsi="Times New Roman" w:eastAsia="宋体" w:cs="Times New Roman"/>
                      <w:i w:val="0"/>
                      <w:iCs w:val="0"/>
                      <w:color w:val="FF0000"/>
                      <w:kern w:val="0"/>
                      <w:sz w:val="21"/>
                      <w:szCs w:val="21"/>
                      <w:u w:val="none"/>
                      <w:lang w:val="en-US" w:eastAsia="zh-CN" w:bidi="ar"/>
                    </w:rPr>
                  </w:pPr>
                  <w:r>
                    <w:rPr>
                      <w:rFonts w:hint="eastAsia" w:ascii="Times New Roman" w:hAnsi="Times New Roman" w:eastAsia="宋体" w:cs="Times New Roman"/>
                      <w:i w:val="0"/>
                      <w:iCs w:val="0"/>
                      <w:color w:val="FF0000"/>
                      <w:kern w:val="0"/>
                      <w:sz w:val="21"/>
                      <w:szCs w:val="21"/>
                      <w:u w:val="none"/>
                      <w:lang w:val="en-US" w:eastAsia="zh-CN" w:bidi="ar"/>
                    </w:rPr>
                    <w:t>0</w:t>
                  </w:r>
                </w:p>
              </w:tc>
              <w:tc>
                <w:tcPr>
                  <w:tcW w:w="768" w:type="pct"/>
                  <w:noWrap w:val="0"/>
                  <w:vAlign w:val="center"/>
                </w:tcPr>
                <w:p w14:paraId="56F7ED6D">
                  <w:pPr>
                    <w:keepNext w:val="0"/>
                    <w:keepLines w:val="0"/>
                    <w:widowControl/>
                    <w:suppressLineNumbers w:val="0"/>
                    <w:jc w:val="center"/>
                    <w:textAlignment w:val="center"/>
                    <w:rPr>
                      <w:rFonts w:hint="default" w:ascii="Times New Roman" w:hAnsi="Times New Roman" w:eastAsia="宋体" w:cs="Times New Roman"/>
                      <w:i w:val="0"/>
                      <w:iCs w:val="0"/>
                      <w:color w:val="FF0000"/>
                      <w:kern w:val="0"/>
                      <w:sz w:val="21"/>
                      <w:szCs w:val="21"/>
                      <w:u w:val="none"/>
                      <w:lang w:val="en-US" w:eastAsia="zh-CN" w:bidi="ar"/>
                    </w:rPr>
                  </w:pPr>
                  <w:r>
                    <w:rPr>
                      <w:rFonts w:hint="eastAsia" w:ascii="Times New Roman" w:hAnsi="Times New Roman" w:eastAsia="宋体" w:cs="Times New Roman"/>
                      <w:i w:val="0"/>
                      <w:iCs w:val="0"/>
                      <w:color w:val="FF0000"/>
                      <w:kern w:val="0"/>
                      <w:sz w:val="21"/>
                      <w:szCs w:val="21"/>
                      <w:u w:val="none"/>
                      <w:lang w:val="en-US" w:eastAsia="zh-CN" w:bidi="ar"/>
                    </w:rPr>
                    <w:t>0</w:t>
                  </w:r>
                </w:p>
              </w:tc>
              <w:tc>
                <w:tcPr>
                  <w:tcW w:w="753" w:type="pct"/>
                  <w:shd w:val="clear" w:color="auto" w:fill="auto"/>
                  <w:noWrap w:val="0"/>
                  <w:vAlign w:val="center"/>
                </w:tcPr>
                <w:p w14:paraId="25249DFF">
                  <w:pPr>
                    <w:keepNext w:val="0"/>
                    <w:keepLines w:val="0"/>
                    <w:widowControl/>
                    <w:suppressLineNumbers w:val="0"/>
                    <w:jc w:val="center"/>
                    <w:textAlignment w:val="center"/>
                    <w:rPr>
                      <w:rFonts w:hint="default" w:ascii="Times New Roman" w:hAnsi="Times New Roman" w:eastAsia="宋体" w:cs="Times New Roman"/>
                      <w:i w:val="0"/>
                      <w:iCs w:val="0"/>
                      <w:color w:val="FF0000"/>
                      <w:kern w:val="0"/>
                      <w:sz w:val="21"/>
                      <w:szCs w:val="21"/>
                      <w:u w:val="none"/>
                      <w:lang w:val="en-US" w:eastAsia="zh-CN" w:bidi="ar"/>
                    </w:rPr>
                  </w:pPr>
                  <w:r>
                    <w:rPr>
                      <w:rFonts w:hint="eastAsia" w:cs="Times New Roman"/>
                      <w:i w:val="0"/>
                      <w:iCs w:val="0"/>
                      <w:color w:val="FF0000"/>
                      <w:kern w:val="0"/>
                      <w:sz w:val="21"/>
                      <w:szCs w:val="21"/>
                      <w:u w:val="none"/>
                      <w:lang w:val="en-US" w:eastAsia="zh-CN" w:bidi="ar"/>
                    </w:rPr>
                    <w:t>/</w:t>
                  </w:r>
                </w:p>
              </w:tc>
            </w:tr>
            <w:tr w14:paraId="6318B041">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6" w:hRule="atLeast"/>
              </w:trPr>
              <w:tc>
                <w:tcPr>
                  <w:tcW w:w="304" w:type="pct"/>
                  <w:vMerge w:val="continue"/>
                  <w:noWrap w:val="0"/>
                  <w:vAlign w:val="center"/>
                </w:tcPr>
                <w:p w14:paraId="1CF5E223">
                  <w:pPr>
                    <w:keepNext w:val="0"/>
                    <w:keepLines w:val="0"/>
                    <w:widowControl/>
                    <w:suppressLineNumbers w:val="0"/>
                    <w:jc w:val="center"/>
                    <w:textAlignment w:val="center"/>
                    <w:rPr>
                      <w:rFonts w:hint="eastAsia" w:ascii="Times New Roman" w:hAnsi="Times New Roman" w:eastAsia="宋体" w:cs="Times New Roman"/>
                      <w:i w:val="0"/>
                      <w:iCs w:val="0"/>
                      <w:color w:val="FF0000"/>
                      <w:kern w:val="0"/>
                      <w:sz w:val="21"/>
                      <w:szCs w:val="21"/>
                      <w:u w:val="none"/>
                      <w:lang w:val="en-US" w:eastAsia="zh-CN" w:bidi="ar"/>
                    </w:rPr>
                  </w:pPr>
                </w:p>
              </w:tc>
              <w:tc>
                <w:tcPr>
                  <w:tcW w:w="420" w:type="pct"/>
                  <w:vMerge w:val="continue"/>
                  <w:noWrap w:val="0"/>
                  <w:vAlign w:val="center"/>
                </w:tcPr>
                <w:p w14:paraId="6CE31A7B">
                  <w:pPr>
                    <w:keepNext w:val="0"/>
                    <w:keepLines w:val="0"/>
                    <w:widowControl/>
                    <w:suppressLineNumbers w:val="0"/>
                    <w:jc w:val="center"/>
                    <w:textAlignment w:val="center"/>
                    <w:rPr>
                      <w:rFonts w:hint="eastAsia" w:ascii="Times New Roman" w:hAnsi="Times New Roman" w:eastAsia="宋体" w:cs="Times New Roman"/>
                      <w:i w:val="0"/>
                      <w:iCs w:val="0"/>
                      <w:color w:val="FF0000"/>
                      <w:kern w:val="0"/>
                      <w:sz w:val="21"/>
                      <w:szCs w:val="21"/>
                      <w:u w:val="none"/>
                      <w:lang w:val="en-US" w:eastAsia="zh-CN" w:bidi="ar"/>
                    </w:rPr>
                  </w:pPr>
                </w:p>
              </w:tc>
              <w:tc>
                <w:tcPr>
                  <w:tcW w:w="1102" w:type="pct"/>
                  <w:noWrap w:val="0"/>
                  <w:vAlign w:val="center"/>
                </w:tcPr>
                <w:p w14:paraId="677E6DD1">
                  <w:pPr>
                    <w:keepNext w:val="0"/>
                    <w:keepLines w:val="0"/>
                    <w:widowControl/>
                    <w:suppressLineNumbers w:val="0"/>
                    <w:jc w:val="center"/>
                    <w:textAlignment w:val="center"/>
                    <w:rPr>
                      <w:rFonts w:hint="default" w:ascii="Times New Roman" w:hAnsi="Times New Roman" w:eastAsia="宋体" w:cs="Times New Roman"/>
                      <w:i w:val="0"/>
                      <w:iCs w:val="0"/>
                      <w:color w:val="FF0000"/>
                      <w:kern w:val="0"/>
                      <w:sz w:val="21"/>
                      <w:szCs w:val="21"/>
                      <w:u w:val="none"/>
                      <w:lang w:val="en-US" w:eastAsia="zh-CN" w:bidi="ar"/>
                    </w:rPr>
                  </w:pPr>
                  <w:r>
                    <w:rPr>
                      <w:rFonts w:hint="default" w:ascii="Times New Roman" w:hAnsi="Times New Roman" w:eastAsia="宋体" w:cs="Times New Roman"/>
                      <w:i w:val="0"/>
                      <w:iCs w:val="0"/>
                      <w:color w:val="FF0000"/>
                      <w:kern w:val="0"/>
                      <w:sz w:val="21"/>
                      <w:szCs w:val="21"/>
                      <w:u w:val="none"/>
                      <w:lang w:val="en-US" w:eastAsia="zh-CN" w:bidi="ar"/>
                    </w:rPr>
                    <w:t>含铅部件</w:t>
                  </w:r>
                </w:p>
              </w:tc>
              <w:tc>
                <w:tcPr>
                  <w:tcW w:w="882" w:type="pct"/>
                  <w:shd w:val="clear" w:color="auto" w:fill="auto"/>
                  <w:noWrap w:val="0"/>
                  <w:vAlign w:val="center"/>
                </w:tcPr>
                <w:p w14:paraId="307DD506">
                  <w:pPr>
                    <w:keepNext w:val="0"/>
                    <w:keepLines w:val="0"/>
                    <w:widowControl/>
                    <w:suppressLineNumbers w:val="0"/>
                    <w:jc w:val="center"/>
                    <w:textAlignment w:val="center"/>
                    <w:rPr>
                      <w:rFonts w:hint="default" w:ascii="Times New Roman" w:hAnsi="Times New Roman" w:eastAsia="宋体" w:cs="Times New Roman"/>
                      <w:i w:val="0"/>
                      <w:iCs w:val="0"/>
                      <w:color w:val="FF0000"/>
                      <w:kern w:val="0"/>
                      <w:sz w:val="21"/>
                      <w:szCs w:val="21"/>
                      <w:u w:val="none"/>
                      <w:lang w:val="en-US" w:eastAsia="zh-CN" w:bidi="ar"/>
                    </w:rPr>
                  </w:pPr>
                  <w:r>
                    <w:rPr>
                      <w:rFonts w:hint="default" w:ascii="Times New Roman" w:hAnsi="Times New Roman" w:eastAsia="宋体" w:cs="Times New Roman"/>
                      <w:i w:val="0"/>
                      <w:iCs w:val="0"/>
                      <w:color w:val="FF0000"/>
                      <w:kern w:val="0"/>
                      <w:sz w:val="21"/>
                      <w:szCs w:val="21"/>
                      <w:u w:val="none"/>
                      <w:lang w:val="en-US" w:eastAsia="zh-CN" w:bidi="ar"/>
                    </w:rPr>
                    <w:t>2.26</w:t>
                  </w:r>
                </w:p>
              </w:tc>
              <w:tc>
                <w:tcPr>
                  <w:tcW w:w="768" w:type="pct"/>
                  <w:noWrap w:val="0"/>
                  <w:vAlign w:val="center"/>
                </w:tcPr>
                <w:p w14:paraId="266F4A95">
                  <w:pPr>
                    <w:keepNext w:val="0"/>
                    <w:keepLines w:val="0"/>
                    <w:widowControl/>
                    <w:suppressLineNumbers w:val="0"/>
                    <w:jc w:val="center"/>
                    <w:textAlignment w:val="center"/>
                    <w:rPr>
                      <w:rFonts w:hint="default" w:ascii="Times New Roman" w:hAnsi="Times New Roman" w:eastAsia="宋体" w:cs="Times New Roman"/>
                      <w:i w:val="0"/>
                      <w:iCs w:val="0"/>
                      <w:color w:val="FF0000"/>
                      <w:kern w:val="0"/>
                      <w:sz w:val="21"/>
                      <w:szCs w:val="21"/>
                      <w:u w:val="none"/>
                      <w:lang w:val="en-US" w:eastAsia="zh-CN" w:bidi="ar"/>
                    </w:rPr>
                  </w:pPr>
                  <w:r>
                    <w:rPr>
                      <w:rFonts w:hint="eastAsia" w:ascii="Times New Roman" w:hAnsi="Times New Roman" w:eastAsia="宋体" w:cs="Times New Roman"/>
                      <w:i w:val="0"/>
                      <w:iCs w:val="0"/>
                      <w:color w:val="FF0000"/>
                      <w:kern w:val="0"/>
                      <w:sz w:val="21"/>
                      <w:szCs w:val="21"/>
                      <w:u w:val="none"/>
                      <w:lang w:val="en-US" w:eastAsia="zh-CN" w:bidi="ar"/>
                    </w:rPr>
                    <w:t>0</w:t>
                  </w:r>
                </w:p>
              </w:tc>
              <w:tc>
                <w:tcPr>
                  <w:tcW w:w="768" w:type="pct"/>
                  <w:noWrap w:val="0"/>
                  <w:vAlign w:val="center"/>
                </w:tcPr>
                <w:p w14:paraId="1C6EBE2F">
                  <w:pPr>
                    <w:keepNext w:val="0"/>
                    <w:keepLines w:val="0"/>
                    <w:widowControl/>
                    <w:suppressLineNumbers w:val="0"/>
                    <w:jc w:val="center"/>
                    <w:textAlignment w:val="center"/>
                    <w:rPr>
                      <w:rFonts w:hint="default" w:ascii="Times New Roman" w:hAnsi="Times New Roman" w:eastAsia="宋体" w:cs="Times New Roman"/>
                      <w:i w:val="0"/>
                      <w:iCs w:val="0"/>
                      <w:color w:val="FF0000"/>
                      <w:kern w:val="0"/>
                      <w:sz w:val="21"/>
                      <w:szCs w:val="21"/>
                      <w:u w:val="none"/>
                      <w:lang w:val="en-US" w:eastAsia="zh-CN" w:bidi="ar"/>
                    </w:rPr>
                  </w:pPr>
                  <w:r>
                    <w:rPr>
                      <w:rFonts w:hint="eastAsia" w:ascii="Times New Roman" w:hAnsi="Times New Roman" w:eastAsia="宋体" w:cs="Times New Roman"/>
                      <w:i w:val="0"/>
                      <w:iCs w:val="0"/>
                      <w:color w:val="FF0000"/>
                      <w:kern w:val="0"/>
                      <w:sz w:val="21"/>
                      <w:szCs w:val="21"/>
                      <w:u w:val="none"/>
                      <w:lang w:val="en-US" w:eastAsia="zh-CN" w:bidi="ar"/>
                    </w:rPr>
                    <w:t>0</w:t>
                  </w:r>
                </w:p>
              </w:tc>
              <w:tc>
                <w:tcPr>
                  <w:tcW w:w="753" w:type="pct"/>
                  <w:shd w:val="clear" w:color="auto" w:fill="auto"/>
                  <w:noWrap w:val="0"/>
                  <w:vAlign w:val="center"/>
                </w:tcPr>
                <w:p w14:paraId="4CF3236A">
                  <w:pPr>
                    <w:keepNext w:val="0"/>
                    <w:keepLines w:val="0"/>
                    <w:widowControl/>
                    <w:suppressLineNumbers w:val="0"/>
                    <w:jc w:val="center"/>
                    <w:textAlignment w:val="center"/>
                    <w:rPr>
                      <w:rFonts w:hint="default" w:ascii="Times New Roman" w:hAnsi="Times New Roman" w:eastAsia="宋体" w:cs="Times New Roman"/>
                      <w:i w:val="0"/>
                      <w:iCs w:val="0"/>
                      <w:color w:val="FF0000"/>
                      <w:kern w:val="0"/>
                      <w:sz w:val="21"/>
                      <w:szCs w:val="21"/>
                      <w:u w:val="none"/>
                      <w:lang w:val="en-US" w:eastAsia="zh-CN" w:bidi="ar"/>
                    </w:rPr>
                  </w:pPr>
                  <w:r>
                    <w:rPr>
                      <w:rFonts w:hint="eastAsia" w:cs="Times New Roman"/>
                      <w:i w:val="0"/>
                      <w:iCs w:val="0"/>
                      <w:color w:val="FF0000"/>
                      <w:kern w:val="0"/>
                      <w:sz w:val="21"/>
                      <w:szCs w:val="21"/>
                      <w:u w:val="none"/>
                      <w:lang w:val="en-US" w:eastAsia="zh-CN" w:bidi="ar"/>
                    </w:rPr>
                    <w:t>/</w:t>
                  </w:r>
                </w:p>
              </w:tc>
            </w:tr>
            <w:tr w14:paraId="477986B3">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6" w:hRule="atLeast"/>
              </w:trPr>
              <w:tc>
                <w:tcPr>
                  <w:tcW w:w="304" w:type="pct"/>
                  <w:vMerge w:val="continue"/>
                  <w:noWrap w:val="0"/>
                  <w:vAlign w:val="center"/>
                </w:tcPr>
                <w:p w14:paraId="395BE44B">
                  <w:pPr>
                    <w:keepNext w:val="0"/>
                    <w:keepLines w:val="0"/>
                    <w:widowControl/>
                    <w:suppressLineNumbers w:val="0"/>
                    <w:jc w:val="center"/>
                    <w:textAlignment w:val="center"/>
                    <w:rPr>
                      <w:rFonts w:hint="default" w:ascii="Times New Roman" w:hAnsi="Times New Roman" w:eastAsia="宋体" w:cs="Times New Roman"/>
                      <w:i w:val="0"/>
                      <w:iCs w:val="0"/>
                      <w:color w:val="FF0000"/>
                      <w:kern w:val="0"/>
                      <w:sz w:val="21"/>
                      <w:szCs w:val="21"/>
                      <w:u w:val="none"/>
                      <w:lang w:val="en-US" w:eastAsia="zh-CN" w:bidi="ar"/>
                    </w:rPr>
                  </w:pPr>
                </w:p>
              </w:tc>
              <w:tc>
                <w:tcPr>
                  <w:tcW w:w="420" w:type="pct"/>
                  <w:vMerge w:val="continue"/>
                  <w:noWrap w:val="0"/>
                  <w:vAlign w:val="center"/>
                </w:tcPr>
                <w:p w14:paraId="18F270B4">
                  <w:pPr>
                    <w:keepNext w:val="0"/>
                    <w:keepLines w:val="0"/>
                    <w:widowControl/>
                    <w:suppressLineNumbers w:val="0"/>
                    <w:jc w:val="center"/>
                    <w:textAlignment w:val="center"/>
                    <w:rPr>
                      <w:rFonts w:hint="default" w:ascii="Times New Roman" w:hAnsi="Times New Roman" w:eastAsia="宋体" w:cs="Times New Roman"/>
                      <w:i w:val="0"/>
                      <w:iCs w:val="0"/>
                      <w:color w:val="FF0000"/>
                      <w:kern w:val="0"/>
                      <w:sz w:val="21"/>
                      <w:szCs w:val="21"/>
                      <w:u w:val="none"/>
                      <w:lang w:val="en-US" w:eastAsia="zh-CN" w:bidi="ar"/>
                    </w:rPr>
                  </w:pPr>
                </w:p>
              </w:tc>
              <w:tc>
                <w:tcPr>
                  <w:tcW w:w="1102" w:type="pct"/>
                  <w:noWrap w:val="0"/>
                  <w:vAlign w:val="center"/>
                </w:tcPr>
                <w:p w14:paraId="308D6CA5">
                  <w:pPr>
                    <w:keepNext w:val="0"/>
                    <w:keepLines w:val="0"/>
                    <w:widowControl/>
                    <w:suppressLineNumbers w:val="0"/>
                    <w:jc w:val="center"/>
                    <w:textAlignment w:val="center"/>
                    <w:rPr>
                      <w:rFonts w:hint="default" w:ascii="Times New Roman" w:hAnsi="Times New Roman" w:eastAsia="宋体" w:cs="Times New Roman"/>
                      <w:i w:val="0"/>
                      <w:iCs w:val="0"/>
                      <w:color w:val="FF0000"/>
                      <w:kern w:val="0"/>
                      <w:sz w:val="21"/>
                      <w:szCs w:val="21"/>
                      <w:u w:val="none"/>
                      <w:lang w:val="en-US" w:eastAsia="zh-CN" w:bidi="ar"/>
                    </w:rPr>
                  </w:pPr>
                  <w:r>
                    <w:rPr>
                      <w:rFonts w:hint="default" w:ascii="Times New Roman" w:hAnsi="Times New Roman" w:eastAsia="宋体" w:cs="Times New Roman"/>
                      <w:i w:val="0"/>
                      <w:iCs w:val="0"/>
                      <w:color w:val="FF0000"/>
                      <w:kern w:val="0"/>
                      <w:sz w:val="21"/>
                      <w:szCs w:val="21"/>
                      <w:u w:val="none"/>
                      <w:lang w:val="en-US" w:eastAsia="zh-CN" w:bidi="ar"/>
                    </w:rPr>
                    <w:t>含汞部件</w:t>
                  </w:r>
                </w:p>
              </w:tc>
              <w:tc>
                <w:tcPr>
                  <w:tcW w:w="882" w:type="pct"/>
                  <w:shd w:val="clear" w:color="auto" w:fill="auto"/>
                  <w:noWrap w:val="0"/>
                  <w:vAlign w:val="center"/>
                </w:tcPr>
                <w:p w14:paraId="1494A4A3">
                  <w:pPr>
                    <w:keepNext w:val="0"/>
                    <w:keepLines w:val="0"/>
                    <w:widowControl/>
                    <w:suppressLineNumbers w:val="0"/>
                    <w:jc w:val="center"/>
                    <w:textAlignment w:val="center"/>
                    <w:rPr>
                      <w:rFonts w:hint="default" w:ascii="Times New Roman" w:hAnsi="Times New Roman" w:eastAsia="宋体" w:cs="Times New Roman"/>
                      <w:i w:val="0"/>
                      <w:iCs w:val="0"/>
                      <w:color w:val="FF0000"/>
                      <w:kern w:val="0"/>
                      <w:sz w:val="21"/>
                      <w:szCs w:val="21"/>
                      <w:u w:val="none"/>
                      <w:lang w:val="en-US" w:eastAsia="zh-CN" w:bidi="ar"/>
                    </w:rPr>
                  </w:pPr>
                  <w:r>
                    <w:rPr>
                      <w:rFonts w:hint="default" w:ascii="Times New Roman" w:hAnsi="Times New Roman" w:eastAsia="宋体" w:cs="Times New Roman"/>
                      <w:i w:val="0"/>
                      <w:iCs w:val="0"/>
                      <w:color w:val="FF0000"/>
                      <w:kern w:val="0"/>
                      <w:sz w:val="21"/>
                      <w:szCs w:val="21"/>
                      <w:u w:val="none"/>
                      <w:lang w:val="en-US" w:eastAsia="zh-CN" w:bidi="ar"/>
                    </w:rPr>
                    <w:t>0.25</w:t>
                  </w:r>
                </w:p>
              </w:tc>
              <w:tc>
                <w:tcPr>
                  <w:tcW w:w="768" w:type="pct"/>
                  <w:noWrap w:val="0"/>
                  <w:vAlign w:val="center"/>
                </w:tcPr>
                <w:p w14:paraId="2B53048E">
                  <w:pPr>
                    <w:keepNext w:val="0"/>
                    <w:keepLines w:val="0"/>
                    <w:widowControl/>
                    <w:suppressLineNumbers w:val="0"/>
                    <w:jc w:val="center"/>
                    <w:textAlignment w:val="center"/>
                    <w:rPr>
                      <w:rFonts w:hint="default" w:ascii="Times New Roman" w:hAnsi="Times New Roman" w:eastAsia="宋体" w:cs="Times New Roman"/>
                      <w:i w:val="0"/>
                      <w:iCs w:val="0"/>
                      <w:color w:val="FF0000"/>
                      <w:kern w:val="0"/>
                      <w:sz w:val="21"/>
                      <w:szCs w:val="21"/>
                      <w:u w:val="none"/>
                      <w:lang w:val="en-US" w:eastAsia="zh-CN" w:bidi="ar"/>
                    </w:rPr>
                  </w:pPr>
                  <w:r>
                    <w:rPr>
                      <w:rFonts w:hint="eastAsia" w:ascii="Times New Roman" w:hAnsi="Times New Roman" w:eastAsia="宋体" w:cs="Times New Roman"/>
                      <w:i w:val="0"/>
                      <w:iCs w:val="0"/>
                      <w:color w:val="FF0000"/>
                      <w:kern w:val="0"/>
                      <w:sz w:val="21"/>
                      <w:szCs w:val="21"/>
                      <w:u w:val="none"/>
                      <w:lang w:val="en-US" w:eastAsia="zh-CN" w:bidi="ar"/>
                    </w:rPr>
                    <w:t>0</w:t>
                  </w:r>
                </w:p>
              </w:tc>
              <w:tc>
                <w:tcPr>
                  <w:tcW w:w="768" w:type="pct"/>
                  <w:noWrap w:val="0"/>
                  <w:vAlign w:val="center"/>
                </w:tcPr>
                <w:p w14:paraId="2C8676D7">
                  <w:pPr>
                    <w:keepNext w:val="0"/>
                    <w:keepLines w:val="0"/>
                    <w:widowControl/>
                    <w:suppressLineNumbers w:val="0"/>
                    <w:jc w:val="center"/>
                    <w:textAlignment w:val="center"/>
                    <w:rPr>
                      <w:rFonts w:hint="default" w:ascii="Times New Roman" w:hAnsi="Times New Roman" w:eastAsia="宋体" w:cs="Times New Roman"/>
                      <w:i w:val="0"/>
                      <w:iCs w:val="0"/>
                      <w:color w:val="FF0000"/>
                      <w:kern w:val="0"/>
                      <w:sz w:val="21"/>
                      <w:szCs w:val="21"/>
                      <w:u w:val="none"/>
                      <w:lang w:val="en-US" w:eastAsia="zh-CN" w:bidi="ar"/>
                    </w:rPr>
                  </w:pPr>
                  <w:r>
                    <w:rPr>
                      <w:rFonts w:hint="eastAsia" w:ascii="Times New Roman" w:hAnsi="Times New Roman" w:eastAsia="宋体" w:cs="Times New Roman"/>
                      <w:i w:val="0"/>
                      <w:iCs w:val="0"/>
                      <w:color w:val="FF0000"/>
                      <w:kern w:val="0"/>
                      <w:sz w:val="21"/>
                      <w:szCs w:val="21"/>
                      <w:u w:val="none"/>
                      <w:lang w:val="en-US" w:eastAsia="zh-CN" w:bidi="ar"/>
                    </w:rPr>
                    <w:t>0</w:t>
                  </w:r>
                </w:p>
              </w:tc>
              <w:tc>
                <w:tcPr>
                  <w:tcW w:w="753" w:type="pct"/>
                  <w:shd w:val="clear" w:color="auto" w:fill="auto"/>
                  <w:noWrap w:val="0"/>
                  <w:vAlign w:val="center"/>
                </w:tcPr>
                <w:p w14:paraId="5757BF01">
                  <w:pPr>
                    <w:keepNext w:val="0"/>
                    <w:keepLines w:val="0"/>
                    <w:widowControl/>
                    <w:suppressLineNumbers w:val="0"/>
                    <w:jc w:val="center"/>
                    <w:textAlignment w:val="center"/>
                    <w:rPr>
                      <w:rFonts w:hint="default" w:ascii="Times New Roman" w:hAnsi="Times New Roman" w:eastAsia="宋体" w:cs="Times New Roman"/>
                      <w:i w:val="0"/>
                      <w:iCs w:val="0"/>
                      <w:color w:val="FF0000"/>
                      <w:kern w:val="0"/>
                      <w:sz w:val="21"/>
                      <w:szCs w:val="21"/>
                      <w:u w:val="none"/>
                      <w:lang w:val="en-US" w:eastAsia="zh-CN" w:bidi="ar"/>
                    </w:rPr>
                  </w:pPr>
                  <w:r>
                    <w:rPr>
                      <w:rFonts w:hint="eastAsia" w:cs="Times New Roman"/>
                      <w:i w:val="0"/>
                      <w:iCs w:val="0"/>
                      <w:color w:val="FF0000"/>
                      <w:kern w:val="0"/>
                      <w:sz w:val="21"/>
                      <w:szCs w:val="21"/>
                      <w:u w:val="none"/>
                      <w:lang w:val="en-US" w:eastAsia="zh-CN" w:bidi="ar"/>
                    </w:rPr>
                    <w:t>/</w:t>
                  </w:r>
                </w:p>
              </w:tc>
            </w:tr>
            <w:tr w14:paraId="2E16D795">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PrEx>
              <w:trPr>
                <w:trHeight w:val="26" w:hRule="atLeast"/>
              </w:trPr>
              <w:tc>
                <w:tcPr>
                  <w:tcW w:w="304" w:type="pct"/>
                  <w:vMerge w:val="continue"/>
                  <w:noWrap w:val="0"/>
                  <w:vAlign w:val="center"/>
                </w:tcPr>
                <w:p w14:paraId="3B2ADABC">
                  <w:pPr>
                    <w:keepNext w:val="0"/>
                    <w:keepLines w:val="0"/>
                    <w:widowControl/>
                    <w:suppressLineNumbers w:val="0"/>
                    <w:jc w:val="center"/>
                    <w:textAlignment w:val="center"/>
                    <w:rPr>
                      <w:rFonts w:hint="default" w:ascii="Times New Roman" w:hAnsi="Times New Roman" w:eastAsia="宋体" w:cs="Times New Roman"/>
                      <w:i w:val="0"/>
                      <w:iCs w:val="0"/>
                      <w:color w:val="FF0000"/>
                      <w:kern w:val="0"/>
                      <w:sz w:val="21"/>
                      <w:szCs w:val="21"/>
                      <w:u w:val="none"/>
                      <w:lang w:val="en-US" w:eastAsia="zh-CN" w:bidi="ar"/>
                    </w:rPr>
                  </w:pPr>
                </w:p>
              </w:tc>
              <w:tc>
                <w:tcPr>
                  <w:tcW w:w="420" w:type="pct"/>
                  <w:vMerge w:val="continue"/>
                  <w:noWrap w:val="0"/>
                  <w:vAlign w:val="center"/>
                </w:tcPr>
                <w:p w14:paraId="3B20D7C3">
                  <w:pPr>
                    <w:keepNext w:val="0"/>
                    <w:keepLines w:val="0"/>
                    <w:widowControl/>
                    <w:suppressLineNumbers w:val="0"/>
                    <w:jc w:val="center"/>
                    <w:textAlignment w:val="center"/>
                    <w:rPr>
                      <w:rFonts w:hint="default" w:ascii="Times New Roman" w:hAnsi="Times New Roman" w:eastAsia="宋体" w:cs="Times New Roman"/>
                      <w:i w:val="0"/>
                      <w:iCs w:val="0"/>
                      <w:color w:val="FF0000"/>
                      <w:kern w:val="0"/>
                      <w:sz w:val="21"/>
                      <w:szCs w:val="21"/>
                      <w:u w:val="none"/>
                      <w:lang w:val="en-US" w:eastAsia="zh-CN" w:bidi="ar"/>
                    </w:rPr>
                  </w:pPr>
                </w:p>
              </w:tc>
              <w:tc>
                <w:tcPr>
                  <w:tcW w:w="1102" w:type="pct"/>
                  <w:noWrap w:val="0"/>
                  <w:vAlign w:val="center"/>
                </w:tcPr>
                <w:p w14:paraId="24CD69F0">
                  <w:pPr>
                    <w:keepNext w:val="0"/>
                    <w:keepLines w:val="0"/>
                    <w:widowControl/>
                    <w:suppressLineNumbers w:val="0"/>
                    <w:jc w:val="center"/>
                    <w:textAlignment w:val="center"/>
                    <w:rPr>
                      <w:rFonts w:hint="default" w:ascii="Times New Roman" w:hAnsi="Times New Roman" w:eastAsia="宋体" w:cs="Times New Roman"/>
                      <w:i w:val="0"/>
                      <w:iCs w:val="0"/>
                      <w:color w:val="FF0000"/>
                      <w:kern w:val="0"/>
                      <w:sz w:val="21"/>
                      <w:szCs w:val="21"/>
                      <w:u w:val="none"/>
                      <w:lang w:val="en-US" w:eastAsia="zh-CN" w:bidi="ar"/>
                    </w:rPr>
                  </w:pPr>
                  <w:r>
                    <w:rPr>
                      <w:rFonts w:hint="default" w:ascii="Times New Roman" w:hAnsi="Times New Roman" w:eastAsia="宋体" w:cs="Times New Roman"/>
                      <w:i w:val="0"/>
                      <w:iCs w:val="0"/>
                      <w:color w:val="FF0000"/>
                      <w:kern w:val="0"/>
                      <w:sz w:val="21"/>
                      <w:szCs w:val="21"/>
                      <w:u w:val="none"/>
                      <w:lang w:val="en-US" w:eastAsia="zh-CN" w:bidi="ar"/>
                    </w:rPr>
                    <w:t>废活性炭</w:t>
                  </w:r>
                </w:p>
              </w:tc>
              <w:tc>
                <w:tcPr>
                  <w:tcW w:w="882" w:type="pct"/>
                  <w:shd w:val="clear" w:color="auto" w:fill="auto"/>
                  <w:noWrap w:val="0"/>
                  <w:vAlign w:val="center"/>
                </w:tcPr>
                <w:p w14:paraId="0850A1AF">
                  <w:pPr>
                    <w:keepNext w:val="0"/>
                    <w:keepLines w:val="0"/>
                    <w:widowControl/>
                    <w:suppressLineNumbers w:val="0"/>
                    <w:jc w:val="center"/>
                    <w:textAlignment w:val="center"/>
                    <w:rPr>
                      <w:rFonts w:hint="default" w:ascii="Times New Roman" w:hAnsi="Times New Roman" w:eastAsia="宋体" w:cs="Times New Roman"/>
                      <w:i w:val="0"/>
                      <w:iCs w:val="0"/>
                      <w:color w:val="FF0000"/>
                      <w:kern w:val="0"/>
                      <w:sz w:val="21"/>
                      <w:szCs w:val="21"/>
                      <w:u w:val="none"/>
                      <w:lang w:val="en-US" w:eastAsia="zh-CN" w:bidi="ar"/>
                    </w:rPr>
                  </w:pPr>
                  <w:r>
                    <w:rPr>
                      <w:rFonts w:hint="default" w:ascii="Times New Roman" w:hAnsi="Times New Roman" w:eastAsia="宋体" w:cs="Times New Roman"/>
                      <w:i w:val="0"/>
                      <w:iCs w:val="0"/>
                      <w:color w:val="FF0000"/>
                      <w:kern w:val="0"/>
                      <w:sz w:val="21"/>
                      <w:szCs w:val="21"/>
                      <w:u w:val="none"/>
                      <w:lang w:val="en-US" w:eastAsia="zh-CN" w:bidi="ar"/>
                    </w:rPr>
                    <w:t>4.463</w:t>
                  </w:r>
                </w:p>
              </w:tc>
              <w:tc>
                <w:tcPr>
                  <w:tcW w:w="768" w:type="pct"/>
                  <w:noWrap w:val="0"/>
                  <w:vAlign w:val="center"/>
                </w:tcPr>
                <w:p w14:paraId="6FB88C13">
                  <w:pPr>
                    <w:keepNext w:val="0"/>
                    <w:keepLines w:val="0"/>
                    <w:widowControl/>
                    <w:suppressLineNumbers w:val="0"/>
                    <w:jc w:val="center"/>
                    <w:textAlignment w:val="center"/>
                    <w:rPr>
                      <w:rFonts w:hint="default" w:ascii="Times New Roman" w:hAnsi="Times New Roman" w:eastAsia="宋体" w:cs="Times New Roman"/>
                      <w:i w:val="0"/>
                      <w:iCs w:val="0"/>
                      <w:color w:val="FF0000"/>
                      <w:kern w:val="0"/>
                      <w:sz w:val="21"/>
                      <w:szCs w:val="21"/>
                      <w:u w:val="none"/>
                      <w:lang w:val="en-US" w:eastAsia="zh-CN" w:bidi="ar"/>
                    </w:rPr>
                  </w:pPr>
                  <w:r>
                    <w:rPr>
                      <w:rFonts w:hint="eastAsia" w:ascii="Times New Roman" w:hAnsi="Times New Roman" w:eastAsia="宋体" w:cs="Times New Roman"/>
                      <w:i w:val="0"/>
                      <w:iCs w:val="0"/>
                      <w:color w:val="FF0000"/>
                      <w:kern w:val="0"/>
                      <w:sz w:val="21"/>
                      <w:szCs w:val="21"/>
                      <w:u w:val="none"/>
                      <w:lang w:val="en-US" w:eastAsia="zh-CN" w:bidi="ar"/>
                    </w:rPr>
                    <w:t>0</w:t>
                  </w:r>
                </w:p>
              </w:tc>
              <w:tc>
                <w:tcPr>
                  <w:tcW w:w="768" w:type="pct"/>
                  <w:noWrap w:val="0"/>
                  <w:vAlign w:val="center"/>
                </w:tcPr>
                <w:p w14:paraId="5209E6D7">
                  <w:pPr>
                    <w:keepNext w:val="0"/>
                    <w:keepLines w:val="0"/>
                    <w:widowControl/>
                    <w:suppressLineNumbers w:val="0"/>
                    <w:jc w:val="center"/>
                    <w:textAlignment w:val="center"/>
                    <w:rPr>
                      <w:rFonts w:hint="default" w:ascii="Times New Roman" w:hAnsi="Times New Roman" w:eastAsia="宋体" w:cs="Times New Roman"/>
                      <w:i w:val="0"/>
                      <w:iCs w:val="0"/>
                      <w:color w:val="FF0000"/>
                      <w:kern w:val="0"/>
                      <w:sz w:val="21"/>
                      <w:szCs w:val="21"/>
                      <w:u w:val="none"/>
                      <w:lang w:val="en-US" w:eastAsia="zh-CN" w:bidi="ar"/>
                    </w:rPr>
                  </w:pPr>
                  <w:r>
                    <w:rPr>
                      <w:rFonts w:hint="eastAsia" w:ascii="Times New Roman" w:hAnsi="Times New Roman" w:eastAsia="宋体" w:cs="Times New Roman"/>
                      <w:i w:val="0"/>
                      <w:iCs w:val="0"/>
                      <w:color w:val="FF0000"/>
                      <w:kern w:val="0"/>
                      <w:sz w:val="21"/>
                      <w:szCs w:val="21"/>
                      <w:u w:val="none"/>
                      <w:lang w:val="en-US" w:eastAsia="zh-CN" w:bidi="ar"/>
                    </w:rPr>
                    <w:t>0</w:t>
                  </w:r>
                </w:p>
              </w:tc>
              <w:tc>
                <w:tcPr>
                  <w:tcW w:w="753" w:type="pct"/>
                  <w:shd w:val="clear" w:color="auto" w:fill="auto"/>
                  <w:noWrap w:val="0"/>
                  <w:vAlign w:val="center"/>
                </w:tcPr>
                <w:p w14:paraId="07AA5B9D">
                  <w:pPr>
                    <w:keepNext w:val="0"/>
                    <w:keepLines w:val="0"/>
                    <w:widowControl/>
                    <w:suppressLineNumbers w:val="0"/>
                    <w:jc w:val="center"/>
                    <w:textAlignment w:val="center"/>
                    <w:rPr>
                      <w:rFonts w:hint="default" w:ascii="Times New Roman" w:hAnsi="Times New Roman" w:eastAsia="宋体" w:cs="Times New Roman"/>
                      <w:i w:val="0"/>
                      <w:iCs w:val="0"/>
                      <w:color w:val="FF0000"/>
                      <w:kern w:val="0"/>
                      <w:sz w:val="21"/>
                      <w:szCs w:val="21"/>
                      <w:u w:val="none"/>
                      <w:lang w:val="en-US" w:eastAsia="zh-CN" w:bidi="ar"/>
                    </w:rPr>
                  </w:pPr>
                  <w:r>
                    <w:rPr>
                      <w:rFonts w:hint="eastAsia" w:cs="Times New Roman"/>
                      <w:i w:val="0"/>
                      <w:iCs w:val="0"/>
                      <w:color w:val="FF0000"/>
                      <w:kern w:val="0"/>
                      <w:sz w:val="21"/>
                      <w:szCs w:val="21"/>
                      <w:u w:val="none"/>
                      <w:lang w:val="en-US" w:eastAsia="zh-CN" w:bidi="ar"/>
                    </w:rPr>
                    <w:t>/</w:t>
                  </w:r>
                </w:p>
              </w:tc>
            </w:tr>
            <w:tr w14:paraId="3FDC691D">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6" w:hRule="atLeast"/>
              </w:trPr>
              <w:tc>
                <w:tcPr>
                  <w:tcW w:w="304" w:type="pct"/>
                  <w:vMerge w:val="continue"/>
                  <w:noWrap w:val="0"/>
                  <w:vAlign w:val="center"/>
                </w:tcPr>
                <w:p w14:paraId="7EF51251">
                  <w:pPr>
                    <w:keepNext w:val="0"/>
                    <w:keepLines w:val="0"/>
                    <w:widowControl/>
                    <w:suppressLineNumbers w:val="0"/>
                    <w:jc w:val="center"/>
                    <w:textAlignment w:val="center"/>
                    <w:rPr>
                      <w:rFonts w:hint="default" w:ascii="Times New Roman" w:hAnsi="Times New Roman" w:eastAsia="宋体" w:cs="Times New Roman"/>
                      <w:i w:val="0"/>
                      <w:iCs w:val="0"/>
                      <w:color w:val="FF0000"/>
                      <w:kern w:val="0"/>
                      <w:sz w:val="21"/>
                      <w:szCs w:val="21"/>
                      <w:u w:val="none"/>
                      <w:lang w:val="en-US" w:eastAsia="zh-CN" w:bidi="ar"/>
                    </w:rPr>
                  </w:pPr>
                </w:p>
              </w:tc>
              <w:tc>
                <w:tcPr>
                  <w:tcW w:w="420" w:type="pct"/>
                  <w:vMerge w:val="continue"/>
                  <w:noWrap w:val="0"/>
                  <w:vAlign w:val="center"/>
                </w:tcPr>
                <w:p w14:paraId="16B8D072">
                  <w:pPr>
                    <w:keepNext w:val="0"/>
                    <w:keepLines w:val="0"/>
                    <w:widowControl/>
                    <w:suppressLineNumbers w:val="0"/>
                    <w:jc w:val="center"/>
                    <w:textAlignment w:val="center"/>
                    <w:rPr>
                      <w:rFonts w:hint="default" w:ascii="Times New Roman" w:hAnsi="Times New Roman" w:eastAsia="宋体" w:cs="Times New Roman"/>
                      <w:i w:val="0"/>
                      <w:iCs w:val="0"/>
                      <w:color w:val="FF0000"/>
                      <w:kern w:val="0"/>
                      <w:sz w:val="21"/>
                      <w:szCs w:val="21"/>
                      <w:u w:val="none"/>
                      <w:lang w:val="en-US" w:eastAsia="zh-CN" w:bidi="ar"/>
                    </w:rPr>
                  </w:pPr>
                </w:p>
              </w:tc>
              <w:tc>
                <w:tcPr>
                  <w:tcW w:w="1102" w:type="pct"/>
                  <w:noWrap w:val="0"/>
                  <w:vAlign w:val="center"/>
                </w:tcPr>
                <w:p w14:paraId="63155E6F">
                  <w:pPr>
                    <w:keepNext w:val="0"/>
                    <w:keepLines w:val="0"/>
                    <w:widowControl/>
                    <w:suppressLineNumbers w:val="0"/>
                    <w:jc w:val="center"/>
                    <w:textAlignment w:val="center"/>
                    <w:rPr>
                      <w:rFonts w:hint="default" w:ascii="Times New Roman" w:hAnsi="Times New Roman" w:eastAsia="宋体" w:cs="Times New Roman"/>
                      <w:i w:val="0"/>
                      <w:iCs w:val="0"/>
                      <w:color w:val="FF0000"/>
                      <w:kern w:val="0"/>
                      <w:sz w:val="21"/>
                      <w:szCs w:val="21"/>
                      <w:u w:val="none"/>
                      <w:lang w:val="en-US" w:eastAsia="zh-CN" w:bidi="ar"/>
                    </w:rPr>
                  </w:pPr>
                  <w:r>
                    <w:rPr>
                      <w:rFonts w:hint="default" w:ascii="Times New Roman" w:hAnsi="Times New Roman" w:eastAsia="宋体" w:cs="Times New Roman"/>
                      <w:i w:val="0"/>
                      <w:iCs w:val="0"/>
                      <w:color w:val="FF0000"/>
                      <w:kern w:val="0"/>
                      <w:sz w:val="21"/>
                      <w:szCs w:val="21"/>
                      <w:u w:val="none"/>
                      <w:lang w:val="en-US" w:eastAsia="zh-CN" w:bidi="ar"/>
                    </w:rPr>
                    <w:t>油泥</w:t>
                  </w:r>
                  <w:r>
                    <w:rPr>
                      <w:rFonts w:hint="eastAsia" w:ascii="Times New Roman" w:hAnsi="Times New Roman" w:eastAsia="宋体" w:cs="Times New Roman"/>
                      <w:i w:val="0"/>
                      <w:iCs w:val="0"/>
                      <w:color w:val="FF0000"/>
                      <w:kern w:val="0"/>
                      <w:sz w:val="21"/>
                      <w:szCs w:val="21"/>
                      <w:u w:val="none"/>
                      <w:lang w:val="en-US" w:eastAsia="zh-CN" w:bidi="ar"/>
                    </w:rPr>
                    <w:t>及沉渣</w:t>
                  </w:r>
                </w:p>
              </w:tc>
              <w:tc>
                <w:tcPr>
                  <w:tcW w:w="882" w:type="pct"/>
                  <w:shd w:val="clear" w:color="auto" w:fill="auto"/>
                  <w:noWrap w:val="0"/>
                  <w:vAlign w:val="center"/>
                </w:tcPr>
                <w:p w14:paraId="09432706">
                  <w:pPr>
                    <w:keepNext w:val="0"/>
                    <w:keepLines w:val="0"/>
                    <w:widowControl/>
                    <w:suppressLineNumbers w:val="0"/>
                    <w:jc w:val="center"/>
                    <w:textAlignment w:val="center"/>
                    <w:rPr>
                      <w:rFonts w:hint="default" w:ascii="Times New Roman" w:hAnsi="Times New Roman" w:eastAsia="宋体" w:cs="Times New Roman"/>
                      <w:i w:val="0"/>
                      <w:iCs w:val="0"/>
                      <w:color w:val="FF0000"/>
                      <w:kern w:val="0"/>
                      <w:sz w:val="21"/>
                      <w:szCs w:val="21"/>
                      <w:u w:val="none"/>
                      <w:lang w:val="en-US" w:eastAsia="zh-CN" w:bidi="ar"/>
                    </w:rPr>
                  </w:pPr>
                  <w:r>
                    <w:rPr>
                      <w:rFonts w:hint="eastAsia" w:ascii="Times New Roman" w:hAnsi="Times New Roman" w:eastAsia="宋体" w:cs="Times New Roman"/>
                      <w:i w:val="0"/>
                      <w:iCs w:val="0"/>
                      <w:color w:val="FF0000"/>
                      <w:kern w:val="0"/>
                      <w:sz w:val="21"/>
                      <w:szCs w:val="21"/>
                      <w:u w:val="none"/>
                      <w:lang w:val="en-US" w:eastAsia="zh-CN" w:bidi="ar"/>
                    </w:rPr>
                    <w:t>1.024</w:t>
                  </w:r>
                </w:p>
              </w:tc>
              <w:tc>
                <w:tcPr>
                  <w:tcW w:w="768" w:type="pct"/>
                  <w:noWrap w:val="0"/>
                  <w:vAlign w:val="center"/>
                </w:tcPr>
                <w:p w14:paraId="755DD335">
                  <w:pPr>
                    <w:keepNext w:val="0"/>
                    <w:keepLines w:val="0"/>
                    <w:widowControl/>
                    <w:suppressLineNumbers w:val="0"/>
                    <w:jc w:val="center"/>
                    <w:textAlignment w:val="center"/>
                    <w:rPr>
                      <w:rFonts w:hint="default" w:ascii="Times New Roman" w:hAnsi="Times New Roman" w:eastAsia="宋体" w:cs="Times New Roman"/>
                      <w:i w:val="0"/>
                      <w:iCs w:val="0"/>
                      <w:color w:val="FF0000"/>
                      <w:kern w:val="0"/>
                      <w:sz w:val="21"/>
                      <w:szCs w:val="21"/>
                      <w:u w:val="none"/>
                      <w:lang w:val="en-US" w:eastAsia="zh-CN" w:bidi="ar"/>
                    </w:rPr>
                  </w:pPr>
                  <w:r>
                    <w:rPr>
                      <w:rFonts w:hint="eastAsia" w:ascii="Times New Roman" w:hAnsi="Times New Roman" w:eastAsia="宋体" w:cs="Times New Roman"/>
                      <w:i w:val="0"/>
                      <w:iCs w:val="0"/>
                      <w:color w:val="FF0000"/>
                      <w:kern w:val="0"/>
                      <w:sz w:val="21"/>
                      <w:szCs w:val="21"/>
                      <w:u w:val="none"/>
                      <w:lang w:val="en-US" w:eastAsia="zh-CN" w:bidi="ar"/>
                    </w:rPr>
                    <w:t>0</w:t>
                  </w:r>
                </w:p>
              </w:tc>
              <w:tc>
                <w:tcPr>
                  <w:tcW w:w="768" w:type="pct"/>
                  <w:noWrap w:val="0"/>
                  <w:vAlign w:val="center"/>
                </w:tcPr>
                <w:p w14:paraId="45999647">
                  <w:pPr>
                    <w:keepNext w:val="0"/>
                    <w:keepLines w:val="0"/>
                    <w:widowControl/>
                    <w:suppressLineNumbers w:val="0"/>
                    <w:jc w:val="center"/>
                    <w:textAlignment w:val="center"/>
                    <w:rPr>
                      <w:rFonts w:hint="default" w:ascii="Times New Roman" w:hAnsi="Times New Roman" w:eastAsia="宋体" w:cs="Times New Roman"/>
                      <w:i w:val="0"/>
                      <w:iCs w:val="0"/>
                      <w:color w:val="FF0000"/>
                      <w:kern w:val="0"/>
                      <w:sz w:val="21"/>
                      <w:szCs w:val="21"/>
                      <w:u w:val="none"/>
                      <w:lang w:val="en-US" w:eastAsia="zh-CN" w:bidi="ar"/>
                    </w:rPr>
                  </w:pPr>
                  <w:r>
                    <w:rPr>
                      <w:rFonts w:hint="eastAsia" w:ascii="Times New Roman" w:hAnsi="Times New Roman" w:eastAsia="宋体" w:cs="Times New Roman"/>
                      <w:i w:val="0"/>
                      <w:iCs w:val="0"/>
                      <w:color w:val="FF0000"/>
                      <w:kern w:val="0"/>
                      <w:sz w:val="21"/>
                      <w:szCs w:val="21"/>
                      <w:u w:val="none"/>
                      <w:lang w:val="en-US" w:eastAsia="zh-CN" w:bidi="ar"/>
                    </w:rPr>
                    <w:t>0</w:t>
                  </w:r>
                </w:p>
              </w:tc>
              <w:tc>
                <w:tcPr>
                  <w:tcW w:w="753" w:type="pct"/>
                  <w:shd w:val="clear" w:color="auto" w:fill="auto"/>
                  <w:noWrap w:val="0"/>
                  <w:vAlign w:val="center"/>
                </w:tcPr>
                <w:p w14:paraId="34E043EC">
                  <w:pPr>
                    <w:keepNext w:val="0"/>
                    <w:keepLines w:val="0"/>
                    <w:widowControl/>
                    <w:suppressLineNumbers w:val="0"/>
                    <w:jc w:val="center"/>
                    <w:textAlignment w:val="center"/>
                    <w:rPr>
                      <w:rFonts w:hint="default" w:ascii="Times New Roman" w:hAnsi="Times New Roman" w:eastAsia="宋体" w:cs="Times New Roman"/>
                      <w:i w:val="0"/>
                      <w:iCs w:val="0"/>
                      <w:color w:val="FF0000"/>
                      <w:kern w:val="0"/>
                      <w:sz w:val="21"/>
                      <w:szCs w:val="21"/>
                      <w:u w:val="none"/>
                      <w:lang w:val="en-US" w:eastAsia="zh-CN" w:bidi="ar"/>
                    </w:rPr>
                  </w:pPr>
                  <w:r>
                    <w:rPr>
                      <w:rFonts w:hint="eastAsia" w:cs="Times New Roman"/>
                      <w:i w:val="0"/>
                      <w:iCs w:val="0"/>
                      <w:color w:val="FF0000"/>
                      <w:kern w:val="0"/>
                      <w:sz w:val="21"/>
                      <w:szCs w:val="21"/>
                      <w:u w:val="none"/>
                      <w:lang w:val="en-US" w:eastAsia="zh-CN" w:bidi="ar"/>
                    </w:rPr>
                    <w:t>/</w:t>
                  </w:r>
                </w:p>
              </w:tc>
            </w:tr>
            <w:tr w14:paraId="5478A920">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6" w:hRule="atLeast"/>
              </w:trPr>
              <w:tc>
                <w:tcPr>
                  <w:tcW w:w="304" w:type="pct"/>
                  <w:vMerge w:val="continue"/>
                  <w:noWrap w:val="0"/>
                  <w:vAlign w:val="center"/>
                </w:tcPr>
                <w:p w14:paraId="7271ED89">
                  <w:pPr>
                    <w:keepNext w:val="0"/>
                    <w:keepLines w:val="0"/>
                    <w:widowControl/>
                    <w:suppressLineNumbers w:val="0"/>
                    <w:jc w:val="center"/>
                    <w:textAlignment w:val="center"/>
                    <w:rPr>
                      <w:rFonts w:hint="default" w:ascii="Times New Roman" w:hAnsi="Times New Roman" w:eastAsia="宋体" w:cs="Times New Roman"/>
                      <w:i w:val="0"/>
                      <w:iCs w:val="0"/>
                      <w:color w:val="FF0000"/>
                      <w:kern w:val="0"/>
                      <w:sz w:val="21"/>
                      <w:szCs w:val="21"/>
                      <w:u w:val="none"/>
                      <w:lang w:val="en-US" w:eastAsia="zh-CN" w:bidi="ar"/>
                    </w:rPr>
                  </w:pPr>
                </w:p>
              </w:tc>
              <w:tc>
                <w:tcPr>
                  <w:tcW w:w="420" w:type="pct"/>
                  <w:vMerge w:val="continue"/>
                  <w:noWrap w:val="0"/>
                  <w:vAlign w:val="center"/>
                </w:tcPr>
                <w:p w14:paraId="55643B82">
                  <w:pPr>
                    <w:keepNext w:val="0"/>
                    <w:keepLines w:val="0"/>
                    <w:widowControl/>
                    <w:suppressLineNumbers w:val="0"/>
                    <w:jc w:val="center"/>
                    <w:textAlignment w:val="center"/>
                    <w:rPr>
                      <w:rFonts w:hint="default" w:ascii="Times New Roman" w:hAnsi="Times New Roman" w:eastAsia="宋体" w:cs="Times New Roman"/>
                      <w:i w:val="0"/>
                      <w:iCs w:val="0"/>
                      <w:color w:val="FF0000"/>
                      <w:kern w:val="0"/>
                      <w:sz w:val="21"/>
                      <w:szCs w:val="21"/>
                      <w:u w:val="none"/>
                      <w:lang w:val="en-US" w:eastAsia="zh-CN" w:bidi="ar"/>
                    </w:rPr>
                  </w:pPr>
                </w:p>
              </w:tc>
              <w:tc>
                <w:tcPr>
                  <w:tcW w:w="1102" w:type="pct"/>
                  <w:noWrap w:val="0"/>
                  <w:vAlign w:val="center"/>
                </w:tcPr>
                <w:p w14:paraId="5DF78AAA">
                  <w:pPr>
                    <w:keepNext w:val="0"/>
                    <w:keepLines w:val="0"/>
                    <w:widowControl/>
                    <w:suppressLineNumbers w:val="0"/>
                    <w:jc w:val="center"/>
                    <w:textAlignment w:val="center"/>
                    <w:rPr>
                      <w:rFonts w:hint="default" w:ascii="Times New Roman" w:hAnsi="Times New Roman" w:eastAsia="宋体" w:cs="Times New Roman"/>
                      <w:i w:val="0"/>
                      <w:iCs w:val="0"/>
                      <w:color w:val="FF0000"/>
                      <w:kern w:val="0"/>
                      <w:sz w:val="21"/>
                      <w:szCs w:val="21"/>
                      <w:u w:val="none"/>
                      <w:lang w:val="en-US" w:eastAsia="zh-CN" w:bidi="ar"/>
                    </w:rPr>
                  </w:pPr>
                  <w:r>
                    <w:rPr>
                      <w:rFonts w:hint="default" w:ascii="Times New Roman" w:hAnsi="Times New Roman" w:eastAsia="宋体" w:cs="Times New Roman"/>
                      <w:i w:val="0"/>
                      <w:iCs w:val="0"/>
                      <w:color w:val="FF0000"/>
                      <w:kern w:val="0"/>
                      <w:sz w:val="21"/>
                      <w:szCs w:val="21"/>
                      <w:u w:val="none"/>
                      <w:lang w:val="en-US" w:eastAsia="zh-CN" w:bidi="ar"/>
                    </w:rPr>
                    <w:t>含多氯联苯废电容器</w:t>
                  </w:r>
                </w:p>
              </w:tc>
              <w:tc>
                <w:tcPr>
                  <w:tcW w:w="882" w:type="pct"/>
                  <w:shd w:val="clear" w:color="auto" w:fill="auto"/>
                  <w:noWrap w:val="0"/>
                  <w:vAlign w:val="center"/>
                </w:tcPr>
                <w:p w14:paraId="4AEF94A1">
                  <w:pPr>
                    <w:keepNext w:val="0"/>
                    <w:keepLines w:val="0"/>
                    <w:widowControl/>
                    <w:suppressLineNumbers w:val="0"/>
                    <w:jc w:val="center"/>
                    <w:textAlignment w:val="center"/>
                    <w:rPr>
                      <w:rFonts w:hint="default" w:ascii="Times New Roman" w:hAnsi="Times New Roman" w:eastAsia="宋体" w:cs="Times New Roman"/>
                      <w:i w:val="0"/>
                      <w:iCs w:val="0"/>
                      <w:color w:val="FF0000"/>
                      <w:kern w:val="0"/>
                      <w:sz w:val="21"/>
                      <w:szCs w:val="21"/>
                      <w:u w:val="none"/>
                      <w:lang w:val="en-US" w:eastAsia="zh-CN" w:bidi="ar"/>
                    </w:rPr>
                  </w:pPr>
                  <w:r>
                    <w:rPr>
                      <w:rFonts w:hint="default" w:ascii="Times New Roman" w:hAnsi="Times New Roman" w:eastAsia="宋体" w:cs="Times New Roman"/>
                      <w:i w:val="0"/>
                      <w:iCs w:val="0"/>
                      <w:color w:val="FF0000"/>
                      <w:kern w:val="0"/>
                      <w:sz w:val="21"/>
                      <w:szCs w:val="21"/>
                      <w:u w:val="none"/>
                      <w:lang w:val="en-US" w:eastAsia="zh-CN" w:bidi="ar"/>
                    </w:rPr>
                    <w:t>0.07</w:t>
                  </w:r>
                </w:p>
              </w:tc>
              <w:tc>
                <w:tcPr>
                  <w:tcW w:w="768" w:type="pct"/>
                  <w:noWrap w:val="0"/>
                  <w:vAlign w:val="center"/>
                </w:tcPr>
                <w:p w14:paraId="5776258D">
                  <w:pPr>
                    <w:keepNext w:val="0"/>
                    <w:keepLines w:val="0"/>
                    <w:widowControl/>
                    <w:suppressLineNumbers w:val="0"/>
                    <w:jc w:val="center"/>
                    <w:textAlignment w:val="center"/>
                    <w:rPr>
                      <w:rFonts w:hint="default" w:ascii="Times New Roman" w:hAnsi="Times New Roman" w:eastAsia="宋体" w:cs="Times New Roman"/>
                      <w:i w:val="0"/>
                      <w:iCs w:val="0"/>
                      <w:color w:val="FF0000"/>
                      <w:kern w:val="0"/>
                      <w:sz w:val="21"/>
                      <w:szCs w:val="21"/>
                      <w:u w:val="none"/>
                      <w:lang w:val="en-US" w:eastAsia="zh-CN" w:bidi="ar"/>
                    </w:rPr>
                  </w:pPr>
                  <w:r>
                    <w:rPr>
                      <w:rFonts w:hint="eastAsia" w:ascii="Times New Roman" w:hAnsi="Times New Roman" w:eastAsia="宋体" w:cs="Times New Roman"/>
                      <w:i w:val="0"/>
                      <w:iCs w:val="0"/>
                      <w:color w:val="FF0000"/>
                      <w:kern w:val="0"/>
                      <w:sz w:val="21"/>
                      <w:szCs w:val="21"/>
                      <w:u w:val="none"/>
                      <w:lang w:val="en-US" w:eastAsia="zh-CN" w:bidi="ar"/>
                    </w:rPr>
                    <w:t>0</w:t>
                  </w:r>
                </w:p>
              </w:tc>
              <w:tc>
                <w:tcPr>
                  <w:tcW w:w="768" w:type="pct"/>
                  <w:noWrap w:val="0"/>
                  <w:vAlign w:val="center"/>
                </w:tcPr>
                <w:p w14:paraId="5E7BB762">
                  <w:pPr>
                    <w:keepNext w:val="0"/>
                    <w:keepLines w:val="0"/>
                    <w:widowControl/>
                    <w:suppressLineNumbers w:val="0"/>
                    <w:jc w:val="center"/>
                    <w:textAlignment w:val="center"/>
                    <w:rPr>
                      <w:rFonts w:hint="default" w:ascii="Times New Roman" w:hAnsi="Times New Roman" w:eastAsia="宋体" w:cs="Times New Roman"/>
                      <w:i w:val="0"/>
                      <w:iCs w:val="0"/>
                      <w:color w:val="FF0000"/>
                      <w:kern w:val="0"/>
                      <w:sz w:val="21"/>
                      <w:szCs w:val="21"/>
                      <w:u w:val="none"/>
                      <w:lang w:val="en-US" w:eastAsia="zh-CN" w:bidi="ar"/>
                    </w:rPr>
                  </w:pPr>
                  <w:r>
                    <w:rPr>
                      <w:rFonts w:hint="eastAsia" w:ascii="Times New Roman" w:hAnsi="Times New Roman" w:eastAsia="宋体" w:cs="Times New Roman"/>
                      <w:i w:val="0"/>
                      <w:iCs w:val="0"/>
                      <w:color w:val="FF0000"/>
                      <w:kern w:val="0"/>
                      <w:sz w:val="21"/>
                      <w:szCs w:val="21"/>
                      <w:u w:val="none"/>
                      <w:lang w:val="en-US" w:eastAsia="zh-CN" w:bidi="ar"/>
                    </w:rPr>
                    <w:t>0</w:t>
                  </w:r>
                </w:p>
              </w:tc>
              <w:tc>
                <w:tcPr>
                  <w:tcW w:w="753" w:type="pct"/>
                  <w:shd w:val="clear" w:color="auto" w:fill="auto"/>
                  <w:noWrap w:val="0"/>
                  <w:vAlign w:val="center"/>
                </w:tcPr>
                <w:p w14:paraId="3C434C26">
                  <w:pPr>
                    <w:keepNext w:val="0"/>
                    <w:keepLines w:val="0"/>
                    <w:widowControl/>
                    <w:suppressLineNumbers w:val="0"/>
                    <w:jc w:val="center"/>
                    <w:textAlignment w:val="center"/>
                    <w:rPr>
                      <w:rFonts w:hint="default" w:ascii="Times New Roman" w:hAnsi="Times New Roman" w:eastAsia="宋体" w:cs="Times New Roman"/>
                      <w:i w:val="0"/>
                      <w:iCs w:val="0"/>
                      <w:color w:val="FF0000"/>
                      <w:kern w:val="0"/>
                      <w:sz w:val="21"/>
                      <w:szCs w:val="21"/>
                      <w:u w:val="none"/>
                      <w:lang w:val="en-US" w:eastAsia="zh-CN" w:bidi="ar"/>
                    </w:rPr>
                  </w:pPr>
                  <w:r>
                    <w:rPr>
                      <w:rFonts w:hint="eastAsia" w:cs="Times New Roman"/>
                      <w:i w:val="0"/>
                      <w:iCs w:val="0"/>
                      <w:color w:val="FF0000"/>
                      <w:kern w:val="0"/>
                      <w:sz w:val="21"/>
                      <w:szCs w:val="21"/>
                      <w:u w:val="none"/>
                      <w:lang w:val="en-US" w:eastAsia="zh-CN" w:bidi="ar"/>
                    </w:rPr>
                    <w:t>/</w:t>
                  </w:r>
                </w:p>
              </w:tc>
            </w:tr>
            <w:tr w14:paraId="6008136B">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6" w:hRule="atLeast"/>
              </w:trPr>
              <w:tc>
                <w:tcPr>
                  <w:tcW w:w="304" w:type="pct"/>
                  <w:vMerge w:val="continue"/>
                  <w:noWrap w:val="0"/>
                  <w:vAlign w:val="center"/>
                </w:tcPr>
                <w:p w14:paraId="177A97C4">
                  <w:pPr>
                    <w:keepNext w:val="0"/>
                    <w:keepLines w:val="0"/>
                    <w:widowControl/>
                    <w:suppressLineNumbers w:val="0"/>
                    <w:jc w:val="center"/>
                    <w:textAlignment w:val="center"/>
                    <w:rPr>
                      <w:rFonts w:hint="default" w:ascii="Times New Roman" w:hAnsi="Times New Roman" w:eastAsia="宋体" w:cs="Times New Roman"/>
                      <w:i w:val="0"/>
                      <w:iCs w:val="0"/>
                      <w:color w:val="FF0000"/>
                      <w:kern w:val="0"/>
                      <w:sz w:val="21"/>
                      <w:szCs w:val="21"/>
                      <w:u w:val="none"/>
                      <w:lang w:val="en-US" w:eastAsia="zh-CN" w:bidi="ar"/>
                    </w:rPr>
                  </w:pPr>
                </w:p>
              </w:tc>
              <w:tc>
                <w:tcPr>
                  <w:tcW w:w="420" w:type="pct"/>
                  <w:vMerge w:val="continue"/>
                  <w:noWrap w:val="0"/>
                  <w:vAlign w:val="center"/>
                </w:tcPr>
                <w:p w14:paraId="56503B78">
                  <w:pPr>
                    <w:keepNext w:val="0"/>
                    <w:keepLines w:val="0"/>
                    <w:widowControl/>
                    <w:suppressLineNumbers w:val="0"/>
                    <w:jc w:val="center"/>
                    <w:textAlignment w:val="center"/>
                    <w:rPr>
                      <w:rFonts w:hint="default" w:ascii="Times New Roman" w:hAnsi="Times New Roman" w:eastAsia="宋体" w:cs="Times New Roman"/>
                      <w:i w:val="0"/>
                      <w:iCs w:val="0"/>
                      <w:color w:val="FF0000"/>
                      <w:kern w:val="0"/>
                      <w:sz w:val="21"/>
                      <w:szCs w:val="21"/>
                      <w:u w:val="none"/>
                      <w:lang w:val="en-US" w:eastAsia="zh-CN" w:bidi="ar"/>
                    </w:rPr>
                  </w:pPr>
                </w:p>
              </w:tc>
              <w:tc>
                <w:tcPr>
                  <w:tcW w:w="1102" w:type="pct"/>
                  <w:noWrap w:val="0"/>
                  <w:vAlign w:val="center"/>
                </w:tcPr>
                <w:p w14:paraId="34096598">
                  <w:pPr>
                    <w:keepNext w:val="0"/>
                    <w:keepLines w:val="0"/>
                    <w:widowControl/>
                    <w:suppressLineNumbers w:val="0"/>
                    <w:jc w:val="center"/>
                    <w:textAlignment w:val="center"/>
                    <w:rPr>
                      <w:rFonts w:hint="default" w:ascii="Times New Roman" w:hAnsi="Times New Roman" w:eastAsia="宋体" w:cs="Times New Roman"/>
                      <w:i w:val="0"/>
                      <w:iCs w:val="0"/>
                      <w:color w:val="FF0000"/>
                      <w:kern w:val="0"/>
                      <w:sz w:val="21"/>
                      <w:szCs w:val="21"/>
                      <w:u w:val="none"/>
                      <w:lang w:val="en-US" w:eastAsia="zh-CN" w:bidi="ar"/>
                    </w:rPr>
                  </w:pPr>
                  <w:r>
                    <w:rPr>
                      <w:rFonts w:hint="default" w:ascii="Times New Roman" w:hAnsi="Times New Roman" w:eastAsia="宋体" w:cs="Times New Roman"/>
                      <w:i w:val="0"/>
                      <w:iCs w:val="0"/>
                      <w:color w:val="FF0000"/>
                      <w:kern w:val="0"/>
                      <w:sz w:val="21"/>
                      <w:szCs w:val="21"/>
                      <w:u w:val="none"/>
                      <w:lang w:val="en-US" w:eastAsia="zh-CN" w:bidi="ar"/>
                    </w:rPr>
                    <w:t>废有机溶剂</w:t>
                  </w:r>
                </w:p>
              </w:tc>
              <w:tc>
                <w:tcPr>
                  <w:tcW w:w="882" w:type="pct"/>
                  <w:shd w:val="clear" w:color="auto" w:fill="auto"/>
                  <w:noWrap w:val="0"/>
                  <w:vAlign w:val="center"/>
                </w:tcPr>
                <w:p w14:paraId="76B470CB">
                  <w:pPr>
                    <w:keepNext w:val="0"/>
                    <w:keepLines w:val="0"/>
                    <w:widowControl/>
                    <w:suppressLineNumbers w:val="0"/>
                    <w:jc w:val="center"/>
                    <w:textAlignment w:val="center"/>
                    <w:rPr>
                      <w:rFonts w:hint="default" w:ascii="Times New Roman" w:hAnsi="Times New Roman" w:eastAsia="宋体" w:cs="Times New Roman"/>
                      <w:i w:val="0"/>
                      <w:iCs w:val="0"/>
                      <w:color w:val="FF0000"/>
                      <w:kern w:val="0"/>
                      <w:sz w:val="21"/>
                      <w:szCs w:val="21"/>
                      <w:u w:val="none"/>
                      <w:lang w:val="en-US" w:eastAsia="zh-CN" w:bidi="ar"/>
                    </w:rPr>
                  </w:pPr>
                  <w:r>
                    <w:rPr>
                      <w:rFonts w:hint="default" w:ascii="Times New Roman" w:hAnsi="Times New Roman" w:eastAsia="宋体" w:cs="Times New Roman"/>
                      <w:i w:val="0"/>
                      <w:iCs w:val="0"/>
                      <w:color w:val="FF0000"/>
                      <w:kern w:val="0"/>
                      <w:sz w:val="21"/>
                      <w:szCs w:val="21"/>
                      <w:u w:val="none"/>
                      <w:lang w:val="en-US" w:eastAsia="zh-CN" w:bidi="ar"/>
                    </w:rPr>
                    <w:t>250.31</w:t>
                  </w:r>
                </w:p>
              </w:tc>
              <w:tc>
                <w:tcPr>
                  <w:tcW w:w="768" w:type="pct"/>
                  <w:noWrap w:val="0"/>
                  <w:vAlign w:val="center"/>
                </w:tcPr>
                <w:p w14:paraId="0BD18106">
                  <w:pPr>
                    <w:keepNext w:val="0"/>
                    <w:keepLines w:val="0"/>
                    <w:widowControl/>
                    <w:suppressLineNumbers w:val="0"/>
                    <w:jc w:val="center"/>
                    <w:textAlignment w:val="center"/>
                    <w:rPr>
                      <w:rFonts w:hint="default" w:ascii="Times New Roman" w:hAnsi="Times New Roman" w:eastAsia="宋体" w:cs="Times New Roman"/>
                      <w:i w:val="0"/>
                      <w:iCs w:val="0"/>
                      <w:color w:val="FF0000"/>
                      <w:kern w:val="0"/>
                      <w:sz w:val="21"/>
                      <w:szCs w:val="21"/>
                      <w:u w:val="none"/>
                      <w:lang w:val="en-US" w:eastAsia="zh-CN" w:bidi="ar"/>
                    </w:rPr>
                  </w:pPr>
                  <w:r>
                    <w:rPr>
                      <w:rFonts w:hint="eastAsia" w:ascii="Times New Roman" w:hAnsi="Times New Roman" w:eastAsia="宋体" w:cs="Times New Roman"/>
                      <w:i w:val="0"/>
                      <w:iCs w:val="0"/>
                      <w:color w:val="FF0000"/>
                      <w:kern w:val="0"/>
                      <w:sz w:val="21"/>
                      <w:szCs w:val="21"/>
                      <w:u w:val="none"/>
                      <w:lang w:val="en-US" w:eastAsia="zh-CN" w:bidi="ar"/>
                    </w:rPr>
                    <w:t>0</w:t>
                  </w:r>
                </w:p>
              </w:tc>
              <w:tc>
                <w:tcPr>
                  <w:tcW w:w="768" w:type="pct"/>
                  <w:noWrap w:val="0"/>
                  <w:vAlign w:val="center"/>
                </w:tcPr>
                <w:p w14:paraId="244B7B4B">
                  <w:pPr>
                    <w:keepNext w:val="0"/>
                    <w:keepLines w:val="0"/>
                    <w:widowControl/>
                    <w:suppressLineNumbers w:val="0"/>
                    <w:jc w:val="center"/>
                    <w:textAlignment w:val="center"/>
                    <w:rPr>
                      <w:rFonts w:hint="default" w:ascii="Times New Roman" w:hAnsi="Times New Roman" w:eastAsia="宋体" w:cs="Times New Roman"/>
                      <w:i w:val="0"/>
                      <w:iCs w:val="0"/>
                      <w:color w:val="FF0000"/>
                      <w:kern w:val="0"/>
                      <w:sz w:val="21"/>
                      <w:szCs w:val="21"/>
                      <w:u w:val="none"/>
                      <w:lang w:val="en-US" w:eastAsia="zh-CN" w:bidi="ar"/>
                    </w:rPr>
                  </w:pPr>
                  <w:r>
                    <w:rPr>
                      <w:rFonts w:hint="eastAsia" w:ascii="Times New Roman" w:hAnsi="Times New Roman" w:eastAsia="宋体" w:cs="Times New Roman"/>
                      <w:i w:val="0"/>
                      <w:iCs w:val="0"/>
                      <w:color w:val="FF0000"/>
                      <w:kern w:val="0"/>
                      <w:sz w:val="21"/>
                      <w:szCs w:val="21"/>
                      <w:u w:val="none"/>
                      <w:lang w:val="en-US" w:eastAsia="zh-CN" w:bidi="ar"/>
                    </w:rPr>
                    <w:t>0</w:t>
                  </w:r>
                </w:p>
              </w:tc>
              <w:tc>
                <w:tcPr>
                  <w:tcW w:w="753" w:type="pct"/>
                  <w:shd w:val="clear" w:color="auto" w:fill="auto"/>
                  <w:noWrap w:val="0"/>
                  <w:vAlign w:val="center"/>
                </w:tcPr>
                <w:p w14:paraId="23B56429">
                  <w:pPr>
                    <w:keepNext w:val="0"/>
                    <w:keepLines w:val="0"/>
                    <w:widowControl/>
                    <w:suppressLineNumbers w:val="0"/>
                    <w:jc w:val="center"/>
                    <w:textAlignment w:val="center"/>
                    <w:rPr>
                      <w:rFonts w:hint="default" w:ascii="Times New Roman" w:hAnsi="Times New Roman" w:eastAsia="宋体" w:cs="Times New Roman"/>
                      <w:i w:val="0"/>
                      <w:iCs w:val="0"/>
                      <w:color w:val="FF0000"/>
                      <w:kern w:val="0"/>
                      <w:sz w:val="21"/>
                      <w:szCs w:val="21"/>
                      <w:u w:val="none"/>
                      <w:lang w:val="en-US" w:eastAsia="zh-CN" w:bidi="ar"/>
                    </w:rPr>
                  </w:pPr>
                  <w:r>
                    <w:rPr>
                      <w:rFonts w:hint="eastAsia" w:cs="Times New Roman"/>
                      <w:i w:val="0"/>
                      <w:iCs w:val="0"/>
                      <w:color w:val="FF0000"/>
                      <w:kern w:val="0"/>
                      <w:sz w:val="21"/>
                      <w:szCs w:val="21"/>
                      <w:u w:val="none"/>
                      <w:lang w:val="en-US" w:eastAsia="zh-CN" w:bidi="ar"/>
                    </w:rPr>
                    <w:t>/</w:t>
                  </w:r>
                </w:p>
              </w:tc>
            </w:tr>
            <w:tr w14:paraId="226A6EBC">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6" w:hRule="atLeast"/>
              </w:trPr>
              <w:tc>
                <w:tcPr>
                  <w:tcW w:w="304" w:type="pct"/>
                  <w:vMerge w:val="continue"/>
                  <w:noWrap w:val="0"/>
                  <w:vAlign w:val="center"/>
                </w:tcPr>
                <w:p w14:paraId="6D0A932E">
                  <w:pPr>
                    <w:keepNext w:val="0"/>
                    <w:keepLines w:val="0"/>
                    <w:widowControl/>
                    <w:suppressLineNumbers w:val="0"/>
                    <w:jc w:val="center"/>
                    <w:textAlignment w:val="center"/>
                    <w:rPr>
                      <w:rFonts w:hint="default" w:ascii="Times New Roman" w:hAnsi="Times New Roman" w:eastAsia="宋体" w:cs="Times New Roman"/>
                      <w:i w:val="0"/>
                      <w:iCs w:val="0"/>
                      <w:color w:val="FF0000"/>
                      <w:kern w:val="0"/>
                      <w:sz w:val="21"/>
                      <w:szCs w:val="21"/>
                      <w:u w:val="none"/>
                      <w:lang w:val="en-US" w:eastAsia="zh-CN" w:bidi="ar"/>
                    </w:rPr>
                  </w:pPr>
                </w:p>
              </w:tc>
              <w:tc>
                <w:tcPr>
                  <w:tcW w:w="420" w:type="pct"/>
                  <w:vMerge w:val="continue"/>
                  <w:noWrap w:val="0"/>
                  <w:vAlign w:val="center"/>
                </w:tcPr>
                <w:p w14:paraId="3C85F530">
                  <w:pPr>
                    <w:keepNext w:val="0"/>
                    <w:keepLines w:val="0"/>
                    <w:widowControl/>
                    <w:suppressLineNumbers w:val="0"/>
                    <w:jc w:val="center"/>
                    <w:textAlignment w:val="center"/>
                    <w:rPr>
                      <w:rFonts w:hint="default" w:ascii="Times New Roman" w:hAnsi="Times New Roman" w:eastAsia="宋体" w:cs="Times New Roman"/>
                      <w:i w:val="0"/>
                      <w:iCs w:val="0"/>
                      <w:color w:val="FF0000"/>
                      <w:kern w:val="0"/>
                      <w:sz w:val="21"/>
                      <w:szCs w:val="21"/>
                      <w:u w:val="none"/>
                      <w:lang w:val="en-US" w:eastAsia="zh-CN" w:bidi="ar"/>
                    </w:rPr>
                  </w:pPr>
                </w:p>
              </w:tc>
              <w:tc>
                <w:tcPr>
                  <w:tcW w:w="1102" w:type="pct"/>
                  <w:noWrap w:val="0"/>
                  <w:vAlign w:val="center"/>
                </w:tcPr>
                <w:p w14:paraId="7D46B890">
                  <w:pPr>
                    <w:keepNext w:val="0"/>
                    <w:keepLines w:val="0"/>
                    <w:widowControl/>
                    <w:suppressLineNumbers w:val="0"/>
                    <w:jc w:val="center"/>
                    <w:textAlignment w:val="center"/>
                    <w:rPr>
                      <w:rFonts w:hint="default" w:ascii="Times New Roman" w:hAnsi="Times New Roman" w:eastAsia="宋体" w:cs="Times New Roman"/>
                      <w:i w:val="0"/>
                      <w:iCs w:val="0"/>
                      <w:color w:val="FF0000"/>
                      <w:kern w:val="0"/>
                      <w:sz w:val="21"/>
                      <w:szCs w:val="21"/>
                      <w:u w:val="none"/>
                      <w:lang w:val="en-US" w:eastAsia="zh-CN" w:bidi="ar"/>
                    </w:rPr>
                  </w:pPr>
                  <w:r>
                    <w:rPr>
                      <w:rFonts w:hint="default" w:ascii="Times New Roman" w:hAnsi="Times New Roman" w:eastAsia="宋体" w:cs="Times New Roman"/>
                      <w:i w:val="0"/>
                      <w:iCs w:val="0"/>
                      <w:color w:val="FF0000"/>
                      <w:kern w:val="0"/>
                      <w:sz w:val="21"/>
                      <w:szCs w:val="21"/>
                      <w:u w:val="none"/>
                      <w:lang w:val="en-US" w:eastAsia="zh-CN" w:bidi="ar"/>
                    </w:rPr>
                    <w:t>石棉废物</w:t>
                  </w:r>
                </w:p>
              </w:tc>
              <w:tc>
                <w:tcPr>
                  <w:tcW w:w="882" w:type="pct"/>
                  <w:shd w:val="clear" w:color="auto" w:fill="auto"/>
                  <w:noWrap w:val="0"/>
                  <w:vAlign w:val="center"/>
                </w:tcPr>
                <w:p w14:paraId="3CFFFC32">
                  <w:pPr>
                    <w:keepNext w:val="0"/>
                    <w:keepLines w:val="0"/>
                    <w:widowControl/>
                    <w:suppressLineNumbers w:val="0"/>
                    <w:jc w:val="center"/>
                    <w:textAlignment w:val="center"/>
                    <w:rPr>
                      <w:rFonts w:hint="default" w:ascii="Times New Roman" w:hAnsi="Times New Roman" w:eastAsia="宋体" w:cs="Times New Roman"/>
                      <w:i w:val="0"/>
                      <w:iCs w:val="0"/>
                      <w:color w:val="FF0000"/>
                      <w:kern w:val="0"/>
                      <w:sz w:val="21"/>
                      <w:szCs w:val="21"/>
                      <w:u w:val="none"/>
                      <w:lang w:val="en-US" w:eastAsia="zh-CN" w:bidi="ar"/>
                    </w:rPr>
                  </w:pPr>
                  <w:r>
                    <w:rPr>
                      <w:rFonts w:hint="default" w:ascii="Times New Roman" w:hAnsi="Times New Roman" w:eastAsia="宋体" w:cs="Times New Roman"/>
                      <w:i w:val="0"/>
                      <w:iCs w:val="0"/>
                      <w:color w:val="FF0000"/>
                      <w:kern w:val="0"/>
                      <w:sz w:val="21"/>
                      <w:szCs w:val="21"/>
                      <w:u w:val="none"/>
                      <w:lang w:val="en-US" w:eastAsia="zh-CN" w:bidi="ar"/>
                    </w:rPr>
                    <w:t>56.07</w:t>
                  </w:r>
                </w:p>
              </w:tc>
              <w:tc>
                <w:tcPr>
                  <w:tcW w:w="768" w:type="pct"/>
                  <w:noWrap w:val="0"/>
                  <w:vAlign w:val="center"/>
                </w:tcPr>
                <w:p w14:paraId="4C400BD5">
                  <w:pPr>
                    <w:keepNext w:val="0"/>
                    <w:keepLines w:val="0"/>
                    <w:widowControl/>
                    <w:suppressLineNumbers w:val="0"/>
                    <w:jc w:val="center"/>
                    <w:textAlignment w:val="center"/>
                    <w:rPr>
                      <w:rFonts w:hint="default" w:ascii="Times New Roman" w:hAnsi="Times New Roman" w:eastAsia="宋体" w:cs="Times New Roman"/>
                      <w:i w:val="0"/>
                      <w:iCs w:val="0"/>
                      <w:color w:val="FF0000"/>
                      <w:kern w:val="0"/>
                      <w:sz w:val="21"/>
                      <w:szCs w:val="21"/>
                      <w:u w:val="none"/>
                      <w:lang w:val="en-US" w:eastAsia="zh-CN" w:bidi="ar"/>
                    </w:rPr>
                  </w:pPr>
                  <w:r>
                    <w:rPr>
                      <w:rFonts w:hint="eastAsia" w:ascii="Times New Roman" w:hAnsi="Times New Roman" w:eastAsia="宋体" w:cs="Times New Roman"/>
                      <w:i w:val="0"/>
                      <w:iCs w:val="0"/>
                      <w:color w:val="FF0000"/>
                      <w:kern w:val="0"/>
                      <w:sz w:val="21"/>
                      <w:szCs w:val="21"/>
                      <w:u w:val="none"/>
                      <w:lang w:val="en-US" w:eastAsia="zh-CN" w:bidi="ar"/>
                    </w:rPr>
                    <w:t>0</w:t>
                  </w:r>
                </w:p>
              </w:tc>
              <w:tc>
                <w:tcPr>
                  <w:tcW w:w="768" w:type="pct"/>
                  <w:noWrap w:val="0"/>
                  <w:vAlign w:val="center"/>
                </w:tcPr>
                <w:p w14:paraId="0FC0F943">
                  <w:pPr>
                    <w:keepNext w:val="0"/>
                    <w:keepLines w:val="0"/>
                    <w:widowControl/>
                    <w:suppressLineNumbers w:val="0"/>
                    <w:jc w:val="center"/>
                    <w:textAlignment w:val="center"/>
                    <w:rPr>
                      <w:rFonts w:hint="default" w:ascii="Times New Roman" w:hAnsi="Times New Roman" w:eastAsia="宋体" w:cs="Times New Roman"/>
                      <w:i w:val="0"/>
                      <w:iCs w:val="0"/>
                      <w:color w:val="FF0000"/>
                      <w:kern w:val="0"/>
                      <w:sz w:val="21"/>
                      <w:szCs w:val="21"/>
                      <w:u w:val="none"/>
                      <w:lang w:val="en-US" w:eastAsia="zh-CN" w:bidi="ar"/>
                    </w:rPr>
                  </w:pPr>
                  <w:r>
                    <w:rPr>
                      <w:rFonts w:hint="eastAsia" w:ascii="Times New Roman" w:hAnsi="Times New Roman" w:eastAsia="宋体" w:cs="Times New Roman"/>
                      <w:i w:val="0"/>
                      <w:iCs w:val="0"/>
                      <w:color w:val="FF0000"/>
                      <w:kern w:val="0"/>
                      <w:sz w:val="21"/>
                      <w:szCs w:val="21"/>
                      <w:u w:val="none"/>
                      <w:lang w:val="en-US" w:eastAsia="zh-CN" w:bidi="ar"/>
                    </w:rPr>
                    <w:t>0</w:t>
                  </w:r>
                </w:p>
              </w:tc>
              <w:tc>
                <w:tcPr>
                  <w:tcW w:w="753" w:type="pct"/>
                  <w:shd w:val="clear" w:color="auto" w:fill="auto"/>
                  <w:noWrap w:val="0"/>
                  <w:vAlign w:val="center"/>
                </w:tcPr>
                <w:p w14:paraId="4FDF9AB6">
                  <w:pPr>
                    <w:keepNext w:val="0"/>
                    <w:keepLines w:val="0"/>
                    <w:widowControl/>
                    <w:suppressLineNumbers w:val="0"/>
                    <w:jc w:val="center"/>
                    <w:textAlignment w:val="center"/>
                    <w:rPr>
                      <w:rFonts w:hint="default" w:ascii="Times New Roman" w:hAnsi="Times New Roman" w:eastAsia="宋体" w:cs="Times New Roman"/>
                      <w:i w:val="0"/>
                      <w:iCs w:val="0"/>
                      <w:color w:val="FF0000"/>
                      <w:kern w:val="0"/>
                      <w:sz w:val="21"/>
                      <w:szCs w:val="21"/>
                      <w:u w:val="none"/>
                      <w:lang w:val="en-US" w:eastAsia="zh-CN" w:bidi="ar"/>
                    </w:rPr>
                  </w:pPr>
                  <w:r>
                    <w:rPr>
                      <w:rFonts w:hint="eastAsia" w:cs="Times New Roman"/>
                      <w:i w:val="0"/>
                      <w:iCs w:val="0"/>
                      <w:color w:val="FF0000"/>
                      <w:kern w:val="0"/>
                      <w:sz w:val="21"/>
                      <w:szCs w:val="21"/>
                      <w:u w:val="none"/>
                      <w:lang w:val="en-US" w:eastAsia="zh-CN" w:bidi="ar"/>
                    </w:rPr>
                    <w:t>/</w:t>
                  </w:r>
                </w:p>
              </w:tc>
            </w:tr>
            <w:tr w14:paraId="5ADB98E3">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6" w:hRule="atLeast"/>
              </w:trPr>
              <w:tc>
                <w:tcPr>
                  <w:tcW w:w="304" w:type="pct"/>
                  <w:vMerge w:val="continue"/>
                  <w:noWrap w:val="0"/>
                  <w:vAlign w:val="center"/>
                </w:tcPr>
                <w:p w14:paraId="7DB2CA62">
                  <w:pPr>
                    <w:keepNext w:val="0"/>
                    <w:keepLines w:val="0"/>
                    <w:widowControl/>
                    <w:suppressLineNumbers w:val="0"/>
                    <w:jc w:val="center"/>
                    <w:textAlignment w:val="center"/>
                    <w:rPr>
                      <w:rFonts w:hint="default" w:ascii="Times New Roman" w:hAnsi="Times New Roman" w:eastAsia="宋体" w:cs="Times New Roman"/>
                      <w:i w:val="0"/>
                      <w:iCs w:val="0"/>
                      <w:color w:val="FF0000"/>
                      <w:kern w:val="0"/>
                      <w:sz w:val="21"/>
                      <w:szCs w:val="21"/>
                      <w:u w:val="none"/>
                      <w:lang w:val="en-US" w:eastAsia="zh-CN" w:bidi="ar"/>
                    </w:rPr>
                  </w:pPr>
                </w:p>
              </w:tc>
              <w:tc>
                <w:tcPr>
                  <w:tcW w:w="420" w:type="pct"/>
                  <w:vMerge w:val="continue"/>
                  <w:noWrap w:val="0"/>
                  <w:vAlign w:val="center"/>
                </w:tcPr>
                <w:p w14:paraId="16E7A99D">
                  <w:pPr>
                    <w:keepNext w:val="0"/>
                    <w:keepLines w:val="0"/>
                    <w:widowControl/>
                    <w:suppressLineNumbers w:val="0"/>
                    <w:jc w:val="center"/>
                    <w:textAlignment w:val="center"/>
                    <w:rPr>
                      <w:rFonts w:hint="default" w:ascii="Times New Roman" w:hAnsi="Times New Roman" w:eastAsia="宋体" w:cs="Times New Roman"/>
                      <w:i w:val="0"/>
                      <w:iCs w:val="0"/>
                      <w:color w:val="FF0000"/>
                      <w:kern w:val="0"/>
                      <w:sz w:val="21"/>
                      <w:szCs w:val="21"/>
                      <w:u w:val="none"/>
                      <w:lang w:val="en-US" w:eastAsia="zh-CN" w:bidi="ar"/>
                    </w:rPr>
                  </w:pPr>
                </w:p>
              </w:tc>
              <w:tc>
                <w:tcPr>
                  <w:tcW w:w="1102" w:type="pct"/>
                  <w:noWrap w:val="0"/>
                  <w:vAlign w:val="center"/>
                </w:tcPr>
                <w:p w14:paraId="42D661A9">
                  <w:pPr>
                    <w:keepNext w:val="0"/>
                    <w:keepLines w:val="0"/>
                    <w:widowControl/>
                    <w:suppressLineNumbers w:val="0"/>
                    <w:jc w:val="center"/>
                    <w:textAlignment w:val="center"/>
                    <w:rPr>
                      <w:rFonts w:hint="default" w:ascii="Times New Roman" w:hAnsi="Times New Roman" w:eastAsia="宋体" w:cs="Times New Roman"/>
                      <w:i w:val="0"/>
                      <w:iCs w:val="0"/>
                      <w:color w:val="FF0000"/>
                      <w:kern w:val="0"/>
                      <w:sz w:val="21"/>
                      <w:szCs w:val="21"/>
                      <w:u w:val="none"/>
                      <w:lang w:val="en-US" w:eastAsia="zh-CN" w:bidi="ar"/>
                    </w:rPr>
                  </w:pPr>
                  <w:r>
                    <w:rPr>
                      <w:rFonts w:hint="eastAsia" w:ascii="Times New Roman" w:hAnsi="Times New Roman" w:eastAsia="宋体" w:cs="Times New Roman"/>
                      <w:i w:val="0"/>
                      <w:iCs w:val="0"/>
                      <w:color w:val="FF0000"/>
                      <w:kern w:val="0"/>
                      <w:sz w:val="21"/>
                      <w:szCs w:val="21"/>
                      <w:u w:val="none"/>
                      <w:lang w:val="en-US" w:eastAsia="zh-CN" w:bidi="ar"/>
                    </w:rPr>
                    <w:t>含油抹布</w:t>
                  </w:r>
                </w:p>
              </w:tc>
              <w:tc>
                <w:tcPr>
                  <w:tcW w:w="882" w:type="pct"/>
                  <w:shd w:val="clear" w:color="auto" w:fill="auto"/>
                  <w:noWrap w:val="0"/>
                  <w:vAlign w:val="center"/>
                </w:tcPr>
                <w:p w14:paraId="3F1B7D69">
                  <w:pPr>
                    <w:keepNext w:val="0"/>
                    <w:keepLines w:val="0"/>
                    <w:widowControl/>
                    <w:suppressLineNumbers w:val="0"/>
                    <w:jc w:val="center"/>
                    <w:textAlignment w:val="center"/>
                    <w:rPr>
                      <w:rFonts w:hint="default" w:ascii="Times New Roman" w:hAnsi="Times New Roman" w:eastAsia="宋体" w:cs="Times New Roman"/>
                      <w:i w:val="0"/>
                      <w:iCs w:val="0"/>
                      <w:color w:val="FF0000"/>
                      <w:kern w:val="0"/>
                      <w:sz w:val="21"/>
                      <w:szCs w:val="21"/>
                      <w:u w:val="none"/>
                      <w:lang w:val="en-US" w:eastAsia="zh-CN" w:bidi="ar"/>
                    </w:rPr>
                  </w:pPr>
                  <w:r>
                    <w:rPr>
                      <w:rFonts w:hint="eastAsia" w:ascii="Times New Roman" w:hAnsi="Times New Roman" w:eastAsia="宋体" w:cs="Times New Roman"/>
                      <w:i w:val="0"/>
                      <w:iCs w:val="0"/>
                      <w:color w:val="FF0000"/>
                      <w:kern w:val="0"/>
                      <w:sz w:val="21"/>
                      <w:szCs w:val="21"/>
                      <w:u w:val="none"/>
                      <w:lang w:val="en-US" w:eastAsia="zh-CN" w:bidi="ar"/>
                    </w:rPr>
                    <w:t>0.2</w:t>
                  </w:r>
                </w:p>
              </w:tc>
              <w:tc>
                <w:tcPr>
                  <w:tcW w:w="768" w:type="pct"/>
                  <w:noWrap w:val="0"/>
                  <w:vAlign w:val="center"/>
                </w:tcPr>
                <w:p w14:paraId="6E261E67">
                  <w:pPr>
                    <w:keepNext w:val="0"/>
                    <w:keepLines w:val="0"/>
                    <w:widowControl/>
                    <w:suppressLineNumbers w:val="0"/>
                    <w:jc w:val="center"/>
                    <w:textAlignment w:val="center"/>
                    <w:rPr>
                      <w:rFonts w:hint="default" w:ascii="Times New Roman" w:hAnsi="Times New Roman" w:eastAsia="宋体" w:cs="Times New Roman"/>
                      <w:i w:val="0"/>
                      <w:iCs w:val="0"/>
                      <w:color w:val="FF0000"/>
                      <w:kern w:val="0"/>
                      <w:sz w:val="21"/>
                      <w:szCs w:val="21"/>
                      <w:u w:val="none"/>
                      <w:lang w:val="en-US" w:eastAsia="zh-CN" w:bidi="ar"/>
                    </w:rPr>
                  </w:pPr>
                  <w:r>
                    <w:rPr>
                      <w:rFonts w:hint="eastAsia" w:ascii="Times New Roman" w:hAnsi="Times New Roman" w:eastAsia="宋体" w:cs="Times New Roman"/>
                      <w:i w:val="0"/>
                      <w:iCs w:val="0"/>
                      <w:color w:val="FF0000"/>
                      <w:kern w:val="0"/>
                      <w:sz w:val="21"/>
                      <w:szCs w:val="21"/>
                      <w:u w:val="none"/>
                      <w:lang w:val="en-US" w:eastAsia="zh-CN" w:bidi="ar"/>
                    </w:rPr>
                    <w:t>0</w:t>
                  </w:r>
                </w:p>
              </w:tc>
              <w:tc>
                <w:tcPr>
                  <w:tcW w:w="768" w:type="pct"/>
                  <w:noWrap w:val="0"/>
                  <w:vAlign w:val="center"/>
                </w:tcPr>
                <w:p w14:paraId="132C126D">
                  <w:pPr>
                    <w:keepNext w:val="0"/>
                    <w:keepLines w:val="0"/>
                    <w:widowControl/>
                    <w:suppressLineNumbers w:val="0"/>
                    <w:jc w:val="center"/>
                    <w:textAlignment w:val="center"/>
                    <w:rPr>
                      <w:rFonts w:hint="default" w:ascii="Times New Roman" w:hAnsi="Times New Roman" w:eastAsia="宋体" w:cs="Times New Roman"/>
                      <w:i w:val="0"/>
                      <w:iCs w:val="0"/>
                      <w:color w:val="FF0000"/>
                      <w:kern w:val="0"/>
                      <w:sz w:val="21"/>
                      <w:szCs w:val="21"/>
                      <w:u w:val="none"/>
                      <w:lang w:val="en-US" w:eastAsia="zh-CN" w:bidi="ar"/>
                    </w:rPr>
                  </w:pPr>
                  <w:r>
                    <w:rPr>
                      <w:rFonts w:hint="eastAsia" w:ascii="Times New Roman" w:hAnsi="Times New Roman" w:eastAsia="宋体" w:cs="Times New Roman"/>
                      <w:i w:val="0"/>
                      <w:iCs w:val="0"/>
                      <w:color w:val="FF0000"/>
                      <w:kern w:val="0"/>
                      <w:sz w:val="21"/>
                      <w:szCs w:val="21"/>
                      <w:u w:val="none"/>
                      <w:lang w:val="en-US" w:eastAsia="zh-CN" w:bidi="ar"/>
                    </w:rPr>
                    <w:t>0</w:t>
                  </w:r>
                </w:p>
              </w:tc>
              <w:tc>
                <w:tcPr>
                  <w:tcW w:w="753" w:type="pct"/>
                  <w:shd w:val="clear" w:color="auto" w:fill="auto"/>
                  <w:noWrap w:val="0"/>
                  <w:vAlign w:val="center"/>
                </w:tcPr>
                <w:p w14:paraId="5880F398">
                  <w:pPr>
                    <w:keepNext w:val="0"/>
                    <w:keepLines w:val="0"/>
                    <w:widowControl/>
                    <w:suppressLineNumbers w:val="0"/>
                    <w:jc w:val="center"/>
                    <w:textAlignment w:val="center"/>
                    <w:rPr>
                      <w:rFonts w:hint="default" w:ascii="Times New Roman" w:hAnsi="Times New Roman" w:eastAsia="宋体" w:cs="Times New Roman"/>
                      <w:i w:val="0"/>
                      <w:iCs w:val="0"/>
                      <w:color w:val="FF0000"/>
                      <w:kern w:val="0"/>
                      <w:sz w:val="21"/>
                      <w:szCs w:val="21"/>
                      <w:u w:val="none"/>
                      <w:lang w:val="en-US" w:eastAsia="zh-CN" w:bidi="ar"/>
                    </w:rPr>
                  </w:pPr>
                  <w:r>
                    <w:rPr>
                      <w:rFonts w:hint="eastAsia" w:cs="Times New Roman"/>
                      <w:i w:val="0"/>
                      <w:iCs w:val="0"/>
                      <w:color w:val="FF0000"/>
                      <w:kern w:val="0"/>
                      <w:sz w:val="21"/>
                      <w:szCs w:val="21"/>
                      <w:u w:val="none"/>
                      <w:lang w:val="en-US" w:eastAsia="zh-CN" w:bidi="ar"/>
                    </w:rPr>
                    <w:t>/</w:t>
                  </w:r>
                </w:p>
              </w:tc>
            </w:tr>
          </w:tbl>
          <w:p w14:paraId="026AB359">
            <w:pPr>
              <w:pStyle w:val="145"/>
              <w:numPr>
                <w:ilvl w:val="0"/>
                <w:numId w:val="0"/>
              </w:numPr>
              <w:spacing w:line="360" w:lineRule="auto"/>
              <w:jc w:val="both"/>
              <w:rPr>
                <w:rFonts w:hint="default" w:ascii="Times New Roman" w:hAnsi="Times New Roman" w:eastAsia="宋体" w:cs="Times New Roman"/>
                <w:b/>
                <w:color w:val="FF0000"/>
                <w:sz w:val="24"/>
                <w:szCs w:val="24"/>
                <w:lang w:val="en-US" w:eastAsia="zh-CN"/>
              </w:rPr>
            </w:pPr>
            <w:r>
              <w:rPr>
                <w:rFonts w:hint="eastAsia" w:eastAsia="宋体" w:cs="Times New Roman"/>
                <w:b/>
                <w:color w:val="FF0000"/>
                <w:kern w:val="2"/>
                <w:sz w:val="24"/>
                <w:szCs w:val="24"/>
                <w:lang w:val="en-US" w:eastAsia="zh-CN" w:bidi="ar-SA"/>
              </w:rPr>
              <w:t>九</w:t>
            </w:r>
            <w:r>
              <w:rPr>
                <w:rFonts w:hint="eastAsia" w:ascii="Times New Roman" w:hAnsi="Times New Roman" w:eastAsia="宋体" w:cs="Times New Roman"/>
                <w:b/>
                <w:color w:val="FF0000"/>
                <w:kern w:val="2"/>
                <w:sz w:val="24"/>
                <w:szCs w:val="24"/>
                <w:lang w:val="en-US" w:eastAsia="zh-CN" w:bidi="ar-SA"/>
              </w:rPr>
              <w:t>、</w:t>
            </w:r>
            <w:r>
              <w:rPr>
                <w:rFonts w:hint="default" w:ascii="Times New Roman" w:hAnsi="Times New Roman" w:eastAsia="宋体" w:cs="Times New Roman"/>
                <w:b/>
                <w:color w:val="FF0000"/>
                <w:sz w:val="24"/>
                <w:szCs w:val="24"/>
                <w:lang w:val="en-US" w:eastAsia="zh-CN"/>
              </w:rPr>
              <w:t>环保设施验收</w:t>
            </w:r>
            <w:r>
              <w:rPr>
                <w:rFonts w:hint="eastAsia" w:eastAsia="宋体" w:cs="Times New Roman"/>
                <w:b/>
                <w:color w:val="FF0000"/>
                <w:sz w:val="24"/>
                <w:szCs w:val="24"/>
                <w:lang w:val="en-US" w:eastAsia="zh-CN"/>
              </w:rPr>
              <w:t>“三同时”</w:t>
            </w:r>
          </w:p>
          <w:p w14:paraId="63DD41BC">
            <w:pPr>
              <w:snapToGrid w:val="0"/>
              <w:spacing w:line="360" w:lineRule="auto"/>
              <w:ind w:firstLine="480" w:firstLineChars="200"/>
              <w:rPr>
                <w:rFonts w:hint="eastAsia"/>
                <w:color w:val="auto"/>
                <w:sz w:val="24"/>
              </w:rPr>
            </w:pPr>
            <w:r>
              <w:rPr>
                <w:rFonts w:hint="eastAsia" w:hAnsi="宋体"/>
                <w:color w:val="FF0000"/>
                <w:sz w:val="24"/>
              </w:rPr>
              <w:t>本项目从选址到建设，较充分地考虑到国家的环保政策和环境保护标准，结合了本地区的经济发展和环境特点，提出了比较切实可行的环境保护措施。根据《关于发布</w:t>
            </w:r>
            <w:r>
              <w:rPr>
                <w:rFonts w:hAnsi="宋体"/>
                <w:color w:val="FF0000"/>
                <w:sz w:val="24"/>
              </w:rPr>
              <w:t>&lt;</w:t>
            </w:r>
            <w:r>
              <w:rPr>
                <w:rFonts w:hint="eastAsia" w:hAnsi="宋体"/>
                <w:color w:val="FF0000"/>
                <w:sz w:val="24"/>
              </w:rPr>
              <w:t>建设项目竣工环境保护验收暂行办法</w:t>
            </w:r>
            <w:r>
              <w:rPr>
                <w:rFonts w:hAnsi="宋体"/>
                <w:color w:val="FF0000"/>
                <w:sz w:val="24"/>
              </w:rPr>
              <w:t>&gt;</w:t>
            </w:r>
            <w:r>
              <w:rPr>
                <w:rFonts w:hint="eastAsia" w:hAnsi="宋体"/>
                <w:color w:val="FF0000"/>
                <w:sz w:val="24"/>
              </w:rPr>
              <w:t>的公告》（国环规环评</w:t>
            </w:r>
            <w:r>
              <w:rPr>
                <w:rFonts w:hint="eastAsia" w:hAnsi="宋体"/>
                <w:color w:val="FF0000"/>
                <w:sz w:val="24"/>
                <w:lang w:eastAsia="zh-CN"/>
              </w:rPr>
              <w:t>〔</w:t>
            </w:r>
            <w:r>
              <w:rPr>
                <w:rFonts w:hAnsi="宋体"/>
                <w:color w:val="FF0000"/>
                <w:sz w:val="24"/>
              </w:rPr>
              <w:t>2017</w:t>
            </w:r>
            <w:r>
              <w:rPr>
                <w:rFonts w:hint="eastAsia" w:hAnsi="宋体"/>
                <w:color w:val="FF0000"/>
                <w:sz w:val="24"/>
                <w:lang w:eastAsia="zh-CN"/>
              </w:rPr>
              <w:t>〕</w:t>
            </w:r>
            <w:r>
              <w:rPr>
                <w:rFonts w:hAnsi="宋体"/>
                <w:color w:val="FF0000"/>
                <w:sz w:val="24"/>
              </w:rPr>
              <w:t>4</w:t>
            </w:r>
            <w:r>
              <w:rPr>
                <w:rFonts w:hint="eastAsia" w:hAnsi="宋体"/>
                <w:color w:val="FF0000"/>
                <w:sz w:val="24"/>
              </w:rPr>
              <w:t>号）中明确规定“建设单位是建设项目竣工环境保护验收的责任主体”，公司为促进本项目环保措施的落实，本项目设定了竣工环境保护验收内容，见表</w:t>
            </w:r>
            <w:r>
              <w:rPr>
                <w:rFonts w:hint="eastAsia"/>
                <w:color w:val="FF0000"/>
                <w:sz w:val="24"/>
                <w:lang w:val="en-US" w:eastAsia="zh-CN"/>
              </w:rPr>
              <w:t>4-44</w:t>
            </w:r>
            <w:r>
              <w:rPr>
                <w:rFonts w:hint="eastAsia" w:hAnsi="宋体"/>
                <w:color w:val="FF0000"/>
                <w:sz w:val="24"/>
              </w:rPr>
              <w:t>。</w:t>
            </w:r>
          </w:p>
          <w:p w14:paraId="24E43BA7">
            <w:pPr>
              <w:pStyle w:val="145"/>
              <w:numPr>
                <w:ilvl w:val="0"/>
                <w:numId w:val="0"/>
              </w:numPr>
              <w:spacing w:line="240" w:lineRule="auto"/>
              <w:jc w:val="center"/>
              <w:rPr>
                <w:rFonts w:hint="default" w:ascii="Times New Roman" w:hAnsi="Times New Roman" w:cs="Times New Roman"/>
                <w:b/>
                <w:color w:val="FF0000"/>
                <w:sz w:val="21"/>
                <w:szCs w:val="21"/>
              </w:rPr>
            </w:pPr>
            <w:r>
              <w:rPr>
                <w:rFonts w:hint="default" w:ascii="Times New Roman" w:hAnsi="Times New Roman" w:cs="Times New Roman"/>
                <w:b/>
                <w:color w:val="FF0000"/>
                <w:sz w:val="21"/>
                <w:szCs w:val="21"/>
              </w:rPr>
              <w:t>表</w:t>
            </w:r>
            <w:r>
              <w:rPr>
                <w:rFonts w:hint="default" w:ascii="Times New Roman" w:hAnsi="Times New Roman" w:cs="Times New Roman"/>
                <w:b/>
                <w:color w:val="FF0000"/>
                <w:sz w:val="21"/>
                <w:szCs w:val="21"/>
                <w:lang w:val="en-US" w:eastAsia="zh-CN"/>
              </w:rPr>
              <w:t>4-</w:t>
            </w:r>
            <w:r>
              <w:rPr>
                <w:rFonts w:hint="eastAsia" w:cs="Times New Roman"/>
                <w:b/>
                <w:color w:val="FF0000"/>
                <w:sz w:val="21"/>
                <w:szCs w:val="21"/>
                <w:lang w:val="en-US" w:eastAsia="zh-CN"/>
              </w:rPr>
              <w:t xml:space="preserve">44 </w:t>
            </w:r>
            <w:r>
              <w:rPr>
                <w:rFonts w:hint="default" w:ascii="Times New Roman" w:hAnsi="Times New Roman" w:cs="Times New Roman"/>
                <w:b/>
                <w:color w:val="FF0000"/>
                <w:sz w:val="21"/>
                <w:szCs w:val="21"/>
              </w:rPr>
              <w:t xml:space="preserve">  </w:t>
            </w:r>
            <w:r>
              <w:rPr>
                <w:rFonts w:hint="default" w:ascii="Times New Roman" w:hAnsi="Times New Roman" w:cs="Times New Roman"/>
                <w:b/>
                <w:bCs/>
                <w:color w:val="FF0000"/>
                <w:sz w:val="21"/>
                <w:szCs w:val="21"/>
              </w:rPr>
              <w:t xml:space="preserve"> 环保“三同时”竣工验收清单</w:t>
            </w:r>
          </w:p>
          <w:tbl>
            <w:tblPr>
              <w:tblStyle w:val="34"/>
              <w:tblW w:w="4971" w:type="pct"/>
              <w:jc w:val="center"/>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23"/>
              <w:gridCol w:w="1244"/>
              <w:gridCol w:w="1622"/>
              <w:gridCol w:w="1995"/>
              <w:gridCol w:w="941"/>
              <w:gridCol w:w="2201"/>
            </w:tblGrid>
            <w:tr w14:paraId="43584155">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50" w:type="pct"/>
                  <w:tcBorders>
                    <w:tl2br w:val="nil"/>
                    <w:tr2bl w:val="nil"/>
                  </w:tcBorders>
                  <w:noWrap w:val="0"/>
                  <w:vAlign w:val="center"/>
                </w:tcPr>
                <w:p w14:paraId="7BC7370E">
                  <w:pPr>
                    <w:spacing w:line="240" w:lineRule="auto"/>
                    <w:jc w:val="center"/>
                    <w:rPr>
                      <w:rFonts w:hint="eastAsia" w:ascii="Times New Roman" w:hAnsi="Times New Roman" w:eastAsia="宋体" w:cs="Times New Roman"/>
                      <w:color w:val="FF0000"/>
                      <w:sz w:val="21"/>
                      <w:szCs w:val="21"/>
                      <w:lang w:eastAsia="zh-CN"/>
                    </w:rPr>
                  </w:pPr>
                  <w:r>
                    <w:rPr>
                      <w:rStyle w:val="146"/>
                      <w:rFonts w:hint="eastAsia" w:ascii="Times New Roman" w:hAnsi="Times New Roman" w:cs="Times New Roman"/>
                      <w:b/>
                      <w:bCs/>
                      <w:color w:val="FF0000"/>
                      <w:sz w:val="21"/>
                      <w:szCs w:val="21"/>
                      <w:lang w:eastAsia="zh-CN"/>
                    </w:rPr>
                    <w:t>类别</w:t>
                  </w:r>
                </w:p>
              </w:tc>
              <w:tc>
                <w:tcPr>
                  <w:tcW w:w="738" w:type="pct"/>
                  <w:tcBorders>
                    <w:tl2br w:val="nil"/>
                    <w:tr2bl w:val="nil"/>
                  </w:tcBorders>
                  <w:noWrap w:val="0"/>
                  <w:vAlign w:val="center"/>
                </w:tcPr>
                <w:p w14:paraId="279D6098">
                  <w:pPr>
                    <w:spacing w:line="240" w:lineRule="auto"/>
                    <w:jc w:val="center"/>
                    <w:rPr>
                      <w:rFonts w:hint="default" w:ascii="Times New Roman" w:hAnsi="Times New Roman" w:cs="Times New Roman"/>
                      <w:color w:val="FF0000"/>
                      <w:sz w:val="21"/>
                      <w:szCs w:val="21"/>
                    </w:rPr>
                  </w:pPr>
                  <w:r>
                    <w:rPr>
                      <w:rStyle w:val="146"/>
                      <w:rFonts w:hint="eastAsia" w:ascii="Times New Roman" w:hAnsi="Times New Roman" w:cs="Times New Roman"/>
                      <w:b/>
                      <w:bCs/>
                      <w:color w:val="FF0000"/>
                      <w:sz w:val="21"/>
                      <w:szCs w:val="21"/>
                      <w:lang w:eastAsia="zh-CN"/>
                    </w:rPr>
                    <w:t>污染源</w:t>
                  </w:r>
                </w:p>
              </w:tc>
              <w:tc>
                <w:tcPr>
                  <w:tcW w:w="962" w:type="pct"/>
                  <w:tcBorders>
                    <w:tl2br w:val="nil"/>
                    <w:tr2bl w:val="nil"/>
                  </w:tcBorders>
                  <w:noWrap w:val="0"/>
                  <w:vAlign w:val="center"/>
                </w:tcPr>
                <w:p w14:paraId="49BAC2D3">
                  <w:pPr>
                    <w:spacing w:line="240" w:lineRule="auto"/>
                    <w:jc w:val="center"/>
                    <w:rPr>
                      <w:rFonts w:hint="default" w:ascii="Times New Roman" w:hAnsi="Times New Roman" w:cs="Times New Roman"/>
                      <w:color w:val="FF0000"/>
                      <w:sz w:val="21"/>
                      <w:szCs w:val="21"/>
                    </w:rPr>
                  </w:pPr>
                  <w:r>
                    <w:rPr>
                      <w:rStyle w:val="146"/>
                      <w:rFonts w:hint="eastAsia" w:ascii="Times New Roman" w:hAnsi="Times New Roman" w:cs="Times New Roman"/>
                      <w:b/>
                      <w:bCs/>
                      <w:color w:val="FF0000"/>
                      <w:sz w:val="21"/>
                      <w:szCs w:val="21"/>
                      <w:lang w:eastAsia="zh-CN"/>
                    </w:rPr>
                    <w:t>污染物</w:t>
                  </w:r>
                </w:p>
              </w:tc>
              <w:tc>
                <w:tcPr>
                  <w:tcW w:w="1184" w:type="pct"/>
                  <w:tcBorders>
                    <w:tl2br w:val="nil"/>
                    <w:tr2bl w:val="nil"/>
                  </w:tcBorders>
                  <w:noWrap w:val="0"/>
                  <w:vAlign w:val="center"/>
                </w:tcPr>
                <w:p w14:paraId="343274D9">
                  <w:pPr>
                    <w:spacing w:line="240" w:lineRule="auto"/>
                    <w:jc w:val="center"/>
                    <w:rPr>
                      <w:rFonts w:hint="default" w:ascii="Times New Roman" w:hAnsi="Times New Roman" w:cs="Times New Roman"/>
                      <w:color w:val="FF0000"/>
                      <w:sz w:val="21"/>
                      <w:szCs w:val="21"/>
                    </w:rPr>
                  </w:pPr>
                  <w:r>
                    <w:rPr>
                      <w:rStyle w:val="146"/>
                      <w:rFonts w:hint="eastAsia" w:ascii="Times New Roman" w:hAnsi="Times New Roman" w:cs="Times New Roman"/>
                      <w:b/>
                      <w:bCs/>
                      <w:color w:val="FF0000"/>
                      <w:sz w:val="21"/>
                      <w:szCs w:val="21"/>
                      <w:lang w:eastAsia="zh-CN"/>
                    </w:rPr>
                    <w:t>环保措施</w:t>
                  </w:r>
                </w:p>
              </w:tc>
              <w:tc>
                <w:tcPr>
                  <w:tcW w:w="558" w:type="pct"/>
                  <w:tcBorders>
                    <w:tl2br w:val="nil"/>
                    <w:tr2bl w:val="nil"/>
                  </w:tcBorders>
                  <w:noWrap w:val="0"/>
                  <w:vAlign w:val="center"/>
                </w:tcPr>
                <w:p w14:paraId="2F17FA38">
                  <w:pPr>
                    <w:spacing w:line="240" w:lineRule="auto"/>
                    <w:jc w:val="center"/>
                    <w:rPr>
                      <w:rStyle w:val="146"/>
                      <w:rFonts w:hint="eastAsia" w:ascii="Times New Roman" w:hAnsi="Times New Roman" w:cs="Times New Roman"/>
                      <w:b/>
                      <w:bCs/>
                      <w:color w:val="FF0000"/>
                      <w:sz w:val="21"/>
                      <w:szCs w:val="21"/>
                      <w:lang w:eastAsia="zh-CN"/>
                    </w:rPr>
                  </w:pPr>
                  <w:r>
                    <w:rPr>
                      <w:rStyle w:val="146"/>
                      <w:rFonts w:hint="eastAsia" w:cs="Times New Roman"/>
                      <w:b/>
                      <w:bCs/>
                      <w:color w:val="FF0000"/>
                      <w:sz w:val="21"/>
                      <w:szCs w:val="21"/>
                      <w:lang w:eastAsia="zh-CN"/>
                    </w:rPr>
                    <w:t>数量</w:t>
                  </w:r>
                </w:p>
              </w:tc>
              <w:tc>
                <w:tcPr>
                  <w:tcW w:w="1306" w:type="pct"/>
                  <w:tcBorders>
                    <w:tl2br w:val="nil"/>
                    <w:tr2bl w:val="nil"/>
                  </w:tcBorders>
                  <w:noWrap w:val="0"/>
                  <w:vAlign w:val="center"/>
                </w:tcPr>
                <w:p w14:paraId="17E8AADA">
                  <w:pPr>
                    <w:spacing w:line="240" w:lineRule="auto"/>
                    <w:jc w:val="center"/>
                    <w:rPr>
                      <w:rFonts w:hint="default" w:ascii="Times New Roman" w:hAnsi="Times New Roman" w:cs="Times New Roman"/>
                      <w:color w:val="FF0000"/>
                      <w:sz w:val="21"/>
                      <w:szCs w:val="21"/>
                    </w:rPr>
                  </w:pPr>
                  <w:r>
                    <w:rPr>
                      <w:rStyle w:val="146"/>
                      <w:rFonts w:hint="eastAsia" w:ascii="Times New Roman" w:hAnsi="Times New Roman" w:cs="Times New Roman"/>
                      <w:b/>
                      <w:bCs/>
                      <w:color w:val="FF0000"/>
                      <w:sz w:val="21"/>
                      <w:szCs w:val="21"/>
                      <w:lang w:eastAsia="zh-CN"/>
                    </w:rPr>
                    <w:t>标准</w:t>
                  </w:r>
                </w:p>
              </w:tc>
            </w:tr>
            <w:tr w14:paraId="52342CAF">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50" w:type="pct"/>
                  <w:vMerge w:val="restart"/>
                  <w:tcBorders>
                    <w:tl2br w:val="nil"/>
                    <w:tr2bl w:val="nil"/>
                  </w:tcBorders>
                  <w:noWrap w:val="0"/>
                  <w:vAlign w:val="center"/>
                </w:tcPr>
                <w:p w14:paraId="7AE4A6F7">
                  <w:pPr>
                    <w:adjustRightInd w:val="0"/>
                    <w:snapToGrid w:val="0"/>
                    <w:jc w:val="center"/>
                    <w:rPr>
                      <w:rFonts w:hint="eastAsia" w:ascii="Times New Roman" w:hAnsi="Times New Roman" w:eastAsia="宋体" w:cs="Times New Roman"/>
                      <w:color w:val="FF0000"/>
                      <w:sz w:val="21"/>
                      <w:szCs w:val="21"/>
                      <w:lang w:eastAsia="zh-CN"/>
                    </w:rPr>
                  </w:pPr>
                  <w:r>
                    <w:rPr>
                      <w:rFonts w:hint="eastAsia" w:ascii="Times New Roman" w:hAnsi="Times New Roman" w:cs="Times New Roman"/>
                      <w:color w:val="FF0000"/>
                      <w:sz w:val="21"/>
                      <w:szCs w:val="21"/>
                      <w:lang w:eastAsia="zh-CN"/>
                    </w:rPr>
                    <w:t>废气</w:t>
                  </w:r>
                </w:p>
              </w:tc>
              <w:tc>
                <w:tcPr>
                  <w:tcW w:w="738" w:type="pct"/>
                  <w:tcBorders>
                    <w:tl2br w:val="nil"/>
                    <w:tr2bl w:val="nil"/>
                  </w:tcBorders>
                  <w:noWrap w:val="0"/>
                  <w:vAlign w:val="center"/>
                </w:tcPr>
                <w:p w14:paraId="270B4DD7">
                  <w:pPr>
                    <w:adjustRightInd w:val="0"/>
                    <w:snapToGrid w:val="0"/>
                    <w:jc w:val="center"/>
                    <w:rPr>
                      <w:rFonts w:hint="eastAsia" w:ascii="Times New Roman" w:hAnsi="Times New Roman" w:eastAsia="宋体" w:cs="Times New Roman"/>
                      <w:color w:val="FF0000"/>
                      <w:sz w:val="21"/>
                      <w:szCs w:val="21"/>
                      <w:lang w:eastAsia="zh-CN"/>
                    </w:rPr>
                  </w:pPr>
                  <w:r>
                    <w:rPr>
                      <w:rFonts w:hint="default" w:ascii="Times New Roman" w:hAnsi="Times New Roman" w:cs="Times New Roman"/>
                      <w:color w:val="FF0000"/>
                      <w:szCs w:val="21"/>
                    </w:rPr>
                    <w:t>拆解车间</w:t>
                  </w:r>
                  <w:r>
                    <w:rPr>
                      <w:rFonts w:hint="eastAsia" w:cs="Times New Roman"/>
                      <w:color w:val="FF0000"/>
                      <w:sz w:val="21"/>
                      <w:szCs w:val="21"/>
                      <w:lang w:eastAsia="zh-CN"/>
                    </w:rPr>
                    <w:t>DA001</w:t>
                  </w:r>
                </w:p>
              </w:tc>
              <w:tc>
                <w:tcPr>
                  <w:tcW w:w="962" w:type="pct"/>
                  <w:tcBorders>
                    <w:tl2br w:val="nil"/>
                    <w:tr2bl w:val="nil"/>
                  </w:tcBorders>
                  <w:noWrap w:val="0"/>
                  <w:vAlign w:val="center"/>
                </w:tcPr>
                <w:p w14:paraId="552E0DBD">
                  <w:pPr>
                    <w:jc w:val="center"/>
                    <w:rPr>
                      <w:rFonts w:hint="default" w:ascii="Times New Roman" w:hAnsi="Times New Roman" w:cs="Times New Roman"/>
                      <w:color w:val="FF0000"/>
                      <w:sz w:val="21"/>
                      <w:szCs w:val="21"/>
                    </w:rPr>
                  </w:pPr>
                  <w:r>
                    <w:rPr>
                      <w:rFonts w:hint="default" w:ascii="Times New Roman" w:hAnsi="Times New Roman" w:cs="Times New Roman"/>
                      <w:color w:val="FF0000"/>
                      <w:kern w:val="0"/>
                      <w:szCs w:val="21"/>
                      <w:lang w:bidi="ar"/>
                    </w:rPr>
                    <w:t>非甲烷总烃</w:t>
                  </w:r>
                </w:p>
              </w:tc>
              <w:tc>
                <w:tcPr>
                  <w:tcW w:w="1184" w:type="pct"/>
                  <w:tcBorders>
                    <w:tl2br w:val="nil"/>
                    <w:tr2bl w:val="nil"/>
                  </w:tcBorders>
                  <w:noWrap w:val="0"/>
                  <w:vAlign w:val="center"/>
                </w:tcPr>
                <w:p w14:paraId="50CF1EC9">
                  <w:pPr>
                    <w:jc w:val="center"/>
                    <w:rPr>
                      <w:rFonts w:hint="eastAsia" w:ascii="Times New Roman" w:hAnsi="Times New Roman" w:eastAsia="宋体" w:cs="Times New Roman"/>
                      <w:color w:val="FF0000"/>
                      <w:sz w:val="21"/>
                      <w:szCs w:val="21"/>
                      <w:lang w:eastAsia="zh-CN"/>
                    </w:rPr>
                  </w:pPr>
                  <w:r>
                    <w:rPr>
                      <w:rFonts w:hint="default" w:ascii="Times New Roman" w:hAnsi="Times New Roman" w:cs="Times New Roman"/>
                      <w:color w:val="FF0000"/>
                      <w:kern w:val="0"/>
                      <w:szCs w:val="21"/>
                      <w:lang w:bidi="ar"/>
                    </w:rPr>
                    <w:t>集气罩+二级活性炭吸附+</w:t>
                  </w:r>
                  <w:r>
                    <w:rPr>
                      <w:rFonts w:hint="default" w:ascii="Times New Roman" w:hAnsi="Times New Roman" w:cs="Times New Roman"/>
                      <w:color w:val="FF0000"/>
                      <w:kern w:val="0"/>
                      <w:szCs w:val="21"/>
                      <w:lang w:eastAsia="zh-CN" w:bidi="ar"/>
                    </w:rPr>
                    <w:t>26m排气筒</w:t>
                  </w:r>
                  <w:r>
                    <w:rPr>
                      <w:rFonts w:hint="default" w:ascii="Times New Roman" w:hAnsi="Times New Roman" w:cs="Times New Roman"/>
                      <w:color w:val="FF0000"/>
                      <w:kern w:val="0"/>
                      <w:szCs w:val="21"/>
                      <w:lang w:bidi="ar"/>
                    </w:rPr>
                    <w:t>DA001</w:t>
                  </w:r>
                </w:p>
              </w:tc>
              <w:tc>
                <w:tcPr>
                  <w:tcW w:w="558" w:type="pct"/>
                  <w:tcBorders>
                    <w:tl2br w:val="nil"/>
                    <w:tr2bl w:val="nil"/>
                  </w:tcBorders>
                  <w:noWrap w:val="0"/>
                  <w:vAlign w:val="center"/>
                </w:tcPr>
                <w:p w14:paraId="29FAF51A">
                  <w:pPr>
                    <w:snapToGrid w:val="0"/>
                    <w:spacing w:line="240" w:lineRule="auto"/>
                    <w:jc w:val="center"/>
                    <w:rPr>
                      <w:rFonts w:hint="default" w:ascii="Times New Roman" w:hAnsi="Times New Roman" w:cs="Times New Roman"/>
                      <w:color w:val="FF0000"/>
                      <w:sz w:val="21"/>
                      <w:szCs w:val="21"/>
                    </w:rPr>
                  </w:pPr>
                  <w:r>
                    <w:rPr>
                      <w:rFonts w:hint="eastAsia" w:ascii="Times New Roman" w:hAnsi="Times New Roman" w:cs="Times New Roman"/>
                      <w:color w:val="FF0000"/>
                      <w:sz w:val="21"/>
                      <w:szCs w:val="21"/>
                      <w:highlight w:val="none"/>
                      <w:lang w:val="en-US" w:eastAsia="zh-CN"/>
                    </w:rPr>
                    <w:t>1套</w:t>
                  </w:r>
                </w:p>
              </w:tc>
              <w:tc>
                <w:tcPr>
                  <w:tcW w:w="1306" w:type="pct"/>
                  <w:tcBorders>
                    <w:tl2br w:val="nil"/>
                    <w:tr2bl w:val="nil"/>
                  </w:tcBorders>
                  <w:noWrap w:val="0"/>
                  <w:vAlign w:val="center"/>
                </w:tcPr>
                <w:p w14:paraId="3C2DB3CB">
                  <w:pPr>
                    <w:jc w:val="both"/>
                    <w:rPr>
                      <w:rFonts w:hint="eastAsia" w:ascii="Times New Roman" w:hAnsi="Times New Roman" w:eastAsia="宋体" w:cs="Times New Roman"/>
                      <w:color w:val="FF0000"/>
                      <w:sz w:val="21"/>
                      <w:szCs w:val="21"/>
                      <w:lang w:eastAsia="zh-CN"/>
                    </w:rPr>
                  </w:pPr>
                  <w:r>
                    <w:rPr>
                      <w:rFonts w:hint="default" w:ascii="Times New Roman" w:hAnsi="Times New Roman" w:cs="Times New Roman"/>
                      <w:color w:val="FF0000"/>
                    </w:rPr>
                    <w:t>《大气污染物综合排放标准》（GB16297-1996）表2</w:t>
                  </w:r>
                </w:p>
              </w:tc>
            </w:tr>
            <w:tr w14:paraId="5534B86C">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50" w:type="pct"/>
                  <w:vMerge w:val="continue"/>
                  <w:tcBorders>
                    <w:tl2br w:val="nil"/>
                    <w:tr2bl w:val="nil"/>
                  </w:tcBorders>
                  <w:noWrap w:val="0"/>
                  <w:vAlign w:val="center"/>
                </w:tcPr>
                <w:p w14:paraId="737FD196">
                  <w:pPr>
                    <w:adjustRightInd w:val="0"/>
                    <w:snapToGrid w:val="0"/>
                    <w:jc w:val="center"/>
                    <w:rPr>
                      <w:rFonts w:hint="default" w:ascii="Times New Roman" w:hAnsi="Times New Roman" w:cs="Times New Roman"/>
                      <w:color w:val="FF0000"/>
                      <w:sz w:val="21"/>
                      <w:szCs w:val="21"/>
                    </w:rPr>
                  </w:pPr>
                </w:p>
              </w:tc>
              <w:tc>
                <w:tcPr>
                  <w:tcW w:w="738" w:type="pct"/>
                  <w:tcBorders>
                    <w:tl2br w:val="nil"/>
                    <w:tr2bl w:val="nil"/>
                  </w:tcBorders>
                  <w:noWrap w:val="0"/>
                  <w:vAlign w:val="center"/>
                </w:tcPr>
                <w:p w14:paraId="61DA9369">
                  <w:pPr>
                    <w:adjustRightInd w:val="0"/>
                    <w:snapToGrid w:val="0"/>
                    <w:jc w:val="center"/>
                    <w:rPr>
                      <w:rFonts w:hint="eastAsia" w:ascii="Times New Roman" w:hAnsi="Times New Roman" w:eastAsia="宋体" w:cs="Times New Roman"/>
                      <w:color w:val="FF0000"/>
                      <w:sz w:val="21"/>
                      <w:szCs w:val="21"/>
                      <w:lang w:eastAsia="zh-CN"/>
                    </w:rPr>
                  </w:pPr>
                  <w:r>
                    <w:rPr>
                      <w:rFonts w:hint="default" w:ascii="Times New Roman" w:hAnsi="Times New Roman" w:cs="Times New Roman"/>
                      <w:color w:val="FF0000"/>
                      <w:szCs w:val="21"/>
                    </w:rPr>
                    <w:t>拆解车间</w:t>
                  </w:r>
                  <w:r>
                    <w:rPr>
                      <w:rFonts w:hint="eastAsia" w:cs="Times New Roman"/>
                      <w:color w:val="FF0000"/>
                      <w:sz w:val="21"/>
                      <w:szCs w:val="21"/>
                      <w:lang w:eastAsia="zh-CN"/>
                    </w:rPr>
                    <w:t>DA002</w:t>
                  </w:r>
                </w:p>
              </w:tc>
              <w:tc>
                <w:tcPr>
                  <w:tcW w:w="962" w:type="pct"/>
                  <w:tcBorders>
                    <w:tl2br w:val="nil"/>
                    <w:tr2bl w:val="nil"/>
                  </w:tcBorders>
                  <w:noWrap w:val="0"/>
                  <w:vAlign w:val="center"/>
                </w:tcPr>
                <w:p w14:paraId="0711F003">
                  <w:pPr>
                    <w:adjustRightInd w:val="0"/>
                    <w:snapToGrid w:val="0"/>
                    <w:jc w:val="center"/>
                    <w:rPr>
                      <w:rFonts w:hint="default" w:ascii="Times New Roman" w:hAnsi="Times New Roman" w:cs="Times New Roman"/>
                      <w:color w:val="FF0000"/>
                      <w:sz w:val="21"/>
                      <w:szCs w:val="21"/>
                    </w:rPr>
                  </w:pPr>
                  <w:r>
                    <w:rPr>
                      <w:rFonts w:hint="default" w:ascii="Times New Roman" w:hAnsi="Times New Roman" w:cs="Times New Roman"/>
                      <w:color w:val="FF0000"/>
                      <w:kern w:val="0"/>
                      <w:szCs w:val="21"/>
                      <w:lang w:bidi="ar"/>
                    </w:rPr>
                    <w:t>颗粒物</w:t>
                  </w:r>
                </w:p>
              </w:tc>
              <w:tc>
                <w:tcPr>
                  <w:tcW w:w="1184" w:type="pct"/>
                  <w:tcBorders>
                    <w:tl2br w:val="nil"/>
                    <w:tr2bl w:val="nil"/>
                  </w:tcBorders>
                  <w:noWrap w:val="0"/>
                  <w:vAlign w:val="center"/>
                </w:tcPr>
                <w:p w14:paraId="5FA8CAD6">
                  <w:pPr>
                    <w:adjustRightInd w:val="0"/>
                    <w:snapToGrid w:val="0"/>
                    <w:jc w:val="center"/>
                    <w:rPr>
                      <w:rFonts w:hint="eastAsia" w:ascii="Times New Roman" w:hAnsi="Times New Roman" w:eastAsia="宋体" w:cs="Times New Roman"/>
                      <w:color w:val="FF0000"/>
                      <w:sz w:val="21"/>
                      <w:szCs w:val="21"/>
                      <w:lang w:eastAsia="zh-CN"/>
                    </w:rPr>
                  </w:pPr>
                  <w:r>
                    <w:rPr>
                      <w:rFonts w:hint="default" w:ascii="Times New Roman" w:hAnsi="Times New Roman" w:cs="Times New Roman"/>
                      <w:color w:val="FF0000"/>
                      <w:kern w:val="0"/>
                      <w:szCs w:val="21"/>
                      <w:lang w:bidi="ar"/>
                    </w:rPr>
                    <w:t>集气罩+袋式除尘器+</w:t>
                  </w:r>
                  <w:r>
                    <w:rPr>
                      <w:rFonts w:hint="default" w:ascii="Times New Roman" w:hAnsi="Times New Roman" w:cs="Times New Roman"/>
                      <w:color w:val="FF0000"/>
                      <w:kern w:val="0"/>
                      <w:szCs w:val="21"/>
                      <w:lang w:eastAsia="zh-CN" w:bidi="ar"/>
                    </w:rPr>
                    <w:t>26m排气筒</w:t>
                  </w:r>
                  <w:r>
                    <w:rPr>
                      <w:rFonts w:hint="default" w:ascii="Times New Roman" w:hAnsi="Times New Roman" w:cs="Times New Roman"/>
                      <w:color w:val="FF0000"/>
                      <w:kern w:val="0"/>
                      <w:szCs w:val="21"/>
                      <w:lang w:bidi="ar"/>
                    </w:rPr>
                    <w:t>DA002</w:t>
                  </w:r>
                </w:p>
              </w:tc>
              <w:tc>
                <w:tcPr>
                  <w:tcW w:w="558" w:type="pct"/>
                  <w:tcBorders>
                    <w:tl2br w:val="nil"/>
                    <w:tr2bl w:val="nil"/>
                  </w:tcBorders>
                  <w:noWrap w:val="0"/>
                  <w:vAlign w:val="center"/>
                </w:tcPr>
                <w:p w14:paraId="2E72C202">
                  <w:pPr>
                    <w:snapToGrid w:val="0"/>
                    <w:spacing w:line="240" w:lineRule="auto"/>
                    <w:jc w:val="center"/>
                    <w:rPr>
                      <w:rFonts w:hint="default" w:ascii="Times New Roman" w:hAnsi="Times New Roman" w:eastAsia="宋体" w:cs="Times New Roman"/>
                      <w:color w:val="FF0000"/>
                      <w:sz w:val="21"/>
                      <w:szCs w:val="21"/>
                      <w:lang w:val="en-US" w:eastAsia="zh-CN"/>
                    </w:rPr>
                  </w:pPr>
                  <w:r>
                    <w:rPr>
                      <w:rFonts w:hint="eastAsia" w:ascii="Times New Roman" w:hAnsi="Times New Roman" w:cs="Times New Roman"/>
                      <w:color w:val="FF0000"/>
                      <w:sz w:val="21"/>
                      <w:szCs w:val="21"/>
                      <w:highlight w:val="none"/>
                      <w:lang w:val="en-US" w:eastAsia="zh-CN"/>
                    </w:rPr>
                    <w:t>1套</w:t>
                  </w:r>
                </w:p>
              </w:tc>
              <w:tc>
                <w:tcPr>
                  <w:tcW w:w="1306" w:type="pct"/>
                  <w:tcBorders>
                    <w:tl2br w:val="nil"/>
                    <w:tr2bl w:val="nil"/>
                  </w:tcBorders>
                  <w:noWrap w:val="0"/>
                  <w:vAlign w:val="center"/>
                </w:tcPr>
                <w:p w14:paraId="2334016B">
                  <w:pPr>
                    <w:adjustRightInd w:val="0"/>
                    <w:snapToGrid w:val="0"/>
                    <w:jc w:val="both"/>
                    <w:rPr>
                      <w:rFonts w:hint="default" w:ascii="Times New Roman" w:hAnsi="Times New Roman" w:eastAsia="宋体" w:cs="Times New Roman"/>
                      <w:color w:val="FF0000"/>
                      <w:sz w:val="21"/>
                      <w:szCs w:val="21"/>
                      <w:lang w:val="en-US" w:eastAsia="zh-CN"/>
                    </w:rPr>
                  </w:pPr>
                  <w:r>
                    <w:rPr>
                      <w:rFonts w:hint="default" w:ascii="Times New Roman" w:hAnsi="Times New Roman" w:cs="Times New Roman"/>
                      <w:color w:val="FF0000"/>
                    </w:rPr>
                    <w:t>《大气污染物综合排放标准》（GB16297-1996）表2</w:t>
                  </w:r>
                </w:p>
              </w:tc>
            </w:tr>
            <w:tr w14:paraId="23DC7C03">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50" w:type="pct"/>
                  <w:vMerge w:val="continue"/>
                  <w:tcBorders>
                    <w:tl2br w:val="nil"/>
                    <w:tr2bl w:val="nil"/>
                  </w:tcBorders>
                  <w:noWrap w:val="0"/>
                  <w:vAlign w:val="center"/>
                </w:tcPr>
                <w:p w14:paraId="0D507B12">
                  <w:pPr>
                    <w:adjustRightInd w:val="0"/>
                    <w:snapToGrid w:val="0"/>
                    <w:jc w:val="center"/>
                    <w:rPr>
                      <w:rFonts w:hint="default" w:ascii="Times New Roman" w:hAnsi="Times New Roman" w:cs="Times New Roman"/>
                      <w:color w:val="FF0000"/>
                      <w:sz w:val="21"/>
                      <w:szCs w:val="21"/>
                    </w:rPr>
                  </w:pPr>
                </w:p>
              </w:tc>
              <w:tc>
                <w:tcPr>
                  <w:tcW w:w="2884" w:type="pct"/>
                  <w:gridSpan w:val="3"/>
                  <w:tcBorders>
                    <w:tl2br w:val="nil"/>
                    <w:tr2bl w:val="nil"/>
                  </w:tcBorders>
                  <w:noWrap w:val="0"/>
                  <w:vAlign w:val="center"/>
                </w:tcPr>
                <w:p w14:paraId="0FB7D6D8">
                  <w:pPr>
                    <w:snapToGrid w:val="0"/>
                    <w:spacing w:line="240" w:lineRule="auto"/>
                    <w:jc w:val="center"/>
                    <w:rPr>
                      <w:rFonts w:hint="eastAsia" w:ascii="Times New Roman" w:hAnsi="Times New Roman" w:eastAsia="宋体" w:cs="Times New Roman"/>
                      <w:color w:val="FF0000"/>
                      <w:sz w:val="21"/>
                      <w:szCs w:val="21"/>
                      <w:lang w:val="en-US" w:eastAsia="zh-CN"/>
                    </w:rPr>
                  </w:pPr>
                  <w:r>
                    <w:rPr>
                      <w:rFonts w:hint="eastAsia" w:cs="Times New Roman"/>
                      <w:color w:val="FF0000"/>
                      <w:sz w:val="21"/>
                      <w:szCs w:val="21"/>
                      <w:lang w:val="en-US" w:eastAsia="zh-CN"/>
                    </w:rPr>
                    <w:t>污水处理站定期喷洒生物除臭剂</w:t>
                  </w:r>
                </w:p>
              </w:tc>
              <w:tc>
                <w:tcPr>
                  <w:tcW w:w="558" w:type="pct"/>
                  <w:tcBorders>
                    <w:tl2br w:val="nil"/>
                    <w:tr2bl w:val="nil"/>
                  </w:tcBorders>
                  <w:noWrap w:val="0"/>
                  <w:vAlign w:val="center"/>
                </w:tcPr>
                <w:p w14:paraId="3520CB73">
                  <w:pPr>
                    <w:snapToGrid w:val="0"/>
                    <w:spacing w:line="240" w:lineRule="auto"/>
                    <w:jc w:val="center"/>
                    <w:rPr>
                      <w:rFonts w:hint="default" w:ascii="Times New Roman" w:hAnsi="Times New Roman" w:cs="Times New Roman"/>
                      <w:color w:val="FF0000"/>
                      <w:sz w:val="21"/>
                      <w:szCs w:val="21"/>
                      <w:highlight w:val="none"/>
                      <w:lang w:val="en-US" w:eastAsia="zh-CN"/>
                    </w:rPr>
                  </w:pPr>
                  <w:r>
                    <w:rPr>
                      <w:rFonts w:hint="eastAsia" w:cs="Times New Roman"/>
                      <w:color w:val="FF0000"/>
                      <w:sz w:val="21"/>
                      <w:szCs w:val="21"/>
                      <w:highlight w:val="none"/>
                      <w:lang w:val="en-US" w:eastAsia="zh-CN"/>
                    </w:rPr>
                    <w:t>/</w:t>
                  </w:r>
                </w:p>
              </w:tc>
              <w:tc>
                <w:tcPr>
                  <w:tcW w:w="1306" w:type="pct"/>
                  <w:tcBorders>
                    <w:tl2br w:val="nil"/>
                    <w:tr2bl w:val="nil"/>
                  </w:tcBorders>
                  <w:noWrap w:val="0"/>
                  <w:vAlign w:val="center"/>
                </w:tcPr>
                <w:p w14:paraId="238EB116">
                  <w:pPr>
                    <w:adjustRightInd w:val="0"/>
                    <w:snapToGrid w:val="0"/>
                    <w:jc w:val="both"/>
                    <w:rPr>
                      <w:rFonts w:hint="default" w:ascii="Times New Roman" w:hAnsi="Times New Roman" w:cs="Times New Roman"/>
                      <w:color w:val="FF0000"/>
                      <w:sz w:val="21"/>
                      <w:szCs w:val="21"/>
                    </w:rPr>
                  </w:pPr>
                  <w:r>
                    <w:rPr>
                      <w:rFonts w:hint="eastAsia" w:ascii="Times New Roman" w:hAnsi="Times New Roman" w:cs="Times New Roman"/>
                      <w:color w:val="FF0000"/>
                      <w:szCs w:val="21"/>
                      <w:lang w:val="en-US" w:eastAsia="zh-CN"/>
                    </w:rPr>
                    <w:t>《恶臭污染物排放标准》（GB14554-93）</w:t>
                  </w:r>
                </w:p>
              </w:tc>
            </w:tr>
            <w:tr w14:paraId="443ACBF8">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50" w:type="pct"/>
                  <w:vMerge w:val="restart"/>
                  <w:tcBorders>
                    <w:tl2br w:val="nil"/>
                    <w:tr2bl w:val="nil"/>
                  </w:tcBorders>
                  <w:noWrap w:val="0"/>
                  <w:vAlign w:val="center"/>
                </w:tcPr>
                <w:p w14:paraId="3B132532">
                  <w:pPr>
                    <w:adjustRightInd w:val="0"/>
                    <w:snapToGrid w:val="0"/>
                    <w:jc w:val="center"/>
                    <w:rPr>
                      <w:rFonts w:hint="eastAsia" w:ascii="Times New Roman" w:hAnsi="Times New Roman" w:cs="Times New Roman"/>
                      <w:color w:val="FF0000"/>
                      <w:szCs w:val="21"/>
                      <w:lang w:eastAsia="zh-CN"/>
                    </w:rPr>
                  </w:pPr>
                  <w:r>
                    <w:rPr>
                      <w:rFonts w:hint="eastAsia" w:ascii="Times New Roman" w:hAnsi="Times New Roman" w:cs="Times New Roman"/>
                      <w:color w:val="FF0000"/>
                      <w:szCs w:val="21"/>
                      <w:lang w:eastAsia="zh-CN"/>
                    </w:rPr>
                    <w:t>废水</w:t>
                  </w:r>
                </w:p>
              </w:tc>
              <w:tc>
                <w:tcPr>
                  <w:tcW w:w="738" w:type="pct"/>
                  <w:vMerge w:val="restart"/>
                  <w:tcBorders>
                    <w:tl2br w:val="nil"/>
                    <w:tr2bl w:val="nil"/>
                  </w:tcBorders>
                  <w:noWrap w:val="0"/>
                  <w:vAlign w:val="center"/>
                </w:tcPr>
                <w:p w14:paraId="6DF6FCF6">
                  <w:pPr>
                    <w:adjustRightInd w:val="0"/>
                    <w:snapToGrid w:val="0"/>
                    <w:jc w:val="center"/>
                    <w:rPr>
                      <w:rFonts w:hint="default" w:ascii="Times New Roman" w:hAnsi="Times New Roman" w:cs="Times New Roman"/>
                      <w:color w:val="FF0000"/>
                      <w:szCs w:val="21"/>
                      <w:lang w:val="en-US" w:eastAsia="zh-CN"/>
                    </w:rPr>
                  </w:pPr>
                  <w:r>
                    <w:rPr>
                      <w:rFonts w:hint="eastAsia" w:ascii="Times New Roman" w:hAnsi="Times New Roman" w:cs="Times New Roman"/>
                      <w:color w:val="FF0000"/>
                      <w:szCs w:val="21"/>
                      <w:lang w:val="en-US" w:eastAsia="zh-CN"/>
                    </w:rPr>
                    <w:t>DW001</w:t>
                  </w:r>
                </w:p>
              </w:tc>
              <w:tc>
                <w:tcPr>
                  <w:tcW w:w="962" w:type="pct"/>
                  <w:tcBorders>
                    <w:tl2br w:val="nil"/>
                    <w:tr2bl w:val="nil"/>
                  </w:tcBorders>
                  <w:noWrap w:val="0"/>
                  <w:vAlign w:val="center"/>
                </w:tcPr>
                <w:p w14:paraId="438DC269">
                  <w:pPr>
                    <w:adjustRightInd w:val="0"/>
                    <w:snapToGrid w:val="0"/>
                    <w:jc w:val="center"/>
                    <w:rPr>
                      <w:rFonts w:hint="default" w:ascii="Times New Roman" w:hAnsi="Times New Roman" w:cs="Times New Roman"/>
                      <w:color w:val="FF0000"/>
                      <w:szCs w:val="21"/>
                    </w:rPr>
                  </w:pPr>
                  <w:r>
                    <w:rPr>
                      <w:rFonts w:hint="eastAsia" w:ascii="Times New Roman" w:hAnsi="Times New Roman" w:cs="Times New Roman"/>
                      <w:color w:val="FF0000"/>
                      <w:szCs w:val="21"/>
                      <w:lang w:eastAsia="zh-CN"/>
                    </w:rPr>
                    <w:t>生活污水</w:t>
                  </w:r>
                </w:p>
              </w:tc>
              <w:tc>
                <w:tcPr>
                  <w:tcW w:w="1184" w:type="pct"/>
                  <w:tcBorders>
                    <w:tl2br w:val="nil"/>
                    <w:tr2bl w:val="nil"/>
                  </w:tcBorders>
                  <w:noWrap w:val="0"/>
                  <w:vAlign w:val="center"/>
                </w:tcPr>
                <w:p w14:paraId="76E5FBA1">
                  <w:pPr>
                    <w:adjustRightInd w:val="0"/>
                    <w:snapToGrid w:val="0"/>
                    <w:jc w:val="center"/>
                    <w:rPr>
                      <w:rFonts w:hint="eastAsia" w:ascii="Times New Roman" w:hAnsi="Times New Roman" w:cs="Times New Roman"/>
                      <w:color w:val="FF0000"/>
                      <w:szCs w:val="21"/>
                      <w:lang w:eastAsia="zh-CN"/>
                    </w:rPr>
                  </w:pPr>
                  <w:r>
                    <w:rPr>
                      <w:rFonts w:hint="eastAsia" w:ascii="Times New Roman" w:hAnsi="Times New Roman" w:cs="Times New Roman"/>
                      <w:color w:val="FF0000"/>
                      <w:szCs w:val="21"/>
                      <w:lang w:val="en-US" w:eastAsia="zh-CN"/>
                    </w:rPr>
                    <w:t>经厂内防渗化粪池处理后，通过管网排入北票市污水处理厂</w:t>
                  </w:r>
                </w:p>
              </w:tc>
              <w:tc>
                <w:tcPr>
                  <w:tcW w:w="558" w:type="pct"/>
                  <w:tcBorders>
                    <w:tl2br w:val="nil"/>
                    <w:tr2bl w:val="nil"/>
                  </w:tcBorders>
                  <w:noWrap w:val="0"/>
                  <w:vAlign w:val="center"/>
                </w:tcPr>
                <w:p w14:paraId="658883A6">
                  <w:pPr>
                    <w:adjustRightInd w:val="0"/>
                    <w:snapToGrid w:val="0"/>
                    <w:jc w:val="center"/>
                    <w:rPr>
                      <w:rFonts w:hint="default" w:ascii="Times New Roman" w:hAnsi="Times New Roman" w:cs="Times New Roman"/>
                      <w:color w:val="FF0000"/>
                      <w:szCs w:val="21"/>
                    </w:rPr>
                  </w:pPr>
                  <w:r>
                    <w:rPr>
                      <w:rFonts w:hint="eastAsia" w:ascii="Times New Roman" w:hAnsi="Times New Roman" w:cs="Times New Roman"/>
                      <w:color w:val="FF0000"/>
                      <w:szCs w:val="21"/>
                      <w:lang w:val="en-US" w:eastAsia="zh-CN"/>
                    </w:rPr>
                    <w:t>1座</w:t>
                  </w:r>
                  <w:r>
                    <w:rPr>
                      <w:rFonts w:hint="default" w:ascii="Times New Roman" w:hAnsi="Times New Roman" w:cs="Times New Roman"/>
                      <w:color w:val="FF0000"/>
                      <w:szCs w:val="21"/>
                      <w:lang w:eastAsia="zh-CN"/>
                    </w:rPr>
                    <w:t>，</w:t>
                  </w:r>
                  <w:r>
                    <w:rPr>
                      <w:rFonts w:hint="eastAsia" w:cs="Times New Roman"/>
                      <w:color w:val="FF0000"/>
                      <w:szCs w:val="21"/>
                      <w:lang w:val="en-US" w:eastAsia="zh-CN"/>
                    </w:rPr>
                    <w:t>10</w:t>
                  </w:r>
                  <w:r>
                    <w:rPr>
                      <w:rFonts w:hint="eastAsia" w:ascii="Times New Roman" w:hAnsi="Times New Roman" w:cs="Times New Roman"/>
                      <w:color w:val="FF0000"/>
                      <w:szCs w:val="21"/>
                      <w:lang w:val="en-US" w:eastAsia="zh-CN"/>
                    </w:rPr>
                    <w:t>m</w:t>
                  </w:r>
                  <w:r>
                    <w:rPr>
                      <w:rFonts w:hint="default" w:ascii="Times New Roman" w:hAnsi="Times New Roman" w:cs="Times New Roman"/>
                      <w:color w:val="FF0000"/>
                      <w:szCs w:val="21"/>
                      <w:vertAlign w:val="superscript"/>
                      <w:lang w:val="en-US" w:eastAsia="zh-CN"/>
                    </w:rPr>
                    <w:t>3</w:t>
                  </w:r>
                </w:p>
              </w:tc>
              <w:tc>
                <w:tcPr>
                  <w:tcW w:w="1306" w:type="pct"/>
                  <w:vMerge w:val="restart"/>
                  <w:tcBorders>
                    <w:tl2br w:val="nil"/>
                    <w:tr2bl w:val="nil"/>
                  </w:tcBorders>
                  <w:noWrap w:val="0"/>
                  <w:vAlign w:val="center"/>
                </w:tcPr>
                <w:p w14:paraId="4ECB0799">
                  <w:pPr>
                    <w:adjustRightInd w:val="0"/>
                    <w:snapToGrid w:val="0"/>
                    <w:jc w:val="center"/>
                    <w:rPr>
                      <w:rFonts w:hint="eastAsia" w:ascii="Times New Roman" w:hAnsi="Times New Roman" w:eastAsia="宋体" w:cs="Times New Roman"/>
                      <w:color w:val="auto"/>
                      <w:sz w:val="21"/>
                      <w:szCs w:val="21"/>
                      <w:lang w:val="en-US" w:eastAsia="zh-CN"/>
                    </w:rPr>
                  </w:pPr>
                  <w:r>
                    <w:rPr>
                      <w:rFonts w:hint="eastAsia" w:ascii="Times New Roman" w:hAnsi="Times New Roman" w:cs="Times New Roman"/>
                      <w:color w:val="FF0000"/>
                      <w:szCs w:val="21"/>
                      <w:lang w:val="en-US" w:eastAsia="zh-CN"/>
                    </w:rPr>
                    <w:t>《辽宁省污水综合排放标准》（DB21/1627-2008）中表2排入污水处理厂标准</w:t>
                  </w:r>
                </w:p>
              </w:tc>
            </w:tr>
            <w:tr w14:paraId="4A3B1E42">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50" w:type="pct"/>
                  <w:vMerge w:val="continue"/>
                  <w:tcBorders>
                    <w:tl2br w:val="nil"/>
                    <w:tr2bl w:val="nil"/>
                  </w:tcBorders>
                  <w:noWrap w:val="0"/>
                  <w:vAlign w:val="center"/>
                </w:tcPr>
                <w:p w14:paraId="15FC64F2">
                  <w:pPr>
                    <w:adjustRightInd w:val="0"/>
                    <w:snapToGrid w:val="0"/>
                    <w:jc w:val="center"/>
                    <w:rPr>
                      <w:rFonts w:hint="default" w:ascii="Times New Roman" w:hAnsi="Times New Roman" w:cs="Times New Roman"/>
                      <w:color w:val="FF0000"/>
                      <w:szCs w:val="21"/>
                    </w:rPr>
                  </w:pPr>
                </w:p>
              </w:tc>
              <w:tc>
                <w:tcPr>
                  <w:tcW w:w="738" w:type="pct"/>
                  <w:vMerge w:val="continue"/>
                  <w:tcBorders>
                    <w:tl2br w:val="nil"/>
                    <w:tr2bl w:val="nil"/>
                  </w:tcBorders>
                  <w:noWrap w:val="0"/>
                  <w:vAlign w:val="center"/>
                </w:tcPr>
                <w:p w14:paraId="45C908E8">
                  <w:pPr>
                    <w:adjustRightInd w:val="0"/>
                    <w:snapToGrid w:val="0"/>
                    <w:jc w:val="center"/>
                    <w:rPr>
                      <w:rFonts w:hint="eastAsia" w:ascii="Times New Roman" w:hAnsi="Times New Roman" w:cs="Times New Roman"/>
                      <w:color w:val="FF0000"/>
                      <w:szCs w:val="21"/>
                      <w:lang w:eastAsia="zh-CN"/>
                    </w:rPr>
                  </w:pPr>
                </w:p>
              </w:tc>
              <w:tc>
                <w:tcPr>
                  <w:tcW w:w="962" w:type="pct"/>
                  <w:tcBorders>
                    <w:tl2br w:val="nil"/>
                    <w:tr2bl w:val="nil"/>
                  </w:tcBorders>
                  <w:noWrap w:val="0"/>
                  <w:vAlign w:val="center"/>
                </w:tcPr>
                <w:p w14:paraId="66827F7E">
                  <w:pPr>
                    <w:adjustRightInd w:val="0"/>
                    <w:snapToGrid w:val="0"/>
                    <w:jc w:val="center"/>
                    <w:rPr>
                      <w:rFonts w:hint="default" w:ascii="Times New Roman" w:hAnsi="Times New Roman" w:cs="Times New Roman"/>
                      <w:color w:val="FF0000"/>
                      <w:szCs w:val="21"/>
                      <w:lang w:val="en-US" w:eastAsia="zh-CN"/>
                    </w:rPr>
                  </w:pPr>
                  <w:r>
                    <w:rPr>
                      <w:rFonts w:hint="eastAsia" w:ascii="Times New Roman" w:hAnsi="Times New Roman" w:cs="Times New Roman"/>
                      <w:color w:val="FF0000"/>
                      <w:szCs w:val="21"/>
                      <w:lang w:val="en-US" w:eastAsia="zh-CN"/>
                    </w:rPr>
                    <w:t>生产废水</w:t>
                  </w:r>
                </w:p>
              </w:tc>
              <w:tc>
                <w:tcPr>
                  <w:tcW w:w="1184" w:type="pct"/>
                  <w:tcBorders>
                    <w:tl2br w:val="nil"/>
                    <w:tr2bl w:val="nil"/>
                  </w:tcBorders>
                  <w:noWrap w:val="0"/>
                  <w:vAlign w:val="center"/>
                </w:tcPr>
                <w:p w14:paraId="2A40D58F">
                  <w:pPr>
                    <w:adjustRightInd w:val="0"/>
                    <w:snapToGrid w:val="0"/>
                    <w:jc w:val="center"/>
                    <w:rPr>
                      <w:rFonts w:hint="eastAsia" w:ascii="Times New Roman" w:hAnsi="Times New Roman" w:cs="Times New Roman"/>
                      <w:color w:val="FF0000"/>
                      <w:szCs w:val="21"/>
                      <w:lang w:eastAsia="zh-CN"/>
                    </w:rPr>
                  </w:pPr>
                  <w:r>
                    <w:rPr>
                      <w:rFonts w:hint="default" w:ascii="Times New Roman" w:hAnsi="Times New Roman" w:cs="Times New Roman"/>
                      <w:color w:val="FF0000"/>
                      <w:szCs w:val="21"/>
                    </w:rPr>
                    <w:t>发动机清洗废水、地面冲洗废水、初期雨水采取“隔油+气浮+沉淀过滤”预处理后与生活污水一同接管入北票市污水处理厂处理</w:t>
                  </w:r>
                </w:p>
              </w:tc>
              <w:tc>
                <w:tcPr>
                  <w:tcW w:w="558" w:type="pct"/>
                  <w:tcBorders>
                    <w:tl2br w:val="nil"/>
                    <w:tr2bl w:val="nil"/>
                  </w:tcBorders>
                  <w:noWrap w:val="0"/>
                  <w:vAlign w:val="center"/>
                </w:tcPr>
                <w:p w14:paraId="7A43182D">
                  <w:pPr>
                    <w:adjustRightInd w:val="0"/>
                    <w:snapToGrid w:val="0"/>
                    <w:jc w:val="center"/>
                    <w:rPr>
                      <w:rFonts w:hint="eastAsia" w:ascii="Times New Roman" w:hAnsi="Times New Roman" w:cs="Times New Roman"/>
                      <w:color w:val="FF0000"/>
                      <w:szCs w:val="21"/>
                      <w:lang w:val="en-US" w:eastAsia="zh-CN"/>
                    </w:rPr>
                  </w:pPr>
                  <w:r>
                    <w:rPr>
                      <w:rFonts w:hint="eastAsia" w:ascii="Times New Roman" w:hAnsi="Times New Roman" w:cs="Times New Roman"/>
                      <w:color w:val="FF0000"/>
                      <w:szCs w:val="21"/>
                      <w:lang w:val="en-US" w:eastAsia="zh-CN"/>
                    </w:rPr>
                    <w:t>一体化污水处理设施</w:t>
                  </w:r>
                </w:p>
                <w:p w14:paraId="3E00C4C8">
                  <w:pPr>
                    <w:adjustRightInd w:val="0"/>
                    <w:snapToGrid w:val="0"/>
                    <w:jc w:val="center"/>
                    <w:rPr>
                      <w:rFonts w:hint="default" w:ascii="Times New Roman" w:hAnsi="Times New Roman" w:cs="Times New Roman"/>
                      <w:color w:val="FF0000"/>
                      <w:szCs w:val="21"/>
                    </w:rPr>
                  </w:pPr>
                  <w:r>
                    <w:rPr>
                      <w:rFonts w:hint="eastAsia" w:ascii="Times New Roman" w:hAnsi="Times New Roman" w:cs="Times New Roman"/>
                      <w:color w:val="FF0000"/>
                      <w:szCs w:val="21"/>
                      <w:lang w:val="en-US" w:eastAsia="zh-CN"/>
                    </w:rPr>
                    <w:t>1座，处理能力10m</w:t>
                  </w:r>
                  <w:r>
                    <w:rPr>
                      <w:rFonts w:hint="default" w:ascii="Times New Roman" w:hAnsi="Times New Roman" w:cs="Times New Roman"/>
                      <w:color w:val="FF0000"/>
                      <w:szCs w:val="21"/>
                      <w:lang w:val="en-US" w:eastAsia="zh-CN"/>
                    </w:rPr>
                    <w:t>3</w:t>
                  </w:r>
                  <w:r>
                    <w:rPr>
                      <w:rFonts w:hint="eastAsia" w:ascii="Times New Roman" w:hAnsi="Times New Roman" w:cs="Times New Roman"/>
                      <w:color w:val="FF0000"/>
                      <w:szCs w:val="21"/>
                      <w:lang w:val="en-US" w:eastAsia="zh-CN"/>
                    </w:rPr>
                    <w:t>/d</w:t>
                  </w:r>
                </w:p>
              </w:tc>
              <w:tc>
                <w:tcPr>
                  <w:tcW w:w="1306" w:type="pct"/>
                  <w:vMerge w:val="continue"/>
                  <w:tcBorders>
                    <w:tl2br w:val="nil"/>
                    <w:tr2bl w:val="nil"/>
                  </w:tcBorders>
                  <w:noWrap w:val="0"/>
                  <w:vAlign w:val="center"/>
                </w:tcPr>
                <w:p w14:paraId="078E091D">
                  <w:pPr>
                    <w:adjustRightInd w:val="0"/>
                    <w:snapToGrid w:val="0"/>
                    <w:jc w:val="center"/>
                    <w:rPr>
                      <w:rFonts w:hint="eastAsia" w:ascii="Times New Roman" w:hAnsi="Times New Roman" w:eastAsia="宋体" w:cs="Times New Roman"/>
                      <w:color w:val="auto"/>
                      <w:sz w:val="21"/>
                      <w:szCs w:val="21"/>
                      <w:lang w:val="en-US" w:eastAsia="zh-CN"/>
                    </w:rPr>
                  </w:pPr>
                </w:p>
              </w:tc>
            </w:tr>
            <w:tr w14:paraId="535540CF">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50" w:type="pct"/>
                  <w:tcBorders>
                    <w:tl2br w:val="nil"/>
                    <w:tr2bl w:val="nil"/>
                  </w:tcBorders>
                  <w:noWrap w:val="0"/>
                  <w:vAlign w:val="center"/>
                </w:tcPr>
                <w:p w14:paraId="2C2DE2EF">
                  <w:pPr>
                    <w:adjustRightInd w:val="0"/>
                    <w:snapToGrid w:val="0"/>
                    <w:jc w:val="center"/>
                    <w:rPr>
                      <w:rFonts w:hint="eastAsia" w:ascii="Times New Roman" w:hAnsi="Times New Roman" w:eastAsia="宋体" w:cs="Times New Roman"/>
                      <w:color w:val="FF0000"/>
                      <w:sz w:val="21"/>
                      <w:szCs w:val="21"/>
                      <w:lang w:eastAsia="zh-CN"/>
                    </w:rPr>
                  </w:pPr>
                  <w:r>
                    <w:rPr>
                      <w:rFonts w:hint="eastAsia" w:ascii="Times New Roman" w:hAnsi="Times New Roman" w:cs="Times New Roman"/>
                      <w:color w:val="FF0000"/>
                      <w:sz w:val="21"/>
                      <w:szCs w:val="21"/>
                      <w:lang w:eastAsia="zh-CN"/>
                    </w:rPr>
                    <w:t>噪声</w:t>
                  </w:r>
                </w:p>
              </w:tc>
              <w:tc>
                <w:tcPr>
                  <w:tcW w:w="738" w:type="pct"/>
                  <w:tcBorders>
                    <w:tl2br w:val="nil"/>
                    <w:tr2bl w:val="nil"/>
                  </w:tcBorders>
                  <w:noWrap w:val="0"/>
                  <w:vAlign w:val="center"/>
                </w:tcPr>
                <w:p w14:paraId="059CC50F">
                  <w:pPr>
                    <w:adjustRightInd w:val="0"/>
                    <w:snapToGrid w:val="0"/>
                    <w:jc w:val="center"/>
                    <w:rPr>
                      <w:rFonts w:hint="default" w:ascii="Times New Roman" w:hAnsi="Times New Roman" w:cs="Times New Roman"/>
                      <w:color w:val="FF0000"/>
                      <w:sz w:val="21"/>
                      <w:szCs w:val="21"/>
                    </w:rPr>
                  </w:pPr>
                  <w:r>
                    <w:rPr>
                      <w:rFonts w:hint="default" w:ascii="Times New Roman" w:hAnsi="Times New Roman" w:cs="Times New Roman"/>
                      <w:color w:val="FF0000"/>
                      <w:sz w:val="21"/>
                      <w:szCs w:val="21"/>
                    </w:rPr>
                    <w:t>生产设备</w:t>
                  </w:r>
                </w:p>
              </w:tc>
              <w:tc>
                <w:tcPr>
                  <w:tcW w:w="962" w:type="pct"/>
                  <w:tcBorders>
                    <w:tl2br w:val="nil"/>
                    <w:tr2bl w:val="nil"/>
                  </w:tcBorders>
                  <w:noWrap w:val="0"/>
                  <w:vAlign w:val="center"/>
                </w:tcPr>
                <w:p w14:paraId="6CA77A8D">
                  <w:pPr>
                    <w:adjustRightInd w:val="0"/>
                    <w:snapToGrid w:val="0"/>
                    <w:jc w:val="center"/>
                    <w:rPr>
                      <w:rFonts w:hint="default" w:ascii="Times New Roman" w:hAnsi="Times New Roman" w:cs="Times New Roman"/>
                      <w:color w:val="FF0000"/>
                      <w:sz w:val="21"/>
                      <w:szCs w:val="21"/>
                    </w:rPr>
                  </w:pPr>
                  <w:r>
                    <w:rPr>
                      <w:rFonts w:hint="default" w:ascii="Times New Roman" w:hAnsi="Times New Roman" w:cs="Times New Roman"/>
                      <w:color w:val="FF0000"/>
                      <w:sz w:val="21"/>
                      <w:szCs w:val="21"/>
                    </w:rPr>
                    <w:t>噪声</w:t>
                  </w:r>
                </w:p>
              </w:tc>
              <w:tc>
                <w:tcPr>
                  <w:tcW w:w="1184" w:type="pct"/>
                  <w:tcBorders>
                    <w:tl2br w:val="nil"/>
                    <w:tr2bl w:val="nil"/>
                  </w:tcBorders>
                  <w:noWrap w:val="0"/>
                  <w:vAlign w:val="center"/>
                </w:tcPr>
                <w:p w14:paraId="2A8B35D2">
                  <w:pPr>
                    <w:adjustRightInd w:val="0"/>
                    <w:snapToGrid w:val="0"/>
                    <w:jc w:val="center"/>
                    <w:rPr>
                      <w:rFonts w:hint="eastAsia" w:ascii="Times New Roman" w:hAnsi="Times New Roman" w:eastAsia="宋体" w:cs="Times New Roman"/>
                      <w:color w:val="FF0000"/>
                      <w:sz w:val="21"/>
                      <w:szCs w:val="21"/>
                      <w:lang w:eastAsia="zh-CN"/>
                    </w:rPr>
                  </w:pPr>
                  <w:r>
                    <w:rPr>
                      <w:rFonts w:hint="eastAsia"/>
                      <w:color w:val="FF0000"/>
                      <w:szCs w:val="21"/>
                      <w:lang w:eastAsia="zh-CN"/>
                    </w:rPr>
                    <w:t>选用低噪声设备、安装隔振元件/隔振垫/柔性、实施屏蔽隔声、涂刷防护吸声地坪、使用软性传输装</w:t>
                  </w:r>
                </w:p>
              </w:tc>
              <w:tc>
                <w:tcPr>
                  <w:tcW w:w="558" w:type="pct"/>
                  <w:tcBorders>
                    <w:tl2br w:val="nil"/>
                    <w:tr2bl w:val="nil"/>
                  </w:tcBorders>
                  <w:noWrap w:val="0"/>
                  <w:vAlign w:val="center"/>
                </w:tcPr>
                <w:p w14:paraId="75035132">
                  <w:pPr>
                    <w:adjustRightInd w:val="0"/>
                    <w:snapToGrid w:val="0"/>
                    <w:jc w:val="center"/>
                    <w:rPr>
                      <w:rFonts w:hint="default" w:cs="Times New Roman"/>
                      <w:color w:val="FF0000"/>
                      <w:kern w:val="24"/>
                      <w:sz w:val="21"/>
                      <w:szCs w:val="21"/>
                      <w:lang w:val="en-US" w:eastAsia="zh-CN"/>
                    </w:rPr>
                  </w:pPr>
                  <w:r>
                    <w:rPr>
                      <w:rFonts w:hint="eastAsia" w:cs="Times New Roman"/>
                      <w:color w:val="FF0000"/>
                      <w:kern w:val="24"/>
                      <w:sz w:val="21"/>
                      <w:szCs w:val="21"/>
                      <w:lang w:val="en-US" w:eastAsia="zh-CN"/>
                    </w:rPr>
                    <w:t>/</w:t>
                  </w:r>
                </w:p>
              </w:tc>
              <w:tc>
                <w:tcPr>
                  <w:tcW w:w="1306" w:type="pct"/>
                  <w:tcBorders>
                    <w:tl2br w:val="nil"/>
                    <w:tr2bl w:val="nil"/>
                  </w:tcBorders>
                  <w:noWrap w:val="0"/>
                  <w:vAlign w:val="center"/>
                </w:tcPr>
                <w:p w14:paraId="340BEB49">
                  <w:pPr>
                    <w:adjustRightInd w:val="0"/>
                    <w:snapToGrid w:val="0"/>
                    <w:jc w:val="center"/>
                    <w:rPr>
                      <w:rFonts w:hint="eastAsia" w:ascii="Times New Roman" w:hAnsi="Times New Roman" w:eastAsia="宋体" w:cs="Times New Roman"/>
                      <w:color w:val="FF0000"/>
                      <w:sz w:val="21"/>
                      <w:szCs w:val="21"/>
                      <w:lang w:eastAsia="zh-CN"/>
                    </w:rPr>
                  </w:pPr>
                  <w:r>
                    <w:rPr>
                      <w:rFonts w:hint="eastAsia" w:ascii="Times New Roman" w:hAnsi="Times New Roman" w:eastAsia="宋体" w:cs="Times New Roman"/>
                      <w:color w:val="FF0000"/>
                      <w:sz w:val="21"/>
                      <w:szCs w:val="21"/>
                      <w:lang w:eastAsia="zh-CN"/>
                    </w:rPr>
                    <w:t>厂区西侧、北侧、东侧执行国家《工业企业厂界环境噪声排放标准》（GB12348-2008）2类标准，南侧执行国家《工业企业厂界环境噪声排放标准》（GB12348-2008）4类标准。</w:t>
                  </w:r>
                </w:p>
              </w:tc>
            </w:tr>
            <w:tr w14:paraId="622B2478">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31" w:hRule="atLeast"/>
                <w:jc w:val="center"/>
              </w:trPr>
              <w:tc>
                <w:tcPr>
                  <w:tcW w:w="250" w:type="pct"/>
                  <w:vMerge w:val="restart"/>
                  <w:tcBorders>
                    <w:tl2br w:val="nil"/>
                    <w:tr2bl w:val="nil"/>
                  </w:tcBorders>
                  <w:noWrap w:val="0"/>
                  <w:vAlign w:val="center"/>
                </w:tcPr>
                <w:p w14:paraId="6645B184">
                  <w:pPr>
                    <w:adjustRightInd w:val="0"/>
                    <w:snapToGrid w:val="0"/>
                    <w:jc w:val="center"/>
                    <w:rPr>
                      <w:rFonts w:hint="eastAsia" w:ascii="Times New Roman" w:hAnsi="Times New Roman" w:eastAsia="宋体" w:cs="Times New Roman"/>
                      <w:color w:val="auto"/>
                      <w:sz w:val="21"/>
                      <w:szCs w:val="21"/>
                      <w:lang w:eastAsia="zh-CN"/>
                    </w:rPr>
                  </w:pPr>
                  <w:r>
                    <w:rPr>
                      <w:rFonts w:hint="eastAsia" w:cs="Times New Roman"/>
                      <w:color w:val="FF0000"/>
                      <w:sz w:val="21"/>
                      <w:szCs w:val="21"/>
                      <w:lang w:eastAsia="zh-CN"/>
                    </w:rPr>
                    <w:t>固体废物</w:t>
                  </w:r>
                </w:p>
              </w:tc>
              <w:tc>
                <w:tcPr>
                  <w:tcW w:w="738" w:type="pct"/>
                  <w:vMerge w:val="restart"/>
                  <w:tcBorders>
                    <w:tl2br w:val="nil"/>
                    <w:tr2bl w:val="nil"/>
                  </w:tcBorders>
                  <w:noWrap w:val="0"/>
                  <w:vAlign w:val="center"/>
                </w:tcPr>
                <w:p w14:paraId="3431559D">
                  <w:pPr>
                    <w:adjustRightInd w:val="0"/>
                    <w:snapToGrid w:val="0"/>
                    <w:jc w:val="center"/>
                    <w:rPr>
                      <w:rFonts w:hint="default" w:ascii="Times New Roman" w:hAnsi="Times New Roman" w:eastAsia="宋体" w:cs="Times New Roman"/>
                      <w:color w:val="FF0000"/>
                      <w:sz w:val="21"/>
                      <w:szCs w:val="21"/>
                      <w:lang w:val="en-US" w:eastAsia="zh-CN"/>
                    </w:rPr>
                  </w:pPr>
                  <w:r>
                    <w:rPr>
                      <w:rFonts w:hint="eastAsia" w:cs="Times New Roman"/>
                      <w:color w:val="FF0000"/>
                      <w:sz w:val="21"/>
                      <w:szCs w:val="21"/>
                      <w:lang w:val="en-US" w:eastAsia="zh-CN"/>
                    </w:rPr>
                    <w:t>一般固体废物</w:t>
                  </w:r>
                </w:p>
              </w:tc>
              <w:tc>
                <w:tcPr>
                  <w:tcW w:w="962" w:type="pct"/>
                  <w:vMerge w:val="restart"/>
                  <w:tcBorders>
                    <w:tl2br w:val="nil"/>
                    <w:tr2bl w:val="nil"/>
                  </w:tcBorders>
                  <w:noWrap w:val="0"/>
                  <w:vAlign w:val="center"/>
                </w:tcPr>
                <w:p w14:paraId="1532EC51">
                  <w:pPr>
                    <w:adjustRightInd w:val="0"/>
                    <w:snapToGrid w:val="0"/>
                    <w:jc w:val="center"/>
                    <w:rPr>
                      <w:rFonts w:hint="eastAsia" w:ascii="Times New Roman" w:hAnsi="Times New Roman" w:eastAsia="宋体" w:cs="Times New Roman"/>
                      <w:color w:val="FF0000"/>
                      <w:sz w:val="21"/>
                      <w:szCs w:val="21"/>
                      <w:lang w:eastAsia="zh-CN"/>
                    </w:rPr>
                  </w:pPr>
                  <w:r>
                    <w:rPr>
                      <w:rFonts w:hint="eastAsia" w:cs="Times New Roman"/>
                      <w:color w:val="FF0000"/>
                      <w:sz w:val="21"/>
                      <w:szCs w:val="21"/>
                      <w:lang w:val="en-US" w:eastAsia="zh-CN"/>
                    </w:rPr>
                    <w:t>可回用</w:t>
                  </w:r>
                </w:p>
              </w:tc>
              <w:tc>
                <w:tcPr>
                  <w:tcW w:w="1184" w:type="pct"/>
                  <w:tcBorders>
                    <w:tl2br w:val="nil"/>
                    <w:tr2bl w:val="nil"/>
                  </w:tcBorders>
                  <w:noWrap w:val="0"/>
                  <w:vAlign w:val="center"/>
                </w:tcPr>
                <w:p w14:paraId="31F2FCBA">
                  <w:pPr>
                    <w:snapToGrid w:val="0"/>
                    <w:spacing w:line="240" w:lineRule="auto"/>
                    <w:jc w:val="center"/>
                    <w:rPr>
                      <w:rFonts w:hint="default" w:ascii="Times New Roman" w:hAnsi="Times New Roman" w:cs="Times New Roman"/>
                      <w:color w:val="FF0000"/>
                      <w:sz w:val="21"/>
                      <w:szCs w:val="21"/>
                      <w:lang w:val="en-US"/>
                    </w:rPr>
                  </w:pPr>
                  <w:r>
                    <w:rPr>
                      <w:rFonts w:hint="eastAsia"/>
                      <w:color w:val="FF0000"/>
                      <w:szCs w:val="21"/>
                      <w:highlight w:val="none"/>
                      <w:lang w:val="en-US" w:eastAsia="zh-CN"/>
                    </w:rPr>
                    <w:t>回用件</w:t>
                  </w:r>
                  <w:r>
                    <w:rPr>
                      <w:rFonts w:hint="eastAsia"/>
                      <w:color w:val="FF0000"/>
                      <w:szCs w:val="21"/>
                      <w:highlight w:val="none"/>
                    </w:rPr>
                    <w:t>贮存区</w:t>
                  </w:r>
                </w:p>
              </w:tc>
              <w:tc>
                <w:tcPr>
                  <w:tcW w:w="558" w:type="pct"/>
                  <w:tcBorders>
                    <w:tl2br w:val="nil"/>
                    <w:tr2bl w:val="nil"/>
                  </w:tcBorders>
                  <w:noWrap w:val="0"/>
                  <w:vAlign w:val="center"/>
                </w:tcPr>
                <w:p w14:paraId="55D056F7">
                  <w:pPr>
                    <w:adjustRightInd w:val="0"/>
                    <w:snapToGrid w:val="0"/>
                    <w:jc w:val="center"/>
                    <w:rPr>
                      <w:rFonts w:hint="default" w:cs="Times New Roman"/>
                      <w:color w:val="FF0000"/>
                      <w:sz w:val="21"/>
                      <w:szCs w:val="21"/>
                      <w:lang w:val="en-US" w:eastAsia="zh-CN"/>
                    </w:rPr>
                  </w:pPr>
                  <w:r>
                    <w:rPr>
                      <w:rFonts w:hint="eastAsia" w:cs="Times New Roman"/>
                      <w:color w:val="FF0000"/>
                      <w:sz w:val="21"/>
                      <w:szCs w:val="21"/>
                      <w:lang w:val="en-US" w:eastAsia="zh-CN"/>
                    </w:rPr>
                    <w:t>1座，400</w:t>
                  </w:r>
                  <w:r>
                    <w:rPr>
                      <w:rFonts w:hint="default" w:ascii="Times New Roman" w:hAnsi="Times New Roman" w:cs="Times New Roman"/>
                      <w:color w:val="FF0000"/>
                      <w:sz w:val="21"/>
                      <w:szCs w:val="21"/>
                    </w:rPr>
                    <w:t>m</w:t>
                  </w:r>
                  <w:r>
                    <w:rPr>
                      <w:rFonts w:hint="default" w:ascii="Times New Roman" w:hAnsi="Times New Roman" w:cs="Times New Roman"/>
                      <w:color w:val="FF0000"/>
                      <w:sz w:val="21"/>
                      <w:szCs w:val="21"/>
                      <w:vertAlign w:val="superscript"/>
                    </w:rPr>
                    <w:t>2</w:t>
                  </w:r>
                </w:p>
              </w:tc>
              <w:tc>
                <w:tcPr>
                  <w:tcW w:w="1306" w:type="pct"/>
                  <w:vMerge w:val="restart"/>
                  <w:tcBorders>
                    <w:tl2br w:val="nil"/>
                    <w:tr2bl w:val="nil"/>
                  </w:tcBorders>
                  <w:noWrap w:val="0"/>
                  <w:vAlign w:val="center"/>
                </w:tcPr>
                <w:p w14:paraId="461CC6F1">
                  <w:pPr>
                    <w:adjustRightInd w:val="0"/>
                    <w:snapToGrid w:val="0"/>
                    <w:jc w:val="center"/>
                    <w:rPr>
                      <w:rFonts w:hint="default" w:ascii="Times New Roman" w:hAnsi="Times New Roman" w:cs="Times New Roman"/>
                      <w:color w:val="FF0000"/>
                      <w:sz w:val="21"/>
                      <w:szCs w:val="21"/>
                    </w:rPr>
                  </w:pPr>
                  <w:r>
                    <w:rPr>
                      <w:rFonts w:hint="default" w:ascii="Times New Roman" w:hAnsi="Times New Roman" w:cs="Times New Roman"/>
                      <w:color w:val="FF0000"/>
                      <w:sz w:val="21"/>
                      <w:szCs w:val="21"/>
                    </w:rPr>
                    <w:t>《一般工业固体废物贮存和填埋污染控制标准》（GB18599-2020）</w:t>
                  </w:r>
                </w:p>
              </w:tc>
            </w:tr>
            <w:tr w14:paraId="0EBE4E1B">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31" w:hRule="atLeast"/>
                <w:jc w:val="center"/>
              </w:trPr>
              <w:tc>
                <w:tcPr>
                  <w:tcW w:w="250" w:type="pct"/>
                  <w:vMerge w:val="continue"/>
                  <w:tcBorders>
                    <w:tl2br w:val="nil"/>
                    <w:tr2bl w:val="nil"/>
                  </w:tcBorders>
                  <w:noWrap w:val="0"/>
                  <w:vAlign w:val="center"/>
                </w:tcPr>
                <w:p w14:paraId="32E4F905">
                  <w:pPr>
                    <w:adjustRightInd w:val="0"/>
                    <w:snapToGrid w:val="0"/>
                    <w:jc w:val="center"/>
                  </w:pPr>
                </w:p>
              </w:tc>
              <w:tc>
                <w:tcPr>
                  <w:tcW w:w="738" w:type="pct"/>
                  <w:vMerge w:val="continue"/>
                  <w:tcBorders>
                    <w:tl2br w:val="nil"/>
                    <w:tr2bl w:val="nil"/>
                  </w:tcBorders>
                  <w:noWrap w:val="0"/>
                  <w:vAlign w:val="center"/>
                </w:tcPr>
                <w:p w14:paraId="0C2A724B">
                  <w:pPr>
                    <w:adjustRightInd w:val="0"/>
                    <w:snapToGrid w:val="0"/>
                    <w:jc w:val="center"/>
                  </w:pPr>
                </w:p>
              </w:tc>
              <w:tc>
                <w:tcPr>
                  <w:tcW w:w="962" w:type="pct"/>
                  <w:vMerge w:val="continue"/>
                  <w:tcBorders>
                    <w:tl2br w:val="nil"/>
                    <w:tr2bl w:val="nil"/>
                  </w:tcBorders>
                  <w:noWrap w:val="0"/>
                  <w:vAlign w:val="center"/>
                </w:tcPr>
                <w:p w14:paraId="6D06626B">
                  <w:pPr>
                    <w:adjustRightInd w:val="0"/>
                    <w:snapToGrid w:val="0"/>
                    <w:jc w:val="center"/>
                  </w:pPr>
                </w:p>
              </w:tc>
              <w:tc>
                <w:tcPr>
                  <w:tcW w:w="1184" w:type="pct"/>
                  <w:tcBorders>
                    <w:tl2br w:val="nil"/>
                    <w:tr2bl w:val="nil"/>
                  </w:tcBorders>
                  <w:noWrap w:val="0"/>
                  <w:vAlign w:val="center"/>
                </w:tcPr>
                <w:p w14:paraId="4F312FDD">
                  <w:pPr>
                    <w:adjustRightInd w:val="0"/>
                    <w:snapToGrid w:val="0"/>
                    <w:jc w:val="center"/>
                    <w:rPr>
                      <w:rFonts w:hint="eastAsia"/>
                      <w:color w:val="FF0000"/>
                      <w:szCs w:val="21"/>
                      <w:highlight w:val="none"/>
                      <w:lang w:val="en-US" w:eastAsia="zh-CN"/>
                    </w:rPr>
                  </w:pPr>
                  <w:r>
                    <w:rPr>
                      <w:rFonts w:hint="eastAsia"/>
                      <w:color w:val="FF0000"/>
                      <w:szCs w:val="21"/>
                      <w:highlight w:val="none"/>
                      <w:lang w:val="en-US" w:eastAsia="zh-CN"/>
                    </w:rPr>
                    <w:t>动力电池贮存间</w:t>
                  </w:r>
                </w:p>
              </w:tc>
              <w:tc>
                <w:tcPr>
                  <w:tcW w:w="558" w:type="pct"/>
                  <w:tcBorders>
                    <w:tl2br w:val="nil"/>
                    <w:tr2bl w:val="nil"/>
                  </w:tcBorders>
                  <w:noWrap w:val="0"/>
                  <w:vAlign w:val="center"/>
                </w:tcPr>
                <w:p w14:paraId="11B42442">
                  <w:pPr>
                    <w:adjustRightInd w:val="0"/>
                    <w:snapToGrid w:val="0"/>
                    <w:jc w:val="center"/>
                    <w:rPr>
                      <w:rFonts w:hint="eastAsia"/>
                      <w:color w:val="FF0000"/>
                      <w:szCs w:val="21"/>
                      <w:highlight w:val="none"/>
                      <w:lang w:val="en-US" w:eastAsia="zh-CN"/>
                    </w:rPr>
                  </w:pPr>
                  <w:r>
                    <w:rPr>
                      <w:rFonts w:hint="eastAsia" w:cs="Times New Roman"/>
                      <w:color w:val="FF0000"/>
                      <w:sz w:val="21"/>
                      <w:szCs w:val="21"/>
                      <w:lang w:val="en-US" w:eastAsia="zh-CN"/>
                    </w:rPr>
                    <w:t>1座，100</w:t>
                  </w:r>
                  <w:r>
                    <w:rPr>
                      <w:rFonts w:hint="default" w:ascii="Times New Roman" w:hAnsi="Times New Roman" w:cs="Times New Roman"/>
                      <w:color w:val="FF0000"/>
                      <w:sz w:val="21"/>
                      <w:szCs w:val="21"/>
                    </w:rPr>
                    <w:t>m</w:t>
                  </w:r>
                  <w:r>
                    <w:rPr>
                      <w:rFonts w:hint="default" w:ascii="Times New Roman" w:hAnsi="Times New Roman" w:cs="Times New Roman"/>
                      <w:color w:val="FF0000"/>
                      <w:sz w:val="21"/>
                      <w:szCs w:val="21"/>
                      <w:vertAlign w:val="superscript"/>
                    </w:rPr>
                    <w:t>2</w:t>
                  </w:r>
                </w:p>
              </w:tc>
              <w:tc>
                <w:tcPr>
                  <w:tcW w:w="1306" w:type="pct"/>
                  <w:vMerge w:val="continue"/>
                  <w:tcBorders>
                    <w:tl2br w:val="nil"/>
                    <w:tr2bl w:val="nil"/>
                  </w:tcBorders>
                  <w:noWrap w:val="0"/>
                  <w:vAlign w:val="center"/>
                </w:tcPr>
                <w:p w14:paraId="16CC4F87">
                  <w:pPr>
                    <w:adjustRightInd w:val="0"/>
                    <w:snapToGrid w:val="0"/>
                    <w:jc w:val="center"/>
                    <w:rPr>
                      <w:rFonts w:hint="eastAsia"/>
                      <w:color w:val="FF0000"/>
                      <w:szCs w:val="21"/>
                      <w:highlight w:val="none"/>
                      <w:lang w:val="en-US" w:eastAsia="zh-CN"/>
                    </w:rPr>
                  </w:pPr>
                </w:p>
              </w:tc>
            </w:tr>
            <w:tr w14:paraId="513A1023">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62" w:hRule="atLeast"/>
                <w:jc w:val="center"/>
              </w:trPr>
              <w:tc>
                <w:tcPr>
                  <w:tcW w:w="250" w:type="pct"/>
                  <w:vMerge w:val="continue"/>
                  <w:tcBorders>
                    <w:tl2br w:val="nil"/>
                    <w:tr2bl w:val="nil"/>
                  </w:tcBorders>
                  <w:noWrap w:val="0"/>
                  <w:vAlign w:val="center"/>
                </w:tcPr>
                <w:p w14:paraId="29B9BB8A">
                  <w:pPr>
                    <w:adjustRightInd w:val="0"/>
                    <w:snapToGrid w:val="0"/>
                    <w:jc w:val="center"/>
                  </w:pPr>
                </w:p>
              </w:tc>
              <w:tc>
                <w:tcPr>
                  <w:tcW w:w="738" w:type="pct"/>
                  <w:vMerge w:val="continue"/>
                  <w:tcBorders>
                    <w:tl2br w:val="nil"/>
                    <w:tr2bl w:val="nil"/>
                  </w:tcBorders>
                  <w:noWrap w:val="0"/>
                  <w:vAlign w:val="center"/>
                </w:tcPr>
                <w:p w14:paraId="31A7702E">
                  <w:pPr>
                    <w:adjustRightInd w:val="0"/>
                    <w:snapToGrid w:val="0"/>
                    <w:jc w:val="center"/>
                    <w:rPr>
                      <w:color w:val="FF0000"/>
                    </w:rPr>
                  </w:pPr>
                </w:p>
              </w:tc>
              <w:tc>
                <w:tcPr>
                  <w:tcW w:w="962" w:type="pct"/>
                  <w:tcBorders>
                    <w:tl2br w:val="nil"/>
                    <w:tr2bl w:val="nil"/>
                  </w:tcBorders>
                  <w:noWrap w:val="0"/>
                  <w:vAlign w:val="center"/>
                </w:tcPr>
                <w:p w14:paraId="348071F4">
                  <w:pPr>
                    <w:adjustRightInd w:val="0"/>
                    <w:snapToGrid w:val="0"/>
                    <w:jc w:val="center"/>
                    <w:rPr>
                      <w:rFonts w:hint="default" w:cs="Times New Roman"/>
                      <w:color w:val="FF0000"/>
                      <w:sz w:val="21"/>
                      <w:szCs w:val="21"/>
                      <w:lang w:val="en-US" w:eastAsia="zh-CN"/>
                    </w:rPr>
                  </w:pPr>
                  <w:r>
                    <w:rPr>
                      <w:rFonts w:hint="eastAsia" w:cs="Times New Roman"/>
                      <w:color w:val="FF0000"/>
                      <w:sz w:val="21"/>
                      <w:szCs w:val="21"/>
                      <w:lang w:val="en-US" w:eastAsia="zh-CN"/>
                    </w:rPr>
                    <w:t>不可回用</w:t>
                  </w:r>
                </w:p>
              </w:tc>
              <w:tc>
                <w:tcPr>
                  <w:tcW w:w="1184" w:type="pct"/>
                  <w:tcBorders>
                    <w:tl2br w:val="nil"/>
                    <w:tr2bl w:val="nil"/>
                  </w:tcBorders>
                  <w:noWrap w:val="0"/>
                  <w:vAlign w:val="center"/>
                </w:tcPr>
                <w:p w14:paraId="481A0C32">
                  <w:pPr>
                    <w:adjustRightInd w:val="0"/>
                    <w:snapToGrid w:val="0"/>
                    <w:jc w:val="center"/>
                    <w:rPr>
                      <w:rFonts w:hint="eastAsia" w:cs="Times New Roman"/>
                      <w:color w:val="FF0000"/>
                      <w:sz w:val="21"/>
                      <w:szCs w:val="21"/>
                      <w:lang w:eastAsia="zh-CN"/>
                    </w:rPr>
                  </w:pPr>
                  <w:r>
                    <w:rPr>
                      <w:rFonts w:hint="default" w:ascii="Times New Roman" w:hAnsi="Times New Roman" w:cs="Times New Roman"/>
                      <w:color w:val="FF0000"/>
                      <w:sz w:val="21"/>
                      <w:szCs w:val="21"/>
                      <w:lang w:eastAsia="zh-CN"/>
                    </w:rPr>
                    <w:t>一般固废暂存</w:t>
                  </w:r>
                  <w:r>
                    <w:rPr>
                      <w:rFonts w:hint="eastAsia" w:cs="Times New Roman"/>
                      <w:color w:val="FF0000"/>
                      <w:sz w:val="21"/>
                      <w:szCs w:val="21"/>
                      <w:lang w:val="en-US" w:eastAsia="zh-CN"/>
                    </w:rPr>
                    <w:t>区</w:t>
                  </w:r>
                </w:p>
              </w:tc>
              <w:tc>
                <w:tcPr>
                  <w:tcW w:w="558" w:type="pct"/>
                  <w:tcBorders>
                    <w:tl2br w:val="nil"/>
                    <w:tr2bl w:val="nil"/>
                  </w:tcBorders>
                  <w:noWrap w:val="0"/>
                  <w:vAlign w:val="center"/>
                </w:tcPr>
                <w:p w14:paraId="79E108A9">
                  <w:pPr>
                    <w:adjustRightInd w:val="0"/>
                    <w:snapToGrid w:val="0"/>
                    <w:jc w:val="center"/>
                    <w:rPr>
                      <w:rFonts w:hint="eastAsia" w:cs="Times New Roman"/>
                      <w:color w:val="FF0000"/>
                      <w:sz w:val="21"/>
                      <w:szCs w:val="21"/>
                      <w:lang w:eastAsia="zh-CN"/>
                    </w:rPr>
                  </w:pPr>
                  <w:r>
                    <w:rPr>
                      <w:rFonts w:hint="eastAsia" w:cs="Times New Roman"/>
                      <w:color w:val="FF0000"/>
                      <w:sz w:val="21"/>
                      <w:szCs w:val="21"/>
                      <w:lang w:val="en-US" w:eastAsia="zh-CN"/>
                    </w:rPr>
                    <w:t>1座，300</w:t>
                  </w:r>
                  <w:r>
                    <w:rPr>
                      <w:rFonts w:hint="default" w:ascii="Times New Roman" w:hAnsi="Times New Roman" w:cs="Times New Roman"/>
                      <w:color w:val="FF0000"/>
                      <w:sz w:val="21"/>
                      <w:szCs w:val="21"/>
                    </w:rPr>
                    <w:t>m</w:t>
                  </w:r>
                  <w:r>
                    <w:rPr>
                      <w:rFonts w:hint="default" w:ascii="Times New Roman" w:hAnsi="Times New Roman" w:cs="Times New Roman"/>
                      <w:color w:val="FF0000"/>
                      <w:sz w:val="21"/>
                      <w:szCs w:val="21"/>
                      <w:vertAlign w:val="superscript"/>
                    </w:rPr>
                    <w:t>2</w:t>
                  </w:r>
                </w:p>
              </w:tc>
              <w:tc>
                <w:tcPr>
                  <w:tcW w:w="1306" w:type="pct"/>
                  <w:vMerge w:val="continue"/>
                  <w:tcBorders>
                    <w:tl2br w:val="nil"/>
                    <w:tr2bl w:val="nil"/>
                  </w:tcBorders>
                  <w:noWrap w:val="0"/>
                  <w:vAlign w:val="center"/>
                </w:tcPr>
                <w:p w14:paraId="2B8A21A4">
                  <w:pPr>
                    <w:adjustRightInd w:val="0"/>
                    <w:snapToGrid w:val="0"/>
                    <w:jc w:val="center"/>
                    <w:rPr>
                      <w:rFonts w:hint="eastAsia" w:cs="Times New Roman"/>
                      <w:color w:val="FF0000"/>
                      <w:sz w:val="21"/>
                      <w:szCs w:val="21"/>
                      <w:lang w:eastAsia="zh-CN"/>
                    </w:rPr>
                  </w:pPr>
                </w:p>
              </w:tc>
            </w:tr>
            <w:tr w14:paraId="3C665DEA">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50" w:type="pct"/>
                  <w:vMerge w:val="continue"/>
                  <w:tcBorders>
                    <w:tl2br w:val="nil"/>
                    <w:tr2bl w:val="nil"/>
                  </w:tcBorders>
                  <w:noWrap w:val="0"/>
                  <w:vAlign w:val="center"/>
                </w:tcPr>
                <w:p w14:paraId="4D0AE22D">
                  <w:pPr>
                    <w:adjustRightInd w:val="0"/>
                    <w:snapToGrid w:val="0"/>
                    <w:jc w:val="center"/>
                    <w:rPr>
                      <w:rFonts w:hint="eastAsia" w:cs="Times New Roman"/>
                      <w:color w:val="auto"/>
                      <w:sz w:val="21"/>
                      <w:szCs w:val="21"/>
                      <w:lang w:eastAsia="zh-CN"/>
                    </w:rPr>
                  </w:pPr>
                </w:p>
              </w:tc>
              <w:tc>
                <w:tcPr>
                  <w:tcW w:w="738" w:type="pct"/>
                  <w:tcBorders>
                    <w:tl2br w:val="nil"/>
                    <w:tr2bl w:val="nil"/>
                  </w:tcBorders>
                  <w:noWrap w:val="0"/>
                  <w:vAlign w:val="center"/>
                </w:tcPr>
                <w:p w14:paraId="73F72559">
                  <w:pPr>
                    <w:adjustRightInd w:val="0"/>
                    <w:snapToGrid w:val="0"/>
                    <w:jc w:val="center"/>
                    <w:rPr>
                      <w:rFonts w:hint="eastAsia" w:cs="Times New Roman"/>
                      <w:color w:val="FF0000"/>
                      <w:sz w:val="21"/>
                      <w:szCs w:val="21"/>
                      <w:lang w:eastAsia="zh-CN"/>
                    </w:rPr>
                  </w:pPr>
                  <w:r>
                    <w:rPr>
                      <w:rFonts w:hint="eastAsia" w:cs="Times New Roman"/>
                      <w:color w:val="FF0000"/>
                      <w:sz w:val="21"/>
                      <w:szCs w:val="21"/>
                      <w:lang w:eastAsia="zh-CN"/>
                    </w:rPr>
                    <w:t>职工生活</w:t>
                  </w:r>
                </w:p>
              </w:tc>
              <w:tc>
                <w:tcPr>
                  <w:tcW w:w="962" w:type="pct"/>
                  <w:tcBorders>
                    <w:tl2br w:val="nil"/>
                    <w:tr2bl w:val="nil"/>
                  </w:tcBorders>
                  <w:noWrap w:val="0"/>
                  <w:vAlign w:val="center"/>
                </w:tcPr>
                <w:p w14:paraId="39DC42F4">
                  <w:pPr>
                    <w:adjustRightInd w:val="0"/>
                    <w:snapToGrid w:val="0"/>
                    <w:jc w:val="center"/>
                    <w:rPr>
                      <w:rFonts w:hint="eastAsia" w:cs="Times New Roman"/>
                      <w:color w:val="FF0000"/>
                      <w:sz w:val="21"/>
                      <w:szCs w:val="21"/>
                      <w:lang w:eastAsia="zh-CN"/>
                    </w:rPr>
                  </w:pPr>
                  <w:r>
                    <w:rPr>
                      <w:rFonts w:hint="eastAsia" w:cs="Times New Roman"/>
                      <w:color w:val="FF0000"/>
                      <w:sz w:val="21"/>
                      <w:szCs w:val="21"/>
                      <w:lang w:eastAsia="zh-CN"/>
                    </w:rPr>
                    <w:t>生活垃圾</w:t>
                  </w:r>
                </w:p>
              </w:tc>
              <w:tc>
                <w:tcPr>
                  <w:tcW w:w="1184" w:type="pct"/>
                  <w:tcBorders>
                    <w:tl2br w:val="nil"/>
                    <w:tr2bl w:val="nil"/>
                  </w:tcBorders>
                  <w:noWrap w:val="0"/>
                  <w:vAlign w:val="center"/>
                </w:tcPr>
                <w:p w14:paraId="6BD2ACAC">
                  <w:pPr>
                    <w:snapToGrid w:val="0"/>
                    <w:spacing w:line="240" w:lineRule="auto"/>
                    <w:jc w:val="center"/>
                    <w:rPr>
                      <w:rFonts w:hint="default" w:ascii="Times New Roman" w:hAnsi="Times New Roman" w:cs="Times New Roman"/>
                      <w:color w:val="FF0000"/>
                      <w:sz w:val="21"/>
                      <w:szCs w:val="21"/>
                      <w:lang w:eastAsia="zh-CN"/>
                    </w:rPr>
                  </w:pPr>
                  <w:r>
                    <w:rPr>
                      <w:rFonts w:hint="default" w:ascii="Times New Roman" w:hAnsi="Times New Roman" w:cs="Times New Roman"/>
                      <w:color w:val="FF0000"/>
                      <w:sz w:val="21"/>
                      <w:szCs w:val="21"/>
                      <w:highlight w:val="none"/>
                    </w:rPr>
                    <w:t>垃圾箱</w:t>
                  </w:r>
                </w:p>
              </w:tc>
              <w:tc>
                <w:tcPr>
                  <w:tcW w:w="558" w:type="pct"/>
                  <w:tcBorders>
                    <w:tl2br w:val="nil"/>
                    <w:tr2bl w:val="nil"/>
                  </w:tcBorders>
                  <w:noWrap w:val="0"/>
                  <w:vAlign w:val="center"/>
                </w:tcPr>
                <w:p w14:paraId="06E6F309">
                  <w:pPr>
                    <w:adjustRightInd w:val="0"/>
                    <w:snapToGrid w:val="0"/>
                    <w:jc w:val="center"/>
                    <w:rPr>
                      <w:rFonts w:hint="eastAsia" w:cs="Times New Roman"/>
                      <w:color w:val="FF0000"/>
                      <w:sz w:val="21"/>
                      <w:szCs w:val="21"/>
                      <w:lang w:val="en-US" w:eastAsia="zh-CN"/>
                    </w:rPr>
                  </w:pPr>
                  <w:r>
                    <w:rPr>
                      <w:rFonts w:hint="eastAsia" w:cs="Times New Roman"/>
                      <w:color w:val="FF0000"/>
                      <w:sz w:val="21"/>
                      <w:szCs w:val="21"/>
                      <w:lang w:val="en-US" w:eastAsia="zh-CN"/>
                    </w:rPr>
                    <w:t>若干</w:t>
                  </w:r>
                </w:p>
              </w:tc>
              <w:tc>
                <w:tcPr>
                  <w:tcW w:w="1306" w:type="pct"/>
                  <w:vMerge w:val="continue"/>
                  <w:tcBorders>
                    <w:tl2br w:val="nil"/>
                    <w:tr2bl w:val="nil"/>
                  </w:tcBorders>
                  <w:noWrap w:val="0"/>
                  <w:vAlign w:val="center"/>
                </w:tcPr>
                <w:p w14:paraId="611078F1">
                  <w:pPr>
                    <w:adjustRightInd w:val="0"/>
                    <w:snapToGrid w:val="0"/>
                    <w:jc w:val="center"/>
                    <w:rPr>
                      <w:rFonts w:hint="default" w:ascii="Times New Roman" w:hAnsi="Times New Roman" w:cs="Times New Roman"/>
                      <w:color w:val="FF0000"/>
                      <w:sz w:val="21"/>
                      <w:szCs w:val="21"/>
                    </w:rPr>
                  </w:pPr>
                </w:p>
              </w:tc>
            </w:tr>
            <w:tr w14:paraId="208C4803">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03" w:hRule="atLeast"/>
                <w:jc w:val="center"/>
              </w:trPr>
              <w:tc>
                <w:tcPr>
                  <w:tcW w:w="250" w:type="pct"/>
                  <w:vMerge w:val="continue"/>
                  <w:tcBorders>
                    <w:tl2br w:val="nil"/>
                    <w:tr2bl w:val="nil"/>
                  </w:tcBorders>
                  <w:noWrap w:val="0"/>
                  <w:vAlign w:val="center"/>
                </w:tcPr>
                <w:p w14:paraId="763C0334">
                  <w:pPr>
                    <w:adjustRightInd w:val="0"/>
                    <w:snapToGrid w:val="0"/>
                    <w:jc w:val="center"/>
                    <w:rPr>
                      <w:rFonts w:hint="default" w:ascii="Times New Roman" w:hAnsi="Times New Roman" w:cs="Times New Roman"/>
                      <w:color w:val="auto"/>
                      <w:sz w:val="21"/>
                      <w:szCs w:val="21"/>
                    </w:rPr>
                  </w:pPr>
                </w:p>
              </w:tc>
              <w:tc>
                <w:tcPr>
                  <w:tcW w:w="738" w:type="pct"/>
                  <w:vMerge w:val="restart"/>
                  <w:tcBorders>
                    <w:tl2br w:val="nil"/>
                    <w:tr2bl w:val="nil"/>
                  </w:tcBorders>
                  <w:noWrap w:val="0"/>
                  <w:vAlign w:val="center"/>
                </w:tcPr>
                <w:p w14:paraId="26880F42">
                  <w:pPr>
                    <w:adjustRightInd w:val="0"/>
                    <w:snapToGrid w:val="0"/>
                    <w:jc w:val="center"/>
                    <w:rPr>
                      <w:rFonts w:hint="default" w:ascii="Times New Roman" w:hAnsi="Times New Roman" w:eastAsia="宋体" w:cs="Times New Roman"/>
                      <w:color w:val="FF0000"/>
                      <w:sz w:val="21"/>
                      <w:szCs w:val="21"/>
                      <w:lang w:val="en-US" w:eastAsia="zh-CN"/>
                    </w:rPr>
                  </w:pPr>
                  <w:r>
                    <w:rPr>
                      <w:rFonts w:hint="eastAsia" w:cs="Times New Roman"/>
                      <w:color w:val="FF0000"/>
                      <w:sz w:val="21"/>
                      <w:szCs w:val="21"/>
                      <w:lang w:val="en-US" w:eastAsia="zh-CN"/>
                    </w:rPr>
                    <w:t>危险废物</w:t>
                  </w:r>
                </w:p>
              </w:tc>
              <w:tc>
                <w:tcPr>
                  <w:tcW w:w="962" w:type="pct"/>
                  <w:vMerge w:val="restart"/>
                  <w:tcBorders>
                    <w:tl2br w:val="nil"/>
                    <w:tr2bl w:val="nil"/>
                  </w:tcBorders>
                  <w:noWrap w:val="0"/>
                  <w:vAlign w:val="center"/>
                </w:tcPr>
                <w:p w14:paraId="1263CE23">
                  <w:pPr>
                    <w:adjustRightInd w:val="0"/>
                    <w:snapToGrid w:val="0"/>
                    <w:jc w:val="center"/>
                    <w:rPr>
                      <w:rFonts w:hint="eastAsia" w:ascii="Times New Roman" w:hAnsi="Times New Roman" w:eastAsia="宋体" w:cs="Times New Roman"/>
                      <w:color w:val="FF0000"/>
                      <w:sz w:val="21"/>
                      <w:szCs w:val="21"/>
                      <w:lang w:eastAsia="zh-CN"/>
                    </w:rPr>
                  </w:pPr>
                  <w:r>
                    <w:rPr>
                      <w:rFonts w:hint="eastAsia" w:cs="Times New Roman"/>
                      <w:color w:val="FF0000"/>
                      <w:sz w:val="21"/>
                      <w:szCs w:val="21"/>
                      <w:lang w:eastAsia="zh-CN"/>
                    </w:rPr>
                    <w:t>危险废物</w:t>
                  </w:r>
                </w:p>
              </w:tc>
              <w:tc>
                <w:tcPr>
                  <w:tcW w:w="1184" w:type="pct"/>
                  <w:tcBorders>
                    <w:tl2br w:val="nil"/>
                    <w:tr2bl w:val="nil"/>
                  </w:tcBorders>
                  <w:noWrap w:val="0"/>
                  <w:vAlign w:val="center"/>
                </w:tcPr>
                <w:p w14:paraId="20F7D668">
                  <w:pPr>
                    <w:snapToGrid w:val="0"/>
                    <w:spacing w:line="240" w:lineRule="auto"/>
                    <w:jc w:val="center"/>
                    <w:rPr>
                      <w:rFonts w:hint="default" w:ascii="Times New Roman" w:hAnsi="Times New Roman" w:cs="Times New Roman"/>
                      <w:color w:val="FF0000"/>
                      <w:sz w:val="21"/>
                      <w:szCs w:val="21"/>
                    </w:rPr>
                  </w:pPr>
                  <w:r>
                    <w:rPr>
                      <w:rFonts w:hint="eastAsia" w:cs="Times New Roman"/>
                      <w:color w:val="FF0000"/>
                      <w:sz w:val="21"/>
                      <w:szCs w:val="21"/>
                      <w:lang w:eastAsia="zh-CN"/>
                    </w:rPr>
                    <w:t>危废贮存点</w:t>
                  </w:r>
                </w:p>
              </w:tc>
              <w:tc>
                <w:tcPr>
                  <w:tcW w:w="558" w:type="pct"/>
                  <w:tcBorders>
                    <w:tl2br w:val="nil"/>
                    <w:tr2bl w:val="nil"/>
                  </w:tcBorders>
                  <w:noWrap w:val="0"/>
                  <w:vAlign w:val="center"/>
                </w:tcPr>
                <w:p w14:paraId="03F6FB75">
                  <w:pPr>
                    <w:adjustRightInd w:val="0"/>
                    <w:snapToGrid w:val="0"/>
                    <w:jc w:val="center"/>
                    <w:rPr>
                      <w:rFonts w:hint="default" w:cs="Times New Roman"/>
                      <w:color w:val="FF0000"/>
                      <w:sz w:val="21"/>
                      <w:szCs w:val="21"/>
                      <w:lang w:val="en-US" w:eastAsia="zh-CN"/>
                    </w:rPr>
                  </w:pPr>
                  <w:r>
                    <w:rPr>
                      <w:rFonts w:hint="eastAsia" w:cs="Times New Roman"/>
                      <w:color w:val="FF0000"/>
                      <w:sz w:val="21"/>
                      <w:szCs w:val="21"/>
                      <w:lang w:val="en-US" w:eastAsia="zh-CN"/>
                    </w:rPr>
                    <w:t>4座，每座20m</w:t>
                  </w:r>
                  <w:r>
                    <w:rPr>
                      <w:rFonts w:hint="eastAsia" w:cs="Times New Roman"/>
                      <w:color w:val="FF0000"/>
                      <w:sz w:val="21"/>
                      <w:szCs w:val="21"/>
                      <w:vertAlign w:val="superscript"/>
                      <w:lang w:val="en-US" w:eastAsia="zh-CN"/>
                    </w:rPr>
                    <w:t>2</w:t>
                  </w:r>
                </w:p>
              </w:tc>
              <w:tc>
                <w:tcPr>
                  <w:tcW w:w="1306" w:type="pct"/>
                  <w:vMerge w:val="restart"/>
                  <w:tcBorders>
                    <w:tl2br w:val="nil"/>
                    <w:tr2bl w:val="nil"/>
                  </w:tcBorders>
                  <w:noWrap w:val="0"/>
                  <w:vAlign w:val="center"/>
                </w:tcPr>
                <w:p w14:paraId="6DB58D6A">
                  <w:pPr>
                    <w:adjustRightInd w:val="0"/>
                    <w:snapToGrid w:val="0"/>
                    <w:jc w:val="center"/>
                    <w:rPr>
                      <w:rFonts w:hint="default" w:ascii="Times New Roman" w:hAnsi="Times New Roman" w:cs="Times New Roman"/>
                      <w:color w:val="FF0000"/>
                      <w:sz w:val="21"/>
                      <w:szCs w:val="21"/>
                    </w:rPr>
                  </w:pPr>
                  <w:r>
                    <w:rPr>
                      <w:rFonts w:hint="default" w:ascii="Times New Roman" w:hAnsi="Times New Roman" w:cs="Times New Roman"/>
                      <w:color w:val="FF0000"/>
                      <w:sz w:val="21"/>
                      <w:szCs w:val="21"/>
                      <w:lang w:eastAsia="zh-CN"/>
                    </w:rPr>
                    <w:t>《危险废物贮存污染控制标准》（GB18597-2023）</w:t>
                  </w:r>
                </w:p>
              </w:tc>
            </w:tr>
            <w:tr w14:paraId="15F71908">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03" w:hRule="atLeast"/>
                <w:jc w:val="center"/>
              </w:trPr>
              <w:tc>
                <w:tcPr>
                  <w:tcW w:w="250" w:type="pct"/>
                  <w:vMerge w:val="continue"/>
                  <w:tcBorders>
                    <w:tl2br w:val="nil"/>
                    <w:tr2bl w:val="nil"/>
                  </w:tcBorders>
                  <w:noWrap w:val="0"/>
                  <w:vAlign w:val="center"/>
                </w:tcPr>
                <w:p w14:paraId="091D015A">
                  <w:pPr>
                    <w:adjustRightInd w:val="0"/>
                    <w:snapToGrid w:val="0"/>
                    <w:jc w:val="center"/>
                  </w:pPr>
                </w:p>
              </w:tc>
              <w:tc>
                <w:tcPr>
                  <w:tcW w:w="738" w:type="pct"/>
                  <w:vMerge w:val="continue"/>
                  <w:tcBorders>
                    <w:tl2br w:val="nil"/>
                    <w:tr2bl w:val="nil"/>
                  </w:tcBorders>
                  <w:noWrap w:val="0"/>
                  <w:vAlign w:val="center"/>
                </w:tcPr>
                <w:p w14:paraId="501E4275">
                  <w:pPr>
                    <w:adjustRightInd w:val="0"/>
                    <w:snapToGrid w:val="0"/>
                    <w:jc w:val="center"/>
                    <w:rPr>
                      <w:color w:val="FF0000"/>
                    </w:rPr>
                  </w:pPr>
                </w:p>
              </w:tc>
              <w:tc>
                <w:tcPr>
                  <w:tcW w:w="962" w:type="pct"/>
                  <w:vMerge w:val="continue"/>
                  <w:tcBorders>
                    <w:tl2br w:val="nil"/>
                    <w:tr2bl w:val="nil"/>
                  </w:tcBorders>
                  <w:noWrap w:val="0"/>
                  <w:vAlign w:val="center"/>
                </w:tcPr>
                <w:p w14:paraId="7A3AF88B">
                  <w:pPr>
                    <w:adjustRightInd w:val="0"/>
                    <w:snapToGrid w:val="0"/>
                    <w:jc w:val="center"/>
                    <w:rPr>
                      <w:color w:val="FF0000"/>
                    </w:rPr>
                  </w:pPr>
                </w:p>
              </w:tc>
              <w:tc>
                <w:tcPr>
                  <w:tcW w:w="1184" w:type="pct"/>
                  <w:tcBorders>
                    <w:tl2br w:val="nil"/>
                    <w:tr2bl w:val="nil"/>
                  </w:tcBorders>
                  <w:noWrap w:val="0"/>
                  <w:vAlign w:val="center"/>
                </w:tcPr>
                <w:p w14:paraId="153FB102">
                  <w:pPr>
                    <w:adjustRightInd w:val="0"/>
                    <w:snapToGrid w:val="0"/>
                    <w:jc w:val="center"/>
                    <w:rPr>
                      <w:rFonts w:hint="eastAsia" w:cs="Times New Roman"/>
                      <w:color w:val="FF0000"/>
                      <w:sz w:val="21"/>
                      <w:szCs w:val="21"/>
                      <w:lang w:eastAsia="zh-CN"/>
                    </w:rPr>
                  </w:pPr>
                  <w:r>
                    <w:rPr>
                      <w:rFonts w:hint="eastAsia"/>
                      <w:color w:val="FF0000"/>
                      <w:szCs w:val="21"/>
                      <w:highlight w:val="none"/>
                      <w:lang w:val="en-US" w:eastAsia="zh-CN"/>
                    </w:rPr>
                    <w:t>铅酸蓄电池贮存间</w:t>
                  </w:r>
                </w:p>
              </w:tc>
              <w:tc>
                <w:tcPr>
                  <w:tcW w:w="558" w:type="pct"/>
                  <w:tcBorders>
                    <w:tl2br w:val="nil"/>
                    <w:tr2bl w:val="nil"/>
                  </w:tcBorders>
                  <w:noWrap w:val="0"/>
                  <w:vAlign w:val="center"/>
                </w:tcPr>
                <w:p w14:paraId="77BD8FDB">
                  <w:pPr>
                    <w:adjustRightInd w:val="0"/>
                    <w:snapToGrid w:val="0"/>
                    <w:jc w:val="center"/>
                    <w:rPr>
                      <w:rFonts w:hint="eastAsia" w:cs="Times New Roman"/>
                      <w:color w:val="FF0000"/>
                      <w:sz w:val="21"/>
                      <w:szCs w:val="21"/>
                      <w:lang w:eastAsia="zh-CN"/>
                    </w:rPr>
                  </w:pPr>
                  <w:r>
                    <w:rPr>
                      <w:rFonts w:hint="eastAsia" w:cs="Times New Roman"/>
                      <w:color w:val="FF0000"/>
                      <w:sz w:val="21"/>
                      <w:szCs w:val="21"/>
                      <w:lang w:val="en-US" w:eastAsia="zh-CN"/>
                    </w:rPr>
                    <w:t>1座，每座2000m</w:t>
                  </w:r>
                  <w:r>
                    <w:rPr>
                      <w:rFonts w:hint="eastAsia" w:cs="Times New Roman"/>
                      <w:color w:val="FF0000"/>
                      <w:sz w:val="21"/>
                      <w:szCs w:val="21"/>
                      <w:vertAlign w:val="superscript"/>
                      <w:lang w:val="en-US" w:eastAsia="zh-CN"/>
                    </w:rPr>
                    <w:t>2</w:t>
                  </w:r>
                </w:p>
              </w:tc>
              <w:tc>
                <w:tcPr>
                  <w:tcW w:w="1306" w:type="pct"/>
                  <w:vMerge w:val="continue"/>
                  <w:tcBorders>
                    <w:tl2br w:val="nil"/>
                    <w:tr2bl w:val="nil"/>
                  </w:tcBorders>
                  <w:noWrap w:val="0"/>
                  <w:vAlign w:val="center"/>
                </w:tcPr>
                <w:p w14:paraId="6FC5B157">
                  <w:pPr>
                    <w:adjustRightInd w:val="0"/>
                    <w:snapToGrid w:val="0"/>
                    <w:jc w:val="center"/>
                    <w:rPr>
                      <w:rFonts w:hint="eastAsia" w:cs="Times New Roman"/>
                      <w:color w:val="auto"/>
                      <w:sz w:val="21"/>
                      <w:szCs w:val="21"/>
                      <w:lang w:eastAsia="zh-CN"/>
                    </w:rPr>
                  </w:pPr>
                </w:p>
              </w:tc>
            </w:tr>
            <w:tr w14:paraId="3987085F">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50" w:type="pct"/>
                  <w:tcBorders>
                    <w:tl2br w:val="nil"/>
                    <w:tr2bl w:val="nil"/>
                  </w:tcBorders>
                  <w:noWrap w:val="0"/>
                  <w:vAlign w:val="center"/>
                </w:tcPr>
                <w:p w14:paraId="2E13C3A0">
                  <w:pPr>
                    <w:adjustRightInd w:val="0"/>
                    <w:snapToGrid w:val="0"/>
                    <w:jc w:val="center"/>
                    <w:rPr>
                      <w:rFonts w:hint="default" w:ascii="Times New Roman" w:hAnsi="Times New Roman" w:cs="Times New Roman"/>
                      <w:color w:val="FF0000"/>
                      <w:spacing w:val="-8"/>
                      <w:sz w:val="21"/>
                      <w:szCs w:val="21"/>
                    </w:rPr>
                  </w:pPr>
                  <w:r>
                    <w:rPr>
                      <w:rFonts w:hint="default" w:ascii="Times New Roman" w:hAnsi="Times New Roman" w:cs="Times New Roman"/>
                      <w:color w:val="FF0000"/>
                      <w:spacing w:val="-8"/>
                      <w:sz w:val="21"/>
                      <w:szCs w:val="21"/>
                    </w:rPr>
                    <w:t>其他</w:t>
                  </w:r>
                </w:p>
              </w:tc>
              <w:tc>
                <w:tcPr>
                  <w:tcW w:w="4749" w:type="pct"/>
                  <w:gridSpan w:val="5"/>
                  <w:tcBorders>
                    <w:tl2br w:val="nil"/>
                    <w:tr2bl w:val="nil"/>
                  </w:tcBorders>
                  <w:noWrap w:val="0"/>
                  <w:vAlign w:val="center"/>
                </w:tcPr>
                <w:p w14:paraId="3672F3DA">
                  <w:pPr>
                    <w:adjustRightInd w:val="0"/>
                    <w:snapToGrid w:val="0"/>
                    <w:rPr>
                      <w:rFonts w:hint="default" w:ascii="Times New Roman" w:hAnsi="Times New Roman" w:cs="Times New Roman"/>
                      <w:color w:val="FF0000"/>
                      <w:sz w:val="21"/>
                      <w:szCs w:val="21"/>
                    </w:rPr>
                  </w:pPr>
                  <w:r>
                    <w:rPr>
                      <w:rFonts w:hint="default"/>
                      <w:color w:val="FF0000"/>
                      <w:sz w:val="21"/>
                      <w:szCs w:val="21"/>
                    </w:rPr>
                    <w:t>在企业中建立健全的环保机构，加强环保管理工作，开展厂内环境监测、监督，并把环保工作纳入生产管理，有助于控制和减少污染物的排放、促进资源的合理回用，对减轻环境污染、保护环境有着重要意义。</w:t>
                  </w:r>
                </w:p>
              </w:tc>
            </w:tr>
          </w:tbl>
          <w:p w14:paraId="3743112A">
            <w:pPr>
              <w:adjustRightInd w:val="0"/>
              <w:snapToGrid w:val="0"/>
              <w:spacing w:line="360" w:lineRule="auto"/>
              <w:rPr>
                <w:rFonts w:hint="default" w:ascii="Times New Roman" w:hAnsi="Times New Roman" w:cs="Times New Roman"/>
                <w:bCs/>
                <w:spacing w:val="-10"/>
                <w:szCs w:val="21"/>
              </w:rPr>
            </w:pPr>
          </w:p>
        </w:tc>
      </w:tr>
    </w:tbl>
    <w:p w14:paraId="614848F8">
      <w:pPr>
        <w:adjustRightInd w:val="0"/>
        <w:snapToGrid w:val="0"/>
        <w:spacing w:line="360" w:lineRule="auto"/>
        <w:rPr>
          <w:rFonts w:ascii="宋体" w:cs="宋体"/>
          <w:b/>
          <w:kern w:val="0"/>
          <w:sz w:val="28"/>
          <w:szCs w:val="28"/>
        </w:rPr>
        <w:sectPr>
          <w:pgSz w:w="11907" w:h="16840"/>
          <w:pgMar w:top="1701" w:right="1531" w:bottom="2127" w:left="1531" w:header="851" w:footer="851" w:gutter="0"/>
          <w:pgBorders>
            <w:top w:val="none" w:sz="0" w:space="0"/>
            <w:left w:val="none" w:sz="0" w:space="0"/>
            <w:bottom w:val="none" w:sz="0" w:space="0"/>
            <w:right w:val="none" w:sz="0" w:space="0"/>
          </w:pgBorders>
          <w:pgNumType w:fmt="numberInDash"/>
          <w:cols w:space="720" w:num="1"/>
          <w:docGrid w:linePitch="312" w:charSpace="0"/>
        </w:sectPr>
      </w:pPr>
    </w:p>
    <w:p w14:paraId="4DE78E99">
      <w:pPr>
        <w:pStyle w:val="30"/>
        <w:jc w:val="center"/>
        <w:outlineLvl w:val="0"/>
        <w:rPr>
          <w:rFonts w:hint="eastAsia" w:ascii="黑体" w:hAnsi="黑体" w:eastAsia="黑体"/>
          <w:snapToGrid w:val="0"/>
          <w:sz w:val="30"/>
          <w:szCs w:val="30"/>
        </w:rPr>
      </w:pPr>
      <w:bookmarkStart w:id="20" w:name="_Toc27819"/>
      <w:r>
        <w:rPr>
          <w:rFonts w:hint="eastAsia" w:ascii="黑体" w:hAnsi="黑体" w:eastAsia="黑体"/>
          <w:snapToGrid w:val="0"/>
          <w:sz w:val="30"/>
          <w:szCs w:val="30"/>
        </w:rPr>
        <w:t>五、</w:t>
      </w:r>
      <w:bookmarkStart w:id="21" w:name="_Hlk54167917"/>
      <w:r>
        <w:rPr>
          <w:rFonts w:hint="eastAsia" w:ascii="黑体" w:hAnsi="黑体" w:eastAsia="黑体"/>
          <w:snapToGrid w:val="0"/>
          <w:sz w:val="30"/>
          <w:szCs w:val="30"/>
        </w:rPr>
        <w:t>环境保护措施监督检查清单</w:t>
      </w:r>
      <w:bookmarkEnd w:id="20"/>
      <w:bookmarkEnd w:id="21"/>
    </w:p>
    <w:tbl>
      <w:tblPr>
        <w:tblStyle w:val="34"/>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532"/>
        <w:gridCol w:w="1663"/>
        <w:gridCol w:w="960"/>
        <w:gridCol w:w="2002"/>
        <w:gridCol w:w="2643"/>
      </w:tblGrid>
      <w:tr w14:paraId="0F142D5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532" w:type="dxa"/>
            <w:tcBorders>
              <w:tl2br w:val="single" w:color="auto" w:sz="4" w:space="0"/>
            </w:tcBorders>
          </w:tcPr>
          <w:p w14:paraId="47566FC7">
            <w:pPr>
              <w:adjustRightInd w:val="0"/>
              <w:snapToGrid w:val="0"/>
              <w:ind w:firstLine="840"/>
              <w:rPr>
                <w:color w:val="FF0000"/>
                <w:szCs w:val="21"/>
              </w:rPr>
            </w:pPr>
            <w:r>
              <w:rPr>
                <w:color w:val="FF0000"/>
                <w:szCs w:val="21"/>
              </w:rPr>
              <w:t>内容</w:t>
            </w:r>
          </w:p>
          <w:p w14:paraId="5A0B0A38">
            <w:pPr>
              <w:adjustRightInd w:val="0"/>
              <w:snapToGrid w:val="0"/>
              <w:rPr>
                <w:color w:val="FF0000"/>
                <w:szCs w:val="21"/>
              </w:rPr>
            </w:pPr>
            <w:r>
              <w:rPr>
                <w:color w:val="FF0000"/>
                <w:szCs w:val="21"/>
              </w:rPr>
              <w:t>要素</w:t>
            </w:r>
          </w:p>
        </w:tc>
        <w:tc>
          <w:tcPr>
            <w:tcW w:w="1663" w:type="dxa"/>
            <w:vAlign w:val="center"/>
          </w:tcPr>
          <w:p w14:paraId="7493F9E1">
            <w:pPr>
              <w:adjustRightInd w:val="0"/>
              <w:snapToGrid w:val="0"/>
              <w:jc w:val="center"/>
              <w:rPr>
                <w:color w:val="FF0000"/>
                <w:szCs w:val="21"/>
              </w:rPr>
            </w:pPr>
            <w:r>
              <w:rPr>
                <w:color w:val="FF0000"/>
                <w:szCs w:val="21"/>
              </w:rPr>
              <w:t>排放口(编号、</w:t>
            </w:r>
          </w:p>
          <w:p w14:paraId="6BE63063">
            <w:pPr>
              <w:adjustRightInd w:val="0"/>
              <w:snapToGrid w:val="0"/>
              <w:jc w:val="center"/>
              <w:rPr>
                <w:color w:val="FF0000"/>
                <w:szCs w:val="21"/>
              </w:rPr>
            </w:pPr>
            <w:r>
              <w:rPr>
                <w:color w:val="FF0000"/>
                <w:szCs w:val="21"/>
              </w:rPr>
              <w:t>名称)/污染源</w:t>
            </w:r>
          </w:p>
        </w:tc>
        <w:tc>
          <w:tcPr>
            <w:tcW w:w="960" w:type="dxa"/>
            <w:vAlign w:val="center"/>
          </w:tcPr>
          <w:p w14:paraId="78DB2558">
            <w:pPr>
              <w:adjustRightInd w:val="0"/>
              <w:snapToGrid w:val="0"/>
              <w:jc w:val="center"/>
              <w:rPr>
                <w:color w:val="FF0000"/>
                <w:szCs w:val="21"/>
              </w:rPr>
            </w:pPr>
            <w:r>
              <w:rPr>
                <w:color w:val="FF0000"/>
                <w:szCs w:val="21"/>
              </w:rPr>
              <w:t>污染物</w:t>
            </w:r>
          </w:p>
          <w:p w14:paraId="0A34AA04">
            <w:pPr>
              <w:adjustRightInd w:val="0"/>
              <w:snapToGrid w:val="0"/>
              <w:jc w:val="center"/>
              <w:rPr>
                <w:color w:val="FF0000"/>
                <w:szCs w:val="21"/>
              </w:rPr>
            </w:pPr>
            <w:r>
              <w:rPr>
                <w:color w:val="FF0000"/>
                <w:szCs w:val="21"/>
              </w:rPr>
              <w:t>项目</w:t>
            </w:r>
          </w:p>
        </w:tc>
        <w:tc>
          <w:tcPr>
            <w:tcW w:w="2002" w:type="dxa"/>
            <w:vAlign w:val="center"/>
          </w:tcPr>
          <w:p w14:paraId="216B1779">
            <w:pPr>
              <w:adjustRightInd w:val="0"/>
              <w:snapToGrid w:val="0"/>
              <w:jc w:val="center"/>
              <w:rPr>
                <w:color w:val="FF0000"/>
                <w:szCs w:val="21"/>
              </w:rPr>
            </w:pPr>
            <w:r>
              <w:rPr>
                <w:color w:val="FF0000"/>
                <w:szCs w:val="21"/>
              </w:rPr>
              <w:t>环境保护</w:t>
            </w:r>
          </w:p>
          <w:p w14:paraId="24704364">
            <w:pPr>
              <w:adjustRightInd w:val="0"/>
              <w:snapToGrid w:val="0"/>
              <w:jc w:val="center"/>
              <w:rPr>
                <w:color w:val="FF0000"/>
                <w:szCs w:val="21"/>
              </w:rPr>
            </w:pPr>
            <w:r>
              <w:rPr>
                <w:color w:val="FF0000"/>
                <w:szCs w:val="21"/>
              </w:rPr>
              <w:t>措施</w:t>
            </w:r>
          </w:p>
        </w:tc>
        <w:tc>
          <w:tcPr>
            <w:tcW w:w="2643" w:type="dxa"/>
            <w:vAlign w:val="center"/>
          </w:tcPr>
          <w:p w14:paraId="01D62348">
            <w:pPr>
              <w:adjustRightInd w:val="0"/>
              <w:snapToGrid w:val="0"/>
              <w:jc w:val="center"/>
              <w:rPr>
                <w:color w:val="FF0000"/>
                <w:szCs w:val="21"/>
              </w:rPr>
            </w:pPr>
            <w:r>
              <w:rPr>
                <w:color w:val="FF0000"/>
                <w:szCs w:val="21"/>
              </w:rPr>
              <w:t>执行标准</w:t>
            </w:r>
          </w:p>
        </w:tc>
      </w:tr>
      <w:tr w14:paraId="4FBF435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532" w:type="dxa"/>
            <w:vMerge w:val="restart"/>
            <w:vAlign w:val="center"/>
          </w:tcPr>
          <w:p w14:paraId="141D2913">
            <w:pPr>
              <w:adjustRightInd w:val="0"/>
              <w:snapToGrid w:val="0"/>
              <w:jc w:val="center"/>
              <w:rPr>
                <w:color w:val="FF0000"/>
                <w:szCs w:val="21"/>
              </w:rPr>
            </w:pPr>
            <w:r>
              <w:rPr>
                <w:color w:val="FF0000"/>
                <w:szCs w:val="21"/>
              </w:rPr>
              <w:t>大气环境</w:t>
            </w:r>
          </w:p>
        </w:tc>
        <w:tc>
          <w:tcPr>
            <w:tcW w:w="1663" w:type="dxa"/>
            <w:vAlign w:val="center"/>
          </w:tcPr>
          <w:p w14:paraId="3DBD71AE">
            <w:pPr>
              <w:adjustRightInd w:val="0"/>
              <w:snapToGrid w:val="0"/>
              <w:jc w:val="center"/>
              <w:rPr>
                <w:color w:val="FF0000"/>
                <w:szCs w:val="21"/>
              </w:rPr>
            </w:pPr>
            <w:r>
              <w:rPr>
                <w:color w:val="FF0000"/>
                <w:szCs w:val="21"/>
              </w:rPr>
              <w:t>DA00</w:t>
            </w:r>
            <w:r>
              <w:rPr>
                <w:rFonts w:hint="eastAsia"/>
                <w:color w:val="FF0000"/>
                <w:szCs w:val="21"/>
              </w:rPr>
              <w:t>1</w:t>
            </w:r>
          </w:p>
        </w:tc>
        <w:tc>
          <w:tcPr>
            <w:tcW w:w="960" w:type="dxa"/>
            <w:vAlign w:val="center"/>
          </w:tcPr>
          <w:p w14:paraId="27BEE765">
            <w:pPr>
              <w:rPr>
                <w:color w:val="FF0000"/>
                <w:szCs w:val="21"/>
              </w:rPr>
            </w:pPr>
            <w:r>
              <w:rPr>
                <w:rFonts w:hint="eastAsia"/>
                <w:color w:val="FF0000"/>
                <w:szCs w:val="21"/>
              </w:rPr>
              <w:t>非甲烷总烃</w:t>
            </w:r>
          </w:p>
        </w:tc>
        <w:tc>
          <w:tcPr>
            <w:tcW w:w="2002" w:type="dxa"/>
            <w:vAlign w:val="center"/>
          </w:tcPr>
          <w:p w14:paraId="61BFD698">
            <w:pPr>
              <w:jc w:val="center"/>
              <w:rPr>
                <w:color w:val="FF0000"/>
                <w:szCs w:val="21"/>
              </w:rPr>
            </w:pPr>
            <w:r>
              <w:rPr>
                <w:rFonts w:hint="default" w:ascii="Times New Roman" w:hAnsi="Times New Roman" w:cs="Times New Roman"/>
                <w:color w:val="FF0000"/>
                <w:kern w:val="0"/>
                <w:szCs w:val="21"/>
                <w:lang w:bidi="ar"/>
              </w:rPr>
              <w:t>集气罩+二级活性炭吸附+</w:t>
            </w:r>
            <w:r>
              <w:rPr>
                <w:rFonts w:hint="default" w:ascii="Times New Roman" w:hAnsi="Times New Roman" w:cs="Times New Roman"/>
                <w:color w:val="FF0000"/>
                <w:kern w:val="0"/>
                <w:szCs w:val="21"/>
                <w:lang w:eastAsia="zh-CN" w:bidi="ar"/>
              </w:rPr>
              <w:t>26m排气筒</w:t>
            </w:r>
            <w:r>
              <w:rPr>
                <w:rFonts w:hint="default" w:ascii="Times New Roman" w:hAnsi="Times New Roman" w:cs="Times New Roman"/>
                <w:color w:val="FF0000"/>
                <w:kern w:val="0"/>
                <w:szCs w:val="21"/>
                <w:lang w:bidi="ar"/>
              </w:rPr>
              <w:t>DA001</w:t>
            </w:r>
          </w:p>
        </w:tc>
        <w:tc>
          <w:tcPr>
            <w:tcW w:w="2643" w:type="dxa"/>
            <w:vAlign w:val="center"/>
          </w:tcPr>
          <w:p w14:paraId="17987B4F">
            <w:pPr>
              <w:adjustRightInd w:val="0"/>
              <w:snapToGrid w:val="0"/>
              <w:jc w:val="center"/>
              <w:rPr>
                <w:color w:val="FF0000"/>
                <w:szCs w:val="21"/>
              </w:rPr>
            </w:pPr>
            <w:r>
              <w:rPr>
                <w:color w:val="FF0000"/>
                <w:szCs w:val="21"/>
              </w:rPr>
              <w:t>《大气污染物综合排放标准》GB16297-1996表2中标准</w:t>
            </w:r>
          </w:p>
        </w:tc>
      </w:tr>
      <w:tr w14:paraId="4AA792D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532" w:type="dxa"/>
            <w:vMerge w:val="continue"/>
            <w:vAlign w:val="center"/>
          </w:tcPr>
          <w:p w14:paraId="7788336E">
            <w:pPr>
              <w:adjustRightInd w:val="0"/>
              <w:snapToGrid w:val="0"/>
              <w:jc w:val="center"/>
              <w:rPr>
                <w:color w:val="FF0000"/>
                <w:szCs w:val="21"/>
              </w:rPr>
            </w:pPr>
          </w:p>
        </w:tc>
        <w:tc>
          <w:tcPr>
            <w:tcW w:w="1663" w:type="dxa"/>
            <w:vAlign w:val="center"/>
          </w:tcPr>
          <w:p w14:paraId="3F29EB56">
            <w:pPr>
              <w:widowControl/>
              <w:jc w:val="center"/>
              <w:rPr>
                <w:color w:val="FF0000"/>
                <w:szCs w:val="21"/>
              </w:rPr>
            </w:pPr>
            <w:r>
              <w:rPr>
                <w:color w:val="FF0000"/>
                <w:szCs w:val="21"/>
              </w:rPr>
              <w:t>DA00</w:t>
            </w:r>
            <w:r>
              <w:rPr>
                <w:rFonts w:hint="eastAsia"/>
                <w:color w:val="FF0000"/>
                <w:szCs w:val="21"/>
              </w:rPr>
              <w:t>2</w:t>
            </w:r>
          </w:p>
        </w:tc>
        <w:tc>
          <w:tcPr>
            <w:tcW w:w="960" w:type="dxa"/>
            <w:vAlign w:val="center"/>
          </w:tcPr>
          <w:p w14:paraId="46361D21">
            <w:pPr>
              <w:widowControl/>
              <w:jc w:val="center"/>
              <w:rPr>
                <w:color w:val="FF0000"/>
                <w:szCs w:val="21"/>
              </w:rPr>
            </w:pPr>
            <w:r>
              <w:rPr>
                <w:color w:val="FF0000"/>
              </w:rPr>
              <w:t>颗粒物</w:t>
            </w:r>
          </w:p>
        </w:tc>
        <w:tc>
          <w:tcPr>
            <w:tcW w:w="2002" w:type="dxa"/>
            <w:vAlign w:val="center"/>
          </w:tcPr>
          <w:p w14:paraId="2508617E">
            <w:pPr>
              <w:adjustRightInd w:val="0"/>
              <w:snapToGrid w:val="0"/>
              <w:jc w:val="center"/>
              <w:rPr>
                <w:rFonts w:eastAsia="宋体"/>
                <w:color w:val="FF0000"/>
              </w:rPr>
            </w:pPr>
            <w:r>
              <w:rPr>
                <w:rFonts w:hint="default" w:ascii="Times New Roman" w:hAnsi="Times New Roman" w:cs="Times New Roman"/>
                <w:color w:val="FF0000"/>
                <w:kern w:val="0"/>
                <w:szCs w:val="21"/>
                <w:lang w:bidi="ar"/>
              </w:rPr>
              <w:t>集气罩+袋式除尘器+</w:t>
            </w:r>
            <w:r>
              <w:rPr>
                <w:rFonts w:hint="default" w:ascii="Times New Roman" w:hAnsi="Times New Roman" w:cs="Times New Roman"/>
                <w:color w:val="FF0000"/>
                <w:kern w:val="0"/>
                <w:szCs w:val="21"/>
                <w:lang w:eastAsia="zh-CN" w:bidi="ar"/>
              </w:rPr>
              <w:t>26m排气筒</w:t>
            </w:r>
            <w:r>
              <w:rPr>
                <w:rFonts w:hint="default" w:ascii="Times New Roman" w:hAnsi="Times New Roman" w:cs="Times New Roman"/>
                <w:color w:val="FF0000"/>
                <w:kern w:val="0"/>
                <w:szCs w:val="21"/>
                <w:lang w:bidi="ar"/>
              </w:rPr>
              <w:t>DA002</w:t>
            </w:r>
          </w:p>
        </w:tc>
        <w:tc>
          <w:tcPr>
            <w:tcW w:w="2643" w:type="dxa"/>
            <w:vAlign w:val="center"/>
          </w:tcPr>
          <w:p w14:paraId="4D90E4D5">
            <w:pPr>
              <w:adjustRightInd w:val="0"/>
              <w:snapToGrid w:val="0"/>
              <w:jc w:val="center"/>
              <w:rPr>
                <w:color w:val="FF0000"/>
                <w:szCs w:val="21"/>
              </w:rPr>
            </w:pPr>
            <w:r>
              <w:rPr>
                <w:color w:val="FF0000"/>
                <w:szCs w:val="21"/>
              </w:rPr>
              <w:t>《大气污染物综合排放标准》GB16297-1996表2中标准</w:t>
            </w:r>
          </w:p>
        </w:tc>
      </w:tr>
      <w:tr w14:paraId="5D87C85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532" w:type="dxa"/>
            <w:vMerge w:val="continue"/>
            <w:vAlign w:val="center"/>
          </w:tcPr>
          <w:p w14:paraId="5D0FECBD">
            <w:pPr>
              <w:adjustRightInd w:val="0"/>
              <w:snapToGrid w:val="0"/>
              <w:jc w:val="center"/>
              <w:rPr>
                <w:color w:val="FF0000"/>
                <w:szCs w:val="21"/>
              </w:rPr>
            </w:pPr>
          </w:p>
        </w:tc>
        <w:tc>
          <w:tcPr>
            <w:tcW w:w="1663" w:type="dxa"/>
            <w:vMerge w:val="restart"/>
            <w:vAlign w:val="center"/>
          </w:tcPr>
          <w:p w14:paraId="46F9EB32">
            <w:pPr>
              <w:adjustRightInd w:val="0"/>
              <w:snapToGrid w:val="0"/>
              <w:jc w:val="center"/>
              <w:rPr>
                <w:color w:val="FF0000"/>
                <w:szCs w:val="21"/>
              </w:rPr>
            </w:pPr>
            <w:r>
              <w:rPr>
                <w:rFonts w:hint="eastAsia"/>
                <w:color w:val="FF0000"/>
                <w:szCs w:val="21"/>
              </w:rPr>
              <w:t>无组织排放</w:t>
            </w:r>
          </w:p>
        </w:tc>
        <w:tc>
          <w:tcPr>
            <w:tcW w:w="960" w:type="dxa"/>
            <w:vAlign w:val="center"/>
          </w:tcPr>
          <w:p w14:paraId="7CC0C383">
            <w:pPr>
              <w:adjustRightInd w:val="0"/>
              <w:snapToGrid w:val="0"/>
              <w:jc w:val="center"/>
              <w:rPr>
                <w:color w:val="FF0000"/>
                <w:szCs w:val="21"/>
              </w:rPr>
            </w:pPr>
            <w:r>
              <w:rPr>
                <w:color w:val="FF0000"/>
                <w:szCs w:val="21"/>
              </w:rPr>
              <w:t>颗粒物</w:t>
            </w:r>
          </w:p>
        </w:tc>
        <w:tc>
          <w:tcPr>
            <w:tcW w:w="2002" w:type="dxa"/>
            <w:vAlign w:val="center"/>
          </w:tcPr>
          <w:p w14:paraId="0A197D71">
            <w:pPr>
              <w:widowControl/>
              <w:jc w:val="center"/>
              <w:rPr>
                <w:color w:val="FF0000"/>
                <w:szCs w:val="21"/>
              </w:rPr>
            </w:pPr>
            <w:r>
              <w:rPr>
                <w:rFonts w:hint="eastAsia"/>
                <w:color w:val="FF0000"/>
                <w:szCs w:val="21"/>
              </w:rPr>
              <w:t>密闭车间，自由沉降</w:t>
            </w:r>
          </w:p>
        </w:tc>
        <w:tc>
          <w:tcPr>
            <w:tcW w:w="2643" w:type="dxa"/>
            <w:vAlign w:val="center"/>
          </w:tcPr>
          <w:p w14:paraId="0EEE0D7A">
            <w:pPr>
              <w:adjustRightInd w:val="0"/>
              <w:snapToGrid w:val="0"/>
              <w:rPr>
                <w:color w:val="FF0000"/>
                <w:szCs w:val="21"/>
              </w:rPr>
            </w:pPr>
            <w:r>
              <w:rPr>
                <w:color w:val="FF0000"/>
              </w:rPr>
              <w:t>《大气污染物综合排放标准》（GB16297-1996）</w:t>
            </w:r>
          </w:p>
        </w:tc>
      </w:tr>
      <w:tr w14:paraId="0B1D588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532" w:type="dxa"/>
            <w:vMerge w:val="continue"/>
            <w:vAlign w:val="center"/>
          </w:tcPr>
          <w:p w14:paraId="3D1E0607">
            <w:pPr>
              <w:adjustRightInd w:val="0"/>
              <w:snapToGrid w:val="0"/>
              <w:jc w:val="center"/>
              <w:rPr>
                <w:color w:val="FF0000"/>
                <w:szCs w:val="21"/>
              </w:rPr>
            </w:pPr>
          </w:p>
        </w:tc>
        <w:tc>
          <w:tcPr>
            <w:tcW w:w="1663" w:type="dxa"/>
            <w:vMerge w:val="continue"/>
            <w:vAlign w:val="center"/>
          </w:tcPr>
          <w:p w14:paraId="43DA1282">
            <w:pPr>
              <w:adjustRightInd w:val="0"/>
              <w:snapToGrid w:val="0"/>
              <w:jc w:val="center"/>
              <w:rPr>
                <w:color w:val="FF0000"/>
                <w:szCs w:val="21"/>
              </w:rPr>
            </w:pPr>
          </w:p>
        </w:tc>
        <w:tc>
          <w:tcPr>
            <w:tcW w:w="960" w:type="dxa"/>
            <w:vAlign w:val="center"/>
          </w:tcPr>
          <w:p w14:paraId="2004E882">
            <w:pPr>
              <w:adjustRightInd w:val="0"/>
              <w:snapToGrid w:val="0"/>
              <w:jc w:val="center"/>
              <w:rPr>
                <w:color w:val="FF0000"/>
                <w:szCs w:val="21"/>
              </w:rPr>
            </w:pPr>
            <w:r>
              <w:rPr>
                <w:rFonts w:hint="eastAsia"/>
                <w:color w:val="FF0000"/>
                <w:szCs w:val="21"/>
              </w:rPr>
              <w:t>非甲烷总烃</w:t>
            </w:r>
          </w:p>
        </w:tc>
        <w:tc>
          <w:tcPr>
            <w:tcW w:w="2002" w:type="dxa"/>
            <w:vAlign w:val="center"/>
          </w:tcPr>
          <w:p w14:paraId="7758908D">
            <w:pPr>
              <w:widowControl/>
              <w:jc w:val="center"/>
              <w:rPr>
                <w:color w:val="FF0000"/>
                <w:szCs w:val="21"/>
              </w:rPr>
            </w:pPr>
            <w:r>
              <w:rPr>
                <w:rFonts w:hint="eastAsia"/>
                <w:color w:val="FF0000"/>
                <w:szCs w:val="21"/>
              </w:rPr>
              <w:t>/</w:t>
            </w:r>
          </w:p>
        </w:tc>
        <w:tc>
          <w:tcPr>
            <w:tcW w:w="2643" w:type="dxa"/>
            <w:vAlign w:val="center"/>
          </w:tcPr>
          <w:p w14:paraId="1BAE5C73">
            <w:pPr>
              <w:adjustRightInd w:val="0"/>
              <w:snapToGrid w:val="0"/>
              <w:rPr>
                <w:color w:val="FF0000"/>
              </w:rPr>
            </w:pPr>
            <w:r>
              <w:rPr>
                <w:color w:val="FF0000"/>
              </w:rPr>
              <w:t>《大气污染物综合排放标准》（GB16297-1996）</w:t>
            </w:r>
            <w:r>
              <w:rPr>
                <w:rFonts w:hint="eastAsia"/>
                <w:color w:val="FF0000"/>
              </w:rPr>
              <w:t>、</w:t>
            </w:r>
            <w:r>
              <w:rPr>
                <w:color w:val="FF0000"/>
              </w:rPr>
              <w:t>《挥发性有机物无组织排放控制标准》（GB 37822-2019）附录A.1</w:t>
            </w:r>
          </w:p>
        </w:tc>
      </w:tr>
      <w:tr w14:paraId="7C6A1ED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532" w:type="dxa"/>
            <w:vMerge w:val="continue"/>
            <w:vAlign w:val="center"/>
          </w:tcPr>
          <w:p w14:paraId="4A9098EB">
            <w:pPr>
              <w:adjustRightInd w:val="0"/>
              <w:snapToGrid w:val="0"/>
              <w:jc w:val="center"/>
              <w:rPr>
                <w:color w:val="FF0000"/>
                <w:szCs w:val="21"/>
              </w:rPr>
            </w:pPr>
          </w:p>
        </w:tc>
        <w:tc>
          <w:tcPr>
            <w:tcW w:w="1663" w:type="dxa"/>
            <w:vMerge w:val="continue"/>
            <w:vAlign w:val="center"/>
          </w:tcPr>
          <w:p w14:paraId="5B10ED86">
            <w:pPr>
              <w:adjustRightInd w:val="0"/>
              <w:snapToGrid w:val="0"/>
              <w:jc w:val="center"/>
              <w:rPr>
                <w:color w:val="FF0000"/>
                <w:szCs w:val="21"/>
              </w:rPr>
            </w:pPr>
          </w:p>
        </w:tc>
        <w:tc>
          <w:tcPr>
            <w:tcW w:w="960" w:type="dxa"/>
            <w:vAlign w:val="center"/>
          </w:tcPr>
          <w:p w14:paraId="552CF7F3">
            <w:pPr>
              <w:adjustRightInd w:val="0"/>
              <w:snapToGrid w:val="0"/>
              <w:jc w:val="center"/>
              <w:rPr>
                <w:rFonts w:hint="default" w:eastAsia="宋体"/>
                <w:color w:val="FF0000"/>
                <w:szCs w:val="21"/>
                <w:lang w:val="en-US" w:eastAsia="zh-CN"/>
              </w:rPr>
            </w:pPr>
            <w:r>
              <w:rPr>
                <w:rFonts w:hint="eastAsia"/>
                <w:color w:val="FF0000"/>
                <w:szCs w:val="21"/>
                <w:lang w:val="en-US" w:eastAsia="zh-CN"/>
              </w:rPr>
              <w:t>氨</w:t>
            </w:r>
          </w:p>
        </w:tc>
        <w:tc>
          <w:tcPr>
            <w:tcW w:w="2002" w:type="dxa"/>
            <w:vMerge w:val="restart"/>
            <w:vAlign w:val="center"/>
          </w:tcPr>
          <w:p w14:paraId="1D2B1F9C">
            <w:pPr>
              <w:widowControl/>
              <w:jc w:val="center"/>
              <w:rPr>
                <w:rFonts w:hint="eastAsia"/>
                <w:color w:val="FF0000"/>
                <w:szCs w:val="21"/>
              </w:rPr>
            </w:pPr>
            <w:r>
              <w:rPr>
                <w:rFonts w:hint="eastAsia" w:cs="Times New Roman"/>
                <w:color w:val="FF0000"/>
                <w:sz w:val="21"/>
                <w:szCs w:val="21"/>
                <w:lang w:val="en-US" w:eastAsia="zh-CN"/>
              </w:rPr>
              <w:t>污水处理站定期喷洒生物除臭剂</w:t>
            </w:r>
          </w:p>
        </w:tc>
        <w:tc>
          <w:tcPr>
            <w:tcW w:w="2643" w:type="dxa"/>
            <w:vMerge w:val="restart"/>
            <w:vAlign w:val="center"/>
          </w:tcPr>
          <w:p w14:paraId="3DEBE861">
            <w:pPr>
              <w:adjustRightInd w:val="0"/>
              <w:snapToGrid w:val="0"/>
              <w:rPr>
                <w:color w:val="FF0000"/>
              </w:rPr>
            </w:pPr>
            <w:r>
              <w:rPr>
                <w:rFonts w:hint="eastAsia" w:ascii="Times New Roman" w:hAnsi="Times New Roman" w:cs="Times New Roman"/>
                <w:color w:val="FF0000"/>
                <w:szCs w:val="21"/>
                <w:lang w:val="en-US" w:eastAsia="zh-CN"/>
              </w:rPr>
              <w:t>《恶臭污染物排放标准》（GB14554-93）</w:t>
            </w:r>
          </w:p>
        </w:tc>
      </w:tr>
      <w:tr w14:paraId="5998789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532" w:type="dxa"/>
            <w:vMerge w:val="continue"/>
            <w:vAlign w:val="center"/>
          </w:tcPr>
          <w:p w14:paraId="4E02B429">
            <w:pPr>
              <w:adjustRightInd w:val="0"/>
              <w:snapToGrid w:val="0"/>
              <w:jc w:val="center"/>
              <w:rPr>
                <w:color w:val="FF0000"/>
                <w:szCs w:val="21"/>
              </w:rPr>
            </w:pPr>
          </w:p>
        </w:tc>
        <w:tc>
          <w:tcPr>
            <w:tcW w:w="1663" w:type="dxa"/>
            <w:vMerge w:val="continue"/>
            <w:vAlign w:val="center"/>
          </w:tcPr>
          <w:p w14:paraId="2A6500E2">
            <w:pPr>
              <w:adjustRightInd w:val="0"/>
              <w:snapToGrid w:val="0"/>
              <w:jc w:val="center"/>
              <w:rPr>
                <w:color w:val="FF0000"/>
                <w:szCs w:val="21"/>
              </w:rPr>
            </w:pPr>
          </w:p>
        </w:tc>
        <w:tc>
          <w:tcPr>
            <w:tcW w:w="960" w:type="dxa"/>
            <w:vAlign w:val="center"/>
          </w:tcPr>
          <w:p w14:paraId="1C8547E4">
            <w:pPr>
              <w:adjustRightInd w:val="0"/>
              <w:snapToGrid w:val="0"/>
              <w:jc w:val="center"/>
              <w:rPr>
                <w:rFonts w:hint="eastAsia" w:eastAsia="宋体"/>
                <w:color w:val="FF0000"/>
                <w:szCs w:val="21"/>
                <w:lang w:val="en-US" w:eastAsia="zh-CN"/>
              </w:rPr>
            </w:pPr>
            <w:r>
              <w:rPr>
                <w:rFonts w:hint="eastAsia"/>
                <w:color w:val="FF0000"/>
                <w:szCs w:val="21"/>
                <w:lang w:val="en-US" w:eastAsia="zh-CN"/>
              </w:rPr>
              <w:t>硫化氢</w:t>
            </w:r>
          </w:p>
        </w:tc>
        <w:tc>
          <w:tcPr>
            <w:tcW w:w="2002" w:type="dxa"/>
            <w:vMerge w:val="continue"/>
            <w:vAlign w:val="center"/>
          </w:tcPr>
          <w:p w14:paraId="7B383F78">
            <w:pPr>
              <w:widowControl/>
              <w:jc w:val="center"/>
              <w:rPr>
                <w:rFonts w:hint="eastAsia"/>
                <w:color w:val="FF0000"/>
                <w:szCs w:val="21"/>
              </w:rPr>
            </w:pPr>
          </w:p>
        </w:tc>
        <w:tc>
          <w:tcPr>
            <w:tcW w:w="2643" w:type="dxa"/>
            <w:vMerge w:val="continue"/>
            <w:vAlign w:val="center"/>
          </w:tcPr>
          <w:p w14:paraId="40658A63">
            <w:pPr>
              <w:adjustRightInd w:val="0"/>
              <w:snapToGrid w:val="0"/>
              <w:rPr>
                <w:color w:val="FF0000"/>
              </w:rPr>
            </w:pPr>
          </w:p>
        </w:tc>
      </w:tr>
      <w:tr w14:paraId="04FC0C3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14" w:hRule="atLeast"/>
          <w:jc w:val="center"/>
        </w:trPr>
        <w:tc>
          <w:tcPr>
            <w:tcW w:w="1532" w:type="dxa"/>
            <w:vMerge w:val="restart"/>
            <w:tcBorders>
              <w:top w:val="single" w:color="auto" w:sz="4" w:space="0"/>
            </w:tcBorders>
            <w:vAlign w:val="center"/>
          </w:tcPr>
          <w:p w14:paraId="7FDB22F0">
            <w:pPr>
              <w:adjustRightInd w:val="0"/>
              <w:snapToGrid w:val="0"/>
              <w:jc w:val="center"/>
              <w:rPr>
                <w:color w:val="FF0000"/>
                <w:szCs w:val="21"/>
              </w:rPr>
            </w:pPr>
            <w:r>
              <w:rPr>
                <w:color w:val="FF0000"/>
                <w:szCs w:val="21"/>
              </w:rPr>
              <w:t>地表水环境</w:t>
            </w:r>
          </w:p>
        </w:tc>
        <w:tc>
          <w:tcPr>
            <w:tcW w:w="1663" w:type="dxa"/>
            <w:vMerge w:val="restart"/>
            <w:tcBorders>
              <w:top w:val="single" w:color="auto" w:sz="4" w:space="0"/>
            </w:tcBorders>
            <w:vAlign w:val="center"/>
          </w:tcPr>
          <w:p w14:paraId="14D84BD9">
            <w:pPr>
              <w:pStyle w:val="86"/>
              <w:rPr>
                <w:rFonts w:hint="eastAsia" w:eastAsia="宋体"/>
                <w:color w:val="FF0000"/>
                <w:lang w:val="en-US" w:eastAsia="zh-CN"/>
              </w:rPr>
            </w:pPr>
            <w:r>
              <w:rPr>
                <w:rFonts w:hint="eastAsia" w:eastAsia="宋体"/>
                <w:color w:val="FF0000"/>
              </w:rPr>
              <w:t>DW00</w:t>
            </w:r>
            <w:r>
              <w:rPr>
                <w:rFonts w:hint="eastAsia" w:eastAsia="宋体"/>
                <w:color w:val="FF0000"/>
                <w:lang w:val="en-US" w:eastAsia="zh-CN"/>
              </w:rPr>
              <w:t>1</w:t>
            </w:r>
          </w:p>
        </w:tc>
        <w:tc>
          <w:tcPr>
            <w:tcW w:w="960" w:type="dxa"/>
            <w:tcBorders>
              <w:top w:val="single" w:color="000000" w:sz="4" w:space="0"/>
            </w:tcBorders>
            <w:shd w:val="clear" w:color="auto" w:fill="auto"/>
            <w:vAlign w:val="center"/>
          </w:tcPr>
          <w:p w14:paraId="48E284A5">
            <w:pPr>
              <w:pStyle w:val="86"/>
              <w:rPr>
                <w:color w:val="FF0000"/>
              </w:rPr>
            </w:pPr>
            <w:r>
              <w:rPr>
                <w:color w:val="FF0000"/>
              </w:rPr>
              <w:t>COD</w:t>
            </w:r>
          </w:p>
        </w:tc>
        <w:tc>
          <w:tcPr>
            <w:tcW w:w="2002" w:type="dxa"/>
            <w:vMerge w:val="restart"/>
            <w:vAlign w:val="center"/>
          </w:tcPr>
          <w:p w14:paraId="35078C5A">
            <w:pPr>
              <w:pStyle w:val="86"/>
              <w:rPr>
                <w:color w:val="FF0000"/>
              </w:rPr>
            </w:pPr>
            <w:r>
              <w:rPr>
                <w:color w:val="FF0000"/>
              </w:rPr>
              <w:t>防渗</w:t>
            </w:r>
            <w:r>
              <w:rPr>
                <w:rFonts w:hint="eastAsia"/>
                <w:color w:val="FF0000"/>
              </w:rPr>
              <w:t>防渗化粪池、</w:t>
            </w:r>
            <w:r>
              <w:rPr>
                <w:rFonts w:hint="eastAsia"/>
                <w:color w:val="FF0000"/>
                <w:kern w:val="0"/>
                <w:lang w:bidi="ar"/>
              </w:rPr>
              <w:t>均质+</w:t>
            </w:r>
            <w:r>
              <w:rPr>
                <w:rFonts w:eastAsia="宋体"/>
                <w:color w:val="FF0000"/>
                <w:kern w:val="0"/>
                <w:lang w:bidi="ar"/>
              </w:rPr>
              <w:t>隔油+气浮+沉淀+过滤</w:t>
            </w:r>
          </w:p>
        </w:tc>
        <w:tc>
          <w:tcPr>
            <w:tcW w:w="2643" w:type="dxa"/>
            <w:vMerge w:val="restart"/>
            <w:vAlign w:val="center"/>
          </w:tcPr>
          <w:p w14:paraId="7DA02D70">
            <w:pPr>
              <w:adjustRightInd w:val="0"/>
              <w:snapToGrid w:val="0"/>
              <w:jc w:val="center"/>
              <w:rPr>
                <w:color w:val="FF0000"/>
                <w:szCs w:val="21"/>
              </w:rPr>
            </w:pPr>
            <w:r>
              <w:rPr>
                <w:rFonts w:hint="eastAsia" w:ascii="Times New Roman" w:hAnsi="Times New Roman" w:cs="Times New Roman"/>
                <w:color w:val="FF0000"/>
                <w:szCs w:val="21"/>
                <w:lang w:val="en-US" w:eastAsia="zh-CN"/>
              </w:rPr>
              <w:t>《辽宁省污水综合排放标准》（DB21/1627-2008）中表2排入污水处理厂标准</w:t>
            </w:r>
          </w:p>
        </w:tc>
      </w:tr>
      <w:tr w14:paraId="6DCF30A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14" w:hRule="atLeast"/>
          <w:jc w:val="center"/>
        </w:trPr>
        <w:tc>
          <w:tcPr>
            <w:tcW w:w="1532" w:type="dxa"/>
            <w:vMerge w:val="continue"/>
            <w:vAlign w:val="center"/>
          </w:tcPr>
          <w:p w14:paraId="546E3F06">
            <w:pPr>
              <w:adjustRightInd w:val="0"/>
              <w:snapToGrid w:val="0"/>
              <w:jc w:val="center"/>
              <w:rPr>
                <w:color w:val="FF0000"/>
              </w:rPr>
            </w:pPr>
          </w:p>
        </w:tc>
        <w:tc>
          <w:tcPr>
            <w:tcW w:w="1663" w:type="dxa"/>
            <w:vMerge w:val="continue"/>
            <w:vAlign w:val="center"/>
          </w:tcPr>
          <w:p w14:paraId="2474B23B">
            <w:pPr>
              <w:adjustRightInd w:val="0"/>
              <w:snapToGrid w:val="0"/>
              <w:jc w:val="center"/>
              <w:rPr>
                <w:color w:val="FF0000"/>
              </w:rPr>
            </w:pPr>
          </w:p>
        </w:tc>
        <w:tc>
          <w:tcPr>
            <w:tcW w:w="960" w:type="dxa"/>
            <w:tcBorders>
              <w:top w:val="single" w:color="000000" w:sz="4" w:space="0"/>
            </w:tcBorders>
            <w:shd w:val="clear" w:color="auto" w:fill="auto"/>
            <w:vAlign w:val="center"/>
          </w:tcPr>
          <w:p w14:paraId="2BE64E3D">
            <w:pPr>
              <w:pStyle w:val="86"/>
              <w:rPr>
                <w:color w:val="FF0000"/>
              </w:rPr>
            </w:pPr>
            <w:r>
              <w:rPr>
                <w:color w:val="FF0000"/>
              </w:rPr>
              <w:t>BOD</w:t>
            </w:r>
            <w:r>
              <w:rPr>
                <w:color w:val="FF0000"/>
                <w:vertAlign w:val="subscript"/>
              </w:rPr>
              <w:t>5</w:t>
            </w:r>
          </w:p>
        </w:tc>
        <w:tc>
          <w:tcPr>
            <w:tcW w:w="2002" w:type="dxa"/>
            <w:vMerge w:val="continue"/>
            <w:vAlign w:val="center"/>
          </w:tcPr>
          <w:p w14:paraId="3D54349B">
            <w:pPr>
              <w:adjustRightInd w:val="0"/>
              <w:snapToGrid w:val="0"/>
              <w:jc w:val="center"/>
              <w:rPr>
                <w:color w:val="FF0000"/>
                <w:szCs w:val="21"/>
              </w:rPr>
            </w:pPr>
          </w:p>
        </w:tc>
        <w:tc>
          <w:tcPr>
            <w:tcW w:w="2643" w:type="dxa"/>
            <w:vMerge w:val="continue"/>
            <w:vAlign w:val="center"/>
          </w:tcPr>
          <w:p w14:paraId="6272EBDC">
            <w:pPr>
              <w:adjustRightInd w:val="0"/>
              <w:snapToGrid w:val="0"/>
              <w:jc w:val="center"/>
              <w:rPr>
                <w:color w:val="FF0000"/>
                <w:szCs w:val="21"/>
              </w:rPr>
            </w:pPr>
          </w:p>
        </w:tc>
      </w:tr>
      <w:tr w14:paraId="0188528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14" w:hRule="atLeast"/>
          <w:jc w:val="center"/>
        </w:trPr>
        <w:tc>
          <w:tcPr>
            <w:tcW w:w="1532" w:type="dxa"/>
            <w:vMerge w:val="continue"/>
            <w:vAlign w:val="center"/>
          </w:tcPr>
          <w:p w14:paraId="408B9AA4">
            <w:pPr>
              <w:adjustRightInd w:val="0"/>
              <w:snapToGrid w:val="0"/>
              <w:jc w:val="center"/>
              <w:rPr>
                <w:color w:val="FF0000"/>
                <w:szCs w:val="21"/>
              </w:rPr>
            </w:pPr>
          </w:p>
        </w:tc>
        <w:tc>
          <w:tcPr>
            <w:tcW w:w="1663" w:type="dxa"/>
            <w:vMerge w:val="continue"/>
            <w:vAlign w:val="center"/>
          </w:tcPr>
          <w:p w14:paraId="46B8632A">
            <w:pPr>
              <w:adjustRightInd w:val="0"/>
              <w:snapToGrid w:val="0"/>
              <w:jc w:val="center"/>
              <w:rPr>
                <w:color w:val="FF0000"/>
                <w:szCs w:val="21"/>
              </w:rPr>
            </w:pPr>
          </w:p>
        </w:tc>
        <w:tc>
          <w:tcPr>
            <w:tcW w:w="960" w:type="dxa"/>
            <w:tcBorders>
              <w:top w:val="single" w:color="000000" w:sz="4" w:space="0"/>
            </w:tcBorders>
            <w:shd w:val="clear" w:color="auto" w:fill="auto"/>
            <w:vAlign w:val="center"/>
          </w:tcPr>
          <w:p w14:paraId="2AC11714">
            <w:pPr>
              <w:pStyle w:val="86"/>
              <w:rPr>
                <w:color w:val="FF0000"/>
              </w:rPr>
            </w:pPr>
            <w:r>
              <w:rPr>
                <w:color w:val="FF0000"/>
              </w:rPr>
              <w:t>SS</w:t>
            </w:r>
          </w:p>
        </w:tc>
        <w:tc>
          <w:tcPr>
            <w:tcW w:w="2002" w:type="dxa"/>
            <w:vMerge w:val="continue"/>
            <w:vAlign w:val="center"/>
          </w:tcPr>
          <w:p w14:paraId="4C9F256B">
            <w:pPr>
              <w:adjustRightInd w:val="0"/>
              <w:snapToGrid w:val="0"/>
              <w:jc w:val="center"/>
              <w:rPr>
                <w:color w:val="FF0000"/>
                <w:szCs w:val="21"/>
              </w:rPr>
            </w:pPr>
          </w:p>
        </w:tc>
        <w:tc>
          <w:tcPr>
            <w:tcW w:w="2643" w:type="dxa"/>
            <w:vMerge w:val="continue"/>
            <w:vAlign w:val="center"/>
          </w:tcPr>
          <w:p w14:paraId="106B5AD5">
            <w:pPr>
              <w:adjustRightInd w:val="0"/>
              <w:snapToGrid w:val="0"/>
              <w:jc w:val="center"/>
              <w:rPr>
                <w:color w:val="FF0000"/>
                <w:szCs w:val="21"/>
              </w:rPr>
            </w:pPr>
          </w:p>
        </w:tc>
      </w:tr>
      <w:tr w14:paraId="2600500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14" w:hRule="atLeast"/>
          <w:jc w:val="center"/>
        </w:trPr>
        <w:tc>
          <w:tcPr>
            <w:tcW w:w="1532" w:type="dxa"/>
            <w:vMerge w:val="continue"/>
            <w:vAlign w:val="center"/>
          </w:tcPr>
          <w:p w14:paraId="65D1F062">
            <w:pPr>
              <w:adjustRightInd w:val="0"/>
              <w:snapToGrid w:val="0"/>
              <w:jc w:val="center"/>
              <w:rPr>
                <w:color w:val="FF0000"/>
                <w:szCs w:val="21"/>
              </w:rPr>
            </w:pPr>
          </w:p>
        </w:tc>
        <w:tc>
          <w:tcPr>
            <w:tcW w:w="1663" w:type="dxa"/>
            <w:vMerge w:val="continue"/>
            <w:vAlign w:val="center"/>
          </w:tcPr>
          <w:p w14:paraId="41FFD16B">
            <w:pPr>
              <w:adjustRightInd w:val="0"/>
              <w:snapToGrid w:val="0"/>
              <w:jc w:val="center"/>
              <w:rPr>
                <w:color w:val="FF0000"/>
                <w:szCs w:val="21"/>
              </w:rPr>
            </w:pPr>
          </w:p>
        </w:tc>
        <w:tc>
          <w:tcPr>
            <w:tcW w:w="960" w:type="dxa"/>
            <w:tcBorders>
              <w:top w:val="single" w:color="000000" w:sz="4" w:space="0"/>
            </w:tcBorders>
            <w:shd w:val="clear" w:color="auto" w:fill="auto"/>
            <w:vAlign w:val="center"/>
          </w:tcPr>
          <w:p w14:paraId="0E11D7CE">
            <w:pPr>
              <w:pStyle w:val="86"/>
              <w:rPr>
                <w:color w:val="FF0000"/>
              </w:rPr>
            </w:pPr>
            <w:r>
              <w:rPr>
                <w:color w:val="FF0000"/>
              </w:rPr>
              <w:t>NH</w:t>
            </w:r>
            <w:r>
              <w:rPr>
                <w:color w:val="FF0000"/>
                <w:vertAlign w:val="subscript"/>
              </w:rPr>
              <w:t>3</w:t>
            </w:r>
            <w:r>
              <w:rPr>
                <w:color w:val="FF0000"/>
              </w:rPr>
              <w:t>-N</w:t>
            </w:r>
          </w:p>
        </w:tc>
        <w:tc>
          <w:tcPr>
            <w:tcW w:w="2002" w:type="dxa"/>
            <w:vMerge w:val="continue"/>
            <w:vAlign w:val="center"/>
          </w:tcPr>
          <w:p w14:paraId="5D90BCD2">
            <w:pPr>
              <w:adjustRightInd w:val="0"/>
              <w:snapToGrid w:val="0"/>
              <w:jc w:val="center"/>
              <w:rPr>
                <w:color w:val="FF0000"/>
                <w:szCs w:val="21"/>
              </w:rPr>
            </w:pPr>
          </w:p>
        </w:tc>
        <w:tc>
          <w:tcPr>
            <w:tcW w:w="2643" w:type="dxa"/>
            <w:vMerge w:val="continue"/>
            <w:vAlign w:val="center"/>
          </w:tcPr>
          <w:p w14:paraId="14A8ACF8">
            <w:pPr>
              <w:adjustRightInd w:val="0"/>
              <w:snapToGrid w:val="0"/>
              <w:jc w:val="center"/>
              <w:rPr>
                <w:color w:val="FF0000"/>
                <w:szCs w:val="21"/>
              </w:rPr>
            </w:pPr>
          </w:p>
        </w:tc>
      </w:tr>
      <w:tr w14:paraId="02C9B44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14" w:hRule="atLeast"/>
          <w:jc w:val="center"/>
        </w:trPr>
        <w:tc>
          <w:tcPr>
            <w:tcW w:w="1532" w:type="dxa"/>
            <w:vMerge w:val="continue"/>
            <w:vAlign w:val="center"/>
          </w:tcPr>
          <w:p w14:paraId="750BF822">
            <w:pPr>
              <w:adjustRightInd w:val="0"/>
              <w:snapToGrid w:val="0"/>
              <w:jc w:val="center"/>
              <w:rPr>
                <w:color w:val="FF0000"/>
                <w:szCs w:val="21"/>
              </w:rPr>
            </w:pPr>
          </w:p>
        </w:tc>
        <w:tc>
          <w:tcPr>
            <w:tcW w:w="1663" w:type="dxa"/>
            <w:vMerge w:val="continue"/>
            <w:vAlign w:val="center"/>
          </w:tcPr>
          <w:p w14:paraId="673B2264">
            <w:pPr>
              <w:adjustRightInd w:val="0"/>
              <w:snapToGrid w:val="0"/>
              <w:jc w:val="center"/>
              <w:rPr>
                <w:color w:val="FF0000"/>
                <w:szCs w:val="21"/>
              </w:rPr>
            </w:pPr>
          </w:p>
        </w:tc>
        <w:tc>
          <w:tcPr>
            <w:tcW w:w="960" w:type="dxa"/>
            <w:tcBorders>
              <w:top w:val="single" w:color="000000" w:sz="4" w:space="0"/>
            </w:tcBorders>
            <w:shd w:val="clear" w:color="auto" w:fill="auto"/>
            <w:vAlign w:val="center"/>
          </w:tcPr>
          <w:p w14:paraId="62A341D9">
            <w:pPr>
              <w:pStyle w:val="86"/>
              <w:rPr>
                <w:color w:val="FF0000"/>
              </w:rPr>
            </w:pPr>
            <w:r>
              <w:rPr>
                <w:rFonts w:hint="eastAsia"/>
                <w:color w:val="FF0000"/>
              </w:rPr>
              <w:t>TP</w:t>
            </w:r>
          </w:p>
        </w:tc>
        <w:tc>
          <w:tcPr>
            <w:tcW w:w="2002" w:type="dxa"/>
            <w:vMerge w:val="continue"/>
            <w:vAlign w:val="center"/>
          </w:tcPr>
          <w:p w14:paraId="2C2214C6">
            <w:pPr>
              <w:adjustRightInd w:val="0"/>
              <w:snapToGrid w:val="0"/>
              <w:jc w:val="center"/>
              <w:rPr>
                <w:color w:val="FF0000"/>
                <w:szCs w:val="21"/>
              </w:rPr>
            </w:pPr>
          </w:p>
        </w:tc>
        <w:tc>
          <w:tcPr>
            <w:tcW w:w="2643" w:type="dxa"/>
            <w:vMerge w:val="continue"/>
            <w:vAlign w:val="center"/>
          </w:tcPr>
          <w:p w14:paraId="3283BBD5">
            <w:pPr>
              <w:adjustRightInd w:val="0"/>
              <w:snapToGrid w:val="0"/>
              <w:jc w:val="center"/>
              <w:rPr>
                <w:color w:val="FF0000"/>
                <w:szCs w:val="21"/>
              </w:rPr>
            </w:pPr>
          </w:p>
        </w:tc>
      </w:tr>
      <w:tr w14:paraId="04A4104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14" w:hRule="atLeast"/>
          <w:jc w:val="center"/>
        </w:trPr>
        <w:tc>
          <w:tcPr>
            <w:tcW w:w="1532" w:type="dxa"/>
            <w:vMerge w:val="continue"/>
            <w:vAlign w:val="center"/>
          </w:tcPr>
          <w:p w14:paraId="0F1679E4">
            <w:pPr>
              <w:adjustRightInd w:val="0"/>
              <w:snapToGrid w:val="0"/>
              <w:jc w:val="center"/>
              <w:rPr>
                <w:color w:val="FF0000"/>
                <w:szCs w:val="21"/>
              </w:rPr>
            </w:pPr>
          </w:p>
        </w:tc>
        <w:tc>
          <w:tcPr>
            <w:tcW w:w="1663" w:type="dxa"/>
            <w:vMerge w:val="continue"/>
            <w:vAlign w:val="center"/>
          </w:tcPr>
          <w:p w14:paraId="6C4ECEBC">
            <w:pPr>
              <w:adjustRightInd w:val="0"/>
              <w:snapToGrid w:val="0"/>
              <w:jc w:val="center"/>
              <w:rPr>
                <w:color w:val="FF0000"/>
                <w:szCs w:val="21"/>
              </w:rPr>
            </w:pPr>
          </w:p>
        </w:tc>
        <w:tc>
          <w:tcPr>
            <w:tcW w:w="960" w:type="dxa"/>
            <w:tcBorders>
              <w:top w:val="single" w:color="000000" w:sz="4" w:space="0"/>
            </w:tcBorders>
            <w:vAlign w:val="center"/>
          </w:tcPr>
          <w:p w14:paraId="265DE7E7">
            <w:pPr>
              <w:adjustRightInd w:val="0"/>
              <w:snapToGrid w:val="0"/>
              <w:jc w:val="center"/>
              <w:rPr>
                <w:color w:val="FF0000"/>
                <w:szCs w:val="21"/>
              </w:rPr>
            </w:pPr>
            <w:r>
              <w:rPr>
                <w:rFonts w:hint="eastAsia"/>
                <w:color w:val="FF0000"/>
                <w:szCs w:val="21"/>
              </w:rPr>
              <w:t>TN</w:t>
            </w:r>
          </w:p>
        </w:tc>
        <w:tc>
          <w:tcPr>
            <w:tcW w:w="2002" w:type="dxa"/>
            <w:vMerge w:val="continue"/>
            <w:vAlign w:val="center"/>
          </w:tcPr>
          <w:p w14:paraId="7B964814">
            <w:pPr>
              <w:adjustRightInd w:val="0"/>
              <w:snapToGrid w:val="0"/>
              <w:jc w:val="center"/>
              <w:rPr>
                <w:color w:val="FF0000"/>
                <w:szCs w:val="21"/>
              </w:rPr>
            </w:pPr>
          </w:p>
        </w:tc>
        <w:tc>
          <w:tcPr>
            <w:tcW w:w="2643" w:type="dxa"/>
            <w:vMerge w:val="continue"/>
            <w:vAlign w:val="center"/>
          </w:tcPr>
          <w:p w14:paraId="4F582C30">
            <w:pPr>
              <w:adjustRightInd w:val="0"/>
              <w:snapToGrid w:val="0"/>
              <w:jc w:val="center"/>
              <w:rPr>
                <w:color w:val="FF0000"/>
                <w:szCs w:val="21"/>
              </w:rPr>
            </w:pPr>
          </w:p>
        </w:tc>
      </w:tr>
      <w:tr w14:paraId="7361609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33" w:hRule="atLeast"/>
          <w:jc w:val="center"/>
        </w:trPr>
        <w:tc>
          <w:tcPr>
            <w:tcW w:w="1532" w:type="dxa"/>
            <w:vMerge w:val="continue"/>
            <w:vAlign w:val="center"/>
          </w:tcPr>
          <w:p w14:paraId="2510F0F3">
            <w:pPr>
              <w:adjustRightInd w:val="0"/>
              <w:snapToGrid w:val="0"/>
              <w:jc w:val="center"/>
              <w:rPr>
                <w:color w:val="FF0000"/>
                <w:szCs w:val="21"/>
              </w:rPr>
            </w:pPr>
          </w:p>
        </w:tc>
        <w:tc>
          <w:tcPr>
            <w:tcW w:w="1663" w:type="dxa"/>
            <w:vMerge w:val="continue"/>
            <w:vAlign w:val="center"/>
          </w:tcPr>
          <w:p w14:paraId="15F85181">
            <w:pPr>
              <w:pStyle w:val="86"/>
              <w:rPr>
                <w:rFonts w:eastAsia="宋体"/>
                <w:color w:val="FF0000"/>
              </w:rPr>
            </w:pPr>
          </w:p>
        </w:tc>
        <w:tc>
          <w:tcPr>
            <w:tcW w:w="960" w:type="dxa"/>
            <w:tcBorders>
              <w:top w:val="single" w:color="000000" w:sz="4" w:space="0"/>
            </w:tcBorders>
            <w:vAlign w:val="center"/>
          </w:tcPr>
          <w:p w14:paraId="725B7051">
            <w:pPr>
              <w:pStyle w:val="86"/>
              <w:rPr>
                <w:rFonts w:eastAsia="宋体"/>
                <w:color w:val="FF0000"/>
              </w:rPr>
            </w:pPr>
            <w:r>
              <w:rPr>
                <w:rFonts w:hint="eastAsia" w:eastAsia="宋体"/>
                <w:color w:val="FF0000"/>
              </w:rPr>
              <w:t>石油类</w:t>
            </w:r>
          </w:p>
        </w:tc>
        <w:tc>
          <w:tcPr>
            <w:tcW w:w="2002" w:type="dxa"/>
            <w:vMerge w:val="continue"/>
            <w:vAlign w:val="center"/>
          </w:tcPr>
          <w:p w14:paraId="38F0C4F1">
            <w:pPr>
              <w:pStyle w:val="86"/>
              <w:rPr>
                <w:color w:val="FF0000"/>
              </w:rPr>
            </w:pPr>
          </w:p>
        </w:tc>
        <w:tc>
          <w:tcPr>
            <w:tcW w:w="2643" w:type="dxa"/>
            <w:vMerge w:val="continue"/>
            <w:vAlign w:val="center"/>
          </w:tcPr>
          <w:p w14:paraId="07C03296">
            <w:pPr>
              <w:adjustRightInd w:val="0"/>
              <w:snapToGrid w:val="0"/>
              <w:jc w:val="center"/>
              <w:rPr>
                <w:color w:val="FF0000"/>
                <w:szCs w:val="21"/>
              </w:rPr>
            </w:pPr>
          </w:p>
        </w:tc>
      </w:tr>
      <w:tr w14:paraId="1623B52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532" w:type="dxa"/>
            <w:tcBorders>
              <w:top w:val="single" w:color="auto" w:sz="4" w:space="0"/>
            </w:tcBorders>
            <w:vAlign w:val="center"/>
          </w:tcPr>
          <w:p w14:paraId="79C327E4">
            <w:pPr>
              <w:adjustRightInd w:val="0"/>
              <w:snapToGrid w:val="0"/>
              <w:jc w:val="center"/>
              <w:rPr>
                <w:color w:val="FF0000"/>
                <w:szCs w:val="21"/>
              </w:rPr>
            </w:pPr>
            <w:r>
              <w:rPr>
                <w:color w:val="FF0000"/>
                <w:szCs w:val="21"/>
              </w:rPr>
              <w:t>声环境</w:t>
            </w:r>
          </w:p>
        </w:tc>
        <w:tc>
          <w:tcPr>
            <w:tcW w:w="1663" w:type="dxa"/>
            <w:tcBorders>
              <w:top w:val="single" w:color="auto" w:sz="4" w:space="0"/>
            </w:tcBorders>
            <w:vAlign w:val="center"/>
          </w:tcPr>
          <w:p w14:paraId="4EDE4818">
            <w:pPr>
              <w:adjustRightInd w:val="0"/>
              <w:snapToGrid w:val="0"/>
              <w:jc w:val="center"/>
              <w:rPr>
                <w:color w:val="FF0000"/>
                <w:szCs w:val="21"/>
              </w:rPr>
            </w:pPr>
            <w:r>
              <w:rPr>
                <w:rFonts w:hint="eastAsia"/>
                <w:color w:val="FF0000"/>
                <w:szCs w:val="21"/>
              </w:rPr>
              <w:t>生产设备</w:t>
            </w:r>
          </w:p>
        </w:tc>
        <w:tc>
          <w:tcPr>
            <w:tcW w:w="960" w:type="dxa"/>
            <w:vAlign w:val="center"/>
          </w:tcPr>
          <w:p w14:paraId="40809AB5">
            <w:pPr>
              <w:adjustRightInd w:val="0"/>
              <w:snapToGrid w:val="0"/>
              <w:jc w:val="center"/>
              <w:rPr>
                <w:color w:val="FF0000"/>
                <w:szCs w:val="21"/>
              </w:rPr>
            </w:pPr>
            <w:r>
              <w:rPr>
                <w:rFonts w:hAnsi="宋体"/>
                <w:color w:val="FF0000"/>
              </w:rPr>
              <w:t>Leq（A）</w:t>
            </w:r>
          </w:p>
        </w:tc>
        <w:tc>
          <w:tcPr>
            <w:tcW w:w="2002" w:type="dxa"/>
            <w:vAlign w:val="center"/>
          </w:tcPr>
          <w:p w14:paraId="20BBF15D">
            <w:pPr>
              <w:adjustRightInd w:val="0"/>
              <w:snapToGrid w:val="0"/>
              <w:jc w:val="center"/>
              <w:rPr>
                <w:rFonts w:hint="eastAsia" w:eastAsia="宋体"/>
                <w:color w:val="FF0000"/>
                <w:szCs w:val="21"/>
                <w:lang w:eastAsia="zh-CN"/>
              </w:rPr>
            </w:pPr>
            <w:r>
              <w:rPr>
                <w:rFonts w:hint="eastAsia"/>
                <w:color w:val="FF0000"/>
                <w:szCs w:val="21"/>
                <w:lang w:eastAsia="zh-CN"/>
              </w:rPr>
              <w:t>选用低噪声设备、安装隔振元件/隔振垫/柔性、实施屏蔽隔声、涂刷防护吸声地坪、使用软性传输装</w:t>
            </w:r>
          </w:p>
        </w:tc>
        <w:tc>
          <w:tcPr>
            <w:tcW w:w="2643" w:type="dxa"/>
            <w:vAlign w:val="center"/>
          </w:tcPr>
          <w:p w14:paraId="65274DEE">
            <w:pPr>
              <w:adjustRightInd w:val="0"/>
              <w:snapToGrid w:val="0"/>
              <w:jc w:val="left"/>
              <w:rPr>
                <w:color w:val="FF0000"/>
                <w:szCs w:val="21"/>
              </w:rPr>
            </w:pPr>
            <w:r>
              <w:rPr>
                <w:rFonts w:hint="eastAsia"/>
                <w:color w:val="FF0000"/>
                <w:szCs w:val="21"/>
              </w:rPr>
              <w:t>西北侧、东北侧、东南侧</w:t>
            </w:r>
            <w:r>
              <w:rPr>
                <w:color w:val="FF0000"/>
                <w:szCs w:val="21"/>
              </w:rPr>
              <w:t>执行国家《工业企业厂界环境噪声排放标准》（GB12348-2008）</w:t>
            </w:r>
            <w:r>
              <w:rPr>
                <w:rFonts w:hint="eastAsia"/>
                <w:color w:val="FF0000"/>
                <w:szCs w:val="21"/>
              </w:rPr>
              <w:t>2</w:t>
            </w:r>
            <w:r>
              <w:rPr>
                <w:color w:val="FF0000"/>
                <w:szCs w:val="21"/>
              </w:rPr>
              <w:t>类标准</w:t>
            </w:r>
          </w:p>
          <w:p w14:paraId="2FE598CD">
            <w:pPr>
              <w:adjustRightInd w:val="0"/>
              <w:snapToGrid w:val="0"/>
              <w:jc w:val="left"/>
              <w:rPr>
                <w:color w:val="FF0000"/>
                <w:szCs w:val="21"/>
              </w:rPr>
            </w:pPr>
            <w:r>
              <w:rPr>
                <w:rFonts w:hint="eastAsia"/>
                <w:color w:val="FF0000"/>
                <w:szCs w:val="21"/>
              </w:rPr>
              <w:t>西南侧</w:t>
            </w:r>
            <w:r>
              <w:rPr>
                <w:color w:val="FF0000"/>
                <w:szCs w:val="21"/>
              </w:rPr>
              <w:t>执行国家《工业企业厂界环境噪声排放标准》（GB12348-2008）</w:t>
            </w:r>
            <w:r>
              <w:rPr>
                <w:rFonts w:hint="eastAsia"/>
                <w:color w:val="FF0000"/>
                <w:szCs w:val="21"/>
              </w:rPr>
              <w:t>4a</w:t>
            </w:r>
            <w:r>
              <w:rPr>
                <w:color w:val="FF0000"/>
                <w:szCs w:val="21"/>
              </w:rPr>
              <w:t>类标准</w:t>
            </w:r>
          </w:p>
        </w:tc>
      </w:tr>
      <w:tr w14:paraId="18CE560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95" w:hRule="atLeast"/>
          <w:jc w:val="center"/>
        </w:trPr>
        <w:tc>
          <w:tcPr>
            <w:tcW w:w="1532" w:type="dxa"/>
            <w:vAlign w:val="center"/>
          </w:tcPr>
          <w:p w14:paraId="72EA9534">
            <w:pPr>
              <w:adjustRightInd w:val="0"/>
              <w:snapToGrid w:val="0"/>
              <w:jc w:val="center"/>
              <w:rPr>
                <w:szCs w:val="21"/>
              </w:rPr>
            </w:pPr>
            <w:r>
              <w:rPr>
                <w:szCs w:val="21"/>
              </w:rPr>
              <w:t>电磁辐射</w:t>
            </w:r>
          </w:p>
        </w:tc>
        <w:tc>
          <w:tcPr>
            <w:tcW w:w="7268" w:type="dxa"/>
            <w:gridSpan w:val="4"/>
            <w:vAlign w:val="center"/>
          </w:tcPr>
          <w:p w14:paraId="2C6AD085">
            <w:pPr>
              <w:adjustRightInd w:val="0"/>
              <w:snapToGrid w:val="0"/>
              <w:jc w:val="center"/>
              <w:rPr>
                <w:szCs w:val="21"/>
              </w:rPr>
            </w:pPr>
            <w:r>
              <w:rPr>
                <w:rFonts w:hint="eastAsia"/>
                <w:szCs w:val="21"/>
              </w:rPr>
              <w:t>无</w:t>
            </w:r>
          </w:p>
        </w:tc>
      </w:tr>
      <w:tr w14:paraId="0521A0A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47" w:hRule="atLeast"/>
          <w:jc w:val="center"/>
        </w:trPr>
        <w:tc>
          <w:tcPr>
            <w:tcW w:w="1532" w:type="dxa"/>
            <w:vAlign w:val="center"/>
          </w:tcPr>
          <w:p w14:paraId="3EC84BD3">
            <w:pPr>
              <w:adjustRightInd w:val="0"/>
              <w:snapToGrid w:val="0"/>
              <w:jc w:val="center"/>
              <w:rPr>
                <w:szCs w:val="21"/>
              </w:rPr>
            </w:pPr>
            <w:r>
              <w:rPr>
                <w:szCs w:val="21"/>
              </w:rPr>
              <w:t>固体废物</w:t>
            </w:r>
          </w:p>
        </w:tc>
        <w:tc>
          <w:tcPr>
            <w:tcW w:w="7268" w:type="dxa"/>
            <w:gridSpan w:val="4"/>
            <w:vAlign w:val="center"/>
          </w:tcPr>
          <w:p w14:paraId="2511B758">
            <w:pPr>
              <w:adjustRightInd w:val="0"/>
              <w:snapToGrid w:val="0"/>
              <w:jc w:val="left"/>
              <w:rPr>
                <w:szCs w:val="21"/>
              </w:rPr>
            </w:pPr>
            <w:r>
              <w:rPr>
                <w:rFonts w:hint="eastAsia"/>
                <w:b/>
                <w:bCs/>
                <w:szCs w:val="21"/>
              </w:rPr>
              <w:t>危险废物</w:t>
            </w:r>
            <w:r>
              <w:rPr>
                <w:rFonts w:hint="eastAsia"/>
                <w:szCs w:val="21"/>
              </w:rPr>
              <w:t>：</w:t>
            </w:r>
            <w:bookmarkStart w:id="22" w:name="_Hlk88747012"/>
            <w:r>
              <w:rPr>
                <w:rFonts w:hint="eastAsia"/>
                <w:szCs w:val="21"/>
              </w:rPr>
              <w:t>废液化气罐、</w:t>
            </w:r>
            <w:r>
              <w:rPr>
                <w:rFonts w:hint="eastAsia"/>
                <w:szCs w:val="21"/>
                <w:lang w:eastAsia="zh-CN"/>
              </w:rPr>
              <w:t>废制冷剂</w:t>
            </w:r>
            <w:r>
              <w:rPr>
                <w:rFonts w:hint="eastAsia"/>
                <w:szCs w:val="21"/>
              </w:rPr>
              <w:t>、废铅酸蓄电池、废矿物油、废燃料油、废尾气净化装置及催化剂、废滤清器和废油箱、废电路板及电子元件、含铅部件、含汞部件、废活性炭、油泥</w:t>
            </w:r>
            <w:r>
              <w:rPr>
                <w:rFonts w:hint="eastAsia"/>
                <w:szCs w:val="21"/>
                <w:lang w:val="en-US" w:eastAsia="zh-CN"/>
              </w:rPr>
              <w:t>及沉渣</w:t>
            </w:r>
            <w:r>
              <w:rPr>
                <w:rFonts w:hint="eastAsia"/>
                <w:szCs w:val="21"/>
              </w:rPr>
              <w:t>、含多氯联苯废电容器</w:t>
            </w:r>
            <w:r>
              <w:rPr>
                <w:rFonts w:hint="eastAsia"/>
                <w:szCs w:val="21"/>
                <w:lang w:eastAsia="zh-CN"/>
              </w:rPr>
              <w:t>、</w:t>
            </w:r>
            <w:r>
              <w:rPr>
                <w:rFonts w:hint="default" w:ascii="Times New Roman" w:hAnsi="Times New Roman" w:eastAsia="宋体" w:cs="Times New Roman"/>
                <w:i w:val="0"/>
                <w:iCs w:val="0"/>
                <w:color w:val="FF0000"/>
                <w:kern w:val="0"/>
                <w:sz w:val="21"/>
                <w:szCs w:val="21"/>
                <w:u w:val="none"/>
                <w:lang w:val="en-US" w:eastAsia="zh-CN" w:bidi="ar"/>
              </w:rPr>
              <w:t>废有机溶剂</w:t>
            </w:r>
            <w:r>
              <w:rPr>
                <w:rFonts w:hint="eastAsia" w:cs="Times New Roman"/>
                <w:i w:val="0"/>
                <w:iCs w:val="0"/>
                <w:color w:val="FF0000"/>
                <w:kern w:val="0"/>
                <w:sz w:val="21"/>
                <w:szCs w:val="21"/>
                <w:u w:val="none"/>
                <w:lang w:val="en-US" w:eastAsia="zh-CN" w:bidi="ar"/>
              </w:rPr>
              <w:t>、</w:t>
            </w:r>
            <w:r>
              <w:rPr>
                <w:rFonts w:hint="default" w:ascii="Times New Roman" w:hAnsi="Times New Roman" w:eastAsia="宋体" w:cs="Times New Roman"/>
                <w:i w:val="0"/>
                <w:iCs w:val="0"/>
                <w:color w:val="FF0000"/>
                <w:kern w:val="0"/>
                <w:sz w:val="21"/>
                <w:szCs w:val="21"/>
                <w:u w:val="none"/>
                <w:lang w:val="en-US" w:eastAsia="zh-CN" w:bidi="ar"/>
              </w:rPr>
              <w:t>石棉废物</w:t>
            </w:r>
            <w:r>
              <w:rPr>
                <w:rFonts w:hint="eastAsia" w:cs="Times New Roman"/>
                <w:i w:val="0"/>
                <w:iCs w:val="0"/>
                <w:color w:val="FF0000"/>
                <w:kern w:val="0"/>
                <w:sz w:val="21"/>
                <w:szCs w:val="21"/>
                <w:u w:val="none"/>
                <w:lang w:val="en-US" w:eastAsia="zh-CN" w:bidi="ar"/>
              </w:rPr>
              <w:t>、</w:t>
            </w:r>
            <w:r>
              <w:rPr>
                <w:rFonts w:hint="eastAsia" w:ascii="Times New Roman" w:hAnsi="Times New Roman" w:eastAsia="宋体" w:cs="Times New Roman"/>
                <w:i w:val="0"/>
                <w:iCs w:val="0"/>
                <w:color w:val="FF0000"/>
                <w:kern w:val="0"/>
                <w:sz w:val="21"/>
                <w:szCs w:val="21"/>
                <w:u w:val="none"/>
                <w:lang w:val="en-US" w:eastAsia="zh-CN" w:bidi="ar"/>
              </w:rPr>
              <w:t>含油抹布</w:t>
            </w:r>
            <w:r>
              <w:rPr>
                <w:rFonts w:hint="eastAsia"/>
                <w:szCs w:val="21"/>
              </w:rPr>
              <w:t>等由建设单位</w:t>
            </w:r>
            <w:r>
              <w:rPr>
                <w:rFonts w:hint="eastAsia" w:ascii="宋体" w:hAnsi="宋体" w:cs="宋体"/>
                <w:color w:val="000000"/>
                <w:kern w:val="0"/>
                <w:szCs w:val="21"/>
                <w:lang w:bidi="ar"/>
              </w:rPr>
              <w:t>厂内集中收集，分类、分区暂存在</w:t>
            </w:r>
            <w:r>
              <w:rPr>
                <w:rFonts w:hint="eastAsia" w:ascii="宋体" w:hAnsi="宋体" w:cs="宋体"/>
                <w:color w:val="000000"/>
                <w:kern w:val="0"/>
                <w:szCs w:val="21"/>
                <w:lang w:eastAsia="zh-CN" w:bidi="ar"/>
              </w:rPr>
              <w:t>危废贮存点</w:t>
            </w:r>
            <w:r>
              <w:rPr>
                <w:rFonts w:hint="eastAsia" w:ascii="宋体" w:hAnsi="宋体" w:cs="宋体"/>
                <w:color w:val="000000"/>
                <w:kern w:val="0"/>
                <w:szCs w:val="21"/>
                <w:lang w:val="en-US" w:eastAsia="zh-CN" w:bidi="ar"/>
              </w:rPr>
              <w:t>及</w:t>
            </w:r>
            <w:r>
              <w:rPr>
                <w:rFonts w:hint="eastAsia"/>
                <w:szCs w:val="21"/>
              </w:rPr>
              <w:t>铅酸蓄电池</w:t>
            </w:r>
            <w:r>
              <w:rPr>
                <w:rFonts w:hint="eastAsia"/>
                <w:szCs w:val="21"/>
                <w:lang w:val="en-US" w:eastAsia="zh-CN"/>
              </w:rPr>
              <w:t>贮存间</w:t>
            </w:r>
            <w:r>
              <w:rPr>
                <w:rFonts w:hint="eastAsia" w:ascii="宋体" w:hAnsi="宋体" w:cs="宋体"/>
                <w:color w:val="000000"/>
                <w:kern w:val="0"/>
                <w:szCs w:val="21"/>
                <w:lang w:bidi="ar"/>
              </w:rPr>
              <w:t>内，</w:t>
            </w:r>
            <w:r>
              <w:rPr>
                <w:rFonts w:hint="eastAsia" w:ascii="宋体" w:hAnsi="宋体" w:cs="宋体"/>
                <w:color w:val="000000"/>
                <w:kern w:val="0"/>
                <w:szCs w:val="21"/>
                <w:lang w:eastAsia="zh-CN" w:bidi="ar"/>
              </w:rPr>
              <w:t>定期交由持有相应类别危险废物经营许可证的单位处理</w:t>
            </w:r>
            <w:r>
              <w:rPr>
                <w:rFonts w:hint="eastAsia"/>
                <w:szCs w:val="21"/>
              </w:rPr>
              <w:t>。</w:t>
            </w:r>
            <w:bookmarkEnd w:id="22"/>
          </w:p>
          <w:p w14:paraId="33B36EB4">
            <w:pPr>
              <w:adjustRightInd w:val="0"/>
              <w:snapToGrid w:val="0"/>
              <w:jc w:val="left"/>
              <w:rPr>
                <w:szCs w:val="21"/>
              </w:rPr>
            </w:pPr>
            <w:r>
              <w:rPr>
                <w:rFonts w:hint="eastAsia"/>
                <w:b/>
                <w:bCs/>
                <w:szCs w:val="21"/>
              </w:rPr>
              <w:t>一般固废</w:t>
            </w:r>
            <w:r>
              <w:rPr>
                <w:rFonts w:hint="eastAsia"/>
                <w:szCs w:val="21"/>
              </w:rPr>
              <w:t>：</w:t>
            </w:r>
            <w:bookmarkStart w:id="23" w:name="_Hlk88747005"/>
            <w:r>
              <w:rPr>
                <w:rFonts w:hint="eastAsia"/>
                <w:szCs w:val="21"/>
                <w:lang w:val="en-US" w:eastAsia="zh-CN"/>
              </w:rPr>
              <w:t>可回用</w:t>
            </w:r>
            <w:r>
              <w:rPr>
                <w:rFonts w:hint="eastAsia"/>
                <w:szCs w:val="21"/>
              </w:rPr>
              <w:t>钢铁、</w:t>
            </w:r>
            <w:r>
              <w:rPr>
                <w:rFonts w:hint="eastAsia"/>
                <w:szCs w:val="21"/>
                <w:lang w:val="en-US" w:eastAsia="zh-CN"/>
              </w:rPr>
              <w:t>可回用</w:t>
            </w:r>
            <w:r>
              <w:rPr>
                <w:rFonts w:hint="eastAsia"/>
                <w:szCs w:val="21"/>
              </w:rPr>
              <w:t>有色金属、</w:t>
            </w:r>
            <w:r>
              <w:rPr>
                <w:rFonts w:hint="eastAsia"/>
                <w:szCs w:val="21"/>
                <w:lang w:val="en-US" w:eastAsia="zh-CN"/>
              </w:rPr>
              <w:t>可回用</w:t>
            </w:r>
            <w:r>
              <w:rPr>
                <w:rFonts w:hint="eastAsia"/>
                <w:szCs w:val="21"/>
              </w:rPr>
              <w:t>玻璃、</w:t>
            </w:r>
            <w:r>
              <w:rPr>
                <w:rFonts w:hint="eastAsia"/>
                <w:szCs w:val="21"/>
                <w:lang w:val="en-US" w:eastAsia="zh-CN"/>
              </w:rPr>
              <w:t>可回用</w:t>
            </w:r>
            <w:r>
              <w:rPr>
                <w:rFonts w:hint="eastAsia"/>
                <w:szCs w:val="21"/>
              </w:rPr>
              <w:t>橡胶、</w:t>
            </w:r>
            <w:r>
              <w:rPr>
                <w:rFonts w:hint="eastAsia"/>
                <w:szCs w:val="21"/>
                <w:lang w:eastAsia="zh-CN"/>
              </w:rPr>
              <w:t>动力电池</w:t>
            </w:r>
            <w:r>
              <w:rPr>
                <w:rFonts w:hint="eastAsia"/>
                <w:szCs w:val="21"/>
              </w:rPr>
              <w:t>等</w:t>
            </w:r>
            <w:r>
              <w:rPr>
                <w:color w:val="000000"/>
                <w:szCs w:val="21"/>
              </w:rPr>
              <w:t>暂存于回用件暂存区，</w:t>
            </w:r>
            <w:r>
              <w:rPr>
                <w:rFonts w:hint="eastAsia"/>
                <w:color w:val="000000"/>
                <w:szCs w:val="21"/>
                <w:lang w:val="en-US" w:eastAsia="zh-CN"/>
              </w:rPr>
              <w:t>定期</w:t>
            </w:r>
            <w:r>
              <w:rPr>
                <w:rFonts w:hint="default" w:ascii="Times New Roman" w:hAnsi="Times New Roman" w:eastAsia="宋体" w:cs="Times New Roman"/>
                <w:color w:val="FF0000"/>
                <w:spacing w:val="-1"/>
                <w:sz w:val="21"/>
                <w:szCs w:val="21"/>
              </w:rPr>
              <w:t>交由具有相应处理能力或经营范围的单位利</w:t>
            </w:r>
            <w:r>
              <w:rPr>
                <w:rFonts w:hint="default" w:ascii="Times New Roman" w:hAnsi="Times New Roman" w:eastAsia="宋体" w:cs="Times New Roman"/>
                <w:color w:val="FF0000"/>
                <w:spacing w:val="-2"/>
                <w:sz w:val="21"/>
                <w:szCs w:val="21"/>
              </w:rPr>
              <w:t>用和处置</w:t>
            </w:r>
            <w:r>
              <w:rPr>
                <w:color w:val="000000"/>
                <w:szCs w:val="21"/>
              </w:rPr>
              <w:t>。</w:t>
            </w:r>
            <w:r>
              <w:rPr>
                <w:rFonts w:hint="eastAsia"/>
                <w:szCs w:val="21"/>
              </w:rPr>
              <w:t>废皮布制品、其他不可利用物、除尘灰、落地粉尘等收集后暂存于一般固废暂存区，定期</w:t>
            </w:r>
            <w:r>
              <w:rPr>
                <w:rFonts w:hint="default" w:ascii="Times New Roman" w:hAnsi="Times New Roman" w:eastAsia="宋体" w:cs="Times New Roman"/>
                <w:color w:val="FF0000"/>
                <w:spacing w:val="-1"/>
                <w:sz w:val="21"/>
                <w:szCs w:val="21"/>
              </w:rPr>
              <w:t>交由具有相应处理能力或经营范围的单位利</w:t>
            </w:r>
            <w:r>
              <w:rPr>
                <w:rFonts w:hint="default" w:ascii="Times New Roman" w:hAnsi="Times New Roman" w:eastAsia="宋体" w:cs="Times New Roman"/>
                <w:color w:val="FF0000"/>
                <w:spacing w:val="-2"/>
                <w:sz w:val="21"/>
                <w:szCs w:val="21"/>
              </w:rPr>
              <w:t>用和处置</w:t>
            </w:r>
            <w:r>
              <w:rPr>
                <w:rFonts w:hint="eastAsia"/>
                <w:szCs w:val="21"/>
              </w:rPr>
              <w:t>。</w:t>
            </w:r>
          </w:p>
          <w:p w14:paraId="05AAD107">
            <w:pPr>
              <w:adjustRightInd w:val="0"/>
              <w:snapToGrid w:val="0"/>
              <w:jc w:val="left"/>
              <w:rPr>
                <w:rFonts w:hint="eastAsia" w:eastAsia="宋体"/>
                <w:szCs w:val="21"/>
                <w:lang w:eastAsia="zh-CN"/>
              </w:rPr>
            </w:pPr>
            <w:r>
              <w:rPr>
                <w:rFonts w:hint="eastAsia"/>
                <w:b/>
                <w:bCs/>
                <w:szCs w:val="21"/>
              </w:rPr>
              <w:t>生活垃圾：</w:t>
            </w:r>
            <w:bookmarkEnd w:id="23"/>
            <w:r>
              <w:rPr>
                <w:rFonts w:hint="eastAsia"/>
                <w:color w:val="000000"/>
                <w:szCs w:val="21"/>
                <w:lang w:eastAsia="zh-CN"/>
              </w:rPr>
              <w:t>生活垃圾暂存厂区垃圾桶，定期由环卫部门统一收集并清运处理。</w:t>
            </w:r>
          </w:p>
        </w:tc>
      </w:tr>
      <w:tr w14:paraId="0D15AF3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92" w:hRule="atLeast"/>
          <w:jc w:val="center"/>
        </w:trPr>
        <w:tc>
          <w:tcPr>
            <w:tcW w:w="1532" w:type="dxa"/>
            <w:vAlign w:val="center"/>
          </w:tcPr>
          <w:p w14:paraId="761D1FD3">
            <w:pPr>
              <w:adjustRightInd w:val="0"/>
              <w:snapToGrid w:val="0"/>
              <w:jc w:val="center"/>
              <w:rPr>
                <w:color w:val="FF0000"/>
                <w:szCs w:val="21"/>
              </w:rPr>
            </w:pPr>
            <w:r>
              <w:rPr>
                <w:rFonts w:hint="eastAsia"/>
                <w:color w:val="FF0000"/>
                <w:szCs w:val="21"/>
              </w:rPr>
              <w:t>土壤及地下水污染防治措施</w:t>
            </w:r>
          </w:p>
        </w:tc>
        <w:tc>
          <w:tcPr>
            <w:tcW w:w="7268" w:type="dxa"/>
            <w:gridSpan w:val="4"/>
            <w:vAlign w:val="center"/>
          </w:tcPr>
          <w:p w14:paraId="565AD6D7">
            <w:pPr>
              <w:adjustRightInd w:val="0"/>
              <w:snapToGrid w:val="0"/>
              <w:jc w:val="left"/>
              <w:rPr>
                <w:color w:val="FF0000"/>
                <w:szCs w:val="21"/>
              </w:rPr>
            </w:pPr>
            <w:r>
              <w:rPr>
                <w:rFonts w:hint="eastAsia"/>
                <w:b/>
                <w:bCs/>
                <w:color w:val="FF0000"/>
                <w:szCs w:val="21"/>
              </w:rPr>
              <w:t>重点防渗区域：</w:t>
            </w:r>
            <w:r>
              <w:rPr>
                <w:rFonts w:hint="eastAsia"/>
                <w:color w:val="FF0000"/>
                <w:szCs w:val="21"/>
              </w:rPr>
              <w:t>主要为拆解车间、事故池、初期雨水池、污水处理站</w:t>
            </w:r>
            <w:r>
              <w:rPr>
                <w:rFonts w:hint="eastAsia"/>
                <w:color w:val="FF0000"/>
                <w:szCs w:val="21"/>
                <w:lang w:eastAsia="zh-CN"/>
              </w:rPr>
              <w:t>、</w:t>
            </w:r>
            <w:r>
              <w:rPr>
                <w:rFonts w:hint="eastAsia"/>
                <w:color w:val="FF0000"/>
                <w:szCs w:val="21"/>
                <w:lang w:val="en-US" w:eastAsia="zh-CN"/>
              </w:rPr>
              <w:t>整车贮存区</w:t>
            </w:r>
            <w:r>
              <w:rPr>
                <w:rFonts w:hint="eastAsia"/>
                <w:color w:val="FF0000"/>
                <w:szCs w:val="21"/>
              </w:rPr>
              <w:t>等。</w:t>
            </w:r>
            <w:r>
              <w:rPr>
                <w:rFonts w:hint="eastAsia"/>
                <w:color w:val="FF0000"/>
                <w:szCs w:val="21"/>
                <w:lang w:eastAsia="zh-CN"/>
              </w:rPr>
              <w:t>危废贮存点</w:t>
            </w:r>
            <w:r>
              <w:rPr>
                <w:rFonts w:hint="eastAsia"/>
                <w:color w:val="FF0000"/>
                <w:szCs w:val="21"/>
              </w:rPr>
              <w:t>按照危险废物执行《危险废物贮存污染控制标准》(GB18597-2023)相关要求建设。其他重点防渗区的防渗层为至少1m厚粘土层（渗透系数≤10-7cm/s），或2mm厚高密度聚乙烯，或至少2mm的其它人工材料，渗透系数≤10-10cm/s。地面与裙脚要用坚固、防渗的材料建造，建筑材料必须与危险废物相容；</w:t>
            </w:r>
          </w:p>
          <w:p w14:paraId="32E4C2E6">
            <w:pPr>
              <w:adjustRightInd w:val="0"/>
              <w:snapToGrid w:val="0"/>
              <w:jc w:val="left"/>
              <w:rPr>
                <w:color w:val="FF0000"/>
                <w:szCs w:val="21"/>
              </w:rPr>
            </w:pPr>
            <w:r>
              <w:rPr>
                <w:rFonts w:hint="eastAsia"/>
                <w:b/>
                <w:bCs/>
                <w:color w:val="FF0000"/>
                <w:szCs w:val="21"/>
              </w:rPr>
              <w:t>简单防渗区域：</w:t>
            </w:r>
            <w:r>
              <w:rPr>
                <w:rFonts w:hint="eastAsia"/>
                <w:color w:val="FF0000"/>
                <w:szCs w:val="21"/>
              </w:rPr>
              <w:t>厂区道路、办公楼等一般不会产生地下水污染的区域为简单防渗区。简单防渗区一般采取地面硬化。</w:t>
            </w:r>
          </w:p>
        </w:tc>
      </w:tr>
      <w:tr w14:paraId="26AA505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31" w:hRule="atLeast"/>
          <w:jc w:val="center"/>
        </w:trPr>
        <w:tc>
          <w:tcPr>
            <w:tcW w:w="1532" w:type="dxa"/>
            <w:vAlign w:val="center"/>
          </w:tcPr>
          <w:p w14:paraId="13EFE3FE">
            <w:pPr>
              <w:adjustRightInd w:val="0"/>
              <w:snapToGrid w:val="0"/>
              <w:jc w:val="center"/>
              <w:rPr>
                <w:color w:val="FF0000"/>
                <w:szCs w:val="21"/>
              </w:rPr>
            </w:pPr>
            <w:r>
              <w:rPr>
                <w:color w:val="FF0000"/>
                <w:szCs w:val="21"/>
              </w:rPr>
              <w:t>生态保护措施</w:t>
            </w:r>
          </w:p>
        </w:tc>
        <w:tc>
          <w:tcPr>
            <w:tcW w:w="7268" w:type="dxa"/>
            <w:gridSpan w:val="4"/>
            <w:vAlign w:val="center"/>
          </w:tcPr>
          <w:p w14:paraId="750A4948">
            <w:pPr>
              <w:adjustRightInd w:val="0"/>
              <w:snapToGrid w:val="0"/>
              <w:jc w:val="center"/>
              <w:rPr>
                <w:color w:val="FF0000"/>
                <w:szCs w:val="21"/>
              </w:rPr>
            </w:pPr>
            <w:r>
              <w:rPr>
                <w:rFonts w:hint="eastAsia"/>
                <w:color w:val="FF0000"/>
                <w:szCs w:val="21"/>
              </w:rPr>
              <w:t>/</w:t>
            </w:r>
          </w:p>
        </w:tc>
      </w:tr>
      <w:tr w14:paraId="5B738AB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79" w:hRule="atLeast"/>
          <w:jc w:val="center"/>
        </w:trPr>
        <w:tc>
          <w:tcPr>
            <w:tcW w:w="1532" w:type="dxa"/>
            <w:vAlign w:val="center"/>
          </w:tcPr>
          <w:p w14:paraId="6ED8AC69">
            <w:pPr>
              <w:adjustRightInd w:val="0"/>
              <w:snapToGrid w:val="0"/>
              <w:jc w:val="center"/>
              <w:rPr>
                <w:color w:val="FF0000"/>
                <w:spacing w:val="-8"/>
                <w:szCs w:val="21"/>
              </w:rPr>
            </w:pPr>
            <w:r>
              <w:rPr>
                <w:color w:val="FF0000"/>
                <w:spacing w:val="-8"/>
                <w:szCs w:val="21"/>
              </w:rPr>
              <w:t>环境风险</w:t>
            </w:r>
          </w:p>
          <w:p w14:paraId="095B28B1">
            <w:pPr>
              <w:adjustRightInd w:val="0"/>
              <w:snapToGrid w:val="0"/>
              <w:jc w:val="center"/>
              <w:rPr>
                <w:color w:val="FF0000"/>
                <w:spacing w:val="-8"/>
                <w:szCs w:val="21"/>
              </w:rPr>
            </w:pPr>
            <w:r>
              <w:rPr>
                <w:color w:val="FF0000"/>
                <w:spacing w:val="-8"/>
                <w:szCs w:val="21"/>
              </w:rPr>
              <w:t>防范措施</w:t>
            </w:r>
          </w:p>
        </w:tc>
        <w:tc>
          <w:tcPr>
            <w:tcW w:w="7268" w:type="dxa"/>
            <w:gridSpan w:val="4"/>
            <w:vAlign w:val="center"/>
          </w:tcPr>
          <w:p w14:paraId="32646C1B">
            <w:pPr>
              <w:adjustRightInd w:val="0"/>
              <w:snapToGrid w:val="0"/>
              <w:jc w:val="left"/>
              <w:rPr>
                <w:rFonts w:hint="eastAsia"/>
                <w:color w:val="FF0000"/>
                <w:szCs w:val="21"/>
              </w:rPr>
            </w:pPr>
            <w:r>
              <w:rPr>
                <w:rFonts w:hint="eastAsia"/>
                <w:b/>
                <w:bCs/>
                <w:color w:val="FF0000"/>
                <w:szCs w:val="21"/>
              </w:rPr>
              <w:t>源头管控与运输安全</w:t>
            </w:r>
            <w:r>
              <w:rPr>
                <w:rFonts w:hint="eastAsia"/>
                <w:b/>
                <w:bCs/>
                <w:color w:val="FF0000"/>
                <w:szCs w:val="21"/>
                <w:lang w:val="en-US" w:eastAsia="zh-CN"/>
              </w:rPr>
              <w:t>:</w:t>
            </w:r>
            <w:r>
              <w:rPr>
                <w:rFonts w:hint="default"/>
                <w:color w:val="FF0000"/>
                <w:szCs w:val="21"/>
              </w:rPr>
              <w:t>危险化学品采购、储存、运输全链条规范，落实操作规程、人员培训、防泄漏应急措施，危废分类存放并设防渗防爆设施。</w:t>
            </w:r>
          </w:p>
          <w:p w14:paraId="5F26618D">
            <w:pPr>
              <w:adjustRightInd w:val="0"/>
              <w:snapToGrid w:val="0"/>
              <w:jc w:val="left"/>
              <w:rPr>
                <w:rFonts w:hint="eastAsia"/>
                <w:color w:val="FF0000"/>
                <w:szCs w:val="21"/>
              </w:rPr>
            </w:pPr>
            <w:r>
              <w:rPr>
                <w:rFonts w:hint="default"/>
                <w:b/>
                <w:bCs/>
                <w:color w:val="FF0000"/>
                <w:szCs w:val="21"/>
              </w:rPr>
              <w:t>生产过程风险防控</w:t>
            </w:r>
            <w:r>
              <w:rPr>
                <w:rFonts w:hint="eastAsia"/>
                <w:b/>
                <w:bCs/>
                <w:color w:val="FF0000"/>
                <w:szCs w:val="21"/>
                <w:lang w:val="en-US" w:eastAsia="zh-CN"/>
              </w:rPr>
              <w:t>:</w:t>
            </w:r>
            <w:r>
              <w:rPr>
                <w:rFonts w:hint="default"/>
                <w:color w:val="FF0000"/>
                <w:szCs w:val="21"/>
              </w:rPr>
              <w:t>推进自动化控制、防爆设备、定期检修，强化员工安全培训，严防火灾、设备故障等事故。</w:t>
            </w:r>
          </w:p>
          <w:p w14:paraId="2B3B3E75">
            <w:pPr>
              <w:adjustRightInd w:val="0"/>
              <w:snapToGrid w:val="0"/>
              <w:jc w:val="left"/>
              <w:rPr>
                <w:rFonts w:hint="eastAsia"/>
                <w:color w:val="FF0000"/>
                <w:szCs w:val="21"/>
              </w:rPr>
            </w:pPr>
            <w:r>
              <w:rPr>
                <w:rFonts w:hint="default"/>
                <w:b/>
                <w:bCs/>
                <w:color w:val="FF0000"/>
                <w:szCs w:val="21"/>
              </w:rPr>
              <w:t>污染物处理与应急设施</w:t>
            </w:r>
            <w:r>
              <w:rPr>
                <w:rFonts w:hint="eastAsia"/>
                <w:b/>
                <w:bCs/>
                <w:color w:val="FF0000"/>
                <w:szCs w:val="21"/>
                <w:lang w:val="en-US" w:eastAsia="zh-CN"/>
              </w:rPr>
              <w:t>:</w:t>
            </w:r>
            <w:r>
              <w:rPr>
                <w:rFonts w:hint="default"/>
                <w:color w:val="FF0000"/>
                <w:szCs w:val="21"/>
              </w:rPr>
              <w:t>废气处理系统维护+第三方监测，废水设置240m³事故池（含雨水截流阀），固废分类处置并达标贮存。</w:t>
            </w:r>
          </w:p>
          <w:p w14:paraId="3D216AC2">
            <w:pPr>
              <w:adjustRightInd w:val="0"/>
              <w:snapToGrid w:val="0"/>
              <w:jc w:val="left"/>
              <w:rPr>
                <w:rFonts w:hint="eastAsia"/>
                <w:color w:val="FF0000"/>
                <w:szCs w:val="21"/>
              </w:rPr>
            </w:pPr>
            <w:r>
              <w:rPr>
                <w:rFonts w:hint="default"/>
                <w:b/>
                <w:bCs/>
                <w:color w:val="FF0000"/>
                <w:szCs w:val="21"/>
              </w:rPr>
              <w:t>泄漏防控与截留系统</w:t>
            </w:r>
            <w:r>
              <w:rPr>
                <w:rFonts w:hint="eastAsia"/>
                <w:b/>
                <w:bCs/>
                <w:color w:val="FF0000"/>
                <w:szCs w:val="21"/>
                <w:lang w:val="en-US" w:eastAsia="zh-CN"/>
              </w:rPr>
              <w:t>:</w:t>
            </w:r>
            <w:r>
              <w:rPr>
                <w:rFonts w:hint="default"/>
                <w:color w:val="FF0000"/>
                <w:szCs w:val="21"/>
              </w:rPr>
              <w:t>油类、电解液泄漏设双层防渗+导流沟+应急池，储罐区配置二次防漏托盘与电动截流阀。</w:t>
            </w:r>
          </w:p>
          <w:p w14:paraId="2FFCD913">
            <w:pPr>
              <w:adjustRightInd w:val="0"/>
              <w:snapToGrid w:val="0"/>
              <w:jc w:val="left"/>
              <w:rPr>
                <w:rFonts w:hint="eastAsia"/>
                <w:color w:val="FF0000"/>
                <w:szCs w:val="21"/>
              </w:rPr>
            </w:pPr>
            <w:r>
              <w:rPr>
                <w:rFonts w:hint="default"/>
                <w:b/>
                <w:bCs/>
                <w:color w:val="FF0000"/>
                <w:szCs w:val="21"/>
              </w:rPr>
              <w:t>应急预案与演练</w:t>
            </w:r>
            <w:r>
              <w:rPr>
                <w:rFonts w:hint="eastAsia"/>
                <w:b/>
                <w:bCs/>
                <w:color w:val="FF0000"/>
                <w:szCs w:val="21"/>
                <w:lang w:val="en-US" w:eastAsia="zh-CN"/>
              </w:rPr>
              <w:t>:</w:t>
            </w:r>
            <w:r>
              <w:rPr>
                <w:rFonts w:hint="default"/>
                <w:color w:val="FF0000"/>
                <w:szCs w:val="21"/>
              </w:rPr>
              <w:t>制定突发环境事件预案，每年综合/专项演练1次，半年内现场处置演练1次，确保响应能力。</w:t>
            </w:r>
          </w:p>
          <w:p w14:paraId="00EA7945">
            <w:pPr>
              <w:adjustRightInd w:val="0"/>
              <w:snapToGrid w:val="0"/>
              <w:jc w:val="left"/>
              <w:rPr>
                <w:rFonts w:hint="eastAsia"/>
                <w:color w:val="FF0000"/>
                <w:szCs w:val="21"/>
              </w:rPr>
            </w:pPr>
            <w:r>
              <w:rPr>
                <w:rFonts w:hint="default"/>
                <w:b/>
                <w:bCs/>
                <w:color w:val="FF0000"/>
                <w:szCs w:val="21"/>
              </w:rPr>
              <w:t>设施标准化与监控</w:t>
            </w:r>
            <w:r>
              <w:rPr>
                <w:rFonts w:hint="eastAsia"/>
                <w:b/>
                <w:bCs/>
                <w:color w:val="FF0000"/>
                <w:szCs w:val="21"/>
                <w:lang w:val="en-US" w:eastAsia="zh-CN"/>
              </w:rPr>
              <w:t>:</w:t>
            </w:r>
            <w:r>
              <w:rPr>
                <w:rFonts w:hint="default"/>
                <w:color w:val="FF0000"/>
                <w:szCs w:val="21"/>
              </w:rPr>
              <w:t>贮存区地面防渗防腐，危废标签化管理，关键区域设可燃气体报警器+强制通风联动。</w:t>
            </w:r>
          </w:p>
          <w:p w14:paraId="49150FE9">
            <w:pPr>
              <w:adjustRightInd w:val="0"/>
              <w:snapToGrid w:val="0"/>
              <w:jc w:val="left"/>
              <w:rPr>
                <w:rFonts w:hint="eastAsia"/>
                <w:color w:val="FF0000"/>
                <w:szCs w:val="21"/>
              </w:rPr>
            </w:pPr>
            <w:r>
              <w:rPr>
                <w:rFonts w:hint="default"/>
                <w:b/>
                <w:bCs/>
                <w:color w:val="FF0000"/>
                <w:szCs w:val="21"/>
              </w:rPr>
              <w:t>清污应急物资储备</w:t>
            </w:r>
            <w:r>
              <w:rPr>
                <w:rFonts w:hint="eastAsia"/>
                <w:b/>
                <w:bCs/>
                <w:color w:val="FF0000"/>
                <w:szCs w:val="21"/>
                <w:lang w:val="en-US" w:eastAsia="zh-CN"/>
              </w:rPr>
              <w:t>:</w:t>
            </w:r>
            <w:r>
              <w:rPr>
                <w:rFonts w:hint="default"/>
                <w:color w:val="FF0000"/>
                <w:szCs w:val="21"/>
              </w:rPr>
              <w:t>油类区配吸油毡、回收桶；电池区设中和剂、吸附棉、检测包，确保快速处置泄漏。</w:t>
            </w:r>
          </w:p>
          <w:p w14:paraId="2461EAA5">
            <w:pPr>
              <w:adjustRightInd w:val="0"/>
              <w:snapToGrid w:val="0"/>
              <w:jc w:val="left"/>
              <w:rPr>
                <w:color w:val="FF0000"/>
                <w:szCs w:val="21"/>
              </w:rPr>
            </w:pPr>
            <w:r>
              <w:rPr>
                <w:rFonts w:hint="default"/>
                <w:b/>
                <w:bCs/>
                <w:color w:val="FF0000"/>
                <w:szCs w:val="21"/>
              </w:rPr>
              <w:t>事故废水防控体系</w:t>
            </w:r>
            <w:r>
              <w:rPr>
                <w:rFonts w:hint="eastAsia"/>
                <w:b/>
                <w:bCs/>
                <w:color w:val="FF0000"/>
                <w:szCs w:val="21"/>
                <w:lang w:val="en-US" w:eastAsia="zh-CN"/>
              </w:rPr>
              <w:t>:</w:t>
            </w:r>
            <w:r>
              <w:rPr>
                <w:rFonts w:hint="default"/>
                <w:color w:val="FF0000"/>
                <w:szCs w:val="21"/>
              </w:rPr>
              <w:t>事故池容积240m³（满足消防水+泄漏+降雨量计算），排水管网设切断装置，防止外排污染。</w:t>
            </w:r>
          </w:p>
        </w:tc>
      </w:tr>
      <w:tr w14:paraId="2E61746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867" w:hRule="atLeast"/>
          <w:jc w:val="center"/>
        </w:trPr>
        <w:tc>
          <w:tcPr>
            <w:tcW w:w="1532" w:type="dxa"/>
            <w:vAlign w:val="center"/>
          </w:tcPr>
          <w:p w14:paraId="7A9C7E77">
            <w:pPr>
              <w:adjustRightInd w:val="0"/>
              <w:snapToGrid w:val="0"/>
              <w:jc w:val="center"/>
              <w:rPr>
                <w:spacing w:val="-8"/>
                <w:szCs w:val="21"/>
              </w:rPr>
            </w:pPr>
            <w:r>
              <w:rPr>
                <w:spacing w:val="-8"/>
                <w:szCs w:val="21"/>
              </w:rPr>
              <w:t>其他环境</w:t>
            </w:r>
          </w:p>
          <w:p w14:paraId="60AC9716">
            <w:pPr>
              <w:adjustRightInd w:val="0"/>
              <w:snapToGrid w:val="0"/>
              <w:jc w:val="center"/>
              <w:rPr>
                <w:spacing w:val="-8"/>
                <w:szCs w:val="21"/>
              </w:rPr>
            </w:pPr>
            <w:r>
              <w:rPr>
                <w:spacing w:val="-8"/>
                <w:szCs w:val="21"/>
              </w:rPr>
              <w:t>管理要求</w:t>
            </w:r>
          </w:p>
        </w:tc>
        <w:tc>
          <w:tcPr>
            <w:tcW w:w="7268" w:type="dxa"/>
            <w:gridSpan w:val="4"/>
            <w:vAlign w:val="center"/>
          </w:tcPr>
          <w:p w14:paraId="582D0A92">
            <w:pPr>
              <w:adjustRightInd w:val="0"/>
              <w:snapToGrid w:val="0"/>
              <w:ind w:firstLine="420" w:firstLineChars="200"/>
              <w:jc w:val="left"/>
              <w:rPr>
                <w:szCs w:val="21"/>
              </w:rPr>
            </w:pPr>
            <w:r>
              <w:rPr>
                <w:rFonts w:hint="eastAsia"/>
                <w:szCs w:val="21"/>
              </w:rPr>
              <w:t>1.废气排放口按环保管理要求悬挂符合规范的标识牌，并设置采样平台；</w:t>
            </w:r>
          </w:p>
          <w:p w14:paraId="52FB6C3D">
            <w:pPr>
              <w:spacing w:line="360" w:lineRule="auto"/>
              <w:jc w:val="center"/>
              <w:rPr>
                <w:szCs w:val="21"/>
              </w:rPr>
            </w:pPr>
            <w:r>
              <w:drawing>
                <wp:anchor distT="0" distB="0" distL="114300" distR="114300" simplePos="0" relativeHeight="251664384" behindDoc="0" locked="0" layoutInCell="1" allowOverlap="1">
                  <wp:simplePos x="0" y="0"/>
                  <wp:positionH relativeFrom="column">
                    <wp:posOffset>0</wp:posOffset>
                  </wp:positionH>
                  <wp:positionV relativeFrom="paragraph">
                    <wp:posOffset>0</wp:posOffset>
                  </wp:positionV>
                  <wp:extent cx="4471035" cy="2021840"/>
                  <wp:effectExtent l="0" t="0" r="5715" b="16510"/>
                  <wp:wrapSquare wrapText="bothSides"/>
                  <wp:docPr id="106" name="图片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262"/>
                          <pic:cNvPicPr>
                            <a:picLocks noChangeAspect="1"/>
                          </pic:cNvPicPr>
                        </pic:nvPicPr>
                        <pic:blipFill>
                          <a:blip r:embed="rId49"/>
                          <a:stretch>
                            <a:fillRect/>
                          </a:stretch>
                        </pic:blipFill>
                        <pic:spPr>
                          <a:xfrm>
                            <a:off x="0" y="0"/>
                            <a:ext cx="4471035" cy="2021840"/>
                          </a:xfrm>
                          <a:prstGeom prst="rect">
                            <a:avLst/>
                          </a:prstGeom>
                          <a:noFill/>
                          <a:ln>
                            <a:noFill/>
                          </a:ln>
                        </pic:spPr>
                      </pic:pic>
                    </a:graphicData>
                  </a:graphic>
                </wp:anchor>
              </w:drawing>
            </w:r>
            <w:r>
              <w:rPr>
                <w:rFonts w:hint="eastAsia"/>
                <w:b/>
                <w:bCs/>
                <w:spacing w:val="10"/>
                <w:szCs w:val="21"/>
              </w:rPr>
              <w:t>图5-1</w:t>
            </w:r>
            <w:r>
              <w:rPr>
                <w:rFonts w:ascii="宋体" w:hAnsi="宋体" w:cs="宋体"/>
                <w:b/>
                <w:bCs/>
                <w:szCs w:val="21"/>
              </w:rPr>
              <w:t>环境保护图形标志</w:t>
            </w:r>
          </w:p>
          <w:p w14:paraId="12743AE7">
            <w:pPr>
              <w:adjustRightInd w:val="0"/>
              <w:snapToGrid w:val="0"/>
              <w:spacing w:line="360" w:lineRule="auto"/>
              <w:jc w:val="left"/>
              <w:rPr>
                <w:szCs w:val="21"/>
              </w:rPr>
            </w:pPr>
            <w:r>
              <w:rPr>
                <w:rFonts w:hint="eastAsia"/>
                <w:szCs w:val="21"/>
              </w:rPr>
              <w:t xml:space="preserve">    2.本项目建成后排污前，</w:t>
            </w:r>
            <w:r>
              <w:rPr>
                <w:szCs w:val="21"/>
              </w:rPr>
              <w:t>根据《固定污染源排污许可分类管理名录》</w:t>
            </w:r>
            <w:r>
              <w:rPr>
                <w:rFonts w:hint="eastAsia"/>
                <w:szCs w:val="21"/>
              </w:rPr>
              <w:t>申领排污许可证；</w:t>
            </w:r>
          </w:p>
          <w:p w14:paraId="10046220">
            <w:pPr>
              <w:keepLines/>
              <w:tabs>
                <w:tab w:val="left" w:pos="4425"/>
              </w:tabs>
              <w:wordWrap w:val="0"/>
              <w:adjustRightInd w:val="0"/>
              <w:snapToGrid w:val="0"/>
              <w:spacing w:line="360" w:lineRule="auto"/>
              <w:ind w:firstLine="460" w:firstLineChars="200"/>
              <w:rPr>
                <w:spacing w:val="10"/>
                <w:szCs w:val="21"/>
              </w:rPr>
            </w:pPr>
            <w:r>
              <w:rPr>
                <w:rFonts w:hint="eastAsia"/>
                <w:spacing w:val="10"/>
                <w:szCs w:val="21"/>
              </w:rPr>
              <w:t xml:space="preserve">3.建立管理台账、制度要求 </w:t>
            </w:r>
          </w:p>
          <w:p w14:paraId="13350D91">
            <w:pPr>
              <w:keepLines/>
              <w:tabs>
                <w:tab w:val="left" w:pos="4425"/>
              </w:tabs>
              <w:wordWrap w:val="0"/>
              <w:adjustRightInd w:val="0"/>
              <w:snapToGrid w:val="0"/>
              <w:spacing w:line="360" w:lineRule="auto"/>
              <w:ind w:firstLine="460" w:firstLineChars="200"/>
              <w:rPr>
                <w:spacing w:val="10"/>
                <w:szCs w:val="21"/>
              </w:rPr>
            </w:pPr>
            <w:r>
              <w:rPr>
                <w:rFonts w:hint="eastAsia"/>
                <w:spacing w:val="10"/>
                <w:szCs w:val="21"/>
              </w:rPr>
              <w:t>企业按</w:t>
            </w:r>
            <w:r>
              <w:rPr>
                <w:rFonts w:hint="eastAsia"/>
                <w:szCs w:val="21"/>
              </w:rPr>
              <w:t>《排污单位自行监测技术指南 总则》（HJ819-2017）</w:t>
            </w:r>
            <w:r>
              <w:rPr>
                <w:rFonts w:hint="eastAsia"/>
                <w:spacing w:val="10"/>
                <w:szCs w:val="21"/>
              </w:rPr>
              <w:t>要求建立管理台账，台账保存期限不少于五年。</w:t>
            </w:r>
          </w:p>
          <w:p w14:paraId="75562008">
            <w:pPr>
              <w:adjustRightInd w:val="0"/>
              <w:snapToGrid w:val="0"/>
              <w:spacing w:line="360" w:lineRule="auto"/>
              <w:ind w:firstLine="420" w:firstLineChars="200"/>
              <w:rPr>
                <w:spacing w:val="10"/>
                <w:szCs w:val="21"/>
              </w:rPr>
            </w:pPr>
            <w:r>
              <w:rPr>
                <w:rFonts w:hint="eastAsia"/>
                <w:szCs w:val="21"/>
              </w:rPr>
              <w:t>无组织控制措施为洒水抑尘、封闭车间阻隔、厂区地面硬化，无组织控制措施制度上墙、记录无组织控制措施台账</w:t>
            </w:r>
            <w:r>
              <w:rPr>
                <w:rFonts w:hint="eastAsia"/>
                <w:spacing w:val="10"/>
                <w:szCs w:val="21"/>
              </w:rPr>
              <w:t>，台账保存期限不少于五年。</w:t>
            </w:r>
          </w:p>
          <w:p w14:paraId="0417C121">
            <w:pPr>
              <w:keepLines/>
              <w:tabs>
                <w:tab w:val="left" w:pos="4425"/>
              </w:tabs>
              <w:wordWrap w:val="0"/>
              <w:adjustRightInd w:val="0"/>
              <w:snapToGrid w:val="0"/>
              <w:spacing w:line="360" w:lineRule="auto"/>
              <w:ind w:firstLine="460" w:firstLineChars="200"/>
              <w:rPr>
                <w:spacing w:val="10"/>
                <w:szCs w:val="21"/>
              </w:rPr>
            </w:pPr>
            <w:r>
              <w:rPr>
                <w:rFonts w:hint="eastAsia"/>
                <w:spacing w:val="10"/>
                <w:szCs w:val="21"/>
              </w:rPr>
              <w:t>4</w:t>
            </w:r>
            <w:r>
              <w:rPr>
                <w:rFonts w:hint="eastAsia"/>
                <w:spacing w:val="10"/>
                <w:szCs w:val="21"/>
                <w:lang w:val="en-US" w:eastAsia="zh-CN"/>
              </w:rPr>
              <w:t>.</w:t>
            </w:r>
            <w:r>
              <w:rPr>
                <w:spacing w:val="10"/>
                <w:szCs w:val="21"/>
              </w:rPr>
              <w:t>根据《固定源废气监测技术规范》（HJ/T397-2007）等文件要求设置</w:t>
            </w:r>
            <w:r>
              <w:rPr>
                <w:rFonts w:hint="eastAsia"/>
                <w:spacing w:val="10"/>
                <w:szCs w:val="21"/>
              </w:rPr>
              <w:t>规范化采样</w:t>
            </w:r>
            <w:r>
              <w:rPr>
                <w:spacing w:val="10"/>
                <w:szCs w:val="21"/>
              </w:rPr>
              <w:t>监测平台</w:t>
            </w:r>
            <w:r>
              <w:rPr>
                <w:rFonts w:hint="eastAsia"/>
                <w:spacing w:val="10"/>
                <w:szCs w:val="21"/>
              </w:rPr>
              <w:t>。</w:t>
            </w:r>
          </w:p>
          <w:p w14:paraId="1E58C9F6">
            <w:pPr>
              <w:keepLines/>
              <w:tabs>
                <w:tab w:val="left" w:pos="4425"/>
              </w:tabs>
              <w:wordWrap w:val="0"/>
              <w:adjustRightInd w:val="0"/>
              <w:snapToGrid w:val="0"/>
              <w:spacing w:line="360" w:lineRule="auto"/>
              <w:ind w:firstLine="460" w:firstLineChars="200"/>
              <w:rPr>
                <w:spacing w:val="10"/>
                <w:szCs w:val="21"/>
              </w:rPr>
            </w:pPr>
            <w:r>
              <w:rPr>
                <w:rFonts w:hint="eastAsia"/>
                <w:spacing w:val="10"/>
                <w:szCs w:val="21"/>
              </w:rPr>
              <w:t>5</w:t>
            </w:r>
            <w:r>
              <w:rPr>
                <w:rFonts w:hint="eastAsia"/>
                <w:spacing w:val="10"/>
                <w:szCs w:val="21"/>
                <w:lang w:val="en-US" w:eastAsia="zh-CN"/>
              </w:rPr>
              <w:t>.</w:t>
            </w:r>
            <w:r>
              <w:rPr>
                <w:rFonts w:hint="eastAsia"/>
                <w:spacing w:val="10"/>
                <w:szCs w:val="21"/>
              </w:rPr>
              <w:t>厂区内落地尘及时清扫；</w:t>
            </w:r>
          </w:p>
          <w:p w14:paraId="4F4893F8">
            <w:pPr>
              <w:adjustRightInd w:val="0"/>
              <w:snapToGrid w:val="0"/>
              <w:spacing w:line="360" w:lineRule="auto"/>
              <w:ind w:firstLine="460" w:firstLineChars="200"/>
              <w:jc w:val="left"/>
            </w:pPr>
            <w:r>
              <w:rPr>
                <w:rFonts w:hint="eastAsia"/>
                <w:spacing w:val="10"/>
                <w:szCs w:val="21"/>
              </w:rPr>
              <w:t>6</w:t>
            </w:r>
            <w:r>
              <w:rPr>
                <w:rFonts w:hint="eastAsia"/>
                <w:spacing w:val="10"/>
                <w:szCs w:val="21"/>
                <w:lang w:val="en-US" w:eastAsia="zh-CN"/>
              </w:rPr>
              <w:t>.</w:t>
            </w:r>
            <w:r>
              <w:rPr>
                <w:rFonts w:hint="eastAsia"/>
                <w:spacing w:val="10"/>
                <w:szCs w:val="21"/>
              </w:rPr>
              <w:t>国家和省出台更为严格的政策和标准要求时，按国家和省要求执行。</w:t>
            </w:r>
          </w:p>
        </w:tc>
      </w:tr>
    </w:tbl>
    <w:p w14:paraId="6BBA5433">
      <w:pPr>
        <w:pStyle w:val="30"/>
        <w:jc w:val="center"/>
        <w:outlineLvl w:val="0"/>
        <w:rPr>
          <w:rFonts w:hint="eastAsia" w:ascii="黑体" w:hAnsi="黑体" w:eastAsia="黑体"/>
          <w:snapToGrid w:val="0"/>
          <w:sz w:val="30"/>
          <w:szCs w:val="30"/>
        </w:rPr>
      </w:pPr>
      <w:r>
        <w:rPr>
          <w:snapToGrid w:val="0"/>
        </w:rPr>
        <w:br w:type="page"/>
      </w:r>
      <w:bookmarkStart w:id="24" w:name="_Toc31336"/>
      <w:r>
        <w:rPr>
          <w:rFonts w:hint="eastAsia" w:ascii="黑体" w:hAnsi="黑体" w:eastAsia="黑体"/>
          <w:snapToGrid w:val="0"/>
          <w:sz w:val="30"/>
          <w:szCs w:val="30"/>
        </w:rPr>
        <w:t>六、结论</w:t>
      </w:r>
      <w:bookmarkEnd w:id="24"/>
    </w:p>
    <w:tbl>
      <w:tblPr>
        <w:tblStyle w:val="34"/>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8865"/>
      </w:tblGrid>
      <w:tr w14:paraId="502B83E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1991" w:hRule="atLeast"/>
          <w:jc w:val="center"/>
        </w:trPr>
        <w:tc>
          <w:tcPr>
            <w:tcW w:w="8865" w:type="dxa"/>
          </w:tcPr>
          <w:p w14:paraId="663D13BF">
            <w:pPr>
              <w:spacing w:line="360" w:lineRule="auto"/>
              <w:ind w:firstLine="480" w:firstLineChars="200"/>
              <w:rPr>
                <w:rFonts w:hint="eastAsia" w:ascii="宋体" w:hAnsi="宋体" w:cs="宋体"/>
                <w:sz w:val="24"/>
              </w:rPr>
            </w:pPr>
            <w:r>
              <w:rPr>
                <w:rFonts w:ascii="宋体" w:hAnsi="宋体"/>
                <w:sz w:val="24"/>
              </w:rPr>
              <w:t>本项目符合国家相关产业政策和规划要求，选址合理。本项目只要认真落实本报告中提出的各项污染防治措施及建议，加强环境管理和环境规划，其噪声、</w:t>
            </w:r>
            <w:r>
              <w:rPr>
                <w:rFonts w:hint="eastAsia" w:ascii="宋体" w:hAnsi="宋体"/>
                <w:sz w:val="24"/>
              </w:rPr>
              <w:t>废水、</w:t>
            </w:r>
            <w:r>
              <w:rPr>
                <w:rFonts w:ascii="宋体" w:hAnsi="宋体"/>
                <w:sz w:val="24"/>
              </w:rPr>
              <w:t>废气、固废等对周围环境影响可以降低到最低程度，从环境保护角度分析，该建设项目在拟选址建设、运营可行。</w:t>
            </w:r>
          </w:p>
        </w:tc>
      </w:tr>
    </w:tbl>
    <w:p w14:paraId="306FA52F">
      <w:pPr>
        <w:rPr>
          <w:rFonts w:ascii="宋体"/>
        </w:rPr>
        <w:sectPr>
          <w:pgSz w:w="11906" w:h="16838"/>
          <w:pgMar w:top="1701" w:right="1531" w:bottom="1701" w:left="1531" w:header="851" w:footer="851" w:gutter="0"/>
          <w:pgBorders>
            <w:top w:val="none" w:sz="0" w:space="0"/>
            <w:left w:val="none" w:sz="0" w:space="0"/>
            <w:bottom w:val="none" w:sz="0" w:space="0"/>
            <w:right w:val="none" w:sz="0" w:space="0"/>
          </w:pgBorders>
          <w:pgNumType w:fmt="numberInDash"/>
          <w:cols w:space="720" w:num="1"/>
          <w:docGrid w:linePitch="312" w:charSpace="0"/>
        </w:sectPr>
      </w:pPr>
    </w:p>
    <w:p w14:paraId="4620D05E">
      <w:pPr>
        <w:pStyle w:val="30"/>
        <w:adjustRightInd w:val="0"/>
        <w:snapToGrid w:val="0"/>
        <w:spacing w:before="0" w:beforeAutospacing="0" w:after="0" w:afterAutospacing="0" w:line="360" w:lineRule="auto"/>
        <w:outlineLvl w:val="0"/>
        <w:rPr>
          <w:rFonts w:hint="eastAsia" w:ascii="黑体" w:hAnsi="黑体" w:eastAsia="黑体"/>
          <w:snapToGrid w:val="0"/>
          <w:sz w:val="32"/>
          <w:szCs w:val="32"/>
        </w:rPr>
      </w:pPr>
      <w:bookmarkStart w:id="25" w:name="_Toc7682"/>
      <w:r>
        <w:rPr>
          <w:rFonts w:hint="eastAsia" w:ascii="黑体" w:hAnsi="黑体" w:eastAsia="黑体"/>
          <w:snapToGrid w:val="0"/>
          <w:sz w:val="32"/>
          <w:szCs w:val="32"/>
        </w:rPr>
        <w:t>附表</w:t>
      </w:r>
      <w:bookmarkEnd w:id="25"/>
    </w:p>
    <w:p w14:paraId="73E68D3F">
      <w:pPr>
        <w:pStyle w:val="30"/>
        <w:adjustRightInd w:val="0"/>
        <w:snapToGrid w:val="0"/>
        <w:spacing w:before="0" w:beforeAutospacing="0" w:after="0" w:afterAutospacing="0"/>
        <w:jc w:val="center"/>
        <w:outlineLvl w:val="0"/>
        <w:rPr>
          <w:rFonts w:hint="eastAsia" w:ascii="方正小标宋_GBK" w:hAnsi="黑体" w:eastAsia="方正小标宋_GBK"/>
          <w:snapToGrid w:val="0"/>
          <w:color w:val="FF0000"/>
          <w:sz w:val="38"/>
          <w:szCs w:val="38"/>
        </w:rPr>
      </w:pPr>
      <w:bookmarkStart w:id="26" w:name="_Toc14644"/>
      <w:r>
        <w:rPr>
          <w:rFonts w:hint="eastAsia" w:ascii="方正小标宋_GBK" w:hAnsi="黑体" w:eastAsia="方正小标宋_GBK"/>
          <w:snapToGrid w:val="0"/>
          <w:color w:val="FF0000"/>
          <w:sz w:val="38"/>
          <w:szCs w:val="38"/>
        </w:rPr>
        <w:t>建设项目污染物排放量汇总表</w:t>
      </w:r>
      <w:bookmarkEnd w:id="26"/>
    </w:p>
    <w:tbl>
      <w:tblPr>
        <w:tblStyle w:val="34"/>
        <w:tblW w:w="0" w:type="auto"/>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588"/>
        <w:gridCol w:w="2112"/>
        <w:gridCol w:w="1350"/>
        <w:gridCol w:w="1335"/>
        <w:gridCol w:w="1349"/>
        <w:gridCol w:w="1541"/>
        <w:gridCol w:w="1608"/>
        <w:gridCol w:w="1439"/>
        <w:gridCol w:w="1466"/>
      </w:tblGrid>
      <w:tr w14:paraId="1DF0267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588" w:type="dxa"/>
            <w:tcBorders>
              <w:tl2br w:val="single" w:color="auto" w:sz="4" w:space="0"/>
            </w:tcBorders>
            <w:tcMar>
              <w:left w:w="28" w:type="dxa"/>
              <w:right w:w="28" w:type="dxa"/>
            </w:tcMar>
            <w:vAlign w:val="center"/>
          </w:tcPr>
          <w:p w14:paraId="6EC5A7B0">
            <w:pPr>
              <w:pStyle w:val="71"/>
              <w:spacing w:beforeLines="0" w:afterLines="0" w:line="320" w:lineRule="exact"/>
              <w:jc w:val="right"/>
              <w:rPr>
                <w:rFonts w:ascii="Times New Roman" w:eastAsia="黑体"/>
                <w:snapToGrid w:val="0"/>
                <w:color w:val="FF0000"/>
                <w:spacing w:val="-6"/>
                <w:kern w:val="21"/>
                <w:szCs w:val="21"/>
              </w:rPr>
            </w:pPr>
            <w:r>
              <w:rPr>
                <w:rFonts w:ascii="Times New Roman" w:eastAsia="黑体"/>
                <w:snapToGrid w:val="0"/>
                <w:color w:val="FF0000"/>
                <w:spacing w:val="-6"/>
                <w:kern w:val="21"/>
                <w:szCs w:val="21"/>
              </w:rPr>
              <w:t>项目</w:t>
            </w:r>
          </w:p>
          <w:p w14:paraId="2FBF0A3E">
            <w:pPr>
              <w:pStyle w:val="71"/>
              <w:spacing w:beforeLines="0" w:afterLines="0" w:line="320" w:lineRule="exact"/>
              <w:jc w:val="left"/>
              <w:rPr>
                <w:rFonts w:ascii="Times New Roman" w:eastAsia="黑体"/>
                <w:snapToGrid w:val="0"/>
                <w:color w:val="FF0000"/>
                <w:spacing w:val="-6"/>
                <w:kern w:val="21"/>
                <w:szCs w:val="21"/>
              </w:rPr>
            </w:pPr>
            <w:r>
              <w:rPr>
                <w:rFonts w:ascii="Times New Roman" w:eastAsia="黑体"/>
                <w:snapToGrid w:val="0"/>
                <w:color w:val="FF0000"/>
                <w:spacing w:val="-6"/>
                <w:kern w:val="21"/>
                <w:szCs w:val="21"/>
              </w:rPr>
              <w:t>分类</w:t>
            </w:r>
          </w:p>
        </w:tc>
        <w:tc>
          <w:tcPr>
            <w:tcW w:w="2112" w:type="dxa"/>
            <w:tcMar>
              <w:left w:w="28" w:type="dxa"/>
              <w:right w:w="28" w:type="dxa"/>
            </w:tcMar>
            <w:vAlign w:val="center"/>
          </w:tcPr>
          <w:p w14:paraId="4EF8B760">
            <w:pPr>
              <w:pStyle w:val="71"/>
              <w:spacing w:beforeLines="0" w:afterLines="0" w:line="320" w:lineRule="exact"/>
              <w:rPr>
                <w:rFonts w:ascii="Times New Roman" w:eastAsia="黑体"/>
                <w:snapToGrid w:val="0"/>
                <w:color w:val="FF0000"/>
                <w:spacing w:val="-6"/>
                <w:kern w:val="21"/>
                <w:szCs w:val="21"/>
              </w:rPr>
            </w:pPr>
            <w:r>
              <w:rPr>
                <w:rFonts w:ascii="Times New Roman" w:eastAsia="黑体"/>
                <w:snapToGrid w:val="0"/>
                <w:color w:val="FF0000"/>
                <w:spacing w:val="-6"/>
                <w:kern w:val="21"/>
                <w:szCs w:val="21"/>
              </w:rPr>
              <w:t>污染物名称</w:t>
            </w:r>
          </w:p>
        </w:tc>
        <w:tc>
          <w:tcPr>
            <w:tcW w:w="1350" w:type="dxa"/>
            <w:tcMar>
              <w:left w:w="28" w:type="dxa"/>
              <w:right w:w="28" w:type="dxa"/>
            </w:tcMar>
            <w:vAlign w:val="center"/>
          </w:tcPr>
          <w:p w14:paraId="369FC953">
            <w:pPr>
              <w:pStyle w:val="71"/>
              <w:spacing w:beforeLines="0" w:afterLines="0" w:line="320" w:lineRule="exact"/>
              <w:rPr>
                <w:rFonts w:ascii="Times New Roman" w:eastAsia="黑体"/>
                <w:snapToGrid w:val="0"/>
                <w:color w:val="FF0000"/>
                <w:spacing w:val="-6"/>
                <w:kern w:val="21"/>
                <w:szCs w:val="21"/>
              </w:rPr>
            </w:pPr>
            <w:r>
              <w:rPr>
                <w:rFonts w:ascii="Times New Roman" w:eastAsia="黑体"/>
                <w:snapToGrid w:val="0"/>
                <w:color w:val="FF0000"/>
                <w:spacing w:val="-6"/>
                <w:kern w:val="21"/>
                <w:szCs w:val="21"/>
              </w:rPr>
              <w:t>现有工程</w:t>
            </w:r>
          </w:p>
          <w:p w14:paraId="2AFB3AC3">
            <w:pPr>
              <w:pStyle w:val="71"/>
              <w:spacing w:beforeLines="0" w:afterLines="0" w:line="320" w:lineRule="exact"/>
              <w:rPr>
                <w:rFonts w:ascii="Times New Roman" w:eastAsia="黑体"/>
                <w:snapToGrid w:val="0"/>
                <w:color w:val="FF0000"/>
                <w:spacing w:val="-6"/>
                <w:kern w:val="21"/>
                <w:szCs w:val="21"/>
              </w:rPr>
            </w:pPr>
            <w:r>
              <w:rPr>
                <w:rFonts w:ascii="Times New Roman" w:eastAsia="黑体"/>
                <w:snapToGrid w:val="0"/>
                <w:color w:val="FF0000"/>
                <w:spacing w:val="-6"/>
                <w:kern w:val="21"/>
                <w:szCs w:val="21"/>
              </w:rPr>
              <w:t>排放量（固体废物产生量）</w:t>
            </w:r>
            <w:r>
              <w:rPr>
                <w:rFonts w:ascii="Times New Roman" w:eastAsia="黑体"/>
                <w:snapToGrid w:val="0"/>
                <w:color w:val="FF0000"/>
                <w:spacing w:val="-6"/>
                <w:kern w:val="21"/>
                <w:szCs w:val="21"/>
              </w:rPr>
              <w:fldChar w:fldCharType="begin"/>
            </w:r>
            <w:r>
              <w:rPr>
                <w:rFonts w:ascii="Times New Roman" w:eastAsia="黑体"/>
                <w:snapToGrid w:val="0"/>
                <w:color w:val="FF0000"/>
                <w:spacing w:val="-6"/>
                <w:kern w:val="21"/>
                <w:szCs w:val="21"/>
              </w:rPr>
              <w:instrText xml:space="preserve"> = 1 \* GB3 \* MERGEFORMAT </w:instrText>
            </w:r>
            <w:r>
              <w:rPr>
                <w:rFonts w:ascii="Times New Roman" w:eastAsia="黑体"/>
                <w:snapToGrid w:val="0"/>
                <w:color w:val="FF0000"/>
                <w:spacing w:val="-6"/>
                <w:kern w:val="21"/>
                <w:szCs w:val="21"/>
              </w:rPr>
              <w:fldChar w:fldCharType="separate"/>
            </w:r>
            <w:r>
              <w:rPr>
                <w:rFonts w:hint="eastAsia" w:hAnsi="宋体" w:cs="宋体"/>
                <w:color w:val="FF0000"/>
                <w:kern w:val="2"/>
                <w:szCs w:val="21"/>
              </w:rPr>
              <w:t>①</w:t>
            </w:r>
            <w:r>
              <w:rPr>
                <w:rFonts w:ascii="Times New Roman" w:eastAsia="黑体"/>
                <w:snapToGrid w:val="0"/>
                <w:color w:val="FF0000"/>
                <w:spacing w:val="-6"/>
                <w:kern w:val="21"/>
                <w:szCs w:val="21"/>
              </w:rPr>
              <w:fldChar w:fldCharType="end"/>
            </w:r>
          </w:p>
        </w:tc>
        <w:tc>
          <w:tcPr>
            <w:tcW w:w="1335" w:type="dxa"/>
            <w:tcMar>
              <w:left w:w="28" w:type="dxa"/>
              <w:right w:w="28" w:type="dxa"/>
            </w:tcMar>
            <w:vAlign w:val="center"/>
          </w:tcPr>
          <w:p w14:paraId="030A1ADE">
            <w:pPr>
              <w:pStyle w:val="71"/>
              <w:spacing w:beforeLines="0" w:afterLines="0" w:line="320" w:lineRule="exact"/>
              <w:rPr>
                <w:rFonts w:ascii="Times New Roman" w:eastAsia="黑体"/>
                <w:snapToGrid w:val="0"/>
                <w:color w:val="FF0000"/>
                <w:spacing w:val="-6"/>
                <w:kern w:val="21"/>
                <w:szCs w:val="21"/>
              </w:rPr>
            </w:pPr>
            <w:r>
              <w:rPr>
                <w:rFonts w:ascii="Times New Roman" w:eastAsia="黑体"/>
                <w:snapToGrid w:val="0"/>
                <w:color w:val="FF0000"/>
                <w:spacing w:val="-6"/>
                <w:kern w:val="21"/>
                <w:szCs w:val="21"/>
              </w:rPr>
              <w:t>现有工程</w:t>
            </w:r>
          </w:p>
          <w:p w14:paraId="35B569D3">
            <w:pPr>
              <w:pStyle w:val="71"/>
              <w:spacing w:beforeLines="0" w:afterLines="0" w:line="320" w:lineRule="exact"/>
              <w:rPr>
                <w:rFonts w:ascii="Times New Roman" w:eastAsia="黑体"/>
                <w:snapToGrid w:val="0"/>
                <w:color w:val="FF0000"/>
                <w:spacing w:val="-6"/>
                <w:kern w:val="21"/>
                <w:szCs w:val="21"/>
              </w:rPr>
            </w:pPr>
            <w:r>
              <w:rPr>
                <w:rFonts w:ascii="Times New Roman" w:eastAsia="黑体"/>
                <w:snapToGrid w:val="0"/>
                <w:color w:val="FF0000"/>
                <w:spacing w:val="-6"/>
                <w:kern w:val="21"/>
                <w:szCs w:val="21"/>
              </w:rPr>
              <w:t>许可排放量</w:t>
            </w:r>
          </w:p>
          <w:p w14:paraId="0BA99FD2">
            <w:pPr>
              <w:pStyle w:val="71"/>
              <w:spacing w:beforeLines="0" w:afterLines="0" w:line="320" w:lineRule="exact"/>
              <w:rPr>
                <w:rFonts w:ascii="Times New Roman" w:eastAsia="黑体"/>
                <w:snapToGrid w:val="0"/>
                <w:color w:val="FF0000"/>
                <w:spacing w:val="-6"/>
                <w:kern w:val="21"/>
                <w:szCs w:val="21"/>
              </w:rPr>
            </w:pPr>
            <w:r>
              <w:rPr>
                <w:rFonts w:ascii="Times New Roman" w:eastAsia="黑体"/>
                <w:snapToGrid w:val="0"/>
                <w:color w:val="FF0000"/>
                <w:spacing w:val="-6"/>
                <w:kern w:val="21"/>
                <w:szCs w:val="21"/>
              </w:rPr>
              <w:fldChar w:fldCharType="begin"/>
            </w:r>
            <w:r>
              <w:rPr>
                <w:rFonts w:ascii="Times New Roman" w:eastAsia="黑体"/>
                <w:snapToGrid w:val="0"/>
                <w:color w:val="FF0000"/>
                <w:spacing w:val="-6"/>
                <w:kern w:val="21"/>
                <w:szCs w:val="21"/>
              </w:rPr>
              <w:instrText xml:space="preserve"> = 2 \* GB3 \* MERGEFORMAT </w:instrText>
            </w:r>
            <w:r>
              <w:rPr>
                <w:rFonts w:ascii="Times New Roman" w:eastAsia="黑体"/>
                <w:snapToGrid w:val="0"/>
                <w:color w:val="FF0000"/>
                <w:spacing w:val="-6"/>
                <w:kern w:val="21"/>
                <w:szCs w:val="21"/>
              </w:rPr>
              <w:fldChar w:fldCharType="separate"/>
            </w:r>
            <w:r>
              <w:rPr>
                <w:rFonts w:hint="eastAsia" w:hAnsi="宋体" w:cs="宋体"/>
                <w:snapToGrid w:val="0"/>
                <w:color w:val="FF0000"/>
                <w:spacing w:val="-6"/>
                <w:kern w:val="21"/>
                <w:szCs w:val="21"/>
              </w:rPr>
              <w:t>②</w:t>
            </w:r>
            <w:r>
              <w:rPr>
                <w:rFonts w:ascii="Times New Roman" w:eastAsia="黑体"/>
                <w:snapToGrid w:val="0"/>
                <w:color w:val="FF0000"/>
                <w:spacing w:val="-6"/>
                <w:kern w:val="21"/>
                <w:szCs w:val="21"/>
              </w:rPr>
              <w:fldChar w:fldCharType="end"/>
            </w:r>
          </w:p>
        </w:tc>
        <w:tc>
          <w:tcPr>
            <w:tcW w:w="1349" w:type="dxa"/>
            <w:tcMar>
              <w:left w:w="28" w:type="dxa"/>
              <w:right w:w="28" w:type="dxa"/>
            </w:tcMar>
            <w:vAlign w:val="center"/>
          </w:tcPr>
          <w:p w14:paraId="0564EF71">
            <w:pPr>
              <w:pStyle w:val="71"/>
              <w:spacing w:beforeLines="0" w:afterLines="0" w:line="320" w:lineRule="exact"/>
              <w:rPr>
                <w:rFonts w:ascii="Times New Roman" w:eastAsia="黑体"/>
                <w:snapToGrid w:val="0"/>
                <w:color w:val="FF0000"/>
                <w:spacing w:val="-6"/>
                <w:kern w:val="21"/>
                <w:szCs w:val="21"/>
              </w:rPr>
            </w:pPr>
            <w:r>
              <w:rPr>
                <w:rFonts w:ascii="Times New Roman" w:eastAsia="黑体"/>
                <w:snapToGrid w:val="0"/>
                <w:color w:val="FF0000"/>
                <w:spacing w:val="-6"/>
                <w:kern w:val="21"/>
                <w:szCs w:val="21"/>
              </w:rPr>
              <w:t>在建工程</w:t>
            </w:r>
          </w:p>
          <w:p w14:paraId="0C4285B7">
            <w:pPr>
              <w:pStyle w:val="71"/>
              <w:spacing w:beforeLines="0" w:afterLines="0" w:line="320" w:lineRule="exact"/>
              <w:rPr>
                <w:rFonts w:ascii="Times New Roman" w:eastAsia="黑体"/>
                <w:snapToGrid w:val="0"/>
                <w:color w:val="FF0000"/>
                <w:spacing w:val="-6"/>
                <w:kern w:val="21"/>
                <w:szCs w:val="21"/>
              </w:rPr>
            </w:pPr>
            <w:r>
              <w:rPr>
                <w:rFonts w:ascii="Times New Roman" w:eastAsia="黑体"/>
                <w:snapToGrid w:val="0"/>
                <w:color w:val="FF0000"/>
                <w:spacing w:val="-6"/>
                <w:kern w:val="21"/>
                <w:szCs w:val="21"/>
              </w:rPr>
              <w:t>排放量（固体废物产生量）</w:t>
            </w:r>
            <w:r>
              <w:rPr>
                <w:rFonts w:ascii="Times New Roman" w:eastAsia="黑体"/>
                <w:snapToGrid w:val="0"/>
                <w:color w:val="FF0000"/>
                <w:spacing w:val="-6"/>
                <w:kern w:val="21"/>
                <w:szCs w:val="21"/>
              </w:rPr>
              <w:fldChar w:fldCharType="begin"/>
            </w:r>
            <w:r>
              <w:rPr>
                <w:rFonts w:ascii="Times New Roman" w:eastAsia="黑体"/>
                <w:snapToGrid w:val="0"/>
                <w:color w:val="FF0000"/>
                <w:spacing w:val="-6"/>
                <w:kern w:val="21"/>
                <w:szCs w:val="21"/>
              </w:rPr>
              <w:instrText xml:space="preserve"> = 3 \* GB3 \* MERGEFORMAT </w:instrText>
            </w:r>
            <w:r>
              <w:rPr>
                <w:rFonts w:ascii="Times New Roman" w:eastAsia="黑体"/>
                <w:snapToGrid w:val="0"/>
                <w:color w:val="FF0000"/>
                <w:spacing w:val="-6"/>
                <w:kern w:val="21"/>
                <w:szCs w:val="21"/>
              </w:rPr>
              <w:fldChar w:fldCharType="separate"/>
            </w:r>
            <w:r>
              <w:rPr>
                <w:rFonts w:hint="eastAsia" w:hAnsi="宋体" w:cs="宋体"/>
                <w:color w:val="FF0000"/>
                <w:kern w:val="2"/>
                <w:szCs w:val="21"/>
              </w:rPr>
              <w:t>③</w:t>
            </w:r>
            <w:r>
              <w:rPr>
                <w:rFonts w:ascii="Times New Roman" w:eastAsia="黑体"/>
                <w:snapToGrid w:val="0"/>
                <w:color w:val="FF0000"/>
                <w:spacing w:val="-6"/>
                <w:kern w:val="21"/>
                <w:szCs w:val="21"/>
              </w:rPr>
              <w:fldChar w:fldCharType="end"/>
            </w:r>
          </w:p>
        </w:tc>
        <w:tc>
          <w:tcPr>
            <w:tcW w:w="1541" w:type="dxa"/>
            <w:tcMar>
              <w:left w:w="28" w:type="dxa"/>
              <w:right w:w="28" w:type="dxa"/>
            </w:tcMar>
            <w:vAlign w:val="center"/>
          </w:tcPr>
          <w:p w14:paraId="6F1071C7">
            <w:pPr>
              <w:pStyle w:val="71"/>
              <w:spacing w:beforeLines="0" w:afterLines="0" w:line="320" w:lineRule="exact"/>
              <w:rPr>
                <w:rFonts w:ascii="Times New Roman" w:eastAsia="黑体"/>
                <w:snapToGrid w:val="0"/>
                <w:color w:val="FF0000"/>
                <w:spacing w:val="-6"/>
                <w:kern w:val="21"/>
                <w:szCs w:val="21"/>
              </w:rPr>
            </w:pPr>
            <w:r>
              <w:rPr>
                <w:rFonts w:ascii="Times New Roman" w:eastAsia="黑体"/>
                <w:snapToGrid w:val="0"/>
                <w:color w:val="FF0000"/>
                <w:spacing w:val="-6"/>
                <w:kern w:val="21"/>
                <w:szCs w:val="21"/>
              </w:rPr>
              <w:t>本项目</w:t>
            </w:r>
          </w:p>
          <w:p w14:paraId="64E9D740">
            <w:pPr>
              <w:pStyle w:val="71"/>
              <w:spacing w:beforeLines="0" w:afterLines="0" w:line="320" w:lineRule="exact"/>
              <w:rPr>
                <w:rFonts w:ascii="Times New Roman" w:eastAsia="黑体"/>
                <w:snapToGrid w:val="0"/>
                <w:color w:val="FF0000"/>
                <w:spacing w:val="-6"/>
                <w:kern w:val="21"/>
                <w:szCs w:val="21"/>
              </w:rPr>
            </w:pPr>
            <w:r>
              <w:rPr>
                <w:rFonts w:ascii="Times New Roman" w:eastAsia="黑体"/>
                <w:snapToGrid w:val="0"/>
                <w:color w:val="FF0000"/>
                <w:spacing w:val="-6"/>
                <w:kern w:val="21"/>
                <w:szCs w:val="21"/>
              </w:rPr>
              <w:t>排放量（固体废物产生量）</w:t>
            </w:r>
            <w:r>
              <w:rPr>
                <w:rFonts w:ascii="Times New Roman" w:eastAsia="黑体"/>
                <w:snapToGrid w:val="0"/>
                <w:color w:val="FF0000"/>
                <w:spacing w:val="-6"/>
                <w:kern w:val="21"/>
                <w:szCs w:val="21"/>
              </w:rPr>
              <w:fldChar w:fldCharType="begin"/>
            </w:r>
            <w:r>
              <w:rPr>
                <w:rFonts w:ascii="Times New Roman" w:eastAsia="黑体"/>
                <w:snapToGrid w:val="0"/>
                <w:color w:val="FF0000"/>
                <w:spacing w:val="-6"/>
                <w:kern w:val="21"/>
                <w:szCs w:val="21"/>
              </w:rPr>
              <w:instrText xml:space="preserve"> = 4 \* GB3 \* MERGEFORMAT </w:instrText>
            </w:r>
            <w:r>
              <w:rPr>
                <w:rFonts w:ascii="Times New Roman" w:eastAsia="黑体"/>
                <w:snapToGrid w:val="0"/>
                <w:color w:val="FF0000"/>
                <w:spacing w:val="-6"/>
                <w:kern w:val="21"/>
                <w:szCs w:val="21"/>
              </w:rPr>
              <w:fldChar w:fldCharType="separate"/>
            </w:r>
            <w:r>
              <w:rPr>
                <w:rFonts w:hint="eastAsia" w:hAnsi="宋体" w:cs="宋体"/>
                <w:color w:val="FF0000"/>
                <w:kern w:val="2"/>
                <w:szCs w:val="21"/>
              </w:rPr>
              <w:t>④</w:t>
            </w:r>
            <w:r>
              <w:rPr>
                <w:rFonts w:ascii="Times New Roman" w:eastAsia="黑体"/>
                <w:snapToGrid w:val="0"/>
                <w:color w:val="FF0000"/>
                <w:spacing w:val="-6"/>
                <w:kern w:val="21"/>
                <w:szCs w:val="21"/>
              </w:rPr>
              <w:fldChar w:fldCharType="end"/>
            </w:r>
          </w:p>
        </w:tc>
        <w:tc>
          <w:tcPr>
            <w:tcW w:w="1608" w:type="dxa"/>
            <w:tcMar>
              <w:left w:w="28" w:type="dxa"/>
              <w:right w:w="28" w:type="dxa"/>
            </w:tcMar>
            <w:vAlign w:val="center"/>
          </w:tcPr>
          <w:p w14:paraId="79F3AB1B">
            <w:pPr>
              <w:pStyle w:val="71"/>
              <w:spacing w:beforeLines="0" w:afterLines="0" w:line="320" w:lineRule="exact"/>
              <w:rPr>
                <w:rFonts w:ascii="Times New Roman" w:eastAsia="黑体"/>
                <w:snapToGrid w:val="0"/>
                <w:color w:val="FF0000"/>
                <w:spacing w:val="-16"/>
                <w:kern w:val="21"/>
                <w:szCs w:val="21"/>
              </w:rPr>
            </w:pPr>
            <w:r>
              <w:rPr>
                <w:rFonts w:ascii="Times New Roman" w:eastAsia="黑体"/>
                <w:snapToGrid w:val="0"/>
                <w:color w:val="FF0000"/>
                <w:spacing w:val="-16"/>
                <w:kern w:val="21"/>
                <w:szCs w:val="21"/>
              </w:rPr>
              <w:t>以新带老削减量</w:t>
            </w:r>
          </w:p>
          <w:p w14:paraId="13F82A7D">
            <w:pPr>
              <w:pStyle w:val="71"/>
              <w:spacing w:beforeLines="0" w:afterLines="0" w:line="320" w:lineRule="exact"/>
              <w:rPr>
                <w:rFonts w:ascii="Times New Roman" w:eastAsia="黑体"/>
                <w:snapToGrid w:val="0"/>
                <w:color w:val="FF0000"/>
                <w:spacing w:val="-16"/>
                <w:kern w:val="21"/>
                <w:szCs w:val="21"/>
              </w:rPr>
            </w:pPr>
            <w:r>
              <w:rPr>
                <w:rFonts w:ascii="Times New Roman" w:eastAsia="黑体"/>
                <w:snapToGrid w:val="0"/>
                <w:color w:val="FF0000"/>
                <w:spacing w:val="-16"/>
                <w:kern w:val="21"/>
                <w:szCs w:val="21"/>
              </w:rPr>
              <w:t>（新建项目不填）</w:t>
            </w:r>
            <w:r>
              <w:rPr>
                <w:rFonts w:ascii="Times New Roman" w:eastAsia="黑体"/>
                <w:snapToGrid w:val="0"/>
                <w:color w:val="FF0000"/>
                <w:spacing w:val="-16"/>
                <w:kern w:val="21"/>
                <w:szCs w:val="21"/>
              </w:rPr>
              <w:fldChar w:fldCharType="begin"/>
            </w:r>
            <w:r>
              <w:rPr>
                <w:rFonts w:ascii="Times New Roman" w:eastAsia="黑体"/>
                <w:snapToGrid w:val="0"/>
                <w:color w:val="FF0000"/>
                <w:spacing w:val="-16"/>
                <w:kern w:val="21"/>
                <w:szCs w:val="21"/>
              </w:rPr>
              <w:instrText xml:space="preserve"> = 5 \* GB3 \* MERGEFORMAT </w:instrText>
            </w:r>
            <w:r>
              <w:rPr>
                <w:rFonts w:ascii="Times New Roman" w:eastAsia="黑体"/>
                <w:snapToGrid w:val="0"/>
                <w:color w:val="FF0000"/>
                <w:spacing w:val="-16"/>
                <w:kern w:val="21"/>
                <w:szCs w:val="21"/>
              </w:rPr>
              <w:fldChar w:fldCharType="separate"/>
            </w:r>
            <w:r>
              <w:rPr>
                <w:rFonts w:hint="eastAsia" w:hAnsi="宋体" w:cs="宋体"/>
                <w:color w:val="FF0000"/>
                <w:kern w:val="2"/>
                <w:szCs w:val="21"/>
              </w:rPr>
              <w:t>⑤</w:t>
            </w:r>
            <w:r>
              <w:rPr>
                <w:rFonts w:ascii="Times New Roman" w:eastAsia="黑体"/>
                <w:snapToGrid w:val="0"/>
                <w:color w:val="FF0000"/>
                <w:spacing w:val="-16"/>
                <w:kern w:val="21"/>
                <w:szCs w:val="21"/>
              </w:rPr>
              <w:fldChar w:fldCharType="end"/>
            </w:r>
          </w:p>
        </w:tc>
        <w:tc>
          <w:tcPr>
            <w:tcW w:w="1439" w:type="dxa"/>
            <w:tcMar>
              <w:left w:w="28" w:type="dxa"/>
              <w:right w:w="28" w:type="dxa"/>
            </w:tcMar>
            <w:vAlign w:val="center"/>
          </w:tcPr>
          <w:p w14:paraId="3282C4AB">
            <w:pPr>
              <w:pStyle w:val="71"/>
              <w:spacing w:beforeLines="0" w:afterLines="0" w:line="320" w:lineRule="exact"/>
              <w:rPr>
                <w:rFonts w:ascii="Times New Roman" w:eastAsia="黑体"/>
                <w:snapToGrid w:val="0"/>
                <w:color w:val="FF0000"/>
                <w:spacing w:val="-16"/>
                <w:kern w:val="21"/>
                <w:szCs w:val="21"/>
              </w:rPr>
            </w:pPr>
            <w:r>
              <w:rPr>
                <w:rFonts w:ascii="Times New Roman" w:eastAsia="黑体"/>
                <w:snapToGrid w:val="0"/>
                <w:color w:val="FF0000"/>
                <w:spacing w:val="-16"/>
                <w:kern w:val="21"/>
                <w:szCs w:val="21"/>
              </w:rPr>
              <w:t>本项目建成后</w:t>
            </w:r>
          </w:p>
          <w:p w14:paraId="5DBFA3FE">
            <w:pPr>
              <w:pStyle w:val="71"/>
              <w:spacing w:beforeLines="0" w:afterLines="0" w:line="320" w:lineRule="exact"/>
              <w:rPr>
                <w:rFonts w:ascii="Times New Roman" w:eastAsia="黑体"/>
                <w:snapToGrid w:val="0"/>
                <w:color w:val="FF0000"/>
                <w:spacing w:val="-16"/>
                <w:kern w:val="21"/>
                <w:szCs w:val="21"/>
              </w:rPr>
            </w:pPr>
            <w:r>
              <w:rPr>
                <w:rFonts w:ascii="Times New Roman" w:eastAsia="黑体"/>
                <w:snapToGrid w:val="0"/>
                <w:color w:val="FF0000"/>
                <w:spacing w:val="-16"/>
                <w:kern w:val="21"/>
                <w:szCs w:val="21"/>
              </w:rPr>
              <w:t>全厂排放量（固体废物产生量）</w:t>
            </w:r>
            <w:r>
              <w:rPr>
                <w:rFonts w:ascii="Times New Roman" w:eastAsia="黑体"/>
                <w:snapToGrid w:val="0"/>
                <w:color w:val="FF0000"/>
                <w:spacing w:val="-16"/>
                <w:kern w:val="21"/>
                <w:szCs w:val="21"/>
              </w:rPr>
              <w:fldChar w:fldCharType="begin"/>
            </w:r>
            <w:r>
              <w:rPr>
                <w:rFonts w:ascii="Times New Roman" w:eastAsia="黑体"/>
                <w:snapToGrid w:val="0"/>
                <w:color w:val="FF0000"/>
                <w:spacing w:val="-16"/>
                <w:kern w:val="21"/>
                <w:szCs w:val="21"/>
              </w:rPr>
              <w:instrText xml:space="preserve"> = 6 \* GB3 \* MERGEFORMAT </w:instrText>
            </w:r>
            <w:r>
              <w:rPr>
                <w:rFonts w:ascii="Times New Roman" w:eastAsia="黑体"/>
                <w:snapToGrid w:val="0"/>
                <w:color w:val="FF0000"/>
                <w:spacing w:val="-16"/>
                <w:kern w:val="21"/>
                <w:szCs w:val="21"/>
              </w:rPr>
              <w:fldChar w:fldCharType="separate"/>
            </w:r>
            <w:r>
              <w:rPr>
                <w:rFonts w:hint="eastAsia" w:hAnsi="宋体" w:cs="宋体"/>
                <w:color w:val="FF0000"/>
                <w:kern w:val="2"/>
                <w:szCs w:val="21"/>
              </w:rPr>
              <w:t>⑥</w:t>
            </w:r>
            <w:r>
              <w:rPr>
                <w:rFonts w:ascii="Times New Roman" w:eastAsia="黑体"/>
                <w:snapToGrid w:val="0"/>
                <w:color w:val="FF0000"/>
                <w:spacing w:val="-16"/>
                <w:kern w:val="21"/>
                <w:szCs w:val="21"/>
              </w:rPr>
              <w:fldChar w:fldCharType="end"/>
            </w:r>
          </w:p>
        </w:tc>
        <w:tc>
          <w:tcPr>
            <w:tcW w:w="1466" w:type="dxa"/>
            <w:tcMar>
              <w:left w:w="28" w:type="dxa"/>
              <w:right w:w="28" w:type="dxa"/>
            </w:tcMar>
            <w:vAlign w:val="center"/>
          </w:tcPr>
          <w:p w14:paraId="1C03393E">
            <w:pPr>
              <w:pStyle w:val="71"/>
              <w:spacing w:beforeLines="0" w:afterLines="0" w:line="320" w:lineRule="exact"/>
              <w:rPr>
                <w:rFonts w:ascii="Times New Roman" w:eastAsia="黑体"/>
                <w:snapToGrid w:val="0"/>
                <w:color w:val="FF0000"/>
                <w:spacing w:val="-6"/>
                <w:kern w:val="21"/>
                <w:szCs w:val="21"/>
              </w:rPr>
            </w:pPr>
            <w:r>
              <w:rPr>
                <w:rFonts w:ascii="Times New Roman" w:eastAsia="黑体"/>
                <w:snapToGrid w:val="0"/>
                <w:color w:val="FF0000"/>
                <w:spacing w:val="-6"/>
                <w:kern w:val="21"/>
                <w:szCs w:val="21"/>
              </w:rPr>
              <w:t>变化量</w:t>
            </w:r>
          </w:p>
          <w:p w14:paraId="42B7BD90">
            <w:pPr>
              <w:pStyle w:val="71"/>
              <w:spacing w:beforeLines="0" w:afterLines="0" w:line="320" w:lineRule="exact"/>
              <w:rPr>
                <w:rFonts w:ascii="Times New Roman" w:eastAsia="黑体"/>
                <w:snapToGrid w:val="0"/>
                <w:color w:val="FF0000"/>
                <w:spacing w:val="-6"/>
                <w:kern w:val="21"/>
                <w:szCs w:val="21"/>
              </w:rPr>
            </w:pPr>
            <w:r>
              <w:rPr>
                <w:rFonts w:ascii="Times New Roman" w:eastAsia="黑体"/>
                <w:snapToGrid w:val="0"/>
                <w:color w:val="FF0000"/>
                <w:spacing w:val="-6"/>
                <w:kern w:val="21"/>
                <w:szCs w:val="21"/>
              </w:rPr>
              <w:fldChar w:fldCharType="begin"/>
            </w:r>
            <w:r>
              <w:rPr>
                <w:rFonts w:ascii="Times New Roman" w:eastAsia="黑体"/>
                <w:snapToGrid w:val="0"/>
                <w:color w:val="FF0000"/>
                <w:spacing w:val="-6"/>
                <w:kern w:val="21"/>
                <w:szCs w:val="21"/>
              </w:rPr>
              <w:instrText xml:space="preserve"> = 7 \* GB3 \* MERGEFORMAT </w:instrText>
            </w:r>
            <w:r>
              <w:rPr>
                <w:rFonts w:ascii="Times New Roman" w:eastAsia="黑体"/>
                <w:snapToGrid w:val="0"/>
                <w:color w:val="FF0000"/>
                <w:spacing w:val="-6"/>
                <w:kern w:val="21"/>
                <w:szCs w:val="21"/>
              </w:rPr>
              <w:fldChar w:fldCharType="separate"/>
            </w:r>
            <w:r>
              <w:rPr>
                <w:rFonts w:hint="eastAsia" w:hAnsi="宋体" w:cs="宋体"/>
                <w:color w:val="FF0000"/>
                <w:kern w:val="2"/>
                <w:szCs w:val="21"/>
              </w:rPr>
              <w:t>⑦</w:t>
            </w:r>
            <w:r>
              <w:rPr>
                <w:rFonts w:ascii="Times New Roman" w:eastAsia="黑体"/>
                <w:snapToGrid w:val="0"/>
                <w:color w:val="FF0000"/>
                <w:spacing w:val="-6"/>
                <w:kern w:val="21"/>
                <w:szCs w:val="21"/>
              </w:rPr>
              <w:fldChar w:fldCharType="end"/>
            </w:r>
          </w:p>
        </w:tc>
      </w:tr>
      <w:tr w14:paraId="1221025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588" w:type="dxa"/>
            <w:vMerge w:val="restart"/>
            <w:vAlign w:val="center"/>
          </w:tcPr>
          <w:p w14:paraId="20FF6A76">
            <w:pPr>
              <w:pStyle w:val="71"/>
              <w:spacing w:beforeLines="0" w:afterLines="0" w:line="320" w:lineRule="exact"/>
              <w:rPr>
                <w:rFonts w:ascii="Times New Roman"/>
                <w:snapToGrid w:val="0"/>
                <w:color w:val="FF0000"/>
                <w:kern w:val="21"/>
                <w:szCs w:val="21"/>
              </w:rPr>
            </w:pPr>
            <w:r>
              <w:rPr>
                <w:rFonts w:ascii="Times New Roman"/>
                <w:snapToGrid w:val="0"/>
                <w:color w:val="FF0000"/>
                <w:kern w:val="21"/>
                <w:szCs w:val="21"/>
              </w:rPr>
              <w:t>废气</w:t>
            </w:r>
          </w:p>
        </w:tc>
        <w:tc>
          <w:tcPr>
            <w:tcW w:w="2112" w:type="dxa"/>
            <w:vAlign w:val="center"/>
          </w:tcPr>
          <w:p w14:paraId="01A3E732">
            <w:pPr>
              <w:widowControl/>
              <w:jc w:val="center"/>
              <w:textAlignment w:val="center"/>
              <w:rPr>
                <w:snapToGrid w:val="0"/>
                <w:color w:val="FF0000"/>
                <w:kern w:val="21"/>
                <w:szCs w:val="21"/>
              </w:rPr>
            </w:pPr>
            <w:r>
              <w:rPr>
                <w:rFonts w:hint="eastAsia" w:ascii="宋体" w:hAnsi="宋体" w:cs="宋体"/>
                <w:color w:val="FF0000"/>
                <w:kern w:val="0"/>
                <w:szCs w:val="21"/>
                <w:lang w:bidi="ar"/>
              </w:rPr>
              <w:t>颗粒物</w:t>
            </w:r>
          </w:p>
        </w:tc>
        <w:tc>
          <w:tcPr>
            <w:tcW w:w="1350" w:type="dxa"/>
            <w:vAlign w:val="center"/>
          </w:tcPr>
          <w:p w14:paraId="07E910BB">
            <w:pPr>
              <w:spacing w:line="320" w:lineRule="exact"/>
              <w:jc w:val="center"/>
              <w:rPr>
                <w:snapToGrid w:val="0"/>
                <w:color w:val="FF0000"/>
                <w:kern w:val="21"/>
                <w:szCs w:val="21"/>
              </w:rPr>
            </w:pPr>
            <w:r>
              <w:rPr>
                <w:rFonts w:hint="eastAsia"/>
                <w:snapToGrid w:val="0"/>
                <w:color w:val="FF0000"/>
                <w:kern w:val="21"/>
                <w:szCs w:val="21"/>
              </w:rPr>
              <w:t>/</w:t>
            </w:r>
          </w:p>
        </w:tc>
        <w:tc>
          <w:tcPr>
            <w:tcW w:w="1335" w:type="dxa"/>
            <w:vAlign w:val="center"/>
          </w:tcPr>
          <w:p w14:paraId="133385D1">
            <w:pPr>
              <w:spacing w:line="320" w:lineRule="exact"/>
              <w:jc w:val="center"/>
              <w:rPr>
                <w:snapToGrid w:val="0"/>
                <w:color w:val="FF0000"/>
                <w:kern w:val="21"/>
                <w:szCs w:val="21"/>
              </w:rPr>
            </w:pPr>
            <w:r>
              <w:rPr>
                <w:rFonts w:hint="eastAsia"/>
                <w:snapToGrid w:val="0"/>
                <w:color w:val="FF0000"/>
                <w:kern w:val="21"/>
                <w:szCs w:val="21"/>
              </w:rPr>
              <w:t>/</w:t>
            </w:r>
          </w:p>
        </w:tc>
        <w:tc>
          <w:tcPr>
            <w:tcW w:w="1349" w:type="dxa"/>
            <w:vAlign w:val="center"/>
          </w:tcPr>
          <w:p w14:paraId="3AA16487">
            <w:pPr>
              <w:spacing w:line="320" w:lineRule="exact"/>
              <w:jc w:val="center"/>
              <w:rPr>
                <w:snapToGrid w:val="0"/>
                <w:color w:val="FF0000"/>
                <w:kern w:val="21"/>
                <w:szCs w:val="21"/>
              </w:rPr>
            </w:pPr>
            <w:r>
              <w:rPr>
                <w:rFonts w:hint="eastAsia"/>
                <w:snapToGrid w:val="0"/>
                <w:color w:val="FF0000"/>
                <w:kern w:val="21"/>
                <w:szCs w:val="21"/>
              </w:rPr>
              <w:t>/</w:t>
            </w:r>
          </w:p>
        </w:tc>
        <w:tc>
          <w:tcPr>
            <w:tcW w:w="1541" w:type="dxa"/>
            <w:vAlign w:val="center"/>
          </w:tcPr>
          <w:p w14:paraId="5C9A56B6">
            <w:pPr>
              <w:keepNext w:val="0"/>
              <w:keepLines w:val="0"/>
              <w:widowControl/>
              <w:suppressLineNumbers w:val="0"/>
              <w:jc w:val="center"/>
              <w:textAlignment w:val="center"/>
              <w:rPr>
                <w:snapToGrid w:val="0"/>
                <w:color w:val="FF0000"/>
                <w:kern w:val="21"/>
                <w:szCs w:val="21"/>
              </w:rPr>
            </w:pPr>
            <w:r>
              <w:rPr>
                <w:rFonts w:hint="default" w:ascii="Times New Roman" w:hAnsi="Times New Roman" w:eastAsia="宋体" w:cs="Times New Roman"/>
                <w:i w:val="0"/>
                <w:iCs w:val="0"/>
                <w:color w:val="FF0000"/>
                <w:kern w:val="0"/>
                <w:sz w:val="21"/>
                <w:szCs w:val="21"/>
                <w:u w:val="none"/>
                <w:lang w:val="en-US" w:eastAsia="zh-CN" w:bidi="ar"/>
              </w:rPr>
              <w:t>0.253</w:t>
            </w:r>
            <w:r>
              <w:rPr>
                <w:rFonts w:hint="eastAsia"/>
                <w:bCs/>
                <w:color w:val="FF0000"/>
                <w:szCs w:val="21"/>
              </w:rPr>
              <w:t>t/a</w:t>
            </w:r>
          </w:p>
        </w:tc>
        <w:tc>
          <w:tcPr>
            <w:tcW w:w="1608" w:type="dxa"/>
            <w:vAlign w:val="center"/>
          </w:tcPr>
          <w:p w14:paraId="27FD672D">
            <w:pPr>
              <w:spacing w:line="320" w:lineRule="exact"/>
              <w:jc w:val="center"/>
              <w:rPr>
                <w:snapToGrid w:val="0"/>
                <w:color w:val="FF0000"/>
                <w:kern w:val="21"/>
                <w:szCs w:val="21"/>
              </w:rPr>
            </w:pPr>
            <w:r>
              <w:rPr>
                <w:rFonts w:hint="eastAsia"/>
                <w:snapToGrid w:val="0"/>
                <w:color w:val="FF0000"/>
                <w:kern w:val="21"/>
                <w:szCs w:val="21"/>
              </w:rPr>
              <w:t>/</w:t>
            </w:r>
          </w:p>
        </w:tc>
        <w:tc>
          <w:tcPr>
            <w:tcW w:w="1439" w:type="dxa"/>
            <w:vAlign w:val="center"/>
          </w:tcPr>
          <w:p w14:paraId="3F6BE1C5">
            <w:pPr>
              <w:keepNext w:val="0"/>
              <w:keepLines w:val="0"/>
              <w:widowControl/>
              <w:suppressLineNumbers w:val="0"/>
              <w:jc w:val="center"/>
              <w:textAlignment w:val="center"/>
              <w:rPr>
                <w:snapToGrid w:val="0"/>
                <w:color w:val="FF0000"/>
                <w:kern w:val="21"/>
                <w:szCs w:val="21"/>
              </w:rPr>
            </w:pPr>
            <w:r>
              <w:rPr>
                <w:rFonts w:hint="default" w:ascii="Times New Roman" w:hAnsi="Times New Roman" w:eastAsia="宋体" w:cs="Times New Roman"/>
                <w:i w:val="0"/>
                <w:iCs w:val="0"/>
                <w:color w:val="FF0000"/>
                <w:kern w:val="0"/>
                <w:sz w:val="21"/>
                <w:szCs w:val="21"/>
                <w:u w:val="none"/>
                <w:lang w:val="en-US" w:eastAsia="zh-CN" w:bidi="ar"/>
              </w:rPr>
              <w:t>0.253</w:t>
            </w:r>
            <w:r>
              <w:rPr>
                <w:rFonts w:hint="eastAsia"/>
                <w:bCs/>
                <w:color w:val="FF0000"/>
                <w:szCs w:val="21"/>
              </w:rPr>
              <w:t>t/a</w:t>
            </w:r>
          </w:p>
        </w:tc>
        <w:tc>
          <w:tcPr>
            <w:tcW w:w="1466" w:type="dxa"/>
            <w:shd w:val="clear" w:color="auto" w:fill="auto"/>
            <w:vAlign w:val="center"/>
          </w:tcPr>
          <w:p w14:paraId="28C113CA">
            <w:pPr>
              <w:keepNext w:val="0"/>
              <w:keepLines w:val="0"/>
              <w:widowControl/>
              <w:suppressLineNumbers w:val="0"/>
              <w:jc w:val="center"/>
              <w:textAlignment w:val="center"/>
              <w:rPr>
                <w:rFonts w:ascii="Times New Roman" w:hAnsi="Times New Roman" w:eastAsia="宋体" w:cs="Times New Roman"/>
                <w:snapToGrid w:val="0"/>
                <w:color w:val="FF0000"/>
                <w:kern w:val="21"/>
                <w:sz w:val="21"/>
                <w:szCs w:val="21"/>
                <w:lang w:val="en-US" w:eastAsia="zh-CN" w:bidi="ar-SA"/>
              </w:rPr>
            </w:pPr>
            <w:r>
              <w:rPr>
                <w:rFonts w:hint="eastAsia" w:ascii="Times New Roman" w:hAnsi="Times New Roman" w:eastAsia="宋体" w:cs="Times New Roman"/>
                <w:i w:val="0"/>
                <w:iCs w:val="0"/>
                <w:color w:val="FF0000"/>
                <w:kern w:val="0"/>
                <w:sz w:val="21"/>
                <w:szCs w:val="21"/>
                <w:u w:val="none"/>
                <w:lang w:val="en-US" w:eastAsia="zh-CN" w:bidi="ar"/>
              </w:rPr>
              <w:t>+</w:t>
            </w:r>
            <w:r>
              <w:rPr>
                <w:rFonts w:hint="default" w:ascii="Times New Roman" w:hAnsi="Times New Roman" w:eastAsia="宋体" w:cs="Times New Roman"/>
                <w:i w:val="0"/>
                <w:iCs w:val="0"/>
                <w:color w:val="FF0000"/>
                <w:kern w:val="0"/>
                <w:sz w:val="21"/>
                <w:szCs w:val="21"/>
                <w:u w:val="none"/>
                <w:lang w:val="en-US" w:eastAsia="zh-CN" w:bidi="ar"/>
              </w:rPr>
              <w:t>0.253</w:t>
            </w:r>
            <w:r>
              <w:rPr>
                <w:rFonts w:hint="eastAsia"/>
                <w:bCs/>
                <w:color w:val="FF0000"/>
                <w:szCs w:val="21"/>
              </w:rPr>
              <w:t>t/a</w:t>
            </w:r>
          </w:p>
        </w:tc>
      </w:tr>
      <w:tr w14:paraId="1F80DEE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588" w:type="dxa"/>
            <w:vMerge w:val="continue"/>
            <w:vAlign w:val="center"/>
          </w:tcPr>
          <w:p w14:paraId="1763111B">
            <w:pPr>
              <w:pStyle w:val="71"/>
              <w:spacing w:beforeLines="0" w:afterLines="0" w:line="320" w:lineRule="exact"/>
              <w:rPr>
                <w:rFonts w:ascii="Times New Roman"/>
                <w:snapToGrid w:val="0"/>
                <w:color w:val="FF0000"/>
                <w:kern w:val="21"/>
                <w:szCs w:val="21"/>
              </w:rPr>
            </w:pPr>
          </w:p>
        </w:tc>
        <w:tc>
          <w:tcPr>
            <w:tcW w:w="2112" w:type="dxa"/>
            <w:vAlign w:val="center"/>
          </w:tcPr>
          <w:p w14:paraId="4E940250">
            <w:pPr>
              <w:widowControl/>
              <w:jc w:val="center"/>
              <w:textAlignment w:val="center"/>
              <w:rPr>
                <w:snapToGrid w:val="0"/>
                <w:color w:val="FF0000"/>
                <w:kern w:val="21"/>
                <w:szCs w:val="21"/>
              </w:rPr>
            </w:pPr>
            <w:r>
              <w:rPr>
                <w:rFonts w:hint="eastAsia"/>
                <w:snapToGrid w:val="0"/>
                <w:color w:val="FF0000"/>
                <w:kern w:val="21"/>
                <w:szCs w:val="21"/>
              </w:rPr>
              <w:t>非甲烷总烃</w:t>
            </w:r>
          </w:p>
        </w:tc>
        <w:tc>
          <w:tcPr>
            <w:tcW w:w="1350" w:type="dxa"/>
            <w:vAlign w:val="center"/>
          </w:tcPr>
          <w:p w14:paraId="1F29982C">
            <w:pPr>
              <w:spacing w:line="320" w:lineRule="exact"/>
              <w:jc w:val="center"/>
              <w:rPr>
                <w:snapToGrid w:val="0"/>
                <w:color w:val="FF0000"/>
                <w:kern w:val="21"/>
                <w:szCs w:val="21"/>
              </w:rPr>
            </w:pPr>
            <w:r>
              <w:rPr>
                <w:rFonts w:hint="eastAsia"/>
                <w:snapToGrid w:val="0"/>
                <w:color w:val="FF0000"/>
                <w:kern w:val="21"/>
                <w:szCs w:val="21"/>
              </w:rPr>
              <w:t>/</w:t>
            </w:r>
          </w:p>
        </w:tc>
        <w:tc>
          <w:tcPr>
            <w:tcW w:w="1335" w:type="dxa"/>
            <w:vAlign w:val="center"/>
          </w:tcPr>
          <w:p w14:paraId="19BF930C">
            <w:pPr>
              <w:spacing w:line="320" w:lineRule="exact"/>
              <w:jc w:val="center"/>
              <w:rPr>
                <w:snapToGrid w:val="0"/>
                <w:color w:val="FF0000"/>
                <w:kern w:val="21"/>
                <w:szCs w:val="21"/>
              </w:rPr>
            </w:pPr>
            <w:r>
              <w:rPr>
                <w:rFonts w:hint="eastAsia"/>
                <w:snapToGrid w:val="0"/>
                <w:color w:val="FF0000"/>
                <w:kern w:val="21"/>
                <w:szCs w:val="21"/>
              </w:rPr>
              <w:t>/</w:t>
            </w:r>
          </w:p>
        </w:tc>
        <w:tc>
          <w:tcPr>
            <w:tcW w:w="1349" w:type="dxa"/>
            <w:vAlign w:val="center"/>
          </w:tcPr>
          <w:p w14:paraId="6578FCA3">
            <w:pPr>
              <w:spacing w:line="320" w:lineRule="exact"/>
              <w:jc w:val="center"/>
              <w:rPr>
                <w:snapToGrid w:val="0"/>
                <w:color w:val="FF0000"/>
                <w:kern w:val="21"/>
                <w:szCs w:val="21"/>
              </w:rPr>
            </w:pPr>
            <w:r>
              <w:rPr>
                <w:rFonts w:hint="eastAsia"/>
                <w:snapToGrid w:val="0"/>
                <w:color w:val="FF0000"/>
                <w:kern w:val="21"/>
                <w:szCs w:val="21"/>
              </w:rPr>
              <w:t>/</w:t>
            </w:r>
          </w:p>
        </w:tc>
        <w:tc>
          <w:tcPr>
            <w:tcW w:w="1541" w:type="dxa"/>
            <w:vAlign w:val="center"/>
          </w:tcPr>
          <w:p w14:paraId="6D80EBC7">
            <w:pPr>
              <w:keepNext w:val="0"/>
              <w:keepLines w:val="0"/>
              <w:widowControl/>
              <w:suppressLineNumbers w:val="0"/>
              <w:jc w:val="center"/>
              <w:textAlignment w:val="center"/>
              <w:rPr>
                <w:snapToGrid w:val="0"/>
                <w:color w:val="FF0000"/>
                <w:kern w:val="21"/>
                <w:szCs w:val="21"/>
              </w:rPr>
            </w:pPr>
            <w:r>
              <w:rPr>
                <w:rFonts w:hint="default" w:ascii="Times New Roman" w:hAnsi="Times New Roman" w:eastAsia="宋体" w:cs="Times New Roman"/>
                <w:i w:val="0"/>
                <w:iCs w:val="0"/>
                <w:color w:val="FF0000"/>
                <w:kern w:val="0"/>
                <w:sz w:val="21"/>
                <w:szCs w:val="21"/>
                <w:u w:val="none"/>
                <w:lang w:val="en-US" w:eastAsia="zh-CN" w:bidi="ar"/>
              </w:rPr>
              <w:t>0.0694</w:t>
            </w:r>
            <w:r>
              <w:rPr>
                <w:rFonts w:hint="eastAsia"/>
                <w:bCs/>
                <w:color w:val="FF0000"/>
                <w:szCs w:val="21"/>
              </w:rPr>
              <w:t>t/a</w:t>
            </w:r>
          </w:p>
        </w:tc>
        <w:tc>
          <w:tcPr>
            <w:tcW w:w="1608" w:type="dxa"/>
            <w:vAlign w:val="center"/>
          </w:tcPr>
          <w:p w14:paraId="05E22716">
            <w:pPr>
              <w:spacing w:line="320" w:lineRule="exact"/>
              <w:jc w:val="center"/>
              <w:rPr>
                <w:snapToGrid w:val="0"/>
                <w:color w:val="FF0000"/>
                <w:kern w:val="21"/>
                <w:szCs w:val="21"/>
              </w:rPr>
            </w:pPr>
            <w:r>
              <w:rPr>
                <w:rFonts w:hint="eastAsia"/>
                <w:snapToGrid w:val="0"/>
                <w:color w:val="FF0000"/>
                <w:kern w:val="21"/>
                <w:szCs w:val="21"/>
              </w:rPr>
              <w:t>/</w:t>
            </w:r>
          </w:p>
        </w:tc>
        <w:tc>
          <w:tcPr>
            <w:tcW w:w="1439" w:type="dxa"/>
            <w:vAlign w:val="center"/>
          </w:tcPr>
          <w:p w14:paraId="500218C9">
            <w:pPr>
              <w:keepNext w:val="0"/>
              <w:keepLines w:val="0"/>
              <w:widowControl/>
              <w:suppressLineNumbers w:val="0"/>
              <w:jc w:val="center"/>
              <w:textAlignment w:val="center"/>
              <w:rPr>
                <w:snapToGrid w:val="0"/>
                <w:color w:val="FF0000"/>
                <w:kern w:val="21"/>
                <w:szCs w:val="21"/>
              </w:rPr>
            </w:pPr>
            <w:r>
              <w:rPr>
                <w:rFonts w:hint="default" w:ascii="Times New Roman" w:hAnsi="Times New Roman" w:eastAsia="宋体" w:cs="Times New Roman"/>
                <w:i w:val="0"/>
                <w:iCs w:val="0"/>
                <w:color w:val="FF0000"/>
                <w:kern w:val="0"/>
                <w:sz w:val="21"/>
                <w:szCs w:val="21"/>
                <w:u w:val="none"/>
                <w:lang w:val="en-US" w:eastAsia="zh-CN" w:bidi="ar"/>
              </w:rPr>
              <w:t>0.0694</w:t>
            </w:r>
            <w:r>
              <w:rPr>
                <w:rFonts w:hint="eastAsia"/>
                <w:bCs/>
                <w:color w:val="FF0000"/>
                <w:szCs w:val="21"/>
              </w:rPr>
              <w:t>t/a</w:t>
            </w:r>
          </w:p>
        </w:tc>
        <w:tc>
          <w:tcPr>
            <w:tcW w:w="1466" w:type="dxa"/>
            <w:shd w:val="clear" w:color="auto" w:fill="auto"/>
            <w:vAlign w:val="center"/>
          </w:tcPr>
          <w:p w14:paraId="7B7DADC8">
            <w:pPr>
              <w:keepNext w:val="0"/>
              <w:keepLines w:val="0"/>
              <w:widowControl/>
              <w:suppressLineNumbers w:val="0"/>
              <w:jc w:val="center"/>
              <w:textAlignment w:val="center"/>
              <w:rPr>
                <w:rFonts w:ascii="Times New Roman" w:hAnsi="Times New Roman" w:eastAsia="宋体" w:cs="Times New Roman"/>
                <w:snapToGrid w:val="0"/>
                <w:color w:val="FF0000"/>
                <w:kern w:val="21"/>
                <w:sz w:val="21"/>
                <w:szCs w:val="21"/>
                <w:lang w:val="en-US" w:eastAsia="zh-CN" w:bidi="ar-SA"/>
              </w:rPr>
            </w:pPr>
            <w:r>
              <w:rPr>
                <w:rFonts w:hint="eastAsia" w:ascii="Times New Roman" w:hAnsi="Times New Roman" w:eastAsia="宋体" w:cs="Times New Roman"/>
                <w:i w:val="0"/>
                <w:iCs w:val="0"/>
                <w:color w:val="FF0000"/>
                <w:kern w:val="0"/>
                <w:sz w:val="21"/>
                <w:szCs w:val="21"/>
                <w:u w:val="none"/>
                <w:lang w:val="en-US" w:eastAsia="zh-CN" w:bidi="ar"/>
              </w:rPr>
              <w:t>+</w:t>
            </w:r>
            <w:r>
              <w:rPr>
                <w:rFonts w:hint="default" w:ascii="Times New Roman" w:hAnsi="Times New Roman" w:eastAsia="宋体" w:cs="Times New Roman"/>
                <w:i w:val="0"/>
                <w:iCs w:val="0"/>
                <w:color w:val="FF0000"/>
                <w:kern w:val="0"/>
                <w:sz w:val="21"/>
                <w:szCs w:val="21"/>
                <w:u w:val="none"/>
                <w:lang w:val="en-US" w:eastAsia="zh-CN" w:bidi="ar"/>
              </w:rPr>
              <w:t>0.0694</w:t>
            </w:r>
            <w:r>
              <w:rPr>
                <w:rFonts w:hint="eastAsia"/>
                <w:bCs/>
                <w:color w:val="FF0000"/>
                <w:szCs w:val="21"/>
              </w:rPr>
              <w:t>t/a</w:t>
            </w:r>
          </w:p>
        </w:tc>
      </w:tr>
      <w:tr w14:paraId="7360852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588" w:type="dxa"/>
            <w:vMerge w:val="continue"/>
            <w:vAlign w:val="center"/>
          </w:tcPr>
          <w:p w14:paraId="5728ABA1">
            <w:pPr>
              <w:pStyle w:val="71"/>
              <w:spacing w:beforeLines="0" w:afterLines="0" w:line="320" w:lineRule="exact"/>
              <w:rPr>
                <w:rFonts w:ascii="Times New Roman"/>
                <w:snapToGrid w:val="0"/>
                <w:color w:val="FF0000"/>
                <w:kern w:val="21"/>
                <w:szCs w:val="21"/>
              </w:rPr>
            </w:pPr>
          </w:p>
        </w:tc>
        <w:tc>
          <w:tcPr>
            <w:tcW w:w="2112" w:type="dxa"/>
            <w:vAlign w:val="center"/>
          </w:tcPr>
          <w:p w14:paraId="08E153BA">
            <w:pPr>
              <w:keepNext w:val="0"/>
              <w:keepLines w:val="0"/>
              <w:widowControl/>
              <w:suppressLineNumbers w:val="0"/>
              <w:jc w:val="center"/>
              <w:textAlignment w:val="center"/>
              <w:rPr>
                <w:rFonts w:hint="eastAsia"/>
                <w:snapToGrid w:val="0"/>
                <w:color w:val="FF0000"/>
                <w:kern w:val="21"/>
                <w:szCs w:val="21"/>
              </w:rPr>
            </w:pPr>
            <w:r>
              <w:rPr>
                <w:rFonts w:hint="eastAsia" w:ascii="Times New Roman" w:hAnsi="Times New Roman" w:eastAsia="宋体" w:cs="Times New Roman"/>
                <w:i w:val="0"/>
                <w:iCs w:val="0"/>
                <w:color w:val="FF0000"/>
                <w:kern w:val="0"/>
                <w:sz w:val="21"/>
                <w:szCs w:val="21"/>
                <w:u w:val="none"/>
                <w:lang w:val="en-US" w:eastAsia="zh-CN" w:bidi="ar"/>
              </w:rPr>
              <w:t>氨</w:t>
            </w:r>
          </w:p>
        </w:tc>
        <w:tc>
          <w:tcPr>
            <w:tcW w:w="1350" w:type="dxa"/>
            <w:vAlign w:val="center"/>
          </w:tcPr>
          <w:p w14:paraId="0C715EBF">
            <w:pPr>
              <w:spacing w:line="320" w:lineRule="exact"/>
              <w:jc w:val="center"/>
              <w:rPr>
                <w:rFonts w:hint="eastAsia"/>
                <w:snapToGrid w:val="0"/>
                <w:color w:val="FF0000"/>
                <w:kern w:val="21"/>
                <w:szCs w:val="21"/>
              </w:rPr>
            </w:pPr>
            <w:r>
              <w:rPr>
                <w:rFonts w:hint="eastAsia"/>
                <w:snapToGrid w:val="0"/>
                <w:color w:val="FF0000"/>
                <w:kern w:val="21"/>
                <w:szCs w:val="21"/>
              </w:rPr>
              <w:t>/</w:t>
            </w:r>
          </w:p>
        </w:tc>
        <w:tc>
          <w:tcPr>
            <w:tcW w:w="1335" w:type="dxa"/>
            <w:vAlign w:val="center"/>
          </w:tcPr>
          <w:p w14:paraId="20838CEF">
            <w:pPr>
              <w:spacing w:line="320" w:lineRule="exact"/>
              <w:jc w:val="center"/>
              <w:rPr>
                <w:rFonts w:hint="eastAsia"/>
                <w:snapToGrid w:val="0"/>
                <w:color w:val="FF0000"/>
                <w:kern w:val="21"/>
                <w:szCs w:val="21"/>
              </w:rPr>
            </w:pPr>
            <w:r>
              <w:rPr>
                <w:rFonts w:hint="eastAsia"/>
                <w:snapToGrid w:val="0"/>
                <w:color w:val="FF0000"/>
                <w:kern w:val="21"/>
                <w:szCs w:val="21"/>
              </w:rPr>
              <w:t>/</w:t>
            </w:r>
          </w:p>
        </w:tc>
        <w:tc>
          <w:tcPr>
            <w:tcW w:w="1349" w:type="dxa"/>
            <w:vAlign w:val="center"/>
          </w:tcPr>
          <w:p w14:paraId="23B05822">
            <w:pPr>
              <w:spacing w:line="320" w:lineRule="exact"/>
              <w:jc w:val="center"/>
              <w:rPr>
                <w:rFonts w:hint="eastAsia"/>
                <w:snapToGrid w:val="0"/>
                <w:color w:val="FF0000"/>
                <w:kern w:val="21"/>
                <w:szCs w:val="21"/>
              </w:rPr>
            </w:pPr>
            <w:r>
              <w:rPr>
                <w:rFonts w:hint="eastAsia"/>
                <w:snapToGrid w:val="0"/>
                <w:color w:val="FF0000"/>
                <w:kern w:val="21"/>
                <w:szCs w:val="21"/>
              </w:rPr>
              <w:t>/</w:t>
            </w:r>
          </w:p>
        </w:tc>
        <w:tc>
          <w:tcPr>
            <w:tcW w:w="1541" w:type="dxa"/>
            <w:vAlign w:val="center"/>
          </w:tcPr>
          <w:p w14:paraId="3232EAEF">
            <w:pPr>
              <w:keepNext w:val="0"/>
              <w:keepLines w:val="0"/>
              <w:widowControl/>
              <w:suppressLineNumbers w:val="0"/>
              <w:jc w:val="center"/>
              <w:textAlignment w:val="center"/>
              <w:rPr>
                <w:snapToGrid w:val="0"/>
                <w:color w:val="FF0000"/>
                <w:kern w:val="21"/>
                <w:szCs w:val="21"/>
              </w:rPr>
            </w:pPr>
            <w:r>
              <w:rPr>
                <w:rFonts w:hint="default" w:ascii="Times New Roman" w:hAnsi="Times New Roman" w:eastAsia="宋体" w:cs="Times New Roman"/>
                <w:i w:val="0"/>
                <w:iCs w:val="0"/>
                <w:color w:val="FF0000"/>
                <w:kern w:val="0"/>
                <w:sz w:val="21"/>
                <w:szCs w:val="21"/>
                <w:u w:val="none"/>
                <w:lang w:val="en-US" w:eastAsia="zh-CN" w:bidi="ar"/>
              </w:rPr>
              <w:t>0.00273</w:t>
            </w:r>
            <w:r>
              <w:rPr>
                <w:rFonts w:hint="eastAsia"/>
                <w:bCs/>
                <w:color w:val="FF0000"/>
                <w:szCs w:val="21"/>
              </w:rPr>
              <w:t>t/a</w:t>
            </w:r>
          </w:p>
        </w:tc>
        <w:tc>
          <w:tcPr>
            <w:tcW w:w="1608" w:type="dxa"/>
            <w:vAlign w:val="center"/>
          </w:tcPr>
          <w:p w14:paraId="69CE9D3C">
            <w:pPr>
              <w:spacing w:line="320" w:lineRule="exact"/>
              <w:jc w:val="center"/>
              <w:rPr>
                <w:snapToGrid w:val="0"/>
                <w:color w:val="FF0000"/>
                <w:kern w:val="21"/>
                <w:szCs w:val="21"/>
              </w:rPr>
            </w:pPr>
            <w:r>
              <w:rPr>
                <w:rFonts w:hint="eastAsia"/>
                <w:snapToGrid w:val="0"/>
                <w:color w:val="FF0000"/>
                <w:kern w:val="21"/>
                <w:szCs w:val="21"/>
              </w:rPr>
              <w:t>/</w:t>
            </w:r>
          </w:p>
        </w:tc>
        <w:tc>
          <w:tcPr>
            <w:tcW w:w="1439" w:type="dxa"/>
            <w:vAlign w:val="center"/>
          </w:tcPr>
          <w:p w14:paraId="6714273C">
            <w:pPr>
              <w:keepNext w:val="0"/>
              <w:keepLines w:val="0"/>
              <w:widowControl/>
              <w:suppressLineNumbers w:val="0"/>
              <w:jc w:val="center"/>
              <w:textAlignment w:val="center"/>
              <w:rPr>
                <w:snapToGrid w:val="0"/>
                <w:color w:val="FF0000"/>
                <w:kern w:val="21"/>
                <w:szCs w:val="21"/>
              </w:rPr>
            </w:pPr>
            <w:r>
              <w:rPr>
                <w:rFonts w:hint="default" w:ascii="Times New Roman" w:hAnsi="Times New Roman" w:eastAsia="宋体" w:cs="Times New Roman"/>
                <w:i w:val="0"/>
                <w:iCs w:val="0"/>
                <w:color w:val="FF0000"/>
                <w:kern w:val="0"/>
                <w:sz w:val="21"/>
                <w:szCs w:val="21"/>
                <w:u w:val="none"/>
                <w:lang w:val="en-US" w:eastAsia="zh-CN" w:bidi="ar"/>
              </w:rPr>
              <w:t>0.00273</w:t>
            </w:r>
            <w:r>
              <w:rPr>
                <w:rFonts w:hint="eastAsia"/>
                <w:bCs/>
                <w:color w:val="FF0000"/>
                <w:szCs w:val="21"/>
              </w:rPr>
              <w:t>t/a</w:t>
            </w:r>
          </w:p>
        </w:tc>
        <w:tc>
          <w:tcPr>
            <w:tcW w:w="1466" w:type="dxa"/>
            <w:shd w:val="clear" w:color="auto" w:fill="auto"/>
            <w:vAlign w:val="center"/>
          </w:tcPr>
          <w:p w14:paraId="526348B5">
            <w:pPr>
              <w:keepNext w:val="0"/>
              <w:keepLines w:val="0"/>
              <w:widowControl/>
              <w:suppressLineNumbers w:val="0"/>
              <w:jc w:val="center"/>
              <w:textAlignment w:val="center"/>
              <w:rPr>
                <w:rFonts w:ascii="Times New Roman" w:hAnsi="Times New Roman" w:eastAsia="宋体" w:cs="Times New Roman"/>
                <w:snapToGrid w:val="0"/>
                <w:color w:val="FF0000"/>
                <w:kern w:val="21"/>
                <w:sz w:val="21"/>
                <w:szCs w:val="21"/>
                <w:lang w:val="en-US" w:eastAsia="zh-CN" w:bidi="ar-SA"/>
              </w:rPr>
            </w:pPr>
            <w:r>
              <w:rPr>
                <w:rFonts w:hint="eastAsia" w:ascii="Times New Roman" w:hAnsi="Times New Roman" w:eastAsia="宋体" w:cs="Times New Roman"/>
                <w:i w:val="0"/>
                <w:iCs w:val="0"/>
                <w:color w:val="FF0000"/>
                <w:kern w:val="0"/>
                <w:sz w:val="21"/>
                <w:szCs w:val="21"/>
                <w:u w:val="none"/>
                <w:lang w:val="en-US" w:eastAsia="zh-CN" w:bidi="ar"/>
              </w:rPr>
              <w:t>+</w:t>
            </w:r>
            <w:r>
              <w:rPr>
                <w:rFonts w:hint="default" w:ascii="Times New Roman" w:hAnsi="Times New Roman" w:eastAsia="宋体" w:cs="Times New Roman"/>
                <w:i w:val="0"/>
                <w:iCs w:val="0"/>
                <w:color w:val="FF0000"/>
                <w:kern w:val="0"/>
                <w:sz w:val="21"/>
                <w:szCs w:val="21"/>
                <w:u w:val="none"/>
                <w:lang w:val="en-US" w:eastAsia="zh-CN" w:bidi="ar"/>
              </w:rPr>
              <w:t>0.00273</w:t>
            </w:r>
            <w:r>
              <w:rPr>
                <w:rFonts w:hint="eastAsia"/>
                <w:bCs/>
                <w:color w:val="FF0000"/>
                <w:szCs w:val="21"/>
              </w:rPr>
              <w:t>t/a</w:t>
            </w:r>
          </w:p>
        </w:tc>
      </w:tr>
      <w:tr w14:paraId="77A3E2C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588" w:type="dxa"/>
            <w:vMerge w:val="continue"/>
            <w:vAlign w:val="center"/>
          </w:tcPr>
          <w:p w14:paraId="71D3A082">
            <w:pPr>
              <w:pStyle w:val="71"/>
              <w:spacing w:beforeLines="0" w:afterLines="0" w:line="320" w:lineRule="exact"/>
              <w:rPr>
                <w:rFonts w:ascii="Times New Roman"/>
                <w:snapToGrid w:val="0"/>
                <w:color w:val="FF0000"/>
                <w:kern w:val="21"/>
                <w:szCs w:val="21"/>
              </w:rPr>
            </w:pPr>
          </w:p>
        </w:tc>
        <w:tc>
          <w:tcPr>
            <w:tcW w:w="2112" w:type="dxa"/>
            <w:vAlign w:val="center"/>
          </w:tcPr>
          <w:p w14:paraId="38F27005">
            <w:pPr>
              <w:keepNext w:val="0"/>
              <w:keepLines w:val="0"/>
              <w:widowControl/>
              <w:suppressLineNumbers w:val="0"/>
              <w:jc w:val="center"/>
              <w:textAlignment w:val="center"/>
              <w:rPr>
                <w:rFonts w:hint="eastAsia"/>
                <w:snapToGrid w:val="0"/>
                <w:color w:val="FF0000"/>
                <w:kern w:val="21"/>
                <w:szCs w:val="21"/>
              </w:rPr>
            </w:pPr>
            <w:r>
              <w:rPr>
                <w:rFonts w:hint="eastAsia" w:ascii="Times New Roman" w:hAnsi="Times New Roman" w:eastAsia="宋体" w:cs="Times New Roman"/>
                <w:i w:val="0"/>
                <w:iCs w:val="0"/>
                <w:color w:val="FF0000"/>
                <w:kern w:val="0"/>
                <w:sz w:val="21"/>
                <w:szCs w:val="21"/>
                <w:u w:val="none"/>
                <w:lang w:val="en-US" w:eastAsia="zh-CN" w:bidi="ar"/>
              </w:rPr>
              <w:t>硫化氢</w:t>
            </w:r>
          </w:p>
        </w:tc>
        <w:tc>
          <w:tcPr>
            <w:tcW w:w="1350" w:type="dxa"/>
            <w:vAlign w:val="center"/>
          </w:tcPr>
          <w:p w14:paraId="33FDE523">
            <w:pPr>
              <w:spacing w:line="320" w:lineRule="exact"/>
              <w:jc w:val="center"/>
              <w:rPr>
                <w:rFonts w:hint="eastAsia"/>
                <w:snapToGrid w:val="0"/>
                <w:color w:val="FF0000"/>
                <w:kern w:val="21"/>
                <w:szCs w:val="21"/>
              </w:rPr>
            </w:pPr>
            <w:r>
              <w:rPr>
                <w:rFonts w:hint="eastAsia"/>
                <w:snapToGrid w:val="0"/>
                <w:color w:val="FF0000"/>
                <w:kern w:val="21"/>
                <w:szCs w:val="21"/>
              </w:rPr>
              <w:t>/</w:t>
            </w:r>
          </w:p>
        </w:tc>
        <w:tc>
          <w:tcPr>
            <w:tcW w:w="1335" w:type="dxa"/>
            <w:vAlign w:val="center"/>
          </w:tcPr>
          <w:p w14:paraId="6F13E440">
            <w:pPr>
              <w:spacing w:line="320" w:lineRule="exact"/>
              <w:jc w:val="center"/>
              <w:rPr>
                <w:rFonts w:hint="eastAsia"/>
                <w:snapToGrid w:val="0"/>
                <w:color w:val="FF0000"/>
                <w:kern w:val="21"/>
                <w:szCs w:val="21"/>
              </w:rPr>
            </w:pPr>
            <w:r>
              <w:rPr>
                <w:rFonts w:hint="eastAsia"/>
                <w:snapToGrid w:val="0"/>
                <w:color w:val="FF0000"/>
                <w:kern w:val="21"/>
                <w:szCs w:val="21"/>
              </w:rPr>
              <w:t>/</w:t>
            </w:r>
          </w:p>
        </w:tc>
        <w:tc>
          <w:tcPr>
            <w:tcW w:w="1349" w:type="dxa"/>
            <w:vAlign w:val="center"/>
          </w:tcPr>
          <w:p w14:paraId="47C7FBFD">
            <w:pPr>
              <w:spacing w:line="320" w:lineRule="exact"/>
              <w:jc w:val="center"/>
              <w:rPr>
                <w:rFonts w:hint="eastAsia"/>
                <w:snapToGrid w:val="0"/>
                <w:color w:val="FF0000"/>
                <w:kern w:val="21"/>
                <w:szCs w:val="21"/>
              </w:rPr>
            </w:pPr>
            <w:r>
              <w:rPr>
                <w:rFonts w:hint="eastAsia"/>
                <w:snapToGrid w:val="0"/>
                <w:color w:val="FF0000"/>
                <w:kern w:val="21"/>
                <w:szCs w:val="21"/>
              </w:rPr>
              <w:t>/</w:t>
            </w:r>
          </w:p>
        </w:tc>
        <w:tc>
          <w:tcPr>
            <w:tcW w:w="1541" w:type="dxa"/>
            <w:vAlign w:val="center"/>
          </w:tcPr>
          <w:p w14:paraId="2D32D27A">
            <w:pPr>
              <w:keepNext w:val="0"/>
              <w:keepLines w:val="0"/>
              <w:widowControl/>
              <w:suppressLineNumbers w:val="0"/>
              <w:jc w:val="center"/>
              <w:textAlignment w:val="center"/>
              <w:rPr>
                <w:snapToGrid w:val="0"/>
                <w:color w:val="FF0000"/>
                <w:kern w:val="21"/>
                <w:szCs w:val="21"/>
              </w:rPr>
            </w:pPr>
            <w:r>
              <w:rPr>
                <w:rFonts w:hint="default" w:ascii="Times New Roman" w:hAnsi="Times New Roman" w:eastAsia="宋体" w:cs="Times New Roman"/>
                <w:i w:val="0"/>
                <w:iCs w:val="0"/>
                <w:color w:val="FF0000"/>
                <w:kern w:val="0"/>
                <w:sz w:val="21"/>
                <w:szCs w:val="21"/>
                <w:u w:val="none"/>
                <w:lang w:val="en-US" w:eastAsia="zh-CN" w:bidi="ar"/>
              </w:rPr>
              <w:t>0.00003</w:t>
            </w:r>
            <w:r>
              <w:rPr>
                <w:rFonts w:hint="eastAsia"/>
                <w:bCs/>
                <w:color w:val="FF0000"/>
                <w:szCs w:val="21"/>
              </w:rPr>
              <w:t>t/a</w:t>
            </w:r>
          </w:p>
        </w:tc>
        <w:tc>
          <w:tcPr>
            <w:tcW w:w="1608" w:type="dxa"/>
            <w:vAlign w:val="center"/>
          </w:tcPr>
          <w:p w14:paraId="0F3A783E">
            <w:pPr>
              <w:spacing w:line="320" w:lineRule="exact"/>
              <w:jc w:val="center"/>
              <w:rPr>
                <w:snapToGrid w:val="0"/>
                <w:color w:val="FF0000"/>
                <w:kern w:val="21"/>
                <w:szCs w:val="21"/>
              </w:rPr>
            </w:pPr>
            <w:r>
              <w:rPr>
                <w:rFonts w:hint="eastAsia"/>
                <w:snapToGrid w:val="0"/>
                <w:color w:val="FF0000"/>
                <w:kern w:val="21"/>
                <w:szCs w:val="21"/>
              </w:rPr>
              <w:t>/</w:t>
            </w:r>
          </w:p>
        </w:tc>
        <w:tc>
          <w:tcPr>
            <w:tcW w:w="1439" w:type="dxa"/>
            <w:vAlign w:val="center"/>
          </w:tcPr>
          <w:p w14:paraId="3D72ED4C">
            <w:pPr>
              <w:keepNext w:val="0"/>
              <w:keepLines w:val="0"/>
              <w:widowControl/>
              <w:suppressLineNumbers w:val="0"/>
              <w:jc w:val="center"/>
              <w:textAlignment w:val="center"/>
              <w:rPr>
                <w:snapToGrid w:val="0"/>
                <w:color w:val="FF0000"/>
                <w:kern w:val="21"/>
                <w:szCs w:val="21"/>
              </w:rPr>
            </w:pPr>
            <w:r>
              <w:rPr>
                <w:rFonts w:hint="default" w:ascii="Times New Roman" w:hAnsi="Times New Roman" w:eastAsia="宋体" w:cs="Times New Roman"/>
                <w:i w:val="0"/>
                <w:iCs w:val="0"/>
                <w:color w:val="FF0000"/>
                <w:kern w:val="0"/>
                <w:sz w:val="21"/>
                <w:szCs w:val="21"/>
                <w:u w:val="none"/>
                <w:lang w:val="en-US" w:eastAsia="zh-CN" w:bidi="ar"/>
              </w:rPr>
              <w:t>0.00003</w:t>
            </w:r>
            <w:r>
              <w:rPr>
                <w:rFonts w:hint="eastAsia"/>
                <w:bCs/>
                <w:color w:val="FF0000"/>
                <w:szCs w:val="21"/>
              </w:rPr>
              <w:t>t/a</w:t>
            </w:r>
          </w:p>
        </w:tc>
        <w:tc>
          <w:tcPr>
            <w:tcW w:w="1466" w:type="dxa"/>
            <w:shd w:val="clear" w:color="auto" w:fill="auto"/>
            <w:vAlign w:val="center"/>
          </w:tcPr>
          <w:p w14:paraId="7D899CDB">
            <w:pPr>
              <w:keepNext w:val="0"/>
              <w:keepLines w:val="0"/>
              <w:widowControl/>
              <w:suppressLineNumbers w:val="0"/>
              <w:jc w:val="center"/>
              <w:textAlignment w:val="center"/>
              <w:rPr>
                <w:rFonts w:ascii="Times New Roman" w:hAnsi="Times New Roman" w:eastAsia="宋体" w:cs="Times New Roman"/>
                <w:snapToGrid w:val="0"/>
                <w:color w:val="FF0000"/>
                <w:kern w:val="21"/>
                <w:sz w:val="21"/>
                <w:szCs w:val="21"/>
                <w:lang w:val="en-US" w:eastAsia="zh-CN" w:bidi="ar-SA"/>
              </w:rPr>
            </w:pPr>
            <w:r>
              <w:rPr>
                <w:rFonts w:hint="eastAsia" w:ascii="Times New Roman" w:hAnsi="Times New Roman" w:eastAsia="宋体" w:cs="Times New Roman"/>
                <w:i w:val="0"/>
                <w:iCs w:val="0"/>
                <w:color w:val="FF0000"/>
                <w:kern w:val="0"/>
                <w:sz w:val="21"/>
                <w:szCs w:val="21"/>
                <w:u w:val="none"/>
                <w:lang w:val="en-US" w:eastAsia="zh-CN" w:bidi="ar"/>
              </w:rPr>
              <w:t>+</w:t>
            </w:r>
            <w:r>
              <w:rPr>
                <w:rFonts w:hint="default" w:ascii="Times New Roman" w:hAnsi="Times New Roman" w:eastAsia="宋体" w:cs="Times New Roman"/>
                <w:i w:val="0"/>
                <w:iCs w:val="0"/>
                <w:color w:val="FF0000"/>
                <w:kern w:val="0"/>
                <w:sz w:val="21"/>
                <w:szCs w:val="21"/>
                <w:u w:val="none"/>
                <w:lang w:val="en-US" w:eastAsia="zh-CN" w:bidi="ar"/>
              </w:rPr>
              <w:t>0.00003</w:t>
            </w:r>
            <w:r>
              <w:rPr>
                <w:rFonts w:hint="eastAsia"/>
                <w:bCs/>
                <w:color w:val="FF0000"/>
                <w:szCs w:val="21"/>
              </w:rPr>
              <w:t>t/a</w:t>
            </w:r>
          </w:p>
        </w:tc>
      </w:tr>
      <w:tr w14:paraId="3F65EC8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588" w:type="dxa"/>
            <w:vMerge w:val="restart"/>
            <w:vAlign w:val="center"/>
          </w:tcPr>
          <w:p w14:paraId="2DF3E02B">
            <w:pPr>
              <w:pStyle w:val="71"/>
              <w:spacing w:beforeLines="0" w:afterLines="0" w:line="320" w:lineRule="exact"/>
              <w:rPr>
                <w:rFonts w:ascii="Times New Roman"/>
                <w:snapToGrid w:val="0"/>
                <w:color w:val="FF0000"/>
                <w:kern w:val="21"/>
                <w:szCs w:val="21"/>
              </w:rPr>
            </w:pPr>
            <w:r>
              <w:rPr>
                <w:rFonts w:ascii="Times New Roman"/>
                <w:snapToGrid w:val="0"/>
                <w:color w:val="FF0000"/>
                <w:kern w:val="21"/>
                <w:szCs w:val="21"/>
              </w:rPr>
              <w:t>废水</w:t>
            </w:r>
          </w:p>
        </w:tc>
        <w:tc>
          <w:tcPr>
            <w:tcW w:w="2112" w:type="dxa"/>
            <w:vAlign w:val="center"/>
          </w:tcPr>
          <w:p w14:paraId="7FEB9773">
            <w:pPr>
              <w:widowControl/>
              <w:jc w:val="center"/>
              <w:textAlignment w:val="center"/>
              <w:rPr>
                <w:snapToGrid w:val="0"/>
                <w:color w:val="FF0000"/>
                <w:kern w:val="21"/>
                <w:szCs w:val="21"/>
              </w:rPr>
            </w:pPr>
            <w:r>
              <w:rPr>
                <w:color w:val="FF0000"/>
                <w:kern w:val="0"/>
                <w:szCs w:val="21"/>
                <w:lang w:bidi="ar"/>
              </w:rPr>
              <w:t>COD</w:t>
            </w:r>
          </w:p>
        </w:tc>
        <w:tc>
          <w:tcPr>
            <w:tcW w:w="1350" w:type="dxa"/>
            <w:vAlign w:val="center"/>
          </w:tcPr>
          <w:p w14:paraId="0C1E2213">
            <w:pPr>
              <w:spacing w:line="320" w:lineRule="exact"/>
              <w:jc w:val="center"/>
              <w:rPr>
                <w:snapToGrid w:val="0"/>
                <w:color w:val="FF0000"/>
                <w:kern w:val="21"/>
                <w:szCs w:val="21"/>
              </w:rPr>
            </w:pPr>
            <w:r>
              <w:rPr>
                <w:rFonts w:hint="eastAsia"/>
                <w:snapToGrid w:val="0"/>
                <w:color w:val="FF0000"/>
                <w:kern w:val="21"/>
                <w:szCs w:val="21"/>
              </w:rPr>
              <w:t>/</w:t>
            </w:r>
          </w:p>
        </w:tc>
        <w:tc>
          <w:tcPr>
            <w:tcW w:w="1335" w:type="dxa"/>
            <w:vAlign w:val="center"/>
          </w:tcPr>
          <w:p w14:paraId="7B0DD9C9">
            <w:pPr>
              <w:spacing w:line="320" w:lineRule="exact"/>
              <w:jc w:val="center"/>
              <w:rPr>
                <w:snapToGrid w:val="0"/>
                <w:color w:val="FF0000"/>
                <w:kern w:val="21"/>
                <w:szCs w:val="21"/>
              </w:rPr>
            </w:pPr>
            <w:r>
              <w:rPr>
                <w:rFonts w:hint="eastAsia"/>
                <w:snapToGrid w:val="0"/>
                <w:color w:val="FF0000"/>
                <w:kern w:val="21"/>
                <w:szCs w:val="21"/>
              </w:rPr>
              <w:t>/</w:t>
            </w:r>
          </w:p>
        </w:tc>
        <w:tc>
          <w:tcPr>
            <w:tcW w:w="1349" w:type="dxa"/>
            <w:vAlign w:val="center"/>
          </w:tcPr>
          <w:p w14:paraId="5D68FEA3">
            <w:pPr>
              <w:spacing w:line="320" w:lineRule="exact"/>
              <w:jc w:val="center"/>
              <w:rPr>
                <w:snapToGrid w:val="0"/>
                <w:color w:val="FF0000"/>
                <w:kern w:val="21"/>
                <w:szCs w:val="21"/>
              </w:rPr>
            </w:pPr>
            <w:r>
              <w:rPr>
                <w:rFonts w:hint="eastAsia"/>
                <w:snapToGrid w:val="0"/>
                <w:color w:val="FF0000"/>
                <w:kern w:val="21"/>
                <w:szCs w:val="21"/>
              </w:rPr>
              <w:t>/</w:t>
            </w:r>
          </w:p>
        </w:tc>
        <w:tc>
          <w:tcPr>
            <w:tcW w:w="1541" w:type="dxa"/>
            <w:vAlign w:val="center"/>
          </w:tcPr>
          <w:p w14:paraId="1FFD8E8E">
            <w:pPr>
              <w:keepNext w:val="0"/>
              <w:keepLines w:val="0"/>
              <w:widowControl/>
              <w:suppressLineNumbers w:val="0"/>
              <w:jc w:val="center"/>
              <w:textAlignment w:val="center"/>
              <w:rPr>
                <w:snapToGrid w:val="0"/>
                <w:color w:val="FF0000"/>
                <w:kern w:val="21"/>
                <w:szCs w:val="21"/>
              </w:rPr>
            </w:pPr>
            <w:r>
              <w:rPr>
                <w:rFonts w:hint="eastAsia" w:ascii="Times New Roman" w:hAnsi="Times New Roman" w:eastAsia="宋体" w:cs="Times New Roman"/>
                <w:i w:val="0"/>
                <w:iCs w:val="0"/>
                <w:color w:val="FF0000"/>
                <w:kern w:val="0"/>
                <w:sz w:val="21"/>
                <w:szCs w:val="21"/>
                <w:u w:val="none"/>
                <w:lang w:val="en-US" w:eastAsia="zh-CN" w:bidi="ar"/>
              </w:rPr>
              <w:t>0.000386</w:t>
            </w:r>
            <w:r>
              <w:rPr>
                <w:rFonts w:hint="eastAsia"/>
                <w:bCs/>
                <w:color w:val="FF0000"/>
                <w:szCs w:val="21"/>
              </w:rPr>
              <w:t>t/a</w:t>
            </w:r>
          </w:p>
        </w:tc>
        <w:tc>
          <w:tcPr>
            <w:tcW w:w="1608" w:type="dxa"/>
            <w:vAlign w:val="center"/>
          </w:tcPr>
          <w:p w14:paraId="5D52A12B">
            <w:pPr>
              <w:spacing w:line="320" w:lineRule="exact"/>
              <w:jc w:val="center"/>
              <w:rPr>
                <w:snapToGrid w:val="0"/>
                <w:color w:val="FF0000"/>
                <w:kern w:val="21"/>
                <w:szCs w:val="21"/>
              </w:rPr>
            </w:pPr>
            <w:r>
              <w:rPr>
                <w:rFonts w:hint="eastAsia"/>
                <w:snapToGrid w:val="0"/>
                <w:color w:val="FF0000"/>
                <w:kern w:val="21"/>
                <w:szCs w:val="21"/>
              </w:rPr>
              <w:t>/</w:t>
            </w:r>
          </w:p>
        </w:tc>
        <w:tc>
          <w:tcPr>
            <w:tcW w:w="1439" w:type="dxa"/>
            <w:vAlign w:val="center"/>
          </w:tcPr>
          <w:p w14:paraId="45FDE8AE">
            <w:pPr>
              <w:keepNext w:val="0"/>
              <w:keepLines w:val="0"/>
              <w:widowControl/>
              <w:suppressLineNumbers w:val="0"/>
              <w:jc w:val="center"/>
              <w:textAlignment w:val="center"/>
              <w:rPr>
                <w:snapToGrid w:val="0"/>
                <w:color w:val="FF0000"/>
                <w:kern w:val="21"/>
                <w:szCs w:val="21"/>
              </w:rPr>
            </w:pPr>
            <w:r>
              <w:rPr>
                <w:rFonts w:hint="eastAsia" w:ascii="Times New Roman" w:hAnsi="Times New Roman" w:eastAsia="宋体" w:cs="Times New Roman"/>
                <w:i w:val="0"/>
                <w:iCs w:val="0"/>
                <w:color w:val="FF0000"/>
                <w:kern w:val="0"/>
                <w:sz w:val="21"/>
                <w:szCs w:val="21"/>
                <w:u w:val="none"/>
                <w:lang w:val="en-US" w:eastAsia="zh-CN" w:bidi="ar"/>
              </w:rPr>
              <w:t>0.000386</w:t>
            </w:r>
            <w:r>
              <w:rPr>
                <w:rFonts w:hint="eastAsia"/>
                <w:bCs/>
                <w:color w:val="FF0000"/>
                <w:szCs w:val="21"/>
              </w:rPr>
              <w:t>t/a</w:t>
            </w:r>
          </w:p>
        </w:tc>
        <w:tc>
          <w:tcPr>
            <w:tcW w:w="1466" w:type="dxa"/>
            <w:shd w:val="clear" w:color="auto" w:fill="auto"/>
            <w:vAlign w:val="center"/>
          </w:tcPr>
          <w:p w14:paraId="38D430EE">
            <w:pPr>
              <w:keepNext w:val="0"/>
              <w:keepLines w:val="0"/>
              <w:widowControl/>
              <w:suppressLineNumbers w:val="0"/>
              <w:jc w:val="center"/>
              <w:textAlignment w:val="center"/>
              <w:rPr>
                <w:rFonts w:ascii="Times New Roman" w:hAnsi="Times New Roman" w:eastAsia="宋体" w:cs="Times New Roman"/>
                <w:snapToGrid w:val="0"/>
                <w:color w:val="FF0000"/>
                <w:kern w:val="21"/>
                <w:sz w:val="21"/>
                <w:szCs w:val="21"/>
                <w:lang w:val="en-US" w:eastAsia="zh-CN" w:bidi="ar-SA"/>
              </w:rPr>
            </w:pPr>
            <w:r>
              <w:rPr>
                <w:rFonts w:hint="eastAsia" w:ascii="Times New Roman" w:hAnsi="Times New Roman" w:eastAsia="宋体" w:cs="Times New Roman"/>
                <w:i w:val="0"/>
                <w:iCs w:val="0"/>
                <w:color w:val="FF0000"/>
                <w:kern w:val="0"/>
                <w:sz w:val="21"/>
                <w:szCs w:val="21"/>
                <w:u w:val="none"/>
                <w:lang w:val="en-US" w:eastAsia="zh-CN" w:bidi="ar"/>
              </w:rPr>
              <w:t>+0.000386</w:t>
            </w:r>
            <w:r>
              <w:rPr>
                <w:rFonts w:hint="eastAsia"/>
                <w:bCs/>
                <w:color w:val="FF0000"/>
                <w:szCs w:val="21"/>
              </w:rPr>
              <w:t>t/a</w:t>
            </w:r>
          </w:p>
        </w:tc>
      </w:tr>
      <w:tr w14:paraId="5035784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588" w:type="dxa"/>
            <w:vMerge w:val="continue"/>
            <w:vAlign w:val="center"/>
          </w:tcPr>
          <w:p w14:paraId="442F0D18">
            <w:pPr>
              <w:pStyle w:val="71"/>
              <w:spacing w:beforeLines="0" w:afterLines="0" w:line="320" w:lineRule="exact"/>
              <w:rPr>
                <w:rFonts w:ascii="Times New Roman"/>
                <w:snapToGrid w:val="0"/>
                <w:color w:val="FF0000"/>
                <w:kern w:val="21"/>
                <w:szCs w:val="21"/>
              </w:rPr>
            </w:pPr>
          </w:p>
        </w:tc>
        <w:tc>
          <w:tcPr>
            <w:tcW w:w="2112" w:type="dxa"/>
            <w:vAlign w:val="center"/>
          </w:tcPr>
          <w:p w14:paraId="5C1631B3">
            <w:pPr>
              <w:widowControl/>
              <w:jc w:val="center"/>
              <w:textAlignment w:val="center"/>
              <w:rPr>
                <w:snapToGrid w:val="0"/>
                <w:color w:val="FF0000"/>
                <w:kern w:val="21"/>
                <w:szCs w:val="21"/>
              </w:rPr>
            </w:pPr>
            <w:r>
              <w:rPr>
                <w:color w:val="FF0000"/>
                <w:kern w:val="0"/>
                <w:szCs w:val="21"/>
                <w:lang w:bidi="ar"/>
              </w:rPr>
              <w:t>BOD</w:t>
            </w:r>
            <w:r>
              <w:rPr>
                <w:color w:val="FF0000"/>
                <w:kern w:val="0"/>
                <w:szCs w:val="21"/>
                <w:vertAlign w:val="subscript"/>
                <w:lang w:bidi="ar"/>
              </w:rPr>
              <w:t>5</w:t>
            </w:r>
          </w:p>
        </w:tc>
        <w:tc>
          <w:tcPr>
            <w:tcW w:w="1350" w:type="dxa"/>
            <w:vAlign w:val="center"/>
          </w:tcPr>
          <w:p w14:paraId="5A7D9404">
            <w:pPr>
              <w:spacing w:line="320" w:lineRule="exact"/>
              <w:jc w:val="center"/>
              <w:rPr>
                <w:snapToGrid w:val="0"/>
                <w:color w:val="FF0000"/>
                <w:kern w:val="21"/>
                <w:szCs w:val="21"/>
              </w:rPr>
            </w:pPr>
            <w:r>
              <w:rPr>
                <w:rFonts w:hint="eastAsia"/>
                <w:snapToGrid w:val="0"/>
                <w:color w:val="FF0000"/>
                <w:kern w:val="21"/>
                <w:szCs w:val="21"/>
              </w:rPr>
              <w:t>/</w:t>
            </w:r>
          </w:p>
        </w:tc>
        <w:tc>
          <w:tcPr>
            <w:tcW w:w="1335" w:type="dxa"/>
            <w:vAlign w:val="center"/>
          </w:tcPr>
          <w:p w14:paraId="1EA43E30">
            <w:pPr>
              <w:spacing w:line="320" w:lineRule="exact"/>
              <w:jc w:val="center"/>
              <w:rPr>
                <w:snapToGrid w:val="0"/>
                <w:color w:val="FF0000"/>
                <w:kern w:val="21"/>
                <w:szCs w:val="21"/>
              </w:rPr>
            </w:pPr>
            <w:r>
              <w:rPr>
                <w:rFonts w:hint="eastAsia"/>
                <w:snapToGrid w:val="0"/>
                <w:color w:val="FF0000"/>
                <w:kern w:val="21"/>
                <w:szCs w:val="21"/>
              </w:rPr>
              <w:t>/</w:t>
            </w:r>
          </w:p>
        </w:tc>
        <w:tc>
          <w:tcPr>
            <w:tcW w:w="1349" w:type="dxa"/>
            <w:vAlign w:val="center"/>
          </w:tcPr>
          <w:p w14:paraId="1DF27E06">
            <w:pPr>
              <w:spacing w:line="320" w:lineRule="exact"/>
              <w:jc w:val="center"/>
              <w:rPr>
                <w:snapToGrid w:val="0"/>
                <w:color w:val="FF0000"/>
                <w:kern w:val="21"/>
                <w:szCs w:val="21"/>
              </w:rPr>
            </w:pPr>
            <w:r>
              <w:rPr>
                <w:rFonts w:hint="eastAsia"/>
                <w:snapToGrid w:val="0"/>
                <w:color w:val="FF0000"/>
                <w:kern w:val="21"/>
                <w:szCs w:val="21"/>
              </w:rPr>
              <w:t>/</w:t>
            </w:r>
          </w:p>
        </w:tc>
        <w:tc>
          <w:tcPr>
            <w:tcW w:w="1541" w:type="dxa"/>
            <w:vAlign w:val="center"/>
          </w:tcPr>
          <w:p w14:paraId="7AD963B3">
            <w:pPr>
              <w:keepNext w:val="0"/>
              <w:keepLines w:val="0"/>
              <w:widowControl/>
              <w:suppressLineNumbers w:val="0"/>
              <w:jc w:val="center"/>
              <w:textAlignment w:val="center"/>
              <w:rPr>
                <w:snapToGrid w:val="0"/>
                <w:color w:val="FF0000"/>
                <w:kern w:val="21"/>
                <w:szCs w:val="21"/>
              </w:rPr>
            </w:pPr>
            <w:r>
              <w:rPr>
                <w:rFonts w:hint="eastAsia" w:ascii="Times New Roman" w:hAnsi="Times New Roman" w:eastAsia="宋体" w:cs="Times New Roman"/>
                <w:i w:val="0"/>
                <w:iCs w:val="0"/>
                <w:color w:val="FF0000"/>
                <w:kern w:val="0"/>
                <w:sz w:val="21"/>
                <w:szCs w:val="21"/>
                <w:u w:val="none"/>
                <w:lang w:val="en-US" w:eastAsia="zh-CN" w:bidi="ar"/>
              </w:rPr>
              <w:t>0.000017</w:t>
            </w:r>
            <w:r>
              <w:rPr>
                <w:rFonts w:hint="eastAsia"/>
                <w:bCs/>
                <w:color w:val="FF0000"/>
                <w:szCs w:val="21"/>
              </w:rPr>
              <w:t>t/a</w:t>
            </w:r>
          </w:p>
        </w:tc>
        <w:tc>
          <w:tcPr>
            <w:tcW w:w="1608" w:type="dxa"/>
            <w:vAlign w:val="center"/>
          </w:tcPr>
          <w:p w14:paraId="00D2BAB9">
            <w:pPr>
              <w:spacing w:line="320" w:lineRule="exact"/>
              <w:jc w:val="center"/>
              <w:rPr>
                <w:snapToGrid w:val="0"/>
                <w:color w:val="FF0000"/>
                <w:kern w:val="21"/>
                <w:szCs w:val="21"/>
              </w:rPr>
            </w:pPr>
            <w:r>
              <w:rPr>
                <w:rFonts w:hint="eastAsia"/>
                <w:snapToGrid w:val="0"/>
                <w:color w:val="FF0000"/>
                <w:kern w:val="21"/>
                <w:szCs w:val="21"/>
              </w:rPr>
              <w:t>/</w:t>
            </w:r>
          </w:p>
        </w:tc>
        <w:tc>
          <w:tcPr>
            <w:tcW w:w="1439" w:type="dxa"/>
            <w:vAlign w:val="center"/>
          </w:tcPr>
          <w:p w14:paraId="2F5205E1">
            <w:pPr>
              <w:keepNext w:val="0"/>
              <w:keepLines w:val="0"/>
              <w:widowControl/>
              <w:suppressLineNumbers w:val="0"/>
              <w:jc w:val="center"/>
              <w:textAlignment w:val="center"/>
              <w:rPr>
                <w:snapToGrid w:val="0"/>
                <w:color w:val="FF0000"/>
                <w:kern w:val="21"/>
                <w:szCs w:val="21"/>
              </w:rPr>
            </w:pPr>
            <w:r>
              <w:rPr>
                <w:rFonts w:hint="eastAsia" w:ascii="Times New Roman" w:hAnsi="Times New Roman" w:eastAsia="宋体" w:cs="Times New Roman"/>
                <w:i w:val="0"/>
                <w:iCs w:val="0"/>
                <w:color w:val="FF0000"/>
                <w:kern w:val="0"/>
                <w:sz w:val="21"/>
                <w:szCs w:val="21"/>
                <w:u w:val="none"/>
                <w:lang w:val="en-US" w:eastAsia="zh-CN" w:bidi="ar"/>
              </w:rPr>
              <w:t>0.000017</w:t>
            </w:r>
            <w:r>
              <w:rPr>
                <w:rFonts w:hint="eastAsia"/>
                <w:bCs/>
                <w:color w:val="FF0000"/>
                <w:szCs w:val="21"/>
              </w:rPr>
              <w:t>t/a</w:t>
            </w:r>
          </w:p>
        </w:tc>
        <w:tc>
          <w:tcPr>
            <w:tcW w:w="1466" w:type="dxa"/>
            <w:shd w:val="clear" w:color="auto" w:fill="auto"/>
            <w:vAlign w:val="center"/>
          </w:tcPr>
          <w:p w14:paraId="78B844D4">
            <w:pPr>
              <w:keepNext w:val="0"/>
              <w:keepLines w:val="0"/>
              <w:widowControl/>
              <w:suppressLineNumbers w:val="0"/>
              <w:jc w:val="center"/>
              <w:textAlignment w:val="center"/>
              <w:rPr>
                <w:rFonts w:ascii="Times New Roman" w:hAnsi="Times New Roman" w:eastAsia="宋体" w:cs="Times New Roman"/>
                <w:snapToGrid w:val="0"/>
                <w:color w:val="FF0000"/>
                <w:kern w:val="21"/>
                <w:sz w:val="21"/>
                <w:szCs w:val="21"/>
                <w:lang w:val="en-US" w:eastAsia="zh-CN" w:bidi="ar-SA"/>
              </w:rPr>
            </w:pPr>
            <w:r>
              <w:rPr>
                <w:rFonts w:hint="eastAsia" w:ascii="Times New Roman" w:hAnsi="Times New Roman" w:eastAsia="宋体" w:cs="Times New Roman"/>
                <w:i w:val="0"/>
                <w:iCs w:val="0"/>
                <w:color w:val="FF0000"/>
                <w:kern w:val="0"/>
                <w:sz w:val="21"/>
                <w:szCs w:val="21"/>
                <w:u w:val="none"/>
                <w:lang w:val="en-US" w:eastAsia="zh-CN" w:bidi="ar"/>
              </w:rPr>
              <w:t>+0.000017</w:t>
            </w:r>
            <w:r>
              <w:rPr>
                <w:rFonts w:hint="eastAsia"/>
                <w:bCs/>
                <w:color w:val="FF0000"/>
                <w:szCs w:val="21"/>
              </w:rPr>
              <w:t>t/a</w:t>
            </w:r>
          </w:p>
        </w:tc>
      </w:tr>
      <w:tr w14:paraId="3D3A514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588" w:type="dxa"/>
            <w:vMerge w:val="continue"/>
            <w:vAlign w:val="center"/>
          </w:tcPr>
          <w:p w14:paraId="2E543CBF">
            <w:pPr>
              <w:pStyle w:val="71"/>
              <w:spacing w:beforeLines="0" w:afterLines="0" w:line="320" w:lineRule="exact"/>
              <w:rPr>
                <w:rFonts w:ascii="Times New Roman"/>
                <w:snapToGrid w:val="0"/>
                <w:color w:val="FF0000"/>
                <w:kern w:val="21"/>
                <w:szCs w:val="21"/>
              </w:rPr>
            </w:pPr>
          </w:p>
        </w:tc>
        <w:tc>
          <w:tcPr>
            <w:tcW w:w="2112" w:type="dxa"/>
            <w:vAlign w:val="center"/>
          </w:tcPr>
          <w:p w14:paraId="70AB3603">
            <w:pPr>
              <w:widowControl/>
              <w:jc w:val="center"/>
              <w:textAlignment w:val="center"/>
              <w:rPr>
                <w:snapToGrid w:val="0"/>
                <w:color w:val="FF0000"/>
                <w:kern w:val="21"/>
                <w:szCs w:val="21"/>
              </w:rPr>
            </w:pPr>
            <w:r>
              <w:rPr>
                <w:color w:val="FF0000"/>
                <w:kern w:val="0"/>
                <w:szCs w:val="21"/>
                <w:lang w:bidi="ar"/>
              </w:rPr>
              <w:t>SS</w:t>
            </w:r>
          </w:p>
        </w:tc>
        <w:tc>
          <w:tcPr>
            <w:tcW w:w="1350" w:type="dxa"/>
            <w:vAlign w:val="center"/>
          </w:tcPr>
          <w:p w14:paraId="73440DFE">
            <w:pPr>
              <w:spacing w:line="320" w:lineRule="exact"/>
              <w:jc w:val="center"/>
              <w:rPr>
                <w:snapToGrid w:val="0"/>
                <w:color w:val="FF0000"/>
                <w:kern w:val="21"/>
                <w:szCs w:val="21"/>
              </w:rPr>
            </w:pPr>
            <w:r>
              <w:rPr>
                <w:rFonts w:hint="eastAsia"/>
                <w:snapToGrid w:val="0"/>
                <w:color w:val="FF0000"/>
                <w:kern w:val="21"/>
                <w:szCs w:val="21"/>
              </w:rPr>
              <w:t>/</w:t>
            </w:r>
          </w:p>
        </w:tc>
        <w:tc>
          <w:tcPr>
            <w:tcW w:w="1335" w:type="dxa"/>
            <w:vAlign w:val="center"/>
          </w:tcPr>
          <w:p w14:paraId="14D9C1B0">
            <w:pPr>
              <w:spacing w:line="320" w:lineRule="exact"/>
              <w:jc w:val="center"/>
              <w:rPr>
                <w:snapToGrid w:val="0"/>
                <w:color w:val="FF0000"/>
                <w:kern w:val="21"/>
                <w:szCs w:val="21"/>
              </w:rPr>
            </w:pPr>
            <w:r>
              <w:rPr>
                <w:rFonts w:hint="eastAsia"/>
                <w:snapToGrid w:val="0"/>
                <w:color w:val="FF0000"/>
                <w:kern w:val="21"/>
                <w:szCs w:val="21"/>
              </w:rPr>
              <w:t>/</w:t>
            </w:r>
          </w:p>
        </w:tc>
        <w:tc>
          <w:tcPr>
            <w:tcW w:w="1349" w:type="dxa"/>
            <w:vAlign w:val="center"/>
          </w:tcPr>
          <w:p w14:paraId="00E82C85">
            <w:pPr>
              <w:spacing w:line="320" w:lineRule="exact"/>
              <w:jc w:val="center"/>
              <w:rPr>
                <w:snapToGrid w:val="0"/>
                <w:color w:val="FF0000"/>
                <w:kern w:val="21"/>
                <w:szCs w:val="21"/>
              </w:rPr>
            </w:pPr>
            <w:r>
              <w:rPr>
                <w:rFonts w:hint="eastAsia"/>
                <w:snapToGrid w:val="0"/>
                <w:color w:val="FF0000"/>
                <w:kern w:val="21"/>
                <w:szCs w:val="21"/>
              </w:rPr>
              <w:t>/</w:t>
            </w:r>
          </w:p>
        </w:tc>
        <w:tc>
          <w:tcPr>
            <w:tcW w:w="1541" w:type="dxa"/>
            <w:vAlign w:val="center"/>
          </w:tcPr>
          <w:p w14:paraId="6600AAE7">
            <w:pPr>
              <w:keepNext w:val="0"/>
              <w:keepLines w:val="0"/>
              <w:widowControl/>
              <w:suppressLineNumbers w:val="0"/>
              <w:jc w:val="center"/>
              <w:textAlignment w:val="center"/>
              <w:rPr>
                <w:snapToGrid w:val="0"/>
                <w:color w:val="FF0000"/>
                <w:kern w:val="21"/>
                <w:szCs w:val="21"/>
              </w:rPr>
            </w:pPr>
            <w:r>
              <w:rPr>
                <w:rFonts w:hint="eastAsia" w:ascii="Times New Roman" w:hAnsi="Times New Roman" w:eastAsia="宋体" w:cs="Times New Roman"/>
                <w:i w:val="0"/>
                <w:iCs w:val="0"/>
                <w:color w:val="FF0000"/>
                <w:kern w:val="0"/>
                <w:sz w:val="21"/>
                <w:szCs w:val="21"/>
                <w:u w:val="none"/>
                <w:lang w:val="en-US" w:eastAsia="zh-CN" w:bidi="ar"/>
              </w:rPr>
              <w:t>0.000053</w:t>
            </w:r>
            <w:r>
              <w:rPr>
                <w:rFonts w:hint="eastAsia"/>
                <w:bCs/>
                <w:color w:val="FF0000"/>
                <w:szCs w:val="21"/>
              </w:rPr>
              <w:t>t/a</w:t>
            </w:r>
          </w:p>
        </w:tc>
        <w:tc>
          <w:tcPr>
            <w:tcW w:w="1608" w:type="dxa"/>
            <w:vAlign w:val="center"/>
          </w:tcPr>
          <w:p w14:paraId="42A94FCA">
            <w:pPr>
              <w:spacing w:line="320" w:lineRule="exact"/>
              <w:jc w:val="center"/>
              <w:rPr>
                <w:snapToGrid w:val="0"/>
                <w:color w:val="FF0000"/>
                <w:kern w:val="21"/>
                <w:szCs w:val="21"/>
              </w:rPr>
            </w:pPr>
            <w:r>
              <w:rPr>
                <w:rFonts w:hint="eastAsia"/>
                <w:snapToGrid w:val="0"/>
                <w:color w:val="FF0000"/>
                <w:kern w:val="21"/>
                <w:szCs w:val="21"/>
              </w:rPr>
              <w:t>/</w:t>
            </w:r>
          </w:p>
        </w:tc>
        <w:tc>
          <w:tcPr>
            <w:tcW w:w="1439" w:type="dxa"/>
            <w:vAlign w:val="center"/>
          </w:tcPr>
          <w:p w14:paraId="7466BE96">
            <w:pPr>
              <w:keepNext w:val="0"/>
              <w:keepLines w:val="0"/>
              <w:widowControl/>
              <w:suppressLineNumbers w:val="0"/>
              <w:jc w:val="center"/>
              <w:textAlignment w:val="center"/>
              <w:rPr>
                <w:snapToGrid w:val="0"/>
                <w:color w:val="FF0000"/>
                <w:kern w:val="21"/>
                <w:szCs w:val="21"/>
              </w:rPr>
            </w:pPr>
            <w:r>
              <w:rPr>
                <w:rFonts w:hint="eastAsia" w:ascii="Times New Roman" w:hAnsi="Times New Roman" w:eastAsia="宋体" w:cs="Times New Roman"/>
                <w:i w:val="0"/>
                <w:iCs w:val="0"/>
                <w:color w:val="FF0000"/>
                <w:kern w:val="0"/>
                <w:sz w:val="21"/>
                <w:szCs w:val="21"/>
                <w:u w:val="none"/>
                <w:lang w:val="en-US" w:eastAsia="zh-CN" w:bidi="ar"/>
              </w:rPr>
              <w:t>0.000053</w:t>
            </w:r>
            <w:r>
              <w:rPr>
                <w:rFonts w:hint="eastAsia"/>
                <w:bCs/>
                <w:color w:val="FF0000"/>
                <w:szCs w:val="21"/>
              </w:rPr>
              <w:t>t/a</w:t>
            </w:r>
          </w:p>
        </w:tc>
        <w:tc>
          <w:tcPr>
            <w:tcW w:w="1466" w:type="dxa"/>
            <w:shd w:val="clear" w:color="auto" w:fill="auto"/>
            <w:vAlign w:val="center"/>
          </w:tcPr>
          <w:p w14:paraId="24AA8844">
            <w:pPr>
              <w:keepNext w:val="0"/>
              <w:keepLines w:val="0"/>
              <w:widowControl/>
              <w:suppressLineNumbers w:val="0"/>
              <w:jc w:val="center"/>
              <w:textAlignment w:val="center"/>
              <w:rPr>
                <w:rFonts w:ascii="Times New Roman" w:hAnsi="Times New Roman" w:eastAsia="宋体" w:cs="Times New Roman"/>
                <w:snapToGrid w:val="0"/>
                <w:color w:val="FF0000"/>
                <w:kern w:val="21"/>
                <w:sz w:val="21"/>
                <w:szCs w:val="21"/>
                <w:lang w:val="en-US" w:eastAsia="zh-CN" w:bidi="ar-SA"/>
              </w:rPr>
            </w:pPr>
            <w:r>
              <w:rPr>
                <w:rFonts w:hint="eastAsia" w:ascii="Times New Roman" w:hAnsi="Times New Roman" w:eastAsia="宋体" w:cs="Times New Roman"/>
                <w:i w:val="0"/>
                <w:iCs w:val="0"/>
                <w:color w:val="FF0000"/>
                <w:kern w:val="0"/>
                <w:sz w:val="21"/>
                <w:szCs w:val="21"/>
                <w:u w:val="none"/>
                <w:lang w:val="en-US" w:eastAsia="zh-CN" w:bidi="ar"/>
              </w:rPr>
              <w:t>+0.000053</w:t>
            </w:r>
            <w:r>
              <w:rPr>
                <w:rFonts w:hint="eastAsia"/>
                <w:bCs/>
                <w:color w:val="FF0000"/>
                <w:szCs w:val="21"/>
              </w:rPr>
              <w:t>t/a</w:t>
            </w:r>
          </w:p>
        </w:tc>
      </w:tr>
      <w:tr w14:paraId="614B6FE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588" w:type="dxa"/>
            <w:vMerge w:val="continue"/>
            <w:vAlign w:val="center"/>
          </w:tcPr>
          <w:p w14:paraId="014CC998">
            <w:pPr>
              <w:pStyle w:val="71"/>
              <w:spacing w:beforeLines="0" w:afterLines="0" w:line="320" w:lineRule="exact"/>
              <w:rPr>
                <w:rFonts w:ascii="Times New Roman"/>
                <w:snapToGrid w:val="0"/>
                <w:color w:val="FF0000"/>
                <w:kern w:val="21"/>
                <w:szCs w:val="21"/>
              </w:rPr>
            </w:pPr>
          </w:p>
        </w:tc>
        <w:tc>
          <w:tcPr>
            <w:tcW w:w="2112" w:type="dxa"/>
            <w:vAlign w:val="center"/>
          </w:tcPr>
          <w:p w14:paraId="79DE738E">
            <w:pPr>
              <w:widowControl/>
              <w:jc w:val="center"/>
              <w:textAlignment w:val="center"/>
              <w:rPr>
                <w:snapToGrid w:val="0"/>
                <w:color w:val="FF0000"/>
                <w:kern w:val="21"/>
                <w:szCs w:val="21"/>
              </w:rPr>
            </w:pPr>
            <w:r>
              <w:rPr>
                <w:color w:val="FF0000"/>
                <w:kern w:val="0"/>
                <w:szCs w:val="21"/>
                <w:lang w:bidi="ar"/>
              </w:rPr>
              <w:t>NH</w:t>
            </w:r>
            <w:r>
              <w:rPr>
                <w:color w:val="FF0000"/>
                <w:kern w:val="0"/>
                <w:szCs w:val="21"/>
                <w:vertAlign w:val="subscript"/>
                <w:lang w:bidi="ar"/>
              </w:rPr>
              <w:t>3</w:t>
            </w:r>
            <w:r>
              <w:rPr>
                <w:color w:val="FF0000"/>
                <w:kern w:val="0"/>
                <w:szCs w:val="21"/>
                <w:lang w:bidi="ar"/>
              </w:rPr>
              <w:t>-N</w:t>
            </w:r>
          </w:p>
        </w:tc>
        <w:tc>
          <w:tcPr>
            <w:tcW w:w="1350" w:type="dxa"/>
            <w:vAlign w:val="center"/>
          </w:tcPr>
          <w:p w14:paraId="6603F649">
            <w:pPr>
              <w:spacing w:line="320" w:lineRule="exact"/>
              <w:jc w:val="center"/>
              <w:rPr>
                <w:snapToGrid w:val="0"/>
                <w:color w:val="FF0000"/>
                <w:kern w:val="21"/>
                <w:szCs w:val="21"/>
              </w:rPr>
            </w:pPr>
            <w:r>
              <w:rPr>
                <w:rFonts w:hint="eastAsia"/>
                <w:snapToGrid w:val="0"/>
                <w:color w:val="FF0000"/>
                <w:kern w:val="21"/>
                <w:szCs w:val="21"/>
              </w:rPr>
              <w:t>/</w:t>
            </w:r>
          </w:p>
        </w:tc>
        <w:tc>
          <w:tcPr>
            <w:tcW w:w="1335" w:type="dxa"/>
            <w:vAlign w:val="center"/>
          </w:tcPr>
          <w:p w14:paraId="410C42E2">
            <w:pPr>
              <w:spacing w:line="320" w:lineRule="exact"/>
              <w:jc w:val="center"/>
              <w:rPr>
                <w:snapToGrid w:val="0"/>
                <w:color w:val="FF0000"/>
                <w:kern w:val="21"/>
                <w:szCs w:val="21"/>
              </w:rPr>
            </w:pPr>
            <w:r>
              <w:rPr>
                <w:rFonts w:hint="eastAsia"/>
                <w:snapToGrid w:val="0"/>
                <w:color w:val="FF0000"/>
                <w:kern w:val="21"/>
                <w:szCs w:val="21"/>
              </w:rPr>
              <w:t>/</w:t>
            </w:r>
          </w:p>
        </w:tc>
        <w:tc>
          <w:tcPr>
            <w:tcW w:w="1349" w:type="dxa"/>
            <w:vAlign w:val="center"/>
          </w:tcPr>
          <w:p w14:paraId="0E6EB551">
            <w:pPr>
              <w:spacing w:line="320" w:lineRule="exact"/>
              <w:jc w:val="center"/>
              <w:rPr>
                <w:snapToGrid w:val="0"/>
                <w:color w:val="FF0000"/>
                <w:kern w:val="21"/>
                <w:szCs w:val="21"/>
              </w:rPr>
            </w:pPr>
            <w:r>
              <w:rPr>
                <w:rFonts w:hint="eastAsia"/>
                <w:snapToGrid w:val="0"/>
                <w:color w:val="FF0000"/>
                <w:kern w:val="21"/>
                <w:szCs w:val="21"/>
              </w:rPr>
              <w:t>/</w:t>
            </w:r>
          </w:p>
        </w:tc>
        <w:tc>
          <w:tcPr>
            <w:tcW w:w="1541" w:type="dxa"/>
            <w:vAlign w:val="center"/>
          </w:tcPr>
          <w:p w14:paraId="482E9667">
            <w:pPr>
              <w:keepNext w:val="0"/>
              <w:keepLines w:val="0"/>
              <w:widowControl/>
              <w:suppressLineNumbers w:val="0"/>
              <w:jc w:val="center"/>
              <w:textAlignment w:val="center"/>
              <w:rPr>
                <w:snapToGrid w:val="0"/>
                <w:color w:val="FF0000"/>
                <w:kern w:val="21"/>
                <w:szCs w:val="21"/>
              </w:rPr>
            </w:pPr>
            <w:r>
              <w:rPr>
                <w:rFonts w:hint="eastAsia" w:ascii="Times New Roman" w:hAnsi="Times New Roman" w:eastAsia="宋体" w:cs="Times New Roman"/>
                <w:i w:val="0"/>
                <w:iCs w:val="0"/>
                <w:color w:val="FF0000"/>
                <w:kern w:val="0"/>
                <w:sz w:val="21"/>
                <w:szCs w:val="21"/>
                <w:u w:val="none"/>
                <w:lang w:val="en-US" w:eastAsia="zh-CN" w:bidi="ar"/>
              </w:rPr>
              <w:t>0.000012</w:t>
            </w:r>
            <w:r>
              <w:rPr>
                <w:rFonts w:hint="eastAsia"/>
                <w:bCs/>
                <w:color w:val="FF0000"/>
                <w:szCs w:val="21"/>
              </w:rPr>
              <w:t>t/a</w:t>
            </w:r>
          </w:p>
        </w:tc>
        <w:tc>
          <w:tcPr>
            <w:tcW w:w="1608" w:type="dxa"/>
            <w:vAlign w:val="center"/>
          </w:tcPr>
          <w:p w14:paraId="3E4CCD2D">
            <w:pPr>
              <w:spacing w:line="320" w:lineRule="exact"/>
              <w:jc w:val="center"/>
              <w:rPr>
                <w:snapToGrid w:val="0"/>
                <w:color w:val="FF0000"/>
                <w:kern w:val="21"/>
                <w:szCs w:val="21"/>
              </w:rPr>
            </w:pPr>
            <w:r>
              <w:rPr>
                <w:rFonts w:hint="eastAsia"/>
                <w:snapToGrid w:val="0"/>
                <w:color w:val="FF0000"/>
                <w:kern w:val="21"/>
                <w:szCs w:val="21"/>
              </w:rPr>
              <w:t>/</w:t>
            </w:r>
          </w:p>
        </w:tc>
        <w:tc>
          <w:tcPr>
            <w:tcW w:w="1439" w:type="dxa"/>
            <w:vAlign w:val="center"/>
          </w:tcPr>
          <w:p w14:paraId="2368166F">
            <w:pPr>
              <w:keepNext w:val="0"/>
              <w:keepLines w:val="0"/>
              <w:widowControl/>
              <w:suppressLineNumbers w:val="0"/>
              <w:jc w:val="center"/>
              <w:textAlignment w:val="center"/>
              <w:rPr>
                <w:snapToGrid w:val="0"/>
                <w:color w:val="FF0000"/>
                <w:kern w:val="21"/>
                <w:szCs w:val="21"/>
              </w:rPr>
            </w:pPr>
            <w:r>
              <w:rPr>
                <w:rFonts w:hint="eastAsia" w:ascii="Times New Roman" w:hAnsi="Times New Roman" w:eastAsia="宋体" w:cs="Times New Roman"/>
                <w:i w:val="0"/>
                <w:iCs w:val="0"/>
                <w:color w:val="FF0000"/>
                <w:kern w:val="0"/>
                <w:sz w:val="21"/>
                <w:szCs w:val="21"/>
                <w:u w:val="none"/>
                <w:lang w:val="en-US" w:eastAsia="zh-CN" w:bidi="ar"/>
              </w:rPr>
              <w:t>0.000012</w:t>
            </w:r>
            <w:r>
              <w:rPr>
                <w:rFonts w:hint="eastAsia"/>
                <w:bCs/>
                <w:color w:val="FF0000"/>
                <w:szCs w:val="21"/>
              </w:rPr>
              <w:t>t/a</w:t>
            </w:r>
          </w:p>
        </w:tc>
        <w:tc>
          <w:tcPr>
            <w:tcW w:w="1466" w:type="dxa"/>
            <w:shd w:val="clear" w:color="auto" w:fill="auto"/>
            <w:vAlign w:val="center"/>
          </w:tcPr>
          <w:p w14:paraId="6B31670E">
            <w:pPr>
              <w:keepNext w:val="0"/>
              <w:keepLines w:val="0"/>
              <w:widowControl/>
              <w:suppressLineNumbers w:val="0"/>
              <w:jc w:val="center"/>
              <w:textAlignment w:val="center"/>
              <w:rPr>
                <w:rFonts w:ascii="Times New Roman" w:hAnsi="Times New Roman" w:eastAsia="宋体" w:cs="Times New Roman"/>
                <w:snapToGrid w:val="0"/>
                <w:color w:val="FF0000"/>
                <w:kern w:val="21"/>
                <w:sz w:val="21"/>
                <w:szCs w:val="21"/>
                <w:lang w:val="en-US" w:eastAsia="zh-CN" w:bidi="ar-SA"/>
              </w:rPr>
            </w:pPr>
            <w:r>
              <w:rPr>
                <w:rFonts w:hint="eastAsia" w:ascii="Times New Roman" w:hAnsi="Times New Roman" w:eastAsia="宋体" w:cs="Times New Roman"/>
                <w:i w:val="0"/>
                <w:iCs w:val="0"/>
                <w:color w:val="FF0000"/>
                <w:kern w:val="0"/>
                <w:sz w:val="21"/>
                <w:szCs w:val="21"/>
                <w:u w:val="none"/>
                <w:lang w:val="en-US" w:eastAsia="zh-CN" w:bidi="ar"/>
              </w:rPr>
              <w:t>+0.000012</w:t>
            </w:r>
            <w:r>
              <w:rPr>
                <w:rFonts w:hint="eastAsia"/>
                <w:bCs/>
                <w:color w:val="FF0000"/>
                <w:szCs w:val="21"/>
              </w:rPr>
              <w:t>t/a</w:t>
            </w:r>
          </w:p>
        </w:tc>
      </w:tr>
      <w:tr w14:paraId="5D80C62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588" w:type="dxa"/>
            <w:vMerge w:val="continue"/>
            <w:vAlign w:val="center"/>
          </w:tcPr>
          <w:p w14:paraId="2610FFCF">
            <w:pPr>
              <w:pStyle w:val="71"/>
              <w:spacing w:beforeLines="0" w:afterLines="0" w:line="320" w:lineRule="exact"/>
              <w:rPr>
                <w:rFonts w:ascii="Times New Roman"/>
                <w:snapToGrid w:val="0"/>
                <w:color w:val="FF0000"/>
                <w:kern w:val="21"/>
                <w:szCs w:val="21"/>
              </w:rPr>
            </w:pPr>
          </w:p>
        </w:tc>
        <w:tc>
          <w:tcPr>
            <w:tcW w:w="2112" w:type="dxa"/>
            <w:vAlign w:val="center"/>
          </w:tcPr>
          <w:p w14:paraId="75326A95">
            <w:pPr>
              <w:widowControl/>
              <w:jc w:val="center"/>
              <w:textAlignment w:val="center"/>
              <w:rPr>
                <w:snapToGrid w:val="0"/>
                <w:color w:val="FF0000"/>
                <w:kern w:val="21"/>
                <w:szCs w:val="21"/>
              </w:rPr>
            </w:pPr>
            <w:r>
              <w:rPr>
                <w:color w:val="FF0000"/>
                <w:kern w:val="0"/>
                <w:szCs w:val="21"/>
                <w:lang w:bidi="ar"/>
              </w:rPr>
              <w:t>TP</w:t>
            </w:r>
          </w:p>
        </w:tc>
        <w:tc>
          <w:tcPr>
            <w:tcW w:w="1350" w:type="dxa"/>
            <w:vAlign w:val="center"/>
          </w:tcPr>
          <w:p w14:paraId="2A2FD3C9">
            <w:pPr>
              <w:spacing w:line="320" w:lineRule="exact"/>
              <w:jc w:val="center"/>
              <w:rPr>
                <w:snapToGrid w:val="0"/>
                <w:color w:val="FF0000"/>
                <w:kern w:val="21"/>
                <w:szCs w:val="21"/>
              </w:rPr>
            </w:pPr>
            <w:r>
              <w:rPr>
                <w:rFonts w:hint="eastAsia"/>
                <w:snapToGrid w:val="0"/>
                <w:color w:val="FF0000"/>
                <w:kern w:val="21"/>
                <w:szCs w:val="21"/>
              </w:rPr>
              <w:t>/</w:t>
            </w:r>
          </w:p>
        </w:tc>
        <w:tc>
          <w:tcPr>
            <w:tcW w:w="1335" w:type="dxa"/>
            <w:vAlign w:val="center"/>
          </w:tcPr>
          <w:p w14:paraId="07DC9107">
            <w:pPr>
              <w:spacing w:line="320" w:lineRule="exact"/>
              <w:jc w:val="center"/>
              <w:rPr>
                <w:snapToGrid w:val="0"/>
                <w:color w:val="FF0000"/>
                <w:kern w:val="21"/>
                <w:szCs w:val="21"/>
              </w:rPr>
            </w:pPr>
            <w:r>
              <w:rPr>
                <w:rFonts w:hint="eastAsia"/>
                <w:snapToGrid w:val="0"/>
                <w:color w:val="FF0000"/>
                <w:kern w:val="21"/>
                <w:szCs w:val="21"/>
              </w:rPr>
              <w:t>/</w:t>
            </w:r>
          </w:p>
        </w:tc>
        <w:tc>
          <w:tcPr>
            <w:tcW w:w="1349" w:type="dxa"/>
            <w:vAlign w:val="center"/>
          </w:tcPr>
          <w:p w14:paraId="33B46634">
            <w:pPr>
              <w:spacing w:line="320" w:lineRule="exact"/>
              <w:jc w:val="center"/>
              <w:rPr>
                <w:snapToGrid w:val="0"/>
                <w:color w:val="FF0000"/>
                <w:kern w:val="21"/>
                <w:szCs w:val="21"/>
              </w:rPr>
            </w:pPr>
            <w:r>
              <w:rPr>
                <w:rFonts w:hint="eastAsia"/>
                <w:snapToGrid w:val="0"/>
                <w:color w:val="FF0000"/>
                <w:kern w:val="21"/>
                <w:szCs w:val="21"/>
              </w:rPr>
              <w:t>/</w:t>
            </w:r>
          </w:p>
        </w:tc>
        <w:tc>
          <w:tcPr>
            <w:tcW w:w="1541" w:type="dxa"/>
            <w:vAlign w:val="center"/>
          </w:tcPr>
          <w:p w14:paraId="2AC19642">
            <w:pPr>
              <w:keepNext w:val="0"/>
              <w:keepLines w:val="0"/>
              <w:widowControl/>
              <w:suppressLineNumbers w:val="0"/>
              <w:jc w:val="center"/>
              <w:textAlignment w:val="center"/>
              <w:rPr>
                <w:snapToGrid w:val="0"/>
                <w:color w:val="FF0000"/>
                <w:kern w:val="21"/>
                <w:szCs w:val="21"/>
              </w:rPr>
            </w:pPr>
            <w:r>
              <w:rPr>
                <w:rFonts w:hint="eastAsia" w:ascii="Times New Roman" w:hAnsi="Times New Roman" w:eastAsia="宋体" w:cs="Times New Roman"/>
                <w:i w:val="0"/>
                <w:iCs w:val="0"/>
                <w:color w:val="FF0000"/>
                <w:kern w:val="0"/>
                <w:sz w:val="21"/>
                <w:szCs w:val="21"/>
                <w:u w:val="none"/>
                <w:lang w:val="en-US" w:eastAsia="zh-CN" w:bidi="ar"/>
              </w:rPr>
              <w:t>0.000001</w:t>
            </w:r>
            <w:r>
              <w:rPr>
                <w:rFonts w:hint="eastAsia"/>
                <w:bCs/>
                <w:color w:val="FF0000"/>
                <w:szCs w:val="21"/>
              </w:rPr>
              <w:t>t/a</w:t>
            </w:r>
          </w:p>
        </w:tc>
        <w:tc>
          <w:tcPr>
            <w:tcW w:w="1608" w:type="dxa"/>
            <w:vAlign w:val="center"/>
          </w:tcPr>
          <w:p w14:paraId="5FAE32BF">
            <w:pPr>
              <w:spacing w:line="320" w:lineRule="exact"/>
              <w:jc w:val="center"/>
              <w:rPr>
                <w:snapToGrid w:val="0"/>
                <w:color w:val="FF0000"/>
                <w:kern w:val="21"/>
                <w:szCs w:val="21"/>
              </w:rPr>
            </w:pPr>
            <w:r>
              <w:rPr>
                <w:rFonts w:hint="eastAsia"/>
                <w:snapToGrid w:val="0"/>
                <w:color w:val="FF0000"/>
                <w:kern w:val="21"/>
                <w:szCs w:val="21"/>
              </w:rPr>
              <w:t>/</w:t>
            </w:r>
          </w:p>
        </w:tc>
        <w:tc>
          <w:tcPr>
            <w:tcW w:w="1439" w:type="dxa"/>
            <w:vAlign w:val="center"/>
          </w:tcPr>
          <w:p w14:paraId="38DDC23F">
            <w:pPr>
              <w:keepNext w:val="0"/>
              <w:keepLines w:val="0"/>
              <w:widowControl/>
              <w:suppressLineNumbers w:val="0"/>
              <w:jc w:val="center"/>
              <w:textAlignment w:val="center"/>
              <w:rPr>
                <w:snapToGrid w:val="0"/>
                <w:color w:val="FF0000"/>
                <w:kern w:val="21"/>
                <w:szCs w:val="21"/>
              </w:rPr>
            </w:pPr>
            <w:r>
              <w:rPr>
                <w:rFonts w:hint="eastAsia" w:ascii="Times New Roman" w:hAnsi="Times New Roman" w:eastAsia="宋体" w:cs="Times New Roman"/>
                <w:i w:val="0"/>
                <w:iCs w:val="0"/>
                <w:color w:val="FF0000"/>
                <w:kern w:val="0"/>
                <w:sz w:val="21"/>
                <w:szCs w:val="21"/>
                <w:u w:val="none"/>
                <w:lang w:val="en-US" w:eastAsia="zh-CN" w:bidi="ar"/>
              </w:rPr>
              <w:t>0.000001</w:t>
            </w:r>
            <w:r>
              <w:rPr>
                <w:rFonts w:hint="eastAsia"/>
                <w:bCs/>
                <w:color w:val="FF0000"/>
                <w:szCs w:val="21"/>
              </w:rPr>
              <w:t>t/a</w:t>
            </w:r>
          </w:p>
        </w:tc>
        <w:tc>
          <w:tcPr>
            <w:tcW w:w="1466" w:type="dxa"/>
            <w:shd w:val="clear" w:color="auto" w:fill="auto"/>
            <w:vAlign w:val="center"/>
          </w:tcPr>
          <w:p w14:paraId="2E71C434">
            <w:pPr>
              <w:keepNext w:val="0"/>
              <w:keepLines w:val="0"/>
              <w:widowControl/>
              <w:suppressLineNumbers w:val="0"/>
              <w:jc w:val="center"/>
              <w:textAlignment w:val="center"/>
              <w:rPr>
                <w:rFonts w:ascii="Times New Roman" w:hAnsi="Times New Roman" w:eastAsia="宋体" w:cs="Times New Roman"/>
                <w:snapToGrid w:val="0"/>
                <w:color w:val="FF0000"/>
                <w:kern w:val="21"/>
                <w:sz w:val="21"/>
                <w:szCs w:val="21"/>
                <w:lang w:val="en-US" w:eastAsia="zh-CN" w:bidi="ar-SA"/>
              </w:rPr>
            </w:pPr>
            <w:r>
              <w:rPr>
                <w:rFonts w:hint="eastAsia" w:ascii="Times New Roman" w:hAnsi="Times New Roman" w:eastAsia="宋体" w:cs="Times New Roman"/>
                <w:i w:val="0"/>
                <w:iCs w:val="0"/>
                <w:color w:val="FF0000"/>
                <w:kern w:val="0"/>
                <w:sz w:val="21"/>
                <w:szCs w:val="21"/>
                <w:u w:val="none"/>
                <w:lang w:val="en-US" w:eastAsia="zh-CN" w:bidi="ar"/>
              </w:rPr>
              <w:t>+0.000001</w:t>
            </w:r>
            <w:r>
              <w:rPr>
                <w:rFonts w:hint="eastAsia"/>
                <w:bCs/>
                <w:color w:val="FF0000"/>
                <w:szCs w:val="21"/>
              </w:rPr>
              <w:t>t/a</w:t>
            </w:r>
          </w:p>
        </w:tc>
      </w:tr>
      <w:tr w14:paraId="667F770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588" w:type="dxa"/>
            <w:vMerge w:val="continue"/>
            <w:vAlign w:val="center"/>
          </w:tcPr>
          <w:p w14:paraId="303E6FAE">
            <w:pPr>
              <w:pStyle w:val="71"/>
              <w:spacing w:beforeLines="0" w:afterLines="0" w:line="320" w:lineRule="exact"/>
              <w:rPr>
                <w:rFonts w:ascii="Times New Roman"/>
                <w:snapToGrid w:val="0"/>
                <w:color w:val="FF0000"/>
                <w:kern w:val="21"/>
                <w:szCs w:val="21"/>
              </w:rPr>
            </w:pPr>
          </w:p>
        </w:tc>
        <w:tc>
          <w:tcPr>
            <w:tcW w:w="2112" w:type="dxa"/>
            <w:vAlign w:val="center"/>
          </w:tcPr>
          <w:p w14:paraId="664F31D0">
            <w:pPr>
              <w:widowControl/>
              <w:jc w:val="center"/>
              <w:textAlignment w:val="center"/>
              <w:rPr>
                <w:snapToGrid w:val="0"/>
                <w:color w:val="FF0000"/>
                <w:kern w:val="21"/>
                <w:szCs w:val="21"/>
              </w:rPr>
            </w:pPr>
            <w:r>
              <w:rPr>
                <w:color w:val="FF0000"/>
                <w:kern w:val="0"/>
                <w:szCs w:val="21"/>
                <w:lang w:bidi="ar"/>
              </w:rPr>
              <w:t>TN</w:t>
            </w:r>
          </w:p>
        </w:tc>
        <w:tc>
          <w:tcPr>
            <w:tcW w:w="1350" w:type="dxa"/>
            <w:vAlign w:val="center"/>
          </w:tcPr>
          <w:p w14:paraId="0736DCF8">
            <w:pPr>
              <w:spacing w:line="320" w:lineRule="exact"/>
              <w:jc w:val="center"/>
              <w:rPr>
                <w:snapToGrid w:val="0"/>
                <w:color w:val="FF0000"/>
                <w:kern w:val="21"/>
                <w:szCs w:val="21"/>
              </w:rPr>
            </w:pPr>
            <w:r>
              <w:rPr>
                <w:rFonts w:hint="eastAsia"/>
                <w:snapToGrid w:val="0"/>
                <w:color w:val="FF0000"/>
                <w:kern w:val="21"/>
                <w:szCs w:val="21"/>
              </w:rPr>
              <w:t>/</w:t>
            </w:r>
          </w:p>
        </w:tc>
        <w:tc>
          <w:tcPr>
            <w:tcW w:w="1335" w:type="dxa"/>
            <w:vAlign w:val="center"/>
          </w:tcPr>
          <w:p w14:paraId="5EC7D8DA">
            <w:pPr>
              <w:spacing w:line="320" w:lineRule="exact"/>
              <w:jc w:val="center"/>
              <w:rPr>
                <w:snapToGrid w:val="0"/>
                <w:color w:val="FF0000"/>
                <w:kern w:val="21"/>
                <w:szCs w:val="21"/>
              </w:rPr>
            </w:pPr>
            <w:r>
              <w:rPr>
                <w:rFonts w:hint="eastAsia"/>
                <w:snapToGrid w:val="0"/>
                <w:color w:val="FF0000"/>
                <w:kern w:val="21"/>
                <w:szCs w:val="21"/>
              </w:rPr>
              <w:t>/</w:t>
            </w:r>
          </w:p>
        </w:tc>
        <w:tc>
          <w:tcPr>
            <w:tcW w:w="1349" w:type="dxa"/>
            <w:vAlign w:val="center"/>
          </w:tcPr>
          <w:p w14:paraId="33D71D54">
            <w:pPr>
              <w:spacing w:line="320" w:lineRule="exact"/>
              <w:jc w:val="center"/>
              <w:rPr>
                <w:snapToGrid w:val="0"/>
                <w:color w:val="FF0000"/>
                <w:kern w:val="21"/>
                <w:szCs w:val="21"/>
              </w:rPr>
            </w:pPr>
            <w:r>
              <w:rPr>
                <w:rFonts w:hint="eastAsia"/>
                <w:snapToGrid w:val="0"/>
                <w:color w:val="FF0000"/>
                <w:kern w:val="21"/>
                <w:szCs w:val="21"/>
              </w:rPr>
              <w:t>/</w:t>
            </w:r>
          </w:p>
        </w:tc>
        <w:tc>
          <w:tcPr>
            <w:tcW w:w="1541" w:type="dxa"/>
            <w:vAlign w:val="center"/>
          </w:tcPr>
          <w:p w14:paraId="5E8CFC33">
            <w:pPr>
              <w:keepNext w:val="0"/>
              <w:keepLines w:val="0"/>
              <w:widowControl/>
              <w:suppressLineNumbers w:val="0"/>
              <w:jc w:val="center"/>
              <w:textAlignment w:val="center"/>
              <w:rPr>
                <w:snapToGrid w:val="0"/>
                <w:color w:val="FF0000"/>
                <w:kern w:val="21"/>
                <w:szCs w:val="21"/>
              </w:rPr>
            </w:pPr>
            <w:r>
              <w:rPr>
                <w:rFonts w:hint="eastAsia" w:ascii="Times New Roman" w:hAnsi="Times New Roman" w:eastAsia="宋体" w:cs="Times New Roman"/>
                <w:i w:val="0"/>
                <w:iCs w:val="0"/>
                <w:color w:val="FF0000"/>
                <w:kern w:val="0"/>
                <w:sz w:val="21"/>
                <w:szCs w:val="21"/>
                <w:u w:val="none"/>
                <w:lang w:val="en-US" w:eastAsia="zh-CN" w:bidi="ar"/>
              </w:rPr>
              <w:t>0.000007</w:t>
            </w:r>
            <w:r>
              <w:rPr>
                <w:rFonts w:hint="eastAsia"/>
                <w:bCs/>
                <w:color w:val="FF0000"/>
                <w:szCs w:val="21"/>
              </w:rPr>
              <w:t>t/a</w:t>
            </w:r>
          </w:p>
        </w:tc>
        <w:tc>
          <w:tcPr>
            <w:tcW w:w="1608" w:type="dxa"/>
            <w:vAlign w:val="center"/>
          </w:tcPr>
          <w:p w14:paraId="61B424D0">
            <w:pPr>
              <w:spacing w:line="320" w:lineRule="exact"/>
              <w:jc w:val="center"/>
              <w:rPr>
                <w:snapToGrid w:val="0"/>
                <w:color w:val="FF0000"/>
                <w:kern w:val="21"/>
                <w:szCs w:val="21"/>
              </w:rPr>
            </w:pPr>
            <w:r>
              <w:rPr>
                <w:rFonts w:hint="eastAsia"/>
                <w:snapToGrid w:val="0"/>
                <w:color w:val="FF0000"/>
                <w:kern w:val="21"/>
                <w:szCs w:val="21"/>
              </w:rPr>
              <w:t>/</w:t>
            </w:r>
          </w:p>
        </w:tc>
        <w:tc>
          <w:tcPr>
            <w:tcW w:w="1439" w:type="dxa"/>
            <w:vAlign w:val="center"/>
          </w:tcPr>
          <w:p w14:paraId="56F53C2B">
            <w:pPr>
              <w:keepNext w:val="0"/>
              <w:keepLines w:val="0"/>
              <w:widowControl/>
              <w:suppressLineNumbers w:val="0"/>
              <w:jc w:val="center"/>
              <w:textAlignment w:val="center"/>
              <w:rPr>
                <w:snapToGrid w:val="0"/>
                <w:color w:val="FF0000"/>
                <w:kern w:val="21"/>
                <w:szCs w:val="21"/>
              </w:rPr>
            </w:pPr>
            <w:r>
              <w:rPr>
                <w:rFonts w:hint="eastAsia" w:ascii="Times New Roman" w:hAnsi="Times New Roman" w:eastAsia="宋体" w:cs="Times New Roman"/>
                <w:i w:val="0"/>
                <w:iCs w:val="0"/>
                <w:color w:val="FF0000"/>
                <w:kern w:val="0"/>
                <w:sz w:val="21"/>
                <w:szCs w:val="21"/>
                <w:u w:val="none"/>
                <w:lang w:val="en-US" w:eastAsia="zh-CN" w:bidi="ar"/>
              </w:rPr>
              <w:t>0.000007</w:t>
            </w:r>
            <w:r>
              <w:rPr>
                <w:rFonts w:hint="eastAsia"/>
                <w:bCs/>
                <w:color w:val="FF0000"/>
                <w:szCs w:val="21"/>
              </w:rPr>
              <w:t>t/a</w:t>
            </w:r>
          </w:p>
        </w:tc>
        <w:tc>
          <w:tcPr>
            <w:tcW w:w="1466" w:type="dxa"/>
            <w:shd w:val="clear" w:color="auto" w:fill="auto"/>
            <w:vAlign w:val="center"/>
          </w:tcPr>
          <w:p w14:paraId="19121A16">
            <w:pPr>
              <w:keepNext w:val="0"/>
              <w:keepLines w:val="0"/>
              <w:widowControl/>
              <w:suppressLineNumbers w:val="0"/>
              <w:jc w:val="center"/>
              <w:textAlignment w:val="center"/>
              <w:rPr>
                <w:rFonts w:ascii="Times New Roman" w:hAnsi="Times New Roman" w:eastAsia="宋体" w:cs="Times New Roman"/>
                <w:snapToGrid w:val="0"/>
                <w:color w:val="FF0000"/>
                <w:kern w:val="21"/>
                <w:sz w:val="21"/>
                <w:szCs w:val="21"/>
                <w:lang w:val="en-US" w:eastAsia="zh-CN" w:bidi="ar-SA"/>
              </w:rPr>
            </w:pPr>
            <w:r>
              <w:rPr>
                <w:rFonts w:hint="eastAsia" w:ascii="Times New Roman" w:hAnsi="Times New Roman" w:eastAsia="宋体" w:cs="Times New Roman"/>
                <w:i w:val="0"/>
                <w:iCs w:val="0"/>
                <w:color w:val="FF0000"/>
                <w:kern w:val="0"/>
                <w:sz w:val="21"/>
                <w:szCs w:val="21"/>
                <w:u w:val="none"/>
                <w:lang w:val="en-US" w:eastAsia="zh-CN" w:bidi="ar"/>
              </w:rPr>
              <w:t>+0.000007</w:t>
            </w:r>
            <w:r>
              <w:rPr>
                <w:rFonts w:hint="eastAsia"/>
                <w:bCs/>
                <w:color w:val="FF0000"/>
                <w:szCs w:val="21"/>
              </w:rPr>
              <w:t>t/a</w:t>
            </w:r>
          </w:p>
        </w:tc>
      </w:tr>
      <w:tr w14:paraId="16CCC2C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588" w:type="dxa"/>
            <w:vMerge w:val="continue"/>
            <w:vAlign w:val="center"/>
          </w:tcPr>
          <w:p w14:paraId="430590B2">
            <w:pPr>
              <w:pStyle w:val="71"/>
              <w:spacing w:beforeLines="0" w:afterLines="0" w:line="320" w:lineRule="exact"/>
              <w:rPr>
                <w:rFonts w:ascii="Times New Roman"/>
                <w:snapToGrid w:val="0"/>
                <w:color w:val="FF0000"/>
                <w:kern w:val="21"/>
                <w:szCs w:val="21"/>
              </w:rPr>
            </w:pPr>
          </w:p>
        </w:tc>
        <w:tc>
          <w:tcPr>
            <w:tcW w:w="2112" w:type="dxa"/>
            <w:vAlign w:val="center"/>
          </w:tcPr>
          <w:p w14:paraId="478CD800">
            <w:pPr>
              <w:pStyle w:val="71"/>
              <w:spacing w:beforeLines="0" w:afterLines="0" w:line="320" w:lineRule="exact"/>
              <w:rPr>
                <w:rFonts w:ascii="Times New Roman"/>
                <w:snapToGrid w:val="0"/>
                <w:color w:val="FF0000"/>
                <w:kern w:val="21"/>
                <w:szCs w:val="21"/>
              </w:rPr>
            </w:pPr>
            <w:r>
              <w:rPr>
                <w:rFonts w:hint="eastAsia" w:ascii="Times New Roman"/>
                <w:snapToGrid w:val="0"/>
                <w:color w:val="FF0000"/>
                <w:kern w:val="21"/>
                <w:szCs w:val="21"/>
              </w:rPr>
              <w:t>石油类</w:t>
            </w:r>
          </w:p>
        </w:tc>
        <w:tc>
          <w:tcPr>
            <w:tcW w:w="1350" w:type="dxa"/>
            <w:vAlign w:val="center"/>
          </w:tcPr>
          <w:p w14:paraId="014761F4">
            <w:pPr>
              <w:spacing w:line="320" w:lineRule="exact"/>
              <w:jc w:val="center"/>
              <w:rPr>
                <w:snapToGrid w:val="0"/>
                <w:color w:val="FF0000"/>
                <w:kern w:val="21"/>
                <w:szCs w:val="21"/>
              </w:rPr>
            </w:pPr>
            <w:r>
              <w:rPr>
                <w:rFonts w:hint="eastAsia"/>
                <w:snapToGrid w:val="0"/>
                <w:color w:val="FF0000"/>
                <w:kern w:val="21"/>
                <w:szCs w:val="21"/>
              </w:rPr>
              <w:t>/</w:t>
            </w:r>
          </w:p>
        </w:tc>
        <w:tc>
          <w:tcPr>
            <w:tcW w:w="1335" w:type="dxa"/>
            <w:vAlign w:val="center"/>
          </w:tcPr>
          <w:p w14:paraId="2A857AF9">
            <w:pPr>
              <w:spacing w:line="320" w:lineRule="exact"/>
              <w:jc w:val="center"/>
              <w:rPr>
                <w:snapToGrid w:val="0"/>
                <w:color w:val="FF0000"/>
                <w:kern w:val="21"/>
                <w:szCs w:val="21"/>
              </w:rPr>
            </w:pPr>
            <w:r>
              <w:rPr>
                <w:rFonts w:hint="eastAsia"/>
                <w:snapToGrid w:val="0"/>
                <w:color w:val="FF0000"/>
                <w:kern w:val="21"/>
                <w:szCs w:val="21"/>
              </w:rPr>
              <w:t>/</w:t>
            </w:r>
          </w:p>
        </w:tc>
        <w:tc>
          <w:tcPr>
            <w:tcW w:w="1349" w:type="dxa"/>
            <w:vAlign w:val="center"/>
          </w:tcPr>
          <w:p w14:paraId="5DCB782D">
            <w:pPr>
              <w:spacing w:line="320" w:lineRule="exact"/>
              <w:jc w:val="center"/>
              <w:rPr>
                <w:snapToGrid w:val="0"/>
                <w:color w:val="FF0000"/>
                <w:kern w:val="21"/>
                <w:szCs w:val="21"/>
              </w:rPr>
            </w:pPr>
            <w:r>
              <w:rPr>
                <w:rFonts w:hint="eastAsia"/>
                <w:snapToGrid w:val="0"/>
                <w:color w:val="FF0000"/>
                <w:kern w:val="21"/>
                <w:szCs w:val="21"/>
              </w:rPr>
              <w:t>/</w:t>
            </w:r>
          </w:p>
        </w:tc>
        <w:tc>
          <w:tcPr>
            <w:tcW w:w="1541" w:type="dxa"/>
            <w:vAlign w:val="center"/>
          </w:tcPr>
          <w:p w14:paraId="61CE33E5">
            <w:pPr>
              <w:keepNext w:val="0"/>
              <w:keepLines w:val="0"/>
              <w:widowControl/>
              <w:suppressLineNumbers w:val="0"/>
              <w:jc w:val="center"/>
              <w:textAlignment w:val="center"/>
              <w:rPr>
                <w:snapToGrid w:val="0"/>
                <w:color w:val="FF0000"/>
                <w:kern w:val="21"/>
                <w:szCs w:val="21"/>
              </w:rPr>
            </w:pPr>
            <w:r>
              <w:rPr>
                <w:rFonts w:hint="eastAsia" w:ascii="Times New Roman" w:hAnsi="Times New Roman" w:eastAsia="宋体" w:cs="Times New Roman"/>
                <w:i w:val="0"/>
                <w:iCs w:val="0"/>
                <w:color w:val="FF0000"/>
                <w:kern w:val="0"/>
                <w:sz w:val="21"/>
                <w:szCs w:val="21"/>
                <w:u w:val="none"/>
                <w:lang w:val="en-US" w:eastAsia="zh-CN" w:bidi="ar"/>
              </w:rPr>
              <w:t>0.000032</w:t>
            </w:r>
            <w:r>
              <w:rPr>
                <w:rFonts w:hint="eastAsia"/>
                <w:bCs/>
                <w:color w:val="FF0000"/>
                <w:szCs w:val="21"/>
              </w:rPr>
              <w:t>t/a</w:t>
            </w:r>
          </w:p>
        </w:tc>
        <w:tc>
          <w:tcPr>
            <w:tcW w:w="1608" w:type="dxa"/>
            <w:vAlign w:val="center"/>
          </w:tcPr>
          <w:p w14:paraId="3EA9BCBF">
            <w:pPr>
              <w:spacing w:line="320" w:lineRule="exact"/>
              <w:jc w:val="center"/>
              <w:rPr>
                <w:snapToGrid w:val="0"/>
                <w:color w:val="FF0000"/>
                <w:kern w:val="21"/>
                <w:szCs w:val="21"/>
              </w:rPr>
            </w:pPr>
            <w:r>
              <w:rPr>
                <w:rFonts w:hint="eastAsia"/>
                <w:snapToGrid w:val="0"/>
                <w:color w:val="FF0000"/>
                <w:kern w:val="21"/>
                <w:szCs w:val="21"/>
              </w:rPr>
              <w:t>/</w:t>
            </w:r>
          </w:p>
        </w:tc>
        <w:tc>
          <w:tcPr>
            <w:tcW w:w="1439" w:type="dxa"/>
            <w:vAlign w:val="center"/>
          </w:tcPr>
          <w:p w14:paraId="10BABC16">
            <w:pPr>
              <w:keepNext w:val="0"/>
              <w:keepLines w:val="0"/>
              <w:widowControl/>
              <w:suppressLineNumbers w:val="0"/>
              <w:jc w:val="center"/>
              <w:textAlignment w:val="center"/>
              <w:rPr>
                <w:snapToGrid w:val="0"/>
                <w:color w:val="FF0000"/>
                <w:kern w:val="21"/>
                <w:szCs w:val="21"/>
              </w:rPr>
            </w:pPr>
            <w:r>
              <w:rPr>
                <w:rFonts w:hint="eastAsia" w:ascii="Times New Roman" w:hAnsi="Times New Roman" w:eastAsia="宋体" w:cs="Times New Roman"/>
                <w:i w:val="0"/>
                <w:iCs w:val="0"/>
                <w:color w:val="FF0000"/>
                <w:kern w:val="0"/>
                <w:sz w:val="21"/>
                <w:szCs w:val="21"/>
                <w:u w:val="none"/>
                <w:lang w:val="en-US" w:eastAsia="zh-CN" w:bidi="ar"/>
              </w:rPr>
              <w:t>0.000032</w:t>
            </w:r>
            <w:r>
              <w:rPr>
                <w:rFonts w:hint="eastAsia"/>
                <w:bCs/>
                <w:color w:val="FF0000"/>
                <w:szCs w:val="21"/>
              </w:rPr>
              <w:t>t/a</w:t>
            </w:r>
          </w:p>
        </w:tc>
        <w:tc>
          <w:tcPr>
            <w:tcW w:w="1466" w:type="dxa"/>
            <w:shd w:val="clear" w:color="auto" w:fill="auto"/>
            <w:vAlign w:val="center"/>
          </w:tcPr>
          <w:p w14:paraId="66CE6385">
            <w:pPr>
              <w:keepNext w:val="0"/>
              <w:keepLines w:val="0"/>
              <w:widowControl/>
              <w:suppressLineNumbers w:val="0"/>
              <w:jc w:val="center"/>
              <w:textAlignment w:val="center"/>
              <w:rPr>
                <w:rFonts w:ascii="Times New Roman" w:hAnsi="Times New Roman" w:eastAsia="宋体" w:cs="Times New Roman"/>
                <w:snapToGrid w:val="0"/>
                <w:color w:val="FF0000"/>
                <w:kern w:val="21"/>
                <w:sz w:val="21"/>
                <w:szCs w:val="21"/>
                <w:lang w:val="en-US" w:eastAsia="zh-CN" w:bidi="ar-SA"/>
              </w:rPr>
            </w:pPr>
            <w:r>
              <w:rPr>
                <w:rFonts w:hint="eastAsia" w:ascii="Times New Roman" w:hAnsi="Times New Roman" w:eastAsia="宋体" w:cs="Times New Roman"/>
                <w:i w:val="0"/>
                <w:iCs w:val="0"/>
                <w:color w:val="FF0000"/>
                <w:kern w:val="0"/>
                <w:sz w:val="21"/>
                <w:szCs w:val="21"/>
                <w:u w:val="none"/>
                <w:lang w:val="en-US" w:eastAsia="zh-CN" w:bidi="ar"/>
              </w:rPr>
              <w:t>+0.000032</w:t>
            </w:r>
            <w:r>
              <w:rPr>
                <w:rFonts w:hint="eastAsia"/>
                <w:bCs/>
                <w:color w:val="FF0000"/>
                <w:szCs w:val="21"/>
              </w:rPr>
              <w:t>t/a</w:t>
            </w:r>
          </w:p>
        </w:tc>
      </w:tr>
      <w:tr w14:paraId="7B4C02B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588" w:type="dxa"/>
            <w:vMerge w:val="restart"/>
            <w:vAlign w:val="center"/>
          </w:tcPr>
          <w:p w14:paraId="48582CFF">
            <w:pPr>
              <w:pStyle w:val="71"/>
              <w:spacing w:beforeLines="0" w:afterLines="0" w:line="320" w:lineRule="exact"/>
              <w:rPr>
                <w:rFonts w:ascii="Times New Roman"/>
                <w:snapToGrid w:val="0"/>
                <w:color w:val="FF0000"/>
                <w:kern w:val="21"/>
                <w:szCs w:val="21"/>
              </w:rPr>
            </w:pPr>
            <w:r>
              <w:rPr>
                <w:rFonts w:ascii="Times New Roman"/>
                <w:snapToGrid w:val="0"/>
                <w:color w:val="FF0000"/>
                <w:kern w:val="21"/>
                <w:szCs w:val="21"/>
              </w:rPr>
              <w:t>一般工业</w:t>
            </w:r>
          </w:p>
          <w:p w14:paraId="79C30607">
            <w:pPr>
              <w:pStyle w:val="71"/>
              <w:spacing w:beforeLines="0" w:afterLines="0" w:line="320" w:lineRule="exact"/>
              <w:rPr>
                <w:rFonts w:ascii="Times New Roman"/>
                <w:snapToGrid w:val="0"/>
                <w:color w:val="FF0000"/>
                <w:kern w:val="21"/>
                <w:szCs w:val="21"/>
              </w:rPr>
            </w:pPr>
            <w:r>
              <w:rPr>
                <w:rFonts w:ascii="Times New Roman"/>
                <w:snapToGrid w:val="0"/>
                <w:color w:val="FF0000"/>
                <w:kern w:val="21"/>
                <w:szCs w:val="21"/>
              </w:rPr>
              <w:t>固体废物</w:t>
            </w:r>
          </w:p>
        </w:tc>
        <w:tc>
          <w:tcPr>
            <w:tcW w:w="2112" w:type="dxa"/>
            <w:vAlign w:val="center"/>
          </w:tcPr>
          <w:p w14:paraId="49CB411D">
            <w:pPr>
              <w:widowControl/>
              <w:adjustRightInd w:val="0"/>
              <w:snapToGrid w:val="0"/>
              <w:spacing w:line="320" w:lineRule="exact"/>
              <w:jc w:val="center"/>
              <w:rPr>
                <w:snapToGrid w:val="0"/>
                <w:color w:val="FF0000"/>
                <w:kern w:val="21"/>
                <w:szCs w:val="21"/>
              </w:rPr>
            </w:pPr>
            <w:r>
              <w:rPr>
                <w:rFonts w:hint="eastAsia" w:ascii="宋体" w:hAnsi="宋体" w:cs="宋体"/>
                <w:color w:val="FF0000"/>
                <w:kern w:val="0"/>
                <w:szCs w:val="21"/>
                <w:lang w:bidi="ar"/>
              </w:rPr>
              <w:t>生活垃圾</w:t>
            </w:r>
          </w:p>
        </w:tc>
        <w:tc>
          <w:tcPr>
            <w:tcW w:w="1350" w:type="dxa"/>
            <w:vAlign w:val="center"/>
          </w:tcPr>
          <w:p w14:paraId="158DD812">
            <w:pPr>
              <w:spacing w:line="320" w:lineRule="exact"/>
              <w:jc w:val="center"/>
              <w:rPr>
                <w:snapToGrid w:val="0"/>
                <w:color w:val="FF0000"/>
                <w:kern w:val="21"/>
                <w:szCs w:val="21"/>
              </w:rPr>
            </w:pPr>
            <w:r>
              <w:rPr>
                <w:rFonts w:hint="eastAsia"/>
                <w:snapToGrid w:val="0"/>
                <w:color w:val="FF0000"/>
                <w:kern w:val="21"/>
                <w:szCs w:val="21"/>
              </w:rPr>
              <w:t>/</w:t>
            </w:r>
          </w:p>
        </w:tc>
        <w:tc>
          <w:tcPr>
            <w:tcW w:w="1335" w:type="dxa"/>
            <w:vAlign w:val="center"/>
          </w:tcPr>
          <w:p w14:paraId="7DA6D88B">
            <w:pPr>
              <w:spacing w:line="320" w:lineRule="exact"/>
              <w:jc w:val="center"/>
              <w:rPr>
                <w:snapToGrid w:val="0"/>
                <w:color w:val="FF0000"/>
                <w:kern w:val="21"/>
                <w:szCs w:val="21"/>
              </w:rPr>
            </w:pPr>
            <w:r>
              <w:rPr>
                <w:rFonts w:hint="eastAsia"/>
                <w:snapToGrid w:val="0"/>
                <w:color w:val="FF0000"/>
                <w:kern w:val="21"/>
                <w:szCs w:val="21"/>
              </w:rPr>
              <w:t>/</w:t>
            </w:r>
          </w:p>
        </w:tc>
        <w:tc>
          <w:tcPr>
            <w:tcW w:w="1349" w:type="dxa"/>
            <w:vAlign w:val="center"/>
          </w:tcPr>
          <w:p w14:paraId="04CE3A92">
            <w:pPr>
              <w:spacing w:line="320" w:lineRule="exact"/>
              <w:jc w:val="center"/>
              <w:rPr>
                <w:snapToGrid w:val="0"/>
                <w:color w:val="FF0000"/>
                <w:kern w:val="21"/>
                <w:szCs w:val="21"/>
              </w:rPr>
            </w:pPr>
            <w:r>
              <w:rPr>
                <w:rFonts w:hint="eastAsia"/>
                <w:snapToGrid w:val="0"/>
                <w:color w:val="FF0000"/>
                <w:kern w:val="21"/>
                <w:szCs w:val="21"/>
              </w:rPr>
              <w:t>/</w:t>
            </w:r>
          </w:p>
        </w:tc>
        <w:tc>
          <w:tcPr>
            <w:tcW w:w="1541" w:type="dxa"/>
            <w:vAlign w:val="center"/>
          </w:tcPr>
          <w:p w14:paraId="76A9A011">
            <w:pPr>
              <w:widowControl/>
              <w:adjustRightInd w:val="0"/>
              <w:snapToGrid w:val="0"/>
              <w:spacing w:line="320" w:lineRule="exact"/>
              <w:jc w:val="center"/>
              <w:rPr>
                <w:snapToGrid w:val="0"/>
                <w:color w:val="FF0000"/>
                <w:kern w:val="21"/>
                <w:szCs w:val="21"/>
              </w:rPr>
            </w:pPr>
            <w:r>
              <w:rPr>
                <w:rFonts w:hint="eastAsia" w:ascii="Times New Roman" w:hAnsi="Times New Roman" w:eastAsia="宋体" w:cs="Times New Roman"/>
                <w:i w:val="0"/>
                <w:iCs w:val="0"/>
                <w:color w:val="FF0000"/>
                <w:kern w:val="0"/>
                <w:sz w:val="21"/>
                <w:szCs w:val="21"/>
                <w:u w:val="none"/>
                <w:lang w:val="en-US" w:eastAsia="zh-CN" w:bidi="ar"/>
              </w:rPr>
              <w:t>2.25</w:t>
            </w:r>
            <w:r>
              <w:rPr>
                <w:rFonts w:hint="eastAsia"/>
                <w:bCs/>
                <w:color w:val="FF0000"/>
                <w:szCs w:val="21"/>
              </w:rPr>
              <w:t>t/a</w:t>
            </w:r>
          </w:p>
        </w:tc>
        <w:tc>
          <w:tcPr>
            <w:tcW w:w="1608" w:type="dxa"/>
            <w:vAlign w:val="center"/>
          </w:tcPr>
          <w:p w14:paraId="646EB2BF">
            <w:pPr>
              <w:spacing w:line="320" w:lineRule="exact"/>
              <w:jc w:val="center"/>
              <w:rPr>
                <w:snapToGrid w:val="0"/>
                <w:color w:val="FF0000"/>
                <w:kern w:val="21"/>
                <w:szCs w:val="21"/>
              </w:rPr>
            </w:pPr>
            <w:r>
              <w:rPr>
                <w:rFonts w:hint="eastAsia"/>
                <w:snapToGrid w:val="0"/>
                <w:color w:val="FF0000"/>
                <w:kern w:val="21"/>
                <w:szCs w:val="21"/>
              </w:rPr>
              <w:t>/</w:t>
            </w:r>
          </w:p>
        </w:tc>
        <w:tc>
          <w:tcPr>
            <w:tcW w:w="1439" w:type="dxa"/>
            <w:vAlign w:val="center"/>
          </w:tcPr>
          <w:p w14:paraId="05CC2BEC">
            <w:pPr>
              <w:widowControl/>
              <w:adjustRightInd w:val="0"/>
              <w:snapToGrid w:val="0"/>
              <w:spacing w:line="320" w:lineRule="exact"/>
              <w:jc w:val="center"/>
              <w:rPr>
                <w:snapToGrid w:val="0"/>
                <w:color w:val="FF0000"/>
                <w:kern w:val="21"/>
                <w:szCs w:val="21"/>
              </w:rPr>
            </w:pPr>
            <w:r>
              <w:rPr>
                <w:rFonts w:hint="eastAsia" w:ascii="Times New Roman" w:hAnsi="Times New Roman" w:eastAsia="宋体" w:cs="Times New Roman"/>
                <w:i w:val="0"/>
                <w:iCs w:val="0"/>
                <w:color w:val="FF0000"/>
                <w:kern w:val="0"/>
                <w:sz w:val="21"/>
                <w:szCs w:val="21"/>
                <w:u w:val="none"/>
                <w:lang w:val="en-US" w:eastAsia="zh-CN" w:bidi="ar"/>
              </w:rPr>
              <w:t>2.25</w:t>
            </w:r>
            <w:r>
              <w:rPr>
                <w:rFonts w:hint="eastAsia"/>
                <w:bCs/>
                <w:color w:val="FF0000"/>
                <w:szCs w:val="21"/>
              </w:rPr>
              <w:t>t/a</w:t>
            </w:r>
          </w:p>
        </w:tc>
        <w:tc>
          <w:tcPr>
            <w:tcW w:w="1466" w:type="dxa"/>
            <w:shd w:val="clear" w:color="auto" w:fill="auto"/>
            <w:vAlign w:val="center"/>
          </w:tcPr>
          <w:p w14:paraId="04BDAABF">
            <w:pPr>
              <w:widowControl/>
              <w:adjustRightInd w:val="0"/>
              <w:snapToGrid w:val="0"/>
              <w:spacing w:line="320" w:lineRule="exact"/>
              <w:jc w:val="center"/>
              <w:rPr>
                <w:rFonts w:ascii="Times New Roman" w:hAnsi="Times New Roman" w:eastAsia="宋体" w:cs="Times New Roman"/>
                <w:snapToGrid w:val="0"/>
                <w:color w:val="FF0000"/>
                <w:kern w:val="21"/>
                <w:sz w:val="21"/>
                <w:szCs w:val="21"/>
                <w:lang w:val="en-US" w:eastAsia="zh-CN" w:bidi="ar-SA"/>
              </w:rPr>
            </w:pPr>
            <w:r>
              <w:rPr>
                <w:rFonts w:hint="eastAsia" w:ascii="Times New Roman" w:hAnsi="Times New Roman" w:eastAsia="宋体" w:cs="Times New Roman"/>
                <w:i w:val="0"/>
                <w:iCs w:val="0"/>
                <w:color w:val="FF0000"/>
                <w:kern w:val="0"/>
                <w:sz w:val="21"/>
                <w:szCs w:val="21"/>
                <w:u w:val="none"/>
                <w:lang w:val="en-US" w:eastAsia="zh-CN" w:bidi="ar"/>
              </w:rPr>
              <w:t>+2.25</w:t>
            </w:r>
            <w:r>
              <w:rPr>
                <w:rFonts w:hint="eastAsia"/>
                <w:bCs/>
                <w:color w:val="FF0000"/>
                <w:szCs w:val="21"/>
              </w:rPr>
              <w:t>t/a</w:t>
            </w:r>
          </w:p>
        </w:tc>
      </w:tr>
      <w:tr w14:paraId="6C7CFD4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588" w:type="dxa"/>
            <w:vMerge w:val="continue"/>
            <w:vAlign w:val="center"/>
          </w:tcPr>
          <w:p w14:paraId="2E119341">
            <w:pPr>
              <w:pStyle w:val="71"/>
              <w:spacing w:beforeLines="0" w:afterLines="0" w:line="320" w:lineRule="exact"/>
              <w:rPr>
                <w:rFonts w:ascii="Times New Roman"/>
                <w:snapToGrid w:val="0"/>
                <w:color w:val="FF0000"/>
                <w:kern w:val="21"/>
                <w:szCs w:val="21"/>
              </w:rPr>
            </w:pPr>
          </w:p>
        </w:tc>
        <w:tc>
          <w:tcPr>
            <w:tcW w:w="2112" w:type="dxa"/>
            <w:shd w:val="clear" w:color="auto" w:fill="auto"/>
            <w:vAlign w:val="center"/>
          </w:tcPr>
          <w:p w14:paraId="734AFDDA">
            <w:pPr>
              <w:keepNext w:val="0"/>
              <w:keepLines w:val="0"/>
              <w:widowControl/>
              <w:suppressLineNumbers w:val="0"/>
              <w:jc w:val="center"/>
              <w:textAlignment w:val="center"/>
              <w:rPr>
                <w:bCs/>
                <w:color w:val="FF0000"/>
                <w:szCs w:val="21"/>
              </w:rPr>
            </w:pPr>
            <w:r>
              <w:rPr>
                <w:rFonts w:hint="default" w:ascii="Times New Roman" w:hAnsi="Times New Roman" w:eastAsia="宋体" w:cs="Times New Roman"/>
                <w:i w:val="0"/>
                <w:iCs w:val="0"/>
                <w:color w:val="FF0000"/>
                <w:kern w:val="0"/>
                <w:sz w:val="21"/>
                <w:szCs w:val="21"/>
                <w:u w:val="none"/>
                <w:lang w:val="en-US" w:eastAsia="zh-CN" w:bidi="ar"/>
              </w:rPr>
              <w:t>可回用钢铁</w:t>
            </w:r>
          </w:p>
        </w:tc>
        <w:tc>
          <w:tcPr>
            <w:tcW w:w="1350" w:type="dxa"/>
            <w:vAlign w:val="center"/>
          </w:tcPr>
          <w:p w14:paraId="1EF97AD9">
            <w:pPr>
              <w:spacing w:line="320" w:lineRule="exact"/>
              <w:jc w:val="center"/>
              <w:rPr>
                <w:snapToGrid w:val="0"/>
                <w:color w:val="FF0000"/>
                <w:kern w:val="21"/>
                <w:szCs w:val="21"/>
              </w:rPr>
            </w:pPr>
            <w:r>
              <w:rPr>
                <w:rFonts w:hint="eastAsia"/>
                <w:snapToGrid w:val="0"/>
                <w:color w:val="FF0000"/>
                <w:kern w:val="21"/>
                <w:szCs w:val="21"/>
              </w:rPr>
              <w:t>/</w:t>
            </w:r>
          </w:p>
        </w:tc>
        <w:tc>
          <w:tcPr>
            <w:tcW w:w="1335" w:type="dxa"/>
            <w:vAlign w:val="center"/>
          </w:tcPr>
          <w:p w14:paraId="63EAAAFA">
            <w:pPr>
              <w:spacing w:line="320" w:lineRule="exact"/>
              <w:jc w:val="center"/>
              <w:rPr>
                <w:snapToGrid w:val="0"/>
                <w:color w:val="FF0000"/>
                <w:kern w:val="21"/>
                <w:szCs w:val="21"/>
              </w:rPr>
            </w:pPr>
            <w:r>
              <w:rPr>
                <w:rFonts w:hint="eastAsia"/>
                <w:snapToGrid w:val="0"/>
                <w:color w:val="FF0000"/>
                <w:kern w:val="21"/>
                <w:szCs w:val="21"/>
              </w:rPr>
              <w:t>/</w:t>
            </w:r>
          </w:p>
        </w:tc>
        <w:tc>
          <w:tcPr>
            <w:tcW w:w="1349" w:type="dxa"/>
            <w:vAlign w:val="center"/>
          </w:tcPr>
          <w:p w14:paraId="3CAE11FC">
            <w:pPr>
              <w:spacing w:line="320" w:lineRule="exact"/>
              <w:jc w:val="center"/>
              <w:rPr>
                <w:snapToGrid w:val="0"/>
                <w:color w:val="FF0000"/>
                <w:kern w:val="21"/>
                <w:szCs w:val="21"/>
              </w:rPr>
            </w:pPr>
            <w:r>
              <w:rPr>
                <w:rFonts w:hint="eastAsia"/>
                <w:snapToGrid w:val="0"/>
                <w:color w:val="FF0000"/>
                <w:kern w:val="21"/>
                <w:szCs w:val="21"/>
              </w:rPr>
              <w:t>/</w:t>
            </w:r>
          </w:p>
        </w:tc>
        <w:tc>
          <w:tcPr>
            <w:tcW w:w="1541" w:type="dxa"/>
            <w:vAlign w:val="center"/>
          </w:tcPr>
          <w:p w14:paraId="7CF4D03A">
            <w:pPr>
              <w:keepNext w:val="0"/>
              <w:keepLines w:val="0"/>
              <w:widowControl/>
              <w:suppressLineNumbers w:val="0"/>
              <w:jc w:val="center"/>
              <w:textAlignment w:val="center"/>
              <w:rPr>
                <w:snapToGrid w:val="0"/>
                <w:color w:val="FF0000"/>
                <w:kern w:val="21"/>
                <w:szCs w:val="21"/>
              </w:rPr>
            </w:pPr>
            <w:r>
              <w:rPr>
                <w:rFonts w:hint="default" w:ascii="Times New Roman" w:hAnsi="Times New Roman" w:eastAsia="宋体" w:cs="Times New Roman"/>
                <w:i w:val="0"/>
                <w:iCs w:val="0"/>
                <w:color w:val="FF0000"/>
                <w:kern w:val="0"/>
                <w:sz w:val="21"/>
                <w:szCs w:val="21"/>
                <w:u w:val="none"/>
                <w:lang w:val="en-US" w:eastAsia="zh-CN" w:bidi="ar"/>
              </w:rPr>
              <w:t>63243.79</w:t>
            </w:r>
            <w:r>
              <w:rPr>
                <w:rFonts w:hint="eastAsia"/>
                <w:bCs/>
                <w:color w:val="FF0000"/>
                <w:szCs w:val="21"/>
              </w:rPr>
              <w:t>t/a</w:t>
            </w:r>
          </w:p>
        </w:tc>
        <w:tc>
          <w:tcPr>
            <w:tcW w:w="1608" w:type="dxa"/>
            <w:vAlign w:val="center"/>
          </w:tcPr>
          <w:p w14:paraId="56E53F8C">
            <w:pPr>
              <w:spacing w:line="320" w:lineRule="exact"/>
              <w:jc w:val="center"/>
              <w:rPr>
                <w:snapToGrid w:val="0"/>
                <w:color w:val="FF0000"/>
                <w:kern w:val="21"/>
                <w:szCs w:val="21"/>
              </w:rPr>
            </w:pPr>
            <w:r>
              <w:rPr>
                <w:rFonts w:hint="eastAsia"/>
                <w:snapToGrid w:val="0"/>
                <w:color w:val="FF0000"/>
                <w:kern w:val="21"/>
                <w:szCs w:val="21"/>
              </w:rPr>
              <w:t>/</w:t>
            </w:r>
          </w:p>
        </w:tc>
        <w:tc>
          <w:tcPr>
            <w:tcW w:w="1439" w:type="dxa"/>
            <w:vAlign w:val="center"/>
          </w:tcPr>
          <w:p w14:paraId="33C3CF14">
            <w:pPr>
              <w:keepNext w:val="0"/>
              <w:keepLines w:val="0"/>
              <w:widowControl/>
              <w:suppressLineNumbers w:val="0"/>
              <w:jc w:val="center"/>
              <w:textAlignment w:val="center"/>
              <w:rPr>
                <w:snapToGrid w:val="0"/>
                <w:color w:val="FF0000"/>
                <w:kern w:val="21"/>
                <w:szCs w:val="21"/>
              </w:rPr>
            </w:pPr>
            <w:r>
              <w:rPr>
                <w:rFonts w:hint="default" w:ascii="Times New Roman" w:hAnsi="Times New Roman" w:eastAsia="宋体" w:cs="Times New Roman"/>
                <w:i w:val="0"/>
                <w:iCs w:val="0"/>
                <w:color w:val="FF0000"/>
                <w:kern w:val="0"/>
                <w:sz w:val="21"/>
                <w:szCs w:val="21"/>
                <w:u w:val="none"/>
                <w:lang w:val="en-US" w:eastAsia="zh-CN" w:bidi="ar"/>
              </w:rPr>
              <w:t>63243.79</w:t>
            </w:r>
            <w:r>
              <w:rPr>
                <w:rFonts w:hint="eastAsia"/>
                <w:bCs/>
                <w:color w:val="FF0000"/>
                <w:szCs w:val="21"/>
              </w:rPr>
              <w:t>t/a</w:t>
            </w:r>
          </w:p>
        </w:tc>
        <w:tc>
          <w:tcPr>
            <w:tcW w:w="1466" w:type="dxa"/>
            <w:shd w:val="clear" w:color="auto" w:fill="auto"/>
            <w:vAlign w:val="center"/>
          </w:tcPr>
          <w:p w14:paraId="79EBF759">
            <w:pPr>
              <w:keepNext w:val="0"/>
              <w:keepLines w:val="0"/>
              <w:widowControl/>
              <w:suppressLineNumbers w:val="0"/>
              <w:jc w:val="center"/>
              <w:textAlignment w:val="center"/>
              <w:rPr>
                <w:rFonts w:ascii="Times New Roman" w:hAnsi="Times New Roman" w:eastAsia="宋体" w:cs="Times New Roman"/>
                <w:snapToGrid w:val="0"/>
                <w:color w:val="FF0000"/>
                <w:kern w:val="21"/>
                <w:sz w:val="21"/>
                <w:szCs w:val="21"/>
                <w:lang w:val="en-US" w:eastAsia="zh-CN" w:bidi="ar-SA"/>
              </w:rPr>
            </w:pPr>
            <w:r>
              <w:rPr>
                <w:rFonts w:hint="eastAsia" w:ascii="Times New Roman" w:hAnsi="Times New Roman" w:eastAsia="宋体" w:cs="Times New Roman"/>
                <w:i w:val="0"/>
                <w:iCs w:val="0"/>
                <w:color w:val="FF0000"/>
                <w:kern w:val="0"/>
                <w:sz w:val="21"/>
                <w:szCs w:val="21"/>
                <w:u w:val="none"/>
                <w:lang w:val="en-US" w:eastAsia="zh-CN" w:bidi="ar"/>
              </w:rPr>
              <w:t>+</w:t>
            </w:r>
            <w:r>
              <w:rPr>
                <w:rFonts w:hint="default" w:ascii="Times New Roman" w:hAnsi="Times New Roman" w:eastAsia="宋体" w:cs="Times New Roman"/>
                <w:i w:val="0"/>
                <w:iCs w:val="0"/>
                <w:color w:val="FF0000"/>
                <w:kern w:val="0"/>
                <w:sz w:val="21"/>
                <w:szCs w:val="21"/>
                <w:u w:val="none"/>
                <w:lang w:val="en-US" w:eastAsia="zh-CN" w:bidi="ar"/>
              </w:rPr>
              <w:t>63243.79</w:t>
            </w:r>
            <w:r>
              <w:rPr>
                <w:rFonts w:hint="eastAsia"/>
                <w:bCs/>
                <w:color w:val="FF0000"/>
                <w:szCs w:val="21"/>
              </w:rPr>
              <w:t>t/a</w:t>
            </w:r>
          </w:p>
        </w:tc>
      </w:tr>
      <w:tr w14:paraId="18639CA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588" w:type="dxa"/>
            <w:vMerge w:val="continue"/>
            <w:vAlign w:val="center"/>
          </w:tcPr>
          <w:p w14:paraId="120E6970">
            <w:pPr>
              <w:pStyle w:val="71"/>
              <w:spacing w:beforeLines="0" w:afterLines="0" w:line="320" w:lineRule="exact"/>
              <w:rPr>
                <w:rFonts w:ascii="Times New Roman"/>
                <w:snapToGrid w:val="0"/>
                <w:color w:val="FF0000"/>
                <w:kern w:val="21"/>
                <w:szCs w:val="21"/>
              </w:rPr>
            </w:pPr>
          </w:p>
        </w:tc>
        <w:tc>
          <w:tcPr>
            <w:tcW w:w="2112" w:type="dxa"/>
            <w:shd w:val="clear" w:color="auto" w:fill="auto"/>
            <w:vAlign w:val="center"/>
          </w:tcPr>
          <w:p w14:paraId="4DEFA7E8">
            <w:pPr>
              <w:keepNext w:val="0"/>
              <w:keepLines w:val="0"/>
              <w:widowControl/>
              <w:suppressLineNumbers w:val="0"/>
              <w:jc w:val="center"/>
              <w:textAlignment w:val="center"/>
              <w:rPr>
                <w:bCs/>
                <w:color w:val="FF0000"/>
                <w:szCs w:val="21"/>
              </w:rPr>
            </w:pPr>
            <w:r>
              <w:rPr>
                <w:rFonts w:hint="default" w:ascii="Times New Roman" w:hAnsi="Times New Roman" w:eastAsia="宋体" w:cs="Times New Roman"/>
                <w:i w:val="0"/>
                <w:iCs w:val="0"/>
                <w:color w:val="FF0000"/>
                <w:kern w:val="0"/>
                <w:sz w:val="21"/>
                <w:szCs w:val="21"/>
                <w:u w:val="none"/>
                <w:lang w:val="en-US" w:eastAsia="zh-CN" w:bidi="ar"/>
              </w:rPr>
              <w:t>可回用有色金属</w:t>
            </w:r>
          </w:p>
        </w:tc>
        <w:tc>
          <w:tcPr>
            <w:tcW w:w="1350" w:type="dxa"/>
            <w:vAlign w:val="center"/>
          </w:tcPr>
          <w:p w14:paraId="7E094E49">
            <w:pPr>
              <w:spacing w:line="320" w:lineRule="exact"/>
              <w:jc w:val="center"/>
              <w:rPr>
                <w:snapToGrid w:val="0"/>
                <w:color w:val="FF0000"/>
                <w:kern w:val="21"/>
                <w:szCs w:val="21"/>
              </w:rPr>
            </w:pPr>
            <w:r>
              <w:rPr>
                <w:rFonts w:hint="eastAsia"/>
                <w:snapToGrid w:val="0"/>
                <w:color w:val="FF0000"/>
                <w:kern w:val="21"/>
                <w:szCs w:val="21"/>
              </w:rPr>
              <w:t>/</w:t>
            </w:r>
          </w:p>
        </w:tc>
        <w:tc>
          <w:tcPr>
            <w:tcW w:w="1335" w:type="dxa"/>
            <w:vAlign w:val="center"/>
          </w:tcPr>
          <w:p w14:paraId="460D5303">
            <w:pPr>
              <w:spacing w:line="320" w:lineRule="exact"/>
              <w:jc w:val="center"/>
              <w:rPr>
                <w:snapToGrid w:val="0"/>
                <w:color w:val="FF0000"/>
                <w:kern w:val="21"/>
                <w:szCs w:val="21"/>
              </w:rPr>
            </w:pPr>
            <w:r>
              <w:rPr>
                <w:rFonts w:hint="eastAsia"/>
                <w:snapToGrid w:val="0"/>
                <w:color w:val="FF0000"/>
                <w:kern w:val="21"/>
                <w:szCs w:val="21"/>
              </w:rPr>
              <w:t>/</w:t>
            </w:r>
          </w:p>
        </w:tc>
        <w:tc>
          <w:tcPr>
            <w:tcW w:w="1349" w:type="dxa"/>
            <w:vAlign w:val="center"/>
          </w:tcPr>
          <w:p w14:paraId="083663C0">
            <w:pPr>
              <w:spacing w:line="320" w:lineRule="exact"/>
              <w:jc w:val="center"/>
              <w:rPr>
                <w:snapToGrid w:val="0"/>
                <w:color w:val="FF0000"/>
                <w:kern w:val="21"/>
                <w:szCs w:val="21"/>
              </w:rPr>
            </w:pPr>
            <w:r>
              <w:rPr>
                <w:rFonts w:hint="eastAsia"/>
                <w:snapToGrid w:val="0"/>
                <w:color w:val="FF0000"/>
                <w:kern w:val="21"/>
                <w:szCs w:val="21"/>
              </w:rPr>
              <w:t>/</w:t>
            </w:r>
          </w:p>
        </w:tc>
        <w:tc>
          <w:tcPr>
            <w:tcW w:w="1541" w:type="dxa"/>
            <w:vAlign w:val="center"/>
          </w:tcPr>
          <w:p w14:paraId="299D5F12">
            <w:pPr>
              <w:keepNext w:val="0"/>
              <w:keepLines w:val="0"/>
              <w:widowControl/>
              <w:suppressLineNumbers w:val="0"/>
              <w:jc w:val="center"/>
              <w:textAlignment w:val="center"/>
              <w:rPr>
                <w:rStyle w:val="41"/>
                <w:color w:val="FF0000"/>
                <w:szCs w:val="20"/>
              </w:rPr>
            </w:pPr>
            <w:r>
              <w:rPr>
                <w:rFonts w:hint="default" w:ascii="Times New Roman" w:hAnsi="Times New Roman" w:eastAsia="宋体" w:cs="Times New Roman"/>
                <w:i w:val="0"/>
                <w:iCs w:val="0"/>
                <w:color w:val="FF0000"/>
                <w:kern w:val="0"/>
                <w:sz w:val="21"/>
                <w:szCs w:val="21"/>
                <w:u w:val="none"/>
                <w:lang w:val="en-US" w:eastAsia="zh-CN" w:bidi="ar"/>
              </w:rPr>
              <w:t>1818.17</w:t>
            </w:r>
            <w:r>
              <w:rPr>
                <w:rFonts w:hint="eastAsia"/>
                <w:bCs/>
                <w:color w:val="FF0000"/>
                <w:szCs w:val="21"/>
              </w:rPr>
              <w:t>t/a</w:t>
            </w:r>
          </w:p>
        </w:tc>
        <w:tc>
          <w:tcPr>
            <w:tcW w:w="1608" w:type="dxa"/>
            <w:vAlign w:val="center"/>
          </w:tcPr>
          <w:p w14:paraId="1554F05C">
            <w:pPr>
              <w:spacing w:line="320" w:lineRule="exact"/>
              <w:jc w:val="center"/>
              <w:rPr>
                <w:snapToGrid w:val="0"/>
                <w:color w:val="FF0000"/>
                <w:kern w:val="21"/>
                <w:szCs w:val="21"/>
              </w:rPr>
            </w:pPr>
            <w:r>
              <w:rPr>
                <w:rFonts w:hint="eastAsia"/>
                <w:snapToGrid w:val="0"/>
                <w:color w:val="FF0000"/>
                <w:kern w:val="21"/>
                <w:szCs w:val="21"/>
              </w:rPr>
              <w:t>/</w:t>
            </w:r>
          </w:p>
        </w:tc>
        <w:tc>
          <w:tcPr>
            <w:tcW w:w="1439" w:type="dxa"/>
            <w:vAlign w:val="center"/>
          </w:tcPr>
          <w:p w14:paraId="7695C373">
            <w:pPr>
              <w:keepNext w:val="0"/>
              <w:keepLines w:val="0"/>
              <w:widowControl/>
              <w:suppressLineNumbers w:val="0"/>
              <w:jc w:val="center"/>
              <w:textAlignment w:val="center"/>
              <w:rPr>
                <w:rStyle w:val="41"/>
                <w:color w:val="FF0000"/>
                <w:szCs w:val="20"/>
              </w:rPr>
            </w:pPr>
            <w:r>
              <w:rPr>
                <w:rFonts w:hint="default" w:ascii="Times New Roman" w:hAnsi="Times New Roman" w:eastAsia="宋体" w:cs="Times New Roman"/>
                <w:i w:val="0"/>
                <w:iCs w:val="0"/>
                <w:color w:val="FF0000"/>
                <w:kern w:val="0"/>
                <w:sz w:val="21"/>
                <w:szCs w:val="21"/>
                <w:u w:val="none"/>
                <w:lang w:val="en-US" w:eastAsia="zh-CN" w:bidi="ar"/>
              </w:rPr>
              <w:t>1818.17</w:t>
            </w:r>
            <w:r>
              <w:rPr>
                <w:rFonts w:hint="eastAsia"/>
                <w:bCs/>
                <w:color w:val="FF0000"/>
                <w:szCs w:val="21"/>
              </w:rPr>
              <w:t>t/a</w:t>
            </w:r>
          </w:p>
        </w:tc>
        <w:tc>
          <w:tcPr>
            <w:tcW w:w="1466" w:type="dxa"/>
            <w:shd w:val="clear" w:color="auto" w:fill="auto"/>
            <w:vAlign w:val="center"/>
          </w:tcPr>
          <w:p w14:paraId="6A77FE4C">
            <w:pPr>
              <w:keepNext w:val="0"/>
              <w:keepLines w:val="0"/>
              <w:widowControl/>
              <w:suppressLineNumbers w:val="0"/>
              <w:jc w:val="center"/>
              <w:textAlignment w:val="center"/>
              <w:rPr>
                <w:rFonts w:ascii="Times New Roman" w:hAnsi="Times New Roman" w:eastAsia="宋体" w:cs="Times New Roman"/>
                <w:color w:val="FF0000"/>
                <w:kern w:val="2"/>
                <w:sz w:val="21"/>
                <w:szCs w:val="20"/>
                <w:lang w:val="en-US" w:eastAsia="zh-CN" w:bidi="ar-SA"/>
              </w:rPr>
            </w:pPr>
            <w:r>
              <w:rPr>
                <w:rFonts w:hint="eastAsia" w:ascii="Times New Roman" w:hAnsi="Times New Roman" w:eastAsia="宋体" w:cs="Times New Roman"/>
                <w:i w:val="0"/>
                <w:iCs w:val="0"/>
                <w:color w:val="FF0000"/>
                <w:kern w:val="0"/>
                <w:sz w:val="21"/>
                <w:szCs w:val="21"/>
                <w:u w:val="none"/>
                <w:lang w:val="en-US" w:eastAsia="zh-CN" w:bidi="ar"/>
              </w:rPr>
              <w:t>+</w:t>
            </w:r>
            <w:r>
              <w:rPr>
                <w:rFonts w:hint="default" w:ascii="Times New Roman" w:hAnsi="Times New Roman" w:eastAsia="宋体" w:cs="Times New Roman"/>
                <w:i w:val="0"/>
                <w:iCs w:val="0"/>
                <w:color w:val="FF0000"/>
                <w:kern w:val="0"/>
                <w:sz w:val="21"/>
                <w:szCs w:val="21"/>
                <w:u w:val="none"/>
                <w:lang w:val="en-US" w:eastAsia="zh-CN" w:bidi="ar"/>
              </w:rPr>
              <w:t>1818.17</w:t>
            </w:r>
            <w:r>
              <w:rPr>
                <w:rFonts w:hint="eastAsia"/>
                <w:bCs/>
                <w:color w:val="FF0000"/>
                <w:szCs w:val="21"/>
              </w:rPr>
              <w:t>t/a</w:t>
            </w:r>
          </w:p>
        </w:tc>
      </w:tr>
      <w:tr w14:paraId="5A8F2C1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588" w:type="dxa"/>
            <w:vMerge w:val="continue"/>
            <w:vAlign w:val="center"/>
          </w:tcPr>
          <w:p w14:paraId="407C78FF">
            <w:pPr>
              <w:pStyle w:val="71"/>
              <w:spacing w:beforeLines="0" w:afterLines="0" w:line="320" w:lineRule="exact"/>
              <w:rPr>
                <w:rFonts w:ascii="Times New Roman"/>
                <w:snapToGrid w:val="0"/>
                <w:color w:val="FF0000"/>
                <w:kern w:val="21"/>
                <w:szCs w:val="21"/>
              </w:rPr>
            </w:pPr>
          </w:p>
        </w:tc>
        <w:tc>
          <w:tcPr>
            <w:tcW w:w="2112" w:type="dxa"/>
            <w:shd w:val="clear" w:color="auto" w:fill="auto"/>
            <w:vAlign w:val="center"/>
          </w:tcPr>
          <w:p w14:paraId="023AA46F">
            <w:pPr>
              <w:keepNext w:val="0"/>
              <w:keepLines w:val="0"/>
              <w:widowControl/>
              <w:suppressLineNumbers w:val="0"/>
              <w:jc w:val="center"/>
              <w:textAlignment w:val="center"/>
              <w:rPr>
                <w:bCs/>
                <w:color w:val="FF0000"/>
                <w:szCs w:val="21"/>
              </w:rPr>
            </w:pPr>
            <w:r>
              <w:rPr>
                <w:rFonts w:hint="default" w:ascii="Times New Roman" w:hAnsi="Times New Roman" w:eastAsia="宋体" w:cs="Times New Roman"/>
                <w:i w:val="0"/>
                <w:iCs w:val="0"/>
                <w:color w:val="FF0000"/>
                <w:kern w:val="0"/>
                <w:sz w:val="21"/>
                <w:szCs w:val="21"/>
                <w:u w:val="none"/>
                <w:lang w:val="en-US" w:eastAsia="zh-CN" w:bidi="ar"/>
              </w:rPr>
              <w:t>可回用玻璃</w:t>
            </w:r>
          </w:p>
        </w:tc>
        <w:tc>
          <w:tcPr>
            <w:tcW w:w="1350" w:type="dxa"/>
            <w:vAlign w:val="center"/>
          </w:tcPr>
          <w:p w14:paraId="1EC2E8FA">
            <w:pPr>
              <w:spacing w:line="320" w:lineRule="exact"/>
              <w:jc w:val="center"/>
              <w:rPr>
                <w:color w:val="FF0000"/>
              </w:rPr>
            </w:pPr>
            <w:r>
              <w:rPr>
                <w:rFonts w:hint="eastAsia"/>
                <w:snapToGrid w:val="0"/>
                <w:color w:val="FF0000"/>
                <w:kern w:val="21"/>
                <w:szCs w:val="21"/>
              </w:rPr>
              <w:t>/</w:t>
            </w:r>
          </w:p>
        </w:tc>
        <w:tc>
          <w:tcPr>
            <w:tcW w:w="1335" w:type="dxa"/>
            <w:vAlign w:val="center"/>
          </w:tcPr>
          <w:p w14:paraId="36709092">
            <w:pPr>
              <w:spacing w:line="320" w:lineRule="exact"/>
              <w:jc w:val="center"/>
              <w:rPr>
                <w:color w:val="FF0000"/>
              </w:rPr>
            </w:pPr>
            <w:r>
              <w:rPr>
                <w:rFonts w:hint="eastAsia"/>
                <w:snapToGrid w:val="0"/>
                <w:color w:val="FF0000"/>
                <w:kern w:val="21"/>
                <w:szCs w:val="21"/>
              </w:rPr>
              <w:t>/</w:t>
            </w:r>
          </w:p>
        </w:tc>
        <w:tc>
          <w:tcPr>
            <w:tcW w:w="1349" w:type="dxa"/>
            <w:vAlign w:val="center"/>
          </w:tcPr>
          <w:p w14:paraId="1767020A">
            <w:pPr>
              <w:spacing w:line="320" w:lineRule="exact"/>
              <w:jc w:val="center"/>
              <w:rPr>
                <w:color w:val="FF0000"/>
              </w:rPr>
            </w:pPr>
            <w:r>
              <w:rPr>
                <w:rFonts w:hint="eastAsia"/>
                <w:snapToGrid w:val="0"/>
                <w:color w:val="FF0000"/>
                <w:kern w:val="21"/>
                <w:szCs w:val="21"/>
              </w:rPr>
              <w:t>/</w:t>
            </w:r>
          </w:p>
        </w:tc>
        <w:tc>
          <w:tcPr>
            <w:tcW w:w="1541" w:type="dxa"/>
            <w:vAlign w:val="center"/>
          </w:tcPr>
          <w:p w14:paraId="65C5FAAB">
            <w:pPr>
              <w:keepNext w:val="0"/>
              <w:keepLines w:val="0"/>
              <w:widowControl/>
              <w:suppressLineNumbers w:val="0"/>
              <w:jc w:val="center"/>
              <w:textAlignment w:val="center"/>
              <w:rPr>
                <w:rFonts w:hint="eastAsia" w:hAnsi="宋体"/>
                <w:color w:val="FF0000"/>
                <w:szCs w:val="21"/>
              </w:rPr>
            </w:pPr>
            <w:r>
              <w:rPr>
                <w:rFonts w:hint="default" w:ascii="Times New Roman" w:hAnsi="Times New Roman" w:eastAsia="宋体" w:cs="Times New Roman"/>
                <w:i w:val="0"/>
                <w:iCs w:val="0"/>
                <w:color w:val="FF0000"/>
                <w:kern w:val="0"/>
                <w:sz w:val="21"/>
                <w:szCs w:val="21"/>
                <w:u w:val="none"/>
                <w:lang w:val="en-US" w:eastAsia="zh-CN" w:bidi="ar"/>
              </w:rPr>
              <w:t>616.15</w:t>
            </w:r>
            <w:r>
              <w:rPr>
                <w:rFonts w:hint="eastAsia"/>
                <w:bCs/>
                <w:color w:val="FF0000"/>
                <w:szCs w:val="21"/>
              </w:rPr>
              <w:t>t/a</w:t>
            </w:r>
          </w:p>
        </w:tc>
        <w:tc>
          <w:tcPr>
            <w:tcW w:w="1608" w:type="dxa"/>
            <w:vAlign w:val="center"/>
          </w:tcPr>
          <w:p w14:paraId="772E656F">
            <w:pPr>
              <w:spacing w:line="320" w:lineRule="exact"/>
              <w:jc w:val="center"/>
              <w:rPr>
                <w:snapToGrid w:val="0"/>
                <w:color w:val="FF0000"/>
                <w:kern w:val="21"/>
                <w:szCs w:val="21"/>
              </w:rPr>
            </w:pPr>
            <w:r>
              <w:rPr>
                <w:rFonts w:hint="eastAsia"/>
                <w:snapToGrid w:val="0"/>
                <w:color w:val="FF0000"/>
                <w:kern w:val="21"/>
                <w:szCs w:val="21"/>
              </w:rPr>
              <w:t>/</w:t>
            </w:r>
          </w:p>
        </w:tc>
        <w:tc>
          <w:tcPr>
            <w:tcW w:w="1439" w:type="dxa"/>
            <w:vAlign w:val="center"/>
          </w:tcPr>
          <w:p w14:paraId="49F64211">
            <w:pPr>
              <w:keepNext w:val="0"/>
              <w:keepLines w:val="0"/>
              <w:widowControl/>
              <w:suppressLineNumbers w:val="0"/>
              <w:jc w:val="center"/>
              <w:textAlignment w:val="center"/>
              <w:rPr>
                <w:rFonts w:hint="eastAsia" w:hAnsi="宋体"/>
                <w:color w:val="FF0000"/>
                <w:szCs w:val="21"/>
              </w:rPr>
            </w:pPr>
            <w:r>
              <w:rPr>
                <w:rFonts w:hint="default" w:ascii="Times New Roman" w:hAnsi="Times New Roman" w:eastAsia="宋体" w:cs="Times New Roman"/>
                <w:i w:val="0"/>
                <w:iCs w:val="0"/>
                <w:color w:val="FF0000"/>
                <w:kern w:val="0"/>
                <w:sz w:val="21"/>
                <w:szCs w:val="21"/>
                <w:u w:val="none"/>
                <w:lang w:val="en-US" w:eastAsia="zh-CN" w:bidi="ar"/>
              </w:rPr>
              <w:t>616.15</w:t>
            </w:r>
            <w:r>
              <w:rPr>
                <w:rFonts w:hint="eastAsia"/>
                <w:bCs/>
                <w:color w:val="FF0000"/>
                <w:szCs w:val="21"/>
              </w:rPr>
              <w:t>t/a</w:t>
            </w:r>
          </w:p>
        </w:tc>
        <w:tc>
          <w:tcPr>
            <w:tcW w:w="1466" w:type="dxa"/>
            <w:shd w:val="clear" w:color="auto" w:fill="auto"/>
            <w:vAlign w:val="center"/>
          </w:tcPr>
          <w:p w14:paraId="07517200">
            <w:pPr>
              <w:keepNext w:val="0"/>
              <w:keepLines w:val="0"/>
              <w:widowControl/>
              <w:suppressLineNumbers w:val="0"/>
              <w:jc w:val="center"/>
              <w:textAlignment w:val="center"/>
              <w:rPr>
                <w:rFonts w:hint="eastAsia" w:ascii="Times New Roman" w:hAnsi="宋体" w:eastAsia="宋体" w:cs="Times New Roman"/>
                <w:color w:val="FF0000"/>
                <w:kern w:val="2"/>
                <w:sz w:val="21"/>
                <w:szCs w:val="21"/>
                <w:lang w:val="en-US" w:eastAsia="zh-CN" w:bidi="ar-SA"/>
              </w:rPr>
            </w:pPr>
            <w:r>
              <w:rPr>
                <w:rFonts w:hint="eastAsia" w:ascii="Times New Roman" w:hAnsi="Times New Roman" w:eastAsia="宋体" w:cs="Times New Roman"/>
                <w:i w:val="0"/>
                <w:iCs w:val="0"/>
                <w:color w:val="FF0000"/>
                <w:kern w:val="0"/>
                <w:sz w:val="21"/>
                <w:szCs w:val="21"/>
                <w:u w:val="none"/>
                <w:lang w:val="en-US" w:eastAsia="zh-CN" w:bidi="ar"/>
              </w:rPr>
              <w:t>+</w:t>
            </w:r>
            <w:r>
              <w:rPr>
                <w:rFonts w:hint="default" w:ascii="Times New Roman" w:hAnsi="Times New Roman" w:eastAsia="宋体" w:cs="Times New Roman"/>
                <w:i w:val="0"/>
                <w:iCs w:val="0"/>
                <w:color w:val="FF0000"/>
                <w:kern w:val="0"/>
                <w:sz w:val="21"/>
                <w:szCs w:val="21"/>
                <w:u w:val="none"/>
                <w:lang w:val="en-US" w:eastAsia="zh-CN" w:bidi="ar"/>
              </w:rPr>
              <w:t>616.15</w:t>
            </w:r>
            <w:r>
              <w:rPr>
                <w:rFonts w:hint="eastAsia"/>
                <w:bCs/>
                <w:color w:val="FF0000"/>
                <w:szCs w:val="21"/>
              </w:rPr>
              <w:t>t/a</w:t>
            </w:r>
          </w:p>
        </w:tc>
      </w:tr>
      <w:tr w14:paraId="3A6417D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3" w:hRule="atLeast"/>
        </w:trPr>
        <w:tc>
          <w:tcPr>
            <w:tcW w:w="1588" w:type="dxa"/>
            <w:vMerge w:val="continue"/>
            <w:vAlign w:val="center"/>
          </w:tcPr>
          <w:p w14:paraId="419B29C6">
            <w:pPr>
              <w:pStyle w:val="71"/>
              <w:spacing w:beforeLines="0" w:afterLines="0" w:line="320" w:lineRule="exact"/>
              <w:rPr>
                <w:rFonts w:ascii="Times New Roman"/>
                <w:snapToGrid w:val="0"/>
                <w:color w:val="FF0000"/>
                <w:kern w:val="21"/>
                <w:szCs w:val="21"/>
              </w:rPr>
            </w:pPr>
          </w:p>
        </w:tc>
        <w:tc>
          <w:tcPr>
            <w:tcW w:w="2112" w:type="dxa"/>
            <w:shd w:val="clear" w:color="auto" w:fill="auto"/>
            <w:vAlign w:val="center"/>
          </w:tcPr>
          <w:p w14:paraId="789E6C57">
            <w:pPr>
              <w:keepNext w:val="0"/>
              <w:keepLines w:val="0"/>
              <w:widowControl/>
              <w:suppressLineNumbers w:val="0"/>
              <w:jc w:val="center"/>
              <w:textAlignment w:val="center"/>
              <w:rPr>
                <w:bCs/>
                <w:color w:val="FF0000"/>
                <w:szCs w:val="21"/>
              </w:rPr>
            </w:pPr>
            <w:r>
              <w:rPr>
                <w:rFonts w:hint="default" w:ascii="Times New Roman" w:hAnsi="Times New Roman" w:eastAsia="宋体" w:cs="Times New Roman"/>
                <w:i w:val="0"/>
                <w:iCs w:val="0"/>
                <w:color w:val="FF0000"/>
                <w:kern w:val="0"/>
                <w:sz w:val="21"/>
                <w:szCs w:val="21"/>
                <w:u w:val="none"/>
                <w:lang w:val="en-US" w:eastAsia="zh-CN" w:bidi="ar"/>
              </w:rPr>
              <w:t>可回用橡胶</w:t>
            </w:r>
          </w:p>
        </w:tc>
        <w:tc>
          <w:tcPr>
            <w:tcW w:w="1350" w:type="dxa"/>
            <w:shd w:val="clear" w:color="auto" w:fill="auto"/>
            <w:vAlign w:val="center"/>
          </w:tcPr>
          <w:p w14:paraId="70AF3685">
            <w:pPr>
              <w:spacing w:line="320" w:lineRule="exact"/>
              <w:jc w:val="center"/>
              <w:rPr>
                <w:color w:val="FF0000"/>
              </w:rPr>
            </w:pPr>
            <w:r>
              <w:rPr>
                <w:rFonts w:hint="eastAsia"/>
                <w:snapToGrid w:val="0"/>
                <w:color w:val="FF0000"/>
                <w:kern w:val="21"/>
                <w:szCs w:val="21"/>
              </w:rPr>
              <w:t>/</w:t>
            </w:r>
          </w:p>
        </w:tc>
        <w:tc>
          <w:tcPr>
            <w:tcW w:w="1335" w:type="dxa"/>
            <w:shd w:val="clear" w:color="auto" w:fill="auto"/>
            <w:vAlign w:val="center"/>
          </w:tcPr>
          <w:p w14:paraId="0CCB8255">
            <w:pPr>
              <w:spacing w:line="320" w:lineRule="exact"/>
              <w:jc w:val="center"/>
              <w:rPr>
                <w:color w:val="FF0000"/>
              </w:rPr>
            </w:pPr>
            <w:r>
              <w:rPr>
                <w:rFonts w:hint="eastAsia"/>
                <w:snapToGrid w:val="0"/>
                <w:color w:val="FF0000"/>
                <w:kern w:val="21"/>
                <w:szCs w:val="21"/>
              </w:rPr>
              <w:t>/</w:t>
            </w:r>
          </w:p>
        </w:tc>
        <w:tc>
          <w:tcPr>
            <w:tcW w:w="1349" w:type="dxa"/>
            <w:shd w:val="clear" w:color="auto" w:fill="auto"/>
            <w:vAlign w:val="center"/>
          </w:tcPr>
          <w:p w14:paraId="7653ADA6">
            <w:pPr>
              <w:spacing w:line="320" w:lineRule="exact"/>
              <w:jc w:val="center"/>
              <w:rPr>
                <w:color w:val="FF0000"/>
              </w:rPr>
            </w:pPr>
            <w:r>
              <w:rPr>
                <w:rFonts w:hint="eastAsia"/>
                <w:snapToGrid w:val="0"/>
                <w:color w:val="FF0000"/>
                <w:kern w:val="21"/>
                <w:szCs w:val="21"/>
              </w:rPr>
              <w:t>/</w:t>
            </w:r>
          </w:p>
        </w:tc>
        <w:tc>
          <w:tcPr>
            <w:tcW w:w="1541" w:type="dxa"/>
            <w:vAlign w:val="center"/>
          </w:tcPr>
          <w:p w14:paraId="0339B10B">
            <w:pPr>
              <w:keepNext w:val="0"/>
              <w:keepLines w:val="0"/>
              <w:widowControl/>
              <w:suppressLineNumbers w:val="0"/>
              <w:jc w:val="center"/>
              <w:textAlignment w:val="center"/>
              <w:rPr>
                <w:color w:val="FF0000"/>
              </w:rPr>
            </w:pPr>
            <w:r>
              <w:rPr>
                <w:rFonts w:hint="default" w:ascii="Times New Roman" w:hAnsi="Times New Roman" w:eastAsia="宋体" w:cs="Times New Roman"/>
                <w:i w:val="0"/>
                <w:iCs w:val="0"/>
                <w:color w:val="FF0000"/>
                <w:kern w:val="0"/>
                <w:sz w:val="21"/>
                <w:szCs w:val="21"/>
                <w:u w:val="none"/>
                <w:lang w:val="en-US" w:eastAsia="zh-CN" w:bidi="ar"/>
              </w:rPr>
              <w:t>2090.92</w:t>
            </w:r>
            <w:r>
              <w:rPr>
                <w:rFonts w:hint="eastAsia"/>
                <w:bCs/>
                <w:color w:val="FF0000"/>
                <w:szCs w:val="21"/>
              </w:rPr>
              <w:t>t/a</w:t>
            </w:r>
          </w:p>
        </w:tc>
        <w:tc>
          <w:tcPr>
            <w:tcW w:w="1608" w:type="dxa"/>
            <w:vAlign w:val="center"/>
          </w:tcPr>
          <w:p w14:paraId="5749B0A9">
            <w:pPr>
              <w:spacing w:line="320" w:lineRule="exact"/>
              <w:jc w:val="center"/>
              <w:rPr>
                <w:snapToGrid w:val="0"/>
                <w:color w:val="FF0000"/>
                <w:kern w:val="21"/>
                <w:szCs w:val="21"/>
              </w:rPr>
            </w:pPr>
            <w:r>
              <w:rPr>
                <w:rFonts w:hint="eastAsia"/>
                <w:snapToGrid w:val="0"/>
                <w:color w:val="FF0000"/>
                <w:kern w:val="21"/>
                <w:szCs w:val="21"/>
              </w:rPr>
              <w:t>/</w:t>
            </w:r>
          </w:p>
        </w:tc>
        <w:tc>
          <w:tcPr>
            <w:tcW w:w="1439" w:type="dxa"/>
            <w:vAlign w:val="center"/>
          </w:tcPr>
          <w:p w14:paraId="410B300B">
            <w:pPr>
              <w:keepNext w:val="0"/>
              <w:keepLines w:val="0"/>
              <w:widowControl/>
              <w:suppressLineNumbers w:val="0"/>
              <w:jc w:val="center"/>
              <w:textAlignment w:val="center"/>
              <w:rPr>
                <w:color w:val="FF0000"/>
              </w:rPr>
            </w:pPr>
            <w:r>
              <w:rPr>
                <w:rFonts w:hint="default" w:ascii="Times New Roman" w:hAnsi="Times New Roman" w:eastAsia="宋体" w:cs="Times New Roman"/>
                <w:i w:val="0"/>
                <w:iCs w:val="0"/>
                <w:color w:val="FF0000"/>
                <w:kern w:val="0"/>
                <w:sz w:val="21"/>
                <w:szCs w:val="21"/>
                <w:u w:val="none"/>
                <w:lang w:val="en-US" w:eastAsia="zh-CN" w:bidi="ar"/>
              </w:rPr>
              <w:t>2090.92</w:t>
            </w:r>
            <w:r>
              <w:rPr>
                <w:rFonts w:hint="eastAsia"/>
                <w:bCs/>
                <w:color w:val="FF0000"/>
                <w:szCs w:val="21"/>
              </w:rPr>
              <w:t>t/a</w:t>
            </w:r>
          </w:p>
        </w:tc>
        <w:tc>
          <w:tcPr>
            <w:tcW w:w="1466" w:type="dxa"/>
            <w:shd w:val="clear" w:color="auto" w:fill="auto"/>
            <w:vAlign w:val="center"/>
          </w:tcPr>
          <w:p w14:paraId="653EEF02">
            <w:pPr>
              <w:keepNext w:val="0"/>
              <w:keepLines w:val="0"/>
              <w:widowControl/>
              <w:suppressLineNumbers w:val="0"/>
              <w:jc w:val="center"/>
              <w:textAlignment w:val="center"/>
              <w:rPr>
                <w:rFonts w:ascii="Times New Roman" w:hAnsi="Times New Roman" w:eastAsia="宋体" w:cs="Times New Roman"/>
                <w:color w:val="FF0000"/>
                <w:kern w:val="2"/>
                <w:sz w:val="21"/>
                <w:szCs w:val="24"/>
                <w:lang w:val="en-US" w:eastAsia="zh-CN" w:bidi="ar-SA"/>
              </w:rPr>
            </w:pPr>
            <w:r>
              <w:rPr>
                <w:rFonts w:hint="eastAsia" w:ascii="Times New Roman" w:hAnsi="Times New Roman" w:eastAsia="宋体" w:cs="Times New Roman"/>
                <w:i w:val="0"/>
                <w:iCs w:val="0"/>
                <w:color w:val="FF0000"/>
                <w:kern w:val="0"/>
                <w:sz w:val="21"/>
                <w:szCs w:val="21"/>
                <w:u w:val="none"/>
                <w:lang w:val="en-US" w:eastAsia="zh-CN" w:bidi="ar"/>
              </w:rPr>
              <w:t>+</w:t>
            </w:r>
            <w:r>
              <w:rPr>
                <w:rFonts w:hint="default" w:ascii="Times New Roman" w:hAnsi="Times New Roman" w:eastAsia="宋体" w:cs="Times New Roman"/>
                <w:i w:val="0"/>
                <w:iCs w:val="0"/>
                <w:color w:val="FF0000"/>
                <w:kern w:val="0"/>
                <w:sz w:val="21"/>
                <w:szCs w:val="21"/>
                <w:u w:val="none"/>
                <w:lang w:val="en-US" w:eastAsia="zh-CN" w:bidi="ar"/>
              </w:rPr>
              <w:t>2090.92</w:t>
            </w:r>
            <w:r>
              <w:rPr>
                <w:rFonts w:hint="eastAsia"/>
                <w:bCs/>
                <w:color w:val="FF0000"/>
                <w:szCs w:val="21"/>
              </w:rPr>
              <w:t>t/a</w:t>
            </w:r>
          </w:p>
        </w:tc>
      </w:tr>
      <w:tr w14:paraId="67ACA0A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3" w:hRule="atLeast"/>
        </w:trPr>
        <w:tc>
          <w:tcPr>
            <w:tcW w:w="1588" w:type="dxa"/>
            <w:vMerge w:val="continue"/>
            <w:vAlign w:val="center"/>
          </w:tcPr>
          <w:p w14:paraId="2CF34D1A">
            <w:pPr>
              <w:spacing w:line="320" w:lineRule="exact"/>
              <w:jc w:val="center"/>
              <w:rPr>
                <w:color w:val="FF0000"/>
              </w:rPr>
            </w:pPr>
          </w:p>
        </w:tc>
        <w:tc>
          <w:tcPr>
            <w:tcW w:w="2112" w:type="dxa"/>
            <w:shd w:val="clear" w:color="auto" w:fill="auto"/>
            <w:vAlign w:val="center"/>
          </w:tcPr>
          <w:p w14:paraId="0CE1A88E">
            <w:pPr>
              <w:keepNext w:val="0"/>
              <w:keepLines w:val="0"/>
              <w:widowControl/>
              <w:suppressLineNumbers w:val="0"/>
              <w:jc w:val="center"/>
              <w:textAlignment w:val="center"/>
              <w:rPr>
                <w:bCs/>
                <w:color w:val="FF0000"/>
                <w:szCs w:val="21"/>
              </w:rPr>
            </w:pPr>
            <w:r>
              <w:rPr>
                <w:rFonts w:hint="default" w:ascii="Times New Roman" w:hAnsi="Times New Roman" w:eastAsia="宋体" w:cs="Times New Roman"/>
                <w:i w:val="0"/>
                <w:iCs w:val="0"/>
                <w:color w:val="FF0000"/>
                <w:kern w:val="0"/>
                <w:sz w:val="21"/>
                <w:szCs w:val="21"/>
                <w:u w:val="none"/>
                <w:lang w:val="en-US" w:eastAsia="zh-CN" w:bidi="ar"/>
              </w:rPr>
              <w:t>可回用塑料</w:t>
            </w:r>
          </w:p>
        </w:tc>
        <w:tc>
          <w:tcPr>
            <w:tcW w:w="1350" w:type="dxa"/>
            <w:shd w:val="clear" w:color="auto" w:fill="auto"/>
            <w:vAlign w:val="center"/>
          </w:tcPr>
          <w:p w14:paraId="480BF55A">
            <w:pPr>
              <w:spacing w:line="320" w:lineRule="exact"/>
              <w:jc w:val="center"/>
              <w:rPr>
                <w:rFonts w:hint="eastAsia" w:ascii="宋体" w:hAnsi="宋体" w:cs="宋体"/>
                <w:color w:val="FF0000"/>
                <w:kern w:val="0"/>
                <w:szCs w:val="21"/>
                <w:lang w:bidi="ar"/>
              </w:rPr>
            </w:pPr>
            <w:r>
              <w:rPr>
                <w:rFonts w:hint="eastAsia"/>
                <w:snapToGrid w:val="0"/>
                <w:color w:val="FF0000"/>
                <w:kern w:val="21"/>
                <w:szCs w:val="21"/>
              </w:rPr>
              <w:t>/</w:t>
            </w:r>
          </w:p>
        </w:tc>
        <w:tc>
          <w:tcPr>
            <w:tcW w:w="1335" w:type="dxa"/>
            <w:shd w:val="clear" w:color="auto" w:fill="auto"/>
            <w:vAlign w:val="center"/>
          </w:tcPr>
          <w:p w14:paraId="0DD04628">
            <w:pPr>
              <w:spacing w:line="320" w:lineRule="exact"/>
              <w:jc w:val="center"/>
              <w:rPr>
                <w:rFonts w:hint="eastAsia" w:ascii="宋体" w:hAnsi="宋体" w:cs="宋体"/>
                <w:color w:val="FF0000"/>
                <w:kern w:val="0"/>
                <w:szCs w:val="21"/>
                <w:lang w:bidi="ar"/>
              </w:rPr>
            </w:pPr>
            <w:r>
              <w:rPr>
                <w:rFonts w:hint="eastAsia"/>
                <w:snapToGrid w:val="0"/>
                <w:color w:val="FF0000"/>
                <w:kern w:val="21"/>
                <w:szCs w:val="21"/>
              </w:rPr>
              <w:t>/</w:t>
            </w:r>
          </w:p>
        </w:tc>
        <w:tc>
          <w:tcPr>
            <w:tcW w:w="1349" w:type="dxa"/>
            <w:shd w:val="clear" w:color="auto" w:fill="auto"/>
            <w:vAlign w:val="center"/>
          </w:tcPr>
          <w:p w14:paraId="0A201273">
            <w:pPr>
              <w:spacing w:line="320" w:lineRule="exact"/>
              <w:jc w:val="center"/>
              <w:rPr>
                <w:rFonts w:hint="eastAsia" w:ascii="宋体" w:hAnsi="宋体" w:cs="宋体"/>
                <w:color w:val="FF0000"/>
                <w:kern w:val="0"/>
                <w:szCs w:val="21"/>
                <w:lang w:bidi="ar"/>
              </w:rPr>
            </w:pPr>
            <w:r>
              <w:rPr>
                <w:rFonts w:hint="eastAsia"/>
                <w:snapToGrid w:val="0"/>
                <w:color w:val="FF0000"/>
                <w:kern w:val="21"/>
                <w:szCs w:val="21"/>
              </w:rPr>
              <w:t>/</w:t>
            </w:r>
          </w:p>
        </w:tc>
        <w:tc>
          <w:tcPr>
            <w:tcW w:w="1541" w:type="dxa"/>
            <w:vAlign w:val="center"/>
          </w:tcPr>
          <w:p w14:paraId="0B7075CF">
            <w:pPr>
              <w:keepNext w:val="0"/>
              <w:keepLines w:val="0"/>
              <w:widowControl/>
              <w:suppressLineNumbers w:val="0"/>
              <w:jc w:val="center"/>
              <w:textAlignment w:val="center"/>
              <w:rPr>
                <w:rFonts w:hint="eastAsia" w:ascii="宋体" w:hAnsi="宋体" w:cs="宋体"/>
                <w:color w:val="FF0000"/>
                <w:kern w:val="0"/>
                <w:szCs w:val="21"/>
                <w:lang w:bidi="ar"/>
              </w:rPr>
            </w:pPr>
            <w:r>
              <w:rPr>
                <w:rFonts w:hint="default" w:ascii="Times New Roman" w:hAnsi="Times New Roman" w:eastAsia="宋体" w:cs="Times New Roman"/>
                <w:i w:val="0"/>
                <w:iCs w:val="0"/>
                <w:color w:val="FF0000"/>
                <w:kern w:val="0"/>
                <w:sz w:val="21"/>
                <w:szCs w:val="21"/>
                <w:u w:val="none"/>
                <w:lang w:val="en-US" w:eastAsia="zh-CN" w:bidi="ar"/>
              </w:rPr>
              <w:t>979.48</w:t>
            </w:r>
            <w:r>
              <w:rPr>
                <w:rFonts w:hint="eastAsia"/>
                <w:bCs/>
                <w:color w:val="FF0000"/>
                <w:szCs w:val="21"/>
              </w:rPr>
              <w:t>t/a</w:t>
            </w:r>
          </w:p>
        </w:tc>
        <w:tc>
          <w:tcPr>
            <w:tcW w:w="1608" w:type="dxa"/>
            <w:vAlign w:val="center"/>
          </w:tcPr>
          <w:p w14:paraId="74644A3B">
            <w:pPr>
              <w:spacing w:line="320" w:lineRule="exact"/>
              <w:jc w:val="center"/>
              <w:rPr>
                <w:rFonts w:hint="eastAsia" w:ascii="宋体" w:hAnsi="宋体" w:cs="宋体"/>
                <w:color w:val="FF0000"/>
                <w:kern w:val="0"/>
                <w:szCs w:val="21"/>
                <w:lang w:bidi="ar"/>
              </w:rPr>
            </w:pPr>
            <w:r>
              <w:rPr>
                <w:rFonts w:hint="eastAsia"/>
                <w:snapToGrid w:val="0"/>
                <w:color w:val="FF0000"/>
                <w:kern w:val="21"/>
                <w:szCs w:val="21"/>
              </w:rPr>
              <w:t>/</w:t>
            </w:r>
          </w:p>
        </w:tc>
        <w:tc>
          <w:tcPr>
            <w:tcW w:w="1439" w:type="dxa"/>
            <w:vAlign w:val="center"/>
          </w:tcPr>
          <w:p w14:paraId="4680B6F0">
            <w:pPr>
              <w:keepNext w:val="0"/>
              <w:keepLines w:val="0"/>
              <w:widowControl/>
              <w:suppressLineNumbers w:val="0"/>
              <w:jc w:val="center"/>
              <w:textAlignment w:val="center"/>
              <w:rPr>
                <w:rFonts w:hint="eastAsia" w:ascii="宋体" w:hAnsi="宋体" w:cs="宋体"/>
                <w:color w:val="FF0000"/>
                <w:kern w:val="0"/>
                <w:szCs w:val="21"/>
                <w:lang w:bidi="ar"/>
              </w:rPr>
            </w:pPr>
            <w:r>
              <w:rPr>
                <w:rFonts w:hint="default" w:ascii="Times New Roman" w:hAnsi="Times New Roman" w:eastAsia="宋体" w:cs="Times New Roman"/>
                <w:i w:val="0"/>
                <w:iCs w:val="0"/>
                <w:color w:val="FF0000"/>
                <w:kern w:val="0"/>
                <w:sz w:val="21"/>
                <w:szCs w:val="21"/>
                <w:u w:val="none"/>
                <w:lang w:val="en-US" w:eastAsia="zh-CN" w:bidi="ar"/>
              </w:rPr>
              <w:t>979.48</w:t>
            </w:r>
            <w:r>
              <w:rPr>
                <w:rFonts w:hint="eastAsia"/>
                <w:bCs/>
                <w:color w:val="FF0000"/>
                <w:szCs w:val="21"/>
              </w:rPr>
              <w:t>t/a</w:t>
            </w:r>
          </w:p>
        </w:tc>
        <w:tc>
          <w:tcPr>
            <w:tcW w:w="1466" w:type="dxa"/>
            <w:shd w:val="clear" w:color="auto" w:fill="auto"/>
            <w:vAlign w:val="center"/>
          </w:tcPr>
          <w:p w14:paraId="52F6F89E">
            <w:pPr>
              <w:keepNext w:val="0"/>
              <w:keepLines w:val="0"/>
              <w:widowControl/>
              <w:suppressLineNumbers w:val="0"/>
              <w:jc w:val="center"/>
              <w:textAlignment w:val="center"/>
              <w:rPr>
                <w:rFonts w:hint="eastAsia" w:ascii="宋体" w:hAnsi="宋体" w:eastAsia="宋体" w:cs="宋体"/>
                <w:color w:val="FF0000"/>
                <w:kern w:val="0"/>
                <w:sz w:val="21"/>
                <w:szCs w:val="21"/>
                <w:lang w:val="en-US" w:eastAsia="zh-CN" w:bidi="ar"/>
              </w:rPr>
            </w:pPr>
            <w:r>
              <w:rPr>
                <w:rFonts w:hint="eastAsia" w:ascii="Times New Roman" w:hAnsi="Times New Roman" w:eastAsia="宋体" w:cs="Times New Roman"/>
                <w:i w:val="0"/>
                <w:iCs w:val="0"/>
                <w:color w:val="FF0000"/>
                <w:kern w:val="0"/>
                <w:sz w:val="21"/>
                <w:szCs w:val="21"/>
                <w:u w:val="none"/>
                <w:lang w:val="en-US" w:eastAsia="zh-CN" w:bidi="ar"/>
              </w:rPr>
              <w:t>+</w:t>
            </w:r>
            <w:r>
              <w:rPr>
                <w:rFonts w:hint="default" w:ascii="Times New Roman" w:hAnsi="Times New Roman" w:eastAsia="宋体" w:cs="Times New Roman"/>
                <w:i w:val="0"/>
                <w:iCs w:val="0"/>
                <w:color w:val="FF0000"/>
                <w:kern w:val="0"/>
                <w:sz w:val="21"/>
                <w:szCs w:val="21"/>
                <w:u w:val="none"/>
                <w:lang w:val="en-US" w:eastAsia="zh-CN" w:bidi="ar"/>
              </w:rPr>
              <w:t>979.48</w:t>
            </w:r>
            <w:r>
              <w:rPr>
                <w:rFonts w:hint="eastAsia"/>
                <w:bCs/>
                <w:color w:val="FF0000"/>
                <w:szCs w:val="21"/>
              </w:rPr>
              <w:t>t/a</w:t>
            </w:r>
          </w:p>
        </w:tc>
      </w:tr>
      <w:tr w14:paraId="543FF45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3" w:hRule="atLeast"/>
        </w:trPr>
        <w:tc>
          <w:tcPr>
            <w:tcW w:w="1588" w:type="dxa"/>
            <w:vMerge w:val="continue"/>
            <w:vAlign w:val="center"/>
          </w:tcPr>
          <w:p w14:paraId="649C565F">
            <w:pPr>
              <w:spacing w:line="320" w:lineRule="exact"/>
              <w:jc w:val="center"/>
              <w:rPr>
                <w:rFonts w:hint="eastAsia" w:ascii="宋体" w:hAnsi="宋体" w:cs="宋体"/>
                <w:color w:val="FF0000"/>
                <w:kern w:val="0"/>
                <w:szCs w:val="21"/>
                <w:lang w:bidi="ar"/>
              </w:rPr>
            </w:pPr>
          </w:p>
        </w:tc>
        <w:tc>
          <w:tcPr>
            <w:tcW w:w="2112" w:type="dxa"/>
            <w:shd w:val="clear" w:color="auto" w:fill="auto"/>
            <w:vAlign w:val="center"/>
          </w:tcPr>
          <w:p w14:paraId="5CAA78B1">
            <w:pPr>
              <w:keepNext w:val="0"/>
              <w:keepLines w:val="0"/>
              <w:widowControl/>
              <w:suppressLineNumbers w:val="0"/>
              <w:jc w:val="center"/>
              <w:textAlignment w:val="center"/>
              <w:rPr>
                <w:rFonts w:hint="eastAsia" w:eastAsia="宋体"/>
                <w:bCs/>
                <w:color w:val="FF0000"/>
                <w:szCs w:val="21"/>
                <w:lang w:eastAsia="zh-CN"/>
              </w:rPr>
            </w:pPr>
            <w:r>
              <w:rPr>
                <w:rFonts w:hint="default" w:ascii="Times New Roman" w:hAnsi="Times New Roman" w:eastAsia="宋体" w:cs="Times New Roman"/>
                <w:i w:val="0"/>
                <w:iCs w:val="0"/>
                <w:color w:val="FF0000"/>
                <w:kern w:val="0"/>
                <w:sz w:val="21"/>
                <w:szCs w:val="21"/>
                <w:u w:val="none"/>
                <w:lang w:val="en-US" w:eastAsia="zh-CN" w:bidi="ar"/>
              </w:rPr>
              <w:t>动力电池</w:t>
            </w:r>
          </w:p>
        </w:tc>
        <w:tc>
          <w:tcPr>
            <w:tcW w:w="1350" w:type="dxa"/>
            <w:shd w:val="clear" w:color="auto" w:fill="auto"/>
            <w:vAlign w:val="center"/>
          </w:tcPr>
          <w:p w14:paraId="12E4F3A6">
            <w:pPr>
              <w:spacing w:line="320" w:lineRule="exact"/>
              <w:jc w:val="center"/>
              <w:rPr>
                <w:rFonts w:hint="eastAsia" w:ascii="宋体" w:hAnsi="宋体" w:cs="宋体"/>
                <w:color w:val="FF0000"/>
                <w:kern w:val="0"/>
                <w:szCs w:val="21"/>
                <w:lang w:bidi="ar"/>
              </w:rPr>
            </w:pPr>
            <w:r>
              <w:rPr>
                <w:rFonts w:hint="eastAsia"/>
                <w:snapToGrid w:val="0"/>
                <w:color w:val="FF0000"/>
                <w:kern w:val="21"/>
                <w:szCs w:val="21"/>
              </w:rPr>
              <w:t>/</w:t>
            </w:r>
          </w:p>
        </w:tc>
        <w:tc>
          <w:tcPr>
            <w:tcW w:w="1335" w:type="dxa"/>
            <w:shd w:val="clear" w:color="auto" w:fill="auto"/>
            <w:vAlign w:val="center"/>
          </w:tcPr>
          <w:p w14:paraId="7463D682">
            <w:pPr>
              <w:spacing w:line="320" w:lineRule="exact"/>
              <w:jc w:val="center"/>
              <w:rPr>
                <w:rFonts w:hint="eastAsia" w:ascii="宋体" w:hAnsi="宋体" w:cs="宋体"/>
                <w:color w:val="FF0000"/>
                <w:kern w:val="0"/>
                <w:szCs w:val="21"/>
                <w:lang w:bidi="ar"/>
              </w:rPr>
            </w:pPr>
            <w:r>
              <w:rPr>
                <w:rFonts w:hint="eastAsia"/>
                <w:snapToGrid w:val="0"/>
                <w:color w:val="FF0000"/>
                <w:kern w:val="21"/>
                <w:szCs w:val="21"/>
              </w:rPr>
              <w:t>/</w:t>
            </w:r>
          </w:p>
        </w:tc>
        <w:tc>
          <w:tcPr>
            <w:tcW w:w="1349" w:type="dxa"/>
            <w:shd w:val="clear" w:color="auto" w:fill="auto"/>
            <w:vAlign w:val="center"/>
          </w:tcPr>
          <w:p w14:paraId="352923B3">
            <w:pPr>
              <w:spacing w:line="320" w:lineRule="exact"/>
              <w:jc w:val="center"/>
              <w:rPr>
                <w:rFonts w:hint="eastAsia" w:ascii="宋体" w:hAnsi="宋体" w:cs="宋体"/>
                <w:color w:val="FF0000"/>
                <w:kern w:val="0"/>
                <w:szCs w:val="21"/>
                <w:lang w:bidi="ar"/>
              </w:rPr>
            </w:pPr>
            <w:r>
              <w:rPr>
                <w:rFonts w:hint="eastAsia"/>
                <w:snapToGrid w:val="0"/>
                <w:color w:val="FF0000"/>
                <w:kern w:val="21"/>
                <w:szCs w:val="21"/>
              </w:rPr>
              <w:t>/</w:t>
            </w:r>
          </w:p>
        </w:tc>
        <w:tc>
          <w:tcPr>
            <w:tcW w:w="1541" w:type="dxa"/>
            <w:vAlign w:val="center"/>
          </w:tcPr>
          <w:p w14:paraId="064B6837">
            <w:pPr>
              <w:keepNext w:val="0"/>
              <w:keepLines w:val="0"/>
              <w:widowControl/>
              <w:suppressLineNumbers w:val="0"/>
              <w:jc w:val="center"/>
              <w:textAlignment w:val="center"/>
              <w:rPr>
                <w:rFonts w:hint="eastAsia" w:ascii="宋体" w:hAnsi="宋体" w:cs="宋体"/>
                <w:color w:val="FF0000"/>
                <w:kern w:val="0"/>
                <w:szCs w:val="21"/>
                <w:lang w:bidi="ar"/>
              </w:rPr>
            </w:pPr>
            <w:r>
              <w:rPr>
                <w:rFonts w:hint="default" w:ascii="Times New Roman" w:hAnsi="Times New Roman" w:eastAsia="宋体" w:cs="Times New Roman"/>
                <w:i w:val="0"/>
                <w:iCs w:val="0"/>
                <w:color w:val="FF0000"/>
                <w:kern w:val="0"/>
                <w:sz w:val="21"/>
                <w:szCs w:val="21"/>
                <w:u w:val="none"/>
                <w:lang w:val="en-US" w:eastAsia="zh-CN" w:bidi="ar"/>
              </w:rPr>
              <w:t>253.48</w:t>
            </w:r>
            <w:r>
              <w:rPr>
                <w:rFonts w:hint="eastAsia"/>
                <w:bCs/>
                <w:color w:val="FF0000"/>
                <w:szCs w:val="21"/>
              </w:rPr>
              <w:t>t/a</w:t>
            </w:r>
          </w:p>
        </w:tc>
        <w:tc>
          <w:tcPr>
            <w:tcW w:w="1608" w:type="dxa"/>
            <w:vAlign w:val="center"/>
          </w:tcPr>
          <w:p w14:paraId="15E9C5D3">
            <w:pPr>
              <w:spacing w:line="320" w:lineRule="exact"/>
              <w:jc w:val="center"/>
              <w:rPr>
                <w:rFonts w:hint="eastAsia" w:ascii="宋体" w:hAnsi="宋体" w:cs="宋体"/>
                <w:color w:val="FF0000"/>
                <w:kern w:val="0"/>
                <w:szCs w:val="21"/>
                <w:lang w:bidi="ar"/>
              </w:rPr>
            </w:pPr>
            <w:r>
              <w:rPr>
                <w:rFonts w:hint="eastAsia"/>
                <w:snapToGrid w:val="0"/>
                <w:color w:val="FF0000"/>
                <w:kern w:val="21"/>
                <w:szCs w:val="21"/>
              </w:rPr>
              <w:t>/</w:t>
            </w:r>
          </w:p>
        </w:tc>
        <w:tc>
          <w:tcPr>
            <w:tcW w:w="1439" w:type="dxa"/>
            <w:vAlign w:val="center"/>
          </w:tcPr>
          <w:p w14:paraId="4456D9D6">
            <w:pPr>
              <w:keepNext w:val="0"/>
              <w:keepLines w:val="0"/>
              <w:widowControl/>
              <w:suppressLineNumbers w:val="0"/>
              <w:jc w:val="center"/>
              <w:textAlignment w:val="center"/>
              <w:rPr>
                <w:rFonts w:hint="eastAsia" w:ascii="宋体" w:hAnsi="宋体" w:cs="宋体"/>
                <w:color w:val="FF0000"/>
                <w:kern w:val="0"/>
                <w:szCs w:val="21"/>
                <w:lang w:bidi="ar"/>
              </w:rPr>
            </w:pPr>
            <w:r>
              <w:rPr>
                <w:rFonts w:hint="default" w:ascii="Times New Roman" w:hAnsi="Times New Roman" w:eastAsia="宋体" w:cs="Times New Roman"/>
                <w:i w:val="0"/>
                <w:iCs w:val="0"/>
                <w:color w:val="FF0000"/>
                <w:kern w:val="0"/>
                <w:sz w:val="21"/>
                <w:szCs w:val="21"/>
                <w:u w:val="none"/>
                <w:lang w:val="en-US" w:eastAsia="zh-CN" w:bidi="ar"/>
              </w:rPr>
              <w:t>253.48</w:t>
            </w:r>
            <w:r>
              <w:rPr>
                <w:rFonts w:hint="eastAsia"/>
                <w:bCs/>
                <w:color w:val="FF0000"/>
                <w:szCs w:val="21"/>
              </w:rPr>
              <w:t>t/a</w:t>
            </w:r>
          </w:p>
        </w:tc>
        <w:tc>
          <w:tcPr>
            <w:tcW w:w="1466" w:type="dxa"/>
            <w:shd w:val="clear" w:color="auto" w:fill="auto"/>
            <w:vAlign w:val="center"/>
          </w:tcPr>
          <w:p w14:paraId="52EFCAB2">
            <w:pPr>
              <w:keepNext w:val="0"/>
              <w:keepLines w:val="0"/>
              <w:widowControl/>
              <w:suppressLineNumbers w:val="0"/>
              <w:jc w:val="center"/>
              <w:textAlignment w:val="center"/>
              <w:rPr>
                <w:rFonts w:hint="eastAsia" w:ascii="宋体" w:hAnsi="宋体" w:eastAsia="宋体" w:cs="宋体"/>
                <w:color w:val="FF0000"/>
                <w:kern w:val="0"/>
                <w:sz w:val="21"/>
                <w:szCs w:val="21"/>
                <w:lang w:val="en-US" w:eastAsia="zh-CN" w:bidi="ar"/>
              </w:rPr>
            </w:pPr>
            <w:r>
              <w:rPr>
                <w:rFonts w:hint="eastAsia" w:ascii="Times New Roman" w:hAnsi="Times New Roman" w:eastAsia="宋体" w:cs="Times New Roman"/>
                <w:i w:val="0"/>
                <w:iCs w:val="0"/>
                <w:color w:val="FF0000"/>
                <w:kern w:val="0"/>
                <w:sz w:val="21"/>
                <w:szCs w:val="21"/>
                <w:u w:val="none"/>
                <w:lang w:val="en-US" w:eastAsia="zh-CN" w:bidi="ar"/>
              </w:rPr>
              <w:t>+</w:t>
            </w:r>
            <w:r>
              <w:rPr>
                <w:rFonts w:hint="default" w:ascii="Times New Roman" w:hAnsi="Times New Roman" w:eastAsia="宋体" w:cs="Times New Roman"/>
                <w:i w:val="0"/>
                <w:iCs w:val="0"/>
                <w:color w:val="FF0000"/>
                <w:kern w:val="0"/>
                <w:sz w:val="21"/>
                <w:szCs w:val="21"/>
                <w:u w:val="none"/>
                <w:lang w:val="en-US" w:eastAsia="zh-CN" w:bidi="ar"/>
              </w:rPr>
              <w:t>253.48</w:t>
            </w:r>
            <w:r>
              <w:rPr>
                <w:rFonts w:hint="eastAsia"/>
                <w:bCs/>
                <w:color w:val="FF0000"/>
                <w:szCs w:val="21"/>
              </w:rPr>
              <w:t>t/a</w:t>
            </w:r>
          </w:p>
        </w:tc>
      </w:tr>
      <w:tr w14:paraId="09D509B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3" w:hRule="atLeast"/>
        </w:trPr>
        <w:tc>
          <w:tcPr>
            <w:tcW w:w="1588" w:type="dxa"/>
            <w:vMerge w:val="continue"/>
            <w:vAlign w:val="center"/>
          </w:tcPr>
          <w:p w14:paraId="348D9A1A">
            <w:pPr>
              <w:spacing w:line="320" w:lineRule="exact"/>
              <w:jc w:val="center"/>
              <w:rPr>
                <w:rFonts w:hint="eastAsia" w:ascii="宋体" w:hAnsi="宋体" w:cs="宋体"/>
                <w:color w:val="FF0000"/>
                <w:kern w:val="0"/>
                <w:szCs w:val="21"/>
                <w:lang w:bidi="ar"/>
              </w:rPr>
            </w:pPr>
          </w:p>
        </w:tc>
        <w:tc>
          <w:tcPr>
            <w:tcW w:w="2112" w:type="dxa"/>
            <w:shd w:val="clear" w:color="auto" w:fill="auto"/>
            <w:vAlign w:val="center"/>
          </w:tcPr>
          <w:p w14:paraId="375DB1E2">
            <w:pPr>
              <w:keepNext w:val="0"/>
              <w:keepLines w:val="0"/>
              <w:widowControl/>
              <w:suppressLineNumbers w:val="0"/>
              <w:jc w:val="center"/>
              <w:textAlignment w:val="center"/>
              <w:rPr>
                <w:bCs/>
                <w:color w:val="FF0000"/>
                <w:szCs w:val="21"/>
              </w:rPr>
            </w:pPr>
            <w:r>
              <w:rPr>
                <w:rFonts w:hint="default" w:ascii="Times New Roman" w:hAnsi="Times New Roman" w:eastAsia="宋体" w:cs="Times New Roman"/>
                <w:i w:val="0"/>
                <w:iCs w:val="0"/>
                <w:color w:val="FF0000"/>
                <w:kern w:val="0"/>
                <w:sz w:val="21"/>
                <w:szCs w:val="21"/>
                <w:u w:val="none"/>
                <w:lang w:val="en-US" w:eastAsia="zh-CN" w:bidi="ar"/>
              </w:rPr>
              <w:t>废皮布制品</w:t>
            </w:r>
          </w:p>
        </w:tc>
        <w:tc>
          <w:tcPr>
            <w:tcW w:w="1350" w:type="dxa"/>
            <w:shd w:val="clear" w:color="auto" w:fill="auto"/>
            <w:vAlign w:val="center"/>
          </w:tcPr>
          <w:p w14:paraId="207E0E29">
            <w:pPr>
              <w:spacing w:line="320" w:lineRule="exact"/>
              <w:jc w:val="center"/>
              <w:rPr>
                <w:rFonts w:hint="eastAsia" w:ascii="宋体" w:hAnsi="宋体" w:cs="宋体"/>
                <w:color w:val="FF0000"/>
                <w:kern w:val="0"/>
                <w:szCs w:val="21"/>
                <w:lang w:bidi="ar"/>
              </w:rPr>
            </w:pPr>
            <w:r>
              <w:rPr>
                <w:rFonts w:hint="eastAsia"/>
                <w:snapToGrid w:val="0"/>
                <w:color w:val="FF0000"/>
                <w:kern w:val="21"/>
                <w:szCs w:val="21"/>
              </w:rPr>
              <w:t>/</w:t>
            </w:r>
          </w:p>
        </w:tc>
        <w:tc>
          <w:tcPr>
            <w:tcW w:w="1335" w:type="dxa"/>
            <w:shd w:val="clear" w:color="auto" w:fill="auto"/>
            <w:vAlign w:val="center"/>
          </w:tcPr>
          <w:p w14:paraId="1EF1F351">
            <w:pPr>
              <w:spacing w:line="320" w:lineRule="exact"/>
              <w:jc w:val="center"/>
              <w:rPr>
                <w:rFonts w:hint="eastAsia" w:ascii="宋体" w:hAnsi="宋体" w:cs="宋体"/>
                <w:color w:val="FF0000"/>
                <w:kern w:val="0"/>
                <w:szCs w:val="21"/>
                <w:lang w:bidi="ar"/>
              </w:rPr>
            </w:pPr>
            <w:r>
              <w:rPr>
                <w:rFonts w:hint="eastAsia"/>
                <w:snapToGrid w:val="0"/>
                <w:color w:val="FF0000"/>
                <w:kern w:val="21"/>
                <w:szCs w:val="21"/>
              </w:rPr>
              <w:t>/</w:t>
            </w:r>
          </w:p>
        </w:tc>
        <w:tc>
          <w:tcPr>
            <w:tcW w:w="1349" w:type="dxa"/>
            <w:shd w:val="clear" w:color="auto" w:fill="auto"/>
            <w:vAlign w:val="center"/>
          </w:tcPr>
          <w:p w14:paraId="43103BA6">
            <w:pPr>
              <w:spacing w:line="320" w:lineRule="exact"/>
              <w:jc w:val="center"/>
              <w:rPr>
                <w:rFonts w:hint="eastAsia" w:ascii="宋体" w:hAnsi="宋体" w:cs="宋体"/>
                <w:color w:val="FF0000"/>
                <w:kern w:val="0"/>
                <w:szCs w:val="21"/>
                <w:lang w:bidi="ar"/>
              </w:rPr>
            </w:pPr>
            <w:r>
              <w:rPr>
                <w:rFonts w:hint="eastAsia"/>
                <w:snapToGrid w:val="0"/>
                <w:color w:val="FF0000"/>
                <w:kern w:val="21"/>
                <w:szCs w:val="21"/>
              </w:rPr>
              <w:t>/</w:t>
            </w:r>
          </w:p>
        </w:tc>
        <w:tc>
          <w:tcPr>
            <w:tcW w:w="1541" w:type="dxa"/>
            <w:vAlign w:val="center"/>
          </w:tcPr>
          <w:p w14:paraId="60CD253F">
            <w:pPr>
              <w:keepNext w:val="0"/>
              <w:keepLines w:val="0"/>
              <w:widowControl/>
              <w:suppressLineNumbers w:val="0"/>
              <w:jc w:val="center"/>
              <w:textAlignment w:val="center"/>
              <w:rPr>
                <w:rFonts w:hint="eastAsia" w:ascii="宋体" w:hAnsi="宋体" w:cs="宋体"/>
                <w:color w:val="FF0000"/>
                <w:kern w:val="0"/>
                <w:szCs w:val="21"/>
                <w:lang w:bidi="ar"/>
              </w:rPr>
            </w:pPr>
            <w:r>
              <w:rPr>
                <w:rFonts w:hint="default" w:ascii="Times New Roman" w:hAnsi="Times New Roman" w:eastAsia="宋体" w:cs="Times New Roman"/>
                <w:i w:val="0"/>
                <w:iCs w:val="0"/>
                <w:color w:val="FF0000"/>
                <w:kern w:val="0"/>
                <w:sz w:val="21"/>
                <w:szCs w:val="21"/>
                <w:u w:val="none"/>
                <w:lang w:val="en-US" w:eastAsia="zh-CN" w:bidi="ar"/>
              </w:rPr>
              <w:t>674.94</w:t>
            </w:r>
            <w:r>
              <w:rPr>
                <w:rFonts w:hint="eastAsia"/>
                <w:bCs/>
                <w:color w:val="FF0000"/>
                <w:szCs w:val="21"/>
              </w:rPr>
              <w:t>t/a</w:t>
            </w:r>
          </w:p>
        </w:tc>
        <w:tc>
          <w:tcPr>
            <w:tcW w:w="1608" w:type="dxa"/>
            <w:vAlign w:val="center"/>
          </w:tcPr>
          <w:p w14:paraId="391AC8D7">
            <w:pPr>
              <w:spacing w:line="320" w:lineRule="exact"/>
              <w:jc w:val="center"/>
              <w:rPr>
                <w:rFonts w:hint="eastAsia" w:ascii="宋体" w:hAnsi="宋体" w:cs="宋体"/>
                <w:color w:val="FF0000"/>
                <w:kern w:val="0"/>
                <w:szCs w:val="21"/>
                <w:lang w:bidi="ar"/>
              </w:rPr>
            </w:pPr>
            <w:r>
              <w:rPr>
                <w:rFonts w:hint="eastAsia"/>
                <w:snapToGrid w:val="0"/>
                <w:color w:val="FF0000"/>
                <w:kern w:val="21"/>
                <w:szCs w:val="21"/>
              </w:rPr>
              <w:t>/</w:t>
            </w:r>
          </w:p>
        </w:tc>
        <w:tc>
          <w:tcPr>
            <w:tcW w:w="1439" w:type="dxa"/>
            <w:vAlign w:val="center"/>
          </w:tcPr>
          <w:p w14:paraId="5397A99C">
            <w:pPr>
              <w:keepNext w:val="0"/>
              <w:keepLines w:val="0"/>
              <w:widowControl/>
              <w:suppressLineNumbers w:val="0"/>
              <w:jc w:val="center"/>
              <w:textAlignment w:val="center"/>
              <w:rPr>
                <w:rFonts w:hint="eastAsia" w:ascii="宋体" w:hAnsi="宋体" w:cs="宋体"/>
                <w:color w:val="FF0000"/>
                <w:kern w:val="0"/>
                <w:szCs w:val="21"/>
                <w:lang w:bidi="ar"/>
              </w:rPr>
            </w:pPr>
            <w:r>
              <w:rPr>
                <w:rFonts w:hint="default" w:ascii="Times New Roman" w:hAnsi="Times New Roman" w:eastAsia="宋体" w:cs="Times New Roman"/>
                <w:i w:val="0"/>
                <w:iCs w:val="0"/>
                <w:color w:val="FF0000"/>
                <w:kern w:val="0"/>
                <w:sz w:val="21"/>
                <w:szCs w:val="21"/>
                <w:u w:val="none"/>
                <w:lang w:val="en-US" w:eastAsia="zh-CN" w:bidi="ar"/>
              </w:rPr>
              <w:t>674.94</w:t>
            </w:r>
            <w:r>
              <w:rPr>
                <w:rFonts w:hint="eastAsia"/>
                <w:bCs/>
                <w:color w:val="FF0000"/>
                <w:szCs w:val="21"/>
              </w:rPr>
              <w:t>t/a</w:t>
            </w:r>
          </w:p>
        </w:tc>
        <w:tc>
          <w:tcPr>
            <w:tcW w:w="1466" w:type="dxa"/>
            <w:shd w:val="clear" w:color="auto" w:fill="auto"/>
            <w:vAlign w:val="center"/>
          </w:tcPr>
          <w:p w14:paraId="7C52A6C7">
            <w:pPr>
              <w:keepNext w:val="0"/>
              <w:keepLines w:val="0"/>
              <w:widowControl/>
              <w:suppressLineNumbers w:val="0"/>
              <w:jc w:val="center"/>
              <w:textAlignment w:val="center"/>
              <w:rPr>
                <w:rFonts w:hint="eastAsia" w:ascii="宋体" w:hAnsi="宋体" w:eastAsia="宋体" w:cs="宋体"/>
                <w:color w:val="FF0000"/>
                <w:kern w:val="0"/>
                <w:sz w:val="21"/>
                <w:szCs w:val="21"/>
                <w:lang w:val="en-US" w:eastAsia="zh-CN" w:bidi="ar"/>
              </w:rPr>
            </w:pPr>
            <w:r>
              <w:rPr>
                <w:rFonts w:hint="eastAsia" w:ascii="Times New Roman" w:hAnsi="Times New Roman" w:eastAsia="宋体" w:cs="Times New Roman"/>
                <w:i w:val="0"/>
                <w:iCs w:val="0"/>
                <w:color w:val="FF0000"/>
                <w:kern w:val="0"/>
                <w:sz w:val="21"/>
                <w:szCs w:val="21"/>
                <w:u w:val="none"/>
                <w:lang w:val="en-US" w:eastAsia="zh-CN" w:bidi="ar"/>
              </w:rPr>
              <w:t>+</w:t>
            </w:r>
            <w:r>
              <w:rPr>
                <w:rFonts w:hint="default" w:ascii="Times New Roman" w:hAnsi="Times New Roman" w:eastAsia="宋体" w:cs="Times New Roman"/>
                <w:i w:val="0"/>
                <w:iCs w:val="0"/>
                <w:color w:val="FF0000"/>
                <w:kern w:val="0"/>
                <w:sz w:val="21"/>
                <w:szCs w:val="21"/>
                <w:u w:val="none"/>
                <w:lang w:val="en-US" w:eastAsia="zh-CN" w:bidi="ar"/>
              </w:rPr>
              <w:t>674.94</w:t>
            </w:r>
            <w:r>
              <w:rPr>
                <w:rFonts w:hint="eastAsia"/>
                <w:bCs/>
                <w:color w:val="FF0000"/>
                <w:szCs w:val="21"/>
              </w:rPr>
              <w:t>t/a</w:t>
            </w:r>
          </w:p>
        </w:tc>
      </w:tr>
      <w:tr w14:paraId="61A2BEF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3" w:hRule="atLeast"/>
        </w:trPr>
        <w:tc>
          <w:tcPr>
            <w:tcW w:w="1588" w:type="dxa"/>
            <w:vMerge w:val="continue"/>
            <w:vAlign w:val="center"/>
          </w:tcPr>
          <w:p w14:paraId="4CE2A133">
            <w:pPr>
              <w:spacing w:line="320" w:lineRule="exact"/>
              <w:jc w:val="center"/>
              <w:rPr>
                <w:rFonts w:hint="eastAsia" w:ascii="宋体" w:hAnsi="宋体" w:cs="宋体"/>
                <w:color w:val="FF0000"/>
                <w:kern w:val="0"/>
                <w:szCs w:val="21"/>
                <w:lang w:bidi="ar"/>
              </w:rPr>
            </w:pPr>
          </w:p>
        </w:tc>
        <w:tc>
          <w:tcPr>
            <w:tcW w:w="2112" w:type="dxa"/>
            <w:shd w:val="clear" w:color="auto" w:fill="auto"/>
            <w:vAlign w:val="center"/>
          </w:tcPr>
          <w:p w14:paraId="2D4EF4B3">
            <w:pPr>
              <w:keepNext w:val="0"/>
              <w:keepLines w:val="0"/>
              <w:widowControl/>
              <w:suppressLineNumbers w:val="0"/>
              <w:jc w:val="center"/>
              <w:textAlignment w:val="center"/>
              <w:rPr>
                <w:bCs/>
                <w:color w:val="FF0000"/>
                <w:szCs w:val="21"/>
              </w:rPr>
            </w:pPr>
            <w:r>
              <w:rPr>
                <w:rFonts w:hint="default" w:ascii="Times New Roman" w:hAnsi="Times New Roman" w:eastAsia="宋体" w:cs="Times New Roman"/>
                <w:i w:val="0"/>
                <w:iCs w:val="0"/>
                <w:color w:val="FF0000"/>
                <w:kern w:val="0"/>
                <w:sz w:val="21"/>
                <w:szCs w:val="21"/>
                <w:u w:val="none"/>
                <w:lang w:val="en-US" w:eastAsia="zh-CN" w:bidi="ar"/>
              </w:rPr>
              <w:t>其他不可利用物</w:t>
            </w:r>
          </w:p>
        </w:tc>
        <w:tc>
          <w:tcPr>
            <w:tcW w:w="1350" w:type="dxa"/>
            <w:shd w:val="clear" w:color="auto" w:fill="auto"/>
            <w:vAlign w:val="center"/>
          </w:tcPr>
          <w:p w14:paraId="490E4254">
            <w:pPr>
              <w:spacing w:line="320" w:lineRule="exact"/>
              <w:jc w:val="center"/>
              <w:rPr>
                <w:rFonts w:hint="eastAsia" w:ascii="宋体" w:hAnsi="宋体" w:cs="宋体"/>
                <w:color w:val="FF0000"/>
                <w:kern w:val="0"/>
                <w:szCs w:val="21"/>
                <w:lang w:bidi="ar"/>
              </w:rPr>
            </w:pPr>
            <w:r>
              <w:rPr>
                <w:rFonts w:hint="eastAsia"/>
                <w:snapToGrid w:val="0"/>
                <w:color w:val="FF0000"/>
                <w:kern w:val="21"/>
                <w:szCs w:val="21"/>
              </w:rPr>
              <w:t>/</w:t>
            </w:r>
          </w:p>
        </w:tc>
        <w:tc>
          <w:tcPr>
            <w:tcW w:w="1335" w:type="dxa"/>
            <w:shd w:val="clear" w:color="auto" w:fill="auto"/>
            <w:vAlign w:val="center"/>
          </w:tcPr>
          <w:p w14:paraId="43137F69">
            <w:pPr>
              <w:spacing w:line="320" w:lineRule="exact"/>
              <w:jc w:val="center"/>
              <w:rPr>
                <w:rFonts w:hint="eastAsia" w:ascii="宋体" w:hAnsi="宋体" w:cs="宋体"/>
                <w:color w:val="FF0000"/>
                <w:kern w:val="0"/>
                <w:szCs w:val="21"/>
                <w:lang w:bidi="ar"/>
              </w:rPr>
            </w:pPr>
            <w:r>
              <w:rPr>
                <w:rFonts w:hint="eastAsia"/>
                <w:snapToGrid w:val="0"/>
                <w:color w:val="FF0000"/>
                <w:kern w:val="21"/>
                <w:szCs w:val="21"/>
              </w:rPr>
              <w:t>/</w:t>
            </w:r>
          </w:p>
        </w:tc>
        <w:tc>
          <w:tcPr>
            <w:tcW w:w="1349" w:type="dxa"/>
            <w:shd w:val="clear" w:color="auto" w:fill="auto"/>
            <w:vAlign w:val="center"/>
          </w:tcPr>
          <w:p w14:paraId="5E0BB263">
            <w:pPr>
              <w:spacing w:line="320" w:lineRule="exact"/>
              <w:jc w:val="center"/>
              <w:rPr>
                <w:rFonts w:hint="eastAsia" w:ascii="宋体" w:hAnsi="宋体" w:cs="宋体"/>
                <w:color w:val="FF0000"/>
                <w:kern w:val="0"/>
                <w:szCs w:val="21"/>
                <w:lang w:bidi="ar"/>
              </w:rPr>
            </w:pPr>
            <w:r>
              <w:rPr>
                <w:rFonts w:hint="eastAsia"/>
                <w:snapToGrid w:val="0"/>
                <w:color w:val="FF0000"/>
                <w:kern w:val="21"/>
                <w:szCs w:val="21"/>
              </w:rPr>
              <w:t>/</w:t>
            </w:r>
          </w:p>
        </w:tc>
        <w:tc>
          <w:tcPr>
            <w:tcW w:w="1541" w:type="dxa"/>
            <w:vAlign w:val="center"/>
          </w:tcPr>
          <w:p w14:paraId="01C7789A">
            <w:pPr>
              <w:keepNext w:val="0"/>
              <w:keepLines w:val="0"/>
              <w:widowControl/>
              <w:suppressLineNumbers w:val="0"/>
              <w:jc w:val="center"/>
              <w:textAlignment w:val="center"/>
              <w:rPr>
                <w:rFonts w:hint="eastAsia" w:ascii="宋体" w:hAnsi="宋体" w:cs="宋体"/>
                <w:color w:val="FF0000"/>
                <w:kern w:val="0"/>
                <w:szCs w:val="21"/>
                <w:lang w:bidi="ar"/>
              </w:rPr>
            </w:pPr>
            <w:r>
              <w:rPr>
                <w:rFonts w:hint="default" w:ascii="Times New Roman" w:hAnsi="Times New Roman" w:eastAsia="宋体" w:cs="Times New Roman"/>
                <w:i w:val="0"/>
                <w:iCs w:val="0"/>
                <w:color w:val="FF0000"/>
                <w:kern w:val="0"/>
                <w:sz w:val="21"/>
                <w:szCs w:val="21"/>
                <w:u w:val="none"/>
                <w:lang w:val="en-US" w:eastAsia="zh-CN" w:bidi="ar"/>
              </w:rPr>
              <w:t>149.44</w:t>
            </w:r>
            <w:r>
              <w:rPr>
                <w:rFonts w:hint="eastAsia"/>
                <w:bCs/>
                <w:color w:val="FF0000"/>
                <w:szCs w:val="21"/>
              </w:rPr>
              <w:t>t/a</w:t>
            </w:r>
          </w:p>
        </w:tc>
        <w:tc>
          <w:tcPr>
            <w:tcW w:w="1608" w:type="dxa"/>
            <w:vAlign w:val="center"/>
          </w:tcPr>
          <w:p w14:paraId="5C6A705A">
            <w:pPr>
              <w:spacing w:line="320" w:lineRule="exact"/>
              <w:jc w:val="center"/>
              <w:rPr>
                <w:rFonts w:hint="eastAsia" w:ascii="宋体" w:hAnsi="宋体" w:cs="宋体"/>
                <w:color w:val="FF0000"/>
                <w:kern w:val="0"/>
                <w:szCs w:val="21"/>
                <w:lang w:bidi="ar"/>
              </w:rPr>
            </w:pPr>
            <w:r>
              <w:rPr>
                <w:rFonts w:hint="eastAsia"/>
                <w:snapToGrid w:val="0"/>
                <w:color w:val="FF0000"/>
                <w:kern w:val="21"/>
                <w:szCs w:val="21"/>
              </w:rPr>
              <w:t>/</w:t>
            </w:r>
          </w:p>
        </w:tc>
        <w:tc>
          <w:tcPr>
            <w:tcW w:w="1439" w:type="dxa"/>
            <w:vAlign w:val="center"/>
          </w:tcPr>
          <w:p w14:paraId="7A6526AD">
            <w:pPr>
              <w:keepNext w:val="0"/>
              <w:keepLines w:val="0"/>
              <w:widowControl/>
              <w:suppressLineNumbers w:val="0"/>
              <w:jc w:val="center"/>
              <w:textAlignment w:val="center"/>
              <w:rPr>
                <w:rFonts w:hint="eastAsia" w:ascii="宋体" w:hAnsi="宋体" w:cs="宋体"/>
                <w:color w:val="FF0000"/>
                <w:kern w:val="0"/>
                <w:szCs w:val="21"/>
                <w:lang w:bidi="ar"/>
              </w:rPr>
            </w:pPr>
            <w:r>
              <w:rPr>
                <w:rFonts w:hint="default" w:ascii="Times New Roman" w:hAnsi="Times New Roman" w:eastAsia="宋体" w:cs="Times New Roman"/>
                <w:i w:val="0"/>
                <w:iCs w:val="0"/>
                <w:color w:val="FF0000"/>
                <w:kern w:val="0"/>
                <w:sz w:val="21"/>
                <w:szCs w:val="21"/>
                <w:u w:val="none"/>
                <w:lang w:val="en-US" w:eastAsia="zh-CN" w:bidi="ar"/>
              </w:rPr>
              <w:t>149.44</w:t>
            </w:r>
            <w:r>
              <w:rPr>
                <w:rFonts w:hint="eastAsia"/>
                <w:bCs/>
                <w:color w:val="FF0000"/>
                <w:szCs w:val="21"/>
              </w:rPr>
              <w:t>t/a</w:t>
            </w:r>
          </w:p>
        </w:tc>
        <w:tc>
          <w:tcPr>
            <w:tcW w:w="1466" w:type="dxa"/>
            <w:shd w:val="clear" w:color="auto" w:fill="auto"/>
            <w:vAlign w:val="center"/>
          </w:tcPr>
          <w:p w14:paraId="1589C6F7">
            <w:pPr>
              <w:keepNext w:val="0"/>
              <w:keepLines w:val="0"/>
              <w:widowControl/>
              <w:suppressLineNumbers w:val="0"/>
              <w:jc w:val="center"/>
              <w:textAlignment w:val="center"/>
              <w:rPr>
                <w:rFonts w:hint="eastAsia" w:ascii="宋体" w:hAnsi="宋体" w:eastAsia="宋体" w:cs="宋体"/>
                <w:color w:val="FF0000"/>
                <w:kern w:val="0"/>
                <w:sz w:val="21"/>
                <w:szCs w:val="21"/>
                <w:lang w:val="en-US" w:eastAsia="zh-CN" w:bidi="ar"/>
              </w:rPr>
            </w:pPr>
            <w:r>
              <w:rPr>
                <w:rFonts w:hint="eastAsia" w:ascii="Times New Roman" w:hAnsi="Times New Roman" w:eastAsia="宋体" w:cs="Times New Roman"/>
                <w:i w:val="0"/>
                <w:iCs w:val="0"/>
                <w:color w:val="FF0000"/>
                <w:kern w:val="0"/>
                <w:sz w:val="21"/>
                <w:szCs w:val="21"/>
                <w:u w:val="none"/>
                <w:lang w:val="en-US" w:eastAsia="zh-CN" w:bidi="ar"/>
              </w:rPr>
              <w:t>+</w:t>
            </w:r>
            <w:r>
              <w:rPr>
                <w:rFonts w:hint="default" w:ascii="Times New Roman" w:hAnsi="Times New Roman" w:eastAsia="宋体" w:cs="Times New Roman"/>
                <w:i w:val="0"/>
                <w:iCs w:val="0"/>
                <w:color w:val="FF0000"/>
                <w:kern w:val="0"/>
                <w:sz w:val="21"/>
                <w:szCs w:val="21"/>
                <w:u w:val="none"/>
                <w:lang w:val="en-US" w:eastAsia="zh-CN" w:bidi="ar"/>
              </w:rPr>
              <w:t>149.44</w:t>
            </w:r>
            <w:r>
              <w:rPr>
                <w:rFonts w:hint="eastAsia"/>
                <w:bCs/>
                <w:color w:val="FF0000"/>
                <w:szCs w:val="21"/>
              </w:rPr>
              <w:t>t/a</w:t>
            </w:r>
          </w:p>
        </w:tc>
      </w:tr>
      <w:tr w14:paraId="72A20DB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3" w:hRule="atLeast"/>
        </w:trPr>
        <w:tc>
          <w:tcPr>
            <w:tcW w:w="1588" w:type="dxa"/>
            <w:vMerge w:val="continue"/>
            <w:vAlign w:val="center"/>
          </w:tcPr>
          <w:p w14:paraId="3B858770">
            <w:pPr>
              <w:spacing w:line="320" w:lineRule="exact"/>
              <w:jc w:val="center"/>
              <w:rPr>
                <w:rFonts w:hint="eastAsia" w:ascii="宋体" w:hAnsi="宋体" w:cs="宋体"/>
                <w:color w:val="FF0000"/>
                <w:kern w:val="0"/>
                <w:szCs w:val="21"/>
                <w:lang w:bidi="ar"/>
              </w:rPr>
            </w:pPr>
          </w:p>
        </w:tc>
        <w:tc>
          <w:tcPr>
            <w:tcW w:w="2112" w:type="dxa"/>
            <w:shd w:val="clear" w:color="auto" w:fill="auto"/>
            <w:vAlign w:val="center"/>
          </w:tcPr>
          <w:p w14:paraId="0CA9AEE1">
            <w:pPr>
              <w:keepNext w:val="0"/>
              <w:keepLines w:val="0"/>
              <w:widowControl/>
              <w:suppressLineNumbers w:val="0"/>
              <w:jc w:val="center"/>
              <w:textAlignment w:val="center"/>
              <w:rPr>
                <w:bCs/>
                <w:color w:val="FF0000"/>
                <w:szCs w:val="21"/>
              </w:rPr>
            </w:pPr>
            <w:r>
              <w:rPr>
                <w:rFonts w:hint="default" w:ascii="Times New Roman" w:hAnsi="Times New Roman" w:eastAsia="宋体" w:cs="Times New Roman"/>
                <w:i w:val="0"/>
                <w:iCs w:val="0"/>
                <w:color w:val="FF0000"/>
                <w:kern w:val="0"/>
                <w:sz w:val="21"/>
                <w:szCs w:val="21"/>
                <w:u w:val="none"/>
                <w:lang w:val="en-US" w:eastAsia="zh-CN" w:bidi="ar"/>
              </w:rPr>
              <w:t>除尘灰</w:t>
            </w:r>
          </w:p>
        </w:tc>
        <w:tc>
          <w:tcPr>
            <w:tcW w:w="1350" w:type="dxa"/>
            <w:shd w:val="clear" w:color="auto" w:fill="auto"/>
            <w:vAlign w:val="center"/>
          </w:tcPr>
          <w:p w14:paraId="64A6A363">
            <w:pPr>
              <w:spacing w:line="320" w:lineRule="exact"/>
              <w:jc w:val="center"/>
              <w:rPr>
                <w:rFonts w:hint="eastAsia" w:ascii="宋体" w:hAnsi="宋体" w:cs="宋体"/>
                <w:color w:val="FF0000"/>
                <w:kern w:val="0"/>
                <w:szCs w:val="21"/>
                <w:lang w:bidi="ar"/>
              </w:rPr>
            </w:pPr>
            <w:r>
              <w:rPr>
                <w:rFonts w:hint="eastAsia"/>
                <w:snapToGrid w:val="0"/>
                <w:color w:val="FF0000"/>
                <w:kern w:val="21"/>
                <w:szCs w:val="21"/>
              </w:rPr>
              <w:t>/</w:t>
            </w:r>
          </w:p>
        </w:tc>
        <w:tc>
          <w:tcPr>
            <w:tcW w:w="1335" w:type="dxa"/>
            <w:shd w:val="clear" w:color="auto" w:fill="auto"/>
            <w:vAlign w:val="center"/>
          </w:tcPr>
          <w:p w14:paraId="67D6E8E6">
            <w:pPr>
              <w:spacing w:line="320" w:lineRule="exact"/>
              <w:jc w:val="center"/>
              <w:rPr>
                <w:rFonts w:hint="eastAsia" w:ascii="宋体" w:hAnsi="宋体" w:cs="宋体"/>
                <w:color w:val="FF0000"/>
                <w:kern w:val="0"/>
                <w:szCs w:val="21"/>
                <w:lang w:bidi="ar"/>
              </w:rPr>
            </w:pPr>
            <w:r>
              <w:rPr>
                <w:rFonts w:hint="eastAsia"/>
                <w:snapToGrid w:val="0"/>
                <w:color w:val="FF0000"/>
                <w:kern w:val="21"/>
                <w:szCs w:val="21"/>
              </w:rPr>
              <w:t>/</w:t>
            </w:r>
          </w:p>
        </w:tc>
        <w:tc>
          <w:tcPr>
            <w:tcW w:w="1349" w:type="dxa"/>
            <w:shd w:val="clear" w:color="auto" w:fill="auto"/>
            <w:vAlign w:val="center"/>
          </w:tcPr>
          <w:p w14:paraId="3AB1BAE3">
            <w:pPr>
              <w:spacing w:line="320" w:lineRule="exact"/>
              <w:jc w:val="center"/>
              <w:rPr>
                <w:rFonts w:hint="eastAsia" w:ascii="宋体" w:hAnsi="宋体" w:cs="宋体"/>
                <w:color w:val="FF0000"/>
                <w:kern w:val="0"/>
                <w:szCs w:val="21"/>
                <w:lang w:bidi="ar"/>
              </w:rPr>
            </w:pPr>
            <w:r>
              <w:rPr>
                <w:rFonts w:hint="eastAsia"/>
                <w:snapToGrid w:val="0"/>
                <w:color w:val="FF0000"/>
                <w:kern w:val="21"/>
                <w:szCs w:val="21"/>
              </w:rPr>
              <w:t>/</w:t>
            </w:r>
          </w:p>
        </w:tc>
        <w:tc>
          <w:tcPr>
            <w:tcW w:w="1541" w:type="dxa"/>
            <w:vAlign w:val="center"/>
          </w:tcPr>
          <w:p w14:paraId="4F5B6F8E">
            <w:pPr>
              <w:keepNext w:val="0"/>
              <w:keepLines w:val="0"/>
              <w:widowControl/>
              <w:suppressLineNumbers w:val="0"/>
              <w:jc w:val="center"/>
              <w:textAlignment w:val="center"/>
              <w:rPr>
                <w:rFonts w:hint="eastAsia" w:ascii="宋体" w:hAnsi="宋体" w:cs="宋体"/>
                <w:color w:val="FF0000"/>
                <w:kern w:val="0"/>
                <w:szCs w:val="21"/>
                <w:lang w:bidi="ar"/>
              </w:rPr>
            </w:pPr>
            <w:r>
              <w:rPr>
                <w:rFonts w:hint="default" w:ascii="Times New Roman" w:hAnsi="Times New Roman" w:eastAsia="宋体" w:cs="Times New Roman"/>
                <w:i w:val="0"/>
                <w:iCs w:val="0"/>
                <w:color w:val="FF0000"/>
                <w:kern w:val="0"/>
                <w:sz w:val="21"/>
                <w:szCs w:val="21"/>
                <w:u w:val="none"/>
                <w:lang w:val="en-US" w:eastAsia="zh-CN" w:bidi="ar"/>
              </w:rPr>
              <w:t>18.379</w:t>
            </w:r>
            <w:r>
              <w:rPr>
                <w:rFonts w:hint="eastAsia"/>
                <w:bCs/>
                <w:color w:val="FF0000"/>
                <w:szCs w:val="21"/>
              </w:rPr>
              <w:t>t/a</w:t>
            </w:r>
          </w:p>
        </w:tc>
        <w:tc>
          <w:tcPr>
            <w:tcW w:w="1608" w:type="dxa"/>
            <w:vAlign w:val="center"/>
          </w:tcPr>
          <w:p w14:paraId="01D3734E">
            <w:pPr>
              <w:spacing w:line="320" w:lineRule="exact"/>
              <w:jc w:val="center"/>
              <w:rPr>
                <w:rFonts w:hint="eastAsia" w:ascii="宋体" w:hAnsi="宋体" w:cs="宋体"/>
                <w:color w:val="FF0000"/>
                <w:kern w:val="0"/>
                <w:szCs w:val="21"/>
                <w:lang w:bidi="ar"/>
              </w:rPr>
            </w:pPr>
            <w:r>
              <w:rPr>
                <w:rFonts w:hint="eastAsia"/>
                <w:snapToGrid w:val="0"/>
                <w:color w:val="FF0000"/>
                <w:kern w:val="21"/>
                <w:szCs w:val="21"/>
              </w:rPr>
              <w:t>/</w:t>
            </w:r>
          </w:p>
        </w:tc>
        <w:tc>
          <w:tcPr>
            <w:tcW w:w="1439" w:type="dxa"/>
            <w:vAlign w:val="center"/>
          </w:tcPr>
          <w:p w14:paraId="27FB2D36">
            <w:pPr>
              <w:keepNext w:val="0"/>
              <w:keepLines w:val="0"/>
              <w:widowControl/>
              <w:suppressLineNumbers w:val="0"/>
              <w:jc w:val="center"/>
              <w:textAlignment w:val="center"/>
              <w:rPr>
                <w:rFonts w:hint="eastAsia" w:ascii="宋体" w:hAnsi="宋体" w:cs="宋体"/>
                <w:color w:val="FF0000"/>
                <w:kern w:val="0"/>
                <w:szCs w:val="21"/>
                <w:lang w:bidi="ar"/>
              </w:rPr>
            </w:pPr>
            <w:r>
              <w:rPr>
                <w:rFonts w:hint="default" w:ascii="Times New Roman" w:hAnsi="Times New Roman" w:eastAsia="宋体" w:cs="Times New Roman"/>
                <w:i w:val="0"/>
                <w:iCs w:val="0"/>
                <w:color w:val="FF0000"/>
                <w:kern w:val="0"/>
                <w:sz w:val="21"/>
                <w:szCs w:val="21"/>
                <w:u w:val="none"/>
                <w:lang w:val="en-US" w:eastAsia="zh-CN" w:bidi="ar"/>
              </w:rPr>
              <w:t>18.379</w:t>
            </w:r>
            <w:r>
              <w:rPr>
                <w:rFonts w:hint="eastAsia"/>
                <w:bCs/>
                <w:color w:val="FF0000"/>
                <w:szCs w:val="21"/>
              </w:rPr>
              <w:t>t/a</w:t>
            </w:r>
          </w:p>
        </w:tc>
        <w:tc>
          <w:tcPr>
            <w:tcW w:w="1466" w:type="dxa"/>
            <w:shd w:val="clear" w:color="auto" w:fill="auto"/>
            <w:vAlign w:val="center"/>
          </w:tcPr>
          <w:p w14:paraId="6A023B19">
            <w:pPr>
              <w:keepNext w:val="0"/>
              <w:keepLines w:val="0"/>
              <w:widowControl/>
              <w:suppressLineNumbers w:val="0"/>
              <w:jc w:val="center"/>
              <w:textAlignment w:val="center"/>
              <w:rPr>
                <w:rFonts w:hint="eastAsia" w:ascii="宋体" w:hAnsi="宋体" w:eastAsia="宋体" w:cs="宋体"/>
                <w:color w:val="FF0000"/>
                <w:kern w:val="0"/>
                <w:sz w:val="21"/>
                <w:szCs w:val="21"/>
                <w:lang w:val="en-US" w:eastAsia="zh-CN" w:bidi="ar"/>
              </w:rPr>
            </w:pPr>
            <w:r>
              <w:rPr>
                <w:rFonts w:hint="eastAsia" w:ascii="Times New Roman" w:hAnsi="Times New Roman" w:eastAsia="宋体" w:cs="Times New Roman"/>
                <w:i w:val="0"/>
                <w:iCs w:val="0"/>
                <w:color w:val="FF0000"/>
                <w:kern w:val="0"/>
                <w:sz w:val="21"/>
                <w:szCs w:val="21"/>
                <w:u w:val="none"/>
                <w:lang w:val="en-US" w:eastAsia="zh-CN" w:bidi="ar"/>
              </w:rPr>
              <w:t>+</w:t>
            </w:r>
            <w:r>
              <w:rPr>
                <w:rFonts w:hint="default" w:ascii="Times New Roman" w:hAnsi="Times New Roman" w:eastAsia="宋体" w:cs="Times New Roman"/>
                <w:i w:val="0"/>
                <w:iCs w:val="0"/>
                <w:color w:val="FF0000"/>
                <w:kern w:val="0"/>
                <w:sz w:val="21"/>
                <w:szCs w:val="21"/>
                <w:u w:val="none"/>
                <w:lang w:val="en-US" w:eastAsia="zh-CN" w:bidi="ar"/>
              </w:rPr>
              <w:t>18.379</w:t>
            </w:r>
            <w:r>
              <w:rPr>
                <w:rFonts w:hint="eastAsia"/>
                <w:bCs/>
                <w:color w:val="FF0000"/>
                <w:szCs w:val="21"/>
              </w:rPr>
              <w:t>t/a</w:t>
            </w:r>
          </w:p>
        </w:tc>
      </w:tr>
      <w:tr w14:paraId="798C39E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3" w:hRule="atLeast"/>
        </w:trPr>
        <w:tc>
          <w:tcPr>
            <w:tcW w:w="1588" w:type="dxa"/>
            <w:vMerge w:val="continue"/>
            <w:vAlign w:val="center"/>
          </w:tcPr>
          <w:p w14:paraId="4DF41073">
            <w:pPr>
              <w:spacing w:line="320" w:lineRule="exact"/>
              <w:jc w:val="center"/>
              <w:rPr>
                <w:rFonts w:hint="eastAsia" w:ascii="宋体" w:hAnsi="宋体" w:cs="宋体"/>
                <w:color w:val="FF0000"/>
                <w:kern w:val="0"/>
                <w:szCs w:val="21"/>
                <w:lang w:bidi="ar"/>
              </w:rPr>
            </w:pPr>
          </w:p>
        </w:tc>
        <w:tc>
          <w:tcPr>
            <w:tcW w:w="2112" w:type="dxa"/>
            <w:shd w:val="clear" w:color="auto" w:fill="auto"/>
            <w:vAlign w:val="center"/>
          </w:tcPr>
          <w:p w14:paraId="2727DAD4">
            <w:pPr>
              <w:keepNext w:val="0"/>
              <w:keepLines w:val="0"/>
              <w:widowControl/>
              <w:suppressLineNumbers w:val="0"/>
              <w:jc w:val="center"/>
              <w:textAlignment w:val="center"/>
              <w:rPr>
                <w:rFonts w:ascii="Times New Roman" w:hAnsi="Times New Roman" w:cs="Times New Roman"/>
                <w:color w:val="FF0000"/>
                <w:sz w:val="21"/>
                <w:szCs w:val="21"/>
                <w:lang w:val="en-US" w:eastAsia="zh-CN"/>
              </w:rPr>
            </w:pPr>
            <w:r>
              <w:rPr>
                <w:rFonts w:hint="default" w:ascii="Times New Roman" w:hAnsi="Times New Roman" w:eastAsia="宋体" w:cs="Times New Roman"/>
                <w:i w:val="0"/>
                <w:iCs w:val="0"/>
                <w:color w:val="FF0000"/>
                <w:kern w:val="0"/>
                <w:sz w:val="21"/>
                <w:szCs w:val="21"/>
                <w:u w:val="none"/>
                <w:lang w:val="en-US" w:eastAsia="zh-CN" w:bidi="ar"/>
              </w:rPr>
              <w:t>落地粉尘</w:t>
            </w:r>
          </w:p>
        </w:tc>
        <w:tc>
          <w:tcPr>
            <w:tcW w:w="1350" w:type="dxa"/>
            <w:shd w:val="clear" w:color="auto" w:fill="auto"/>
            <w:vAlign w:val="center"/>
          </w:tcPr>
          <w:p w14:paraId="3F02C2B2">
            <w:pPr>
              <w:spacing w:line="320" w:lineRule="exact"/>
              <w:jc w:val="center"/>
              <w:rPr>
                <w:rFonts w:hint="eastAsia" w:ascii="宋体" w:hAnsi="宋体" w:cs="宋体"/>
                <w:color w:val="FF0000"/>
                <w:kern w:val="0"/>
                <w:szCs w:val="21"/>
                <w:lang w:bidi="ar"/>
              </w:rPr>
            </w:pPr>
            <w:r>
              <w:rPr>
                <w:rFonts w:hint="eastAsia"/>
                <w:snapToGrid w:val="0"/>
                <w:color w:val="FF0000"/>
                <w:kern w:val="21"/>
                <w:szCs w:val="21"/>
              </w:rPr>
              <w:t>/</w:t>
            </w:r>
          </w:p>
        </w:tc>
        <w:tc>
          <w:tcPr>
            <w:tcW w:w="1335" w:type="dxa"/>
            <w:shd w:val="clear" w:color="auto" w:fill="auto"/>
            <w:vAlign w:val="center"/>
          </w:tcPr>
          <w:p w14:paraId="67F3EBAC">
            <w:pPr>
              <w:spacing w:line="320" w:lineRule="exact"/>
              <w:jc w:val="center"/>
              <w:rPr>
                <w:rFonts w:hint="eastAsia" w:ascii="宋体" w:hAnsi="宋体" w:cs="宋体"/>
                <w:color w:val="FF0000"/>
                <w:kern w:val="0"/>
                <w:szCs w:val="21"/>
                <w:lang w:bidi="ar"/>
              </w:rPr>
            </w:pPr>
            <w:r>
              <w:rPr>
                <w:rFonts w:hint="eastAsia"/>
                <w:snapToGrid w:val="0"/>
                <w:color w:val="FF0000"/>
                <w:kern w:val="21"/>
                <w:szCs w:val="21"/>
              </w:rPr>
              <w:t>/</w:t>
            </w:r>
          </w:p>
        </w:tc>
        <w:tc>
          <w:tcPr>
            <w:tcW w:w="1349" w:type="dxa"/>
            <w:shd w:val="clear" w:color="auto" w:fill="auto"/>
            <w:vAlign w:val="center"/>
          </w:tcPr>
          <w:p w14:paraId="13A50A7E">
            <w:pPr>
              <w:spacing w:line="320" w:lineRule="exact"/>
              <w:jc w:val="center"/>
              <w:rPr>
                <w:rFonts w:hint="eastAsia" w:ascii="宋体" w:hAnsi="宋体" w:cs="宋体"/>
                <w:color w:val="FF0000"/>
                <w:kern w:val="0"/>
                <w:szCs w:val="21"/>
                <w:lang w:bidi="ar"/>
              </w:rPr>
            </w:pPr>
            <w:r>
              <w:rPr>
                <w:rFonts w:hint="eastAsia"/>
                <w:snapToGrid w:val="0"/>
                <w:color w:val="FF0000"/>
                <w:kern w:val="21"/>
                <w:szCs w:val="21"/>
              </w:rPr>
              <w:t>/</w:t>
            </w:r>
          </w:p>
        </w:tc>
        <w:tc>
          <w:tcPr>
            <w:tcW w:w="1541" w:type="dxa"/>
            <w:vAlign w:val="center"/>
          </w:tcPr>
          <w:p w14:paraId="3D90318E">
            <w:pPr>
              <w:keepNext w:val="0"/>
              <w:keepLines w:val="0"/>
              <w:widowControl/>
              <w:suppressLineNumbers w:val="0"/>
              <w:jc w:val="center"/>
              <w:textAlignment w:val="center"/>
              <w:rPr>
                <w:rFonts w:hint="eastAsia" w:ascii="宋体" w:hAnsi="宋体" w:cs="宋体"/>
                <w:color w:val="FF0000"/>
                <w:kern w:val="0"/>
                <w:szCs w:val="21"/>
                <w:lang w:bidi="ar"/>
              </w:rPr>
            </w:pPr>
            <w:r>
              <w:rPr>
                <w:rFonts w:hint="eastAsia" w:ascii="Times New Roman" w:hAnsi="Times New Roman" w:eastAsia="宋体" w:cs="Times New Roman"/>
                <w:i w:val="0"/>
                <w:iCs w:val="0"/>
                <w:color w:val="FF0000"/>
                <w:kern w:val="0"/>
                <w:sz w:val="21"/>
                <w:szCs w:val="21"/>
                <w:u w:val="none"/>
                <w:lang w:val="en-US" w:eastAsia="zh-CN" w:bidi="ar"/>
              </w:rPr>
              <w:t>4.177</w:t>
            </w:r>
            <w:r>
              <w:rPr>
                <w:rFonts w:hint="eastAsia"/>
                <w:bCs/>
                <w:color w:val="FF0000"/>
                <w:szCs w:val="21"/>
              </w:rPr>
              <w:t>t/a</w:t>
            </w:r>
          </w:p>
        </w:tc>
        <w:tc>
          <w:tcPr>
            <w:tcW w:w="1608" w:type="dxa"/>
            <w:vAlign w:val="center"/>
          </w:tcPr>
          <w:p w14:paraId="5FC9EDC0">
            <w:pPr>
              <w:spacing w:line="320" w:lineRule="exact"/>
              <w:jc w:val="center"/>
              <w:rPr>
                <w:rFonts w:hint="eastAsia" w:ascii="宋体" w:hAnsi="宋体" w:cs="宋体"/>
                <w:color w:val="FF0000"/>
                <w:kern w:val="0"/>
                <w:szCs w:val="21"/>
                <w:lang w:bidi="ar"/>
              </w:rPr>
            </w:pPr>
            <w:r>
              <w:rPr>
                <w:rFonts w:hint="eastAsia"/>
                <w:snapToGrid w:val="0"/>
                <w:color w:val="FF0000"/>
                <w:kern w:val="21"/>
                <w:szCs w:val="21"/>
              </w:rPr>
              <w:t>/</w:t>
            </w:r>
          </w:p>
        </w:tc>
        <w:tc>
          <w:tcPr>
            <w:tcW w:w="1439" w:type="dxa"/>
            <w:vAlign w:val="center"/>
          </w:tcPr>
          <w:p w14:paraId="60B2BE6F">
            <w:pPr>
              <w:keepNext w:val="0"/>
              <w:keepLines w:val="0"/>
              <w:widowControl/>
              <w:suppressLineNumbers w:val="0"/>
              <w:jc w:val="center"/>
              <w:textAlignment w:val="center"/>
              <w:rPr>
                <w:rFonts w:hint="eastAsia" w:ascii="宋体" w:hAnsi="宋体" w:cs="宋体"/>
                <w:color w:val="FF0000"/>
                <w:kern w:val="0"/>
                <w:szCs w:val="21"/>
                <w:lang w:bidi="ar"/>
              </w:rPr>
            </w:pPr>
            <w:r>
              <w:rPr>
                <w:rFonts w:hint="eastAsia" w:ascii="Times New Roman" w:hAnsi="Times New Roman" w:eastAsia="宋体" w:cs="Times New Roman"/>
                <w:i w:val="0"/>
                <w:iCs w:val="0"/>
                <w:color w:val="FF0000"/>
                <w:kern w:val="0"/>
                <w:sz w:val="21"/>
                <w:szCs w:val="21"/>
                <w:u w:val="none"/>
                <w:lang w:val="en-US" w:eastAsia="zh-CN" w:bidi="ar"/>
              </w:rPr>
              <w:t>4.177</w:t>
            </w:r>
            <w:r>
              <w:rPr>
                <w:rFonts w:hint="eastAsia"/>
                <w:bCs/>
                <w:color w:val="FF0000"/>
                <w:szCs w:val="21"/>
              </w:rPr>
              <w:t>t/a</w:t>
            </w:r>
          </w:p>
        </w:tc>
        <w:tc>
          <w:tcPr>
            <w:tcW w:w="1466" w:type="dxa"/>
            <w:shd w:val="clear" w:color="auto" w:fill="auto"/>
            <w:vAlign w:val="center"/>
          </w:tcPr>
          <w:p w14:paraId="44408071">
            <w:pPr>
              <w:keepNext w:val="0"/>
              <w:keepLines w:val="0"/>
              <w:widowControl/>
              <w:suppressLineNumbers w:val="0"/>
              <w:jc w:val="center"/>
              <w:textAlignment w:val="center"/>
              <w:rPr>
                <w:rFonts w:hint="eastAsia" w:ascii="宋体" w:hAnsi="宋体" w:eastAsia="宋体" w:cs="宋体"/>
                <w:color w:val="FF0000"/>
                <w:kern w:val="0"/>
                <w:sz w:val="21"/>
                <w:szCs w:val="21"/>
                <w:lang w:val="en-US" w:eastAsia="zh-CN" w:bidi="ar"/>
              </w:rPr>
            </w:pPr>
            <w:r>
              <w:rPr>
                <w:rFonts w:hint="eastAsia" w:ascii="Times New Roman" w:hAnsi="Times New Roman" w:eastAsia="宋体" w:cs="Times New Roman"/>
                <w:i w:val="0"/>
                <w:iCs w:val="0"/>
                <w:color w:val="FF0000"/>
                <w:kern w:val="0"/>
                <w:sz w:val="21"/>
                <w:szCs w:val="21"/>
                <w:u w:val="none"/>
                <w:lang w:val="en-US" w:eastAsia="zh-CN" w:bidi="ar"/>
              </w:rPr>
              <w:t>+4.177</w:t>
            </w:r>
            <w:r>
              <w:rPr>
                <w:rFonts w:hint="eastAsia"/>
                <w:bCs/>
                <w:color w:val="FF0000"/>
                <w:szCs w:val="21"/>
              </w:rPr>
              <w:t>t/a</w:t>
            </w:r>
          </w:p>
        </w:tc>
      </w:tr>
      <w:tr w14:paraId="6B096B6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588" w:type="dxa"/>
            <w:vMerge w:val="restart"/>
            <w:tcBorders>
              <w:top w:val="single" w:color="000000" w:sz="4" w:space="0"/>
            </w:tcBorders>
            <w:vAlign w:val="center"/>
          </w:tcPr>
          <w:p w14:paraId="13963E5E">
            <w:pPr>
              <w:pStyle w:val="71"/>
              <w:spacing w:beforeLines="0" w:afterLines="0" w:line="320" w:lineRule="exact"/>
              <w:rPr>
                <w:rFonts w:ascii="Times New Roman"/>
                <w:snapToGrid w:val="0"/>
                <w:color w:val="FF0000"/>
                <w:kern w:val="21"/>
                <w:szCs w:val="21"/>
              </w:rPr>
            </w:pPr>
            <w:r>
              <w:rPr>
                <w:rFonts w:ascii="Times New Roman"/>
                <w:snapToGrid w:val="0"/>
                <w:color w:val="FF0000"/>
                <w:kern w:val="21"/>
                <w:szCs w:val="21"/>
              </w:rPr>
              <w:t>危险废物</w:t>
            </w:r>
          </w:p>
        </w:tc>
        <w:tc>
          <w:tcPr>
            <w:tcW w:w="2112" w:type="dxa"/>
            <w:tcBorders>
              <w:top w:val="single" w:color="000000" w:sz="4" w:space="0"/>
              <w:bottom w:val="single" w:color="000000" w:sz="4" w:space="0"/>
            </w:tcBorders>
            <w:shd w:val="clear" w:color="auto" w:fill="auto"/>
            <w:vAlign w:val="center"/>
          </w:tcPr>
          <w:p w14:paraId="05E361E9">
            <w:pPr>
              <w:keepNext w:val="0"/>
              <w:keepLines w:val="0"/>
              <w:widowControl/>
              <w:suppressLineNumbers w:val="0"/>
              <w:jc w:val="center"/>
              <w:textAlignment w:val="center"/>
              <w:rPr>
                <w:bCs/>
                <w:color w:val="FF0000"/>
                <w:szCs w:val="21"/>
              </w:rPr>
            </w:pPr>
            <w:r>
              <w:rPr>
                <w:rFonts w:hint="default" w:ascii="Times New Roman" w:hAnsi="Times New Roman" w:eastAsia="宋体" w:cs="Times New Roman"/>
                <w:i w:val="0"/>
                <w:iCs w:val="0"/>
                <w:color w:val="FF0000"/>
                <w:kern w:val="0"/>
                <w:sz w:val="21"/>
                <w:szCs w:val="21"/>
                <w:u w:val="none"/>
                <w:lang w:val="en-US" w:eastAsia="zh-CN" w:bidi="ar"/>
              </w:rPr>
              <w:t>废液化气罐</w:t>
            </w:r>
          </w:p>
        </w:tc>
        <w:tc>
          <w:tcPr>
            <w:tcW w:w="1350" w:type="dxa"/>
            <w:vAlign w:val="center"/>
          </w:tcPr>
          <w:p w14:paraId="7F2FDF3D">
            <w:pPr>
              <w:widowControl/>
              <w:adjustRightInd w:val="0"/>
              <w:snapToGrid w:val="0"/>
              <w:spacing w:line="320" w:lineRule="exact"/>
              <w:jc w:val="center"/>
              <w:rPr>
                <w:snapToGrid w:val="0"/>
                <w:color w:val="FF0000"/>
                <w:kern w:val="21"/>
                <w:szCs w:val="21"/>
              </w:rPr>
            </w:pPr>
            <w:r>
              <w:rPr>
                <w:rFonts w:hint="eastAsia"/>
                <w:snapToGrid w:val="0"/>
                <w:color w:val="FF0000"/>
                <w:kern w:val="21"/>
                <w:szCs w:val="21"/>
              </w:rPr>
              <w:t>/</w:t>
            </w:r>
          </w:p>
        </w:tc>
        <w:tc>
          <w:tcPr>
            <w:tcW w:w="1335" w:type="dxa"/>
            <w:vAlign w:val="center"/>
          </w:tcPr>
          <w:p w14:paraId="6A941ED2">
            <w:pPr>
              <w:spacing w:line="320" w:lineRule="exact"/>
              <w:jc w:val="center"/>
              <w:rPr>
                <w:snapToGrid w:val="0"/>
                <w:color w:val="FF0000"/>
                <w:kern w:val="21"/>
                <w:szCs w:val="21"/>
              </w:rPr>
            </w:pPr>
            <w:r>
              <w:rPr>
                <w:rFonts w:hint="eastAsia"/>
                <w:snapToGrid w:val="0"/>
                <w:color w:val="FF0000"/>
                <w:kern w:val="21"/>
                <w:szCs w:val="21"/>
              </w:rPr>
              <w:t>/</w:t>
            </w:r>
          </w:p>
        </w:tc>
        <w:tc>
          <w:tcPr>
            <w:tcW w:w="1349" w:type="dxa"/>
            <w:vAlign w:val="center"/>
          </w:tcPr>
          <w:p w14:paraId="4F6F3B46">
            <w:pPr>
              <w:spacing w:line="320" w:lineRule="exact"/>
              <w:jc w:val="center"/>
              <w:rPr>
                <w:snapToGrid w:val="0"/>
                <w:color w:val="FF0000"/>
                <w:kern w:val="21"/>
                <w:szCs w:val="21"/>
              </w:rPr>
            </w:pPr>
            <w:r>
              <w:rPr>
                <w:rFonts w:hint="eastAsia"/>
                <w:snapToGrid w:val="0"/>
                <w:color w:val="FF0000"/>
                <w:kern w:val="21"/>
                <w:szCs w:val="21"/>
              </w:rPr>
              <w:t>/</w:t>
            </w:r>
          </w:p>
        </w:tc>
        <w:tc>
          <w:tcPr>
            <w:tcW w:w="1541" w:type="dxa"/>
            <w:shd w:val="clear" w:color="auto" w:fill="auto"/>
            <w:vAlign w:val="center"/>
          </w:tcPr>
          <w:p w14:paraId="7941D63A">
            <w:pPr>
              <w:keepNext w:val="0"/>
              <w:keepLines w:val="0"/>
              <w:widowControl/>
              <w:suppressLineNumbers w:val="0"/>
              <w:jc w:val="center"/>
              <w:textAlignment w:val="center"/>
              <w:rPr>
                <w:rFonts w:hint="default" w:ascii="Times New Roman" w:hAnsi="Times New Roman" w:eastAsia="宋体" w:cs="Times New Roman"/>
                <w:i w:val="0"/>
                <w:iCs w:val="0"/>
                <w:color w:val="FF0000"/>
                <w:kern w:val="0"/>
                <w:sz w:val="21"/>
                <w:szCs w:val="21"/>
                <w:u w:val="none"/>
                <w:lang w:val="en-US" w:eastAsia="zh-CN" w:bidi="ar"/>
              </w:rPr>
            </w:pPr>
            <w:r>
              <w:rPr>
                <w:rFonts w:hint="default" w:ascii="Times New Roman" w:hAnsi="Times New Roman" w:eastAsia="宋体" w:cs="Times New Roman"/>
                <w:i w:val="0"/>
                <w:iCs w:val="0"/>
                <w:color w:val="FF0000"/>
                <w:kern w:val="0"/>
                <w:sz w:val="21"/>
                <w:szCs w:val="21"/>
                <w:u w:val="none"/>
                <w:lang w:val="en-US" w:eastAsia="zh-CN" w:bidi="ar"/>
              </w:rPr>
              <w:t>74.71</w:t>
            </w:r>
            <w:r>
              <w:rPr>
                <w:rFonts w:hint="eastAsia"/>
                <w:bCs/>
                <w:color w:val="FF0000"/>
                <w:szCs w:val="21"/>
              </w:rPr>
              <w:t>t/a</w:t>
            </w:r>
          </w:p>
        </w:tc>
        <w:tc>
          <w:tcPr>
            <w:tcW w:w="1608" w:type="dxa"/>
            <w:vAlign w:val="center"/>
          </w:tcPr>
          <w:p w14:paraId="6DC45B30">
            <w:pPr>
              <w:spacing w:line="320" w:lineRule="exact"/>
              <w:jc w:val="center"/>
              <w:rPr>
                <w:snapToGrid w:val="0"/>
                <w:color w:val="FF0000"/>
                <w:kern w:val="21"/>
                <w:szCs w:val="21"/>
              </w:rPr>
            </w:pPr>
            <w:r>
              <w:rPr>
                <w:rFonts w:hint="eastAsia"/>
                <w:snapToGrid w:val="0"/>
                <w:color w:val="FF0000"/>
                <w:kern w:val="21"/>
                <w:szCs w:val="21"/>
              </w:rPr>
              <w:t>/</w:t>
            </w:r>
          </w:p>
        </w:tc>
        <w:tc>
          <w:tcPr>
            <w:tcW w:w="1439" w:type="dxa"/>
            <w:shd w:val="clear" w:color="auto" w:fill="auto"/>
            <w:vAlign w:val="center"/>
          </w:tcPr>
          <w:p w14:paraId="20EB44D7">
            <w:pPr>
              <w:keepNext w:val="0"/>
              <w:keepLines w:val="0"/>
              <w:widowControl/>
              <w:suppressLineNumbers w:val="0"/>
              <w:jc w:val="center"/>
              <w:textAlignment w:val="center"/>
              <w:rPr>
                <w:bCs/>
                <w:color w:val="FF0000"/>
                <w:szCs w:val="21"/>
              </w:rPr>
            </w:pPr>
            <w:r>
              <w:rPr>
                <w:rFonts w:hint="default" w:ascii="Times New Roman" w:hAnsi="Times New Roman" w:eastAsia="宋体" w:cs="Times New Roman"/>
                <w:i w:val="0"/>
                <w:iCs w:val="0"/>
                <w:color w:val="FF0000"/>
                <w:kern w:val="0"/>
                <w:sz w:val="21"/>
                <w:szCs w:val="21"/>
                <w:u w:val="none"/>
                <w:lang w:val="en-US" w:eastAsia="zh-CN" w:bidi="ar"/>
              </w:rPr>
              <w:t>74.71</w:t>
            </w:r>
            <w:r>
              <w:rPr>
                <w:rFonts w:hint="eastAsia"/>
                <w:bCs/>
                <w:color w:val="FF0000"/>
                <w:szCs w:val="21"/>
              </w:rPr>
              <w:t>t/a</w:t>
            </w:r>
          </w:p>
        </w:tc>
        <w:tc>
          <w:tcPr>
            <w:tcW w:w="1466" w:type="dxa"/>
            <w:shd w:val="clear" w:color="auto" w:fill="auto"/>
            <w:vAlign w:val="center"/>
          </w:tcPr>
          <w:p w14:paraId="7CBC9E14">
            <w:pPr>
              <w:keepNext w:val="0"/>
              <w:keepLines w:val="0"/>
              <w:widowControl/>
              <w:suppressLineNumbers w:val="0"/>
              <w:jc w:val="center"/>
              <w:textAlignment w:val="center"/>
              <w:rPr>
                <w:rFonts w:hint="default" w:ascii="Times New Roman" w:hAnsi="Times New Roman" w:eastAsia="宋体" w:cs="Times New Roman"/>
                <w:i w:val="0"/>
                <w:iCs w:val="0"/>
                <w:color w:val="FF0000"/>
                <w:kern w:val="0"/>
                <w:sz w:val="21"/>
                <w:szCs w:val="21"/>
                <w:u w:val="none"/>
                <w:lang w:val="en-US" w:eastAsia="zh-CN" w:bidi="ar"/>
              </w:rPr>
            </w:pPr>
            <w:r>
              <w:rPr>
                <w:rFonts w:hint="eastAsia" w:ascii="Times New Roman" w:hAnsi="Times New Roman" w:eastAsia="宋体" w:cs="Times New Roman"/>
                <w:i w:val="0"/>
                <w:iCs w:val="0"/>
                <w:color w:val="FF0000"/>
                <w:kern w:val="0"/>
                <w:sz w:val="21"/>
                <w:szCs w:val="21"/>
                <w:u w:val="none"/>
                <w:lang w:val="en-US" w:eastAsia="zh-CN" w:bidi="ar"/>
              </w:rPr>
              <w:t>+</w:t>
            </w:r>
            <w:r>
              <w:rPr>
                <w:rFonts w:hint="default" w:ascii="Times New Roman" w:hAnsi="Times New Roman" w:eastAsia="宋体" w:cs="Times New Roman"/>
                <w:i w:val="0"/>
                <w:iCs w:val="0"/>
                <w:color w:val="FF0000"/>
                <w:kern w:val="0"/>
                <w:sz w:val="21"/>
                <w:szCs w:val="21"/>
                <w:u w:val="none"/>
                <w:lang w:val="en-US" w:eastAsia="zh-CN" w:bidi="ar"/>
              </w:rPr>
              <w:t>74.71</w:t>
            </w:r>
            <w:r>
              <w:rPr>
                <w:rFonts w:hint="eastAsia"/>
                <w:bCs/>
                <w:color w:val="FF0000"/>
                <w:szCs w:val="21"/>
              </w:rPr>
              <w:t>t/a</w:t>
            </w:r>
          </w:p>
        </w:tc>
      </w:tr>
      <w:tr w14:paraId="2EFBC74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588" w:type="dxa"/>
            <w:vMerge w:val="continue"/>
            <w:vAlign w:val="center"/>
          </w:tcPr>
          <w:p w14:paraId="63699432">
            <w:pPr>
              <w:pStyle w:val="71"/>
              <w:spacing w:beforeLines="0" w:afterLines="0" w:line="320" w:lineRule="exact"/>
              <w:rPr>
                <w:rFonts w:ascii="Times New Roman"/>
                <w:snapToGrid w:val="0"/>
                <w:color w:val="FF0000"/>
                <w:kern w:val="21"/>
                <w:szCs w:val="21"/>
              </w:rPr>
            </w:pPr>
          </w:p>
        </w:tc>
        <w:tc>
          <w:tcPr>
            <w:tcW w:w="2112" w:type="dxa"/>
            <w:tcBorders>
              <w:top w:val="single" w:color="000000" w:sz="4" w:space="0"/>
              <w:bottom w:val="single" w:color="000000" w:sz="4" w:space="0"/>
            </w:tcBorders>
            <w:shd w:val="clear" w:color="auto" w:fill="auto"/>
            <w:vAlign w:val="center"/>
          </w:tcPr>
          <w:p w14:paraId="64673D45">
            <w:pPr>
              <w:keepNext w:val="0"/>
              <w:keepLines w:val="0"/>
              <w:widowControl/>
              <w:suppressLineNumbers w:val="0"/>
              <w:jc w:val="center"/>
              <w:textAlignment w:val="center"/>
              <w:rPr>
                <w:rFonts w:hint="eastAsia" w:eastAsia="宋体"/>
                <w:bCs/>
                <w:color w:val="FF0000"/>
                <w:szCs w:val="21"/>
                <w:lang w:eastAsia="zh-CN"/>
              </w:rPr>
            </w:pPr>
            <w:r>
              <w:rPr>
                <w:rFonts w:hint="default" w:ascii="Times New Roman" w:hAnsi="Times New Roman" w:eastAsia="宋体" w:cs="Times New Roman"/>
                <w:i w:val="0"/>
                <w:iCs w:val="0"/>
                <w:color w:val="FF0000"/>
                <w:kern w:val="0"/>
                <w:sz w:val="21"/>
                <w:szCs w:val="21"/>
                <w:u w:val="none"/>
                <w:lang w:val="en-US" w:eastAsia="zh-CN" w:bidi="ar"/>
              </w:rPr>
              <w:t>废制冷剂</w:t>
            </w:r>
          </w:p>
        </w:tc>
        <w:tc>
          <w:tcPr>
            <w:tcW w:w="1350" w:type="dxa"/>
            <w:shd w:val="clear" w:color="auto" w:fill="auto"/>
            <w:vAlign w:val="center"/>
          </w:tcPr>
          <w:p w14:paraId="67A66A9D">
            <w:pPr>
              <w:widowControl/>
              <w:adjustRightInd w:val="0"/>
              <w:snapToGrid w:val="0"/>
              <w:spacing w:line="320" w:lineRule="exact"/>
              <w:jc w:val="center"/>
              <w:rPr>
                <w:snapToGrid w:val="0"/>
                <w:color w:val="FF0000"/>
                <w:kern w:val="21"/>
                <w:szCs w:val="21"/>
              </w:rPr>
            </w:pPr>
            <w:r>
              <w:rPr>
                <w:rFonts w:hint="eastAsia"/>
                <w:snapToGrid w:val="0"/>
                <w:color w:val="FF0000"/>
                <w:kern w:val="21"/>
                <w:szCs w:val="21"/>
              </w:rPr>
              <w:t>/</w:t>
            </w:r>
          </w:p>
        </w:tc>
        <w:tc>
          <w:tcPr>
            <w:tcW w:w="1335" w:type="dxa"/>
            <w:shd w:val="clear" w:color="auto" w:fill="auto"/>
            <w:vAlign w:val="center"/>
          </w:tcPr>
          <w:p w14:paraId="7654EE1C">
            <w:pPr>
              <w:spacing w:line="320" w:lineRule="exact"/>
              <w:jc w:val="center"/>
              <w:rPr>
                <w:snapToGrid w:val="0"/>
                <w:color w:val="FF0000"/>
                <w:kern w:val="21"/>
                <w:szCs w:val="21"/>
              </w:rPr>
            </w:pPr>
            <w:r>
              <w:rPr>
                <w:rFonts w:hint="eastAsia"/>
                <w:snapToGrid w:val="0"/>
                <w:color w:val="FF0000"/>
                <w:kern w:val="21"/>
                <w:szCs w:val="21"/>
              </w:rPr>
              <w:t>/</w:t>
            </w:r>
          </w:p>
        </w:tc>
        <w:tc>
          <w:tcPr>
            <w:tcW w:w="1349" w:type="dxa"/>
            <w:shd w:val="clear" w:color="auto" w:fill="auto"/>
            <w:vAlign w:val="center"/>
          </w:tcPr>
          <w:p w14:paraId="333FA9A6">
            <w:pPr>
              <w:spacing w:line="320" w:lineRule="exact"/>
              <w:jc w:val="center"/>
              <w:rPr>
                <w:snapToGrid w:val="0"/>
                <w:color w:val="FF0000"/>
                <w:kern w:val="21"/>
                <w:szCs w:val="21"/>
              </w:rPr>
            </w:pPr>
            <w:r>
              <w:rPr>
                <w:rFonts w:hint="eastAsia"/>
                <w:snapToGrid w:val="0"/>
                <w:color w:val="FF0000"/>
                <w:kern w:val="21"/>
                <w:szCs w:val="21"/>
              </w:rPr>
              <w:t>/</w:t>
            </w:r>
          </w:p>
        </w:tc>
        <w:tc>
          <w:tcPr>
            <w:tcW w:w="1541" w:type="dxa"/>
            <w:shd w:val="clear" w:color="auto" w:fill="auto"/>
            <w:vAlign w:val="center"/>
          </w:tcPr>
          <w:p w14:paraId="2C5C1A5A">
            <w:pPr>
              <w:keepNext w:val="0"/>
              <w:keepLines w:val="0"/>
              <w:widowControl/>
              <w:suppressLineNumbers w:val="0"/>
              <w:jc w:val="center"/>
              <w:textAlignment w:val="center"/>
              <w:rPr>
                <w:rFonts w:hint="default" w:ascii="Times New Roman" w:hAnsi="Times New Roman" w:eastAsia="宋体" w:cs="Times New Roman"/>
                <w:i w:val="0"/>
                <w:iCs w:val="0"/>
                <w:color w:val="FF0000"/>
                <w:kern w:val="0"/>
                <w:sz w:val="21"/>
                <w:szCs w:val="21"/>
                <w:u w:val="none"/>
                <w:lang w:val="en-US" w:eastAsia="zh-CN" w:bidi="ar"/>
              </w:rPr>
            </w:pPr>
            <w:r>
              <w:rPr>
                <w:rFonts w:hint="default" w:ascii="Times New Roman" w:hAnsi="Times New Roman" w:eastAsia="宋体" w:cs="Times New Roman"/>
                <w:i w:val="0"/>
                <w:iCs w:val="0"/>
                <w:color w:val="FF0000"/>
                <w:kern w:val="0"/>
                <w:sz w:val="21"/>
                <w:szCs w:val="21"/>
                <w:u w:val="none"/>
                <w:lang w:val="en-US" w:eastAsia="zh-CN" w:bidi="ar"/>
              </w:rPr>
              <w:t>2.78</w:t>
            </w:r>
            <w:r>
              <w:rPr>
                <w:rFonts w:hint="eastAsia"/>
                <w:bCs/>
                <w:color w:val="FF0000"/>
                <w:szCs w:val="21"/>
              </w:rPr>
              <w:t>t/a</w:t>
            </w:r>
          </w:p>
        </w:tc>
        <w:tc>
          <w:tcPr>
            <w:tcW w:w="1608" w:type="dxa"/>
            <w:vAlign w:val="center"/>
          </w:tcPr>
          <w:p w14:paraId="646BA863">
            <w:pPr>
              <w:spacing w:line="320" w:lineRule="exact"/>
              <w:jc w:val="center"/>
              <w:rPr>
                <w:snapToGrid w:val="0"/>
                <w:color w:val="FF0000"/>
                <w:kern w:val="21"/>
                <w:szCs w:val="21"/>
              </w:rPr>
            </w:pPr>
            <w:r>
              <w:rPr>
                <w:rFonts w:hint="eastAsia"/>
                <w:snapToGrid w:val="0"/>
                <w:color w:val="FF0000"/>
                <w:kern w:val="21"/>
                <w:szCs w:val="21"/>
              </w:rPr>
              <w:t>/</w:t>
            </w:r>
          </w:p>
        </w:tc>
        <w:tc>
          <w:tcPr>
            <w:tcW w:w="1439" w:type="dxa"/>
            <w:shd w:val="clear" w:color="auto" w:fill="auto"/>
            <w:vAlign w:val="center"/>
          </w:tcPr>
          <w:p w14:paraId="1127D8ED">
            <w:pPr>
              <w:keepNext w:val="0"/>
              <w:keepLines w:val="0"/>
              <w:widowControl/>
              <w:suppressLineNumbers w:val="0"/>
              <w:jc w:val="center"/>
              <w:textAlignment w:val="center"/>
              <w:rPr>
                <w:bCs/>
                <w:color w:val="FF0000"/>
                <w:szCs w:val="21"/>
              </w:rPr>
            </w:pPr>
            <w:r>
              <w:rPr>
                <w:rFonts w:hint="default" w:ascii="Times New Roman" w:hAnsi="Times New Roman" w:eastAsia="宋体" w:cs="Times New Roman"/>
                <w:i w:val="0"/>
                <w:iCs w:val="0"/>
                <w:color w:val="FF0000"/>
                <w:kern w:val="0"/>
                <w:sz w:val="21"/>
                <w:szCs w:val="21"/>
                <w:u w:val="none"/>
                <w:lang w:val="en-US" w:eastAsia="zh-CN" w:bidi="ar"/>
              </w:rPr>
              <w:t>2.78</w:t>
            </w:r>
            <w:r>
              <w:rPr>
                <w:rFonts w:hint="eastAsia"/>
                <w:bCs/>
                <w:color w:val="FF0000"/>
                <w:szCs w:val="21"/>
              </w:rPr>
              <w:t>t/a</w:t>
            </w:r>
          </w:p>
        </w:tc>
        <w:tc>
          <w:tcPr>
            <w:tcW w:w="1466" w:type="dxa"/>
            <w:shd w:val="clear" w:color="auto" w:fill="auto"/>
            <w:vAlign w:val="center"/>
          </w:tcPr>
          <w:p w14:paraId="40B9B259">
            <w:pPr>
              <w:keepNext w:val="0"/>
              <w:keepLines w:val="0"/>
              <w:widowControl/>
              <w:suppressLineNumbers w:val="0"/>
              <w:jc w:val="center"/>
              <w:textAlignment w:val="center"/>
              <w:rPr>
                <w:rFonts w:hint="default" w:ascii="Times New Roman" w:hAnsi="Times New Roman" w:eastAsia="宋体" w:cs="Times New Roman"/>
                <w:i w:val="0"/>
                <w:iCs w:val="0"/>
                <w:color w:val="FF0000"/>
                <w:kern w:val="0"/>
                <w:sz w:val="21"/>
                <w:szCs w:val="21"/>
                <w:u w:val="none"/>
                <w:lang w:val="en-US" w:eastAsia="zh-CN" w:bidi="ar"/>
              </w:rPr>
            </w:pPr>
            <w:r>
              <w:rPr>
                <w:rFonts w:hint="eastAsia" w:ascii="Times New Roman" w:hAnsi="Times New Roman" w:eastAsia="宋体" w:cs="Times New Roman"/>
                <w:i w:val="0"/>
                <w:iCs w:val="0"/>
                <w:color w:val="FF0000"/>
                <w:kern w:val="0"/>
                <w:sz w:val="21"/>
                <w:szCs w:val="21"/>
                <w:u w:val="none"/>
                <w:lang w:val="en-US" w:eastAsia="zh-CN" w:bidi="ar"/>
              </w:rPr>
              <w:t>+</w:t>
            </w:r>
            <w:r>
              <w:rPr>
                <w:rFonts w:hint="default" w:ascii="Times New Roman" w:hAnsi="Times New Roman" w:eastAsia="宋体" w:cs="Times New Roman"/>
                <w:i w:val="0"/>
                <w:iCs w:val="0"/>
                <w:color w:val="FF0000"/>
                <w:kern w:val="0"/>
                <w:sz w:val="21"/>
                <w:szCs w:val="21"/>
                <w:u w:val="none"/>
                <w:lang w:val="en-US" w:eastAsia="zh-CN" w:bidi="ar"/>
              </w:rPr>
              <w:t>2.78</w:t>
            </w:r>
            <w:r>
              <w:rPr>
                <w:rFonts w:hint="eastAsia"/>
                <w:bCs/>
                <w:color w:val="FF0000"/>
                <w:szCs w:val="21"/>
              </w:rPr>
              <w:t>t/a</w:t>
            </w:r>
          </w:p>
        </w:tc>
      </w:tr>
      <w:tr w14:paraId="580CE9C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2" w:hRule="atLeast"/>
        </w:trPr>
        <w:tc>
          <w:tcPr>
            <w:tcW w:w="1588" w:type="dxa"/>
            <w:vMerge w:val="continue"/>
            <w:vAlign w:val="center"/>
          </w:tcPr>
          <w:p w14:paraId="0C193C40">
            <w:pPr>
              <w:pStyle w:val="71"/>
              <w:spacing w:beforeLines="0" w:afterLines="0" w:line="320" w:lineRule="exact"/>
              <w:rPr>
                <w:rFonts w:ascii="Times New Roman"/>
                <w:snapToGrid w:val="0"/>
                <w:color w:val="FF0000"/>
                <w:kern w:val="21"/>
                <w:szCs w:val="21"/>
              </w:rPr>
            </w:pPr>
          </w:p>
        </w:tc>
        <w:tc>
          <w:tcPr>
            <w:tcW w:w="2112" w:type="dxa"/>
            <w:tcBorders>
              <w:top w:val="single" w:color="000000" w:sz="4" w:space="0"/>
            </w:tcBorders>
            <w:shd w:val="clear" w:color="auto" w:fill="auto"/>
            <w:vAlign w:val="center"/>
          </w:tcPr>
          <w:p w14:paraId="3F2918F9">
            <w:pPr>
              <w:keepNext w:val="0"/>
              <w:keepLines w:val="0"/>
              <w:widowControl/>
              <w:suppressLineNumbers w:val="0"/>
              <w:jc w:val="center"/>
              <w:textAlignment w:val="center"/>
              <w:rPr>
                <w:bCs/>
                <w:color w:val="FF0000"/>
                <w:szCs w:val="21"/>
              </w:rPr>
            </w:pPr>
            <w:r>
              <w:rPr>
                <w:rFonts w:hint="default" w:ascii="Times New Roman" w:hAnsi="Times New Roman" w:eastAsia="宋体" w:cs="Times New Roman"/>
                <w:i w:val="0"/>
                <w:iCs w:val="0"/>
                <w:color w:val="FF0000"/>
                <w:kern w:val="0"/>
                <w:sz w:val="21"/>
                <w:szCs w:val="21"/>
                <w:u w:val="none"/>
                <w:lang w:val="en-US" w:eastAsia="zh-CN" w:bidi="ar"/>
              </w:rPr>
              <w:t>铅酸蓄电池</w:t>
            </w:r>
          </w:p>
        </w:tc>
        <w:tc>
          <w:tcPr>
            <w:tcW w:w="1350" w:type="dxa"/>
            <w:vAlign w:val="center"/>
          </w:tcPr>
          <w:p w14:paraId="26AFEB5D">
            <w:pPr>
              <w:spacing w:line="320" w:lineRule="exact"/>
              <w:jc w:val="center"/>
              <w:rPr>
                <w:snapToGrid w:val="0"/>
                <w:color w:val="FF0000"/>
                <w:kern w:val="21"/>
                <w:szCs w:val="21"/>
              </w:rPr>
            </w:pPr>
            <w:r>
              <w:rPr>
                <w:rFonts w:hint="eastAsia"/>
                <w:snapToGrid w:val="0"/>
                <w:color w:val="FF0000"/>
                <w:kern w:val="21"/>
                <w:szCs w:val="21"/>
              </w:rPr>
              <w:t>/</w:t>
            </w:r>
          </w:p>
        </w:tc>
        <w:tc>
          <w:tcPr>
            <w:tcW w:w="1335" w:type="dxa"/>
            <w:vAlign w:val="center"/>
          </w:tcPr>
          <w:p w14:paraId="45E51FA2">
            <w:pPr>
              <w:spacing w:line="320" w:lineRule="exact"/>
              <w:jc w:val="center"/>
              <w:rPr>
                <w:snapToGrid w:val="0"/>
                <w:color w:val="FF0000"/>
                <w:kern w:val="21"/>
                <w:szCs w:val="21"/>
              </w:rPr>
            </w:pPr>
            <w:r>
              <w:rPr>
                <w:rFonts w:hint="eastAsia"/>
                <w:snapToGrid w:val="0"/>
                <w:color w:val="FF0000"/>
                <w:kern w:val="21"/>
                <w:szCs w:val="21"/>
              </w:rPr>
              <w:t>/</w:t>
            </w:r>
          </w:p>
        </w:tc>
        <w:tc>
          <w:tcPr>
            <w:tcW w:w="1349" w:type="dxa"/>
            <w:vAlign w:val="center"/>
          </w:tcPr>
          <w:p w14:paraId="01FB6352">
            <w:pPr>
              <w:spacing w:line="320" w:lineRule="exact"/>
              <w:jc w:val="center"/>
              <w:rPr>
                <w:snapToGrid w:val="0"/>
                <w:color w:val="FF0000"/>
                <w:kern w:val="21"/>
                <w:szCs w:val="21"/>
              </w:rPr>
            </w:pPr>
            <w:r>
              <w:rPr>
                <w:rFonts w:hint="eastAsia"/>
                <w:snapToGrid w:val="0"/>
                <w:color w:val="FF0000"/>
                <w:kern w:val="21"/>
                <w:szCs w:val="21"/>
              </w:rPr>
              <w:t>/</w:t>
            </w:r>
          </w:p>
        </w:tc>
        <w:tc>
          <w:tcPr>
            <w:tcW w:w="1541" w:type="dxa"/>
            <w:shd w:val="clear" w:color="auto" w:fill="auto"/>
            <w:vAlign w:val="center"/>
          </w:tcPr>
          <w:p w14:paraId="241DEF9F">
            <w:pPr>
              <w:keepNext w:val="0"/>
              <w:keepLines w:val="0"/>
              <w:widowControl/>
              <w:suppressLineNumbers w:val="0"/>
              <w:jc w:val="center"/>
              <w:textAlignment w:val="center"/>
              <w:rPr>
                <w:rFonts w:hint="default" w:ascii="Times New Roman" w:hAnsi="Times New Roman" w:eastAsia="宋体" w:cs="Times New Roman"/>
                <w:i w:val="0"/>
                <w:iCs w:val="0"/>
                <w:color w:val="FF0000"/>
                <w:kern w:val="0"/>
                <w:sz w:val="21"/>
                <w:szCs w:val="21"/>
                <w:u w:val="none"/>
                <w:lang w:val="en-US" w:eastAsia="zh-CN" w:bidi="ar"/>
              </w:rPr>
            </w:pPr>
            <w:r>
              <w:rPr>
                <w:rFonts w:hint="default" w:ascii="Times New Roman" w:hAnsi="Times New Roman" w:eastAsia="宋体" w:cs="Times New Roman"/>
                <w:i w:val="0"/>
                <w:iCs w:val="0"/>
                <w:color w:val="FF0000"/>
                <w:kern w:val="0"/>
                <w:sz w:val="21"/>
                <w:szCs w:val="21"/>
                <w:u w:val="none"/>
                <w:lang w:val="en-US" w:eastAsia="zh-CN" w:bidi="ar"/>
              </w:rPr>
              <w:t>1518.18</w:t>
            </w:r>
            <w:r>
              <w:rPr>
                <w:rFonts w:hint="eastAsia"/>
                <w:bCs/>
                <w:color w:val="FF0000"/>
                <w:szCs w:val="21"/>
              </w:rPr>
              <w:t>t/a</w:t>
            </w:r>
          </w:p>
        </w:tc>
        <w:tc>
          <w:tcPr>
            <w:tcW w:w="1608" w:type="dxa"/>
            <w:vAlign w:val="center"/>
          </w:tcPr>
          <w:p w14:paraId="2B7E6E66">
            <w:pPr>
              <w:spacing w:line="320" w:lineRule="exact"/>
              <w:jc w:val="center"/>
              <w:rPr>
                <w:snapToGrid w:val="0"/>
                <w:color w:val="FF0000"/>
                <w:kern w:val="21"/>
                <w:szCs w:val="21"/>
              </w:rPr>
            </w:pPr>
            <w:r>
              <w:rPr>
                <w:rFonts w:hint="eastAsia"/>
                <w:snapToGrid w:val="0"/>
                <w:color w:val="FF0000"/>
                <w:kern w:val="21"/>
                <w:szCs w:val="21"/>
              </w:rPr>
              <w:t>/</w:t>
            </w:r>
          </w:p>
        </w:tc>
        <w:tc>
          <w:tcPr>
            <w:tcW w:w="1439" w:type="dxa"/>
            <w:shd w:val="clear" w:color="auto" w:fill="auto"/>
            <w:vAlign w:val="center"/>
          </w:tcPr>
          <w:p w14:paraId="2C5DFC0C">
            <w:pPr>
              <w:keepNext w:val="0"/>
              <w:keepLines w:val="0"/>
              <w:widowControl/>
              <w:suppressLineNumbers w:val="0"/>
              <w:jc w:val="center"/>
              <w:textAlignment w:val="center"/>
              <w:rPr>
                <w:bCs/>
                <w:color w:val="FF0000"/>
                <w:szCs w:val="21"/>
              </w:rPr>
            </w:pPr>
            <w:r>
              <w:rPr>
                <w:rFonts w:hint="default" w:ascii="Times New Roman" w:hAnsi="Times New Roman" w:eastAsia="宋体" w:cs="Times New Roman"/>
                <w:i w:val="0"/>
                <w:iCs w:val="0"/>
                <w:color w:val="FF0000"/>
                <w:kern w:val="0"/>
                <w:sz w:val="21"/>
                <w:szCs w:val="21"/>
                <w:u w:val="none"/>
                <w:lang w:val="en-US" w:eastAsia="zh-CN" w:bidi="ar"/>
              </w:rPr>
              <w:t>1518.18</w:t>
            </w:r>
            <w:r>
              <w:rPr>
                <w:rFonts w:hint="eastAsia"/>
                <w:bCs/>
                <w:color w:val="FF0000"/>
                <w:szCs w:val="21"/>
              </w:rPr>
              <w:t>t/a</w:t>
            </w:r>
          </w:p>
        </w:tc>
        <w:tc>
          <w:tcPr>
            <w:tcW w:w="1466" w:type="dxa"/>
            <w:shd w:val="clear" w:color="auto" w:fill="auto"/>
            <w:vAlign w:val="center"/>
          </w:tcPr>
          <w:p w14:paraId="2C9B2CA8">
            <w:pPr>
              <w:keepNext w:val="0"/>
              <w:keepLines w:val="0"/>
              <w:widowControl/>
              <w:suppressLineNumbers w:val="0"/>
              <w:jc w:val="center"/>
              <w:textAlignment w:val="center"/>
              <w:rPr>
                <w:rFonts w:hint="default" w:ascii="Times New Roman" w:hAnsi="Times New Roman" w:eastAsia="宋体" w:cs="Times New Roman"/>
                <w:i w:val="0"/>
                <w:iCs w:val="0"/>
                <w:color w:val="FF0000"/>
                <w:kern w:val="0"/>
                <w:sz w:val="21"/>
                <w:szCs w:val="21"/>
                <w:u w:val="none"/>
                <w:lang w:val="en-US" w:eastAsia="zh-CN" w:bidi="ar"/>
              </w:rPr>
            </w:pPr>
            <w:r>
              <w:rPr>
                <w:rFonts w:hint="eastAsia" w:ascii="Times New Roman" w:hAnsi="Times New Roman" w:eastAsia="宋体" w:cs="Times New Roman"/>
                <w:i w:val="0"/>
                <w:iCs w:val="0"/>
                <w:color w:val="FF0000"/>
                <w:kern w:val="0"/>
                <w:sz w:val="21"/>
                <w:szCs w:val="21"/>
                <w:u w:val="none"/>
                <w:lang w:val="en-US" w:eastAsia="zh-CN" w:bidi="ar"/>
              </w:rPr>
              <w:t>+</w:t>
            </w:r>
            <w:r>
              <w:rPr>
                <w:rFonts w:hint="default" w:ascii="Times New Roman" w:hAnsi="Times New Roman" w:eastAsia="宋体" w:cs="Times New Roman"/>
                <w:i w:val="0"/>
                <w:iCs w:val="0"/>
                <w:color w:val="FF0000"/>
                <w:kern w:val="0"/>
                <w:sz w:val="21"/>
                <w:szCs w:val="21"/>
                <w:u w:val="none"/>
                <w:lang w:val="en-US" w:eastAsia="zh-CN" w:bidi="ar"/>
              </w:rPr>
              <w:t>1518.18</w:t>
            </w:r>
            <w:r>
              <w:rPr>
                <w:rFonts w:hint="eastAsia"/>
                <w:bCs/>
                <w:color w:val="FF0000"/>
                <w:szCs w:val="21"/>
              </w:rPr>
              <w:t>t/a</w:t>
            </w:r>
          </w:p>
        </w:tc>
      </w:tr>
      <w:tr w14:paraId="3ECEFB8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2" w:hRule="atLeast"/>
        </w:trPr>
        <w:tc>
          <w:tcPr>
            <w:tcW w:w="1588" w:type="dxa"/>
            <w:vMerge w:val="continue"/>
            <w:vAlign w:val="center"/>
          </w:tcPr>
          <w:p w14:paraId="02710203">
            <w:pPr>
              <w:spacing w:line="320" w:lineRule="exact"/>
              <w:jc w:val="center"/>
              <w:rPr>
                <w:color w:val="FF0000"/>
              </w:rPr>
            </w:pPr>
          </w:p>
        </w:tc>
        <w:tc>
          <w:tcPr>
            <w:tcW w:w="2112" w:type="dxa"/>
            <w:tcBorders>
              <w:top w:val="single" w:color="000000" w:sz="4" w:space="0"/>
            </w:tcBorders>
            <w:shd w:val="clear" w:color="auto" w:fill="auto"/>
            <w:vAlign w:val="center"/>
          </w:tcPr>
          <w:p w14:paraId="4466DF97">
            <w:pPr>
              <w:keepNext w:val="0"/>
              <w:keepLines w:val="0"/>
              <w:widowControl/>
              <w:suppressLineNumbers w:val="0"/>
              <w:jc w:val="center"/>
              <w:textAlignment w:val="center"/>
              <w:rPr>
                <w:bCs/>
                <w:color w:val="FF0000"/>
                <w:szCs w:val="21"/>
              </w:rPr>
            </w:pPr>
            <w:r>
              <w:rPr>
                <w:rFonts w:hint="default" w:ascii="Times New Roman" w:hAnsi="Times New Roman" w:eastAsia="宋体" w:cs="Times New Roman"/>
                <w:i w:val="0"/>
                <w:iCs w:val="0"/>
                <w:color w:val="FF0000"/>
                <w:kern w:val="0"/>
                <w:sz w:val="21"/>
                <w:szCs w:val="21"/>
                <w:u w:val="none"/>
                <w:lang w:val="en-US" w:eastAsia="zh-CN" w:bidi="ar"/>
              </w:rPr>
              <w:t>废矿物油</w:t>
            </w:r>
          </w:p>
        </w:tc>
        <w:tc>
          <w:tcPr>
            <w:tcW w:w="1350" w:type="dxa"/>
            <w:vAlign w:val="center"/>
          </w:tcPr>
          <w:p w14:paraId="399C8E08">
            <w:pPr>
              <w:spacing w:line="320" w:lineRule="exact"/>
              <w:jc w:val="center"/>
              <w:rPr>
                <w:rFonts w:hint="eastAsia" w:ascii="宋体" w:hAnsi="宋体" w:cs="宋体"/>
                <w:color w:val="FF0000"/>
                <w:kern w:val="0"/>
                <w:szCs w:val="21"/>
                <w:lang w:bidi="ar"/>
              </w:rPr>
            </w:pPr>
            <w:r>
              <w:rPr>
                <w:rFonts w:hint="eastAsia"/>
                <w:snapToGrid w:val="0"/>
                <w:color w:val="FF0000"/>
                <w:kern w:val="21"/>
                <w:szCs w:val="21"/>
              </w:rPr>
              <w:t>/</w:t>
            </w:r>
          </w:p>
        </w:tc>
        <w:tc>
          <w:tcPr>
            <w:tcW w:w="1335" w:type="dxa"/>
            <w:vAlign w:val="center"/>
          </w:tcPr>
          <w:p w14:paraId="4601A225">
            <w:pPr>
              <w:spacing w:line="320" w:lineRule="exact"/>
              <w:jc w:val="center"/>
              <w:rPr>
                <w:rFonts w:hint="eastAsia" w:ascii="宋体" w:hAnsi="宋体" w:cs="宋体"/>
                <w:color w:val="FF0000"/>
                <w:kern w:val="0"/>
                <w:szCs w:val="21"/>
                <w:lang w:bidi="ar"/>
              </w:rPr>
            </w:pPr>
            <w:r>
              <w:rPr>
                <w:rFonts w:hint="eastAsia"/>
                <w:snapToGrid w:val="0"/>
                <w:color w:val="FF0000"/>
                <w:kern w:val="21"/>
                <w:szCs w:val="21"/>
              </w:rPr>
              <w:t>/</w:t>
            </w:r>
          </w:p>
        </w:tc>
        <w:tc>
          <w:tcPr>
            <w:tcW w:w="1349" w:type="dxa"/>
            <w:vAlign w:val="center"/>
          </w:tcPr>
          <w:p w14:paraId="47B64C18">
            <w:pPr>
              <w:spacing w:line="320" w:lineRule="exact"/>
              <w:jc w:val="center"/>
              <w:rPr>
                <w:rFonts w:hint="eastAsia" w:ascii="宋体" w:hAnsi="宋体" w:cs="宋体"/>
                <w:color w:val="FF0000"/>
                <w:kern w:val="0"/>
                <w:szCs w:val="21"/>
                <w:lang w:bidi="ar"/>
              </w:rPr>
            </w:pPr>
            <w:r>
              <w:rPr>
                <w:rFonts w:hint="eastAsia"/>
                <w:snapToGrid w:val="0"/>
                <w:color w:val="FF0000"/>
                <w:kern w:val="21"/>
                <w:szCs w:val="21"/>
              </w:rPr>
              <w:t>/</w:t>
            </w:r>
          </w:p>
        </w:tc>
        <w:tc>
          <w:tcPr>
            <w:tcW w:w="1541" w:type="dxa"/>
            <w:shd w:val="clear" w:color="auto" w:fill="auto"/>
            <w:vAlign w:val="center"/>
          </w:tcPr>
          <w:p w14:paraId="379208B7">
            <w:pPr>
              <w:keepNext w:val="0"/>
              <w:keepLines w:val="0"/>
              <w:widowControl/>
              <w:suppressLineNumbers w:val="0"/>
              <w:jc w:val="center"/>
              <w:textAlignment w:val="center"/>
              <w:rPr>
                <w:rFonts w:hint="default" w:ascii="Times New Roman" w:hAnsi="Times New Roman" w:eastAsia="宋体" w:cs="Times New Roman"/>
                <w:i w:val="0"/>
                <w:iCs w:val="0"/>
                <w:color w:val="FF0000"/>
                <w:kern w:val="0"/>
                <w:sz w:val="21"/>
                <w:szCs w:val="21"/>
                <w:u w:val="none"/>
                <w:lang w:val="en-US" w:eastAsia="zh-CN" w:bidi="ar"/>
              </w:rPr>
            </w:pPr>
            <w:r>
              <w:rPr>
                <w:rFonts w:hint="default" w:ascii="Times New Roman" w:hAnsi="Times New Roman" w:eastAsia="宋体" w:cs="Times New Roman"/>
                <w:i w:val="0"/>
                <w:iCs w:val="0"/>
                <w:color w:val="FF0000"/>
                <w:kern w:val="0"/>
                <w:sz w:val="21"/>
                <w:szCs w:val="21"/>
                <w:u w:val="none"/>
                <w:lang w:val="en-US" w:eastAsia="zh-CN" w:bidi="ar"/>
              </w:rPr>
              <w:t>33.95</w:t>
            </w:r>
            <w:r>
              <w:rPr>
                <w:rFonts w:hint="eastAsia"/>
                <w:bCs/>
                <w:color w:val="FF0000"/>
                <w:szCs w:val="21"/>
              </w:rPr>
              <w:t>t/a</w:t>
            </w:r>
          </w:p>
        </w:tc>
        <w:tc>
          <w:tcPr>
            <w:tcW w:w="1608" w:type="dxa"/>
            <w:vAlign w:val="center"/>
          </w:tcPr>
          <w:p w14:paraId="78651FB5">
            <w:pPr>
              <w:spacing w:line="320" w:lineRule="exact"/>
              <w:jc w:val="center"/>
              <w:rPr>
                <w:rFonts w:hint="eastAsia" w:ascii="宋体" w:hAnsi="宋体" w:cs="宋体"/>
                <w:color w:val="FF0000"/>
                <w:kern w:val="0"/>
                <w:szCs w:val="21"/>
                <w:lang w:bidi="ar"/>
              </w:rPr>
            </w:pPr>
            <w:r>
              <w:rPr>
                <w:rFonts w:hint="eastAsia"/>
                <w:snapToGrid w:val="0"/>
                <w:color w:val="FF0000"/>
                <w:kern w:val="21"/>
                <w:szCs w:val="21"/>
              </w:rPr>
              <w:t>/</w:t>
            </w:r>
          </w:p>
        </w:tc>
        <w:tc>
          <w:tcPr>
            <w:tcW w:w="1439" w:type="dxa"/>
            <w:shd w:val="clear" w:color="auto" w:fill="auto"/>
            <w:vAlign w:val="center"/>
          </w:tcPr>
          <w:p w14:paraId="5A7E4AAE">
            <w:pPr>
              <w:keepNext w:val="0"/>
              <w:keepLines w:val="0"/>
              <w:widowControl/>
              <w:suppressLineNumbers w:val="0"/>
              <w:jc w:val="center"/>
              <w:textAlignment w:val="center"/>
              <w:rPr>
                <w:bCs/>
                <w:color w:val="FF0000"/>
                <w:szCs w:val="21"/>
              </w:rPr>
            </w:pPr>
            <w:r>
              <w:rPr>
                <w:rFonts w:hint="default" w:ascii="Times New Roman" w:hAnsi="Times New Roman" w:eastAsia="宋体" w:cs="Times New Roman"/>
                <w:i w:val="0"/>
                <w:iCs w:val="0"/>
                <w:color w:val="FF0000"/>
                <w:kern w:val="0"/>
                <w:sz w:val="21"/>
                <w:szCs w:val="21"/>
                <w:u w:val="none"/>
                <w:lang w:val="en-US" w:eastAsia="zh-CN" w:bidi="ar"/>
              </w:rPr>
              <w:t>33.95</w:t>
            </w:r>
            <w:r>
              <w:rPr>
                <w:rFonts w:hint="eastAsia"/>
                <w:bCs/>
                <w:color w:val="FF0000"/>
                <w:szCs w:val="21"/>
              </w:rPr>
              <w:t>t/a</w:t>
            </w:r>
          </w:p>
        </w:tc>
        <w:tc>
          <w:tcPr>
            <w:tcW w:w="1466" w:type="dxa"/>
            <w:shd w:val="clear" w:color="auto" w:fill="auto"/>
            <w:vAlign w:val="center"/>
          </w:tcPr>
          <w:p w14:paraId="3A03CCA7">
            <w:pPr>
              <w:keepNext w:val="0"/>
              <w:keepLines w:val="0"/>
              <w:widowControl/>
              <w:suppressLineNumbers w:val="0"/>
              <w:jc w:val="center"/>
              <w:textAlignment w:val="center"/>
              <w:rPr>
                <w:rFonts w:hint="default" w:ascii="Times New Roman" w:hAnsi="Times New Roman" w:eastAsia="宋体" w:cs="Times New Roman"/>
                <w:i w:val="0"/>
                <w:iCs w:val="0"/>
                <w:color w:val="FF0000"/>
                <w:kern w:val="0"/>
                <w:sz w:val="21"/>
                <w:szCs w:val="21"/>
                <w:u w:val="none"/>
                <w:lang w:val="en-US" w:eastAsia="zh-CN" w:bidi="ar"/>
              </w:rPr>
            </w:pPr>
            <w:r>
              <w:rPr>
                <w:rFonts w:hint="eastAsia" w:ascii="Times New Roman" w:hAnsi="Times New Roman" w:eastAsia="宋体" w:cs="Times New Roman"/>
                <w:i w:val="0"/>
                <w:iCs w:val="0"/>
                <w:color w:val="FF0000"/>
                <w:kern w:val="0"/>
                <w:sz w:val="21"/>
                <w:szCs w:val="21"/>
                <w:u w:val="none"/>
                <w:lang w:val="en-US" w:eastAsia="zh-CN" w:bidi="ar"/>
              </w:rPr>
              <w:t>+</w:t>
            </w:r>
            <w:r>
              <w:rPr>
                <w:rFonts w:hint="default" w:ascii="Times New Roman" w:hAnsi="Times New Roman" w:eastAsia="宋体" w:cs="Times New Roman"/>
                <w:i w:val="0"/>
                <w:iCs w:val="0"/>
                <w:color w:val="FF0000"/>
                <w:kern w:val="0"/>
                <w:sz w:val="21"/>
                <w:szCs w:val="21"/>
                <w:u w:val="none"/>
                <w:lang w:val="en-US" w:eastAsia="zh-CN" w:bidi="ar"/>
              </w:rPr>
              <w:t>33.95</w:t>
            </w:r>
            <w:r>
              <w:rPr>
                <w:rFonts w:hint="eastAsia"/>
                <w:bCs/>
                <w:color w:val="FF0000"/>
                <w:szCs w:val="21"/>
              </w:rPr>
              <w:t>t/a</w:t>
            </w:r>
          </w:p>
        </w:tc>
      </w:tr>
      <w:tr w14:paraId="7A3F355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2" w:hRule="atLeast"/>
        </w:trPr>
        <w:tc>
          <w:tcPr>
            <w:tcW w:w="1588" w:type="dxa"/>
            <w:vMerge w:val="continue"/>
            <w:vAlign w:val="center"/>
          </w:tcPr>
          <w:p w14:paraId="25947A95">
            <w:pPr>
              <w:spacing w:line="320" w:lineRule="exact"/>
              <w:jc w:val="center"/>
              <w:rPr>
                <w:rFonts w:hint="eastAsia" w:ascii="宋体" w:hAnsi="宋体" w:cs="宋体"/>
                <w:color w:val="FF0000"/>
                <w:kern w:val="0"/>
                <w:szCs w:val="21"/>
                <w:lang w:bidi="ar"/>
              </w:rPr>
            </w:pPr>
          </w:p>
        </w:tc>
        <w:tc>
          <w:tcPr>
            <w:tcW w:w="2112" w:type="dxa"/>
            <w:tcBorders>
              <w:top w:val="single" w:color="000000" w:sz="4" w:space="0"/>
            </w:tcBorders>
            <w:shd w:val="clear" w:color="auto" w:fill="auto"/>
            <w:vAlign w:val="center"/>
          </w:tcPr>
          <w:p w14:paraId="4C2F685D">
            <w:pPr>
              <w:keepNext w:val="0"/>
              <w:keepLines w:val="0"/>
              <w:widowControl/>
              <w:suppressLineNumbers w:val="0"/>
              <w:jc w:val="center"/>
              <w:textAlignment w:val="center"/>
              <w:rPr>
                <w:bCs/>
                <w:color w:val="FF0000"/>
                <w:szCs w:val="21"/>
              </w:rPr>
            </w:pPr>
            <w:r>
              <w:rPr>
                <w:rFonts w:hint="default" w:ascii="Times New Roman" w:hAnsi="Times New Roman" w:eastAsia="宋体" w:cs="Times New Roman"/>
                <w:i w:val="0"/>
                <w:iCs w:val="0"/>
                <w:color w:val="FF0000"/>
                <w:kern w:val="0"/>
                <w:sz w:val="21"/>
                <w:szCs w:val="21"/>
                <w:u w:val="none"/>
                <w:lang w:val="en-US" w:eastAsia="zh-CN" w:bidi="ar"/>
              </w:rPr>
              <w:t>废燃料油</w:t>
            </w:r>
          </w:p>
        </w:tc>
        <w:tc>
          <w:tcPr>
            <w:tcW w:w="1350" w:type="dxa"/>
            <w:vAlign w:val="center"/>
          </w:tcPr>
          <w:p w14:paraId="51C3A781">
            <w:pPr>
              <w:spacing w:line="320" w:lineRule="exact"/>
              <w:jc w:val="center"/>
              <w:rPr>
                <w:rFonts w:hint="eastAsia" w:ascii="宋体" w:hAnsi="宋体" w:cs="宋体"/>
                <w:color w:val="FF0000"/>
                <w:kern w:val="0"/>
                <w:szCs w:val="21"/>
                <w:lang w:bidi="ar"/>
              </w:rPr>
            </w:pPr>
            <w:r>
              <w:rPr>
                <w:rFonts w:hint="eastAsia"/>
                <w:snapToGrid w:val="0"/>
                <w:color w:val="FF0000"/>
                <w:kern w:val="21"/>
                <w:szCs w:val="21"/>
              </w:rPr>
              <w:t>/</w:t>
            </w:r>
          </w:p>
        </w:tc>
        <w:tc>
          <w:tcPr>
            <w:tcW w:w="1335" w:type="dxa"/>
            <w:vAlign w:val="center"/>
          </w:tcPr>
          <w:p w14:paraId="59FDD308">
            <w:pPr>
              <w:spacing w:line="320" w:lineRule="exact"/>
              <w:jc w:val="center"/>
              <w:rPr>
                <w:rFonts w:hint="eastAsia" w:ascii="宋体" w:hAnsi="宋体" w:cs="宋体"/>
                <w:color w:val="FF0000"/>
                <w:kern w:val="0"/>
                <w:szCs w:val="21"/>
                <w:lang w:bidi="ar"/>
              </w:rPr>
            </w:pPr>
            <w:r>
              <w:rPr>
                <w:rFonts w:hint="eastAsia"/>
                <w:snapToGrid w:val="0"/>
                <w:color w:val="FF0000"/>
                <w:kern w:val="21"/>
                <w:szCs w:val="21"/>
              </w:rPr>
              <w:t>/</w:t>
            </w:r>
          </w:p>
        </w:tc>
        <w:tc>
          <w:tcPr>
            <w:tcW w:w="1349" w:type="dxa"/>
            <w:vAlign w:val="center"/>
          </w:tcPr>
          <w:p w14:paraId="7995CB92">
            <w:pPr>
              <w:spacing w:line="320" w:lineRule="exact"/>
              <w:jc w:val="center"/>
              <w:rPr>
                <w:rFonts w:hint="eastAsia" w:ascii="宋体" w:hAnsi="宋体" w:cs="宋体"/>
                <w:color w:val="FF0000"/>
                <w:kern w:val="0"/>
                <w:szCs w:val="21"/>
                <w:lang w:bidi="ar"/>
              </w:rPr>
            </w:pPr>
            <w:r>
              <w:rPr>
                <w:rFonts w:hint="eastAsia"/>
                <w:snapToGrid w:val="0"/>
                <w:color w:val="FF0000"/>
                <w:kern w:val="21"/>
                <w:szCs w:val="21"/>
              </w:rPr>
              <w:t>/</w:t>
            </w:r>
          </w:p>
        </w:tc>
        <w:tc>
          <w:tcPr>
            <w:tcW w:w="1541" w:type="dxa"/>
            <w:shd w:val="clear" w:color="auto" w:fill="auto"/>
            <w:vAlign w:val="center"/>
          </w:tcPr>
          <w:p w14:paraId="02AF8EF0">
            <w:pPr>
              <w:keepNext w:val="0"/>
              <w:keepLines w:val="0"/>
              <w:widowControl/>
              <w:suppressLineNumbers w:val="0"/>
              <w:jc w:val="center"/>
              <w:textAlignment w:val="center"/>
              <w:rPr>
                <w:rFonts w:hint="default" w:ascii="Times New Roman" w:hAnsi="Times New Roman" w:eastAsia="宋体" w:cs="Times New Roman"/>
                <w:i w:val="0"/>
                <w:iCs w:val="0"/>
                <w:color w:val="FF0000"/>
                <w:kern w:val="0"/>
                <w:sz w:val="21"/>
                <w:szCs w:val="21"/>
                <w:u w:val="none"/>
                <w:lang w:val="en-US" w:eastAsia="zh-CN" w:bidi="ar"/>
              </w:rPr>
            </w:pPr>
            <w:r>
              <w:rPr>
                <w:rFonts w:hint="default" w:ascii="Times New Roman" w:hAnsi="Times New Roman" w:eastAsia="宋体" w:cs="Times New Roman"/>
                <w:i w:val="0"/>
                <w:iCs w:val="0"/>
                <w:color w:val="FF0000"/>
                <w:kern w:val="0"/>
                <w:sz w:val="21"/>
                <w:szCs w:val="21"/>
                <w:u w:val="none"/>
                <w:lang w:val="en-US" w:eastAsia="zh-CN" w:bidi="ar"/>
              </w:rPr>
              <w:t>33.95</w:t>
            </w:r>
            <w:r>
              <w:rPr>
                <w:rFonts w:hint="eastAsia"/>
                <w:bCs/>
                <w:color w:val="FF0000"/>
                <w:szCs w:val="21"/>
              </w:rPr>
              <w:t>t/a</w:t>
            </w:r>
          </w:p>
        </w:tc>
        <w:tc>
          <w:tcPr>
            <w:tcW w:w="1608" w:type="dxa"/>
            <w:vAlign w:val="center"/>
          </w:tcPr>
          <w:p w14:paraId="240B3A12">
            <w:pPr>
              <w:spacing w:line="320" w:lineRule="exact"/>
              <w:jc w:val="center"/>
              <w:rPr>
                <w:rFonts w:hint="eastAsia" w:ascii="宋体" w:hAnsi="宋体" w:cs="宋体"/>
                <w:color w:val="FF0000"/>
                <w:kern w:val="0"/>
                <w:szCs w:val="21"/>
                <w:lang w:bidi="ar"/>
              </w:rPr>
            </w:pPr>
            <w:r>
              <w:rPr>
                <w:rFonts w:hint="eastAsia"/>
                <w:snapToGrid w:val="0"/>
                <w:color w:val="FF0000"/>
                <w:kern w:val="21"/>
                <w:szCs w:val="21"/>
              </w:rPr>
              <w:t>/</w:t>
            </w:r>
          </w:p>
        </w:tc>
        <w:tc>
          <w:tcPr>
            <w:tcW w:w="1439" w:type="dxa"/>
            <w:shd w:val="clear" w:color="auto" w:fill="auto"/>
            <w:vAlign w:val="center"/>
          </w:tcPr>
          <w:p w14:paraId="5DBF96D0">
            <w:pPr>
              <w:keepNext w:val="0"/>
              <w:keepLines w:val="0"/>
              <w:widowControl/>
              <w:suppressLineNumbers w:val="0"/>
              <w:jc w:val="center"/>
              <w:textAlignment w:val="center"/>
              <w:rPr>
                <w:bCs/>
                <w:color w:val="FF0000"/>
                <w:szCs w:val="21"/>
              </w:rPr>
            </w:pPr>
            <w:r>
              <w:rPr>
                <w:rFonts w:hint="default" w:ascii="Times New Roman" w:hAnsi="Times New Roman" w:eastAsia="宋体" w:cs="Times New Roman"/>
                <w:i w:val="0"/>
                <w:iCs w:val="0"/>
                <w:color w:val="FF0000"/>
                <w:kern w:val="0"/>
                <w:sz w:val="21"/>
                <w:szCs w:val="21"/>
                <w:u w:val="none"/>
                <w:lang w:val="en-US" w:eastAsia="zh-CN" w:bidi="ar"/>
              </w:rPr>
              <w:t>33.95</w:t>
            </w:r>
            <w:r>
              <w:rPr>
                <w:rFonts w:hint="eastAsia"/>
                <w:bCs/>
                <w:color w:val="FF0000"/>
                <w:szCs w:val="21"/>
              </w:rPr>
              <w:t>t/a</w:t>
            </w:r>
          </w:p>
        </w:tc>
        <w:tc>
          <w:tcPr>
            <w:tcW w:w="1466" w:type="dxa"/>
            <w:shd w:val="clear" w:color="auto" w:fill="auto"/>
            <w:vAlign w:val="center"/>
          </w:tcPr>
          <w:p w14:paraId="1A0984FA">
            <w:pPr>
              <w:keepNext w:val="0"/>
              <w:keepLines w:val="0"/>
              <w:widowControl/>
              <w:suppressLineNumbers w:val="0"/>
              <w:jc w:val="center"/>
              <w:textAlignment w:val="center"/>
              <w:rPr>
                <w:rFonts w:hint="default" w:ascii="Times New Roman" w:hAnsi="Times New Roman" w:eastAsia="宋体" w:cs="Times New Roman"/>
                <w:i w:val="0"/>
                <w:iCs w:val="0"/>
                <w:color w:val="FF0000"/>
                <w:kern w:val="0"/>
                <w:sz w:val="21"/>
                <w:szCs w:val="21"/>
                <w:u w:val="none"/>
                <w:lang w:val="en-US" w:eastAsia="zh-CN" w:bidi="ar"/>
              </w:rPr>
            </w:pPr>
            <w:r>
              <w:rPr>
                <w:rFonts w:hint="eastAsia" w:ascii="Times New Roman" w:hAnsi="Times New Roman" w:eastAsia="宋体" w:cs="Times New Roman"/>
                <w:i w:val="0"/>
                <w:iCs w:val="0"/>
                <w:color w:val="FF0000"/>
                <w:kern w:val="0"/>
                <w:sz w:val="21"/>
                <w:szCs w:val="21"/>
                <w:u w:val="none"/>
                <w:lang w:val="en-US" w:eastAsia="zh-CN" w:bidi="ar"/>
              </w:rPr>
              <w:t>+</w:t>
            </w:r>
            <w:r>
              <w:rPr>
                <w:rFonts w:hint="default" w:ascii="Times New Roman" w:hAnsi="Times New Roman" w:eastAsia="宋体" w:cs="Times New Roman"/>
                <w:i w:val="0"/>
                <w:iCs w:val="0"/>
                <w:color w:val="FF0000"/>
                <w:kern w:val="0"/>
                <w:sz w:val="21"/>
                <w:szCs w:val="21"/>
                <w:u w:val="none"/>
                <w:lang w:val="en-US" w:eastAsia="zh-CN" w:bidi="ar"/>
              </w:rPr>
              <w:t>33.95</w:t>
            </w:r>
            <w:r>
              <w:rPr>
                <w:rFonts w:hint="eastAsia"/>
                <w:bCs/>
                <w:color w:val="FF0000"/>
                <w:szCs w:val="21"/>
              </w:rPr>
              <w:t>t/a</w:t>
            </w:r>
          </w:p>
        </w:tc>
      </w:tr>
      <w:tr w14:paraId="15E9BD8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2" w:hRule="atLeast"/>
        </w:trPr>
        <w:tc>
          <w:tcPr>
            <w:tcW w:w="1588" w:type="dxa"/>
            <w:vMerge w:val="continue"/>
            <w:vAlign w:val="center"/>
          </w:tcPr>
          <w:p w14:paraId="65EF7372">
            <w:pPr>
              <w:spacing w:line="320" w:lineRule="exact"/>
              <w:jc w:val="center"/>
              <w:rPr>
                <w:rFonts w:hint="eastAsia" w:ascii="宋体" w:hAnsi="宋体" w:cs="宋体"/>
                <w:color w:val="FF0000"/>
                <w:kern w:val="0"/>
                <w:szCs w:val="21"/>
                <w:lang w:bidi="ar"/>
              </w:rPr>
            </w:pPr>
          </w:p>
        </w:tc>
        <w:tc>
          <w:tcPr>
            <w:tcW w:w="2112" w:type="dxa"/>
            <w:tcBorders>
              <w:top w:val="single" w:color="000000" w:sz="4" w:space="0"/>
            </w:tcBorders>
            <w:shd w:val="clear" w:color="auto" w:fill="auto"/>
            <w:vAlign w:val="center"/>
          </w:tcPr>
          <w:p w14:paraId="2E2CD905">
            <w:pPr>
              <w:keepNext w:val="0"/>
              <w:keepLines w:val="0"/>
              <w:widowControl/>
              <w:suppressLineNumbers w:val="0"/>
              <w:jc w:val="center"/>
              <w:textAlignment w:val="center"/>
              <w:rPr>
                <w:bCs/>
                <w:color w:val="FF0000"/>
                <w:szCs w:val="21"/>
              </w:rPr>
            </w:pPr>
            <w:r>
              <w:rPr>
                <w:rFonts w:hint="default" w:ascii="Times New Roman" w:hAnsi="Times New Roman" w:eastAsia="宋体" w:cs="Times New Roman"/>
                <w:i w:val="0"/>
                <w:iCs w:val="0"/>
                <w:color w:val="FF0000"/>
                <w:kern w:val="0"/>
                <w:sz w:val="21"/>
                <w:szCs w:val="21"/>
                <w:u w:val="none"/>
                <w:lang w:val="en-US" w:eastAsia="zh-CN" w:bidi="ar"/>
              </w:rPr>
              <w:t>废尾气净化装置及催化剂</w:t>
            </w:r>
          </w:p>
        </w:tc>
        <w:tc>
          <w:tcPr>
            <w:tcW w:w="1350" w:type="dxa"/>
            <w:vAlign w:val="center"/>
          </w:tcPr>
          <w:p w14:paraId="098E7148">
            <w:pPr>
              <w:spacing w:line="320" w:lineRule="exact"/>
              <w:jc w:val="center"/>
              <w:rPr>
                <w:rFonts w:hint="eastAsia" w:ascii="宋体" w:hAnsi="宋体" w:cs="宋体"/>
                <w:color w:val="FF0000"/>
                <w:kern w:val="0"/>
                <w:szCs w:val="21"/>
                <w:lang w:bidi="ar"/>
              </w:rPr>
            </w:pPr>
            <w:r>
              <w:rPr>
                <w:rFonts w:hint="eastAsia"/>
                <w:snapToGrid w:val="0"/>
                <w:color w:val="FF0000"/>
                <w:kern w:val="21"/>
                <w:szCs w:val="21"/>
              </w:rPr>
              <w:t>/</w:t>
            </w:r>
          </w:p>
        </w:tc>
        <w:tc>
          <w:tcPr>
            <w:tcW w:w="1335" w:type="dxa"/>
            <w:vAlign w:val="center"/>
          </w:tcPr>
          <w:p w14:paraId="389C902D">
            <w:pPr>
              <w:spacing w:line="320" w:lineRule="exact"/>
              <w:jc w:val="center"/>
              <w:rPr>
                <w:rFonts w:hint="eastAsia" w:ascii="宋体" w:hAnsi="宋体" w:cs="宋体"/>
                <w:color w:val="FF0000"/>
                <w:kern w:val="0"/>
                <w:szCs w:val="21"/>
                <w:lang w:bidi="ar"/>
              </w:rPr>
            </w:pPr>
            <w:r>
              <w:rPr>
                <w:rFonts w:hint="eastAsia"/>
                <w:snapToGrid w:val="0"/>
                <w:color w:val="FF0000"/>
                <w:kern w:val="21"/>
                <w:szCs w:val="21"/>
              </w:rPr>
              <w:t>/</w:t>
            </w:r>
          </w:p>
        </w:tc>
        <w:tc>
          <w:tcPr>
            <w:tcW w:w="1349" w:type="dxa"/>
            <w:vAlign w:val="center"/>
          </w:tcPr>
          <w:p w14:paraId="6953F0F3">
            <w:pPr>
              <w:spacing w:line="320" w:lineRule="exact"/>
              <w:jc w:val="center"/>
              <w:rPr>
                <w:rFonts w:hint="eastAsia" w:ascii="宋体" w:hAnsi="宋体" w:cs="宋体"/>
                <w:color w:val="FF0000"/>
                <w:kern w:val="0"/>
                <w:szCs w:val="21"/>
                <w:lang w:bidi="ar"/>
              </w:rPr>
            </w:pPr>
            <w:r>
              <w:rPr>
                <w:rFonts w:hint="eastAsia"/>
                <w:snapToGrid w:val="0"/>
                <w:color w:val="FF0000"/>
                <w:kern w:val="21"/>
                <w:szCs w:val="21"/>
              </w:rPr>
              <w:t>/</w:t>
            </w:r>
          </w:p>
        </w:tc>
        <w:tc>
          <w:tcPr>
            <w:tcW w:w="1541" w:type="dxa"/>
            <w:shd w:val="clear" w:color="auto" w:fill="auto"/>
            <w:vAlign w:val="center"/>
          </w:tcPr>
          <w:p w14:paraId="544F9BFA">
            <w:pPr>
              <w:keepNext w:val="0"/>
              <w:keepLines w:val="0"/>
              <w:widowControl/>
              <w:suppressLineNumbers w:val="0"/>
              <w:jc w:val="center"/>
              <w:textAlignment w:val="center"/>
              <w:rPr>
                <w:rFonts w:hint="default" w:ascii="Times New Roman" w:hAnsi="Times New Roman" w:eastAsia="宋体" w:cs="Times New Roman"/>
                <w:i w:val="0"/>
                <w:iCs w:val="0"/>
                <w:color w:val="FF0000"/>
                <w:kern w:val="0"/>
                <w:sz w:val="21"/>
                <w:szCs w:val="21"/>
                <w:u w:val="none"/>
                <w:lang w:val="en-US" w:eastAsia="zh-CN" w:bidi="ar"/>
              </w:rPr>
            </w:pPr>
            <w:r>
              <w:rPr>
                <w:rFonts w:hint="default" w:ascii="Times New Roman" w:hAnsi="Times New Roman" w:eastAsia="宋体" w:cs="Times New Roman"/>
                <w:i w:val="0"/>
                <w:iCs w:val="0"/>
                <w:color w:val="FF0000"/>
                <w:kern w:val="0"/>
                <w:sz w:val="21"/>
                <w:szCs w:val="21"/>
                <w:u w:val="none"/>
                <w:lang w:val="en-US" w:eastAsia="zh-CN" w:bidi="ar"/>
              </w:rPr>
              <w:t>11.92</w:t>
            </w:r>
            <w:r>
              <w:rPr>
                <w:rFonts w:hint="eastAsia"/>
                <w:bCs/>
                <w:color w:val="FF0000"/>
                <w:szCs w:val="21"/>
              </w:rPr>
              <w:t>t/a</w:t>
            </w:r>
          </w:p>
        </w:tc>
        <w:tc>
          <w:tcPr>
            <w:tcW w:w="1608" w:type="dxa"/>
            <w:vAlign w:val="center"/>
          </w:tcPr>
          <w:p w14:paraId="0D1FAFC6">
            <w:pPr>
              <w:spacing w:line="320" w:lineRule="exact"/>
              <w:jc w:val="center"/>
              <w:rPr>
                <w:rFonts w:hint="eastAsia" w:ascii="宋体" w:hAnsi="宋体" w:cs="宋体"/>
                <w:color w:val="FF0000"/>
                <w:kern w:val="0"/>
                <w:szCs w:val="21"/>
                <w:lang w:bidi="ar"/>
              </w:rPr>
            </w:pPr>
            <w:r>
              <w:rPr>
                <w:rFonts w:hint="eastAsia"/>
                <w:snapToGrid w:val="0"/>
                <w:color w:val="FF0000"/>
                <w:kern w:val="21"/>
                <w:szCs w:val="21"/>
              </w:rPr>
              <w:t>/</w:t>
            </w:r>
          </w:p>
        </w:tc>
        <w:tc>
          <w:tcPr>
            <w:tcW w:w="1439" w:type="dxa"/>
            <w:shd w:val="clear" w:color="auto" w:fill="auto"/>
            <w:vAlign w:val="center"/>
          </w:tcPr>
          <w:p w14:paraId="13A6EC44">
            <w:pPr>
              <w:keepNext w:val="0"/>
              <w:keepLines w:val="0"/>
              <w:widowControl/>
              <w:suppressLineNumbers w:val="0"/>
              <w:jc w:val="center"/>
              <w:textAlignment w:val="center"/>
              <w:rPr>
                <w:bCs/>
                <w:color w:val="FF0000"/>
                <w:szCs w:val="21"/>
              </w:rPr>
            </w:pPr>
            <w:r>
              <w:rPr>
                <w:rFonts w:hint="default" w:ascii="Times New Roman" w:hAnsi="Times New Roman" w:eastAsia="宋体" w:cs="Times New Roman"/>
                <w:i w:val="0"/>
                <w:iCs w:val="0"/>
                <w:color w:val="FF0000"/>
                <w:kern w:val="0"/>
                <w:sz w:val="21"/>
                <w:szCs w:val="21"/>
                <w:u w:val="none"/>
                <w:lang w:val="en-US" w:eastAsia="zh-CN" w:bidi="ar"/>
              </w:rPr>
              <w:t>11.92</w:t>
            </w:r>
            <w:r>
              <w:rPr>
                <w:rFonts w:hint="eastAsia"/>
                <w:bCs/>
                <w:color w:val="FF0000"/>
                <w:szCs w:val="21"/>
              </w:rPr>
              <w:t>t/a</w:t>
            </w:r>
          </w:p>
        </w:tc>
        <w:tc>
          <w:tcPr>
            <w:tcW w:w="1466" w:type="dxa"/>
            <w:shd w:val="clear" w:color="auto" w:fill="auto"/>
            <w:vAlign w:val="center"/>
          </w:tcPr>
          <w:p w14:paraId="05C29C10">
            <w:pPr>
              <w:keepNext w:val="0"/>
              <w:keepLines w:val="0"/>
              <w:widowControl/>
              <w:suppressLineNumbers w:val="0"/>
              <w:jc w:val="center"/>
              <w:textAlignment w:val="center"/>
              <w:rPr>
                <w:rFonts w:hint="default" w:ascii="Times New Roman" w:hAnsi="Times New Roman" w:eastAsia="宋体" w:cs="Times New Roman"/>
                <w:i w:val="0"/>
                <w:iCs w:val="0"/>
                <w:color w:val="FF0000"/>
                <w:kern w:val="0"/>
                <w:sz w:val="21"/>
                <w:szCs w:val="21"/>
                <w:u w:val="none"/>
                <w:lang w:val="en-US" w:eastAsia="zh-CN" w:bidi="ar"/>
              </w:rPr>
            </w:pPr>
            <w:r>
              <w:rPr>
                <w:rFonts w:hint="eastAsia" w:ascii="Times New Roman" w:hAnsi="Times New Roman" w:eastAsia="宋体" w:cs="Times New Roman"/>
                <w:i w:val="0"/>
                <w:iCs w:val="0"/>
                <w:color w:val="FF0000"/>
                <w:kern w:val="0"/>
                <w:sz w:val="21"/>
                <w:szCs w:val="21"/>
                <w:u w:val="none"/>
                <w:lang w:val="en-US" w:eastAsia="zh-CN" w:bidi="ar"/>
              </w:rPr>
              <w:t>+</w:t>
            </w:r>
            <w:r>
              <w:rPr>
                <w:rFonts w:hint="default" w:ascii="Times New Roman" w:hAnsi="Times New Roman" w:eastAsia="宋体" w:cs="Times New Roman"/>
                <w:i w:val="0"/>
                <w:iCs w:val="0"/>
                <w:color w:val="FF0000"/>
                <w:kern w:val="0"/>
                <w:sz w:val="21"/>
                <w:szCs w:val="21"/>
                <w:u w:val="none"/>
                <w:lang w:val="en-US" w:eastAsia="zh-CN" w:bidi="ar"/>
              </w:rPr>
              <w:t>11.92</w:t>
            </w:r>
            <w:r>
              <w:rPr>
                <w:rFonts w:hint="eastAsia"/>
                <w:bCs/>
                <w:color w:val="FF0000"/>
                <w:szCs w:val="21"/>
              </w:rPr>
              <w:t>t/a</w:t>
            </w:r>
          </w:p>
        </w:tc>
      </w:tr>
      <w:tr w14:paraId="5CDE4B8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2" w:hRule="atLeast"/>
        </w:trPr>
        <w:tc>
          <w:tcPr>
            <w:tcW w:w="1588" w:type="dxa"/>
            <w:vMerge w:val="continue"/>
            <w:vAlign w:val="center"/>
          </w:tcPr>
          <w:p w14:paraId="43178701">
            <w:pPr>
              <w:spacing w:line="320" w:lineRule="exact"/>
              <w:jc w:val="center"/>
              <w:rPr>
                <w:rFonts w:hint="eastAsia" w:ascii="宋体" w:hAnsi="宋体" w:cs="宋体"/>
                <w:color w:val="FF0000"/>
                <w:kern w:val="0"/>
                <w:szCs w:val="21"/>
                <w:lang w:bidi="ar"/>
              </w:rPr>
            </w:pPr>
          </w:p>
        </w:tc>
        <w:tc>
          <w:tcPr>
            <w:tcW w:w="2112" w:type="dxa"/>
            <w:tcBorders>
              <w:top w:val="single" w:color="000000" w:sz="4" w:space="0"/>
            </w:tcBorders>
            <w:shd w:val="clear" w:color="auto" w:fill="auto"/>
            <w:vAlign w:val="center"/>
          </w:tcPr>
          <w:p w14:paraId="78A31158">
            <w:pPr>
              <w:keepNext w:val="0"/>
              <w:keepLines w:val="0"/>
              <w:widowControl/>
              <w:suppressLineNumbers w:val="0"/>
              <w:jc w:val="center"/>
              <w:textAlignment w:val="center"/>
              <w:rPr>
                <w:bCs/>
                <w:color w:val="FF0000"/>
                <w:szCs w:val="21"/>
              </w:rPr>
            </w:pPr>
            <w:r>
              <w:rPr>
                <w:rFonts w:hint="default" w:ascii="Times New Roman" w:hAnsi="Times New Roman" w:eastAsia="宋体" w:cs="Times New Roman"/>
                <w:i w:val="0"/>
                <w:iCs w:val="0"/>
                <w:color w:val="FF0000"/>
                <w:kern w:val="0"/>
                <w:sz w:val="21"/>
                <w:szCs w:val="21"/>
                <w:u w:val="none"/>
                <w:lang w:val="en-US" w:eastAsia="zh-CN" w:bidi="ar"/>
              </w:rPr>
              <w:t>废滤清器和废油箱</w:t>
            </w:r>
          </w:p>
        </w:tc>
        <w:tc>
          <w:tcPr>
            <w:tcW w:w="1350" w:type="dxa"/>
            <w:vAlign w:val="center"/>
          </w:tcPr>
          <w:p w14:paraId="22DD50F6">
            <w:pPr>
              <w:spacing w:line="320" w:lineRule="exact"/>
              <w:jc w:val="center"/>
              <w:rPr>
                <w:rFonts w:hint="eastAsia" w:ascii="宋体" w:hAnsi="宋体" w:cs="宋体"/>
                <w:color w:val="FF0000"/>
                <w:kern w:val="0"/>
                <w:szCs w:val="21"/>
                <w:lang w:bidi="ar"/>
              </w:rPr>
            </w:pPr>
            <w:r>
              <w:rPr>
                <w:rFonts w:hint="eastAsia"/>
                <w:snapToGrid w:val="0"/>
                <w:color w:val="FF0000"/>
                <w:kern w:val="21"/>
                <w:szCs w:val="21"/>
              </w:rPr>
              <w:t>/</w:t>
            </w:r>
          </w:p>
        </w:tc>
        <w:tc>
          <w:tcPr>
            <w:tcW w:w="1335" w:type="dxa"/>
            <w:vAlign w:val="center"/>
          </w:tcPr>
          <w:p w14:paraId="1F77A7BD">
            <w:pPr>
              <w:spacing w:line="320" w:lineRule="exact"/>
              <w:jc w:val="center"/>
              <w:rPr>
                <w:rFonts w:hint="eastAsia" w:ascii="宋体" w:hAnsi="宋体" w:cs="宋体"/>
                <w:color w:val="FF0000"/>
                <w:kern w:val="0"/>
                <w:szCs w:val="21"/>
                <w:lang w:bidi="ar"/>
              </w:rPr>
            </w:pPr>
            <w:r>
              <w:rPr>
                <w:rFonts w:hint="eastAsia"/>
                <w:snapToGrid w:val="0"/>
                <w:color w:val="FF0000"/>
                <w:kern w:val="21"/>
                <w:szCs w:val="21"/>
              </w:rPr>
              <w:t>/</w:t>
            </w:r>
          </w:p>
        </w:tc>
        <w:tc>
          <w:tcPr>
            <w:tcW w:w="1349" w:type="dxa"/>
            <w:vAlign w:val="center"/>
          </w:tcPr>
          <w:p w14:paraId="4C6AC43E">
            <w:pPr>
              <w:spacing w:line="320" w:lineRule="exact"/>
              <w:jc w:val="center"/>
              <w:rPr>
                <w:rFonts w:hint="eastAsia" w:ascii="宋体" w:hAnsi="宋体" w:cs="宋体"/>
                <w:color w:val="FF0000"/>
                <w:kern w:val="0"/>
                <w:szCs w:val="21"/>
                <w:lang w:bidi="ar"/>
              </w:rPr>
            </w:pPr>
            <w:r>
              <w:rPr>
                <w:rFonts w:hint="eastAsia"/>
                <w:snapToGrid w:val="0"/>
                <w:color w:val="FF0000"/>
                <w:kern w:val="21"/>
                <w:szCs w:val="21"/>
              </w:rPr>
              <w:t>/</w:t>
            </w:r>
          </w:p>
        </w:tc>
        <w:tc>
          <w:tcPr>
            <w:tcW w:w="1541" w:type="dxa"/>
            <w:shd w:val="clear" w:color="auto" w:fill="auto"/>
            <w:vAlign w:val="center"/>
          </w:tcPr>
          <w:p w14:paraId="36F75C69">
            <w:pPr>
              <w:keepNext w:val="0"/>
              <w:keepLines w:val="0"/>
              <w:widowControl/>
              <w:suppressLineNumbers w:val="0"/>
              <w:jc w:val="center"/>
              <w:textAlignment w:val="center"/>
              <w:rPr>
                <w:rFonts w:hint="default" w:ascii="Times New Roman" w:hAnsi="Times New Roman" w:eastAsia="宋体" w:cs="Times New Roman"/>
                <w:i w:val="0"/>
                <w:iCs w:val="0"/>
                <w:color w:val="FF0000"/>
                <w:kern w:val="0"/>
                <w:sz w:val="21"/>
                <w:szCs w:val="21"/>
                <w:u w:val="none"/>
                <w:lang w:val="en-US" w:eastAsia="zh-CN" w:bidi="ar"/>
              </w:rPr>
            </w:pPr>
            <w:r>
              <w:rPr>
                <w:rFonts w:hint="default" w:ascii="Times New Roman" w:hAnsi="Times New Roman" w:eastAsia="宋体" w:cs="Times New Roman"/>
                <w:i w:val="0"/>
                <w:iCs w:val="0"/>
                <w:color w:val="FF0000"/>
                <w:kern w:val="0"/>
                <w:sz w:val="21"/>
                <w:szCs w:val="21"/>
                <w:u w:val="none"/>
                <w:lang w:val="en-US" w:eastAsia="zh-CN" w:bidi="ar"/>
              </w:rPr>
              <w:t>128.58</w:t>
            </w:r>
            <w:r>
              <w:rPr>
                <w:rFonts w:hint="eastAsia"/>
                <w:bCs/>
                <w:color w:val="FF0000"/>
                <w:szCs w:val="21"/>
              </w:rPr>
              <w:t>t/a</w:t>
            </w:r>
          </w:p>
        </w:tc>
        <w:tc>
          <w:tcPr>
            <w:tcW w:w="1608" w:type="dxa"/>
            <w:vAlign w:val="center"/>
          </w:tcPr>
          <w:p w14:paraId="4AA0F279">
            <w:pPr>
              <w:spacing w:line="320" w:lineRule="exact"/>
              <w:jc w:val="center"/>
              <w:rPr>
                <w:rFonts w:hint="eastAsia" w:ascii="宋体" w:hAnsi="宋体" w:cs="宋体"/>
                <w:color w:val="FF0000"/>
                <w:kern w:val="0"/>
                <w:szCs w:val="21"/>
                <w:lang w:bidi="ar"/>
              </w:rPr>
            </w:pPr>
            <w:r>
              <w:rPr>
                <w:rFonts w:hint="eastAsia"/>
                <w:snapToGrid w:val="0"/>
                <w:color w:val="FF0000"/>
                <w:kern w:val="21"/>
                <w:szCs w:val="21"/>
              </w:rPr>
              <w:t>/</w:t>
            </w:r>
          </w:p>
        </w:tc>
        <w:tc>
          <w:tcPr>
            <w:tcW w:w="1439" w:type="dxa"/>
            <w:shd w:val="clear" w:color="auto" w:fill="auto"/>
            <w:vAlign w:val="center"/>
          </w:tcPr>
          <w:p w14:paraId="1B82ECFE">
            <w:pPr>
              <w:keepNext w:val="0"/>
              <w:keepLines w:val="0"/>
              <w:widowControl/>
              <w:suppressLineNumbers w:val="0"/>
              <w:jc w:val="center"/>
              <w:textAlignment w:val="center"/>
              <w:rPr>
                <w:bCs/>
                <w:color w:val="FF0000"/>
                <w:szCs w:val="21"/>
              </w:rPr>
            </w:pPr>
            <w:r>
              <w:rPr>
                <w:rFonts w:hint="default" w:ascii="Times New Roman" w:hAnsi="Times New Roman" w:eastAsia="宋体" w:cs="Times New Roman"/>
                <w:i w:val="0"/>
                <w:iCs w:val="0"/>
                <w:color w:val="FF0000"/>
                <w:kern w:val="0"/>
                <w:sz w:val="21"/>
                <w:szCs w:val="21"/>
                <w:u w:val="none"/>
                <w:lang w:val="en-US" w:eastAsia="zh-CN" w:bidi="ar"/>
              </w:rPr>
              <w:t>128.58</w:t>
            </w:r>
            <w:r>
              <w:rPr>
                <w:rFonts w:hint="eastAsia"/>
                <w:bCs/>
                <w:color w:val="FF0000"/>
                <w:szCs w:val="21"/>
              </w:rPr>
              <w:t>t/a</w:t>
            </w:r>
          </w:p>
        </w:tc>
        <w:tc>
          <w:tcPr>
            <w:tcW w:w="1466" w:type="dxa"/>
            <w:shd w:val="clear" w:color="auto" w:fill="auto"/>
            <w:vAlign w:val="center"/>
          </w:tcPr>
          <w:p w14:paraId="08CA885F">
            <w:pPr>
              <w:keepNext w:val="0"/>
              <w:keepLines w:val="0"/>
              <w:widowControl/>
              <w:suppressLineNumbers w:val="0"/>
              <w:jc w:val="center"/>
              <w:textAlignment w:val="center"/>
              <w:rPr>
                <w:rFonts w:hint="default" w:ascii="Times New Roman" w:hAnsi="Times New Roman" w:eastAsia="宋体" w:cs="Times New Roman"/>
                <w:i w:val="0"/>
                <w:iCs w:val="0"/>
                <w:color w:val="FF0000"/>
                <w:kern w:val="0"/>
                <w:sz w:val="21"/>
                <w:szCs w:val="21"/>
                <w:u w:val="none"/>
                <w:lang w:val="en-US" w:eastAsia="zh-CN" w:bidi="ar"/>
              </w:rPr>
            </w:pPr>
            <w:r>
              <w:rPr>
                <w:rFonts w:hint="eastAsia" w:ascii="Times New Roman" w:hAnsi="Times New Roman" w:eastAsia="宋体" w:cs="Times New Roman"/>
                <w:i w:val="0"/>
                <w:iCs w:val="0"/>
                <w:color w:val="FF0000"/>
                <w:kern w:val="0"/>
                <w:sz w:val="21"/>
                <w:szCs w:val="21"/>
                <w:u w:val="none"/>
                <w:lang w:val="en-US" w:eastAsia="zh-CN" w:bidi="ar"/>
              </w:rPr>
              <w:t>+</w:t>
            </w:r>
            <w:r>
              <w:rPr>
                <w:rFonts w:hint="default" w:ascii="Times New Roman" w:hAnsi="Times New Roman" w:eastAsia="宋体" w:cs="Times New Roman"/>
                <w:i w:val="0"/>
                <w:iCs w:val="0"/>
                <w:color w:val="FF0000"/>
                <w:kern w:val="0"/>
                <w:sz w:val="21"/>
                <w:szCs w:val="21"/>
                <w:u w:val="none"/>
                <w:lang w:val="en-US" w:eastAsia="zh-CN" w:bidi="ar"/>
              </w:rPr>
              <w:t>128.58</w:t>
            </w:r>
            <w:r>
              <w:rPr>
                <w:rFonts w:hint="eastAsia"/>
                <w:bCs/>
                <w:color w:val="FF0000"/>
                <w:szCs w:val="21"/>
              </w:rPr>
              <w:t>t/a</w:t>
            </w:r>
          </w:p>
        </w:tc>
      </w:tr>
      <w:tr w14:paraId="257331D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2" w:hRule="atLeast"/>
        </w:trPr>
        <w:tc>
          <w:tcPr>
            <w:tcW w:w="1588" w:type="dxa"/>
            <w:vMerge w:val="continue"/>
            <w:vAlign w:val="center"/>
          </w:tcPr>
          <w:p w14:paraId="57052C0D">
            <w:pPr>
              <w:spacing w:line="320" w:lineRule="exact"/>
              <w:jc w:val="center"/>
              <w:rPr>
                <w:rFonts w:hint="eastAsia" w:ascii="宋体" w:hAnsi="宋体" w:cs="宋体"/>
                <w:color w:val="FF0000"/>
                <w:kern w:val="0"/>
                <w:szCs w:val="21"/>
                <w:lang w:bidi="ar"/>
              </w:rPr>
            </w:pPr>
          </w:p>
        </w:tc>
        <w:tc>
          <w:tcPr>
            <w:tcW w:w="2112" w:type="dxa"/>
            <w:tcBorders>
              <w:top w:val="single" w:color="000000" w:sz="4" w:space="0"/>
            </w:tcBorders>
            <w:shd w:val="clear" w:color="auto" w:fill="auto"/>
            <w:vAlign w:val="center"/>
          </w:tcPr>
          <w:p w14:paraId="7C77C1AA">
            <w:pPr>
              <w:keepNext w:val="0"/>
              <w:keepLines w:val="0"/>
              <w:widowControl/>
              <w:suppressLineNumbers w:val="0"/>
              <w:jc w:val="center"/>
              <w:textAlignment w:val="center"/>
              <w:rPr>
                <w:bCs/>
                <w:color w:val="FF0000"/>
                <w:szCs w:val="21"/>
              </w:rPr>
            </w:pPr>
            <w:r>
              <w:rPr>
                <w:rFonts w:hint="default" w:ascii="Times New Roman" w:hAnsi="Times New Roman" w:eastAsia="宋体" w:cs="Times New Roman"/>
                <w:i w:val="0"/>
                <w:iCs w:val="0"/>
                <w:color w:val="FF0000"/>
                <w:kern w:val="0"/>
                <w:sz w:val="21"/>
                <w:szCs w:val="21"/>
                <w:u w:val="none"/>
                <w:lang w:val="en-US" w:eastAsia="zh-CN" w:bidi="ar"/>
              </w:rPr>
              <w:t>废电路板及电子元件</w:t>
            </w:r>
          </w:p>
        </w:tc>
        <w:tc>
          <w:tcPr>
            <w:tcW w:w="1350" w:type="dxa"/>
            <w:vAlign w:val="center"/>
          </w:tcPr>
          <w:p w14:paraId="194D99E3">
            <w:pPr>
              <w:spacing w:line="320" w:lineRule="exact"/>
              <w:jc w:val="center"/>
              <w:rPr>
                <w:rFonts w:hint="eastAsia" w:ascii="宋体" w:hAnsi="宋体" w:cs="宋体"/>
                <w:color w:val="FF0000"/>
                <w:kern w:val="0"/>
                <w:szCs w:val="21"/>
                <w:lang w:bidi="ar"/>
              </w:rPr>
            </w:pPr>
            <w:r>
              <w:rPr>
                <w:rFonts w:hint="eastAsia"/>
                <w:snapToGrid w:val="0"/>
                <w:color w:val="FF0000"/>
                <w:kern w:val="21"/>
                <w:szCs w:val="21"/>
              </w:rPr>
              <w:t>/</w:t>
            </w:r>
          </w:p>
        </w:tc>
        <w:tc>
          <w:tcPr>
            <w:tcW w:w="1335" w:type="dxa"/>
            <w:vAlign w:val="center"/>
          </w:tcPr>
          <w:p w14:paraId="51154825">
            <w:pPr>
              <w:spacing w:line="320" w:lineRule="exact"/>
              <w:jc w:val="center"/>
              <w:rPr>
                <w:rFonts w:hint="eastAsia" w:ascii="宋体" w:hAnsi="宋体" w:cs="宋体"/>
                <w:color w:val="FF0000"/>
                <w:kern w:val="0"/>
                <w:szCs w:val="21"/>
                <w:lang w:bidi="ar"/>
              </w:rPr>
            </w:pPr>
            <w:r>
              <w:rPr>
                <w:rFonts w:hint="eastAsia"/>
                <w:snapToGrid w:val="0"/>
                <w:color w:val="FF0000"/>
                <w:kern w:val="21"/>
                <w:szCs w:val="21"/>
              </w:rPr>
              <w:t>/</w:t>
            </w:r>
          </w:p>
        </w:tc>
        <w:tc>
          <w:tcPr>
            <w:tcW w:w="1349" w:type="dxa"/>
            <w:vAlign w:val="center"/>
          </w:tcPr>
          <w:p w14:paraId="387D9380">
            <w:pPr>
              <w:spacing w:line="320" w:lineRule="exact"/>
              <w:jc w:val="center"/>
              <w:rPr>
                <w:rFonts w:hint="eastAsia" w:ascii="宋体" w:hAnsi="宋体" w:cs="宋体"/>
                <w:color w:val="FF0000"/>
                <w:kern w:val="0"/>
                <w:szCs w:val="21"/>
                <w:lang w:bidi="ar"/>
              </w:rPr>
            </w:pPr>
            <w:r>
              <w:rPr>
                <w:rFonts w:hint="eastAsia"/>
                <w:snapToGrid w:val="0"/>
                <w:color w:val="FF0000"/>
                <w:kern w:val="21"/>
                <w:szCs w:val="21"/>
              </w:rPr>
              <w:t>/</w:t>
            </w:r>
          </w:p>
        </w:tc>
        <w:tc>
          <w:tcPr>
            <w:tcW w:w="1541" w:type="dxa"/>
            <w:shd w:val="clear" w:color="auto" w:fill="auto"/>
            <w:vAlign w:val="center"/>
          </w:tcPr>
          <w:p w14:paraId="44906A18">
            <w:pPr>
              <w:keepNext w:val="0"/>
              <w:keepLines w:val="0"/>
              <w:widowControl/>
              <w:suppressLineNumbers w:val="0"/>
              <w:jc w:val="center"/>
              <w:textAlignment w:val="center"/>
              <w:rPr>
                <w:rFonts w:hint="default" w:ascii="Times New Roman" w:hAnsi="Times New Roman" w:eastAsia="宋体" w:cs="Times New Roman"/>
                <w:i w:val="0"/>
                <w:iCs w:val="0"/>
                <w:color w:val="FF0000"/>
                <w:kern w:val="0"/>
                <w:sz w:val="21"/>
                <w:szCs w:val="21"/>
                <w:u w:val="none"/>
                <w:lang w:val="en-US" w:eastAsia="zh-CN" w:bidi="ar"/>
              </w:rPr>
            </w:pPr>
            <w:r>
              <w:rPr>
                <w:rFonts w:hint="default" w:ascii="Times New Roman" w:hAnsi="Times New Roman" w:eastAsia="宋体" w:cs="Times New Roman"/>
                <w:i w:val="0"/>
                <w:iCs w:val="0"/>
                <w:color w:val="FF0000"/>
                <w:kern w:val="0"/>
                <w:sz w:val="21"/>
                <w:szCs w:val="21"/>
                <w:u w:val="none"/>
                <w:lang w:val="en-US" w:eastAsia="zh-CN" w:bidi="ar"/>
              </w:rPr>
              <w:t>60.59</w:t>
            </w:r>
            <w:r>
              <w:rPr>
                <w:rFonts w:hint="eastAsia"/>
                <w:bCs/>
                <w:color w:val="FF0000"/>
                <w:szCs w:val="21"/>
              </w:rPr>
              <w:t>t/a</w:t>
            </w:r>
          </w:p>
        </w:tc>
        <w:tc>
          <w:tcPr>
            <w:tcW w:w="1608" w:type="dxa"/>
            <w:vAlign w:val="center"/>
          </w:tcPr>
          <w:p w14:paraId="7342F754">
            <w:pPr>
              <w:spacing w:line="320" w:lineRule="exact"/>
              <w:jc w:val="center"/>
              <w:rPr>
                <w:rFonts w:hint="eastAsia" w:ascii="宋体" w:hAnsi="宋体" w:cs="宋体"/>
                <w:color w:val="FF0000"/>
                <w:kern w:val="0"/>
                <w:szCs w:val="21"/>
                <w:lang w:bidi="ar"/>
              </w:rPr>
            </w:pPr>
            <w:r>
              <w:rPr>
                <w:rFonts w:hint="eastAsia"/>
                <w:snapToGrid w:val="0"/>
                <w:color w:val="FF0000"/>
                <w:kern w:val="21"/>
                <w:szCs w:val="21"/>
              </w:rPr>
              <w:t>/</w:t>
            </w:r>
          </w:p>
        </w:tc>
        <w:tc>
          <w:tcPr>
            <w:tcW w:w="1439" w:type="dxa"/>
            <w:shd w:val="clear" w:color="auto" w:fill="auto"/>
            <w:vAlign w:val="center"/>
          </w:tcPr>
          <w:p w14:paraId="6B173ED5">
            <w:pPr>
              <w:keepNext w:val="0"/>
              <w:keepLines w:val="0"/>
              <w:widowControl/>
              <w:suppressLineNumbers w:val="0"/>
              <w:jc w:val="center"/>
              <w:textAlignment w:val="center"/>
              <w:rPr>
                <w:bCs/>
                <w:color w:val="FF0000"/>
                <w:szCs w:val="21"/>
              </w:rPr>
            </w:pPr>
            <w:r>
              <w:rPr>
                <w:rFonts w:hint="default" w:ascii="Times New Roman" w:hAnsi="Times New Roman" w:eastAsia="宋体" w:cs="Times New Roman"/>
                <w:i w:val="0"/>
                <w:iCs w:val="0"/>
                <w:color w:val="FF0000"/>
                <w:kern w:val="0"/>
                <w:sz w:val="21"/>
                <w:szCs w:val="21"/>
                <w:u w:val="none"/>
                <w:lang w:val="en-US" w:eastAsia="zh-CN" w:bidi="ar"/>
              </w:rPr>
              <w:t>60.59</w:t>
            </w:r>
            <w:r>
              <w:rPr>
                <w:rFonts w:hint="eastAsia"/>
                <w:bCs/>
                <w:color w:val="FF0000"/>
                <w:szCs w:val="21"/>
              </w:rPr>
              <w:t>t/a</w:t>
            </w:r>
          </w:p>
        </w:tc>
        <w:tc>
          <w:tcPr>
            <w:tcW w:w="1466" w:type="dxa"/>
            <w:shd w:val="clear" w:color="auto" w:fill="auto"/>
            <w:vAlign w:val="center"/>
          </w:tcPr>
          <w:p w14:paraId="75D2722D">
            <w:pPr>
              <w:keepNext w:val="0"/>
              <w:keepLines w:val="0"/>
              <w:widowControl/>
              <w:suppressLineNumbers w:val="0"/>
              <w:jc w:val="center"/>
              <w:textAlignment w:val="center"/>
              <w:rPr>
                <w:rFonts w:hint="default" w:ascii="Times New Roman" w:hAnsi="Times New Roman" w:eastAsia="宋体" w:cs="Times New Roman"/>
                <w:i w:val="0"/>
                <w:iCs w:val="0"/>
                <w:color w:val="FF0000"/>
                <w:kern w:val="0"/>
                <w:sz w:val="21"/>
                <w:szCs w:val="21"/>
                <w:u w:val="none"/>
                <w:lang w:val="en-US" w:eastAsia="zh-CN" w:bidi="ar"/>
              </w:rPr>
            </w:pPr>
            <w:r>
              <w:rPr>
                <w:rFonts w:hint="eastAsia" w:ascii="Times New Roman" w:hAnsi="Times New Roman" w:eastAsia="宋体" w:cs="Times New Roman"/>
                <w:i w:val="0"/>
                <w:iCs w:val="0"/>
                <w:color w:val="FF0000"/>
                <w:kern w:val="0"/>
                <w:sz w:val="21"/>
                <w:szCs w:val="21"/>
                <w:u w:val="none"/>
                <w:lang w:val="en-US" w:eastAsia="zh-CN" w:bidi="ar"/>
              </w:rPr>
              <w:t>+</w:t>
            </w:r>
            <w:r>
              <w:rPr>
                <w:rFonts w:hint="default" w:ascii="Times New Roman" w:hAnsi="Times New Roman" w:eastAsia="宋体" w:cs="Times New Roman"/>
                <w:i w:val="0"/>
                <w:iCs w:val="0"/>
                <w:color w:val="FF0000"/>
                <w:kern w:val="0"/>
                <w:sz w:val="21"/>
                <w:szCs w:val="21"/>
                <w:u w:val="none"/>
                <w:lang w:val="en-US" w:eastAsia="zh-CN" w:bidi="ar"/>
              </w:rPr>
              <w:t>60.59</w:t>
            </w:r>
            <w:r>
              <w:rPr>
                <w:rFonts w:hint="eastAsia"/>
                <w:bCs/>
                <w:color w:val="FF0000"/>
                <w:szCs w:val="21"/>
              </w:rPr>
              <w:t>t/a</w:t>
            </w:r>
          </w:p>
        </w:tc>
      </w:tr>
      <w:tr w14:paraId="07CFACE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2" w:hRule="atLeast"/>
        </w:trPr>
        <w:tc>
          <w:tcPr>
            <w:tcW w:w="1588" w:type="dxa"/>
            <w:vMerge w:val="continue"/>
            <w:vAlign w:val="center"/>
          </w:tcPr>
          <w:p w14:paraId="4F4BEAEF">
            <w:pPr>
              <w:spacing w:line="320" w:lineRule="exact"/>
              <w:jc w:val="center"/>
              <w:rPr>
                <w:rFonts w:hint="eastAsia" w:ascii="宋体" w:hAnsi="宋体" w:cs="宋体"/>
                <w:color w:val="FF0000"/>
                <w:kern w:val="0"/>
                <w:szCs w:val="21"/>
                <w:lang w:bidi="ar"/>
              </w:rPr>
            </w:pPr>
          </w:p>
        </w:tc>
        <w:tc>
          <w:tcPr>
            <w:tcW w:w="2112" w:type="dxa"/>
            <w:tcBorders>
              <w:top w:val="single" w:color="000000" w:sz="4" w:space="0"/>
            </w:tcBorders>
            <w:shd w:val="clear" w:color="auto" w:fill="auto"/>
            <w:vAlign w:val="center"/>
          </w:tcPr>
          <w:p w14:paraId="2E80A6E5">
            <w:pPr>
              <w:keepNext w:val="0"/>
              <w:keepLines w:val="0"/>
              <w:widowControl/>
              <w:suppressLineNumbers w:val="0"/>
              <w:jc w:val="center"/>
              <w:textAlignment w:val="center"/>
              <w:rPr>
                <w:bCs/>
                <w:color w:val="FF0000"/>
                <w:szCs w:val="21"/>
              </w:rPr>
            </w:pPr>
            <w:r>
              <w:rPr>
                <w:rFonts w:hint="default" w:ascii="Times New Roman" w:hAnsi="Times New Roman" w:eastAsia="宋体" w:cs="Times New Roman"/>
                <w:i w:val="0"/>
                <w:iCs w:val="0"/>
                <w:color w:val="FF0000"/>
                <w:kern w:val="0"/>
                <w:sz w:val="21"/>
                <w:szCs w:val="21"/>
                <w:u w:val="none"/>
                <w:lang w:val="en-US" w:eastAsia="zh-CN" w:bidi="ar"/>
              </w:rPr>
              <w:t>含铅部件</w:t>
            </w:r>
          </w:p>
        </w:tc>
        <w:tc>
          <w:tcPr>
            <w:tcW w:w="1350" w:type="dxa"/>
            <w:vAlign w:val="center"/>
          </w:tcPr>
          <w:p w14:paraId="188F7164">
            <w:pPr>
              <w:spacing w:line="320" w:lineRule="exact"/>
              <w:jc w:val="center"/>
              <w:rPr>
                <w:rFonts w:hint="eastAsia" w:ascii="宋体" w:hAnsi="宋体" w:cs="宋体"/>
                <w:color w:val="FF0000"/>
                <w:kern w:val="0"/>
                <w:szCs w:val="21"/>
                <w:lang w:bidi="ar"/>
              </w:rPr>
            </w:pPr>
            <w:r>
              <w:rPr>
                <w:rFonts w:hint="eastAsia"/>
                <w:snapToGrid w:val="0"/>
                <w:color w:val="FF0000"/>
                <w:kern w:val="21"/>
                <w:szCs w:val="21"/>
              </w:rPr>
              <w:t>/</w:t>
            </w:r>
          </w:p>
        </w:tc>
        <w:tc>
          <w:tcPr>
            <w:tcW w:w="1335" w:type="dxa"/>
            <w:vAlign w:val="center"/>
          </w:tcPr>
          <w:p w14:paraId="51FDC6C5">
            <w:pPr>
              <w:spacing w:line="320" w:lineRule="exact"/>
              <w:jc w:val="center"/>
              <w:rPr>
                <w:rFonts w:hint="eastAsia" w:ascii="宋体" w:hAnsi="宋体" w:cs="宋体"/>
                <w:color w:val="FF0000"/>
                <w:kern w:val="0"/>
                <w:szCs w:val="21"/>
                <w:lang w:bidi="ar"/>
              </w:rPr>
            </w:pPr>
            <w:r>
              <w:rPr>
                <w:rFonts w:hint="eastAsia"/>
                <w:snapToGrid w:val="0"/>
                <w:color w:val="FF0000"/>
                <w:kern w:val="21"/>
                <w:szCs w:val="21"/>
              </w:rPr>
              <w:t>/</w:t>
            </w:r>
          </w:p>
        </w:tc>
        <w:tc>
          <w:tcPr>
            <w:tcW w:w="1349" w:type="dxa"/>
            <w:vAlign w:val="center"/>
          </w:tcPr>
          <w:p w14:paraId="0FBF4B50">
            <w:pPr>
              <w:spacing w:line="320" w:lineRule="exact"/>
              <w:jc w:val="center"/>
              <w:rPr>
                <w:rFonts w:hint="eastAsia" w:ascii="宋体" w:hAnsi="宋体" w:cs="宋体"/>
                <w:color w:val="FF0000"/>
                <w:kern w:val="0"/>
                <w:szCs w:val="21"/>
                <w:lang w:bidi="ar"/>
              </w:rPr>
            </w:pPr>
            <w:r>
              <w:rPr>
                <w:rFonts w:hint="eastAsia"/>
                <w:snapToGrid w:val="0"/>
                <w:color w:val="FF0000"/>
                <w:kern w:val="21"/>
                <w:szCs w:val="21"/>
              </w:rPr>
              <w:t>/</w:t>
            </w:r>
          </w:p>
        </w:tc>
        <w:tc>
          <w:tcPr>
            <w:tcW w:w="1541" w:type="dxa"/>
            <w:shd w:val="clear" w:color="auto" w:fill="auto"/>
            <w:vAlign w:val="center"/>
          </w:tcPr>
          <w:p w14:paraId="38B8E413">
            <w:pPr>
              <w:keepNext w:val="0"/>
              <w:keepLines w:val="0"/>
              <w:widowControl/>
              <w:suppressLineNumbers w:val="0"/>
              <w:jc w:val="center"/>
              <w:textAlignment w:val="center"/>
              <w:rPr>
                <w:rFonts w:hint="default" w:ascii="Times New Roman" w:hAnsi="Times New Roman" w:eastAsia="宋体" w:cs="Times New Roman"/>
                <w:i w:val="0"/>
                <w:iCs w:val="0"/>
                <w:color w:val="FF0000"/>
                <w:kern w:val="0"/>
                <w:sz w:val="21"/>
                <w:szCs w:val="21"/>
                <w:u w:val="none"/>
                <w:lang w:val="en-US" w:eastAsia="zh-CN" w:bidi="ar"/>
              </w:rPr>
            </w:pPr>
            <w:r>
              <w:rPr>
                <w:rFonts w:hint="default" w:ascii="Times New Roman" w:hAnsi="Times New Roman" w:eastAsia="宋体" w:cs="Times New Roman"/>
                <w:i w:val="0"/>
                <w:iCs w:val="0"/>
                <w:color w:val="FF0000"/>
                <w:kern w:val="0"/>
                <w:sz w:val="21"/>
                <w:szCs w:val="21"/>
                <w:u w:val="none"/>
                <w:lang w:val="en-US" w:eastAsia="zh-CN" w:bidi="ar"/>
              </w:rPr>
              <w:t>2.26</w:t>
            </w:r>
            <w:r>
              <w:rPr>
                <w:rFonts w:hint="eastAsia"/>
                <w:bCs/>
                <w:color w:val="FF0000"/>
                <w:szCs w:val="21"/>
              </w:rPr>
              <w:t>t/a</w:t>
            </w:r>
          </w:p>
        </w:tc>
        <w:tc>
          <w:tcPr>
            <w:tcW w:w="1608" w:type="dxa"/>
            <w:vAlign w:val="center"/>
          </w:tcPr>
          <w:p w14:paraId="28128698">
            <w:pPr>
              <w:spacing w:line="320" w:lineRule="exact"/>
              <w:jc w:val="center"/>
              <w:rPr>
                <w:rFonts w:hint="eastAsia" w:ascii="宋体" w:hAnsi="宋体" w:cs="宋体"/>
                <w:color w:val="FF0000"/>
                <w:kern w:val="0"/>
                <w:szCs w:val="21"/>
                <w:lang w:bidi="ar"/>
              </w:rPr>
            </w:pPr>
            <w:r>
              <w:rPr>
                <w:rFonts w:hint="eastAsia"/>
                <w:snapToGrid w:val="0"/>
                <w:color w:val="FF0000"/>
                <w:kern w:val="21"/>
                <w:szCs w:val="21"/>
              </w:rPr>
              <w:t>/</w:t>
            </w:r>
          </w:p>
        </w:tc>
        <w:tc>
          <w:tcPr>
            <w:tcW w:w="1439" w:type="dxa"/>
            <w:shd w:val="clear" w:color="auto" w:fill="auto"/>
            <w:vAlign w:val="center"/>
          </w:tcPr>
          <w:p w14:paraId="69C238F4">
            <w:pPr>
              <w:keepNext w:val="0"/>
              <w:keepLines w:val="0"/>
              <w:widowControl/>
              <w:suppressLineNumbers w:val="0"/>
              <w:jc w:val="center"/>
              <w:textAlignment w:val="center"/>
              <w:rPr>
                <w:bCs/>
                <w:color w:val="FF0000"/>
                <w:szCs w:val="21"/>
              </w:rPr>
            </w:pPr>
            <w:r>
              <w:rPr>
                <w:rFonts w:hint="default" w:ascii="Times New Roman" w:hAnsi="Times New Roman" w:eastAsia="宋体" w:cs="Times New Roman"/>
                <w:i w:val="0"/>
                <w:iCs w:val="0"/>
                <w:color w:val="FF0000"/>
                <w:kern w:val="0"/>
                <w:sz w:val="21"/>
                <w:szCs w:val="21"/>
                <w:u w:val="none"/>
                <w:lang w:val="en-US" w:eastAsia="zh-CN" w:bidi="ar"/>
              </w:rPr>
              <w:t>2.26</w:t>
            </w:r>
            <w:r>
              <w:rPr>
                <w:rFonts w:hint="eastAsia"/>
                <w:bCs/>
                <w:color w:val="FF0000"/>
                <w:szCs w:val="21"/>
              </w:rPr>
              <w:t>t/a</w:t>
            </w:r>
          </w:p>
        </w:tc>
        <w:tc>
          <w:tcPr>
            <w:tcW w:w="1466" w:type="dxa"/>
            <w:shd w:val="clear" w:color="auto" w:fill="auto"/>
            <w:vAlign w:val="center"/>
          </w:tcPr>
          <w:p w14:paraId="5B0FCA45">
            <w:pPr>
              <w:keepNext w:val="0"/>
              <w:keepLines w:val="0"/>
              <w:widowControl/>
              <w:suppressLineNumbers w:val="0"/>
              <w:jc w:val="center"/>
              <w:textAlignment w:val="center"/>
              <w:rPr>
                <w:rFonts w:hint="default" w:ascii="Times New Roman" w:hAnsi="Times New Roman" w:eastAsia="宋体" w:cs="Times New Roman"/>
                <w:i w:val="0"/>
                <w:iCs w:val="0"/>
                <w:color w:val="FF0000"/>
                <w:kern w:val="0"/>
                <w:sz w:val="21"/>
                <w:szCs w:val="21"/>
                <w:u w:val="none"/>
                <w:lang w:val="en-US" w:eastAsia="zh-CN" w:bidi="ar"/>
              </w:rPr>
            </w:pPr>
            <w:r>
              <w:rPr>
                <w:rFonts w:hint="eastAsia" w:ascii="Times New Roman" w:hAnsi="Times New Roman" w:eastAsia="宋体" w:cs="Times New Roman"/>
                <w:i w:val="0"/>
                <w:iCs w:val="0"/>
                <w:color w:val="FF0000"/>
                <w:kern w:val="0"/>
                <w:sz w:val="21"/>
                <w:szCs w:val="21"/>
                <w:u w:val="none"/>
                <w:lang w:val="en-US" w:eastAsia="zh-CN" w:bidi="ar"/>
              </w:rPr>
              <w:t>+</w:t>
            </w:r>
            <w:r>
              <w:rPr>
                <w:rFonts w:hint="default" w:ascii="Times New Roman" w:hAnsi="Times New Roman" w:eastAsia="宋体" w:cs="Times New Roman"/>
                <w:i w:val="0"/>
                <w:iCs w:val="0"/>
                <w:color w:val="FF0000"/>
                <w:kern w:val="0"/>
                <w:sz w:val="21"/>
                <w:szCs w:val="21"/>
                <w:u w:val="none"/>
                <w:lang w:val="en-US" w:eastAsia="zh-CN" w:bidi="ar"/>
              </w:rPr>
              <w:t>2.26</w:t>
            </w:r>
            <w:r>
              <w:rPr>
                <w:rFonts w:hint="eastAsia"/>
                <w:bCs/>
                <w:color w:val="FF0000"/>
                <w:szCs w:val="21"/>
              </w:rPr>
              <w:t>t/a</w:t>
            </w:r>
          </w:p>
        </w:tc>
      </w:tr>
      <w:tr w14:paraId="4D92692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2" w:hRule="atLeast"/>
        </w:trPr>
        <w:tc>
          <w:tcPr>
            <w:tcW w:w="1588" w:type="dxa"/>
            <w:vMerge w:val="continue"/>
            <w:vAlign w:val="center"/>
          </w:tcPr>
          <w:p w14:paraId="45291314">
            <w:pPr>
              <w:spacing w:line="320" w:lineRule="exact"/>
              <w:jc w:val="center"/>
              <w:rPr>
                <w:rFonts w:hint="eastAsia" w:ascii="宋体" w:hAnsi="宋体" w:cs="宋体"/>
                <w:color w:val="FF0000"/>
                <w:kern w:val="0"/>
                <w:szCs w:val="21"/>
                <w:lang w:bidi="ar"/>
              </w:rPr>
            </w:pPr>
          </w:p>
        </w:tc>
        <w:tc>
          <w:tcPr>
            <w:tcW w:w="2112" w:type="dxa"/>
            <w:tcBorders>
              <w:top w:val="single" w:color="000000" w:sz="4" w:space="0"/>
            </w:tcBorders>
            <w:shd w:val="clear" w:color="auto" w:fill="auto"/>
            <w:vAlign w:val="center"/>
          </w:tcPr>
          <w:p w14:paraId="53CDB517">
            <w:pPr>
              <w:keepNext w:val="0"/>
              <w:keepLines w:val="0"/>
              <w:widowControl/>
              <w:suppressLineNumbers w:val="0"/>
              <w:jc w:val="center"/>
              <w:textAlignment w:val="center"/>
              <w:rPr>
                <w:bCs/>
                <w:color w:val="FF0000"/>
                <w:szCs w:val="21"/>
              </w:rPr>
            </w:pPr>
            <w:r>
              <w:rPr>
                <w:rFonts w:hint="default" w:ascii="Times New Roman" w:hAnsi="Times New Roman" w:eastAsia="宋体" w:cs="Times New Roman"/>
                <w:i w:val="0"/>
                <w:iCs w:val="0"/>
                <w:color w:val="FF0000"/>
                <w:kern w:val="0"/>
                <w:sz w:val="21"/>
                <w:szCs w:val="21"/>
                <w:u w:val="none"/>
                <w:lang w:val="en-US" w:eastAsia="zh-CN" w:bidi="ar"/>
              </w:rPr>
              <w:t>含汞部件</w:t>
            </w:r>
          </w:p>
        </w:tc>
        <w:tc>
          <w:tcPr>
            <w:tcW w:w="1350" w:type="dxa"/>
            <w:vAlign w:val="center"/>
          </w:tcPr>
          <w:p w14:paraId="15A9107F">
            <w:pPr>
              <w:spacing w:line="320" w:lineRule="exact"/>
              <w:jc w:val="center"/>
              <w:rPr>
                <w:rFonts w:hint="eastAsia" w:ascii="宋体" w:hAnsi="宋体" w:cs="宋体"/>
                <w:color w:val="FF0000"/>
                <w:kern w:val="0"/>
                <w:szCs w:val="21"/>
                <w:lang w:bidi="ar"/>
              </w:rPr>
            </w:pPr>
            <w:r>
              <w:rPr>
                <w:rFonts w:hint="eastAsia"/>
                <w:snapToGrid w:val="0"/>
                <w:color w:val="FF0000"/>
                <w:kern w:val="21"/>
                <w:szCs w:val="21"/>
              </w:rPr>
              <w:t>/</w:t>
            </w:r>
          </w:p>
        </w:tc>
        <w:tc>
          <w:tcPr>
            <w:tcW w:w="1335" w:type="dxa"/>
            <w:vAlign w:val="center"/>
          </w:tcPr>
          <w:p w14:paraId="11EA8326">
            <w:pPr>
              <w:spacing w:line="320" w:lineRule="exact"/>
              <w:jc w:val="center"/>
              <w:rPr>
                <w:rFonts w:hint="eastAsia" w:ascii="宋体" w:hAnsi="宋体" w:cs="宋体"/>
                <w:color w:val="FF0000"/>
                <w:kern w:val="0"/>
                <w:szCs w:val="21"/>
                <w:lang w:bidi="ar"/>
              </w:rPr>
            </w:pPr>
            <w:r>
              <w:rPr>
                <w:rFonts w:hint="eastAsia"/>
                <w:snapToGrid w:val="0"/>
                <w:color w:val="FF0000"/>
                <w:kern w:val="21"/>
                <w:szCs w:val="21"/>
              </w:rPr>
              <w:t>/</w:t>
            </w:r>
          </w:p>
        </w:tc>
        <w:tc>
          <w:tcPr>
            <w:tcW w:w="1349" w:type="dxa"/>
            <w:vAlign w:val="center"/>
          </w:tcPr>
          <w:p w14:paraId="6CB60652">
            <w:pPr>
              <w:spacing w:line="320" w:lineRule="exact"/>
              <w:jc w:val="center"/>
              <w:rPr>
                <w:rFonts w:hint="eastAsia" w:ascii="宋体" w:hAnsi="宋体" w:cs="宋体"/>
                <w:color w:val="FF0000"/>
                <w:kern w:val="0"/>
                <w:szCs w:val="21"/>
                <w:lang w:bidi="ar"/>
              </w:rPr>
            </w:pPr>
            <w:r>
              <w:rPr>
                <w:rFonts w:hint="eastAsia"/>
                <w:snapToGrid w:val="0"/>
                <w:color w:val="FF0000"/>
                <w:kern w:val="21"/>
                <w:szCs w:val="21"/>
              </w:rPr>
              <w:t>/</w:t>
            </w:r>
          </w:p>
        </w:tc>
        <w:tc>
          <w:tcPr>
            <w:tcW w:w="1541" w:type="dxa"/>
            <w:shd w:val="clear" w:color="auto" w:fill="auto"/>
            <w:vAlign w:val="center"/>
          </w:tcPr>
          <w:p w14:paraId="1E1D5680">
            <w:pPr>
              <w:keepNext w:val="0"/>
              <w:keepLines w:val="0"/>
              <w:widowControl/>
              <w:suppressLineNumbers w:val="0"/>
              <w:jc w:val="center"/>
              <w:textAlignment w:val="center"/>
              <w:rPr>
                <w:rFonts w:hint="default" w:ascii="Times New Roman" w:hAnsi="Times New Roman" w:eastAsia="宋体" w:cs="Times New Roman"/>
                <w:i w:val="0"/>
                <w:iCs w:val="0"/>
                <w:color w:val="FF0000"/>
                <w:kern w:val="0"/>
                <w:sz w:val="21"/>
                <w:szCs w:val="21"/>
                <w:u w:val="none"/>
                <w:lang w:val="en-US" w:eastAsia="zh-CN" w:bidi="ar"/>
              </w:rPr>
            </w:pPr>
            <w:r>
              <w:rPr>
                <w:rFonts w:hint="default" w:ascii="Times New Roman" w:hAnsi="Times New Roman" w:eastAsia="宋体" w:cs="Times New Roman"/>
                <w:i w:val="0"/>
                <w:iCs w:val="0"/>
                <w:color w:val="FF0000"/>
                <w:kern w:val="0"/>
                <w:sz w:val="21"/>
                <w:szCs w:val="21"/>
                <w:u w:val="none"/>
                <w:lang w:val="en-US" w:eastAsia="zh-CN" w:bidi="ar"/>
              </w:rPr>
              <w:t>0.25</w:t>
            </w:r>
            <w:r>
              <w:rPr>
                <w:rFonts w:hint="eastAsia"/>
                <w:bCs/>
                <w:color w:val="FF0000"/>
                <w:szCs w:val="21"/>
              </w:rPr>
              <w:t>t/a</w:t>
            </w:r>
          </w:p>
        </w:tc>
        <w:tc>
          <w:tcPr>
            <w:tcW w:w="1608" w:type="dxa"/>
            <w:vAlign w:val="center"/>
          </w:tcPr>
          <w:p w14:paraId="668C36C0">
            <w:pPr>
              <w:spacing w:line="320" w:lineRule="exact"/>
              <w:jc w:val="center"/>
              <w:rPr>
                <w:rFonts w:hint="eastAsia" w:ascii="宋体" w:hAnsi="宋体" w:cs="宋体"/>
                <w:color w:val="FF0000"/>
                <w:kern w:val="0"/>
                <w:szCs w:val="21"/>
                <w:lang w:bidi="ar"/>
              </w:rPr>
            </w:pPr>
            <w:r>
              <w:rPr>
                <w:rFonts w:hint="eastAsia"/>
                <w:snapToGrid w:val="0"/>
                <w:color w:val="FF0000"/>
                <w:kern w:val="21"/>
                <w:szCs w:val="21"/>
              </w:rPr>
              <w:t>/</w:t>
            </w:r>
          </w:p>
        </w:tc>
        <w:tc>
          <w:tcPr>
            <w:tcW w:w="1439" w:type="dxa"/>
            <w:shd w:val="clear" w:color="auto" w:fill="auto"/>
            <w:vAlign w:val="center"/>
          </w:tcPr>
          <w:p w14:paraId="2C1D642E">
            <w:pPr>
              <w:keepNext w:val="0"/>
              <w:keepLines w:val="0"/>
              <w:widowControl/>
              <w:suppressLineNumbers w:val="0"/>
              <w:jc w:val="center"/>
              <w:textAlignment w:val="center"/>
              <w:rPr>
                <w:bCs/>
                <w:color w:val="FF0000"/>
                <w:szCs w:val="21"/>
              </w:rPr>
            </w:pPr>
            <w:r>
              <w:rPr>
                <w:rFonts w:hint="default" w:ascii="Times New Roman" w:hAnsi="Times New Roman" w:eastAsia="宋体" w:cs="Times New Roman"/>
                <w:i w:val="0"/>
                <w:iCs w:val="0"/>
                <w:color w:val="FF0000"/>
                <w:kern w:val="0"/>
                <w:sz w:val="21"/>
                <w:szCs w:val="21"/>
                <w:u w:val="none"/>
                <w:lang w:val="en-US" w:eastAsia="zh-CN" w:bidi="ar"/>
              </w:rPr>
              <w:t>0.25</w:t>
            </w:r>
            <w:r>
              <w:rPr>
                <w:rFonts w:hint="eastAsia"/>
                <w:bCs/>
                <w:color w:val="FF0000"/>
                <w:szCs w:val="21"/>
              </w:rPr>
              <w:t>t/a</w:t>
            </w:r>
          </w:p>
        </w:tc>
        <w:tc>
          <w:tcPr>
            <w:tcW w:w="1466" w:type="dxa"/>
            <w:shd w:val="clear" w:color="auto" w:fill="auto"/>
            <w:vAlign w:val="center"/>
          </w:tcPr>
          <w:p w14:paraId="7E98F8EC">
            <w:pPr>
              <w:keepNext w:val="0"/>
              <w:keepLines w:val="0"/>
              <w:widowControl/>
              <w:suppressLineNumbers w:val="0"/>
              <w:jc w:val="center"/>
              <w:textAlignment w:val="center"/>
              <w:rPr>
                <w:rFonts w:hint="default" w:ascii="Times New Roman" w:hAnsi="Times New Roman" w:eastAsia="宋体" w:cs="Times New Roman"/>
                <w:i w:val="0"/>
                <w:iCs w:val="0"/>
                <w:color w:val="FF0000"/>
                <w:kern w:val="0"/>
                <w:sz w:val="21"/>
                <w:szCs w:val="21"/>
                <w:u w:val="none"/>
                <w:lang w:val="en-US" w:eastAsia="zh-CN" w:bidi="ar"/>
              </w:rPr>
            </w:pPr>
            <w:r>
              <w:rPr>
                <w:rFonts w:hint="eastAsia" w:ascii="Times New Roman" w:hAnsi="Times New Roman" w:eastAsia="宋体" w:cs="Times New Roman"/>
                <w:i w:val="0"/>
                <w:iCs w:val="0"/>
                <w:color w:val="FF0000"/>
                <w:kern w:val="0"/>
                <w:sz w:val="21"/>
                <w:szCs w:val="21"/>
                <w:u w:val="none"/>
                <w:lang w:val="en-US" w:eastAsia="zh-CN" w:bidi="ar"/>
              </w:rPr>
              <w:t>+</w:t>
            </w:r>
            <w:r>
              <w:rPr>
                <w:rFonts w:hint="default" w:ascii="Times New Roman" w:hAnsi="Times New Roman" w:eastAsia="宋体" w:cs="Times New Roman"/>
                <w:i w:val="0"/>
                <w:iCs w:val="0"/>
                <w:color w:val="FF0000"/>
                <w:kern w:val="0"/>
                <w:sz w:val="21"/>
                <w:szCs w:val="21"/>
                <w:u w:val="none"/>
                <w:lang w:val="en-US" w:eastAsia="zh-CN" w:bidi="ar"/>
              </w:rPr>
              <w:t>0.25</w:t>
            </w:r>
            <w:r>
              <w:rPr>
                <w:rFonts w:hint="eastAsia"/>
                <w:bCs/>
                <w:color w:val="FF0000"/>
                <w:szCs w:val="21"/>
              </w:rPr>
              <w:t>t/a</w:t>
            </w:r>
          </w:p>
        </w:tc>
      </w:tr>
      <w:tr w14:paraId="2174A6A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2" w:hRule="atLeast"/>
        </w:trPr>
        <w:tc>
          <w:tcPr>
            <w:tcW w:w="1588" w:type="dxa"/>
            <w:vMerge w:val="continue"/>
            <w:vAlign w:val="center"/>
          </w:tcPr>
          <w:p w14:paraId="04D7BFFA">
            <w:pPr>
              <w:spacing w:line="320" w:lineRule="exact"/>
              <w:jc w:val="center"/>
              <w:rPr>
                <w:rFonts w:hint="eastAsia" w:ascii="宋体" w:hAnsi="宋体" w:cs="宋体"/>
                <w:color w:val="FF0000"/>
                <w:kern w:val="0"/>
                <w:szCs w:val="21"/>
                <w:lang w:bidi="ar"/>
              </w:rPr>
            </w:pPr>
          </w:p>
        </w:tc>
        <w:tc>
          <w:tcPr>
            <w:tcW w:w="2112" w:type="dxa"/>
            <w:tcBorders>
              <w:top w:val="single" w:color="000000" w:sz="4" w:space="0"/>
            </w:tcBorders>
            <w:shd w:val="clear" w:color="auto" w:fill="auto"/>
            <w:vAlign w:val="center"/>
          </w:tcPr>
          <w:p w14:paraId="63EC9B02">
            <w:pPr>
              <w:keepNext w:val="0"/>
              <w:keepLines w:val="0"/>
              <w:widowControl/>
              <w:suppressLineNumbers w:val="0"/>
              <w:jc w:val="center"/>
              <w:textAlignment w:val="center"/>
              <w:rPr>
                <w:bCs/>
                <w:color w:val="FF0000"/>
                <w:szCs w:val="21"/>
              </w:rPr>
            </w:pPr>
            <w:r>
              <w:rPr>
                <w:rFonts w:hint="default" w:ascii="Times New Roman" w:hAnsi="Times New Roman" w:eastAsia="宋体" w:cs="Times New Roman"/>
                <w:i w:val="0"/>
                <w:iCs w:val="0"/>
                <w:color w:val="FF0000"/>
                <w:kern w:val="0"/>
                <w:sz w:val="21"/>
                <w:szCs w:val="21"/>
                <w:u w:val="none"/>
                <w:lang w:val="en-US" w:eastAsia="zh-CN" w:bidi="ar"/>
              </w:rPr>
              <w:t>废活性炭</w:t>
            </w:r>
          </w:p>
        </w:tc>
        <w:tc>
          <w:tcPr>
            <w:tcW w:w="1350" w:type="dxa"/>
            <w:vAlign w:val="center"/>
          </w:tcPr>
          <w:p w14:paraId="0703769E">
            <w:pPr>
              <w:spacing w:line="320" w:lineRule="exact"/>
              <w:jc w:val="center"/>
              <w:rPr>
                <w:rFonts w:hint="eastAsia" w:ascii="宋体" w:hAnsi="宋体" w:cs="宋体"/>
                <w:color w:val="FF0000"/>
                <w:kern w:val="0"/>
                <w:szCs w:val="21"/>
                <w:lang w:bidi="ar"/>
              </w:rPr>
            </w:pPr>
            <w:r>
              <w:rPr>
                <w:rFonts w:hint="eastAsia"/>
                <w:snapToGrid w:val="0"/>
                <w:color w:val="FF0000"/>
                <w:kern w:val="21"/>
                <w:szCs w:val="21"/>
              </w:rPr>
              <w:t>/</w:t>
            </w:r>
          </w:p>
        </w:tc>
        <w:tc>
          <w:tcPr>
            <w:tcW w:w="1335" w:type="dxa"/>
            <w:vAlign w:val="center"/>
          </w:tcPr>
          <w:p w14:paraId="2AEA4B8A">
            <w:pPr>
              <w:spacing w:line="320" w:lineRule="exact"/>
              <w:jc w:val="center"/>
              <w:rPr>
                <w:rFonts w:hint="eastAsia" w:ascii="宋体" w:hAnsi="宋体" w:cs="宋体"/>
                <w:color w:val="FF0000"/>
                <w:kern w:val="0"/>
                <w:szCs w:val="21"/>
                <w:lang w:bidi="ar"/>
              </w:rPr>
            </w:pPr>
            <w:r>
              <w:rPr>
                <w:rFonts w:hint="eastAsia"/>
                <w:snapToGrid w:val="0"/>
                <w:color w:val="FF0000"/>
                <w:kern w:val="21"/>
                <w:szCs w:val="21"/>
              </w:rPr>
              <w:t>/</w:t>
            </w:r>
          </w:p>
        </w:tc>
        <w:tc>
          <w:tcPr>
            <w:tcW w:w="1349" w:type="dxa"/>
            <w:vAlign w:val="center"/>
          </w:tcPr>
          <w:p w14:paraId="7960B330">
            <w:pPr>
              <w:spacing w:line="320" w:lineRule="exact"/>
              <w:jc w:val="center"/>
              <w:rPr>
                <w:rFonts w:hint="eastAsia" w:ascii="宋体" w:hAnsi="宋体" w:cs="宋体"/>
                <w:color w:val="FF0000"/>
                <w:kern w:val="0"/>
                <w:szCs w:val="21"/>
                <w:lang w:bidi="ar"/>
              </w:rPr>
            </w:pPr>
            <w:r>
              <w:rPr>
                <w:rFonts w:hint="eastAsia"/>
                <w:snapToGrid w:val="0"/>
                <w:color w:val="FF0000"/>
                <w:kern w:val="21"/>
                <w:szCs w:val="21"/>
              </w:rPr>
              <w:t>/</w:t>
            </w:r>
          </w:p>
        </w:tc>
        <w:tc>
          <w:tcPr>
            <w:tcW w:w="1541" w:type="dxa"/>
            <w:shd w:val="clear" w:color="auto" w:fill="auto"/>
            <w:vAlign w:val="center"/>
          </w:tcPr>
          <w:p w14:paraId="0DC73246">
            <w:pPr>
              <w:keepNext w:val="0"/>
              <w:keepLines w:val="0"/>
              <w:widowControl/>
              <w:suppressLineNumbers w:val="0"/>
              <w:jc w:val="center"/>
              <w:textAlignment w:val="center"/>
              <w:rPr>
                <w:rFonts w:hint="default" w:ascii="Times New Roman" w:hAnsi="Times New Roman" w:eastAsia="宋体" w:cs="Times New Roman"/>
                <w:i w:val="0"/>
                <w:iCs w:val="0"/>
                <w:color w:val="FF0000"/>
                <w:kern w:val="0"/>
                <w:sz w:val="21"/>
                <w:szCs w:val="21"/>
                <w:u w:val="none"/>
                <w:lang w:val="en-US" w:eastAsia="zh-CN" w:bidi="ar"/>
              </w:rPr>
            </w:pPr>
            <w:r>
              <w:rPr>
                <w:rFonts w:hint="default" w:ascii="Times New Roman" w:hAnsi="Times New Roman" w:eastAsia="宋体" w:cs="Times New Roman"/>
                <w:i w:val="0"/>
                <w:iCs w:val="0"/>
                <w:color w:val="FF0000"/>
                <w:kern w:val="0"/>
                <w:sz w:val="21"/>
                <w:szCs w:val="21"/>
                <w:u w:val="none"/>
                <w:lang w:val="en-US" w:eastAsia="zh-CN" w:bidi="ar"/>
              </w:rPr>
              <w:t>4.463</w:t>
            </w:r>
            <w:r>
              <w:rPr>
                <w:rFonts w:hint="eastAsia"/>
                <w:bCs/>
                <w:color w:val="FF0000"/>
                <w:szCs w:val="21"/>
              </w:rPr>
              <w:t>t/a</w:t>
            </w:r>
          </w:p>
        </w:tc>
        <w:tc>
          <w:tcPr>
            <w:tcW w:w="1608" w:type="dxa"/>
            <w:vAlign w:val="center"/>
          </w:tcPr>
          <w:p w14:paraId="2DE06865">
            <w:pPr>
              <w:spacing w:line="320" w:lineRule="exact"/>
              <w:jc w:val="center"/>
              <w:rPr>
                <w:rFonts w:hint="eastAsia" w:ascii="宋体" w:hAnsi="宋体" w:cs="宋体"/>
                <w:color w:val="FF0000"/>
                <w:kern w:val="0"/>
                <w:szCs w:val="21"/>
                <w:lang w:bidi="ar"/>
              </w:rPr>
            </w:pPr>
            <w:r>
              <w:rPr>
                <w:rFonts w:hint="eastAsia"/>
                <w:snapToGrid w:val="0"/>
                <w:color w:val="FF0000"/>
                <w:kern w:val="21"/>
                <w:szCs w:val="21"/>
              </w:rPr>
              <w:t>/</w:t>
            </w:r>
          </w:p>
        </w:tc>
        <w:tc>
          <w:tcPr>
            <w:tcW w:w="1439" w:type="dxa"/>
            <w:shd w:val="clear" w:color="auto" w:fill="auto"/>
            <w:vAlign w:val="center"/>
          </w:tcPr>
          <w:p w14:paraId="1511B0AD">
            <w:pPr>
              <w:keepNext w:val="0"/>
              <w:keepLines w:val="0"/>
              <w:widowControl/>
              <w:suppressLineNumbers w:val="0"/>
              <w:jc w:val="center"/>
              <w:textAlignment w:val="center"/>
              <w:rPr>
                <w:bCs/>
                <w:color w:val="FF0000"/>
                <w:szCs w:val="21"/>
              </w:rPr>
            </w:pPr>
            <w:r>
              <w:rPr>
                <w:rFonts w:hint="default" w:ascii="Times New Roman" w:hAnsi="Times New Roman" w:eastAsia="宋体" w:cs="Times New Roman"/>
                <w:i w:val="0"/>
                <w:iCs w:val="0"/>
                <w:color w:val="FF0000"/>
                <w:kern w:val="0"/>
                <w:sz w:val="21"/>
                <w:szCs w:val="21"/>
                <w:u w:val="none"/>
                <w:lang w:val="en-US" w:eastAsia="zh-CN" w:bidi="ar"/>
              </w:rPr>
              <w:t>4.463</w:t>
            </w:r>
            <w:r>
              <w:rPr>
                <w:rFonts w:hint="eastAsia"/>
                <w:bCs/>
                <w:color w:val="FF0000"/>
                <w:szCs w:val="21"/>
              </w:rPr>
              <w:t>t/a</w:t>
            </w:r>
          </w:p>
        </w:tc>
        <w:tc>
          <w:tcPr>
            <w:tcW w:w="1466" w:type="dxa"/>
            <w:shd w:val="clear" w:color="auto" w:fill="auto"/>
            <w:vAlign w:val="center"/>
          </w:tcPr>
          <w:p w14:paraId="62B3A959">
            <w:pPr>
              <w:keepNext w:val="0"/>
              <w:keepLines w:val="0"/>
              <w:widowControl/>
              <w:suppressLineNumbers w:val="0"/>
              <w:jc w:val="center"/>
              <w:textAlignment w:val="center"/>
              <w:rPr>
                <w:rFonts w:hint="default" w:ascii="Times New Roman" w:hAnsi="Times New Roman" w:eastAsia="宋体" w:cs="Times New Roman"/>
                <w:i w:val="0"/>
                <w:iCs w:val="0"/>
                <w:color w:val="FF0000"/>
                <w:kern w:val="0"/>
                <w:sz w:val="21"/>
                <w:szCs w:val="21"/>
                <w:u w:val="none"/>
                <w:lang w:val="en-US" w:eastAsia="zh-CN" w:bidi="ar"/>
              </w:rPr>
            </w:pPr>
            <w:r>
              <w:rPr>
                <w:rFonts w:hint="eastAsia" w:ascii="Times New Roman" w:hAnsi="Times New Roman" w:eastAsia="宋体" w:cs="Times New Roman"/>
                <w:i w:val="0"/>
                <w:iCs w:val="0"/>
                <w:color w:val="FF0000"/>
                <w:kern w:val="0"/>
                <w:sz w:val="21"/>
                <w:szCs w:val="21"/>
                <w:u w:val="none"/>
                <w:lang w:val="en-US" w:eastAsia="zh-CN" w:bidi="ar"/>
              </w:rPr>
              <w:t>+</w:t>
            </w:r>
            <w:r>
              <w:rPr>
                <w:rFonts w:hint="default" w:ascii="Times New Roman" w:hAnsi="Times New Roman" w:eastAsia="宋体" w:cs="Times New Roman"/>
                <w:i w:val="0"/>
                <w:iCs w:val="0"/>
                <w:color w:val="FF0000"/>
                <w:kern w:val="0"/>
                <w:sz w:val="21"/>
                <w:szCs w:val="21"/>
                <w:u w:val="none"/>
                <w:lang w:val="en-US" w:eastAsia="zh-CN" w:bidi="ar"/>
              </w:rPr>
              <w:t>4.463</w:t>
            </w:r>
            <w:r>
              <w:rPr>
                <w:rFonts w:hint="eastAsia"/>
                <w:bCs/>
                <w:color w:val="FF0000"/>
                <w:szCs w:val="21"/>
              </w:rPr>
              <w:t>t/a</w:t>
            </w:r>
          </w:p>
        </w:tc>
      </w:tr>
      <w:tr w14:paraId="72E9405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2" w:hRule="atLeast"/>
        </w:trPr>
        <w:tc>
          <w:tcPr>
            <w:tcW w:w="1588" w:type="dxa"/>
            <w:vMerge w:val="continue"/>
            <w:vAlign w:val="center"/>
          </w:tcPr>
          <w:p w14:paraId="13294C87">
            <w:pPr>
              <w:spacing w:line="320" w:lineRule="exact"/>
              <w:jc w:val="center"/>
              <w:rPr>
                <w:rFonts w:hint="eastAsia" w:ascii="宋体" w:hAnsi="宋体" w:cs="宋体"/>
                <w:color w:val="FF0000"/>
                <w:kern w:val="0"/>
                <w:szCs w:val="21"/>
                <w:lang w:bidi="ar"/>
              </w:rPr>
            </w:pPr>
          </w:p>
        </w:tc>
        <w:tc>
          <w:tcPr>
            <w:tcW w:w="2112" w:type="dxa"/>
            <w:tcBorders>
              <w:top w:val="single" w:color="000000" w:sz="4" w:space="0"/>
            </w:tcBorders>
            <w:shd w:val="clear" w:color="auto" w:fill="auto"/>
            <w:vAlign w:val="center"/>
          </w:tcPr>
          <w:p w14:paraId="326988F2">
            <w:pPr>
              <w:keepNext w:val="0"/>
              <w:keepLines w:val="0"/>
              <w:widowControl/>
              <w:suppressLineNumbers w:val="0"/>
              <w:jc w:val="center"/>
              <w:textAlignment w:val="center"/>
              <w:rPr>
                <w:bCs/>
                <w:color w:val="FF0000"/>
                <w:szCs w:val="21"/>
              </w:rPr>
            </w:pPr>
            <w:r>
              <w:rPr>
                <w:rFonts w:hint="default" w:ascii="Times New Roman" w:hAnsi="Times New Roman" w:eastAsia="宋体" w:cs="Times New Roman"/>
                <w:i w:val="0"/>
                <w:iCs w:val="0"/>
                <w:color w:val="FF0000"/>
                <w:kern w:val="0"/>
                <w:sz w:val="21"/>
                <w:szCs w:val="21"/>
                <w:u w:val="none"/>
                <w:lang w:val="en-US" w:eastAsia="zh-CN" w:bidi="ar"/>
              </w:rPr>
              <w:t>油泥</w:t>
            </w:r>
            <w:r>
              <w:rPr>
                <w:rFonts w:hint="eastAsia" w:ascii="Times New Roman" w:hAnsi="Times New Roman" w:eastAsia="宋体" w:cs="Times New Roman"/>
                <w:i w:val="0"/>
                <w:iCs w:val="0"/>
                <w:color w:val="FF0000"/>
                <w:kern w:val="0"/>
                <w:sz w:val="21"/>
                <w:szCs w:val="21"/>
                <w:u w:val="none"/>
                <w:lang w:val="en-US" w:eastAsia="zh-CN" w:bidi="ar"/>
              </w:rPr>
              <w:t>及沉渣</w:t>
            </w:r>
          </w:p>
        </w:tc>
        <w:tc>
          <w:tcPr>
            <w:tcW w:w="1350" w:type="dxa"/>
            <w:vAlign w:val="center"/>
          </w:tcPr>
          <w:p w14:paraId="15B784B5">
            <w:pPr>
              <w:spacing w:line="320" w:lineRule="exact"/>
              <w:jc w:val="center"/>
              <w:rPr>
                <w:rFonts w:hint="eastAsia" w:ascii="宋体" w:hAnsi="宋体" w:cs="宋体"/>
                <w:color w:val="FF0000"/>
                <w:kern w:val="0"/>
                <w:szCs w:val="21"/>
                <w:lang w:bidi="ar"/>
              </w:rPr>
            </w:pPr>
            <w:r>
              <w:rPr>
                <w:rFonts w:hint="eastAsia"/>
                <w:snapToGrid w:val="0"/>
                <w:color w:val="FF0000"/>
                <w:kern w:val="21"/>
                <w:szCs w:val="21"/>
              </w:rPr>
              <w:t>/</w:t>
            </w:r>
          </w:p>
        </w:tc>
        <w:tc>
          <w:tcPr>
            <w:tcW w:w="1335" w:type="dxa"/>
            <w:vAlign w:val="center"/>
          </w:tcPr>
          <w:p w14:paraId="3C6AD099">
            <w:pPr>
              <w:spacing w:line="320" w:lineRule="exact"/>
              <w:jc w:val="center"/>
              <w:rPr>
                <w:rFonts w:hint="eastAsia" w:ascii="宋体" w:hAnsi="宋体" w:cs="宋体"/>
                <w:color w:val="FF0000"/>
                <w:kern w:val="0"/>
                <w:szCs w:val="21"/>
                <w:lang w:bidi="ar"/>
              </w:rPr>
            </w:pPr>
            <w:r>
              <w:rPr>
                <w:rFonts w:hint="eastAsia"/>
                <w:snapToGrid w:val="0"/>
                <w:color w:val="FF0000"/>
                <w:kern w:val="21"/>
                <w:szCs w:val="21"/>
              </w:rPr>
              <w:t>/</w:t>
            </w:r>
          </w:p>
        </w:tc>
        <w:tc>
          <w:tcPr>
            <w:tcW w:w="1349" w:type="dxa"/>
            <w:vAlign w:val="center"/>
          </w:tcPr>
          <w:p w14:paraId="68D143F0">
            <w:pPr>
              <w:spacing w:line="320" w:lineRule="exact"/>
              <w:jc w:val="center"/>
              <w:rPr>
                <w:rFonts w:hint="eastAsia" w:ascii="宋体" w:hAnsi="宋体" w:cs="宋体"/>
                <w:color w:val="FF0000"/>
                <w:kern w:val="0"/>
                <w:szCs w:val="21"/>
                <w:lang w:bidi="ar"/>
              </w:rPr>
            </w:pPr>
            <w:r>
              <w:rPr>
                <w:rFonts w:hint="eastAsia"/>
                <w:snapToGrid w:val="0"/>
                <w:color w:val="FF0000"/>
                <w:kern w:val="21"/>
                <w:szCs w:val="21"/>
              </w:rPr>
              <w:t>/</w:t>
            </w:r>
          </w:p>
        </w:tc>
        <w:tc>
          <w:tcPr>
            <w:tcW w:w="1541" w:type="dxa"/>
            <w:shd w:val="clear" w:color="auto" w:fill="auto"/>
            <w:vAlign w:val="center"/>
          </w:tcPr>
          <w:p w14:paraId="3F283D88">
            <w:pPr>
              <w:keepNext w:val="0"/>
              <w:keepLines w:val="0"/>
              <w:widowControl/>
              <w:suppressLineNumbers w:val="0"/>
              <w:jc w:val="center"/>
              <w:textAlignment w:val="center"/>
              <w:rPr>
                <w:rFonts w:hint="default" w:ascii="Times New Roman" w:hAnsi="Times New Roman" w:eastAsia="宋体" w:cs="Times New Roman"/>
                <w:i w:val="0"/>
                <w:iCs w:val="0"/>
                <w:color w:val="FF0000"/>
                <w:kern w:val="0"/>
                <w:sz w:val="21"/>
                <w:szCs w:val="21"/>
                <w:u w:val="none"/>
                <w:lang w:val="en-US" w:eastAsia="zh-CN" w:bidi="ar"/>
              </w:rPr>
            </w:pPr>
            <w:r>
              <w:rPr>
                <w:rFonts w:hint="eastAsia" w:ascii="Times New Roman" w:hAnsi="Times New Roman" w:eastAsia="宋体" w:cs="Times New Roman"/>
                <w:i w:val="0"/>
                <w:iCs w:val="0"/>
                <w:color w:val="FF0000"/>
                <w:kern w:val="0"/>
                <w:sz w:val="21"/>
                <w:szCs w:val="21"/>
                <w:u w:val="none"/>
                <w:lang w:val="en-US" w:eastAsia="zh-CN" w:bidi="ar"/>
              </w:rPr>
              <w:t>1.024</w:t>
            </w:r>
            <w:r>
              <w:rPr>
                <w:rFonts w:hint="eastAsia"/>
                <w:bCs/>
                <w:color w:val="FF0000"/>
                <w:szCs w:val="21"/>
              </w:rPr>
              <w:t>t/a</w:t>
            </w:r>
          </w:p>
        </w:tc>
        <w:tc>
          <w:tcPr>
            <w:tcW w:w="1608" w:type="dxa"/>
            <w:vAlign w:val="center"/>
          </w:tcPr>
          <w:p w14:paraId="05CD611A">
            <w:pPr>
              <w:spacing w:line="320" w:lineRule="exact"/>
              <w:jc w:val="center"/>
              <w:rPr>
                <w:rFonts w:hint="eastAsia" w:ascii="宋体" w:hAnsi="宋体" w:cs="宋体"/>
                <w:color w:val="FF0000"/>
                <w:kern w:val="0"/>
                <w:szCs w:val="21"/>
                <w:lang w:bidi="ar"/>
              </w:rPr>
            </w:pPr>
            <w:r>
              <w:rPr>
                <w:rFonts w:hint="eastAsia"/>
                <w:snapToGrid w:val="0"/>
                <w:color w:val="FF0000"/>
                <w:kern w:val="21"/>
                <w:szCs w:val="21"/>
              </w:rPr>
              <w:t>/</w:t>
            </w:r>
          </w:p>
        </w:tc>
        <w:tc>
          <w:tcPr>
            <w:tcW w:w="1439" w:type="dxa"/>
            <w:shd w:val="clear" w:color="auto" w:fill="auto"/>
            <w:vAlign w:val="center"/>
          </w:tcPr>
          <w:p w14:paraId="3312DBFE">
            <w:pPr>
              <w:keepNext w:val="0"/>
              <w:keepLines w:val="0"/>
              <w:widowControl/>
              <w:suppressLineNumbers w:val="0"/>
              <w:jc w:val="center"/>
              <w:textAlignment w:val="center"/>
              <w:rPr>
                <w:bCs/>
                <w:color w:val="FF0000"/>
                <w:szCs w:val="21"/>
              </w:rPr>
            </w:pPr>
            <w:r>
              <w:rPr>
                <w:rFonts w:hint="eastAsia" w:ascii="Times New Roman" w:hAnsi="Times New Roman" w:eastAsia="宋体" w:cs="Times New Roman"/>
                <w:i w:val="0"/>
                <w:iCs w:val="0"/>
                <w:color w:val="FF0000"/>
                <w:kern w:val="0"/>
                <w:sz w:val="21"/>
                <w:szCs w:val="21"/>
                <w:u w:val="none"/>
                <w:lang w:val="en-US" w:eastAsia="zh-CN" w:bidi="ar"/>
              </w:rPr>
              <w:t>1.024</w:t>
            </w:r>
            <w:r>
              <w:rPr>
                <w:rFonts w:hint="eastAsia"/>
                <w:bCs/>
                <w:color w:val="FF0000"/>
                <w:szCs w:val="21"/>
              </w:rPr>
              <w:t>t/a</w:t>
            </w:r>
          </w:p>
        </w:tc>
        <w:tc>
          <w:tcPr>
            <w:tcW w:w="1466" w:type="dxa"/>
            <w:shd w:val="clear" w:color="auto" w:fill="auto"/>
            <w:vAlign w:val="center"/>
          </w:tcPr>
          <w:p w14:paraId="758E65EE">
            <w:pPr>
              <w:keepNext w:val="0"/>
              <w:keepLines w:val="0"/>
              <w:widowControl/>
              <w:suppressLineNumbers w:val="0"/>
              <w:jc w:val="center"/>
              <w:textAlignment w:val="center"/>
              <w:rPr>
                <w:rFonts w:hint="default" w:ascii="Times New Roman" w:hAnsi="Times New Roman" w:eastAsia="宋体" w:cs="Times New Roman"/>
                <w:i w:val="0"/>
                <w:iCs w:val="0"/>
                <w:color w:val="FF0000"/>
                <w:kern w:val="0"/>
                <w:sz w:val="21"/>
                <w:szCs w:val="21"/>
                <w:u w:val="none"/>
                <w:lang w:val="en-US" w:eastAsia="zh-CN" w:bidi="ar"/>
              </w:rPr>
            </w:pPr>
            <w:r>
              <w:rPr>
                <w:rFonts w:hint="eastAsia" w:ascii="Times New Roman" w:hAnsi="Times New Roman" w:eastAsia="宋体" w:cs="Times New Roman"/>
                <w:i w:val="0"/>
                <w:iCs w:val="0"/>
                <w:color w:val="FF0000"/>
                <w:kern w:val="0"/>
                <w:sz w:val="21"/>
                <w:szCs w:val="21"/>
                <w:u w:val="none"/>
                <w:lang w:val="en-US" w:eastAsia="zh-CN" w:bidi="ar"/>
              </w:rPr>
              <w:t>+1.024</w:t>
            </w:r>
            <w:r>
              <w:rPr>
                <w:rFonts w:hint="eastAsia"/>
                <w:bCs/>
                <w:color w:val="FF0000"/>
                <w:szCs w:val="21"/>
              </w:rPr>
              <w:t>t/a</w:t>
            </w:r>
          </w:p>
        </w:tc>
      </w:tr>
      <w:tr w14:paraId="3A3A85F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2" w:hRule="atLeast"/>
        </w:trPr>
        <w:tc>
          <w:tcPr>
            <w:tcW w:w="1588" w:type="dxa"/>
            <w:vMerge w:val="continue"/>
            <w:vAlign w:val="center"/>
          </w:tcPr>
          <w:p w14:paraId="795529C8">
            <w:pPr>
              <w:spacing w:line="320" w:lineRule="exact"/>
              <w:jc w:val="center"/>
              <w:rPr>
                <w:rFonts w:hint="eastAsia" w:ascii="宋体" w:hAnsi="宋体" w:cs="宋体"/>
                <w:color w:val="FF0000"/>
                <w:kern w:val="0"/>
                <w:szCs w:val="21"/>
                <w:lang w:bidi="ar"/>
              </w:rPr>
            </w:pPr>
          </w:p>
        </w:tc>
        <w:tc>
          <w:tcPr>
            <w:tcW w:w="2112" w:type="dxa"/>
            <w:tcBorders>
              <w:top w:val="single" w:color="000000" w:sz="4" w:space="0"/>
              <w:bottom w:val="single" w:color="000000" w:sz="4" w:space="0"/>
            </w:tcBorders>
            <w:shd w:val="clear" w:color="auto" w:fill="auto"/>
            <w:vAlign w:val="center"/>
          </w:tcPr>
          <w:p w14:paraId="5330CD13">
            <w:pPr>
              <w:keepNext w:val="0"/>
              <w:keepLines w:val="0"/>
              <w:widowControl/>
              <w:suppressLineNumbers w:val="0"/>
              <w:jc w:val="center"/>
              <w:textAlignment w:val="center"/>
              <w:rPr>
                <w:bCs/>
                <w:color w:val="FF0000"/>
                <w:szCs w:val="21"/>
              </w:rPr>
            </w:pPr>
            <w:r>
              <w:rPr>
                <w:rFonts w:hint="default" w:ascii="Times New Roman" w:hAnsi="Times New Roman" w:eastAsia="宋体" w:cs="Times New Roman"/>
                <w:i w:val="0"/>
                <w:iCs w:val="0"/>
                <w:color w:val="FF0000"/>
                <w:kern w:val="0"/>
                <w:sz w:val="21"/>
                <w:szCs w:val="21"/>
                <w:u w:val="none"/>
                <w:lang w:val="en-US" w:eastAsia="zh-CN" w:bidi="ar"/>
              </w:rPr>
              <w:t>含多氯联苯废电容器</w:t>
            </w:r>
          </w:p>
        </w:tc>
        <w:tc>
          <w:tcPr>
            <w:tcW w:w="1350" w:type="dxa"/>
            <w:vAlign w:val="center"/>
          </w:tcPr>
          <w:p w14:paraId="12382FA4">
            <w:pPr>
              <w:spacing w:line="320" w:lineRule="exact"/>
              <w:jc w:val="center"/>
              <w:rPr>
                <w:rFonts w:hint="eastAsia" w:ascii="宋体" w:hAnsi="宋体" w:cs="宋体"/>
                <w:color w:val="FF0000"/>
                <w:kern w:val="0"/>
                <w:szCs w:val="21"/>
                <w:lang w:bidi="ar"/>
              </w:rPr>
            </w:pPr>
            <w:r>
              <w:rPr>
                <w:rFonts w:hint="eastAsia"/>
                <w:snapToGrid w:val="0"/>
                <w:color w:val="FF0000"/>
                <w:kern w:val="21"/>
                <w:szCs w:val="21"/>
              </w:rPr>
              <w:t>/</w:t>
            </w:r>
          </w:p>
        </w:tc>
        <w:tc>
          <w:tcPr>
            <w:tcW w:w="1335" w:type="dxa"/>
            <w:vAlign w:val="center"/>
          </w:tcPr>
          <w:p w14:paraId="108862F9">
            <w:pPr>
              <w:spacing w:line="320" w:lineRule="exact"/>
              <w:jc w:val="center"/>
              <w:rPr>
                <w:rFonts w:hint="eastAsia" w:ascii="宋体" w:hAnsi="宋体" w:cs="宋体"/>
                <w:color w:val="FF0000"/>
                <w:kern w:val="0"/>
                <w:szCs w:val="21"/>
                <w:lang w:bidi="ar"/>
              </w:rPr>
            </w:pPr>
            <w:r>
              <w:rPr>
                <w:rFonts w:hint="eastAsia"/>
                <w:snapToGrid w:val="0"/>
                <w:color w:val="FF0000"/>
                <w:kern w:val="21"/>
                <w:szCs w:val="21"/>
              </w:rPr>
              <w:t>/</w:t>
            </w:r>
          </w:p>
        </w:tc>
        <w:tc>
          <w:tcPr>
            <w:tcW w:w="1349" w:type="dxa"/>
            <w:vAlign w:val="center"/>
          </w:tcPr>
          <w:p w14:paraId="5B49AD5E">
            <w:pPr>
              <w:spacing w:line="320" w:lineRule="exact"/>
              <w:jc w:val="center"/>
              <w:rPr>
                <w:rFonts w:hint="eastAsia" w:ascii="宋体" w:hAnsi="宋体" w:cs="宋体"/>
                <w:color w:val="FF0000"/>
                <w:kern w:val="0"/>
                <w:szCs w:val="21"/>
                <w:lang w:bidi="ar"/>
              </w:rPr>
            </w:pPr>
            <w:r>
              <w:rPr>
                <w:rFonts w:hint="eastAsia"/>
                <w:snapToGrid w:val="0"/>
                <w:color w:val="FF0000"/>
                <w:kern w:val="21"/>
                <w:szCs w:val="21"/>
              </w:rPr>
              <w:t>/</w:t>
            </w:r>
          </w:p>
        </w:tc>
        <w:tc>
          <w:tcPr>
            <w:tcW w:w="1541" w:type="dxa"/>
            <w:shd w:val="clear" w:color="auto" w:fill="auto"/>
            <w:vAlign w:val="center"/>
          </w:tcPr>
          <w:p w14:paraId="348CD0DB">
            <w:pPr>
              <w:keepNext w:val="0"/>
              <w:keepLines w:val="0"/>
              <w:widowControl/>
              <w:suppressLineNumbers w:val="0"/>
              <w:jc w:val="center"/>
              <w:textAlignment w:val="center"/>
              <w:rPr>
                <w:rFonts w:hint="default" w:ascii="Times New Roman" w:hAnsi="Times New Roman" w:eastAsia="宋体" w:cs="Times New Roman"/>
                <w:i w:val="0"/>
                <w:iCs w:val="0"/>
                <w:color w:val="FF0000"/>
                <w:kern w:val="0"/>
                <w:sz w:val="21"/>
                <w:szCs w:val="21"/>
                <w:u w:val="none"/>
                <w:lang w:val="en-US" w:eastAsia="zh-CN" w:bidi="ar"/>
              </w:rPr>
            </w:pPr>
            <w:r>
              <w:rPr>
                <w:rFonts w:hint="default" w:ascii="Times New Roman" w:hAnsi="Times New Roman" w:eastAsia="宋体" w:cs="Times New Roman"/>
                <w:i w:val="0"/>
                <w:iCs w:val="0"/>
                <w:color w:val="FF0000"/>
                <w:kern w:val="0"/>
                <w:sz w:val="21"/>
                <w:szCs w:val="21"/>
                <w:u w:val="none"/>
                <w:lang w:val="en-US" w:eastAsia="zh-CN" w:bidi="ar"/>
              </w:rPr>
              <w:t>0.07</w:t>
            </w:r>
            <w:r>
              <w:rPr>
                <w:rFonts w:hint="eastAsia"/>
                <w:bCs/>
                <w:color w:val="FF0000"/>
                <w:szCs w:val="21"/>
              </w:rPr>
              <w:t>t/a</w:t>
            </w:r>
          </w:p>
        </w:tc>
        <w:tc>
          <w:tcPr>
            <w:tcW w:w="1608" w:type="dxa"/>
            <w:vAlign w:val="center"/>
          </w:tcPr>
          <w:p w14:paraId="19353601">
            <w:pPr>
              <w:spacing w:line="320" w:lineRule="exact"/>
              <w:jc w:val="center"/>
              <w:rPr>
                <w:rFonts w:hint="eastAsia" w:ascii="宋体" w:hAnsi="宋体" w:cs="宋体"/>
                <w:color w:val="FF0000"/>
                <w:kern w:val="0"/>
                <w:szCs w:val="21"/>
                <w:lang w:bidi="ar"/>
              </w:rPr>
            </w:pPr>
            <w:r>
              <w:rPr>
                <w:rFonts w:hint="eastAsia"/>
                <w:snapToGrid w:val="0"/>
                <w:color w:val="FF0000"/>
                <w:kern w:val="21"/>
                <w:szCs w:val="21"/>
              </w:rPr>
              <w:t>/</w:t>
            </w:r>
          </w:p>
        </w:tc>
        <w:tc>
          <w:tcPr>
            <w:tcW w:w="1439" w:type="dxa"/>
            <w:shd w:val="clear" w:color="auto" w:fill="auto"/>
            <w:vAlign w:val="center"/>
          </w:tcPr>
          <w:p w14:paraId="2965930A">
            <w:pPr>
              <w:keepNext w:val="0"/>
              <w:keepLines w:val="0"/>
              <w:widowControl/>
              <w:suppressLineNumbers w:val="0"/>
              <w:jc w:val="center"/>
              <w:textAlignment w:val="center"/>
              <w:rPr>
                <w:bCs/>
                <w:color w:val="FF0000"/>
                <w:szCs w:val="21"/>
              </w:rPr>
            </w:pPr>
            <w:r>
              <w:rPr>
                <w:rFonts w:hint="default" w:ascii="Times New Roman" w:hAnsi="Times New Roman" w:eastAsia="宋体" w:cs="Times New Roman"/>
                <w:i w:val="0"/>
                <w:iCs w:val="0"/>
                <w:color w:val="FF0000"/>
                <w:kern w:val="0"/>
                <w:sz w:val="21"/>
                <w:szCs w:val="21"/>
                <w:u w:val="none"/>
                <w:lang w:val="en-US" w:eastAsia="zh-CN" w:bidi="ar"/>
              </w:rPr>
              <w:t>0.07</w:t>
            </w:r>
            <w:r>
              <w:rPr>
                <w:rFonts w:hint="eastAsia"/>
                <w:bCs/>
                <w:color w:val="FF0000"/>
                <w:szCs w:val="21"/>
              </w:rPr>
              <w:t>t/a</w:t>
            </w:r>
          </w:p>
        </w:tc>
        <w:tc>
          <w:tcPr>
            <w:tcW w:w="1466" w:type="dxa"/>
            <w:shd w:val="clear" w:color="auto" w:fill="auto"/>
            <w:vAlign w:val="center"/>
          </w:tcPr>
          <w:p w14:paraId="38C6B5D5">
            <w:pPr>
              <w:keepNext w:val="0"/>
              <w:keepLines w:val="0"/>
              <w:widowControl/>
              <w:suppressLineNumbers w:val="0"/>
              <w:jc w:val="center"/>
              <w:textAlignment w:val="center"/>
              <w:rPr>
                <w:rFonts w:hint="default" w:ascii="Times New Roman" w:hAnsi="Times New Roman" w:eastAsia="宋体" w:cs="Times New Roman"/>
                <w:i w:val="0"/>
                <w:iCs w:val="0"/>
                <w:color w:val="FF0000"/>
                <w:kern w:val="0"/>
                <w:sz w:val="21"/>
                <w:szCs w:val="21"/>
                <w:u w:val="none"/>
                <w:lang w:val="en-US" w:eastAsia="zh-CN" w:bidi="ar"/>
              </w:rPr>
            </w:pPr>
            <w:r>
              <w:rPr>
                <w:rFonts w:hint="eastAsia" w:ascii="Times New Roman" w:hAnsi="Times New Roman" w:eastAsia="宋体" w:cs="Times New Roman"/>
                <w:i w:val="0"/>
                <w:iCs w:val="0"/>
                <w:color w:val="FF0000"/>
                <w:kern w:val="0"/>
                <w:sz w:val="21"/>
                <w:szCs w:val="21"/>
                <w:u w:val="none"/>
                <w:lang w:val="en-US" w:eastAsia="zh-CN" w:bidi="ar"/>
              </w:rPr>
              <w:t>+</w:t>
            </w:r>
            <w:r>
              <w:rPr>
                <w:rFonts w:hint="default" w:ascii="Times New Roman" w:hAnsi="Times New Roman" w:eastAsia="宋体" w:cs="Times New Roman"/>
                <w:i w:val="0"/>
                <w:iCs w:val="0"/>
                <w:color w:val="FF0000"/>
                <w:kern w:val="0"/>
                <w:sz w:val="21"/>
                <w:szCs w:val="21"/>
                <w:u w:val="none"/>
                <w:lang w:val="en-US" w:eastAsia="zh-CN" w:bidi="ar"/>
              </w:rPr>
              <w:t>0.07</w:t>
            </w:r>
            <w:r>
              <w:rPr>
                <w:rFonts w:hint="eastAsia"/>
                <w:bCs/>
                <w:color w:val="FF0000"/>
                <w:szCs w:val="21"/>
              </w:rPr>
              <w:t>t/a</w:t>
            </w:r>
          </w:p>
        </w:tc>
      </w:tr>
      <w:tr w14:paraId="05D793E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2" w:hRule="atLeast"/>
        </w:trPr>
        <w:tc>
          <w:tcPr>
            <w:tcW w:w="1588" w:type="dxa"/>
            <w:vMerge w:val="continue"/>
            <w:vAlign w:val="center"/>
          </w:tcPr>
          <w:p w14:paraId="6C468E78">
            <w:pPr>
              <w:spacing w:line="320" w:lineRule="exact"/>
              <w:jc w:val="center"/>
              <w:rPr>
                <w:rFonts w:hint="eastAsia" w:ascii="宋体" w:hAnsi="宋体" w:cs="宋体"/>
                <w:color w:val="FF0000"/>
                <w:kern w:val="0"/>
                <w:szCs w:val="21"/>
                <w:lang w:bidi="ar"/>
              </w:rPr>
            </w:pPr>
          </w:p>
        </w:tc>
        <w:tc>
          <w:tcPr>
            <w:tcW w:w="2112" w:type="dxa"/>
            <w:tcBorders>
              <w:top w:val="single" w:color="000000" w:sz="4" w:space="0"/>
              <w:bottom w:val="single" w:color="000000" w:sz="4" w:space="0"/>
            </w:tcBorders>
            <w:shd w:val="clear" w:color="auto" w:fill="auto"/>
            <w:vAlign w:val="center"/>
          </w:tcPr>
          <w:p w14:paraId="4E5349C1">
            <w:pPr>
              <w:keepNext w:val="0"/>
              <w:keepLines w:val="0"/>
              <w:widowControl/>
              <w:suppressLineNumbers w:val="0"/>
              <w:jc w:val="center"/>
              <w:textAlignment w:val="center"/>
              <w:rPr>
                <w:rFonts w:hint="eastAsia"/>
                <w:bCs/>
                <w:color w:val="FF0000"/>
                <w:szCs w:val="21"/>
              </w:rPr>
            </w:pPr>
            <w:r>
              <w:rPr>
                <w:rFonts w:hint="default" w:ascii="Times New Roman" w:hAnsi="Times New Roman" w:eastAsia="宋体" w:cs="Times New Roman"/>
                <w:i w:val="0"/>
                <w:iCs w:val="0"/>
                <w:color w:val="FF0000"/>
                <w:kern w:val="0"/>
                <w:sz w:val="21"/>
                <w:szCs w:val="21"/>
                <w:u w:val="none"/>
                <w:lang w:val="en-US" w:eastAsia="zh-CN" w:bidi="ar"/>
              </w:rPr>
              <w:t>废有机溶剂</w:t>
            </w:r>
          </w:p>
        </w:tc>
        <w:tc>
          <w:tcPr>
            <w:tcW w:w="1350" w:type="dxa"/>
            <w:vAlign w:val="center"/>
          </w:tcPr>
          <w:p w14:paraId="76F47AE5">
            <w:pPr>
              <w:spacing w:line="320" w:lineRule="exact"/>
              <w:jc w:val="center"/>
              <w:rPr>
                <w:rFonts w:hint="eastAsia"/>
                <w:snapToGrid w:val="0"/>
                <w:color w:val="FF0000"/>
                <w:kern w:val="21"/>
                <w:szCs w:val="21"/>
              </w:rPr>
            </w:pPr>
            <w:r>
              <w:rPr>
                <w:rFonts w:hint="eastAsia"/>
                <w:snapToGrid w:val="0"/>
                <w:color w:val="FF0000"/>
                <w:kern w:val="21"/>
                <w:szCs w:val="21"/>
              </w:rPr>
              <w:t>/</w:t>
            </w:r>
          </w:p>
        </w:tc>
        <w:tc>
          <w:tcPr>
            <w:tcW w:w="1335" w:type="dxa"/>
            <w:vAlign w:val="center"/>
          </w:tcPr>
          <w:p w14:paraId="0DE2EC59">
            <w:pPr>
              <w:spacing w:line="320" w:lineRule="exact"/>
              <w:jc w:val="center"/>
              <w:rPr>
                <w:rFonts w:hint="eastAsia"/>
                <w:snapToGrid w:val="0"/>
                <w:color w:val="FF0000"/>
                <w:kern w:val="21"/>
                <w:szCs w:val="21"/>
              </w:rPr>
            </w:pPr>
            <w:r>
              <w:rPr>
                <w:rFonts w:hint="eastAsia"/>
                <w:snapToGrid w:val="0"/>
                <w:color w:val="FF0000"/>
                <w:kern w:val="21"/>
                <w:szCs w:val="21"/>
              </w:rPr>
              <w:t>/</w:t>
            </w:r>
          </w:p>
        </w:tc>
        <w:tc>
          <w:tcPr>
            <w:tcW w:w="1349" w:type="dxa"/>
            <w:vAlign w:val="center"/>
          </w:tcPr>
          <w:p w14:paraId="1DB63B5B">
            <w:pPr>
              <w:spacing w:line="320" w:lineRule="exact"/>
              <w:jc w:val="center"/>
              <w:rPr>
                <w:rFonts w:hint="eastAsia"/>
                <w:snapToGrid w:val="0"/>
                <w:color w:val="FF0000"/>
                <w:kern w:val="21"/>
                <w:szCs w:val="21"/>
              </w:rPr>
            </w:pPr>
            <w:r>
              <w:rPr>
                <w:rFonts w:hint="eastAsia"/>
                <w:snapToGrid w:val="0"/>
                <w:color w:val="FF0000"/>
                <w:kern w:val="21"/>
                <w:szCs w:val="21"/>
              </w:rPr>
              <w:t>/</w:t>
            </w:r>
          </w:p>
        </w:tc>
        <w:tc>
          <w:tcPr>
            <w:tcW w:w="1541" w:type="dxa"/>
            <w:shd w:val="clear" w:color="auto" w:fill="auto"/>
            <w:vAlign w:val="center"/>
          </w:tcPr>
          <w:p w14:paraId="263009A4">
            <w:pPr>
              <w:keepNext w:val="0"/>
              <w:keepLines w:val="0"/>
              <w:widowControl/>
              <w:suppressLineNumbers w:val="0"/>
              <w:jc w:val="center"/>
              <w:textAlignment w:val="center"/>
              <w:rPr>
                <w:rFonts w:hint="eastAsia" w:ascii="Times New Roman" w:hAnsi="Times New Roman" w:eastAsia="宋体" w:cs="Times New Roman"/>
                <w:i w:val="0"/>
                <w:iCs w:val="0"/>
                <w:color w:val="FF0000"/>
                <w:kern w:val="0"/>
                <w:sz w:val="21"/>
                <w:szCs w:val="21"/>
                <w:u w:val="none"/>
                <w:lang w:val="en-US" w:eastAsia="zh-CN" w:bidi="ar"/>
              </w:rPr>
            </w:pPr>
            <w:r>
              <w:rPr>
                <w:rFonts w:hint="default" w:ascii="Times New Roman" w:hAnsi="Times New Roman" w:eastAsia="宋体" w:cs="Times New Roman"/>
                <w:i w:val="0"/>
                <w:iCs w:val="0"/>
                <w:color w:val="FF0000"/>
                <w:kern w:val="0"/>
                <w:sz w:val="21"/>
                <w:szCs w:val="21"/>
                <w:u w:val="none"/>
                <w:lang w:val="en-US" w:eastAsia="zh-CN" w:bidi="ar"/>
              </w:rPr>
              <w:t>250.31</w:t>
            </w:r>
            <w:r>
              <w:rPr>
                <w:rFonts w:hint="eastAsia"/>
                <w:bCs/>
                <w:color w:val="FF0000"/>
                <w:szCs w:val="21"/>
              </w:rPr>
              <w:t>t/a</w:t>
            </w:r>
          </w:p>
        </w:tc>
        <w:tc>
          <w:tcPr>
            <w:tcW w:w="1608" w:type="dxa"/>
            <w:vAlign w:val="center"/>
          </w:tcPr>
          <w:p w14:paraId="4D97E0EE">
            <w:pPr>
              <w:spacing w:line="320" w:lineRule="exact"/>
              <w:jc w:val="center"/>
              <w:rPr>
                <w:rFonts w:hint="eastAsia"/>
                <w:snapToGrid w:val="0"/>
                <w:color w:val="FF0000"/>
                <w:kern w:val="21"/>
                <w:szCs w:val="21"/>
              </w:rPr>
            </w:pPr>
            <w:r>
              <w:rPr>
                <w:rFonts w:hint="eastAsia"/>
                <w:snapToGrid w:val="0"/>
                <w:color w:val="FF0000"/>
                <w:kern w:val="21"/>
                <w:szCs w:val="21"/>
              </w:rPr>
              <w:t>/</w:t>
            </w:r>
          </w:p>
        </w:tc>
        <w:tc>
          <w:tcPr>
            <w:tcW w:w="1439" w:type="dxa"/>
            <w:shd w:val="clear" w:color="auto" w:fill="auto"/>
            <w:vAlign w:val="center"/>
          </w:tcPr>
          <w:p w14:paraId="01155C87">
            <w:pPr>
              <w:keepNext w:val="0"/>
              <w:keepLines w:val="0"/>
              <w:widowControl/>
              <w:suppressLineNumbers w:val="0"/>
              <w:jc w:val="center"/>
              <w:textAlignment w:val="center"/>
              <w:rPr>
                <w:rFonts w:hint="eastAsia"/>
                <w:bCs/>
                <w:color w:val="FF0000"/>
                <w:szCs w:val="21"/>
              </w:rPr>
            </w:pPr>
            <w:r>
              <w:rPr>
                <w:rFonts w:hint="default" w:ascii="Times New Roman" w:hAnsi="Times New Roman" w:eastAsia="宋体" w:cs="Times New Roman"/>
                <w:i w:val="0"/>
                <w:iCs w:val="0"/>
                <w:color w:val="FF0000"/>
                <w:kern w:val="0"/>
                <w:sz w:val="21"/>
                <w:szCs w:val="21"/>
                <w:u w:val="none"/>
                <w:lang w:val="en-US" w:eastAsia="zh-CN" w:bidi="ar"/>
              </w:rPr>
              <w:t>250.31</w:t>
            </w:r>
            <w:r>
              <w:rPr>
                <w:rFonts w:hint="eastAsia"/>
                <w:bCs/>
                <w:color w:val="FF0000"/>
                <w:szCs w:val="21"/>
              </w:rPr>
              <w:t>t/a</w:t>
            </w:r>
          </w:p>
        </w:tc>
        <w:tc>
          <w:tcPr>
            <w:tcW w:w="1466" w:type="dxa"/>
            <w:shd w:val="clear" w:color="auto" w:fill="auto"/>
            <w:vAlign w:val="center"/>
          </w:tcPr>
          <w:p w14:paraId="55F2BE5D">
            <w:pPr>
              <w:keepNext w:val="0"/>
              <w:keepLines w:val="0"/>
              <w:widowControl/>
              <w:suppressLineNumbers w:val="0"/>
              <w:jc w:val="center"/>
              <w:textAlignment w:val="center"/>
              <w:rPr>
                <w:rFonts w:hint="eastAsia" w:ascii="Times New Roman" w:hAnsi="Times New Roman" w:eastAsia="宋体" w:cs="Times New Roman"/>
                <w:i w:val="0"/>
                <w:iCs w:val="0"/>
                <w:color w:val="FF0000"/>
                <w:kern w:val="0"/>
                <w:sz w:val="21"/>
                <w:szCs w:val="21"/>
                <w:u w:val="none"/>
                <w:lang w:val="en-US" w:eastAsia="zh-CN" w:bidi="ar"/>
              </w:rPr>
            </w:pPr>
            <w:r>
              <w:rPr>
                <w:rFonts w:hint="eastAsia" w:ascii="Times New Roman" w:hAnsi="Times New Roman" w:eastAsia="宋体" w:cs="Times New Roman"/>
                <w:i w:val="0"/>
                <w:iCs w:val="0"/>
                <w:color w:val="FF0000"/>
                <w:kern w:val="0"/>
                <w:sz w:val="21"/>
                <w:szCs w:val="21"/>
                <w:u w:val="none"/>
                <w:lang w:val="en-US" w:eastAsia="zh-CN" w:bidi="ar"/>
              </w:rPr>
              <w:t>+</w:t>
            </w:r>
            <w:r>
              <w:rPr>
                <w:rFonts w:hint="default" w:ascii="Times New Roman" w:hAnsi="Times New Roman" w:eastAsia="宋体" w:cs="Times New Roman"/>
                <w:i w:val="0"/>
                <w:iCs w:val="0"/>
                <w:color w:val="FF0000"/>
                <w:kern w:val="0"/>
                <w:sz w:val="21"/>
                <w:szCs w:val="21"/>
                <w:u w:val="none"/>
                <w:lang w:val="en-US" w:eastAsia="zh-CN" w:bidi="ar"/>
              </w:rPr>
              <w:t>250.31</w:t>
            </w:r>
            <w:r>
              <w:rPr>
                <w:rFonts w:hint="eastAsia"/>
                <w:bCs/>
                <w:color w:val="FF0000"/>
                <w:szCs w:val="21"/>
              </w:rPr>
              <w:t>t/a</w:t>
            </w:r>
          </w:p>
        </w:tc>
      </w:tr>
      <w:tr w14:paraId="4E0F167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2" w:hRule="atLeast"/>
        </w:trPr>
        <w:tc>
          <w:tcPr>
            <w:tcW w:w="1588" w:type="dxa"/>
            <w:vMerge w:val="continue"/>
            <w:vAlign w:val="center"/>
          </w:tcPr>
          <w:p w14:paraId="061317C1">
            <w:pPr>
              <w:spacing w:line="320" w:lineRule="exact"/>
              <w:jc w:val="center"/>
              <w:rPr>
                <w:rFonts w:hint="eastAsia" w:ascii="宋体" w:hAnsi="宋体" w:cs="宋体"/>
                <w:color w:val="FF0000"/>
                <w:kern w:val="0"/>
                <w:szCs w:val="21"/>
                <w:lang w:bidi="ar"/>
              </w:rPr>
            </w:pPr>
          </w:p>
        </w:tc>
        <w:tc>
          <w:tcPr>
            <w:tcW w:w="2112" w:type="dxa"/>
            <w:tcBorders>
              <w:top w:val="single" w:color="000000" w:sz="4" w:space="0"/>
              <w:bottom w:val="single" w:color="000000" w:sz="4" w:space="0"/>
            </w:tcBorders>
            <w:shd w:val="clear" w:color="auto" w:fill="auto"/>
            <w:vAlign w:val="center"/>
          </w:tcPr>
          <w:p w14:paraId="58961022">
            <w:pPr>
              <w:keepNext w:val="0"/>
              <w:keepLines w:val="0"/>
              <w:widowControl/>
              <w:suppressLineNumbers w:val="0"/>
              <w:jc w:val="center"/>
              <w:textAlignment w:val="center"/>
              <w:rPr>
                <w:rFonts w:hint="eastAsia"/>
                <w:bCs/>
                <w:color w:val="FF0000"/>
                <w:szCs w:val="21"/>
              </w:rPr>
            </w:pPr>
            <w:r>
              <w:rPr>
                <w:rFonts w:hint="default" w:ascii="Times New Roman" w:hAnsi="Times New Roman" w:eastAsia="宋体" w:cs="Times New Roman"/>
                <w:i w:val="0"/>
                <w:iCs w:val="0"/>
                <w:color w:val="FF0000"/>
                <w:kern w:val="0"/>
                <w:sz w:val="21"/>
                <w:szCs w:val="21"/>
                <w:u w:val="none"/>
                <w:lang w:val="en-US" w:eastAsia="zh-CN" w:bidi="ar"/>
              </w:rPr>
              <w:t>石棉废物</w:t>
            </w:r>
          </w:p>
        </w:tc>
        <w:tc>
          <w:tcPr>
            <w:tcW w:w="1350" w:type="dxa"/>
            <w:vAlign w:val="center"/>
          </w:tcPr>
          <w:p w14:paraId="61C1F6C3">
            <w:pPr>
              <w:spacing w:line="320" w:lineRule="exact"/>
              <w:jc w:val="center"/>
              <w:rPr>
                <w:rFonts w:hint="eastAsia"/>
                <w:snapToGrid w:val="0"/>
                <w:color w:val="FF0000"/>
                <w:kern w:val="21"/>
                <w:szCs w:val="21"/>
              </w:rPr>
            </w:pPr>
            <w:r>
              <w:rPr>
                <w:rFonts w:hint="eastAsia"/>
                <w:snapToGrid w:val="0"/>
                <w:color w:val="FF0000"/>
                <w:kern w:val="21"/>
                <w:szCs w:val="21"/>
              </w:rPr>
              <w:t>/</w:t>
            </w:r>
          </w:p>
        </w:tc>
        <w:tc>
          <w:tcPr>
            <w:tcW w:w="1335" w:type="dxa"/>
            <w:vAlign w:val="center"/>
          </w:tcPr>
          <w:p w14:paraId="7CC23F5E">
            <w:pPr>
              <w:spacing w:line="320" w:lineRule="exact"/>
              <w:jc w:val="center"/>
              <w:rPr>
                <w:rFonts w:hint="eastAsia"/>
                <w:snapToGrid w:val="0"/>
                <w:color w:val="FF0000"/>
                <w:kern w:val="21"/>
                <w:szCs w:val="21"/>
              </w:rPr>
            </w:pPr>
            <w:r>
              <w:rPr>
                <w:rFonts w:hint="eastAsia"/>
                <w:snapToGrid w:val="0"/>
                <w:color w:val="FF0000"/>
                <w:kern w:val="21"/>
                <w:szCs w:val="21"/>
              </w:rPr>
              <w:t>/</w:t>
            </w:r>
          </w:p>
        </w:tc>
        <w:tc>
          <w:tcPr>
            <w:tcW w:w="1349" w:type="dxa"/>
            <w:vAlign w:val="center"/>
          </w:tcPr>
          <w:p w14:paraId="2CB1B516">
            <w:pPr>
              <w:spacing w:line="320" w:lineRule="exact"/>
              <w:jc w:val="center"/>
              <w:rPr>
                <w:rFonts w:hint="eastAsia"/>
                <w:snapToGrid w:val="0"/>
                <w:color w:val="FF0000"/>
                <w:kern w:val="21"/>
                <w:szCs w:val="21"/>
              </w:rPr>
            </w:pPr>
            <w:r>
              <w:rPr>
                <w:rFonts w:hint="eastAsia"/>
                <w:snapToGrid w:val="0"/>
                <w:color w:val="FF0000"/>
                <w:kern w:val="21"/>
                <w:szCs w:val="21"/>
              </w:rPr>
              <w:t>/</w:t>
            </w:r>
          </w:p>
        </w:tc>
        <w:tc>
          <w:tcPr>
            <w:tcW w:w="1541" w:type="dxa"/>
            <w:shd w:val="clear" w:color="auto" w:fill="auto"/>
            <w:vAlign w:val="center"/>
          </w:tcPr>
          <w:p w14:paraId="2BFF27D7">
            <w:pPr>
              <w:keepNext w:val="0"/>
              <w:keepLines w:val="0"/>
              <w:widowControl/>
              <w:suppressLineNumbers w:val="0"/>
              <w:jc w:val="center"/>
              <w:textAlignment w:val="center"/>
              <w:rPr>
                <w:rFonts w:hint="eastAsia" w:ascii="Times New Roman" w:hAnsi="Times New Roman" w:eastAsia="宋体" w:cs="Times New Roman"/>
                <w:i w:val="0"/>
                <w:iCs w:val="0"/>
                <w:color w:val="FF0000"/>
                <w:kern w:val="0"/>
                <w:sz w:val="21"/>
                <w:szCs w:val="21"/>
                <w:u w:val="none"/>
                <w:lang w:val="en-US" w:eastAsia="zh-CN" w:bidi="ar"/>
              </w:rPr>
            </w:pPr>
            <w:r>
              <w:rPr>
                <w:rFonts w:hint="default" w:ascii="Times New Roman" w:hAnsi="Times New Roman" w:eastAsia="宋体" w:cs="Times New Roman"/>
                <w:i w:val="0"/>
                <w:iCs w:val="0"/>
                <w:color w:val="FF0000"/>
                <w:kern w:val="0"/>
                <w:sz w:val="21"/>
                <w:szCs w:val="21"/>
                <w:u w:val="none"/>
                <w:lang w:val="en-US" w:eastAsia="zh-CN" w:bidi="ar"/>
              </w:rPr>
              <w:t>56.07</w:t>
            </w:r>
            <w:r>
              <w:rPr>
                <w:rFonts w:hint="eastAsia"/>
                <w:bCs/>
                <w:color w:val="FF0000"/>
                <w:szCs w:val="21"/>
              </w:rPr>
              <w:t>t/a</w:t>
            </w:r>
          </w:p>
        </w:tc>
        <w:tc>
          <w:tcPr>
            <w:tcW w:w="1608" w:type="dxa"/>
            <w:vAlign w:val="center"/>
          </w:tcPr>
          <w:p w14:paraId="459D49A6">
            <w:pPr>
              <w:spacing w:line="320" w:lineRule="exact"/>
              <w:jc w:val="center"/>
              <w:rPr>
                <w:rFonts w:hint="eastAsia"/>
                <w:snapToGrid w:val="0"/>
                <w:color w:val="FF0000"/>
                <w:kern w:val="21"/>
                <w:szCs w:val="21"/>
              </w:rPr>
            </w:pPr>
            <w:r>
              <w:rPr>
                <w:rFonts w:hint="eastAsia"/>
                <w:snapToGrid w:val="0"/>
                <w:color w:val="FF0000"/>
                <w:kern w:val="21"/>
                <w:szCs w:val="21"/>
              </w:rPr>
              <w:t>/</w:t>
            </w:r>
          </w:p>
        </w:tc>
        <w:tc>
          <w:tcPr>
            <w:tcW w:w="1439" w:type="dxa"/>
            <w:shd w:val="clear" w:color="auto" w:fill="auto"/>
            <w:vAlign w:val="center"/>
          </w:tcPr>
          <w:p w14:paraId="3EDA1A15">
            <w:pPr>
              <w:keepNext w:val="0"/>
              <w:keepLines w:val="0"/>
              <w:widowControl/>
              <w:suppressLineNumbers w:val="0"/>
              <w:jc w:val="center"/>
              <w:textAlignment w:val="center"/>
              <w:rPr>
                <w:rFonts w:hint="eastAsia"/>
                <w:bCs/>
                <w:color w:val="FF0000"/>
                <w:szCs w:val="21"/>
              </w:rPr>
            </w:pPr>
            <w:r>
              <w:rPr>
                <w:rFonts w:hint="default" w:ascii="Times New Roman" w:hAnsi="Times New Roman" w:eastAsia="宋体" w:cs="Times New Roman"/>
                <w:i w:val="0"/>
                <w:iCs w:val="0"/>
                <w:color w:val="FF0000"/>
                <w:kern w:val="0"/>
                <w:sz w:val="21"/>
                <w:szCs w:val="21"/>
                <w:u w:val="none"/>
                <w:lang w:val="en-US" w:eastAsia="zh-CN" w:bidi="ar"/>
              </w:rPr>
              <w:t>56.07</w:t>
            </w:r>
            <w:r>
              <w:rPr>
                <w:rFonts w:hint="eastAsia"/>
                <w:bCs/>
                <w:color w:val="FF0000"/>
                <w:szCs w:val="21"/>
              </w:rPr>
              <w:t>t/a</w:t>
            </w:r>
          </w:p>
        </w:tc>
        <w:tc>
          <w:tcPr>
            <w:tcW w:w="1466" w:type="dxa"/>
            <w:shd w:val="clear" w:color="auto" w:fill="auto"/>
            <w:vAlign w:val="center"/>
          </w:tcPr>
          <w:p w14:paraId="530FC028">
            <w:pPr>
              <w:keepNext w:val="0"/>
              <w:keepLines w:val="0"/>
              <w:widowControl/>
              <w:suppressLineNumbers w:val="0"/>
              <w:jc w:val="center"/>
              <w:textAlignment w:val="center"/>
              <w:rPr>
                <w:rFonts w:hint="eastAsia" w:ascii="Times New Roman" w:hAnsi="Times New Roman" w:eastAsia="宋体" w:cs="Times New Roman"/>
                <w:i w:val="0"/>
                <w:iCs w:val="0"/>
                <w:color w:val="FF0000"/>
                <w:kern w:val="0"/>
                <w:sz w:val="21"/>
                <w:szCs w:val="21"/>
                <w:u w:val="none"/>
                <w:lang w:val="en-US" w:eastAsia="zh-CN" w:bidi="ar"/>
              </w:rPr>
            </w:pPr>
            <w:r>
              <w:rPr>
                <w:rFonts w:hint="eastAsia" w:ascii="Times New Roman" w:hAnsi="Times New Roman" w:eastAsia="宋体" w:cs="Times New Roman"/>
                <w:i w:val="0"/>
                <w:iCs w:val="0"/>
                <w:color w:val="FF0000"/>
                <w:kern w:val="0"/>
                <w:sz w:val="21"/>
                <w:szCs w:val="21"/>
                <w:u w:val="none"/>
                <w:lang w:val="en-US" w:eastAsia="zh-CN" w:bidi="ar"/>
              </w:rPr>
              <w:t>+</w:t>
            </w:r>
            <w:r>
              <w:rPr>
                <w:rFonts w:hint="default" w:ascii="Times New Roman" w:hAnsi="Times New Roman" w:eastAsia="宋体" w:cs="Times New Roman"/>
                <w:i w:val="0"/>
                <w:iCs w:val="0"/>
                <w:color w:val="FF0000"/>
                <w:kern w:val="0"/>
                <w:sz w:val="21"/>
                <w:szCs w:val="21"/>
                <w:u w:val="none"/>
                <w:lang w:val="en-US" w:eastAsia="zh-CN" w:bidi="ar"/>
              </w:rPr>
              <w:t>56.07</w:t>
            </w:r>
            <w:r>
              <w:rPr>
                <w:rFonts w:hint="eastAsia"/>
                <w:bCs/>
                <w:color w:val="FF0000"/>
                <w:szCs w:val="21"/>
              </w:rPr>
              <w:t>t/a</w:t>
            </w:r>
          </w:p>
        </w:tc>
      </w:tr>
      <w:tr w14:paraId="2E8745C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2" w:hRule="atLeast"/>
        </w:trPr>
        <w:tc>
          <w:tcPr>
            <w:tcW w:w="1588" w:type="dxa"/>
            <w:vMerge w:val="continue"/>
            <w:vAlign w:val="center"/>
          </w:tcPr>
          <w:p w14:paraId="23F8B70D">
            <w:pPr>
              <w:spacing w:line="320" w:lineRule="exact"/>
              <w:jc w:val="center"/>
              <w:rPr>
                <w:rFonts w:hint="eastAsia" w:ascii="宋体" w:hAnsi="宋体" w:cs="宋体"/>
                <w:color w:val="FF0000"/>
                <w:kern w:val="0"/>
                <w:szCs w:val="21"/>
                <w:lang w:bidi="ar"/>
              </w:rPr>
            </w:pPr>
          </w:p>
        </w:tc>
        <w:tc>
          <w:tcPr>
            <w:tcW w:w="2112" w:type="dxa"/>
            <w:tcBorders>
              <w:top w:val="single" w:color="000000" w:sz="4" w:space="0"/>
            </w:tcBorders>
            <w:shd w:val="clear" w:color="auto" w:fill="auto"/>
            <w:vAlign w:val="center"/>
          </w:tcPr>
          <w:p w14:paraId="42ECEE85">
            <w:pPr>
              <w:keepNext w:val="0"/>
              <w:keepLines w:val="0"/>
              <w:widowControl/>
              <w:suppressLineNumbers w:val="0"/>
              <w:jc w:val="center"/>
              <w:textAlignment w:val="center"/>
              <w:rPr>
                <w:rFonts w:hint="eastAsia"/>
                <w:bCs/>
                <w:color w:val="FF0000"/>
                <w:szCs w:val="21"/>
              </w:rPr>
            </w:pPr>
            <w:r>
              <w:rPr>
                <w:rFonts w:hint="eastAsia" w:ascii="Times New Roman" w:hAnsi="Times New Roman" w:eastAsia="宋体" w:cs="Times New Roman"/>
                <w:i w:val="0"/>
                <w:iCs w:val="0"/>
                <w:color w:val="FF0000"/>
                <w:kern w:val="0"/>
                <w:sz w:val="21"/>
                <w:szCs w:val="21"/>
                <w:u w:val="none"/>
                <w:lang w:val="en-US" w:eastAsia="zh-CN" w:bidi="ar"/>
              </w:rPr>
              <w:t>含油抹布</w:t>
            </w:r>
          </w:p>
        </w:tc>
        <w:tc>
          <w:tcPr>
            <w:tcW w:w="1350" w:type="dxa"/>
            <w:vAlign w:val="center"/>
          </w:tcPr>
          <w:p w14:paraId="4EEB51FC">
            <w:pPr>
              <w:spacing w:line="320" w:lineRule="exact"/>
              <w:jc w:val="center"/>
              <w:rPr>
                <w:rFonts w:hint="eastAsia"/>
                <w:snapToGrid w:val="0"/>
                <w:color w:val="FF0000"/>
                <w:kern w:val="21"/>
                <w:szCs w:val="21"/>
              </w:rPr>
            </w:pPr>
            <w:r>
              <w:rPr>
                <w:rFonts w:hint="eastAsia"/>
                <w:snapToGrid w:val="0"/>
                <w:color w:val="FF0000"/>
                <w:kern w:val="21"/>
                <w:szCs w:val="21"/>
              </w:rPr>
              <w:t>/</w:t>
            </w:r>
          </w:p>
        </w:tc>
        <w:tc>
          <w:tcPr>
            <w:tcW w:w="1335" w:type="dxa"/>
            <w:vAlign w:val="center"/>
          </w:tcPr>
          <w:p w14:paraId="6A5AB100">
            <w:pPr>
              <w:spacing w:line="320" w:lineRule="exact"/>
              <w:jc w:val="center"/>
              <w:rPr>
                <w:rFonts w:hint="eastAsia"/>
                <w:snapToGrid w:val="0"/>
                <w:color w:val="FF0000"/>
                <w:kern w:val="21"/>
                <w:szCs w:val="21"/>
              </w:rPr>
            </w:pPr>
            <w:r>
              <w:rPr>
                <w:rFonts w:hint="eastAsia"/>
                <w:snapToGrid w:val="0"/>
                <w:color w:val="FF0000"/>
                <w:kern w:val="21"/>
                <w:szCs w:val="21"/>
              </w:rPr>
              <w:t>/</w:t>
            </w:r>
          </w:p>
        </w:tc>
        <w:tc>
          <w:tcPr>
            <w:tcW w:w="1349" w:type="dxa"/>
            <w:vAlign w:val="center"/>
          </w:tcPr>
          <w:p w14:paraId="38D7DFB7">
            <w:pPr>
              <w:spacing w:line="320" w:lineRule="exact"/>
              <w:jc w:val="center"/>
              <w:rPr>
                <w:rFonts w:hint="eastAsia"/>
                <w:snapToGrid w:val="0"/>
                <w:color w:val="FF0000"/>
                <w:kern w:val="21"/>
                <w:szCs w:val="21"/>
              </w:rPr>
            </w:pPr>
            <w:r>
              <w:rPr>
                <w:rFonts w:hint="eastAsia"/>
                <w:snapToGrid w:val="0"/>
                <w:color w:val="FF0000"/>
                <w:kern w:val="21"/>
                <w:szCs w:val="21"/>
              </w:rPr>
              <w:t>/</w:t>
            </w:r>
          </w:p>
        </w:tc>
        <w:tc>
          <w:tcPr>
            <w:tcW w:w="1541" w:type="dxa"/>
            <w:shd w:val="clear" w:color="auto" w:fill="auto"/>
            <w:vAlign w:val="center"/>
          </w:tcPr>
          <w:p w14:paraId="6B6E2358">
            <w:pPr>
              <w:keepNext w:val="0"/>
              <w:keepLines w:val="0"/>
              <w:widowControl/>
              <w:suppressLineNumbers w:val="0"/>
              <w:jc w:val="center"/>
              <w:textAlignment w:val="center"/>
              <w:rPr>
                <w:rFonts w:hint="eastAsia" w:ascii="Times New Roman" w:hAnsi="Times New Roman" w:eastAsia="宋体" w:cs="Times New Roman"/>
                <w:i w:val="0"/>
                <w:iCs w:val="0"/>
                <w:color w:val="FF0000"/>
                <w:kern w:val="0"/>
                <w:sz w:val="21"/>
                <w:szCs w:val="21"/>
                <w:u w:val="none"/>
                <w:lang w:val="en-US" w:eastAsia="zh-CN" w:bidi="ar"/>
              </w:rPr>
            </w:pPr>
            <w:r>
              <w:rPr>
                <w:rFonts w:hint="eastAsia" w:ascii="Times New Roman" w:hAnsi="Times New Roman" w:eastAsia="宋体" w:cs="Times New Roman"/>
                <w:i w:val="0"/>
                <w:iCs w:val="0"/>
                <w:color w:val="FF0000"/>
                <w:kern w:val="0"/>
                <w:sz w:val="21"/>
                <w:szCs w:val="21"/>
                <w:u w:val="none"/>
                <w:lang w:val="en-US" w:eastAsia="zh-CN" w:bidi="ar"/>
              </w:rPr>
              <w:t>0.2</w:t>
            </w:r>
            <w:r>
              <w:rPr>
                <w:rFonts w:hint="eastAsia"/>
                <w:bCs/>
                <w:color w:val="FF0000"/>
                <w:szCs w:val="21"/>
              </w:rPr>
              <w:t>t/a</w:t>
            </w:r>
          </w:p>
        </w:tc>
        <w:tc>
          <w:tcPr>
            <w:tcW w:w="1608" w:type="dxa"/>
            <w:vAlign w:val="center"/>
          </w:tcPr>
          <w:p w14:paraId="04221EA4">
            <w:pPr>
              <w:spacing w:line="320" w:lineRule="exact"/>
              <w:jc w:val="center"/>
              <w:rPr>
                <w:rFonts w:hint="eastAsia"/>
                <w:snapToGrid w:val="0"/>
                <w:color w:val="FF0000"/>
                <w:kern w:val="21"/>
                <w:szCs w:val="21"/>
              </w:rPr>
            </w:pPr>
            <w:r>
              <w:rPr>
                <w:rFonts w:hint="eastAsia"/>
                <w:snapToGrid w:val="0"/>
                <w:color w:val="FF0000"/>
                <w:kern w:val="21"/>
                <w:szCs w:val="21"/>
              </w:rPr>
              <w:t>/</w:t>
            </w:r>
          </w:p>
        </w:tc>
        <w:tc>
          <w:tcPr>
            <w:tcW w:w="1439" w:type="dxa"/>
            <w:shd w:val="clear" w:color="auto" w:fill="auto"/>
            <w:vAlign w:val="center"/>
          </w:tcPr>
          <w:p w14:paraId="3E69F70A">
            <w:pPr>
              <w:keepNext w:val="0"/>
              <w:keepLines w:val="0"/>
              <w:widowControl/>
              <w:suppressLineNumbers w:val="0"/>
              <w:jc w:val="center"/>
              <w:textAlignment w:val="center"/>
              <w:rPr>
                <w:rFonts w:hint="eastAsia"/>
                <w:bCs/>
                <w:color w:val="FF0000"/>
                <w:szCs w:val="21"/>
              </w:rPr>
            </w:pPr>
            <w:r>
              <w:rPr>
                <w:rFonts w:hint="eastAsia" w:ascii="Times New Roman" w:hAnsi="Times New Roman" w:eastAsia="宋体" w:cs="Times New Roman"/>
                <w:i w:val="0"/>
                <w:iCs w:val="0"/>
                <w:color w:val="FF0000"/>
                <w:kern w:val="0"/>
                <w:sz w:val="21"/>
                <w:szCs w:val="21"/>
                <w:u w:val="none"/>
                <w:lang w:val="en-US" w:eastAsia="zh-CN" w:bidi="ar"/>
              </w:rPr>
              <w:t>0.2</w:t>
            </w:r>
            <w:r>
              <w:rPr>
                <w:rFonts w:hint="eastAsia"/>
                <w:bCs/>
                <w:color w:val="FF0000"/>
                <w:szCs w:val="21"/>
              </w:rPr>
              <w:t>t/a</w:t>
            </w:r>
          </w:p>
        </w:tc>
        <w:tc>
          <w:tcPr>
            <w:tcW w:w="1466" w:type="dxa"/>
            <w:shd w:val="clear" w:color="auto" w:fill="auto"/>
            <w:vAlign w:val="center"/>
          </w:tcPr>
          <w:p w14:paraId="51C0CA32">
            <w:pPr>
              <w:keepNext w:val="0"/>
              <w:keepLines w:val="0"/>
              <w:widowControl/>
              <w:suppressLineNumbers w:val="0"/>
              <w:jc w:val="center"/>
              <w:textAlignment w:val="center"/>
              <w:rPr>
                <w:rFonts w:hint="eastAsia" w:ascii="Times New Roman" w:hAnsi="Times New Roman" w:eastAsia="宋体" w:cs="Times New Roman"/>
                <w:i w:val="0"/>
                <w:iCs w:val="0"/>
                <w:color w:val="FF0000"/>
                <w:kern w:val="0"/>
                <w:sz w:val="21"/>
                <w:szCs w:val="21"/>
                <w:u w:val="none"/>
                <w:lang w:val="en-US" w:eastAsia="zh-CN" w:bidi="ar"/>
              </w:rPr>
            </w:pPr>
            <w:r>
              <w:rPr>
                <w:rFonts w:hint="eastAsia" w:ascii="Times New Roman" w:hAnsi="Times New Roman" w:eastAsia="宋体" w:cs="Times New Roman"/>
                <w:i w:val="0"/>
                <w:iCs w:val="0"/>
                <w:color w:val="FF0000"/>
                <w:kern w:val="0"/>
                <w:sz w:val="21"/>
                <w:szCs w:val="21"/>
                <w:u w:val="none"/>
                <w:lang w:val="en-US" w:eastAsia="zh-CN" w:bidi="ar"/>
              </w:rPr>
              <w:t>+0.2</w:t>
            </w:r>
            <w:r>
              <w:rPr>
                <w:rFonts w:hint="eastAsia"/>
                <w:bCs/>
                <w:color w:val="FF0000"/>
                <w:szCs w:val="21"/>
              </w:rPr>
              <w:t>t/a</w:t>
            </w:r>
          </w:p>
        </w:tc>
      </w:tr>
    </w:tbl>
    <w:p w14:paraId="72334467">
      <w:pPr>
        <w:pStyle w:val="71"/>
        <w:spacing w:before="192" w:beforeLines="80" w:after="24"/>
        <w:jc w:val="left"/>
        <w:rPr>
          <w:rFonts w:hint="eastAsia" w:hAnsi="宋体"/>
          <w:snapToGrid w:val="0"/>
          <w:color w:val="FF0000"/>
          <w:spacing w:val="-6"/>
          <w:kern w:val="21"/>
          <w:szCs w:val="21"/>
        </w:rPr>
      </w:pPr>
      <w:r>
        <w:rPr>
          <w:rFonts w:hAnsi="宋体"/>
          <w:snapToGrid w:val="0"/>
          <w:color w:val="FF0000"/>
          <w:kern w:val="21"/>
          <w:szCs w:val="21"/>
        </w:rPr>
        <w:t>注：</w:t>
      </w:r>
      <w:r>
        <w:rPr>
          <w:rFonts w:hAnsi="宋体"/>
          <w:snapToGrid w:val="0"/>
          <w:color w:val="FF0000"/>
          <w:spacing w:val="-16"/>
          <w:kern w:val="21"/>
          <w:szCs w:val="21"/>
        </w:rPr>
        <w:fldChar w:fldCharType="begin"/>
      </w:r>
      <w:r>
        <w:rPr>
          <w:rFonts w:hAnsi="宋体"/>
          <w:snapToGrid w:val="0"/>
          <w:color w:val="FF0000"/>
          <w:spacing w:val="-16"/>
          <w:kern w:val="21"/>
          <w:szCs w:val="21"/>
        </w:rPr>
        <w:instrText xml:space="preserve"> = 6 \* GB3 \* MERGEFORMAT </w:instrText>
      </w:r>
      <w:r>
        <w:rPr>
          <w:rFonts w:hAnsi="宋体"/>
          <w:snapToGrid w:val="0"/>
          <w:color w:val="FF0000"/>
          <w:spacing w:val="-16"/>
          <w:kern w:val="21"/>
          <w:szCs w:val="21"/>
        </w:rPr>
        <w:fldChar w:fldCharType="separate"/>
      </w:r>
      <w:r>
        <w:rPr>
          <w:rFonts w:hint="eastAsia" w:hAnsi="宋体"/>
          <w:color w:val="FF0000"/>
          <w:szCs w:val="21"/>
        </w:rPr>
        <w:t>⑥</w:t>
      </w:r>
      <w:r>
        <w:rPr>
          <w:rFonts w:hAnsi="宋体"/>
          <w:snapToGrid w:val="0"/>
          <w:color w:val="FF0000"/>
          <w:spacing w:val="-16"/>
          <w:kern w:val="21"/>
          <w:szCs w:val="21"/>
        </w:rPr>
        <w:fldChar w:fldCharType="end"/>
      </w:r>
      <w:r>
        <w:rPr>
          <w:rFonts w:hAnsi="宋体"/>
          <w:snapToGrid w:val="0"/>
          <w:color w:val="FF0000"/>
          <w:spacing w:val="-16"/>
          <w:kern w:val="21"/>
          <w:szCs w:val="21"/>
        </w:rPr>
        <w:t>=</w:t>
      </w:r>
      <w:r>
        <w:rPr>
          <w:rFonts w:hAnsi="宋体"/>
          <w:snapToGrid w:val="0"/>
          <w:color w:val="FF0000"/>
          <w:spacing w:val="-6"/>
          <w:kern w:val="21"/>
          <w:szCs w:val="21"/>
        </w:rPr>
        <w:fldChar w:fldCharType="begin"/>
      </w:r>
      <w:r>
        <w:rPr>
          <w:rFonts w:hAnsi="宋体"/>
          <w:snapToGrid w:val="0"/>
          <w:color w:val="FF0000"/>
          <w:spacing w:val="-6"/>
          <w:kern w:val="21"/>
          <w:szCs w:val="21"/>
        </w:rPr>
        <w:instrText xml:space="preserve"> = 1 \* GB3 \* MERGEFORMAT </w:instrText>
      </w:r>
      <w:r>
        <w:rPr>
          <w:rFonts w:hAnsi="宋体"/>
          <w:snapToGrid w:val="0"/>
          <w:color w:val="FF0000"/>
          <w:spacing w:val="-6"/>
          <w:kern w:val="21"/>
          <w:szCs w:val="21"/>
        </w:rPr>
        <w:fldChar w:fldCharType="separate"/>
      </w:r>
      <w:r>
        <w:rPr>
          <w:rFonts w:hint="eastAsia" w:hAnsi="宋体"/>
          <w:color w:val="FF0000"/>
          <w:szCs w:val="21"/>
        </w:rPr>
        <w:t>①</w:t>
      </w:r>
      <w:r>
        <w:rPr>
          <w:rFonts w:hAnsi="宋体"/>
          <w:snapToGrid w:val="0"/>
          <w:color w:val="FF0000"/>
          <w:spacing w:val="-6"/>
          <w:kern w:val="21"/>
          <w:szCs w:val="21"/>
        </w:rPr>
        <w:fldChar w:fldCharType="end"/>
      </w:r>
      <w:r>
        <w:rPr>
          <w:rFonts w:hAnsi="宋体"/>
          <w:snapToGrid w:val="0"/>
          <w:color w:val="FF0000"/>
          <w:spacing w:val="-6"/>
          <w:kern w:val="21"/>
          <w:szCs w:val="21"/>
        </w:rPr>
        <w:t>+</w:t>
      </w:r>
      <w:r>
        <w:rPr>
          <w:rFonts w:hAnsi="宋体"/>
          <w:snapToGrid w:val="0"/>
          <w:color w:val="FF0000"/>
          <w:spacing w:val="-6"/>
          <w:kern w:val="21"/>
          <w:szCs w:val="21"/>
        </w:rPr>
        <w:fldChar w:fldCharType="begin"/>
      </w:r>
      <w:r>
        <w:rPr>
          <w:rFonts w:hAnsi="宋体"/>
          <w:snapToGrid w:val="0"/>
          <w:color w:val="FF0000"/>
          <w:spacing w:val="-6"/>
          <w:kern w:val="21"/>
          <w:szCs w:val="21"/>
        </w:rPr>
        <w:instrText xml:space="preserve"> = 3 \* GB3 \* MERGEFORMAT </w:instrText>
      </w:r>
      <w:r>
        <w:rPr>
          <w:rFonts w:hAnsi="宋体"/>
          <w:snapToGrid w:val="0"/>
          <w:color w:val="FF0000"/>
          <w:spacing w:val="-6"/>
          <w:kern w:val="21"/>
          <w:szCs w:val="21"/>
        </w:rPr>
        <w:fldChar w:fldCharType="separate"/>
      </w:r>
      <w:r>
        <w:rPr>
          <w:rFonts w:hint="eastAsia" w:hAnsi="宋体"/>
          <w:color w:val="FF0000"/>
          <w:szCs w:val="21"/>
        </w:rPr>
        <w:t>③</w:t>
      </w:r>
      <w:r>
        <w:rPr>
          <w:rFonts w:hAnsi="宋体"/>
          <w:snapToGrid w:val="0"/>
          <w:color w:val="FF0000"/>
          <w:spacing w:val="-6"/>
          <w:kern w:val="21"/>
          <w:szCs w:val="21"/>
        </w:rPr>
        <w:fldChar w:fldCharType="end"/>
      </w:r>
      <w:r>
        <w:rPr>
          <w:rFonts w:hAnsi="宋体"/>
          <w:snapToGrid w:val="0"/>
          <w:color w:val="FF0000"/>
          <w:spacing w:val="-6"/>
          <w:kern w:val="21"/>
          <w:szCs w:val="21"/>
        </w:rPr>
        <w:t>+</w:t>
      </w:r>
      <w:r>
        <w:rPr>
          <w:rFonts w:hAnsi="宋体"/>
          <w:snapToGrid w:val="0"/>
          <w:color w:val="FF0000"/>
          <w:spacing w:val="-6"/>
          <w:kern w:val="21"/>
          <w:szCs w:val="21"/>
        </w:rPr>
        <w:fldChar w:fldCharType="begin"/>
      </w:r>
      <w:r>
        <w:rPr>
          <w:rFonts w:hAnsi="宋体"/>
          <w:snapToGrid w:val="0"/>
          <w:color w:val="FF0000"/>
          <w:spacing w:val="-6"/>
          <w:kern w:val="21"/>
          <w:szCs w:val="21"/>
        </w:rPr>
        <w:instrText xml:space="preserve"> = 4 \* GB3 \* MERGEFORMAT </w:instrText>
      </w:r>
      <w:r>
        <w:rPr>
          <w:rFonts w:hAnsi="宋体"/>
          <w:snapToGrid w:val="0"/>
          <w:color w:val="FF0000"/>
          <w:spacing w:val="-6"/>
          <w:kern w:val="21"/>
          <w:szCs w:val="21"/>
        </w:rPr>
        <w:fldChar w:fldCharType="separate"/>
      </w:r>
      <w:r>
        <w:rPr>
          <w:rFonts w:hint="eastAsia" w:hAnsi="宋体"/>
          <w:color w:val="FF0000"/>
          <w:szCs w:val="21"/>
        </w:rPr>
        <w:t>④</w:t>
      </w:r>
      <w:r>
        <w:rPr>
          <w:rFonts w:hAnsi="宋体"/>
          <w:snapToGrid w:val="0"/>
          <w:color w:val="FF0000"/>
          <w:spacing w:val="-6"/>
          <w:kern w:val="21"/>
          <w:szCs w:val="21"/>
        </w:rPr>
        <w:fldChar w:fldCharType="end"/>
      </w:r>
      <w:r>
        <w:rPr>
          <w:rFonts w:hAnsi="宋体"/>
          <w:snapToGrid w:val="0"/>
          <w:color w:val="FF0000"/>
          <w:spacing w:val="-6"/>
          <w:kern w:val="21"/>
          <w:szCs w:val="21"/>
        </w:rPr>
        <w:t>-</w:t>
      </w:r>
      <w:r>
        <w:rPr>
          <w:rFonts w:hAnsi="宋体"/>
          <w:snapToGrid w:val="0"/>
          <w:color w:val="FF0000"/>
          <w:spacing w:val="-16"/>
          <w:kern w:val="21"/>
          <w:szCs w:val="21"/>
        </w:rPr>
        <w:fldChar w:fldCharType="begin"/>
      </w:r>
      <w:r>
        <w:rPr>
          <w:rFonts w:hAnsi="宋体"/>
          <w:snapToGrid w:val="0"/>
          <w:color w:val="FF0000"/>
          <w:spacing w:val="-16"/>
          <w:kern w:val="21"/>
          <w:szCs w:val="21"/>
        </w:rPr>
        <w:instrText xml:space="preserve"> = 5 \* GB3 \* MERGEFORMAT </w:instrText>
      </w:r>
      <w:r>
        <w:rPr>
          <w:rFonts w:hAnsi="宋体"/>
          <w:snapToGrid w:val="0"/>
          <w:color w:val="FF0000"/>
          <w:spacing w:val="-16"/>
          <w:kern w:val="21"/>
          <w:szCs w:val="21"/>
        </w:rPr>
        <w:fldChar w:fldCharType="separate"/>
      </w:r>
      <w:r>
        <w:rPr>
          <w:rFonts w:hint="eastAsia" w:hAnsi="宋体"/>
          <w:color w:val="FF0000"/>
          <w:szCs w:val="21"/>
        </w:rPr>
        <w:t>⑤</w:t>
      </w:r>
      <w:r>
        <w:rPr>
          <w:rFonts w:hAnsi="宋体"/>
          <w:snapToGrid w:val="0"/>
          <w:color w:val="FF0000"/>
          <w:spacing w:val="-16"/>
          <w:kern w:val="21"/>
          <w:szCs w:val="21"/>
        </w:rPr>
        <w:fldChar w:fldCharType="end"/>
      </w:r>
      <w:r>
        <w:rPr>
          <w:rFonts w:hAnsi="宋体"/>
          <w:snapToGrid w:val="0"/>
          <w:color w:val="FF0000"/>
          <w:spacing w:val="-16"/>
          <w:kern w:val="21"/>
          <w:szCs w:val="21"/>
        </w:rPr>
        <w:t>；</w:t>
      </w:r>
      <w:r>
        <w:rPr>
          <w:rFonts w:hAnsi="宋体"/>
          <w:snapToGrid w:val="0"/>
          <w:color w:val="FF0000"/>
          <w:spacing w:val="-6"/>
          <w:kern w:val="21"/>
          <w:szCs w:val="21"/>
        </w:rPr>
        <w:fldChar w:fldCharType="begin"/>
      </w:r>
      <w:r>
        <w:rPr>
          <w:rFonts w:hAnsi="宋体"/>
          <w:snapToGrid w:val="0"/>
          <w:color w:val="FF0000"/>
          <w:spacing w:val="-6"/>
          <w:kern w:val="21"/>
          <w:szCs w:val="21"/>
        </w:rPr>
        <w:instrText xml:space="preserve"> = 7 \* GB3 \* MERGEFORMAT </w:instrText>
      </w:r>
      <w:r>
        <w:rPr>
          <w:rFonts w:hAnsi="宋体"/>
          <w:snapToGrid w:val="0"/>
          <w:color w:val="FF0000"/>
          <w:spacing w:val="-6"/>
          <w:kern w:val="21"/>
          <w:szCs w:val="21"/>
        </w:rPr>
        <w:fldChar w:fldCharType="separate"/>
      </w:r>
      <w:r>
        <w:rPr>
          <w:rFonts w:hint="eastAsia" w:hAnsi="宋体"/>
          <w:color w:val="FF0000"/>
          <w:szCs w:val="21"/>
        </w:rPr>
        <w:t>⑦</w:t>
      </w:r>
      <w:r>
        <w:rPr>
          <w:rFonts w:hAnsi="宋体"/>
          <w:snapToGrid w:val="0"/>
          <w:color w:val="FF0000"/>
          <w:spacing w:val="-6"/>
          <w:kern w:val="21"/>
          <w:szCs w:val="21"/>
        </w:rPr>
        <w:fldChar w:fldCharType="end"/>
      </w:r>
      <w:r>
        <w:rPr>
          <w:rFonts w:hAnsi="宋体"/>
          <w:snapToGrid w:val="0"/>
          <w:color w:val="FF0000"/>
          <w:spacing w:val="-6"/>
          <w:kern w:val="21"/>
          <w:szCs w:val="21"/>
        </w:rPr>
        <w:t>=</w:t>
      </w:r>
      <w:r>
        <w:rPr>
          <w:rFonts w:hAnsi="宋体"/>
          <w:snapToGrid w:val="0"/>
          <w:color w:val="FF0000"/>
          <w:spacing w:val="-16"/>
          <w:kern w:val="21"/>
          <w:szCs w:val="21"/>
        </w:rPr>
        <w:fldChar w:fldCharType="begin"/>
      </w:r>
      <w:r>
        <w:rPr>
          <w:rFonts w:hAnsi="宋体"/>
          <w:snapToGrid w:val="0"/>
          <w:color w:val="FF0000"/>
          <w:spacing w:val="-16"/>
          <w:kern w:val="21"/>
          <w:szCs w:val="21"/>
        </w:rPr>
        <w:instrText xml:space="preserve"> = 6 \* GB3 \* MERGEFORMAT </w:instrText>
      </w:r>
      <w:r>
        <w:rPr>
          <w:rFonts w:hAnsi="宋体"/>
          <w:snapToGrid w:val="0"/>
          <w:color w:val="FF0000"/>
          <w:spacing w:val="-16"/>
          <w:kern w:val="21"/>
          <w:szCs w:val="21"/>
        </w:rPr>
        <w:fldChar w:fldCharType="separate"/>
      </w:r>
      <w:r>
        <w:rPr>
          <w:rFonts w:hint="eastAsia" w:hAnsi="宋体"/>
          <w:color w:val="FF0000"/>
          <w:szCs w:val="21"/>
        </w:rPr>
        <w:t>⑥</w:t>
      </w:r>
      <w:r>
        <w:rPr>
          <w:rFonts w:hAnsi="宋体"/>
          <w:snapToGrid w:val="0"/>
          <w:color w:val="FF0000"/>
          <w:spacing w:val="-16"/>
          <w:kern w:val="21"/>
          <w:szCs w:val="21"/>
        </w:rPr>
        <w:fldChar w:fldCharType="end"/>
      </w:r>
      <w:r>
        <w:rPr>
          <w:rFonts w:hAnsi="宋体"/>
          <w:snapToGrid w:val="0"/>
          <w:color w:val="FF0000"/>
          <w:spacing w:val="-16"/>
          <w:kern w:val="21"/>
          <w:szCs w:val="21"/>
        </w:rPr>
        <w:t>-</w:t>
      </w:r>
      <w:r>
        <w:rPr>
          <w:rFonts w:hAnsi="宋体"/>
          <w:snapToGrid w:val="0"/>
          <w:color w:val="FF0000"/>
          <w:spacing w:val="-6"/>
          <w:kern w:val="21"/>
          <w:szCs w:val="21"/>
        </w:rPr>
        <w:fldChar w:fldCharType="begin"/>
      </w:r>
      <w:r>
        <w:rPr>
          <w:rFonts w:hAnsi="宋体"/>
          <w:snapToGrid w:val="0"/>
          <w:color w:val="FF0000"/>
          <w:spacing w:val="-6"/>
          <w:kern w:val="21"/>
          <w:szCs w:val="21"/>
        </w:rPr>
        <w:instrText xml:space="preserve"> = 1 \* GB3 \* MERGEFORMAT </w:instrText>
      </w:r>
      <w:r>
        <w:rPr>
          <w:rFonts w:hAnsi="宋体"/>
          <w:snapToGrid w:val="0"/>
          <w:color w:val="FF0000"/>
          <w:spacing w:val="-6"/>
          <w:kern w:val="21"/>
          <w:szCs w:val="21"/>
        </w:rPr>
        <w:fldChar w:fldCharType="separate"/>
      </w:r>
      <w:r>
        <w:rPr>
          <w:rFonts w:hint="eastAsia" w:hAnsi="宋体"/>
          <w:color w:val="FF0000"/>
          <w:szCs w:val="21"/>
        </w:rPr>
        <w:t>①</w:t>
      </w:r>
      <w:r>
        <w:rPr>
          <w:rFonts w:hAnsi="宋体"/>
          <w:snapToGrid w:val="0"/>
          <w:color w:val="FF0000"/>
          <w:spacing w:val="-6"/>
          <w:kern w:val="21"/>
          <w:szCs w:val="21"/>
        </w:rPr>
        <w:fldChar w:fldCharType="end"/>
      </w:r>
    </w:p>
    <w:p w14:paraId="33D4092C">
      <w:pPr>
        <w:rPr>
          <w:color w:val="FF0000"/>
        </w:rPr>
        <w:sectPr>
          <w:footerReference r:id="rId6" w:type="default"/>
          <w:pgSz w:w="16838" w:h="11906" w:orient="landscape"/>
          <w:pgMar w:top="1701" w:right="1531" w:bottom="1701" w:left="1531" w:header="851" w:footer="851" w:gutter="0"/>
          <w:pgBorders>
            <w:top w:val="none" w:sz="0" w:space="0"/>
            <w:left w:val="none" w:sz="0" w:space="0"/>
            <w:bottom w:val="none" w:sz="0" w:space="0"/>
            <w:right w:val="none" w:sz="0" w:space="0"/>
          </w:pgBorders>
          <w:pgNumType w:fmt="numberInDash"/>
          <w:cols w:space="720" w:num="1"/>
          <w:docGrid w:linePitch="312" w:charSpace="0"/>
        </w:sectPr>
      </w:pPr>
    </w:p>
    <w:p w14:paraId="6870AA3C">
      <w:pPr>
        <w:pStyle w:val="3"/>
        <w:rPr>
          <w:color w:val="auto"/>
        </w:rPr>
      </w:pPr>
      <w:r>
        <w:rPr>
          <w:color w:val="auto"/>
        </w:rPr>
        <w:t>附件</w:t>
      </w:r>
      <w:r>
        <w:rPr>
          <w:rFonts w:hint="eastAsia"/>
          <w:color w:val="auto"/>
        </w:rPr>
        <w:t>1：委托书</w:t>
      </w:r>
    </w:p>
    <w:p w14:paraId="453FA40D"/>
    <w:p w14:paraId="358561E9">
      <w:pPr>
        <w:jc w:val="center"/>
        <w:rPr>
          <w:b/>
          <w:sz w:val="72"/>
          <w:szCs w:val="72"/>
        </w:rPr>
      </w:pPr>
      <w:r>
        <w:rPr>
          <w:b/>
          <w:sz w:val="36"/>
          <w:szCs w:val="36"/>
        </w:rPr>
        <w:t>环境影响评价委托书</w:t>
      </w:r>
    </w:p>
    <w:p w14:paraId="590A03A8">
      <w:pPr>
        <w:ind w:firstLine="560"/>
        <w:rPr>
          <w:sz w:val="28"/>
          <w:szCs w:val="28"/>
        </w:rPr>
      </w:pPr>
    </w:p>
    <w:p w14:paraId="703B1FF7">
      <w:pPr>
        <w:spacing w:line="480" w:lineRule="auto"/>
        <w:rPr>
          <w:b/>
          <w:sz w:val="28"/>
          <w:szCs w:val="28"/>
        </w:rPr>
      </w:pPr>
    </w:p>
    <w:p w14:paraId="27464210">
      <w:pPr>
        <w:spacing w:line="480" w:lineRule="auto"/>
        <w:rPr>
          <w:b/>
          <w:sz w:val="28"/>
          <w:szCs w:val="28"/>
        </w:rPr>
      </w:pPr>
      <w:r>
        <w:rPr>
          <w:b/>
          <w:sz w:val="28"/>
          <w:szCs w:val="28"/>
        </w:rPr>
        <w:t>朝阳</w:t>
      </w:r>
      <w:r>
        <w:rPr>
          <w:rFonts w:hint="eastAsia"/>
          <w:b/>
          <w:sz w:val="28"/>
          <w:szCs w:val="28"/>
        </w:rPr>
        <w:t>众信生态环</w:t>
      </w:r>
      <w:r>
        <w:rPr>
          <w:b/>
          <w:sz w:val="28"/>
          <w:szCs w:val="28"/>
        </w:rPr>
        <w:t>境咨询有限公司：</w:t>
      </w:r>
    </w:p>
    <w:p w14:paraId="4D61390D">
      <w:pPr>
        <w:spacing w:line="480" w:lineRule="auto"/>
        <w:ind w:firstLine="643"/>
        <w:rPr>
          <w:bCs/>
          <w:sz w:val="28"/>
          <w:szCs w:val="28"/>
          <w:u w:val="single"/>
        </w:rPr>
      </w:pPr>
      <w:r>
        <w:rPr>
          <w:bCs/>
          <w:sz w:val="28"/>
          <w:szCs w:val="28"/>
        </w:rPr>
        <w:t>根据国家及辽宁省对建设项目环境管理的有关法律、政策规定，现正式委托你公司承担</w:t>
      </w:r>
      <w:r>
        <w:rPr>
          <w:bCs/>
          <w:sz w:val="28"/>
          <w:szCs w:val="28"/>
          <w:u w:val="single"/>
        </w:rPr>
        <w:t xml:space="preserve"> 北票市邦瑞机械加工及报废机动车拆解项目</w:t>
      </w:r>
      <w:r>
        <w:rPr>
          <w:bCs/>
          <w:sz w:val="28"/>
          <w:szCs w:val="28"/>
        </w:rPr>
        <w:t>的环境影响评价工作。请你公司接受委托后按国家及辽宁省环境影响评价的相关工作程序，正式开展工作。具体事宜双方签订合同确定。</w:t>
      </w:r>
    </w:p>
    <w:p w14:paraId="25D68E60">
      <w:pPr>
        <w:spacing w:line="600" w:lineRule="exact"/>
        <w:ind w:firstLine="643"/>
        <w:rPr>
          <w:bCs/>
          <w:sz w:val="28"/>
          <w:szCs w:val="28"/>
        </w:rPr>
      </w:pPr>
    </w:p>
    <w:p w14:paraId="3320CCDF">
      <w:pPr>
        <w:spacing w:line="600" w:lineRule="exact"/>
        <w:ind w:firstLine="643"/>
        <w:rPr>
          <w:bCs/>
          <w:sz w:val="28"/>
          <w:szCs w:val="28"/>
        </w:rPr>
      </w:pPr>
      <w:r>
        <w:rPr>
          <w:bCs/>
          <w:sz w:val="28"/>
          <w:szCs w:val="28"/>
        </w:rPr>
        <w:t>特此委托。</w:t>
      </w:r>
    </w:p>
    <w:p w14:paraId="0C60523E">
      <w:pPr>
        <w:ind w:firstLine="562"/>
        <w:rPr>
          <w:b/>
          <w:sz w:val="28"/>
          <w:szCs w:val="28"/>
        </w:rPr>
      </w:pPr>
    </w:p>
    <w:p w14:paraId="663FD615">
      <w:pPr>
        <w:spacing w:line="360" w:lineRule="auto"/>
        <w:ind w:firstLine="643"/>
        <w:jc w:val="right"/>
        <w:rPr>
          <w:b/>
          <w:sz w:val="28"/>
          <w:szCs w:val="28"/>
        </w:rPr>
      </w:pPr>
    </w:p>
    <w:p w14:paraId="3A04E15C">
      <w:pPr>
        <w:spacing w:line="360" w:lineRule="auto"/>
        <w:ind w:firstLine="643"/>
        <w:jc w:val="right"/>
        <w:rPr>
          <w:b/>
          <w:sz w:val="28"/>
          <w:szCs w:val="28"/>
        </w:rPr>
      </w:pPr>
    </w:p>
    <w:p w14:paraId="21FCC012">
      <w:pPr>
        <w:spacing w:line="360" w:lineRule="auto"/>
        <w:ind w:firstLine="643"/>
        <w:jc w:val="right"/>
        <w:rPr>
          <w:b/>
          <w:sz w:val="28"/>
          <w:szCs w:val="28"/>
        </w:rPr>
      </w:pPr>
    </w:p>
    <w:p w14:paraId="78613F7D">
      <w:pPr>
        <w:spacing w:line="360" w:lineRule="auto"/>
        <w:ind w:firstLine="643"/>
        <w:jc w:val="right"/>
        <w:rPr>
          <w:b/>
          <w:sz w:val="28"/>
          <w:szCs w:val="28"/>
          <w:u w:val="single"/>
        </w:rPr>
      </w:pPr>
      <w:r>
        <w:rPr>
          <w:b/>
          <w:sz w:val="28"/>
          <w:szCs w:val="28"/>
        </w:rPr>
        <w:t>委托单位(签章)：</w:t>
      </w:r>
      <w:r>
        <w:rPr>
          <w:rFonts w:hint="eastAsia"/>
          <w:b/>
          <w:sz w:val="28"/>
          <w:szCs w:val="28"/>
        </w:rPr>
        <w:t>北票市邦瑞机械加工有限责任公司</w:t>
      </w:r>
    </w:p>
    <w:p w14:paraId="45CD8D27">
      <w:pPr>
        <w:pStyle w:val="11"/>
        <w:spacing w:line="360" w:lineRule="auto"/>
        <w:ind w:firstLine="4216" w:firstLineChars="1500"/>
        <w:jc w:val="right"/>
        <w:rPr>
          <w:b/>
          <w:sz w:val="28"/>
          <w:szCs w:val="28"/>
        </w:rPr>
      </w:pPr>
      <w:r>
        <w:rPr>
          <w:b/>
          <w:sz w:val="28"/>
          <w:szCs w:val="28"/>
        </w:rPr>
        <w:t>202</w:t>
      </w:r>
      <w:r>
        <w:rPr>
          <w:rFonts w:hint="eastAsia"/>
          <w:b/>
          <w:sz w:val="28"/>
          <w:szCs w:val="28"/>
          <w:lang w:val="en-US" w:eastAsia="zh-CN"/>
        </w:rPr>
        <w:t>5</w:t>
      </w:r>
      <w:r>
        <w:rPr>
          <w:b/>
          <w:sz w:val="28"/>
          <w:szCs w:val="28"/>
        </w:rPr>
        <w:t>年</w:t>
      </w:r>
      <w:r>
        <w:rPr>
          <w:rFonts w:hint="eastAsia"/>
          <w:b/>
          <w:sz w:val="28"/>
          <w:szCs w:val="28"/>
        </w:rPr>
        <w:t>5</w:t>
      </w:r>
      <w:r>
        <w:rPr>
          <w:b/>
          <w:sz w:val="28"/>
          <w:szCs w:val="28"/>
        </w:rPr>
        <w:t>月</w:t>
      </w:r>
      <w:r>
        <w:rPr>
          <w:rFonts w:hint="eastAsia"/>
          <w:b/>
          <w:sz w:val="28"/>
          <w:szCs w:val="28"/>
        </w:rPr>
        <w:t>1</w:t>
      </w:r>
      <w:r>
        <w:rPr>
          <w:b/>
          <w:sz w:val="28"/>
          <w:szCs w:val="28"/>
        </w:rPr>
        <w:t>日</w:t>
      </w:r>
    </w:p>
    <w:p w14:paraId="79ACFCFD">
      <w:pPr>
        <w:pStyle w:val="49"/>
        <w:spacing w:line="360" w:lineRule="auto"/>
        <w:rPr>
          <w:rFonts w:ascii="Times New Roman" w:hAnsi="Times New Roman"/>
        </w:rPr>
        <w:sectPr>
          <w:pgSz w:w="11906" w:h="16838"/>
          <w:pgMar w:top="1531" w:right="1701" w:bottom="1531" w:left="1701" w:header="851" w:footer="851" w:gutter="0"/>
          <w:pgBorders>
            <w:top w:val="none" w:sz="0" w:space="0"/>
            <w:left w:val="none" w:sz="0" w:space="0"/>
            <w:bottom w:val="none" w:sz="0" w:space="0"/>
            <w:right w:val="none" w:sz="0" w:space="0"/>
          </w:pgBorders>
          <w:pgNumType w:fmt="numberInDash"/>
          <w:cols w:space="720" w:num="1"/>
          <w:docGrid w:linePitch="312" w:charSpace="0"/>
        </w:sectPr>
      </w:pPr>
    </w:p>
    <w:p w14:paraId="7C725E5B">
      <w:pPr>
        <w:pStyle w:val="3"/>
        <w:rPr>
          <w:color w:val="auto"/>
        </w:rPr>
      </w:pPr>
      <w:r>
        <w:rPr>
          <w:color w:val="auto"/>
        </w:rPr>
        <w:t>附件</w:t>
      </w:r>
      <w:r>
        <w:rPr>
          <w:rFonts w:hint="eastAsia"/>
          <w:color w:val="auto"/>
        </w:rPr>
        <w:t>2：</w:t>
      </w:r>
      <w:r>
        <w:rPr>
          <w:color w:val="auto"/>
        </w:rPr>
        <w:t>营业执照</w:t>
      </w:r>
    </w:p>
    <w:p w14:paraId="4A9AD15A">
      <w:pPr>
        <w:pStyle w:val="2"/>
        <w:sectPr>
          <w:footerReference r:id="rId7" w:type="default"/>
          <w:pgSz w:w="16838" w:h="11906" w:orient="landscape"/>
          <w:pgMar w:top="1531" w:right="1701" w:bottom="1531" w:left="1701" w:header="851" w:footer="851" w:gutter="0"/>
          <w:pgBorders>
            <w:top w:val="none" w:sz="0" w:space="0"/>
            <w:left w:val="none" w:sz="0" w:space="0"/>
            <w:bottom w:val="none" w:sz="0" w:space="0"/>
            <w:right w:val="none" w:sz="0" w:space="0"/>
          </w:pgBorders>
          <w:pgNumType w:fmt="numberInDash"/>
          <w:cols w:space="720" w:num="1"/>
          <w:docGrid w:linePitch="312" w:charSpace="0"/>
        </w:sectPr>
      </w:pPr>
      <w:r>
        <w:drawing>
          <wp:inline distT="0" distB="0" distL="114300" distR="114300">
            <wp:extent cx="8522335" cy="4793615"/>
            <wp:effectExtent l="0" t="0" r="12065" b="6985"/>
            <wp:docPr id="20" name="图片 20" descr="微信图片_202503131054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微信图片_202503131054172"/>
                    <pic:cNvPicPr>
                      <a:picLocks noChangeAspect="1"/>
                    </pic:cNvPicPr>
                  </pic:nvPicPr>
                  <pic:blipFill>
                    <a:blip r:embed="rId50"/>
                    <a:stretch>
                      <a:fillRect/>
                    </a:stretch>
                  </pic:blipFill>
                  <pic:spPr>
                    <a:xfrm rot="10800000">
                      <a:off x="0" y="0"/>
                      <a:ext cx="8522335" cy="4793615"/>
                    </a:xfrm>
                    <a:prstGeom prst="rect">
                      <a:avLst/>
                    </a:prstGeom>
                  </pic:spPr>
                </pic:pic>
              </a:graphicData>
            </a:graphic>
          </wp:inline>
        </w:drawing>
      </w:r>
    </w:p>
    <w:p w14:paraId="305E531F">
      <w:pPr>
        <w:pStyle w:val="3"/>
        <w:rPr>
          <w:color w:val="auto"/>
        </w:rPr>
      </w:pPr>
      <w:r>
        <w:rPr>
          <w:rFonts w:hint="eastAsia"/>
          <w:color w:val="auto"/>
        </w:rPr>
        <w:t>附件3：立项文件</w:t>
      </w:r>
    </w:p>
    <w:p w14:paraId="2DA7958B">
      <w:pPr>
        <w:jc w:val="center"/>
      </w:pPr>
      <w:r>
        <w:rPr>
          <w:rFonts w:hint="eastAsia"/>
        </w:rPr>
        <w:drawing>
          <wp:anchor distT="0" distB="0" distL="114300" distR="114300" simplePos="0" relativeHeight="251665408" behindDoc="0" locked="0" layoutInCell="1" allowOverlap="1">
            <wp:simplePos x="0" y="0"/>
            <wp:positionH relativeFrom="column">
              <wp:posOffset>92710</wp:posOffset>
            </wp:positionH>
            <wp:positionV relativeFrom="paragraph">
              <wp:posOffset>49530</wp:posOffset>
            </wp:positionV>
            <wp:extent cx="5200015" cy="7179945"/>
            <wp:effectExtent l="0" t="0" r="635" b="1905"/>
            <wp:wrapSquare wrapText="bothSides"/>
            <wp:docPr id="21" name="图片 21" descr="WPS扫描件_微信图片_202503131054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WPS扫描件_微信图片_202503131054171"/>
                    <pic:cNvPicPr>
                      <a:picLocks noChangeAspect="1"/>
                    </pic:cNvPicPr>
                  </pic:nvPicPr>
                  <pic:blipFill>
                    <a:blip r:embed="rId51"/>
                    <a:stretch>
                      <a:fillRect/>
                    </a:stretch>
                  </pic:blipFill>
                  <pic:spPr>
                    <a:xfrm>
                      <a:off x="0" y="0"/>
                      <a:ext cx="5200015" cy="7179945"/>
                    </a:xfrm>
                    <a:prstGeom prst="rect">
                      <a:avLst/>
                    </a:prstGeom>
                  </pic:spPr>
                </pic:pic>
              </a:graphicData>
            </a:graphic>
          </wp:anchor>
        </w:drawing>
      </w:r>
    </w:p>
    <w:p w14:paraId="1120C1B4">
      <w:bookmarkStart w:id="27" w:name="_Toc15878"/>
      <w:r>
        <w:rPr>
          <w:rFonts w:hint="eastAsia"/>
        </w:rPr>
        <w:br w:type="page"/>
      </w:r>
    </w:p>
    <w:p w14:paraId="30B3BF74">
      <w:pPr>
        <w:pStyle w:val="3"/>
        <w:rPr>
          <w:color w:val="auto"/>
        </w:rPr>
      </w:pPr>
      <w:r>
        <w:rPr>
          <w:rFonts w:hint="eastAsia"/>
          <w:color w:val="auto"/>
        </w:rPr>
        <w:t>附件4：土地</w:t>
      </w:r>
      <w:bookmarkEnd w:id="27"/>
      <w:r>
        <w:rPr>
          <w:rFonts w:hint="eastAsia"/>
          <w:color w:val="auto"/>
        </w:rPr>
        <w:t>证明</w:t>
      </w:r>
    </w:p>
    <w:p w14:paraId="7AC48D4B">
      <w:pPr>
        <w:sectPr>
          <w:pgSz w:w="11906" w:h="16838"/>
          <w:pgMar w:top="1701" w:right="1531" w:bottom="1701" w:left="1531" w:header="851" w:footer="851" w:gutter="0"/>
          <w:pgBorders>
            <w:top w:val="none" w:sz="0" w:space="0"/>
            <w:left w:val="none" w:sz="0" w:space="0"/>
            <w:bottom w:val="none" w:sz="0" w:space="0"/>
            <w:right w:val="none" w:sz="0" w:space="0"/>
          </w:pgBorders>
          <w:pgNumType w:fmt="numberInDash"/>
          <w:cols w:space="720" w:num="1"/>
          <w:docGrid w:linePitch="312" w:charSpace="0"/>
        </w:sectPr>
      </w:pPr>
      <w:r>
        <w:rPr>
          <w:rFonts w:hint="eastAsia"/>
        </w:rPr>
        <w:drawing>
          <wp:inline distT="0" distB="0" distL="114300" distR="114300">
            <wp:extent cx="4798695" cy="7224395"/>
            <wp:effectExtent l="0" t="0" r="1905" b="14605"/>
            <wp:docPr id="22" name="图片 22" descr="微信图片_202503131054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微信图片_202503131054173"/>
                    <pic:cNvPicPr>
                      <a:picLocks noChangeAspect="1"/>
                    </pic:cNvPicPr>
                  </pic:nvPicPr>
                  <pic:blipFill>
                    <a:blip r:embed="rId52"/>
                    <a:stretch>
                      <a:fillRect/>
                    </a:stretch>
                  </pic:blipFill>
                  <pic:spPr>
                    <a:xfrm>
                      <a:off x="0" y="0"/>
                      <a:ext cx="4798695" cy="7224395"/>
                    </a:xfrm>
                    <a:prstGeom prst="rect">
                      <a:avLst/>
                    </a:prstGeom>
                  </pic:spPr>
                </pic:pic>
              </a:graphicData>
            </a:graphic>
          </wp:inline>
        </w:drawing>
      </w:r>
      <w:r>
        <w:rPr>
          <w:rFonts w:hint="eastAsia"/>
        </w:rPr>
        <w:drawing>
          <wp:inline distT="0" distB="0" distL="114300" distR="114300">
            <wp:extent cx="4793615" cy="8522335"/>
            <wp:effectExtent l="0" t="0" r="6985" b="12065"/>
            <wp:docPr id="23" name="图片 23" descr="微信图片_20250313105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微信图片_20250313105416"/>
                    <pic:cNvPicPr>
                      <a:picLocks noChangeAspect="1"/>
                    </pic:cNvPicPr>
                  </pic:nvPicPr>
                  <pic:blipFill>
                    <a:blip r:embed="rId53"/>
                    <a:stretch>
                      <a:fillRect/>
                    </a:stretch>
                  </pic:blipFill>
                  <pic:spPr>
                    <a:xfrm>
                      <a:off x="0" y="0"/>
                      <a:ext cx="4793615" cy="8522335"/>
                    </a:xfrm>
                    <a:prstGeom prst="rect">
                      <a:avLst/>
                    </a:prstGeom>
                  </pic:spPr>
                </pic:pic>
              </a:graphicData>
            </a:graphic>
          </wp:inline>
        </w:drawing>
      </w:r>
      <w:r>
        <w:rPr>
          <w:rFonts w:hint="eastAsia"/>
        </w:rPr>
        <w:drawing>
          <wp:inline distT="0" distB="0" distL="114300" distR="114300">
            <wp:extent cx="4793615" cy="8522335"/>
            <wp:effectExtent l="0" t="0" r="6985" b="12065"/>
            <wp:docPr id="24" name="图片 24" descr="微信图片_202503131054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微信图片_202503131054163"/>
                    <pic:cNvPicPr>
                      <a:picLocks noChangeAspect="1"/>
                    </pic:cNvPicPr>
                  </pic:nvPicPr>
                  <pic:blipFill>
                    <a:blip r:embed="rId54"/>
                    <a:stretch>
                      <a:fillRect/>
                    </a:stretch>
                  </pic:blipFill>
                  <pic:spPr>
                    <a:xfrm>
                      <a:off x="0" y="0"/>
                      <a:ext cx="4793615" cy="8522335"/>
                    </a:xfrm>
                    <a:prstGeom prst="rect">
                      <a:avLst/>
                    </a:prstGeom>
                  </pic:spPr>
                </pic:pic>
              </a:graphicData>
            </a:graphic>
          </wp:inline>
        </w:drawing>
      </w:r>
    </w:p>
    <w:p w14:paraId="616D7360">
      <w:pPr>
        <w:pStyle w:val="3"/>
        <w:rPr>
          <w:color w:val="auto"/>
        </w:rPr>
      </w:pPr>
      <w:bookmarkStart w:id="28" w:name="_Toc2501"/>
      <w:r>
        <w:rPr>
          <w:rFonts w:hint="eastAsia"/>
          <w:color w:val="auto"/>
        </w:rPr>
        <w:drawing>
          <wp:anchor distT="0" distB="0" distL="114300" distR="114300" simplePos="0" relativeHeight="251666432" behindDoc="0" locked="0" layoutInCell="1" allowOverlap="1">
            <wp:simplePos x="0" y="0"/>
            <wp:positionH relativeFrom="column">
              <wp:posOffset>127000</wp:posOffset>
            </wp:positionH>
            <wp:positionV relativeFrom="paragraph">
              <wp:posOffset>454660</wp:posOffset>
            </wp:positionV>
            <wp:extent cx="5152390" cy="8159750"/>
            <wp:effectExtent l="0" t="0" r="10160" b="12700"/>
            <wp:wrapTopAndBottom/>
            <wp:docPr id="25" name="图片 25" descr="WPS扫描件_3653b5e1f01e0232aceac6bbcae4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WPS扫描件_3653b5e1f01e0232aceac6bbcae4494"/>
                    <pic:cNvPicPr>
                      <a:picLocks noChangeAspect="1"/>
                    </pic:cNvPicPr>
                  </pic:nvPicPr>
                  <pic:blipFill>
                    <a:blip r:embed="rId55"/>
                    <a:stretch>
                      <a:fillRect/>
                    </a:stretch>
                  </pic:blipFill>
                  <pic:spPr>
                    <a:xfrm>
                      <a:off x="0" y="0"/>
                      <a:ext cx="5152390" cy="8159750"/>
                    </a:xfrm>
                    <a:prstGeom prst="rect">
                      <a:avLst/>
                    </a:prstGeom>
                  </pic:spPr>
                </pic:pic>
              </a:graphicData>
            </a:graphic>
          </wp:anchor>
        </w:drawing>
      </w:r>
      <w:r>
        <w:rPr>
          <w:rFonts w:hint="eastAsia"/>
          <w:color w:val="auto"/>
        </w:rPr>
        <w:t>附件5：场地租赁协议</w:t>
      </w:r>
      <w:bookmarkEnd w:id="28"/>
    </w:p>
    <w:p w14:paraId="3EF010E7">
      <w:pPr>
        <w:jc w:val="center"/>
      </w:pPr>
    </w:p>
    <w:p w14:paraId="1AC53E65">
      <w:pPr>
        <w:pStyle w:val="3"/>
        <w:rPr>
          <w:color w:val="auto"/>
        </w:rPr>
        <w:sectPr>
          <w:pgSz w:w="11906" w:h="16838"/>
          <w:pgMar w:top="1701" w:right="1531" w:bottom="1701" w:left="1531" w:header="851" w:footer="851" w:gutter="0"/>
          <w:pgBorders>
            <w:top w:val="none" w:sz="0" w:space="0"/>
            <w:left w:val="none" w:sz="0" w:space="0"/>
            <w:bottom w:val="none" w:sz="0" w:space="0"/>
            <w:right w:val="none" w:sz="0" w:space="0"/>
          </w:pgBorders>
          <w:pgNumType w:fmt="numberInDash"/>
          <w:cols w:space="720" w:num="1"/>
          <w:docGrid w:linePitch="312" w:charSpace="0"/>
        </w:sectPr>
      </w:pPr>
      <w:bookmarkStart w:id="29" w:name="_Toc22019"/>
      <w:r>
        <w:rPr>
          <w:rFonts w:hint="eastAsia"/>
          <w:color w:val="auto"/>
        </w:rPr>
        <w:t>附件6：总量确认书</w:t>
      </w:r>
    </w:p>
    <w:p w14:paraId="1BF75F51">
      <w:pPr>
        <w:pStyle w:val="3"/>
        <w:jc w:val="left"/>
        <w:rPr>
          <w:rFonts w:hint="eastAsia" w:eastAsia="黑体"/>
          <w:color w:val="auto"/>
          <w:lang w:eastAsia="zh-CN"/>
        </w:rPr>
        <w:sectPr>
          <w:pgSz w:w="11906" w:h="16838"/>
          <w:pgMar w:top="1701" w:right="1531" w:bottom="1701" w:left="1531" w:header="851" w:footer="851" w:gutter="0"/>
          <w:pgBorders>
            <w:top w:val="none" w:sz="0" w:space="0"/>
            <w:left w:val="none" w:sz="0" w:space="0"/>
            <w:bottom w:val="none" w:sz="0" w:space="0"/>
            <w:right w:val="none" w:sz="0" w:space="0"/>
          </w:pgBorders>
          <w:pgNumType w:fmt="numberInDash"/>
          <w:cols w:space="720" w:num="1"/>
          <w:docGrid w:linePitch="312" w:charSpace="0"/>
        </w:sectPr>
      </w:pPr>
      <w:r>
        <w:rPr>
          <w:rFonts w:hint="eastAsia"/>
          <w:color w:val="auto"/>
        </w:rPr>
        <w:t>附件7：</w:t>
      </w:r>
      <w:r>
        <w:rPr>
          <w:rFonts w:hint="eastAsia"/>
          <w:color w:val="auto"/>
        </w:rPr>
        <w:drawing>
          <wp:inline distT="0" distB="0" distL="114300" distR="114300">
            <wp:extent cx="5615305" cy="7942580"/>
            <wp:effectExtent l="0" t="0" r="4445" b="1270"/>
            <wp:docPr id="131" name="图片 131" descr="北票市邦瑞机械加工及报废机动车拆解项目地下水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图片 131" descr="北票市邦瑞机械加工及报废机动车拆解项目地下水_00"/>
                    <pic:cNvPicPr>
                      <a:picLocks noChangeAspect="1"/>
                    </pic:cNvPicPr>
                  </pic:nvPicPr>
                  <pic:blipFill>
                    <a:blip r:embed="rId56"/>
                    <a:stretch>
                      <a:fillRect/>
                    </a:stretch>
                  </pic:blipFill>
                  <pic:spPr>
                    <a:xfrm>
                      <a:off x="0" y="0"/>
                      <a:ext cx="5615305" cy="7942580"/>
                    </a:xfrm>
                    <a:prstGeom prst="rect">
                      <a:avLst/>
                    </a:prstGeom>
                  </pic:spPr>
                </pic:pic>
              </a:graphicData>
            </a:graphic>
          </wp:inline>
        </w:drawing>
      </w:r>
      <w:r>
        <w:rPr>
          <w:rFonts w:hint="eastAsia"/>
          <w:color w:val="auto"/>
        </w:rPr>
        <w:drawing>
          <wp:inline distT="0" distB="0" distL="114300" distR="114300">
            <wp:extent cx="5615305" cy="7942580"/>
            <wp:effectExtent l="0" t="0" r="4445" b="1270"/>
            <wp:docPr id="130" name="图片 130" descr="北票市邦瑞机械加工及报废机动车拆解项目地下水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图片 130" descr="北票市邦瑞机械加工及报废机动车拆解项目地下水_01"/>
                    <pic:cNvPicPr>
                      <a:picLocks noChangeAspect="1"/>
                    </pic:cNvPicPr>
                  </pic:nvPicPr>
                  <pic:blipFill>
                    <a:blip r:embed="rId57"/>
                    <a:stretch>
                      <a:fillRect/>
                    </a:stretch>
                  </pic:blipFill>
                  <pic:spPr>
                    <a:xfrm>
                      <a:off x="0" y="0"/>
                      <a:ext cx="5615305" cy="7942580"/>
                    </a:xfrm>
                    <a:prstGeom prst="rect">
                      <a:avLst/>
                    </a:prstGeom>
                  </pic:spPr>
                </pic:pic>
              </a:graphicData>
            </a:graphic>
          </wp:inline>
        </w:drawing>
      </w:r>
      <w:r>
        <w:rPr>
          <w:rFonts w:hint="eastAsia"/>
          <w:color w:val="auto"/>
        </w:rPr>
        <w:drawing>
          <wp:inline distT="0" distB="0" distL="114300" distR="114300">
            <wp:extent cx="5615305" cy="7942580"/>
            <wp:effectExtent l="0" t="0" r="4445" b="1270"/>
            <wp:docPr id="129" name="图片 129" descr="北票市邦瑞机械加工及报废机动车拆解项目地下水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图片 129" descr="北票市邦瑞机械加工及报废机动车拆解项目地下水_02"/>
                    <pic:cNvPicPr>
                      <a:picLocks noChangeAspect="1"/>
                    </pic:cNvPicPr>
                  </pic:nvPicPr>
                  <pic:blipFill>
                    <a:blip r:embed="rId58"/>
                    <a:stretch>
                      <a:fillRect/>
                    </a:stretch>
                  </pic:blipFill>
                  <pic:spPr>
                    <a:xfrm>
                      <a:off x="0" y="0"/>
                      <a:ext cx="5615305" cy="7942580"/>
                    </a:xfrm>
                    <a:prstGeom prst="rect">
                      <a:avLst/>
                    </a:prstGeom>
                  </pic:spPr>
                </pic:pic>
              </a:graphicData>
            </a:graphic>
          </wp:inline>
        </w:drawing>
      </w:r>
      <w:r>
        <w:rPr>
          <w:rFonts w:hint="eastAsia"/>
          <w:color w:val="auto"/>
        </w:rPr>
        <w:drawing>
          <wp:inline distT="0" distB="0" distL="114300" distR="114300">
            <wp:extent cx="5615305" cy="7942580"/>
            <wp:effectExtent l="0" t="0" r="4445" b="1270"/>
            <wp:docPr id="128" name="图片 128" descr="北票市邦瑞机械加工及报废机动车拆解项目地下水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图片 128" descr="北票市邦瑞机械加工及报废机动车拆解项目地下水_03"/>
                    <pic:cNvPicPr>
                      <a:picLocks noChangeAspect="1"/>
                    </pic:cNvPicPr>
                  </pic:nvPicPr>
                  <pic:blipFill>
                    <a:blip r:embed="rId59"/>
                    <a:stretch>
                      <a:fillRect/>
                    </a:stretch>
                  </pic:blipFill>
                  <pic:spPr>
                    <a:xfrm>
                      <a:off x="0" y="0"/>
                      <a:ext cx="5615305" cy="7942580"/>
                    </a:xfrm>
                    <a:prstGeom prst="rect">
                      <a:avLst/>
                    </a:prstGeom>
                  </pic:spPr>
                </pic:pic>
              </a:graphicData>
            </a:graphic>
          </wp:inline>
        </w:drawing>
      </w:r>
      <w:r>
        <w:rPr>
          <w:rFonts w:hint="eastAsia"/>
          <w:color w:val="auto"/>
        </w:rPr>
        <w:drawing>
          <wp:inline distT="0" distB="0" distL="114300" distR="114300">
            <wp:extent cx="5615305" cy="7942580"/>
            <wp:effectExtent l="0" t="0" r="4445" b="1270"/>
            <wp:docPr id="127" name="图片 127" descr="北票市邦瑞机械加工及报废机动车拆解项目地下水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图片 127" descr="北票市邦瑞机械加工及报废机动车拆解项目地下水_04"/>
                    <pic:cNvPicPr>
                      <a:picLocks noChangeAspect="1"/>
                    </pic:cNvPicPr>
                  </pic:nvPicPr>
                  <pic:blipFill>
                    <a:blip r:embed="rId60"/>
                    <a:stretch>
                      <a:fillRect/>
                    </a:stretch>
                  </pic:blipFill>
                  <pic:spPr>
                    <a:xfrm>
                      <a:off x="0" y="0"/>
                      <a:ext cx="5615305" cy="7942580"/>
                    </a:xfrm>
                    <a:prstGeom prst="rect">
                      <a:avLst/>
                    </a:prstGeom>
                  </pic:spPr>
                </pic:pic>
              </a:graphicData>
            </a:graphic>
          </wp:inline>
        </w:drawing>
      </w:r>
      <w:r>
        <w:rPr>
          <w:rFonts w:hint="eastAsia"/>
          <w:color w:val="auto"/>
        </w:rPr>
        <w:drawing>
          <wp:inline distT="0" distB="0" distL="114300" distR="114300">
            <wp:extent cx="5615305" cy="7942580"/>
            <wp:effectExtent l="0" t="0" r="4445" b="1270"/>
            <wp:docPr id="126" name="图片 126" descr="北票市邦瑞机械加工及报废机动车拆解项目地下水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图片 126" descr="北票市邦瑞机械加工及报废机动车拆解项目地下水_05"/>
                    <pic:cNvPicPr>
                      <a:picLocks noChangeAspect="1"/>
                    </pic:cNvPicPr>
                  </pic:nvPicPr>
                  <pic:blipFill>
                    <a:blip r:embed="rId61"/>
                    <a:stretch>
                      <a:fillRect/>
                    </a:stretch>
                  </pic:blipFill>
                  <pic:spPr>
                    <a:xfrm>
                      <a:off x="0" y="0"/>
                      <a:ext cx="5615305" cy="7942580"/>
                    </a:xfrm>
                    <a:prstGeom prst="rect">
                      <a:avLst/>
                    </a:prstGeom>
                  </pic:spPr>
                </pic:pic>
              </a:graphicData>
            </a:graphic>
          </wp:inline>
        </w:drawing>
      </w:r>
      <w:r>
        <w:rPr>
          <w:rFonts w:hint="eastAsia"/>
          <w:color w:val="auto"/>
        </w:rPr>
        <w:drawing>
          <wp:inline distT="0" distB="0" distL="114300" distR="114300">
            <wp:extent cx="5615305" cy="7942580"/>
            <wp:effectExtent l="0" t="0" r="4445" b="1270"/>
            <wp:docPr id="125" name="图片 125" descr="北票市邦瑞机械加工及报废机动车拆解项目地下水_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图片 125" descr="北票市邦瑞机械加工及报废机动车拆解项目地下水_06"/>
                    <pic:cNvPicPr>
                      <a:picLocks noChangeAspect="1"/>
                    </pic:cNvPicPr>
                  </pic:nvPicPr>
                  <pic:blipFill>
                    <a:blip r:embed="rId62"/>
                    <a:stretch>
                      <a:fillRect/>
                    </a:stretch>
                  </pic:blipFill>
                  <pic:spPr>
                    <a:xfrm>
                      <a:off x="0" y="0"/>
                      <a:ext cx="5615305" cy="7942580"/>
                    </a:xfrm>
                    <a:prstGeom prst="rect">
                      <a:avLst/>
                    </a:prstGeom>
                  </pic:spPr>
                </pic:pic>
              </a:graphicData>
            </a:graphic>
          </wp:inline>
        </w:drawing>
      </w:r>
      <w:r>
        <w:rPr>
          <w:rFonts w:hint="eastAsia"/>
          <w:color w:val="auto"/>
        </w:rPr>
        <w:drawing>
          <wp:inline distT="0" distB="0" distL="114300" distR="114300">
            <wp:extent cx="5615305" cy="7942580"/>
            <wp:effectExtent l="0" t="0" r="4445" b="1270"/>
            <wp:docPr id="123" name="图片 123" descr="北票市邦瑞机械加工及报废机动车拆解项目环境空气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图片 123" descr="北票市邦瑞机械加工及报废机动车拆解项目环境空气_00"/>
                    <pic:cNvPicPr>
                      <a:picLocks noChangeAspect="1"/>
                    </pic:cNvPicPr>
                  </pic:nvPicPr>
                  <pic:blipFill>
                    <a:blip r:embed="rId63"/>
                    <a:stretch>
                      <a:fillRect/>
                    </a:stretch>
                  </pic:blipFill>
                  <pic:spPr>
                    <a:xfrm>
                      <a:off x="0" y="0"/>
                      <a:ext cx="5615305" cy="7942580"/>
                    </a:xfrm>
                    <a:prstGeom prst="rect">
                      <a:avLst/>
                    </a:prstGeom>
                  </pic:spPr>
                </pic:pic>
              </a:graphicData>
            </a:graphic>
          </wp:inline>
        </w:drawing>
      </w:r>
      <w:r>
        <w:rPr>
          <w:rFonts w:hint="eastAsia"/>
          <w:color w:val="auto"/>
        </w:rPr>
        <w:drawing>
          <wp:inline distT="0" distB="0" distL="114300" distR="114300">
            <wp:extent cx="5615305" cy="7942580"/>
            <wp:effectExtent l="0" t="0" r="4445" b="1270"/>
            <wp:docPr id="122" name="图片 122" descr="北票市邦瑞机械加工及报废机动车拆解项目环境空气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122" descr="北票市邦瑞机械加工及报废机动车拆解项目环境空气_01"/>
                    <pic:cNvPicPr>
                      <a:picLocks noChangeAspect="1"/>
                    </pic:cNvPicPr>
                  </pic:nvPicPr>
                  <pic:blipFill>
                    <a:blip r:embed="rId64"/>
                    <a:stretch>
                      <a:fillRect/>
                    </a:stretch>
                  </pic:blipFill>
                  <pic:spPr>
                    <a:xfrm>
                      <a:off x="0" y="0"/>
                      <a:ext cx="5615305" cy="7942580"/>
                    </a:xfrm>
                    <a:prstGeom prst="rect">
                      <a:avLst/>
                    </a:prstGeom>
                  </pic:spPr>
                </pic:pic>
              </a:graphicData>
            </a:graphic>
          </wp:inline>
        </w:drawing>
      </w:r>
      <w:r>
        <w:rPr>
          <w:rFonts w:hint="eastAsia"/>
          <w:color w:val="auto"/>
        </w:rPr>
        <w:drawing>
          <wp:inline distT="0" distB="0" distL="114300" distR="114300">
            <wp:extent cx="5615305" cy="7942580"/>
            <wp:effectExtent l="0" t="0" r="4445" b="1270"/>
            <wp:docPr id="121" name="图片 121" descr="北票市邦瑞机械加工及报废机动车拆解项目环境空气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图片 121" descr="北票市邦瑞机械加工及报废机动车拆解项目环境空气_02"/>
                    <pic:cNvPicPr>
                      <a:picLocks noChangeAspect="1"/>
                    </pic:cNvPicPr>
                  </pic:nvPicPr>
                  <pic:blipFill>
                    <a:blip r:embed="rId65"/>
                    <a:stretch>
                      <a:fillRect/>
                    </a:stretch>
                  </pic:blipFill>
                  <pic:spPr>
                    <a:xfrm>
                      <a:off x="0" y="0"/>
                      <a:ext cx="5615305" cy="7942580"/>
                    </a:xfrm>
                    <a:prstGeom prst="rect">
                      <a:avLst/>
                    </a:prstGeom>
                  </pic:spPr>
                </pic:pic>
              </a:graphicData>
            </a:graphic>
          </wp:inline>
        </w:drawing>
      </w:r>
      <w:r>
        <w:rPr>
          <w:rFonts w:hint="eastAsia"/>
          <w:color w:val="auto"/>
        </w:rPr>
        <w:drawing>
          <wp:inline distT="0" distB="0" distL="114300" distR="114300">
            <wp:extent cx="5615305" cy="7942580"/>
            <wp:effectExtent l="0" t="0" r="4445" b="1270"/>
            <wp:docPr id="120" name="图片 120" descr="北票市邦瑞机械加工及报废机动车拆解项目环境空气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图片 120" descr="北票市邦瑞机械加工及报废机动车拆解项目环境空气_03"/>
                    <pic:cNvPicPr>
                      <a:picLocks noChangeAspect="1"/>
                    </pic:cNvPicPr>
                  </pic:nvPicPr>
                  <pic:blipFill>
                    <a:blip r:embed="rId66"/>
                    <a:stretch>
                      <a:fillRect/>
                    </a:stretch>
                  </pic:blipFill>
                  <pic:spPr>
                    <a:xfrm>
                      <a:off x="0" y="0"/>
                      <a:ext cx="5615305" cy="7942580"/>
                    </a:xfrm>
                    <a:prstGeom prst="rect">
                      <a:avLst/>
                    </a:prstGeom>
                  </pic:spPr>
                </pic:pic>
              </a:graphicData>
            </a:graphic>
          </wp:inline>
        </w:drawing>
      </w:r>
      <w:r>
        <w:rPr>
          <w:rFonts w:hint="eastAsia"/>
          <w:color w:val="auto"/>
        </w:rPr>
        <w:drawing>
          <wp:inline distT="0" distB="0" distL="114300" distR="114300">
            <wp:extent cx="5615305" cy="7942580"/>
            <wp:effectExtent l="0" t="0" r="4445" b="1270"/>
            <wp:docPr id="119" name="图片 119" descr="北票市邦瑞机械加工及报废机动车拆解项目环境空气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图片 119" descr="北票市邦瑞机械加工及报废机动车拆解项目环境空气_04"/>
                    <pic:cNvPicPr>
                      <a:picLocks noChangeAspect="1"/>
                    </pic:cNvPicPr>
                  </pic:nvPicPr>
                  <pic:blipFill>
                    <a:blip r:embed="rId67"/>
                    <a:stretch>
                      <a:fillRect/>
                    </a:stretch>
                  </pic:blipFill>
                  <pic:spPr>
                    <a:xfrm>
                      <a:off x="0" y="0"/>
                      <a:ext cx="5615305" cy="7942580"/>
                    </a:xfrm>
                    <a:prstGeom prst="rect">
                      <a:avLst/>
                    </a:prstGeom>
                  </pic:spPr>
                </pic:pic>
              </a:graphicData>
            </a:graphic>
          </wp:inline>
        </w:drawing>
      </w:r>
      <w:r>
        <w:rPr>
          <w:rFonts w:hint="eastAsia"/>
          <w:color w:val="auto"/>
        </w:rPr>
        <w:drawing>
          <wp:inline distT="0" distB="0" distL="114300" distR="114300">
            <wp:extent cx="5615305" cy="7942580"/>
            <wp:effectExtent l="0" t="0" r="4445" b="1270"/>
            <wp:docPr id="118" name="图片 118" descr="北票市邦瑞机械加工及报废机动车拆解项目环境空气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118" descr="北票市邦瑞机械加工及报废机动车拆解项目环境空气_05"/>
                    <pic:cNvPicPr>
                      <a:picLocks noChangeAspect="1"/>
                    </pic:cNvPicPr>
                  </pic:nvPicPr>
                  <pic:blipFill>
                    <a:blip r:embed="rId68"/>
                    <a:stretch>
                      <a:fillRect/>
                    </a:stretch>
                  </pic:blipFill>
                  <pic:spPr>
                    <a:xfrm>
                      <a:off x="0" y="0"/>
                      <a:ext cx="5615305" cy="7942580"/>
                    </a:xfrm>
                    <a:prstGeom prst="rect">
                      <a:avLst/>
                    </a:prstGeom>
                  </pic:spPr>
                </pic:pic>
              </a:graphicData>
            </a:graphic>
          </wp:inline>
        </w:drawing>
      </w:r>
      <w:r>
        <w:rPr>
          <w:rFonts w:hint="eastAsia"/>
          <w:color w:val="auto"/>
        </w:rPr>
        <w:drawing>
          <wp:inline distT="0" distB="0" distL="114300" distR="114300">
            <wp:extent cx="5615305" cy="7942580"/>
            <wp:effectExtent l="0" t="0" r="4445" b="1270"/>
            <wp:docPr id="117" name="图片 117" descr="北票市邦瑞机械加工及报废机动车拆解项目土壤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117" descr="北票市邦瑞机械加工及报废机动车拆解项目土壤_00"/>
                    <pic:cNvPicPr>
                      <a:picLocks noChangeAspect="1"/>
                    </pic:cNvPicPr>
                  </pic:nvPicPr>
                  <pic:blipFill>
                    <a:blip r:embed="rId69"/>
                    <a:stretch>
                      <a:fillRect/>
                    </a:stretch>
                  </pic:blipFill>
                  <pic:spPr>
                    <a:xfrm>
                      <a:off x="0" y="0"/>
                      <a:ext cx="5615305" cy="7942580"/>
                    </a:xfrm>
                    <a:prstGeom prst="rect">
                      <a:avLst/>
                    </a:prstGeom>
                  </pic:spPr>
                </pic:pic>
              </a:graphicData>
            </a:graphic>
          </wp:inline>
        </w:drawing>
      </w:r>
      <w:r>
        <w:rPr>
          <w:rFonts w:hint="eastAsia"/>
          <w:color w:val="auto"/>
        </w:rPr>
        <w:drawing>
          <wp:inline distT="0" distB="0" distL="114300" distR="114300">
            <wp:extent cx="5615305" cy="7942580"/>
            <wp:effectExtent l="0" t="0" r="4445" b="1270"/>
            <wp:docPr id="116" name="图片 116" descr="北票市邦瑞机械加工及报废机动车拆解项目土壤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116" descr="北票市邦瑞机械加工及报废机动车拆解项目土壤_01"/>
                    <pic:cNvPicPr>
                      <a:picLocks noChangeAspect="1"/>
                    </pic:cNvPicPr>
                  </pic:nvPicPr>
                  <pic:blipFill>
                    <a:blip r:embed="rId70"/>
                    <a:stretch>
                      <a:fillRect/>
                    </a:stretch>
                  </pic:blipFill>
                  <pic:spPr>
                    <a:xfrm>
                      <a:off x="0" y="0"/>
                      <a:ext cx="5615305" cy="7942580"/>
                    </a:xfrm>
                    <a:prstGeom prst="rect">
                      <a:avLst/>
                    </a:prstGeom>
                  </pic:spPr>
                </pic:pic>
              </a:graphicData>
            </a:graphic>
          </wp:inline>
        </w:drawing>
      </w:r>
      <w:r>
        <w:rPr>
          <w:rFonts w:hint="eastAsia"/>
          <w:color w:val="auto"/>
        </w:rPr>
        <w:drawing>
          <wp:inline distT="0" distB="0" distL="114300" distR="114300">
            <wp:extent cx="5615305" cy="7942580"/>
            <wp:effectExtent l="0" t="0" r="4445" b="1270"/>
            <wp:docPr id="115" name="图片 115" descr="北票市邦瑞机械加工及报废机动车拆解项目土壤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115" descr="北票市邦瑞机械加工及报废机动车拆解项目土壤_02"/>
                    <pic:cNvPicPr>
                      <a:picLocks noChangeAspect="1"/>
                    </pic:cNvPicPr>
                  </pic:nvPicPr>
                  <pic:blipFill>
                    <a:blip r:embed="rId71"/>
                    <a:stretch>
                      <a:fillRect/>
                    </a:stretch>
                  </pic:blipFill>
                  <pic:spPr>
                    <a:xfrm>
                      <a:off x="0" y="0"/>
                      <a:ext cx="5615305" cy="7942580"/>
                    </a:xfrm>
                    <a:prstGeom prst="rect">
                      <a:avLst/>
                    </a:prstGeom>
                  </pic:spPr>
                </pic:pic>
              </a:graphicData>
            </a:graphic>
          </wp:inline>
        </w:drawing>
      </w:r>
      <w:r>
        <w:rPr>
          <w:rFonts w:hint="eastAsia"/>
          <w:color w:val="auto"/>
        </w:rPr>
        <w:drawing>
          <wp:inline distT="0" distB="0" distL="114300" distR="114300">
            <wp:extent cx="5615305" cy="7942580"/>
            <wp:effectExtent l="0" t="0" r="4445" b="1270"/>
            <wp:docPr id="114" name="图片 114" descr="北票市邦瑞机械加工及报废机动车拆解项目土壤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 114" descr="北票市邦瑞机械加工及报废机动车拆解项目土壤_03"/>
                    <pic:cNvPicPr>
                      <a:picLocks noChangeAspect="1"/>
                    </pic:cNvPicPr>
                  </pic:nvPicPr>
                  <pic:blipFill>
                    <a:blip r:embed="rId72"/>
                    <a:stretch>
                      <a:fillRect/>
                    </a:stretch>
                  </pic:blipFill>
                  <pic:spPr>
                    <a:xfrm>
                      <a:off x="0" y="0"/>
                      <a:ext cx="5615305" cy="7942580"/>
                    </a:xfrm>
                    <a:prstGeom prst="rect">
                      <a:avLst/>
                    </a:prstGeom>
                  </pic:spPr>
                </pic:pic>
              </a:graphicData>
            </a:graphic>
          </wp:inline>
        </w:drawing>
      </w:r>
      <w:r>
        <w:rPr>
          <w:rFonts w:hint="eastAsia"/>
          <w:color w:val="auto"/>
        </w:rPr>
        <w:drawing>
          <wp:inline distT="0" distB="0" distL="114300" distR="114300">
            <wp:extent cx="5615305" cy="7942580"/>
            <wp:effectExtent l="0" t="0" r="4445" b="1270"/>
            <wp:docPr id="113" name="图片 113" descr="北票市邦瑞机械加工及报废机动车拆解项目土壤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113" descr="北票市邦瑞机械加工及报废机动车拆解项目土壤_04"/>
                    <pic:cNvPicPr>
                      <a:picLocks noChangeAspect="1"/>
                    </pic:cNvPicPr>
                  </pic:nvPicPr>
                  <pic:blipFill>
                    <a:blip r:embed="rId73"/>
                    <a:stretch>
                      <a:fillRect/>
                    </a:stretch>
                  </pic:blipFill>
                  <pic:spPr>
                    <a:xfrm>
                      <a:off x="0" y="0"/>
                      <a:ext cx="5615305" cy="7942580"/>
                    </a:xfrm>
                    <a:prstGeom prst="rect">
                      <a:avLst/>
                    </a:prstGeom>
                  </pic:spPr>
                </pic:pic>
              </a:graphicData>
            </a:graphic>
          </wp:inline>
        </w:drawing>
      </w:r>
      <w:r>
        <w:rPr>
          <w:rFonts w:hint="eastAsia"/>
          <w:color w:val="auto"/>
        </w:rPr>
        <w:drawing>
          <wp:inline distT="0" distB="0" distL="114300" distR="114300">
            <wp:extent cx="5615305" cy="7942580"/>
            <wp:effectExtent l="0" t="0" r="4445" b="1270"/>
            <wp:docPr id="112" name="图片 112" descr="北票市邦瑞机械加工及报废机动车拆解项目土壤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112" descr="北票市邦瑞机械加工及报废机动车拆解项目土壤_05"/>
                    <pic:cNvPicPr>
                      <a:picLocks noChangeAspect="1"/>
                    </pic:cNvPicPr>
                  </pic:nvPicPr>
                  <pic:blipFill>
                    <a:blip r:embed="rId74"/>
                    <a:stretch>
                      <a:fillRect/>
                    </a:stretch>
                  </pic:blipFill>
                  <pic:spPr>
                    <a:xfrm>
                      <a:off x="0" y="0"/>
                      <a:ext cx="5615305" cy="7942580"/>
                    </a:xfrm>
                    <a:prstGeom prst="rect">
                      <a:avLst/>
                    </a:prstGeom>
                  </pic:spPr>
                </pic:pic>
              </a:graphicData>
            </a:graphic>
          </wp:inline>
        </w:drawing>
      </w:r>
      <w:r>
        <w:rPr>
          <w:rFonts w:hint="eastAsia"/>
          <w:color w:val="auto"/>
        </w:rPr>
        <w:drawing>
          <wp:inline distT="0" distB="0" distL="114300" distR="114300">
            <wp:extent cx="5615305" cy="7942580"/>
            <wp:effectExtent l="0" t="0" r="4445" b="1270"/>
            <wp:docPr id="111" name="图片 111" descr="北票市邦瑞机械加工及报废机动车拆解项目土壤_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111" descr="北票市邦瑞机械加工及报废机动车拆解项目土壤_06"/>
                    <pic:cNvPicPr>
                      <a:picLocks noChangeAspect="1"/>
                    </pic:cNvPicPr>
                  </pic:nvPicPr>
                  <pic:blipFill>
                    <a:blip r:embed="rId75"/>
                    <a:stretch>
                      <a:fillRect/>
                    </a:stretch>
                  </pic:blipFill>
                  <pic:spPr>
                    <a:xfrm>
                      <a:off x="0" y="0"/>
                      <a:ext cx="5615305" cy="7942580"/>
                    </a:xfrm>
                    <a:prstGeom prst="rect">
                      <a:avLst/>
                    </a:prstGeom>
                  </pic:spPr>
                </pic:pic>
              </a:graphicData>
            </a:graphic>
          </wp:inline>
        </w:drawing>
      </w:r>
      <w:r>
        <w:rPr>
          <w:rFonts w:hint="eastAsia"/>
          <w:color w:val="auto"/>
        </w:rPr>
        <w:drawing>
          <wp:inline distT="0" distB="0" distL="114300" distR="114300">
            <wp:extent cx="5615305" cy="7942580"/>
            <wp:effectExtent l="0" t="0" r="4445" b="1270"/>
            <wp:docPr id="110" name="图片 110" descr="北票市邦瑞机械加工及报废机动车拆解项目土壤_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110" descr="北票市邦瑞机械加工及报废机动车拆解项目土壤_07"/>
                    <pic:cNvPicPr>
                      <a:picLocks noChangeAspect="1"/>
                    </pic:cNvPicPr>
                  </pic:nvPicPr>
                  <pic:blipFill>
                    <a:blip r:embed="rId76"/>
                    <a:stretch>
                      <a:fillRect/>
                    </a:stretch>
                  </pic:blipFill>
                  <pic:spPr>
                    <a:xfrm>
                      <a:off x="0" y="0"/>
                      <a:ext cx="5615305" cy="7942580"/>
                    </a:xfrm>
                    <a:prstGeom prst="rect">
                      <a:avLst/>
                    </a:prstGeom>
                  </pic:spPr>
                </pic:pic>
              </a:graphicData>
            </a:graphic>
          </wp:inline>
        </w:drawing>
      </w:r>
      <w:r>
        <w:rPr>
          <w:rFonts w:hint="eastAsia"/>
          <w:color w:val="auto"/>
        </w:rPr>
        <w:drawing>
          <wp:inline distT="0" distB="0" distL="114300" distR="114300">
            <wp:extent cx="5615305" cy="7942580"/>
            <wp:effectExtent l="0" t="0" r="4445" b="1270"/>
            <wp:docPr id="109" name="图片 109" descr="北票市邦瑞机械加工及报废机动车拆解项目土壤_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109" descr="北票市邦瑞机械加工及报废机动车拆解项目土壤_08"/>
                    <pic:cNvPicPr>
                      <a:picLocks noChangeAspect="1"/>
                    </pic:cNvPicPr>
                  </pic:nvPicPr>
                  <pic:blipFill>
                    <a:blip r:embed="rId77"/>
                    <a:stretch>
                      <a:fillRect/>
                    </a:stretch>
                  </pic:blipFill>
                  <pic:spPr>
                    <a:xfrm>
                      <a:off x="0" y="0"/>
                      <a:ext cx="5615305" cy="7942580"/>
                    </a:xfrm>
                    <a:prstGeom prst="rect">
                      <a:avLst/>
                    </a:prstGeom>
                  </pic:spPr>
                </pic:pic>
              </a:graphicData>
            </a:graphic>
          </wp:inline>
        </w:drawing>
      </w:r>
      <w:r>
        <w:rPr>
          <w:rFonts w:hint="eastAsia"/>
          <w:color w:val="auto"/>
        </w:rPr>
        <w:drawing>
          <wp:inline distT="0" distB="0" distL="114300" distR="114300">
            <wp:extent cx="5615305" cy="7942580"/>
            <wp:effectExtent l="0" t="0" r="4445" b="1270"/>
            <wp:docPr id="108" name="图片 108" descr="北票市邦瑞机械加工及报废机动车拆解项目噪声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108" descr="北票市邦瑞机械加工及报废机动车拆解项目噪声_00"/>
                    <pic:cNvPicPr>
                      <a:picLocks noChangeAspect="1"/>
                    </pic:cNvPicPr>
                  </pic:nvPicPr>
                  <pic:blipFill>
                    <a:blip r:embed="rId78"/>
                    <a:stretch>
                      <a:fillRect/>
                    </a:stretch>
                  </pic:blipFill>
                  <pic:spPr>
                    <a:xfrm>
                      <a:off x="0" y="0"/>
                      <a:ext cx="5615305" cy="7942580"/>
                    </a:xfrm>
                    <a:prstGeom prst="rect">
                      <a:avLst/>
                    </a:prstGeom>
                  </pic:spPr>
                </pic:pic>
              </a:graphicData>
            </a:graphic>
          </wp:inline>
        </w:drawing>
      </w:r>
      <w:r>
        <w:rPr>
          <w:rFonts w:hint="eastAsia"/>
          <w:color w:val="auto"/>
        </w:rPr>
        <w:drawing>
          <wp:inline distT="0" distB="0" distL="114300" distR="114300">
            <wp:extent cx="5615305" cy="7942580"/>
            <wp:effectExtent l="0" t="0" r="4445" b="1270"/>
            <wp:docPr id="107" name="图片 107" descr="北票市邦瑞机械加工及报废机动车拆解项目噪声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107" descr="北票市邦瑞机械加工及报废机动车拆解项目噪声_01"/>
                    <pic:cNvPicPr>
                      <a:picLocks noChangeAspect="1"/>
                    </pic:cNvPicPr>
                  </pic:nvPicPr>
                  <pic:blipFill>
                    <a:blip r:embed="rId79"/>
                    <a:stretch>
                      <a:fillRect/>
                    </a:stretch>
                  </pic:blipFill>
                  <pic:spPr>
                    <a:xfrm>
                      <a:off x="0" y="0"/>
                      <a:ext cx="5615305" cy="7942580"/>
                    </a:xfrm>
                    <a:prstGeom prst="rect">
                      <a:avLst/>
                    </a:prstGeom>
                  </pic:spPr>
                </pic:pic>
              </a:graphicData>
            </a:graphic>
          </wp:inline>
        </w:drawing>
      </w:r>
      <w:r>
        <w:rPr>
          <w:rFonts w:hint="eastAsia" w:eastAsia="黑体"/>
          <w:color w:val="auto"/>
          <w:lang w:eastAsia="zh-CN"/>
        </w:rPr>
        <w:drawing>
          <wp:inline distT="0" distB="0" distL="114300" distR="114300">
            <wp:extent cx="5615305" cy="7942580"/>
            <wp:effectExtent l="0" t="0" r="4445" b="1270"/>
            <wp:docPr id="79" name="图片 79" descr="W25384北票市邦瑞机械加工及报废机动车拆解项目地下水和地表水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79" descr="W25384北票市邦瑞机械加工及报废机动车拆解项目地下水和地表水_01"/>
                    <pic:cNvPicPr>
                      <a:picLocks noChangeAspect="1"/>
                    </pic:cNvPicPr>
                  </pic:nvPicPr>
                  <pic:blipFill>
                    <a:blip r:embed="rId80"/>
                    <a:stretch>
                      <a:fillRect/>
                    </a:stretch>
                  </pic:blipFill>
                  <pic:spPr>
                    <a:xfrm>
                      <a:off x="0" y="0"/>
                      <a:ext cx="5615305" cy="7942580"/>
                    </a:xfrm>
                    <a:prstGeom prst="rect">
                      <a:avLst/>
                    </a:prstGeom>
                  </pic:spPr>
                </pic:pic>
              </a:graphicData>
            </a:graphic>
          </wp:inline>
        </w:drawing>
      </w:r>
      <w:r>
        <w:rPr>
          <w:rFonts w:hint="eastAsia" w:eastAsia="黑体"/>
          <w:color w:val="auto"/>
          <w:lang w:eastAsia="zh-CN"/>
        </w:rPr>
        <w:drawing>
          <wp:inline distT="0" distB="0" distL="114300" distR="114300">
            <wp:extent cx="5615305" cy="7942580"/>
            <wp:effectExtent l="0" t="0" r="4445" b="1270"/>
            <wp:docPr id="78" name="图片 78" descr="W25384北票市邦瑞机械加工及报废机动车拆解项目地下水和地表水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78" descr="W25384北票市邦瑞机械加工及报废机动车拆解项目地下水和地表水_02"/>
                    <pic:cNvPicPr>
                      <a:picLocks noChangeAspect="1"/>
                    </pic:cNvPicPr>
                  </pic:nvPicPr>
                  <pic:blipFill>
                    <a:blip r:embed="rId81"/>
                    <a:stretch>
                      <a:fillRect/>
                    </a:stretch>
                  </pic:blipFill>
                  <pic:spPr>
                    <a:xfrm>
                      <a:off x="0" y="0"/>
                      <a:ext cx="5615305" cy="7942580"/>
                    </a:xfrm>
                    <a:prstGeom prst="rect">
                      <a:avLst/>
                    </a:prstGeom>
                  </pic:spPr>
                </pic:pic>
              </a:graphicData>
            </a:graphic>
          </wp:inline>
        </w:drawing>
      </w:r>
      <w:r>
        <w:rPr>
          <w:rFonts w:hint="eastAsia" w:eastAsia="黑体"/>
          <w:color w:val="auto"/>
          <w:lang w:eastAsia="zh-CN"/>
        </w:rPr>
        <w:drawing>
          <wp:inline distT="0" distB="0" distL="114300" distR="114300">
            <wp:extent cx="5615305" cy="7942580"/>
            <wp:effectExtent l="0" t="0" r="4445" b="1270"/>
            <wp:docPr id="77" name="图片 77" descr="W25384北票市邦瑞机械加工及报废机动车拆解项目地下水和地表水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77" descr="W25384北票市邦瑞机械加工及报废机动车拆解项目地下水和地表水_03"/>
                    <pic:cNvPicPr>
                      <a:picLocks noChangeAspect="1"/>
                    </pic:cNvPicPr>
                  </pic:nvPicPr>
                  <pic:blipFill>
                    <a:blip r:embed="rId82"/>
                    <a:stretch>
                      <a:fillRect/>
                    </a:stretch>
                  </pic:blipFill>
                  <pic:spPr>
                    <a:xfrm>
                      <a:off x="0" y="0"/>
                      <a:ext cx="5615305" cy="7942580"/>
                    </a:xfrm>
                    <a:prstGeom prst="rect">
                      <a:avLst/>
                    </a:prstGeom>
                  </pic:spPr>
                </pic:pic>
              </a:graphicData>
            </a:graphic>
          </wp:inline>
        </w:drawing>
      </w:r>
      <w:r>
        <w:rPr>
          <w:rFonts w:hint="eastAsia" w:eastAsia="黑体"/>
          <w:color w:val="auto"/>
          <w:lang w:eastAsia="zh-CN"/>
        </w:rPr>
        <w:drawing>
          <wp:inline distT="0" distB="0" distL="114300" distR="114300">
            <wp:extent cx="5615305" cy="7942580"/>
            <wp:effectExtent l="0" t="0" r="4445" b="1270"/>
            <wp:docPr id="76" name="图片 76" descr="W25384北票市邦瑞机械加工及报废机动车拆解项目地下水和地表水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76" descr="W25384北票市邦瑞机械加工及报废机动车拆解项目地下水和地表水_04"/>
                    <pic:cNvPicPr>
                      <a:picLocks noChangeAspect="1"/>
                    </pic:cNvPicPr>
                  </pic:nvPicPr>
                  <pic:blipFill>
                    <a:blip r:embed="rId83"/>
                    <a:stretch>
                      <a:fillRect/>
                    </a:stretch>
                  </pic:blipFill>
                  <pic:spPr>
                    <a:xfrm>
                      <a:off x="0" y="0"/>
                      <a:ext cx="5615305" cy="7942580"/>
                    </a:xfrm>
                    <a:prstGeom prst="rect">
                      <a:avLst/>
                    </a:prstGeom>
                  </pic:spPr>
                </pic:pic>
              </a:graphicData>
            </a:graphic>
          </wp:inline>
        </w:drawing>
      </w:r>
      <w:r>
        <w:rPr>
          <w:rFonts w:hint="eastAsia" w:eastAsia="黑体"/>
          <w:color w:val="auto"/>
          <w:lang w:eastAsia="zh-CN"/>
        </w:rPr>
        <w:drawing>
          <wp:inline distT="0" distB="0" distL="114300" distR="114300">
            <wp:extent cx="5615305" cy="7942580"/>
            <wp:effectExtent l="0" t="0" r="4445" b="1270"/>
            <wp:docPr id="75" name="图片 75" descr="W25384北票市邦瑞机械加工及报废机动车拆解项目地下水和地表水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75" descr="W25384北票市邦瑞机械加工及报废机动车拆解项目地下水和地表水_05"/>
                    <pic:cNvPicPr>
                      <a:picLocks noChangeAspect="1"/>
                    </pic:cNvPicPr>
                  </pic:nvPicPr>
                  <pic:blipFill>
                    <a:blip r:embed="rId84"/>
                    <a:stretch>
                      <a:fillRect/>
                    </a:stretch>
                  </pic:blipFill>
                  <pic:spPr>
                    <a:xfrm>
                      <a:off x="0" y="0"/>
                      <a:ext cx="5615305" cy="7942580"/>
                    </a:xfrm>
                    <a:prstGeom prst="rect">
                      <a:avLst/>
                    </a:prstGeom>
                  </pic:spPr>
                </pic:pic>
              </a:graphicData>
            </a:graphic>
          </wp:inline>
        </w:drawing>
      </w:r>
      <w:r>
        <w:rPr>
          <w:rFonts w:hint="eastAsia" w:eastAsia="黑体"/>
          <w:color w:val="auto"/>
          <w:lang w:eastAsia="zh-CN"/>
        </w:rPr>
        <w:drawing>
          <wp:inline distT="0" distB="0" distL="114300" distR="114300">
            <wp:extent cx="5615305" cy="7942580"/>
            <wp:effectExtent l="0" t="0" r="4445" b="1270"/>
            <wp:docPr id="74" name="图片 74" descr="W25384北票市邦瑞机械加工及报废机动车拆解项目地下水和地表水_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74" descr="W25384北票市邦瑞机械加工及报废机动车拆解项目地下水和地表水_06"/>
                    <pic:cNvPicPr>
                      <a:picLocks noChangeAspect="1"/>
                    </pic:cNvPicPr>
                  </pic:nvPicPr>
                  <pic:blipFill>
                    <a:blip r:embed="rId85"/>
                    <a:stretch>
                      <a:fillRect/>
                    </a:stretch>
                  </pic:blipFill>
                  <pic:spPr>
                    <a:xfrm>
                      <a:off x="0" y="0"/>
                      <a:ext cx="5615305" cy="7942580"/>
                    </a:xfrm>
                    <a:prstGeom prst="rect">
                      <a:avLst/>
                    </a:prstGeom>
                  </pic:spPr>
                </pic:pic>
              </a:graphicData>
            </a:graphic>
          </wp:inline>
        </w:drawing>
      </w:r>
      <w:r>
        <w:rPr>
          <w:rFonts w:hint="eastAsia" w:eastAsia="黑体"/>
          <w:color w:val="auto"/>
          <w:lang w:eastAsia="zh-CN"/>
        </w:rPr>
        <w:drawing>
          <wp:inline distT="0" distB="0" distL="114300" distR="114300">
            <wp:extent cx="5615305" cy="7942580"/>
            <wp:effectExtent l="0" t="0" r="4445" b="1270"/>
            <wp:docPr id="73" name="图片 73" descr="W25384北票市邦瑞机械加工及报废机动车拆解项目地下水和地表水_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73" descr="W25384北票市邦瑞机械加工及报废机动车拆解项目地下水和地表水_07"/>
                    <pic:cNvPicPr>
                      <a:picLocks noChangeAspect="1"/>
                    </pic:cNvPicPr>
                  </pic:nvPicPr>
                  <pic:blipFill>
                    <a:blip r:embed="rId86"/>
                    <a:stretch>
                      <a:fillRect/>
                    </a:stretch>
                  </pic:blipFill>
                  <pic:spPr>
                    <a:xfrm>
                      <a:off x="0" y="0"/>
                      <a:ext cx="5615305" cy="7942580"/>
                    </a:xfrm>
                    <a:prstGeom prst="rect">
                      <a:avLst/>
                    </a:prstGeom>
                  </pic:spPr>
                </pic:pic>
              </a:graphicData>
            </a:graphic>
          </wp:inline>
        </w:drawing>
      </w:r>
      <w:r>
        <w:rPr>
          <w:rFonts w:hint="eastAsia" w:eastAsia="黑体"/>
          <w:color w:val="auto"/>
          <w:lang w:eastAsia="zh-CN"/>
        </w:rPr>
        <w:drawing>
          <wp:inline distT="0" distB="0" distL="114300" distR="114300">
            <wp:extent cx="5615305" cy="7942580"/>
            <wp:effectExtent l="0" t="0" r="4445" b="1270"/>
            <wp:docPr id="72" name="图片 72" descr="W25384北票市邦瑞机械加工及报废机动车拆解项目地下水和地表水_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72" descr="W25384北票市邦瑞机械加工及报废机动车拆解项目地下水和地表水_08"/>
                    <pic:cNvPicPr>
                      <a:picLocks noChangeAspect="1"/>
                    </pic:cNvPicPr>
                  </pic:nvPicPr>
                  <pic:blipFill>
                    <a:blip r:embed="rId87"/>
                    <a:stretch>
                      <a:fillRect/>
                    </a:stretch>
                  </pic:blipFill>
                  <pic:spPr>
                    <a:xfrm>
                      <a:off x="0" y="0"/>
                      <a:ext cx="5615305" cy="7942580"/>
                    </a:xfrm>
                    <a:prstGeom prst="rect">
                      <a:avLst/>
                    </a:prstGeom>
                  </pic:spPr>
                </pic:pic>
              </a:graphicData>
            </a:graphic>
          </wp:inline>
        </w:drawing>
      </w:r>
      <w:r>
        <w:rPr>
          <w:rFonts w:hint="eastAsia" w:eastAsia="黑体"/>
          <w:color w:val="auto"/>
          <w:lang w:eastAsia="zh-CN"/>
        </w:rPr>
        <w:drawing>
          <wp:inline distT="0" distB="0" distL="114300" distR="114300">
            <wp:extent cx="5615305" cy="7942580"/>
            <wp:effectExtent l="0" t="0" r="4445" b="1270"/>
            <wp:docPr id="62" name="图片 62" descr="W25384北票市邦瑞机械加工及报废机动车拆解项目地下水和地表水_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62" descr="W25384北票市邦瑞机械加工及报废机动车拆解项目地下水和地表水_09"/>
                    <pic:cNvPicPr>
                      <a:picLocks noChangeAspect="1"/>
                    </pic:cNvPicPr>
                  </pic:nvPicPr>
                  <pic:blipFill>
                    <a:blip r:embed="rId88"/>
                    <a:stretch>
                      <a:fillRect/>
                    </a:stretch>
                  </pic:blipFill>
                  <pic:spPr>
                    <a:xfrm>
                      <a:off x="0" y="0"/>
                      <a:ext cx="5615305" cy="7942580"/>
                    </a:xfrm>
                    <a:prstGeom prst="rect">
                      <a:avLst/>
                    </a:prstGeom>
                  </pic:spPr>
                </pic:pic>
              </a:graphicData>
            </a:graphic>
          </wp:inline>
        </w:drawing>
      </w:r>
      <w:r>
        <w:rPr>
          <w:rFonts w:hint="eastAsia" w:eastAsia="黑体"/>
          <w:color w:val="auto"/>
          <w:lang w:eastAsia="zh-CN"/>
        </w:rPr>
        <w:drawing>
          <wp:inline distT="0" distB="0" distL="114300" distR="114300">
            <wp:extent cx="5615305" cy="7942580"/>
            <wp:effectExtent l="0" t="0" r="4445" b="1270"/>
            <wp:docPr id="61" name="图片 61" descr="W25384北票市邦瑞机械加工及报废机动车拆解项目地下水和地表水_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1" descr="W25384北票市邦瑞机械加工及报废机动车拆解项目地下水和地表水_10"/>
                    <pic:cNvPicPr>
                      <a:picLocks noChangeAspect="1"/>
                    </pic:cNvPicPr>
                  </pic:nvPicPr>
                  <pic:blipFill>
                    <a:blip r:embed="rId89"/>
                    <a:stretch>
                      <a:fillRect/>
                    </a:stretch>
                  </pic:blipFill>
                  <pic:spPr>
                    <a:xfrm>
                      <a:off x="0" y="0"/>
                      <a:ext cx="5615305" cy="7942580"/>
                    </a:xfrm>
                    <a:prstGeom prst="rect">
                      <a:avLst/>
                    </a:prstGeom>
                  </pic:spPr>
                </pic:pic>
              </a:graphicData>
            </a:graphic>
          </wp:inline>
        </w:drawing>
      </w:r>
      <w:r>
        <w:rPr>
          <w:rFonts w:hint="eastAsia" w:eastAsia="黑体"/>
          <w:color w:val="auto"/>
          <w:lang w:eastAsia="zh-CN"/>
        </w:rPr>
        <w:drawing>
          <wp:inline distT="0" distB="0" distL="114300" distR="114300">
            <wp:extent cx="5615305" cy="7942580"/>
            <wp:effectExtent l="0" t="0" r="4445" b="1270"/>
            <wp:docPr id="53" name="图片 53" descr="W25384北票市邦瑞机械加工及报废机动车拆解项目地下水和地表水_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3" descr="W25384北票市邦瑞机械加工及报废机动车拆解项目地下水和地表水_11"/>
                    <pic:cNvPicPr>
                      <a:picLocks noChangeAspect="1"/>
                    </pic:cNvPicPr>
                  </pic:nvPicPr>
                  <pic:blipFill>
                    <a:blip r:embed="rId90"/>
                    <a:stretch>
                      <a:fillRect/>
                    </a:stretch>
                  </pic:blipFill>
                  <pic:spPr>
                    <a:xfrm>
                      <a:off x="0" y="0"/>
                      <a:ext cx="5615305" cy="7942580"/>
                    </a:xfrm>
                    <a:prstGeom prst="rect">
                      <a:avLst/>
                    </a:prstGeom>
                  </pic:spPr>
                </pic:pic>
              </a:graphicData>
            </a:graphic>
          </wp:inline>
        </w:drawing>
      </w:r>
    </w:p>
    <w:bookmarkEnd w:id="29"/>
    <w:p w14:paraId="7C1069DC">
      <w:pPr>
        <w:pStyle w:val="3"/>
        <w:jc w:val="left"/>
        <w:rPr>
          <w:color w:val="auto"/>
        </w:rPr>
      </w:pPr>
      <w:r>
        <mc:AlternateContent>
          <mc:Choice Requires="wps">
            <w:drawing>
              <wp:anchor distT="0" distB="0" distL="114300" distR="114300" simplePos="0" relativeHeight="251669504" behindDoc="0" locked="0" layoutInCell="1" allowOverlap="1">
                <wp:simplePos x="0" y="0"/>
                <wp:positionH relativeFrom="column">
                  <wp:posOffset>7091045</wp:posOffset>
                </wp:positionH>
                <wp:positionV relativeFrom="paragraph">
                  <wp:posOffset>1186180</wp:posOffset>
                </wp:positionV>
                <wp:extent cx="1127125" cy="513715"/>
                <wp:effectExtent l="1109980" t="12700" r="29845" b="483235"/>
                <wp:wrapNone/>
                <wp:docPr id="98" name="线形标注 1 98"/>
                <wp:cNvGraphicFramePr/>
                <a:graphic xmlns:a="http://schemas.openxmlformats.org/drawingml/2006/main">
                  <a:graphicData uri="http://schemas.microsoft.com/office/word/2010/wordprocessingShape">
                    <wps:wsp>
                      <wps:cNvSpPr/>
                      <wps:spPr>
                        <a:xfrm>
                          <a:off x="5922010" y="2922905"/>
                          <a:ext cx="1127125" cy="513715"/>
                        </a:xfrm>
                        <a:prstGeom prst="borderCallout1">
                          <a:avLst>
                            <a:gd name="adj1" fmla="val 97527"/>
                            <a:gd name="adj2" fmla="val 619"/>
                            <a:gd name="adj3" fmla="val 189493"/>
                            <a:gd name="adj4" fmla="val -98028"/>
                          </a:avLst>
                        </a:prstGeom>
                        <a:solidFill>
                          <a:srgbClr val="FFFF00"/>
                        </a:solid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03B0AA29">
                            <w:pPr>
                              <w:jc w:val="center"/>
                              <w:rPr>
                                <w:color w:val="000000" w:themeColor="text1"/>
                                <w14:textOutline w14:w="9525" w14:cap="flat" w14:cmpd="sng" w14:algn="ctr">
                                  <w14:solidFill>
                                    <w14:schemeClr w14:val="tx1"/>
                                  </w14:solidFill>
                                  <w14:prstDash w14:val="solid"/>
                                  <w14:round/>
                                </w14:textOutline>
                                <w14:textFill>
                                  <w14:solidFill>
                                    <w14:schemeClr w14:val="tx1"/>
                                  </w14:solidFill>
                                </w14:textFill>
                              </w:rPr>
                            </w:pPr>
                            <w:r>
                              <w:rPr>
                                <w:rFonts w:hint="eastAsia"/>
                                <w:color w:val="000000" w:themeColor="text1"/>
                                <w14:textOutline w14:w="9525" w14:cap="flat" w14:cmpd="sng" w14:algn="ctr">
                                  <w14:solidFill>
                                    <w14:schemeClr w14:val="tx1"/>
                                  </w14:solidFill>
                                  <w14:prstDash w14:val="solid"/>
                                  <w14:round/>
                                </w14:textOutline>
                                <w14:textFill>
                                  <w14:solidFill>
                                    <w14:schemeClr w14:val="tx1"/>
                                  </w14:solidFill>
                                </w14:textFill>
                              </w:rPr>
                              <w:t>本项目位置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47" type="#_x0000_t47" style="position:absolute;left:0pt;margin-left:558.35pt;margin-top:93.4pt;height:40.45pt;width:88.75pt;z-index:251669504;v-text-anchor:middle;mso-width-relative:page;mso-height-relative:page;" fillcolor="#FFFF00" filled="t" stroked="t" coordsize="21600,21600" o:gfxdata="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" adj="-21174,40930,134,21066">
                <v:fill on="t" focussize="0,0"/>
                <v:stroke weight="2pt" color="#000000 [3213]" joinstyle="round"/>
                <v:imagedata o:title=""/>
                <o:lock v:ext="edit" aspectratio="f"/>
                <v:textbox>
                  <w:txbxContent>
                    <w:p w14:paraId="03B0AA29">
                      <w:pPr>
                        <w:jc w:val="center"/>
                        <w:rPr>
                          <w:color w:val="000000" w:themeColor="text1"/>
                          <w14:textOutline w14:w="9525" w14:cap="flat" w14:cmpd="sng" w14:algn="ctr">
                            <w14:solidFill>
                              <w14:schemeClr w14:val="tx1"/>
                            </w14:solidFill>
                            <w14:prstDash w14:val="solid"/>
                            <w14:round/>
                          </w14:textOutline>
                          <w14:textFill>
                            <w14:solidFill>
                              <w14:schemeClr w14:val="tx1"/>
                            </w14:solidFill>
                          </w14:textFill>
                        </w:rPr>
                      </w:pPr>
                      <w:r>
                        <w:rPr>
                          <w:rFonts w:hint="eastAsia"/>
                          <w:color w:val="000000" w:themeColor="text1"/>
                          <w14:textOutline w14:w="9525" w14:cap="flat" w14:cmpd="sng" w14:algn="ctr">
                            <w14:solidFill>
                              <w14:schemeClr w14:val="tx1"/>
                            </w14:solidFill>
                            <w14:prstDash w14:val="solid"/>
                            <w14:round/>
                          </w14:textOutline>
                          <w14:textFill>
                            <w14:solidFill>
                              <w14:schemeClr w14:val="tx1"/>
                            </w14:solidFill>
                          </w14:textFill>
                        </w:rPr>
                        <w:t>本项目位置</w:t>
                      </w:r>
                    </w:p>
                  </w:txbxContent>
                </v:textbox>
              </v:shape>
            </w:pict>
          </mc:Fallback>
        </mc:AlternateContent>
      </w:r>
      <w:r>
        <mc:AlternateContent>
          <mc:Choice Requires="wps">
            <w:drawing>
              <wp:anchor distT="0" distB="0" distL="114300" distR="114300" simplePos="0" relativeHeight="251668480" behindDoc="0" locked="0" layoutInCell="1" allowOverlap="1">
                <wp:simplePos x="0" y="0"/>
                <wp:positionH relativeFrom="column">
                  <wp:posOffset>5930265</wp:posOffset>
                </wp:positionH>
                <wp:positionV relativeFrom="paragraph">
                  <wp:posOffset>2129155</wp:posOffset>
                </wp:positionV>
                <wp:extent cx="75565" cy="75565"/>
                <wp:effectExtent l="12700" t="12700" r="26035" b="26035"/>
                <wp:wrapNone/>
                <wp:docPr id="28" name="椭圆 28"/>
                <wp:cNvGraphicFramePr/>
                <a:graphic xmlns:a="http://schemas.openxmlformats.org/drawingml/2006/main">
                  <a:graphicData uri="http://schemas.microsoft.com/office/word/2010/wordprocessingShape">
                    <wps:wsp>
                      <wps:cNvSpPr/>
                      <wps:spPr>
                        <a:xfrm>
                          <a:off x="6946900" y="3069590"/>
                          <a:ext cx="75565" cy="75565"/>
                        </a:xfrm>
                        <a:prstGeom prst="ellipse">
                          <a:avLst/>
                        </a:prstGeom>
                        <a:solidFill>
                          <a:srgbClr val="FF0000"/>
                        </a:solid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466.95pt;margin-top:167.65pt;height:5.95pt;width:5.95pt;z-index:251668480;v-text-anchor:middle;mso-width-relative:page;mso-height-relative:page;" fillcolor="#FF0000" filled="t" stroked="t" coordsize="21600,21600" o:gfxdata="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">
                <v:fill on="t" focussize="0,0"/>
                <v:stroke weight="2pt" color="#000000 [3213]" joinstyle="round"/>
                <v:imagedata o:title=""/>
                <o:lock v:ext="edit" aspectratio="f"/>
              </v:shape>
            </w:pict>
          </mc:Fallback>
        </mc:AlternateContent>
      </w:r>
      <w:r>
        <mc:AlternateContent>
          <mc:Choice Requires="wps">
            <w:drawing>
              <wp:anchor distT="0" distB="0" distL="114300" distR="114300" simplePos="0" relativeHeight="251667456" behindDoc="0" locked="0" layoutInCell="1" allowOverlap="1">
                <wp:simplePos x="0" y="0"/>
                <wp:positionH relativeFrom="column">
                  <wp:posOffset>3135630</wp:posOffset>
                </wp:positionH>
                <wp:positionV relativeFrom="paragraph">
                  <wp:posOffset>5488940</wp:posOffset>
                </wp:positionV>
                <wp:extent cx="1828800" cy="461645"/>
                <wp:effectExtent l="0" t="0" r="0" b="0"/>
                <wp:wrapNone/>
                <wp:docPr id="26" name="文本框 26"/>
                <wp:cNvGraphicFramePr/>
                <a:graphic xmlns:a="http://schemas.openxmlformats.org/drawingml/2006/main">
                  <a:graphicData uri="http://schemas.microsoft.com/office/word/2010/wordprocessingShape">
                    <wps:wsp>
                      <wps:cNvSpPr txBox="1"/>
                      <wps:spPr>
                        <a:xfrm>
                          <a:off x="0" y="0"/>
                          <a:ext cx="1828800" cy="46164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6074282">
                            <w:pPr>
                              <w:pStyle w:val="3"/>
                              <w:jc w:val="left"/>
                              <w:rPr>
                                <w:color w:val="auto"/>
                              </w:rPr>
                            </w:pPr>
                            <w:r>
                              <w:rPr>
                                <w:rFonts w:hint="eastAsia"/>
                                <w:color w:val="auto"/>
                              </w:rPr>
                              <w:t>附图1：项目地理位置图</w:t>
                            </w:r>
                          </w:p>
                        </w:txbxContent>
                      </wps:txbx>
                      <wps:bodyPr rot="0" spcFirstLastPara="0" vertOverflow="overflow" horzOverflow="overflow" vert="horz" wrap="non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46.9pt;margin-top:432.2pt;height:36.35pt;width:144pt;mso-wrap-style:none;z-index:251667456;mso-width-relative:page;mso-height-relative:page;" filled="f" stroked="f" coordsize="21600,21600" o:gfxdata="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qD8R4d4AAAALAQAADwAAAAAAAAABACAAAAAiAAAA&#10;ZHJzL2Rvd25yZXYueG1sUEsBAhQAFAAAAAgAh07iQHclrrg6AgAAZgQAAA4AAAAAAAAAAQAgAAAA&#10;LQEAAGRycy9lMm9Eb2MueG1sUEsFBgAAAAAGAAYAWQEAANkFAAAAAA==&#10;">
                <v:fill on="f" focussize="0,0"/>
                <v:stroke on="f" weight="0.5pt"/>
                <v:imagedata o:title=""/>
                <o:lock v:ext="edit" aspectratio="f"/>
                <v:textbox>
                  <w:txbxContent>
                    <w:p w14:paraId="66074282">
                      <w:pPr>
                        <w:pStyle w:val="3"/>
                        <w:jc w:val="left"/>
                        <w:rPr>
                          <w:color w:val="auto"/>
                        </w:rPr>
                      </w:pPr>
                      <w:r>
                        <w:rPr>
                          <w:rFonts w:hint="eastAsia"/>
                          <w:color w:val="auto"/>
                        </w:rPr>
                        <w:t>附图1：项目地理位置图</w:t>
                      </w:r>
                    </w:p>
                  </w:txbxContent>
                </v:textbox>
              </v:shape>
            </w:pict>
          </mc:Fallback>
        </mc:AlternateContent>
      </w:r>
      <w:r>
        <w:rPr>
          <w:rFonts w:hint="eastAsia"/>
          <w:color w:val="auto"/>
        </w:rPr>
        <w:drawing>
          <wp:inline distT="0" distB="0" distL="114300" distR="114300">
            <wp:extent cx="8559800" cy="5455920"/>
            <wp:effectExtent l="57150" t="57150" r="69850" b="68580"/>
            <wp:docPr id="18" name="图片 18" descr="R-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R-C"/>
                    <pic:cNvPicPr>
                      <a:picLocks noChangeAspect="1"/>
                    </pic:cNvPicPr>
                  </pic:nvPicPr>
                  <pic:blipFill>
                    <a:blip r:embed="rId91"/>
                    <a:stretch>
                      <a:fillRect/>
                    </a:stretch>
                  </pic:blipFill>
                  <pic:spPr>
                    <a:xfrm>
                      <a:off x="0" y="0"/>
                      <a:ext cx="8559800" cy="5455920"/>
                    </a:xfrm>
                    <a:prstGeom prst="rect">
                      <a:avLst/>
                    </a:prstGeom>
                    <a:ln w="57150" cmpd="thickThin">
                      <a:solidFill>
                        <a:schemeClr val="tx1"/>
                      </a:solidFill>
                      <a:miter lim="800000"/>
                      <a:headEnd/>
                      <a:tailEnd/>
                    </a:ln>
                  </pic:spPr>
                </pic:pic>
              </a:graphicData>
            </a:graphic>
          </wp:inline>
        </w:drawing>
      </w:r>
    </w:p>
    <w:p w14:paraId="1CBA090C">
      <w:r>
        <w:rPr>
          <w:rFonts w:hint="eastAsia"/>
        </w:rPr>
        <w:br w:type="page"/>
      </w:r>
    </w:p>
    <w:p w14:paraId="27F9C908">
      <w:pPr>
        <w:pStyle w:val="42"/>
        <w:jc w:val="center"/>
        <w:rPr>
          <w:color w:val="auto"/>
        </w:rPr>
        <w:sectPr>
          <w:pgSz w:w="16838" w:h="11906" w:orient="landscape"/>
          <w:pgMar w:top="1531" w:right="1701" w:bottom="1531" w:left="1701" w:header="851" w:footer="851" w:gutter="0"/>
          <w:pgBorders>
            <w:top w:val="none" w:sz="0" w:space="0"/>
            <w:left w:val="none" w:sz="0" w:space="0"/>
            <w:bottom w:val="none" w:sz="0" w:space="0"/>
            <w:right w:val="none" w:sz="0" w:space="0"/>
          </w:pgBorders>
          <w:pgNumType w:fmt="numberInDash"/>
          <w:cols w:space="720" w:num="1"/>
          <w:docGrid w:linePitch="312" w:charSpace="0"/>
        </w:sectPr>
      </w:pPr>
    </w:p>
    <w:p w14:paraId="34A2102C">
      <w:pPr>
        <w:jc w:val="center"/>
      </w:pPr>
      <w:r>
        <w:rPr>
          <w:sz w:val="30"/>
        </w:rPr>
        <mc:AlternateContent>
          <mc:Choice Requires="wps">
            <w:drawing>
              <wp:anchor distT="0" distB="0" distL="114300" distR="114300" simplePos="0" relativeHeight="251672576" behindDoc="0" locked="0" layoutInCell="1" allowOverlap="1">
                <wp:simplePos x="0" y="0"/>
                <wp:positionH relativeFrom="column">
                  <wp:posOffset>3591560</wp:posOffset>
                </wp:positionH>
                <wp:positionV relativeFrom="paragraph">
                  <wp:posOffset>1033780</wp:posOffset>
                </wp:positionV>
                <wp:extent cx="1127125" cy="513715"/>
                <wp:effectExtent l="12700" t="12700" r="403225" b="768985"/>
                <wp:wrapNone/>
                <wp:docPr id="134" name="线形标注 1 134"/>
                <wp:cNvGraphicFramePr/>
                <a:graphic xmlns:a="http://schemas.openxmlformats.org/drawingml/2006/main">
                  <a:graphicData uri="http://schemas.microsoft.com/office/word/2010/wordprocessingShape">
                    <wps:wsp>
                      <wps:cNvSpPr/>
                      <wps:spPr>
                        <a:xfrm>
                          <a:off x="0" y="0"/>
                          <a:ext cx="1127125" cy="513715"/>
                        </a:xfrm>
                        <a:prstGeom prst="borderCallout1">
                          <a:avLst>
                            <a:gd name="adj1" fmla="val 98516"/>
                            <a:gd name="adj2" fmla="val 101070"/>
                            <a:gd name="adj3" fmla="val 248207"/>
                            <a:gd name="adj4" fmla="val 133859"/>
                          </a:avLst>
                        </a:prstGeom>
                        <a:solidFill>
                          <a:srgbClr val="FFFF00"/>
                        </a:solid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7D25D3CD">
                            <w:pPr>
                              <w:jc w:val="center"/>
                              <w:rPr>
                                <w:color w:val="000000" w:themeColor="text1"/>
                                <w14:textOutline w14:w="9525" w14:cap="flat" w14:cmpd="sng" w14:algn="ctr">
                                  <w14:solidFill>
                                    <w14:schemeClr w14:val="tx1"/>
                                  </w14:solidFill>
                                  <w14:prstDash w14:val="solid"/>
                                  <w14:round/>
                                </w14:textOutline>
                                <w14:textFill>
                                  <w14:solidFill>
                                    <w14:schemeClr w14:val="tx1"/>
                                  </w14:solidFill>
                                </w14:textFill>
                              </w:rPr>
                            </w:pPr>
                            <w:r>
                              <w:rPr>
                                <w:rFonts w:hint="eastAsia"/>
                                <w:color w:val="000000" w:themeColor="text1"/>
                                <w14:textOutline w14:w="9525" w14:cap="flat" w14:cmpd="sng" w14:algn="ctr">
                                  <w14:solidFill>
                                    <w14:schemeClr w14:val="tx1"/>
                                  </w14:solidFill>
                                  <w14:prstDash w14:val="solid"/>
                                  <w14:round/>
                                </w14:textOutline>
                                <w14:textFill>
                                  <w14:solidFill>
                                    <w14:schemeClr w14:val="tx1"/>
                                  </w14:solidFill>
                                </w14:textFill>
                              </w:rPr>
                              <w:t>本项目位置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47" type="#_x0000_t47" style="position:absolute;left:0pt;margin-left:282.8pt;margin-top:81.4pt;height:40.45pt;width:88.75pt;z-index:251672576;v-text-anchor:middle;mso-width-relative:page;mso-height-relative:page;" fillcolor="#FFFF00" filled="t" stroked="t" coordsize="21600,21600" o:gfxdata="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" adj="28914,53613,21831,21279">
                <v:fill on="t" focussize="0,0"/>
                <v:stroke weight="2pt" color="#000000 [3213]" joinstyle="round"/>
                <v:imagedata o:title=""/>
                <o:lock v:ext="edit" aspectratio="f"/>
                <v:textbox>
                  <w:txbxContent>
                    <w:p w14:paraId="7D25D3CD">
                      <w:pPr>
                        <w:jc w:val="center"/>
                        <w:rPr>
                          <w:color w:val="000000" w:themeColor="text1"/>
                          <w14:textOutline w14:w="9525" w14:cap="flat" w14:cmpd="sng" w14:algn="ctr">
                            <w14:solidFill>
                              <w14:schemeClr w14:val="tx1"/>
                            </w14:solidFill>
                            <w14:prstDash w14:val="solid"/>
                            <w14:round/>
                          </w14:textOutline>
                          <w14:textFill>
                            <w14:solidFill>
                              <w14:schemeClr w14:val="tx1"/>
                            </w14:solidFill>
                          </w14:textFill>
                        </w:rPr>
                      </w:pPr>
                      <w:r>
                        <w:rPr>
                          <w:rFonts w:hint="eastAsia"/>
                          <w:color w:val="000000" w:themeColor="text1"/>
                          <w14:textOutline w14:w="9525" w14:cap="flat" w14:cmpd="sng" w14:algn="ctr">
                            <w14:solidFill>
                              <w14:schemeClr w14:val="tx1"/>
                            </w14:solidFill>
                            <w14:prstDash w14:val="solid"/>
                            <w14:round/>
                          </w14:textOutline>
                          <w14:textFill>
                            <w14:solidFill>
                              <w14:schemeClr w14:val="tx1"/>
                            </w14:solidFill>
                          </w14:textFill>
                        </w:rPr>
                        <w:t>本项目位置</w:t>
                      </w:r>
                    </w:p>
                  </w:txbxContent>
                </v:textbox>
              </v:shape>
            </w:pict>
          </mc:Fallback>
        </mc:AlternateContent>
      </w:r>
      <w:r>
        <w:rPr>
          <w:sz w:val="30"/>
        </w:rPr>
        <mc:AlternateContent>
          <mc:Choice Requires="wps">
            <w:drawing>
              <wp:anchor distT="0" distB="0" distL="114300" distR="114300" simplePos="0" relativeHeight="251671552" behindDoc="0" locked="0" layoutInCell="1" allowOverlap="1">
                <wp:simplePos x="0" y="0"/>
                <wp:positionH relativeFrom="column">
                  <wp:posOffset>5083175</wp:posOffset>
                </wp:positionH>
                <wp:positionV relativeFrom="paragraph">
                  <wp:posOffset>2314575</wp:posOffset>
                </wp:positionV>
                <wp:extent cx="75565" cy="75565"/>
                <wp:effectExtent l="12700" t="12700" r="26035" b="26035"/>
                <wp:wrapNone/>
                <wp:docPr id="135" name="椭圆 135"/>
                <wp:cNvGraphicFramePr/>
                <a:graphic xmlns:a="http://schemas.openxmlformats.org/drawingml/2006/main">
                  <a:graphicData uri="http://schemas.microsoft.com/office/word/2010/wordprocessingShape">
                    <wps:wsp>
                      <wps:cNvSpPr/>
                      <wps:spPr>
                        <a:xfrm>
                          <a:off x="0" y="0"/>
                          <a:ext cx="75565" cy="75565"/>
                        </a:xfrm>
                        <a:prstGeom prst="ellipse">
                          <a:avLst/>
                        </a:prstGeom>
                        <a:solidFill>
                          <a:srgbClr val="FF0000"/>
                        </a:solid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400.25pt;margin-top:182.25pt;height:5.95pt;width:5.95pt;z-index:251671552;v-text-anchor:middle;mso-width-relative:page;mso-height-relative:page;" fillcolor="#FF0000" filled="t" stroked="t" coordsize="21600,21600" o:gfxdata="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">
                <v:fill on="t" focussize="0,0"/>
                <v:stroke weight="2pt" color="#000000 [3213]" joinstyle="round"/>
                <v:imagedata o:title=""/>
                <o:lock v:ext="edit" aspectratio="f"/>
              </v:shape>
            </w:pict>
          </mc:Fallback>
        </mc:AlternateContent>
      </w:r>
      <w:r>
        <w:rPr>
          <w:rFonts w:hint="eastAsia"/>
        </w:rPr>
        <w:drawing>
          <wp:inline distT="0" distB="0" distL="114300" distR="114300">
            <wp:extent cx="7475220" cy="5285105"/>
            <wp:effectExtent l="57150" t="57150" r="68580" b="67945"/>
            <wp:docPr id="133" name="图片 133" descr="三线一单高清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图片 133" descr="三线一单高清图"/>
                    <pic:cNvPicPr>
                      <a:picLocks noChangeAspect="1"/>
                    </pic:cNvPicPr>
                  </pic:nvPicPr>
                  <pic:blipFill>
                    <a:blip r:embed="rId92"/>
                    <a:stretch>
                      <a:fillRect/>
                    </a:stretch>
                  </pic:blipFill>
                  <pic:spPr>
                    <a:xfrm>
                      <a:off x="0" y="0"/>
                      <a:ext cx="7475220" cy="5285105"/>
                    </a:xfrm>
                    <a:prstGeom prst="rect">
                      <a:avLst/>
                    </a:prstGeom>
                    <a:ln w="57150" cmpd="thickThin">
                      <a:solidFill>
                        <a:schemeClr val="tx1"/>
                      </a:solidFill>
                    </a:ln>
                  </pic:spPr>
                </pic:pic>
              </a:graphicData>
            </a:graphic>
          </wp:inline>
        </w:drawing>
      </w:r>
    </w:p>
    <w:p w14:paraId="485340C6">
      <w:r>
        <mc:AlternateContent>
          <mc:Choice Requires="wps">
            <w:drawing>
              <wp:anchor distT="0" distB="0" distL="114300" distR="114300" simplePos="0" relativeHeight="251670528" behindDoc="0" locked="0" layoutInCell="1" allowOverlap="1">
                <wp:simplePos x="0" y="0"/>
                <wp:positionH relativeFrom="column">
                  <wp:posOffset>2943225</wp:posOffset>
                </wp:positionH>
                <wp:positionV relativeFrom="paragraph">
                  <wp:posOffset>3810</wp:posOffset>
                </wp:positionV>
                <wp:extent cx="1828800" cy="1828800"/>
                <wp:effectExtent l="0" t="0" r="0" b="0"/>
                <wp:wrapSquare wrapText="bothSides"/>
                <wp:docPr id="132" name="文本框 13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575EEB7">
                            <w:pPr>
                              <w:pStyle w:val="3"/>
                              <w:rPr>
                                <w:color w:val="auto"/>
                              </w:rPr>
                            </w:pPr>
                            <w:bookmarkStart w:id="31" w:name="_Toc21049"/>
                            <w:r>
                              <w:rPr>
                                <w:rFonts w:hint="eastAsia"/>
                                <w:color w:val="auto"/>
                              </w:rPr>
                              <w:t>附图2项目“三线一单”位置图</w:t>
                            </w:r>
                            <w:bookmarkEnd w:id="31"/>
                          </w:p>
                        </w:txbxContent>
                      </wps:txbx>
                      <wps:bodyPr rot="0" spcFirstLastPara="0" vertOverflow="overflow" horzOverflow="overflow" vert="horz" wrap="none" lIns="91440" tIns="45720" rIns="91440" bIns="45720" numCol="1" spcCol="0" rtlCol="0" fromWordArt="0" anchor="t" anchorCtr="0" forceAA="0" compatLnSpc="1">
                        <a:spAutoFit/>
                      </wps:bodyPr>
                    </wps:wsp>
                  </a:graphicData>
                </a:graphic>
              </wp:anchor>
            </w:drawing>
          </mc:Choice>
          <mc:Fallback>
            <w:pict>
              <v:shape id="_x0000_s1026" o:spid="_x0000_s1026" o:spt="202" type="#_x0000_t202" style="position:absolute;left:0pt;margin-left:231.75pt;margin-top:0.3pt;height:144pt;width:144pt;mso-wrap-distance-bottom:0pt;mso-wrap-distance-left:9pt;mso-wrap-distance-right:9pt;mso-wrap-distance-top:0pt;mso-wrap-style:none;z-index:251670528;mso-width-relative:page;mso-height-relative:page;" filled="f" stroked="f" coordsize="21600,21600" o:gfxdata="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">
                <v:fill on="f" focussize="0,0"/>
                <v:stroke on="f" weight="0.5pt"/>
                <v:imagedata o:title=""/>
                <o:lock v:ext="edit" aspectratio="f"/>
                <v:textbox style="mso-fit-shape-to-text:t;">
                  <w:txbxContent>
                    <w:p w14:paraId="1575EEB7">
                      <w:pPr>
                        <w:pStyle w:val="3"/>
                        <w:rPr>
                          <w:color w:val="auto"/>
                        </w:rPr>
                      </w:pPr>
                      <w:bookmarkStart w:id="31" w:name="_Toc21049"/>
                      <w:r>
                        <w:rPr>
                          <w:rFonts w:hint="eastAsia"/>
                          <w:color w:val="auto"/>
                        </w:rPr>
                        <w:t>附图2项目“三线一单”位置图</w:t>
                      </w:r>
                      <w:bookmarkEnd w:id="31"/>
                    </w:p>
                  </w:txbxContent>
                </v:textbox>
                <w10:wrap type="square"/>
              </v:shape>
            </w:pict>
          </mc:Fallback>
        </mc:AlternateContent>
      </w:r>
      <w:r>
        <w:rPr>
          <w:rFonts w:hint="eastAsia"/>
        </w:rPr>
        <w:br w:type="page"/>
      </w:r>
    </w:p>
    <w:p w14:paraId="3CE8CF23">
      <w:pPr>
        <w:pStyle w:val="3"/>
        <w:ind w:left="0" w:firstLine="0"/>
        <w:rPr>
          <w:color w:val="auto"/>
        </w:rPr>
      </w:pPr>
      <w:r>
        <w:drawing>
          <wp:anchor distT="0" distB="0" distL="114300" distR="114300" simplePos="0" relativeHeight="251674624" behindDoc="0" locked="0" layoutInCell="1" allowOverlap="1">
            <wp:simplePos x="0" y="0"/>
            <wp:positionH relativeFrom="column">
              <wp:posOffset>6026785</wp:posOffset>
            </wp:positionH>
            <wp:positionV relativeFrom="paragraph">
              <wp:posOffset>796290</wp:posOffset>
            </wp:positionV>
            <wp:extent cx="2118360" cy="1492885"/>
            <wp:effectExtent l="0" t="0" r="15240" b="12065"/>
            <wp:wrapNone/>
            <wp:docPr id="139"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图片 6"/>
                    <pic:cNvPicPr>
                      <a:picLocks noChangeAspect="1"/>
                    </pic:cNvPicPr>
                  </pic:nvPicPr>
                  <pic:blipFill>
                    <a:blip r:embed="rId93"/>
                    <a:stretch>
                      <a:fillRect/>
                    </a:stretch>
                  </pic:blipFill>
                  <pic:spPr>
                    <a:xfrm>
                      <a:off x="0" y="0"/>
                      <a:ext cx="2118360" cy="1492885"/>
                    </a:xfrm>
                    <a:prstGeom prst="rect">
                      <a:avLst/>
                    </a:prstGeom>
                    <a:noFill/>
                    <a:ln>
                      <a:noFill/>
                    </a:ln>
                  </pic:spPr>
                </pic:pic>
              </a:graphicData>
            </a:graphic>
          </wp:anchor>
        </w:drawing>
      </w:r>
      <w:r>
        <mc:AlternateContent>
          <mc:Choice Requires="wps">
            <w:drawing>
              <wp:anchor distT="0" distB="0" distL="114300" distR="114300" simplePos="0" relativeHeight="251673600" behindDoc="0" locked="0" layoutInCell="1" allowOverlap="1">
                <wp:simplePos x="0" y="0"/>
                <wp:positionH relativeFrom="column">
                  <wp:posOffset>2655570</wp:posOffset>
                </wp:positionH>
                <wp:positionV relativeFrom="paragraph">
                  <wp:posOffset>4197985</wp:posOffset>
                </wp:positionV>
                <wp:extent cx="1828800" cy="1828800"/>
                <wp:effectExtent l="0" t="0" r="0" b="0"/>
                <wp:wrapNone/>
                <wp:docPr id="136" name="文本框 13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C786979">
                            <w:pPr>
                              <w:pStyle w:val="3"/>
                              <w:ind w:left="0" w:firstLine="0"/>
                              <w:rPr>
                                <w:color w:val="auto"/>
                              </w:rPr>
                            </w:pPr>
                            <w:r>
                              <w:rPr>
                                <w:rFonts w:hint="eastAsia"/>
                                <w:color w:val="auto"/>
                              </w:rPr>
                              <w:t>附图3本项目“三线一单”查询截图</w:t>
                            </w:r>
                          </w:p>
                        </w:txbxContent>
                      </wps:txbx>
                      <wps:bodyPr rot="0" spcFirstLastPara="0" vertOverflow="overflow" horzOverflow="overflow" vert="horz" wrap="none" lIns="91440" tIns="45720" rIns="91440" bIns="45720" numCol="1" spcCol="0" rtlCol="0" fromWordArt="0" anchor="t" anchorCtr="0" forceAA="0" compatLnSpc="1">
                        <a:spAutoFit/>
                      </wps:bodyPr>
                    </wps:wsp>
                  </a:graphicData>
                </a:graphic>
              </wp:anchor>
            </w:drawing>
          </mc:Choice>
          <mc:Fallback>
            <w:pict>
              <v:shape id="_x0000_s1026" o:spid="_x0000_s1026" o:spt="202" type="#_x0000_t202" style="position:absolute;left:0pt;margin-left:209.1pt;margin-top:330.55pt;height:144pt;width:144pt;mso-wrap-style:none;z-index:251673600;mso-width-relative:page;mso-height-relative:page;" filled="f" stroked="f" coordsize="21600,21600" o:gfxdata="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">
                <v:fill on="f" focussize="0,0"/>
                <v:stroke on="f" weight="0.5pt"/>
                <v:imagedata o:title=""/>
                <o:lock v:ext="edit" aspectratio="f"/>
                <v:textbox style="mso-fit-shape-to-text:t;">
                  <w:txbxContent>
                    <w:p w14:paraId="6C786979">
                      <w:pPr>
                        <w:pStyle w:val="3"/>
                        <w:ind w:left="0" w:firstLine="0"/>
                        <w:rPr>
                          <w:color w:val="auto"/>
                        </w:rPr>
                      </w:pPr>
                      <w:r>
                        <w:rPr>
                          <w:rFonts w:hint="eastAsia"/>
                          <w:color w:val="auto"/>
                        </w:rPr>
                        <w:t>附图3本项目“三线一单”查询截图</w:t>
                      </w:r>
                    </w:p>
                  </w:txbxContent>
                </v:textbox>
              </v:shape>
            </w:pict>
          </mc:Fallback>
        </mc:AlternateContent>
      </w:r>
      <w:r>
        <w:drawing>
          <wp:inline distT="0" distB="0" distL="114300" distR="114300">
            <wp:extent cx="8434705" cy="4046220"/>
            <wp:effectExtent l="57150" t="57150" r="61595" b="68580"/>
            <wp:docPr id="137"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图片 4"/>
                    <pic:cNvPicPr>
                      <a:picLocks noChangeAspect="1"/>
                    </pic:cNvPicPr>
                  </pic:nvPicPr>
                  <pic:blipFill>
                    <a:blip r:embed="rId94"/>
                    <a:stretch>
                      <a:fillRect/>
                    </a:stretch>
                  </pic:blipFill>
                  <pic:spPr>
                    <a:xfrm>
                      <a:off x="0" y="0"/>
                      <a:ext cx="8434705" cy="4046220"/>
                    </a:xfrm>
                    <a:prstGeom prst="rect">
                      <a:avLst/>
                    </a:prstGeom>
                    <a:noFill/>
                    <a:ln w="57150" cmpd="thickThin">
                      <a:solidFill>
                        <a:schemeClr val="tx1"/>
                      </a:solidFill>
                      <a:miter lim="800000"/>
                      <a:headEnd/>
                      <a:tailEnd/>
                    </a:ln>
                  </pic:spPr>
                </pic:pic>
              </a:graphicData>
            </a:graphic>
          </wp:inline>
        </w:drawing>
      </w:r>
    </w:p>
    <w:p w14:paraId="4A5F3812">
      <w:pPr>
        <w:pStyle w:val="3"/>
        <w:ind w:left="0" w:firstLine="0"/>
        <w:rPr>
          <w:color w:val="auto"/>
        </w:rPr>
      </w:pPr>
    </w:p>
    <w:p w14:paraId="41F6F9E2">
      <w:pPr>
        <w:pStyle w:val="3"/>
        <w:ind w:left="0" w:firstLine="0"/>
        <w:rPr>
          <w:color w:val="auto"/>
        </w:rPr>
      </w:pPr>
    </w:p>
    <w:p w14:paraId="3ADD29CB">
      <w:pPr>
        <w:pStyle w:val="3"/>
        <w:ind w:left="0" w:firstLine="0"/>
        <w:rPr>
          <w:color w:val="auto"/>
        </w:rPr>
      </w:pPr>
    </w:p>
    <w:p w14:paraId="519930A7">
      <w:pPr>
        <w:sectPr>
          <w:pgSz w:w="16838" w:h="11906" w:orient="landscape"/>
          <w:pgMar w:top="1531" w:right="1701" w:bottom="1531" w:left="1701" w:header="851" w:footer="851" w:gutter="0"/>
          <w:pgBorders>
            <w:top w:val="none" w:sz="0" w:space="0"/>
            <w:left w:val="none" w:sz="0" w:space="0"/>
            <w:bottom w:val="none" w:sz="0" w:space="0"/>
            <w:right w:val="none" w:sz="0" w:space="0"/>
          </w:pgBorders>
          <w:pgNumType w:fmt="numberInDash"/>
          <w:cols w:space="720" w:num="1"/>
          <w:docGrid w:linePitch="312" w:charSpace="0"/>
        </w:sectPr>
      </w:pPr>
      <w:r>
        <mc:AlternateContent>
          <mc:Choice Requires="wps">
            <w:drawing>
              <wp:anchor distT="0" distB="0" distL="114300" distR="114300" simplePos="0" relativeHeight="251662336" behindDoc="0" locked="0" layoutInCell="1" allowOverlap="1">
                <wp:simplePos x="0" y="0"/>
                <wp:positionH relativeFrom="column">
                  <wp:posOffset>4378960</wp:posOffset>
                </wp:positionH>
                <wp:positionV relativeFrom="paragraph">
                  <wp:posOffset>3901440</wp:posOffset>
                </wp:positionV>
                <wp:extent cx="75565" cy="75565"/>
                <wp:effectExtent l="4445" t="4445" r="15240" b="15240"/>
                <wp:wrapNone/>
                <wp:docPr id="36" name="椭圆 63"/>
                <wp:cNvGraphicFramePr/>
                <a:graphic xmlns:a="http://schemas.openxmlformats.org/drawingml/2006/main">
                  <a:graphicData uri="http://schemas.microsoft.com/office/word/2010/wordprocessingShape">
                    <wps:wsp>
                      <wps:cNvSpPr/>
                      <wps:spPr>
                        <a:xfrm>
                          <a:off x="0" y="0"/>
                          <a:ext cx="75565" cy="75565"/>
                        </a:xfrm>
                        <a:prstGeom prst="ellipse">
                          <a:avLst/>
                        </a:prstGeom>
                        <a:solidFill>
                          <a:srgbClr val="FF0000"/>
                        </a:solidFill>
                        <a:ln w="9525" cap="flat" cmpd="sng">
                          <a:solidFill>
                            <a:srgbClr val="000000"/>
                          </a:solidFill>
                          <a:prstDash val="solid"/>
                          <a:headEnd type="none" w="med" len="med"/>
                          <a:tailEnd type="none" w="med" len="med"/>
                        </a:ln>
                      </wps:spPr>
                      <wps:bodyPr vert="horz" wrap="square" anchor="t" anchorCtr="0" upright="1"/>
                    </wps:wsp>
                  </a:graphicData>
                </a:graphic>
              </wp:anchor>
            </w:drawing>
          </mc:Choice>
          <mc:Fallback>
            <w:pict>
              <v:shape id="椭圆 63" o:spid="_x0000_s1026" o:spt="3" type="#_x0000_t3" style="position:absolute;left:0pt;margin-left:344.8pt;margin-top:307.2pt;height:5.95pt;width:5.95pt;z-index:251662336;mso-width-relative:page;mso-height-relative:page;" fillcolor="#FF0000" filled="t" stroked="t" coordsize="21600,21600" o:gfxdata="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">
                <v:fill on="t" focussize="0,0"/>
                <v:stroke color="#000000" joinstyle="round"/>
                <v:imagedata o:title=""/>
                <o:lock v:ext="edit" aspectratio="f"/>
              </v:shape>
            </w:pict>
          </mc:Fallback>
        </mc:AlternateContent>
      </w:r>
      <w:r>
        <mc:AlternateContent>
          <mc:Choice Requires="wps">
            <w:drawing>
              <wp:anchor distT="0" distB="0" distL="114300" distR="114300" simplePos="0" relativeHeight="251661312" behindDoc="0" locked="0" layoutInCell="1" allowOverlap="1">
                <wp:simplePos x="0" y="0"/>
                <wp:positionH relativeFrom="column">
                  <wp:posOffset>2532380</wp:posOffset>
                </wp:positionH>
                <wp:positionV relativeFrom="paragraph">
                  <wp:posOffset>3445510</wp:posOffset>
                </wp:positionV>
                <wp:extent cx="891540" cy="384810"/>
                <wp:effectExtent l="4445" t="4445" r="1028065" b="125095"/>
                <wp:wrapNone/>
                <wp:docPr id="35" name="自选图形 62"/>
                <wp:cNvGraphicFramePr/>
                <a:graphic xmlns:a="http://schemas.openxmlformats.org/drawingml/2006/main">
                  <a:graphicData uri="http://schemas.microsoft.com/office/word/2010/wordprocessingShape">
                    <wps:wsp>
                      <wps:cNvSpPr/>
                      <wps:spPr>
                        <a:xfrm>
                          <a:off x="0" y="0"/>
                          <a:ext cx="891540" cy="384810"/>
                        </a:xfrm>
                        <a:prstGeom prst="wedgeRectCallout">
                          <a:avLst>
                            <a:gd name="adj1" fmla="val 160898"/>
                            <a:gd name="adj2" fmla="val 79042"/>
                          </a:avLst>
                        </a:prstGeom>
                        <a:solidFill>
                          <a:srgbClr val="FFFF00"/>
                        </a:solidFill>
                        <a:ln w="9525" cap="flat" cmpd="sng">
                          <a:solidFill>
                            <a:srgbClr val="000000"/>
                          </a:solidFill>
                          <a:prstDash val="solid"/>
                          <a:miter/>
                          <a:headEnd type="none" w="med" len="med"/>
                          <a:tailEnd type="none" w="med" len="med"/>
                        </a:ln>
                      </wps:spPr>
                      <wps:txbx>
                        <w:txbxContent>
                          <w:p w14:paraId="771F9405">
                            <w:r>
                              <w:rPr>
                                <w:rFonts w:hint="eastAsia"/>
                              </w:rPr>
                              <w:t>本项目位置</w:t>
                            </w:r>
                          </w:p>
                        </w:txbxContent>
                      </wps:txbx>
                      <wps:bodyPr vert="horz" wrap="square" anchor="t" anchorCtr="0" upright="1"/>
                    </wps:wsp>
                  </a:graphicData>
                </a:graphic>
              </wp:anchor>
            </w:drawing>
          </mc:Choice>
          <mc:Fallback>
            <w:pict>
              <v:shape id="自选图形 62" o:spid="_x0000_s1026" o:spt="61" type="#_x0000_t61" style="position:absolute;left:0pt;margin-left:199.4pt;margin-top:271.3pt;height:30.3pt;width:70.2pt;z-index:251661312;mso-width-relative:page;mso-height-relative:page;" fillcolor="#FFFF00" filled="t" stroked="t" coordsize="21600,21600" o:gfxdata="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" adj="45554,27873">
                <v:fill on="t" focussize="0,0"/>
                <v:stroke color="#000000" joinstyle="miter"/>
                <v:imagedata o:title=""/>
                <o:lock v:ext="edit" aspectratio="f"/>
                <v:textbox>
                  <w:txbxContent>
                    <w:p w14:paraId="771F9405">
                      <w:r>
                        <w:rPr>
                          <w:rFonts w:hint="eastAsia"/>
                        </w:rPr>
                        <w:t>本项目位置</w:t>
                      </w:r>
                    </w:p>
                  </w:txbxContent>
                </v:textbox>
              </v:shape>
            </w:pict>
          </mc:Fallback>
        </mc:AlternateContent>
      </w:r>
    </w:p>
    <w:p w14:paraId="7CEC63AF">
      <w:pPr>
        <w:jc w:val="center"/>
        <w:sectPr>
          <w:pgSz w:w="16838" w:h="11906" w:orient="landscape"/>
          <w:pgMar w:top="1531" w:right="1701" w:bottom="1531" w:left="1701" w:header="851" w:footer="851" w:gutter="0"/>
          <w:pgBorders>
            <w:top w:val="none" w:sz="0" w:space="0"/>
            <w:left w:val="none" w:sz="0" w:space="0"/>
            <w:bottom w:val="none" w:sz="0" w:space="0"/>
            <w:right w:val="none" w:sz="0" w:space="0"/>
          </w:pgBorders>
          <w:pgNumType w:fmt="numberInDash"/>
          <w:cols w:space="720" w:num="1"/>
          <w:docGrid w:linePitch="312" w:charSpace="0"/>
        </w:sectPr>
      </w:pPr>
      <w:bookmarkStart w:id="30" w:name="_Toc26413"/>
      <w:r>
        <w:drawing>
          <wp:anchor distT="0" distB="0" distL="114300" distR="114300" simplePos="0" relativeHeight="251712512" behindDoc="0" locked="0" layoutInCell="1" allowOverlap="1">
            <wp:simplePos x="0" y="0"/>
            <wp:positionH relativeFrom="column">
              <wp:posOffset>121920</wp:posOffset>
            </wp:positionH>
            <wp:positionV relativeFrom="paragraph">
              <wp:posOffset>93345</wp:posOffset>
            </wp:positionV>
            <wp:extent cx="2492375" cy="1649095"/>
            <wp:effectExtent l="0" t="0" r="3175" b="8255"/>
            <wp:wrapNone/>
            <wp:docPr id="31"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5"/>
                    <pic:cNvPicPr>
                      <a:picLocks noChangeAspect="1"/>
                    </pic:cNvPicPr>
                  </pic:nvPicPr>
                  <pic:blipFill>
                    <a:blip r:embed="rId95"/>
                    <a:stretch>
                      <a:fillRect/>
                    </a:stretch>
                  </pic:blipFill>
                  <pic:spPr>
                    <a:xfrm>
                      <a:off x="0" y="0"/>
                      <a:ext cx="2492375" cy="1649095"/>
                    </a:xfrm>
                    <a:prstGeom prst="rect">
                      <a:avLst/>
                    </a:prstGeom>
                    <a:noFill/>
                    <a:ln>
                      <a:noFill/>
                    </a:ln>
                  </pic:spPr>
                </pic:pic>
              </a:graphicData>
            </a:graphic>
          </wp:anchor>
        </w:drawing>
      </w:r>
      <w:r>
        <w:drawing>
          <wp:anchor distT="0" distB="0" distL="114300" distR="114300" simplePos="0" relativeHeight="251676672" behindDoc="0" locked="0" layoutInCell="1" allowOverlap="1">
            <wp:simplePos x="0" y="0"/>
            <wp:positionH relativeFrom="column">
              <wp:posOffset>8056880</wp:posOffset>
            </wp:positionH>
            <wp:positionV relativeFrom="paragraph">
              <wp:posOffset>74295</wp:posOffset>
            </wp:positionV>
            <wp:extent cx="514350" cy="752475"/>
            <wp:effectExtent l="0" t="0" r="0" b="9525"/>
            <wp:wrapNone/>
            <wp:docPr id="29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 name="图片 1"/>
                    <pic:cNvPicPr>
                      <a:picLocks noChangeAspect="1"/>
                    </pic:cNvPicPr>
                  </pic:nvPicPr>
                  <pic:blipFill>
                    <a:blip r:embed="rId96"/>
                    <a:stretch>
                      <a:fillRect/>
                    </a:stretch>
                  </pic:blipFill>
                  <pic:spPr>
                    <a:xfrm>
                      <a:off x="0" y="0"/>
                      <a:ext cx="514350" cy="752475"/>
                    </a:xfrm>
                    <a:prstGeom prst="rect">
                      <a:avLst/>
                    </a:prstGeom>
                    <a:noFill/>
                    <a:ln>
                      <a:solidFill>
                        <a:schemeClr val="accent1"/>
                      </a:solidFill>
                    </a:ln>
                  </pic:spPr>
                </pic:pic>
              </a:graphicData>
            </a:graphic>
          </wp:anchor>
        </w:drawing>
      </w:r>
      <w:r>
        <mc:AlternateContent>
          <mc:Choice Requires="wps">
            <w:drawing>
              <wp:anchor distT="0" distB="0" distL="114300" distR="114300" simplePos="0" relativeHeight="251687936" behindDoc="0" locked="0" layoutInCell="1" allowOverlap="1">
                <wp:simplePos x="0" y="0"/>
                <wp:positionH relativeFrom="column">
                  <wp:posOffset>6422390</wp:posOffset>
                </wp:positionH>
                <wp:positionV relativeFrom="paragraph">
                  <wp:posOffset>3809365</wp:posOffset>
                </wp:positionV>
                <wp:extent cx="210820" cy="163830"/>
                <wp:effectExtent l="12700" t="12700" r="24130" b="13970"/>
                <wp:wrapNone/>
                <wp:docPr id="161" name="矩形 161"/>
                <wp:cNvGraphicFramePr/>
                <a:graphic xmlns:a="http://schemas.openxmlformats.org/drawingml/2006/main">
                  <a:graphicData uri="http://schemas.microsoft.com/office/word/2010/wordprocessingShape">
                    <wps:wsp>
                      <wps:cNvSpPr/>
                      <wps:spPr>
                        <a:xfrm>
                          <a:off x="0" y="0"/>
                          <a:ext cx="210820" cy="163830"/>
                        </a:xfrm>
                        <a:prstGeom prst="rect">
                          <a:avLst/>
                        </a:prstGeom>
                        <a:solidFill>
                          <a:srgbClr val="41457E"/>
                        </a:solid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505.7pt;margin-top:299.95pt;height:12.9pt;width:16.6pt;z-index:251687936;v-text-anchor:middle;mso-width-relative:page;mso-height-relative:page;" fillcolor="#41457E" filled="t" stroked="t" coordsize="21600,21600" o:gfxdata="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">
                <v:fill on="t" focussize="0,0"/>
                <v:stroke weight="2pt" color="#FF0000 [2404]" joinstyle="round"/>
                <v:imagedata o:title=""/>
                <o:lock v:ext="edit" aspectratio="f"/>
              </v:rect>
            </w:pict>
          </mc:Fallback>
        </mc:AlternateContent>
      </w:r>
      <w:r>
        <mc:AlternateContent>
          <mc:Choice Requires="wps">
            <w:drawing>
              <wp:anchor distT="0" distB="0" distL="114300" distR="114300" simplePos="0" relativeHeight="251686912" behindDoc="0" locked="0" layoutInCell="1" allowOverlap="1">
                <wp:simplePos x="0" y="0"/>
                <wp:positionH relativeFrom="column">
                  <wp:posOffset>6419850</wp:posOffset>
                </wp:positionH>
                <wp:positionV relativeFrom="paragraph">
                  <wp:posOffset>3480435</wp:posOffset>
                </wp:positionV>
                <wp:extent cx="210820" cy="163830"/>
                <wp:effectExtent l="12700" t="12700" r="24130" b="13970"/>
                <wp:wrapNone/>
                <wp:docPr id="160" name="矩形 160"/>
                <wp:cNvGraphicFramePr/>
                <a:graphic xmlns:a="http://schemas.openxmlformats.org/drawingml/2006/main">
                  <a:graphicData uri="http://schemas.microsoft.com/office/word/2010/wordprocessingShape">
                    <wps:wsp>
                      <wps:cNvSpPr/>
                      <wps:spPr>
                        <a:xfrm>
                          <a:off x="0" y="0"/>
                          <a:ext cx="210820" cy="163830"/>
                        </a:xfrm>
                        <a:prstGeom prst="rect">
                          <a:avLst/>
                        </a:prstGeom>
                        <a:no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505.5pt;margin-top:274.05pt;height:12.9pt;width:16.6pt;z-index:251686912;v-text-anchor:middle;mso-width-relative:page;mso-height-relative:page;" filled="f" stroked="t" coordsize="21600,21600" o:gfxdata="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">
                <v:fill on="f" focussize="0,0"/>
                <v:stroke weight="2pt" color="#FF0000 [2404]" joinstyle="round"/>
                <v:imagedata o:title=""/>
                <o:lock v:ext="edit" aspectratio="f"/>
              </v:rect>
            </w:pict>
          </mc:Fallback>
        </mc:AlternateContent>
      </w:r>
      <w:r>
        <mc:AlternateContent>
          <mc:Choice Requires="wps">
            <w:drawing>
              <wp:anchor distT="0" distB="0" distL="114300" distR="114300" simplePos="0" relativeHeight="251685888" behindDoc="0" locked="0" layoutInCell="1" allowOverlap="1">
                <wp:simplePos x="0" y="0"/>
                <wp:positionH relativeFrom="column">
                  <wp:posOffset>6410325</wp:posOffset>
                </wp:positionH>
                <wp:positionV relativeFrom="paragraph">
                  <wp:posOffset>3117215</wp:posOffset>
                </wp:positionV>
                <wp:extent cx="210820" cy="163830"/>
                <wp:effectExtent l="12700" t="12700" r="24130" b="13970"/>
                <wp:wrapNone/>
                <wp:docPr id="159" name="矩形 159"/>
                <wp:cNvGraphicFramePr/>
                <a:graphic xmlns:a="http://schemas.openxmlformats.org/drawingml/2006/main">
                  <a:graphicData uri="http://schemas.microsoft.com/office/word/2010/wordprocessingShape">
                    <wps:wsp>
                      <wps:cNvSpPr/>
                      <wps:spPr>
                        <a:xfrm>
                          <a:off x="0" y="0"/>
                          <a:ext cx="210820" cy="163830"/>
                        </a:xfrm>
                        <a:prstGeom prst="rect">
                          <a:avLst/>
                        </a:prstGeom>
                        <a:noFill/>
                        <a:ln>
                          <a:solidFill>
                            <a:srgbClr val="0AE13F"/>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504.75pt;margin-top:245.45pt;height:12.9pt;width:16.6pt;z-index:251685888;v-text-anchor:middle;mso-width-relative:page;mso-height-relative:page;" filled="f" stroked="t" coordsize="21600,21600" o:gfxdata="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">
                <v:fill on="f" focussize="0,0"/>
                <v:stroke weight="2pt" color="#0AE13F [2404]" joinstyle="round"/>
                <v:imagedata o:title=""/>
                <o:lock v:ext="edit" aspectratio="f"/>
              </v:rect>
            </w:pict>
          </mc:Fallback>
        </mc:AlternateContent>
      </w:r>
      <w:r>
        <mc:AlternateContent>
          <mc:Choice Requires="wps">
            <w:drawing>
              <wp:anchor distT="0" distB="0" distL="114300" distR="114300" simplePos="0" relativeHeight="251684864" behindDoc="0" locked="0" layoutInCell="1" allowOverlap="1">
                <wp:simplePos x="0" y="0"/>
                <wp:positionH relativeFrom="column">
                  <wp:posOffset>6400800</wp:posOffset>
                </wp:positionH>
                <wp:positionV relativeFrom="paragraph">
                  <wp:posOffset>2767965</wp:posOffset>
                </wp:positionV>
                <wp:extent cx="210820" cy="163830"/>
                <wp:effectExtent l="12700" t="12700" r="24130" b="13970"/>
                <wp:wrapNone/>
                <wp:docPr id="158" name="矩形 158"/>
                <wp:cNvGraphicFramePr/>
                <a:graphic xmlns:a="http://schemas.openxmlformats.org/drawingml/2006/main">
                  <a:graphicData uri="http://schemas.microsoft.com/office/word/2010/wordprocessingShape">
                    <wps:wsp>
                      <wps:cNvSpPr/>
                      <wps:spPr>
                        <a:xfrm>
                          <a:off x="7522210" y="3794125"/>
                          <a:ext cx="210820" cy="163830"/>
                        </a:xfrm>
                        <a:prstGeom prst="rect">
                          <a:avLst/>
                        </a:prstGeom>
                        <a:noFill/>
                        <a:ln>
                          <a:solidFill>
                            <a:srgbClr val="05F6F6"/>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504pt;margin-top:217.95pt;height:12.9pt;width:16.6pt;z-index:251684864;v-text-anchor:middle;mso-width-relative:page;mso-height-relative:page;" filled="f" stroked="t" coordsize="21600,21600" o:gfxdata="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">
                <v:fill on="f" focussize="0,0"/>
                <v:stroke weight="2pt" color="#05F6F6 [2404]" joinstyle="round"/>
                <v:imagedata o:title=""/>
                <o:lock v:ext="edit" aspectratio="f"/>
              </v:rect>
            </w:pict>
          </mc:Fallback>
        </mc:AlternateContent>
      </w:r>
      <w:r>
        <mc:AlternateContent>
          <mc:Choice Requires="wps">
            <w:drawing>
              <wp:anchor distT="0" distB="0" distL="114300" distR="114300" simplePos="0" relativeHeight="251675648" behindDoc="0" locked="0" layoutInCell="1" allowOverlap="1">
                <wp:simplePos x="0" y="0"/>
                <wp:positionH relativeFrom="column">
                  <wp:posOffset>6292215</wp:posOffset>
                </wp:positionH>
                <wp:positionV relativeFrom="paragraph">
                  <wp:posOffset>2463800</wp:posOffset>
                </wp:positionV>
                <wp:extent cx="1880235" cy="1694180"/>
                <wp:effectExtent l="5080" t="4445" r="19685" b="15875"/>
                <wp:wrapNone/>
                <wp:docPr id="144" name="文本框 144"/>
                <wp:cNvGraphicFramePr/>
                <a:graphic xmlns:a="http://schemas.openxmlformats.org/drawingml/2006/main">
                  <a:graphicData uri="http://schemas.microsoft.com/office/word/2010/wordprocessingShape">
                    <wps:wsp>
                      <wps:cNvSpPr txBox="1"/>
                      <wps:spPr>
                        <a:xfrm>
                          <a:off x="7936865" y="2214245"/>
                          <a:ext cx="1880235" cy="1694180"/>
                        </a:xfrm>
                        <a:prstGeom prst="rect">
                          <a:avLst/>
                        </a:prstGeom>
                        <a:solidFill>
                          <a:schemeClr val="lt1">
                            <a:alpha val="48000"/>
                          </a:schemeClr>
                        </a:solidFill>
                        <a:ln w="6350">
                          <a:solidFill>
                            <a:schemeClr val="tx1"/>
                          </a:solidFill>
                        </a:ln>
                      </wps:spPr>
                      <wps:style>
                        <a:lnRef idx="0">
                          <a:schemeClr val="accent1"/>
                        </a:lnRef>
                        <a:fillRef idx="0">
                          <a:schemeClr val="accent1"/>
                        </a:fillRef>
                        <a:effectRef idx="0">
                          <a:schemeClr val="accent1"/>
                        </a:effectRef>
                        <a:fontRef idx="minor">
                          <a:schemeClr val="dk1"/>
                        </a:fontRef>
                      </wps:style>
                      <wps:txbx>
                        <w:txbxContent>
                          <w:p w14:paraId="3E679C75">
                            <w:pPr>
                              <w:spacing w:line="360" w:lineRule="auto"/>
                              <w:jc w:val="center"/>
                              <w:rPr>
                                <w:b/>
                                <w:bCs/>
                              </w:rPr>
                            </w:pPr>
                            <w:r>
                              <w:rPr>
                                <w:rFonts w:hint="eastAsia"/>
                                <w:b/>
                                <w:bCs/>
                              </w:rPr>
                              <w:t>图例</w:t>
                            </w:r>
                          </w:p>
                          <w:p w14:paraId="27EA03C8">
                            <w:pPr>
                              <w:pStyle w:val="2"/>
                              <w:spacing w:line="480" w:lineRule="auto"/>
                              <w:ind w:firstLine="422" w:firstLineChars="200"/>
                              <w:rPr>
                                <w:b/>
                                <w:bCs/>
                                <w:sz w:val="21"/>
                                <w:szCs w:val="21"/>
                              </w:rPr>
                            </w:pPr>
                            <w:r>
                              <w:rPr>
                                <w:rFonts w:hint="eastAsia"/>
                                <w:b/>
                                <w:bCs/>
                                <w:sz w:val="21"/>
                                <w:szCs w:val="21"/>
                              </w:rPr>
                              <w:t>大气环境调查范围</w:t>
                            </w:r>
                            <w:r>
                              <w:rPr>
                                <w:rFonts w:hint="eastAsia"/>
                                <w:b/>
                                <w:bCs/>
                                <w:sz w:val="20"/>
                                <w:szCs w:val="22"/>
                                <w:lang w:val="en-US" w:eastAsia="zh-CN"/>
                              </w:rPr>
                              <w:t>500m</w:t>
                            </w:r>
                          </w:p>
                          <w:p w14:paraId="579FC9E0">
                            <w:pPr>
                              <w:spacing w:line="480" w:lineRule="auto"/>
                              <w:ind w:firstLine="422" w:firstLineChars="200"/>
                              <w:rPr>
                                <w:rFonts w:hint="default" w:eastAsia="宋体"/>
                                <w:b/>
                                <w:bCs/>
                                <w:szCs w:val="21"/>
                                <w:lang w:val="en-US" w:eastAsia="zh-CN"/>
                              </w:rPr>
                            </w:pPr>
                            <w:r>
                              <w:rPr>
                                <w:rFonts w:hint="eastAsia"/>
                                <w:b/>
                                <w:bCs/>
                                <w:szCs w:val="21"/>
                              </w:rPr>
                              <w:t>声环境调查范围</w:t>
                            </w:r>
                            <w:r>
                              <w:rPr>
                                <w:rFonts w:hint="eastAsia"/>
                                <w:b/>
                                <w:bCs/>
                                <w:szCs w:val="21"/>
                                <w:lang w:val="en-US" w:eastAsia="zh-CN"/>
                              </w:rPr>
                              <w:t>50m</w:t>
                            </w:r>
                          </w:p>
                          <w:p w14:paraId="28107563">
                            <w:pPr>
                              <w:pStyle w:val="2"/>
                              <w:spacing w:line="480" w:lineRule="auto"/>
                              <w:ind w:firstLine="422" w:firstLineChars="200"/>
                              <w:rPr>
                                <w:b/>
                                <w:bCs/>
                                <w:sz w:val="21"/>
                                <w:szCs w:val="21"/>
                              </w:rPr>
                            </w:pPr>
                            <w:r>
                              <w:rPr>
                                <w:rFonts w:hint="eastAsia"/>
                                <w:b/>
                                <w:bCs/>
                                <w:sz w:val="21"/>
                                <w:szCs w:val="21"/>
                              </w:rPr>
                              <w:t>本项目厂区</w:t>
                            </w:r>
                          </w:p>
                          <w:p w14:paraId="1A7416BB">
                            <w:pPr>
                              <w:pStyle w:val="2"/>
                              <w:spacing w:line="480" w:lineRule="auto"/>
                              <w:ind w:firstLine="422" w:firstLineChars="200"/>
                              <w:rPr>
                                <w:b/>
                                <w:bCs/>
                                <w:sz w:val="21"/>
                                <w:szCs w:val="21"/>
                              </w:rPr>
                            </w:pPr>
                            <w:r>
                              <w:rPr>
                                <w:rFonts w:hint="eastAsia"/>
                                <w:b/>
                                <w:bCs/>
                                <w:sz w:val="21"/>
                                <w:szCs w:val="21"/>
                              </w:rPr>
                              <w:t>敏感目标</w:t>
                            </w:r>
                          </w:p>
                          <w:p w14:paraId="7298CD83">
                            <w:pPr>
                              <w:pStyle w:val="2"/>
                            </w:pPr>
                          </w:p>
                          <w:p w14:paraId="6B1102AA">
                            <w:pPr>
                              <w:pStyle w:val="2"/>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95.45pt;margin-top:194pt;height:133.4pt;width:148.05pt;z-index:251675648;mso-width-relative:page;mso-height-relative:page;" fillcolor="#FFFFFF [3201]" filled="t" stroked="t" coordsize="21600,21600" o:gfxdata="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">
                <v:fill on="t" opacity="31457f" focussize="0,0"/>
                <v:stroke weight="0.5pt" color="#000000 [3213]" joinstyle="round"/>
                <v:imagedata o:title=""/>
                <o:lock v:ext="edit" aspectratio="f"/>
                <v:textbox>
                  <w:txbxContent>
                    <w:p w14:paraId="3E679C75">
                      <w:pPr>
                        <w:spacing w:line="360" w:lineRule="auto"/>
                        <w:jc w:val="center"/>
                        <w:rPr>
                          <w:b/>
                          <w:bCs/>
                        </w:rPr>
                      </w:pPr>
                      <w:r>
                        <w:rPr>
                          <w:rFonts w:hint="eastAsia"/>
                          <w:b/>
                          <w:bCs/>
                        </w:rPr>
                        <w:t>图例</w:t>
                      </w:r>
                    </w:p>
                    <w:p w14:paraId="27EA03C8">
                      <w:pPr>
                        <w:pStyle w:val="2"/>
                        <w:spacing w:line="480" w:lineRule="auto"/>
                        <w:ind w:firstLine="422" w:firstLineChars="200"/>
                        <w:rPr>
                          <w:b/>
                          <w:bCs/>
                          <w:sz w:val="21"/>
                          <w:szCs w:val="21"/>
                        </w:rPr>
                      </w:pPr>
                      <w:r>
                        <w:rPr>
                          <w:rFonts w:hint="eastAsia"/>
                          <w:b/>
                          <w:bCs/>
                          <w:sz w:val="21"/>
                          <w:szCs w:val="21"/>
                        </w:rPr>
                        <w:t>大气环境调查范围</w:t>
                      </w:r>
                      <w:r>
                        <w:rPr>
                          <w:rFonts w:hint="eastAsia"/>
                          <w:b/>
                          <w:bCs/>
                          <w:sz w:val="20"/>
                          <w:szCs w:val="22"/>
                          <w:lang w:val="en-US" w:eastAsia="zh-CN"/>
                        </w:rPr>
                        <w:t>500m</w:t>
                      </w:r>
                    </w:p>
                    <w:p w14:paraId="579FC9E0">
                      <w:pPr>
                        <w:spacing w:line="480" w:lineRule="auto"/>
                        <w:ind w:firstLine="422" w:firstLineChars="200"/>
                        <w:rPr>
                          <w:rFonts w:hint="default" w:eastAsia="宋体"/>
                          <w:b/>
                          <w:bCs/>
                          <w:szCs w:val="21"/>
                          <w:lang w:val="en-US" w:eastAsia="zh-CN"/>
                        </w:rPr>
                      </w:pPr>
                      <w:r>
                        <w:rPr>
                          <w:rFonts w:hint="eastAsia"/>
                          <w:b/>
                          <w:bCs/>
                          <w:szCs w:val="21"/>
                        </w:rPr>
                        <w:t>声环境调查范围</w:t>
                      </w:r>
                      <w:r>
                        <w:rPr>
                          <w:rFonts w:hint="eastAsia"/>
                          <w:b/>
                          <w:bCs/>
                          <w:szCs w:val="21"/>
                          <w:lang w:val="en-US" w:eastAsia="zh-CN"/>
                        </w:rPr>
                        <w:t>50m</w:t>
                      </w:r>
                    </w:p>
                    <w:p w14:paraId="28107563">
                      <w:pPr>
                        <w:pStyle w:val="2"/>
                        <w:spacing w:line="480" w:lineRule="auto"/>
                        <w:ind w:firstLine="422" w:firstLineChars="200"/>
                        <w:rPr>
                          <w:b/>
                          <w:bCs/>
                          <w:sz w:val="21"/>
                          <w:szCs w:val="21"/>
                        </w:rPr>
                      </w:pPr>
                      <w:r>
                        <w:rPr>
                          <w:rFonts w:hint="eastAsia"/>
                          <w:b/>
                          <w:bCs/>
                          <w:sz w:val="21"/>
                          <w:szCs w:val="21"/>
                        </w:rPr>
                        <w:t>本项目厂区</w:t>
                      </w:r>
                    </w:p>
                    <w:p w14:paraId="1A7416BB">
                      <w:pPr>
                        <w:pStyle w:val="2"/>
                        <w:spacing w:line="480" w:lineRule="auto"/>
                        <w:ind w:firstLine="422" w:firstLineChars="200"/>
                        <w:rPr>
                          <w:b/>
                          <w:bCs/>
                          <w:sz w:val="21"/>
                          <w:szCs w:val="21"/>
                        </w:rPr>
                      </w:pPr>
                      <w:r>
                        <w:rPr>
                          <w:rFonts w:hint="eastAsia"/>
                          <w:b/>
                          <w:bCs/>
                          <w:sz w:val="21"/>
                          <w:szCs w:val="21"/>
                        </w:rPr>
                        <w:t>敏感目标</w:t>
                      </w:r>
                    </w:p>
                    <w:p w14:paraId="7298CD83">
                      <w:pPr>
                        <w:pStyle w:val="2"/>
                      </w:pPr>
                    </w:p>
                    <w:p w14:paraId="6B1102AA">
                      <w:pPr>
                        <w:pStyle w:val="2"/>
                      </w:pPr>
                    </w:p>
                  </w:txbxContent>
                </v:textbox>
              </v:shape>
            </w:pict>
          </mc:Fallback>
        </mc:AlternateContent>
      </w:r>
      <w:r>
        <mc:AlternateContent>
          <mc:Choice Requires="wps">
            <w:drawing>
              <wp:anchor distT="0" distB="0" distL="114300" distR="114300" simplePos="0" relativeHeight="251682816" behindDoc="0" locked="0" layoutInCell="1" allowOverlap="1">
                <wp:simplePos x="0" y="0"/>
                <wp:positionH relativeFrom="column">
                  <wp:posOffset>3757295</wp:posOffset>
                </wp:positionH>
                <wp:positionV relativeFrom="paragraph">
                  <wp:posOffset>3039110</wp:posOffset>
                </wp:positionV>
                <wp:extent cx="666750" cy="317500"/>
                <wp:effectExtent l="0" t="0" r="0" b="0"/>
                <wp:wrapNone/>
                <wp:docPr id="155" name="文本框 155"/>
                <wp:cNvGraphicFramePr/>
                <a:graphic xmlns:a="http://schemas.openxmlformats.org/drawingml/2006/main">
                  <a:graphicData uri="http://schemas.microsoft.com/office/word/2010/wordprocessingShape">
                    <wps:wsp>
                      <wps:cNvSpPr txBox="1"/>
                      <wps:spPr>
                        <a:xfrm>
                          <a:off x="0" y="0"/>
                          <a:ext cx="666750" cy="3175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4A7FE9C">
                            <w:pPr>
                              <w:rPr>
                                <w:color w:val="FFFFFF" w:themeColor="background1"/>
                                <w14:textFill>
                                  <w14:solidFill>
                                    <w14:schemeClr w14:val="bg1"/>
                                  </w14:solidFill>
                                </w14:textFill>
                              </w:rPr>
                            </w:pPr>
                            <w:r>
                              <w:rPr>
                                <w:rFonts w:hint="eastAsia"/>
                                <w:color w:val="FFFFFF" w:themeColor="background1"/>
                                <w14:textFill>
                                  <w14:solidFill>
                                    <w14:schemeClr w14:val="bg1"/>
                                  </w14:solidFill>
                                </w14:textFill>
                              </w:rPr>
                              <w:t>340m</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95.85pt;margin-top:239.3pt;height:25pt;width:52.5pt;z-index:251682816;mso-width-relative:page;mso-height-relative:page;" filled="f" stroked="f" coordsize="21600,21600" o:gfxdata="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">
                <v:fill on="f" focussize="0,0"/>
                <v:stroke on="f" weight="0.5pt"/>
                <v:imagedata o:title=""/>
                <o:lock v:ext="edit" aspectratio="f"/>
                <v:textbox>
                  <w:txbxContent>
                    <w:p w14:paraId="34A7FE9C">
                      <w:pPr>
                        <w:rPr>
                          <w:color w:val="FFFFFF" w:themeColor="background1"/>
                          <w14:textFill>
                            <w14:solidFill>
                              <w14:schemeClr w14:val="bg1"/>
                            </w14:solidFill>
                          </w14:textFill>
                        </w:rPr>
                      </w:pPr>
                      <w:r>
                        <w:rPr>
                          <w:rFonts w:hint="eastAsia"/>
                          <w:color w:val="FFFFFF" w:themeColor="background1"/>
                          <w14:textFill>
                            <w14:solidFill>
                              <w14:schemeClr w14:val="bg1"/>
                            </w14:solidFill>
                          </w14:textFill>
                        </w:rPr>
                        <w:t>340m</w:t>
                      </w:r>
                    </w:p>
                  </w:txbxContent>
                </v:textbox>
              </v:shape>
            </w:pict>
          </mc:Fallback>
        </mc:AlternateContent>
      </w:r>
      <w:r>
        <mc:AlternateContent>
          <mc:Choice Requires="wps">
            <w:drawing>
              <wp:anchor distT="0" distB="0" distL="114300" distR="114300" simplePos="0" relativeHeight="251681792" behindDoc="0" locked="0" layoutInCell="1" allowOverlap="1">
                <wp:simplePos x="0" y="0"/>
                <wp:positionH relativeFrom="column">
                  <wp:posOffset>4006215</wp:posOffset>
                </wp:positionH>
                <wp:positionV relativeFrom="paragraph">
                  <wp:posOffset>1553210</wp:posOffset>
                </wp:positionV>
                <wp:extent cx="666750" cy="317500"/>
                <wp:effectExtent l="0" t="0" r="0" b="0"/>
                <wp:wrapNone/>
                <wp:docPr id="154" name="文本框 154"/>
                <wp:cNvGraphicFramePr/>
                <a:graphic xmlns:a="http://schemas.openxmlformats.org/drawingml/2006/main">
                  <a:graphicData uri="http://schemas.microsoft.com/office/word/2010/wordprocessingShape">
                    <wps:wsp>
                      <wps:cNvSpPr txBox="1"/>
                      <wps:spPr>
                        <a:xfrm>
                          <a:off x="5283835" y="2498090"/>
                          <a:ext cx="666750" cy="3175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9464845">
                            <w:pPr>
                              <w:rPr>
                                <w:color w:val="FFFFFF" w:themeColor="background1"/>
                                <w14:textFill>
                                  <w14:solidFill>
                                    <w14:schemeClr w14:val="bg1"/>
                                  </w14:solidFill>
                                </w14:textFill>
                              </w:rPr>
                            </w:pPr>
                            <w:r>
                              <w:rPr>
                                <w:rFonts w:hint="eastAsia"/>
                                <w:color w:val="FFFFFF" w:themeColor="background1"/>
                                <w14:textFill>
                                  <w14:solidFill>
                                    <w14:schemeClr w14:val="bg1"/>
                                  </w14:solidFill>
                                </w14:textFill>
                              </w:rPr>
                              <w:t>260m</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15.45pt;margin-top:122.3pt;height:25pt;width:52.5pt;z-index:251681792;mso-width-relative:page;mso-height-relative:page;" filled="f" stroked="f" coordsize="21600,21600" o:gfxdata="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">
                <v:fill on="f" focussize="0,0"/>
                <v:stroke on="f" weight="0.5pt"/>
                <v:imagedata o:title=""/>
                <o:lock v:ext="edit" aspectratio="f"/>
                <v:textbox>
                  <w:txbxContent>
                    <w:p w14:paraId="39464845">
                      <w:pPr>
                        <w:rPr>
                          <w:color w:val="FFFFFF" w:themeColor="background1"/>
                          <w14:textFill>
                            <w14:solidFill>
                              <w14:schemeClr w14:val="bg1"/>
                            </w14:solidFill>
                          </w14:textFill>
                        </w:rPr>
                      </w:pPr>
                      <w:r>
                        <w:rPr>
                          <w:rFonts w:hint="eastAsia"/>
                          <w:color w:val="FFFFFF" w:themeColor="background1"/>
                          <w14:textFill>
                            <w14:solidFill>
                              <w14:schemeClr w14:val="bg1"/>
                            </w14:solidFill>
                          </w14:textFill>
                        </w:rPr>
                        <w:t>260m</w:t>
                      </w:r>
                    </w:p>
                  </w:txbxContent>
                </v:textbox>
              </v:shape>
            </w:pict>
          </mc:Fallback>
        </mc:AlternateContent>
      </w:r>
      <w:r>
        <mc:AlternateContent>
          <mc:Choice Requires="wps">
            <w:drawing>
              <wp:anchor distT="0" distB="0" distL="114300" distR="114300" simplePos="0" relativeHeight="251680768" behindDoc="0" locked="0" layoutInCell="1" allowOverlap="1">
                <wp:simplePos x="0" y="0"/>
                <wp:positionH relativeFrom="column">
                  <wp:posOffset>3824605</wp:posOffset>
                </wp:positionH>
                <wp:positionV relativeFrom="paragraph">
                  <wp:posOffset>2613660</wp:posOffset>
                </wp:positionV>
                <wp:extent cx="572135" cy="728980"/>
                <wp:effectExtent l="0" t="7620" r="18415" b="6350"/>
                <wp:wrapNone/>
                <wp:docPr id="153" name="直接箭头连接符 153"/>
                <wp:cNvGraphicFramePr/>
                <a:graphic xmlns:a="http://schemas.openxmlformats.org/drawingml/2006/main">
                  <a:graphicData uri="http://schemas.microsoft.com/office/word/2010/wordprocessingShape">
                    <wps:wsp>
                      <wps:cNvCnPr/>
                      <wps:spPr>
                        <a:xfrm flipH="1">
                          <a:off x="0" y="0"/>
                          <a:ext cx="572135" cy="728980"/>
                        </a:xfrm>
                        <a:prstGeom prst="straightConnector1">
                          <a:avLst/>
                        </a:prstGeom>
                        <a:ln>
                          <a:solidFill>
                            <a:schemeClr val="bg1"/>
                          </a:solidFill>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x;margin-left:301.15pt;margin-top:205.8pt;height:57.4pt;width:45.05pt;z-index:251680768;mso-width-relative:page;mso-height-relative:page;" filled="f" stroked="t" coordsize="21600,21600" o:gfxdata="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">
                <v:fill on="f" focussize="0,0"/>
                <v:stroke weight="2pt" color="#FFFFFF [3212]" joinstyle="round" endarrow="open"/>
                <v:imagedata o:title=""/>
                <o:lock v:ext="edit" aspectratio="f"/>
              </v:shape>
            </w:pict>
          </mc:Fallback>
        </mc:AlternateContent>
      </w:r>
      <w:r>
        <mc:AlternateContent>
          <mc:Choice Requires="wps">
            <w:drawing>
              <wp:anchor distT="0" distB="0" distL="114300" distR="114300" simplePos="0" relativeHeight="251679744" behindDoc="0" locked="0" layoutInCell="1" allowOverlap="1">
                <wp:simplePos x="0" y="0"/>
                <wp:positionH relativeFrom="column">
                  <wp:posOffset>3976370</wp:posOffset>
                </wp:positionH>
                <wp:positionV relativeFrom="paragraph">
                  <wp:posOffset>1581150</wp:posOffset>
                </wp:positionV>
                <wp:extent cx="308610" cy="513715"/>
                <wp:effectExtent l="0" t="0" r="15240" b="19685"/>
                <wp:wrapNone/>
                <wp:docPr id="152" name="直接箭头连接符 152"/>
                <wp:cNvGraphicFramePr/>
                <a:graphic xmlns:a="http://schemas.openxmlformats.org/drawingml/2006/main">
                  <a:graphicData uri="http://schemas.microsoft.com/office/word/2010/wordprocessingShape">
                    <wps:wsp>
                      <wps:cNvCnPr/>
                      <wps:spPr>
                        <a:xfrm flipH="1" flipV="1">
                          <a:off x="0" y="0"/>
                          <a:ext cx="308610" cy="513715"/>
                        </a:xfrm>
                        <a:prstGeom prst="straightConnector1">
                          <a:avLst/>
                        </a:prstGeom>
                        <a:ln>
                          <a:solidFill>
                            <a:schemeClr val="bg1"/>
                          </a:solidFill>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x y;margin-left:313.1pt;margin-top:124.5pt;height:40.45pt;width:24.3pt;z-index:251679744;mso-width-relative:page;mso-height-relative:page;" filled="f" stroked="t" coordsize="21600,21600" o:gfxdata="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">
                <v:fill on="f" focussize="0,0"/>
                <v:stroke weight="2pt" color="#FFFFFF [3212]" joinstyle="round" endarrow="open"/>
                <v:imagedata o:title=""/>
                <o:lock v:ext="edit" aspectratio="f"/>
              </v:shape>
            </w:pict>
          </mc:Fallback>
        </mc:AlternateContent>
      </w:r>
      <w:r>
        <mc:AlternateContent>
          <mc:Choice Requires="wps">
            <w:drawing>
              <wp:anchor distT="0" distB="0" distL="114300" distR="114300" simplePos="0" relativeHeight="251659264" behindDoc="0" locked="0" layoutInCell="1" allowOverlap="1">
                <wp:simplePos x="0" y="0"/>
                <wp:positionH relativeFrom="column">
                  <wp:posOffset>3103245</wp:posOffset>
                </wp:positionH>
                <wp:positionV relativeFrom="paragraph">
                  <wp:posOffset>4544060</wp:posOffset>
                </wp:positionV>
                <wp:extent cx="1828800" cy="1828800"/>
                <wp:effectExtent l="0" t="0" r="0" b="0"/>
                <wp:wrapNone/>
                <wp:docPr id="140" name="文本框 14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640B764">
                            <w:pPr>
                              <w:pStyle w:val="3"/>
                              <w:ind w:left="0" w:firstLine="0"/>
                              <w:rPr>
                                <w:color w:val="auto"/>
                              </w:rPr>
                            </w:pPr>
                            <w:bookmarkStart w:id="32" w:name="_Toc6443"/>
                            <w:r>
                              <w:rPr>
                                <w:rFonts w:hint="eastAsia"/>
                                <w:color w:val="auto"/>
                              </w:rPr>
                              <w:t>附图4</w:t>
                            </w:r>
                            <w:bookmarkEnd w:id="32"/>
                            <w:r>
                              <w:rPr>
                                <w:rFonts w:hint="eastAsia"/>
                              </w:rPr>
                              <w:t>环境保护目标分布图</w:t>
                            </w:r>
                          </w:p>
                        </w:txbxContent>
                      </wps:txbx>
                      <wps:bodyPr rot="0" spcFirstLastPara="0" vertOverflow="overflow" horzOverflow="overflow" vert="horz" wrap="none" lIns="91440" tIns="45720" rIns="91440" bIns="45720" numCol="1" spcCol="0" rtlCol="0" fromWordArt="0" anchor="t" anchorCtr="0" forceAA="0" compatLnSpc="1">
                        <a:spAutoFit/>
                      </wps:bodyPr>
                    </wps:wsp>
                  </a:graphicData>
                </a:graphic>
              </wp:anchor>
            </w:drawing>
          </mc:Choice>
          <mc:Fallback>
            <w:pict>
              <v:shape id="_x0000_s1026" o:spid="_x0000_s1026" o:spt="202" type="#_x0000_t202" style="position:absolute;left:0pt;margin-left:244.35pt;margin-top:357.8pt;height:144pt;width:144pt;mso-wrap-style:none;z-index:251659264;mso-width-relative:page;mso-height-relative:page;" filled="f" stroked="f" coordsize="21600,21600" o:gfxdata="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">
                <v:fill on="f" focussize="0,0"/>
                <v:stroke on="f" weight="0.5pt"/>
                <v:imagedata o:title=""/>
                <o:lock v:ext="edit" aspectratio="f"/>
                <v:textbox style="mso-fit-shape-to-text:t;">
                  <w:txbxContent>
                    <w:p w14:paraId="7640B764">
                      <w:pPr>
                        <w:pStyle w:val="3"/>
                        <w:ind w:left="0" w:firstLine="0"/>
                        <w:rPr>
                          <w:color w:val="auto"/>
                        </w:rPr>
                      </w:pPr>
                      <w:bookmarkStart w:id="32" w:name="_Toc6443"/>
                      <w:r>
                        <w:rPr>
                          <w:rFonts w:hint="eastAsia"/>
                          <w:color w:val="auto"/>
                        </w:rPr>
                        <w:t>附图4</w:t>
                      </w:r>
                      <w:bookmarkEnd w:id="32"/>
                      <w:r>
                        <w:rPr>
                          <w:rFonts w:hint="eastAsia"/>
                        </w:rPr>
                        <w:t>环境保护目标分布图</w:t>
                      </w:r>
                    </w:p>
                  </w:txbxContent>
                </v:textbox>
              </v:shape>
            </w:pict>
          </mc:Fallback>
        </mc:AlternateContent>
      </w:r>
      <w:r>
        <w:drawing>
          <wp:inline distT="0" distB="0" distL="114300" distR="114300">
            <wp:extent cx="8522335" cy="4348480"/>
            <wp:effectExtent l="57150" t="57150" r="69215" b="71120"/>
            <wp:docPr id="13"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4"/>
                    <pic:cNvPicPr>
                      <a:picLocks noChangeAspect="1"/>
                    </pic:cNvPicPr>
                  </pic:nvPicPr>
                  <pic:blipFill>
                    <a:blip r:embed="rId97"/>
                    <a:stretch>
                      <a:fillRect/>
                    </a:stretch>
                  </pic:blipFill>
                  <pic:spPr>
                    <a:xfrm>
                      <a:off x="0" y="0"/>
                      <a:ext cx="8522335" cy="4348480"/>
                    </a:xfrm>
                    <a:prstGeom prst="rect">
                      <a:avLst/>
                    </a:prstGeom>
                    <a:noFill/>
                    <a:ln w="57150" cmpd="thickThin">
                      <a:solidFill>
                        <a:schemeClr val="tx1"/>
                      </a:solidFill>
                      <a:miter lim="800000"/>
                      <a:headEnd/>
                      <a:tailEnd/>
                    </a:ln>
                  </pic:spPr>
                </pic:pic>
              </a:graphicData>
            </a:graphic>
          </wp:inline>
        </w:drawing>
      </w:r>
    </w:p>
    <w:p w14:paraId="13B93BCB">
      <w:pPr>
        <w:jc w:val="center"/>
      </w:pPr>
      <w:r>
        <w:drawing>
          <wp:anchor distT="0" distB="0" distL="114300" distR="114300" simplePos="0" relativeHeight="251713536" behindDoc="0" locked="0" layoutInCell="1" allowOverlap="1">
            <wp:simplePos x="0" y="0"/>
            <wp:positionH relativeFrom="column">
              <wp:posOffset>8055610</wp:posOffset>
            </wp:positionH>
            <wp:positionV relativeFrom="paragraph">
              <wp:posOffset>5015865</wp:posOffset>
            </wp:positionV>
            <wp:extent cx="490855" cy="378460"/>
            <wp:effectExtent l="0" t="0" r="4445" b="2540"/>
            <wp:wrapNone/>
            <wp:docPr id="46"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7"/>
                    <pic:cNvPicPr>
                      <a:picLocks noChangeAspect="1"/>
                    </pic:cNvPicPr>
                  </pic:nvPicPr>
                  <pic:blipFill>
                    <a:blip r:embed="rId98"/>
                    <a:stretch>
                      <a:fillRect/>
                    </a:stretch>
                  </pic:blipFill>
                  <pic:spPr>
                    <a:xfrm>
                      <a:off x="0" y="0"/>
                      <a:ext cx="490855" cy="378460"/>
                    </a:xfrm>
                    <a:prstGeom prst="rect">
                      <a:avLst/>
                    </a:prstGeom>
                    <a:noFill/>
                    <a:ln>
                      <a:noFill/>
                    </a:ln>
                  </pic:spPr>
                </pic:pic>
              </a:graphicData>
            </a:graphic>
          </wp:anchor>
        </w:drawing>
      </w:r>
      <w:r>
        <w:drawing>
          <wp:anchor distT="0" distB="0" distL="114300" distR="114300" simplePos="0" relativeHeight="251688960" behindDoc="0" locked="0" layoutInCell="1" allowOverlap="1">
            <wp:simplePos x="0" y="0"/>
            <wp:positionH relativeFrom="column">
              <wp:posOffset>8030845</wp:posOffset>
            </wp:positionH>
            <wp:positionV relativeFrom="paragraph">
              <wp:posOffset>81915</wp:posOffset>
            </wp:positionV>
            <wp:extent cx="514350" cy="752475"/>
            <wp:effectExtent l="0" t="0" r="0" b="9525"/>
            <wp:wrapNone/>
            <wp:docPr id="16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图片 1"/>
                    <pic:cNvPicPr>
                      <a:picLocks noChangeAspect="1"/>
                    </pic:cNvPicPr>
                  </pic:nvPicPr>
                  <pic:blipFill>
                    <a:blip r:embed="rId96"/>
                    <a:stretch>
                      <a:fillRect/>
                    </a:stretch>
                  </pic:blipFill>
                  <pic:spPr>
                    <a:xfrm>
                      <a:off x="0" y="0"/>
                      <a:ext cx="514350" cy="752475"/>
                    </a:xfrm>
                    <a:prstGeom prst="rect">
                      <a:avLst/>
                    </a:prstGeom>
                    <a:noFill/>
                    <a:ln>
                      <a:noFill/>
                    </a:ln>
                  </pic:spPr>
                </pic:pic>
              </a:graphicData>
            </a:graphic>
          </wp:anchor>
        </w:drawing>
      </w:r>
      <w:r>
        <mc:AlternateContent>
          <mc:Choice Requires="wps">
            <w:drawing>
              <wp:anchor distT="0" distB="0" distL="114300" distR="114300" simplePos="0" relativeHeight="251677696" behindDoc="0" locked="0" layoutInCell="1" allowOverlap="1">
                <wp:simplePos x="0" y="0"/>
                <wp:positionH relativeFrom="column">
                  <wp:posOffset>3236595</wp:posOffset>
                </wp:positionH>
                <wp:positionV relativeFrom="paragraph">
                  <wp:posOffset>5497830</wp:posOffset>
                </wp:positionV>
                <wp:extent cx="1828800" cy="1828800"/>
                <wp:effectExtent l="0" t="0" r="0" b="0"/>
                <wp:wrapNone/>
                <wp:docPr id="145" name="文本框 14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91FE716">
                            <w:pPr>
                              <w:pStyle w:val="3"/>
                              <w:rPr>
                                <w:color w:val="auto"/>
                              </w:rPr>
                            </w:pPr>
                            <w:r>
                              <w:rPr>
                                <w:rFonts w:hint="eastAsia"/>
                                <w:color w:val="auto"/>
                              </w:rPr>
                              <w:t>附图5卫生防护距离图</w:t>
                            </w:r>
                          </w:p>
                        </w:txbxContent>
                      </wps:txbx>
                      <wps:bodyPr rot="0" spcFirstLastPara="0" vertOverflow="overflow" horzOverflow="overflow" vert="horz" wrap="none" lIns="91440" tIns="45720" rIns="91440" bIns="45720" numCol="1" spcCol="0" rtlCol="0" fromWordArt="0" anchor="t" anchorCtr="0" forceAA="0" compatLnSpc="1">
                        <a:spAutoFit/>
                      </wps:bodyPr>
                    </wps:wsp>
                  </a:graphicData>
                </a:graphic>
              </wp:anchor>
            </w:drawing>
          </mc:Choice>
          <mc:Fallback>
            <w:pict>
              <v:shape id="_x0000_s1026" o:spid="_x0000_s1026" o:spt="202" type="#_x0000_t202" style="position:absolute;left:0pt;margin-left:254.85pt;margin-top:432.9pt;height:144pt;width:144pt;mso-wrap-style:none;z-index:251677696;mso-width-relative:page;mso-height-relative:page;" filled="f" stroked="f" coordsize="21600,21600" o:gfxdata="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">
                <v:fill on="f" focussize="0,0"/>
                <v:stroke on="f" weight="0.5pt"/>
                <v:imagedata o:title=""/>
                <o:lock v:ext="edit" aspectratio="f"/>
                <v:textbox style="mso-fit-shape-to-text:t;">
                  <w:txbxContent>
                    <w:p w14:paraId="791FE716">
                      <w:pPr>
                        <w:pStyle w:val="3"/>
                        <w:rPr>
                          <w:color w:val="auto"/>
                        </w:rPr>
                      </w:pPr>
                      <w:r>
                        <w:rPr>
                          <w:rFonts w:hint="eastAsia"/>
                          <w:color w:val="auto"/>
                        </w:rPr>
                        <w:t>附图5卫生防护距离图</w:t>
                      </w:r>
                    </w:p>
                  </w:txbxContent>
                </v:textbox>
              </v:shape>
            </w:pict>
          </mc:Fallback>
        </mc:AlternateContent>
      </w:r>
      <w:r>
        <mc:AlternateContent>
          <mc:Choice Requires="wps">
            <w:drawing>
              <wp:anchor distT="0" distB="0" distL="114300" distR="114300" simplePos="0" relativeHeight="251695104" behindDoc="0" locked="0" layoutInCell="1" allowOverlap="1">
                <wp:simplePos x="0" y="0"/>
                <wp:positionH relativeFrom="column">
                  <wp:posOffset>6729730</wp:posOffset>
                </wp:positionH>
                <wp:positionV relativeFrom="paragraph">
                  <wp:posOffset>4673600</wp:posOffset>
                </wp:positionV>
                <wp:extent cx="214630" cy="151130"/>
                <wp:effectExtent l="12700" t="12700" r="20320" b="26670"/>
                <wp:wrapNone/>
                <wp:docPr id="171" name="矩形 171"/>
                <wp:cNvGraphicFramePr/>
                <a:graphic xmlns:a="http://schemas.openxmlformats.org/drawingml/2006/main">
                  <a:graphicData uri="http://schemas.microsoft.com/office/word/2010/wordprocessingShape">
                    <wps:wsp>
                      <wps:cNvSpPr/>
                      <wps:spPr>
                        <a:xfrm>
                          <a:off x="0" y="0"/>
                          <a:ext cx="214630" cy="151130"/>
                        </a:xfrm>
                        <a:prstGeom prst="rect">
                          <a:avLst/>
                        </a:prstGeom>
                        <a:noFill/>
                        <a:ln>
                          <a:solidFill>
                            <a:srgbClr val="FFFF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529.9pt;margin-top:368pt;height:11.9pt;width:16.9pt;z-index:251695104;v-text-anchor:middle;mso-width-relative:page;mso-height-relative:page;" filled="f" stroked="t" coordsize="21600,21600" o:gfxdata="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">
                <v:fill on="f" focussize="0,0"/>
                <v:stroke weight="2pt" color="#FFFF00 [2404]" joinstyle="round"/>
                <v:imagedata o:title=""/>
                <o:lock v:ext="edit" aspectratio="f"/>
              </v:rect>
            </w:pict>
          </mc:Fallback>
        </mc:AlternateContent>
      </w:r>
      <w:r>
        <mc:AlternateContent>
          <mc:Choice Requires="wps">
            <w:drawing>
              <wp:anchor distT="0" distB="0" distL="114300" distR="114300" simplePos="0" relativeHeight="251694080" behindDoc="0" locked="0" layoutInCell="1" allowOverlap="1">
                <wp:simplePos x="0" y="0"/>
                <wp:positionH relativeFrom="column">
                  <wp:posOffset>6734810</wp:posOffset>
                </wp:positionH>
                <wp:positionV relativeFrom="paragraph">
                  <wp:posOffset>4328795</wp:posOffset>
                </wp:positionV>
                <wp:extent cx="214630" cy="151130"/>
                <wp:effectExtent l="12700" t="12700" r="20320" b="26670"/>
                <wp:wrapNone/>
                <wp:docPr id="170" name="矩形 170"/>
                <wp:cNvGraphicFramePr/>
                <a:graphic xmlns:a="http://schemas.openxmlformats.org/drawingml/2006/main">
                  <a:graphicData uri="http://schemas.microsoft.com/office/word/2010/wordprocessingShape">
                    <wps:wsp>
                      <wps:cNvSpPr/>
                      <wps:spPr>
                        <a:xfrm>
                          <a:off x="7501890" y="4462145"/>
                          <a:ext cx="214630" cy="151130"/>
                        </a:xfrm>
                        <a:prstGeom prst="rect">
                          <a:avLst/>
                        </a:prstGeom>
                        <a:no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530.3pt;margin-top:340.85pt;height:11.9pt;width:16.9pt;z-index:251694080;v-text-anchor:middle;mso-width-relative:page;mso-height-relative:page;" filled="f" stroked="t" coordsize="21600,21600" o:gfxdata="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">
                <v:fill on="f" focussize="0,0"/>
                <v:stroke weight="2pt" color="#FF0000 [2404]" joinstyle="round"/>
                <v:imagedata o:title=""/>
                <o:lock v:ext="edit" aspectratio="f"/>
              </v:rect>
            </w:pict>
          </mc:Fallback>
        </mc:AlternateContent>
      </w:r>
      <w:r>
        <mc:AlternateContent>
          <mc:Choice Requires="wps">
            <w:drawing>
              <wp:anchor distT="0" distB="0" distL="114300" distR="114300" simplePos="0" relativeHeight="251693056" behindDoc="0" locked="0" layoutInCell="1" allowOverlap="1">
                <wp:simplePos x="0" y="0"/>
                <wp:positionH relativeFrom="column">
                  <wp:posOffset>6598285</wp:posOffset>
                </wp:positionH>
                <wp:positionV relativeFrom="paragraph">
                  <wp:posOffset>4002405</wp:posOffset>
                </wp:positionV>
                <wp:extent cx="1773555" cy="988060"/>
                <wp:effectExtent l="4445" t="4445" r="12700" b="17145"/>
                <wp:wrapNone/>
                <wp:docPr id="169" name="文本框 169"/>
                <wp:cNvGraphicFramePr/>
                <a:graphic xmlns:a="http://schemas.openxmlformats.org/drawingml/2006/main">
                  <a:graphicData uri="http://schemas.microsoft.com/office/word/2010/wordprocessingShape">
                    <wps:wsp>
                      <wps:cNvSpPr txBox="1"/>
                      <wps:spPr>
                        <a:xfrm>
                          <a:off x="0" y="0"/>
                          <a:ext cx="1773555" cy="988060"/>
                        </a:xfrm>
                        <a:prstGeom prst="rect">
                          <a:avLst/>
                        </a:prstGeom>
                        <a:solidFill>
                          <a:schemeClr val="lt1">
                            <a:alpha val="48000"/>
                          </a:schemeClr>
                        </a:solidFill>
                        <a:ln w="6350">
                          <a:solidFill>
                            <a:schemeClr val="tx1"/>
                          </a:solidFill>
                        </a:ln>
                      </wps:spPr>
                      <wps:style>
                        <a:lnRef idx="0">
                          <a:schemeClr val="accent1"/>
                        </a:lnRef>
                        <a:fillRef idx="0">
                          <a:schemeClr val="accent1"/>
                        </a:fillRef>
                        <a:effectRef idx="0">
                          <a:schemeClr val="accent1"/>
                        </a:effectRef>
                        <a:fontRef idx="minor">
                          <a:schemeClr val="dk1"/>
                        </a:fontRef>
                      </wps:style>
                      <wps:txbx>
                        <w:txbxContent>
                          <w:p w14:paraId="43A45954">
                            <w:pPr>
                              <w:spacing w:line="360" w:lineRule="auto"/>
                              <w:jc w:val="center"/>
                              <w:rPr>
                                <w:b/>
                                <w:bCs/>
                              </w:rPr>
                            </w:pPr>
                            <w:r>
                              <w:rPr>
                                <w:rFonts w:hint="eastAsia"/>
                                <w:b/>
                                <w:bCs/>
                              </w:rPr>
                              <w:t>图例</w:t>
                            </w:r>
                          </w:p>
                          <w:p w14:paraId="1303D22C">
                            <w:pPr>
                              <w:pStyle w:val="2"/>
                              <w:spacing w:line="480" w:lineRule="auto"/>
                              <w:ind w:firstLine="422" w:firstLineChars="200"/>
                              <w:rPr>
                                <w:b/>
                                <w:bCs/>
                                <w:sz w:val="21"/>
                                <w:szCs w:val="21"/>
                              </w:rPr>
                            </w:pPr>
                            <w:r>
                              <w:rPr>
                                <w:rFonts w:hint="eastAsia"/>
                                <w:b/>
                                <w:bCs/>
                                <w:sz w:val="21"/>
                                <w:szCs w:val="21"/>
                              </w:rPr>
                              <w:t>本项目厂区</w:t>
                            </w:r>
                          </w:p>
                          <w:p w14:paraId="14A28F9E">
                            <w:pPr>
                              <w:pStyle w:val="2"/>
                              <w:ind w:firstLine="422" w:firstLineChars="200"/>
                            </w:pPr>
                            <w:r>
                              <w:rPr>
                                <w:rFonts w:hint="eastAsia"/>
                                <w:b/>
                                <w:bCs/>
                                <w:sz w:val="21"/>
                                <w:szCs w:val="21"/>
                              </w:rPr>
                              <w:t>卫生防护距离100m</w:t>
                            </w:r>
                          </w:p>
                          <w:p w14:paraId="3B6C6BA1">
                            <w:pPr>
                              <w:pStyle w:val="2"/>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19.55pt;margin-top:315.15pt;height:77.8pt;width:139.65pt;z-index:251693056;mso-width-relative:page;mso-height-relative:page;" fillcolor="#FFFFFF [3201]" filled="t" stroked="t" coordsize="21600,21600" o:gfxdata="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">
                <v:fill on="t" opacity="31457f" focussize="0,0"/>
                <v:stroke weight="0.5pt" color="#000000 [3213]" joinstyle="round"/>
                <v:imagedata o:title=""/>
                <o:lock v:ext="edit" aspectratio="f"/>
                <v:textbox>
                  <w:txbxContent>
                    <w:p w14:paraId="43A45954">
                      <w:pPr>
                        <w:spacing w:line="360" w:lineRule="auto"/>
                        <w:jc w:val="center"/>
                        <w:rPr>
                          <w:b/>
                          <w:bCs/>
                        </w:rPr>
                      </w:pPr>
                      <w:r>
                        <w:rPr>
                          <w:rFonts w:hint="eastAsia"/>
                          <w:b/>
                          <w:bCs/>
                        </w:rPr>
                        <w:t>图例</w:t>
                      </w:r>
                    </w:p>
                    <w:p w14:paraId="1303D22C">
                      <w:pPr>
                        <w:pStyle w:val="2"/>
                        <w:spacing w:line="480" w:lineRule="auto"/>
                        <w:ind w:firstLine="422" w:firstLineChars="200"/>
                        <w:rPr>
                          <w:b/>
                          <w:bCs/>
                          <w:sz w:val="21"/>
                          <w:szCs w:val="21"/>
                        </w:rPr>
                      </w:pPr>
                      <w:r>
                        <w:rPr>
                          <w:rFonts w:hint="eastAsia"/>
                          <w:b/>
                          <w:bCs/>
                          <w:sz w:val="21"/>
                          <w:szCs w:val="21"/>
                        </w:rPr>
                        <w:t>本项目厂区</w:t>
                      </w:r>
                    </w:p>
                    <w:p w14:paraId="14A28F9E">
                      <w:pPr>
                        <w:pStyle w:val="2"/>
                        <w:ind w:firstLine="422" w:firstLineChars="200"/>
                      </w:pPr>
                      <w:r>
                        <w:rPr>
                          <w:rFonts w:hint="eastAsia"/>
                          <w:b/>
                          <w:bCs/>
                          <w:sz w:val="21"/>
                          <w:szCs w:val="21"/>
                        </w:rPr>
                        <w:t>卫生防护距离100m</w:t>
                      </w:r>
                    </w:p>
                    <w:p w14:paraId="3B6C6BA1">
                      <w:pPr>
                        <w:pStyle w:val="2"/>
                      </w:pPr>
                    </w:p>
                  </w:txbxContent>
                </v:textbox>
              </v:shape>
            </w:pict>
          </mc:Fallback>
        </mc:AlternateContent>
      </w:r>
      <w:r>
        <w:drawing>
          <wp:inline distT="0" distB="0" distL="114300" distR="114300">
            <wp:extent cx="8526145" cy="5342255"/>
            <wp:effectExtent l="57150" t="57150" r="65405" b="67945"/>
            <wp:docPr id="32"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6"/>
                    <pic:cNvPicPr>
                      <a:picLocks noChangeAspect="1"/>
                    </pic:cNvPicPr>
                  </pic:nvPicPr>
                  <pic:blipFill>
                    <a:blip r:embed="rId99"/>
                    <a:stretch>
                      <a:fillRect/>
                    </a:stretch>
                  </pic:blipFill>
                  <pic:spPr>
                    <a:xfrm>
                      <a:off x="0" y="0"/>
                      <a:ext cx="8526145" cy="5342255"/>
                    </a:xfrm>
                    <a:prstGeom prst="rect">
                      <a:avLst/>
                    </a:prstGeom>
                    <a:noFill/>
                    <a:ln w="57150" cmpd="thickThin">
                      <a:solidFill>
                        <a:schemeClr val="tx1"/>
                      </a:solidFill>
                      <a:miter lim="800000"/>
                      <a:headEnd/>
                      <a:tailEnd/>
                    </a:ln>
                  </pic:spPr>
                </pic:pic>
              </a:graphicData>
            </a:graphic>
          </wp:inline>
        </w:drawing>
      </w:r>
      <w:r>
        <w:drawing>
          <wp:anchor distT="0" distB="0" distL="114300" distR="114300" simplePos="0" relativeHeight="251663360" behindDoc="0" locked="0" layoutInCell="1" allowOverlap="1">
            <wp:simplePos x="0" y="0"/>
            <wp:positionH relativeFrom="column">
              <wp:posOffset>7839075</wp:posOffset>
            </wp:positionH>
            <wp:positionV relativeFrom="paragraph">
              <wp:posOffset>-5055235</wp:posOffset>
            </wp:positionV>
            <wp:extent cx="674370" cy="1232535"/>
            <wp:effectExtent l="0" t="0" r="11430" b="5715"/>
            <wp:wrapNone/>
            <wp:docPr id="4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1"/>
                    <pic:cNvPicPr>
                      <a:picLocks noChangeAspect="1"/>
                    </pic:cNvPicPr>
                  </pic:nvPicPr>
                  <pic:blipFill>
                    <a:blip r:embed="rId100"/>
                    <a:stretch>
                      <a:fillRect/>
                    </a:stretch>
                  </pic:blipFill>
                  <pic:spPr>
                    <a:xfrm>
                      <a:off x="0" y="0"/>
                      <a:ext cx="674370" cy="1232535"/>
                    </a:xfrm>
                    <a:prstGeom prst="rect">
                      <a:avLst/>
                    </a:prstGeom>
                    <a:noFill/>
                    <a:ln>
                      <a:noFill/>
                    </a:ln>
                  </pic:spPr>
                </pic:pic>
              </a:graphicData>
            </a:graphic>
          </wp:anchor>
        </w:drawing>
      </w:r>
    </w:p>
    <w:bookmarkEnd w:id="30"/>
    <w:p w14:paraId="4437A11B">
      <w:pPr>
        <w:pStyle w:val="12"/>
      </w:pPr>
      <w:r>
        <w:drawing>
          <wp:anchor distT="0" distB="0" distL="114300" distR="114300" simplePos="0" relativeHeight="251732992" behindDoc="0" locked="0" layoutInCell="1" allowOverlap="1">
            <wp:simplePos x="0" y="0"/>
            <wp:positionH relativeFrom="column">
              <wp:posOffset>6574155</wp:posOffset>
            </wp:positionH>
            <wp:positionV relativeFrom="paragraph">
              <wp:posOffset>3543935</wp:posOffset>
            </wp:positionV>
            <wp:extent cx="242570" cy="251460"/>
            <wp:effectExtent l="0" t="0" r="5080" b="15240"/>
            <wp:wrapNone/>
            <wp:docPr id="42"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
                    <pic:cNvPicPr>
                      <a:picLocks noChangeAspect="1"/>
                    </pic:cNvPicPr>
                  </pic:nvPicPr>
                  <pic:blipFill>
                    <a:blip r:embed="rId101"/>
                    <a:stretch>
                      <a:fillRect/>
                    </a:stretch>
                  </pic:blipFill>
                  <pic:spPr>
                    <a:xfrm>
                      <a:off x="0" y="0"/>
                      <a:ext cx="242570" cy="251460"/>
                    </a:xfrm>
                    <a:prstGeom prst="rect">
                      <a:avLst/>
                    </a:prstGeom>
                    <a:noFill/>
                    <a:ln>
                      <a:noFill/>
                    </a:ln>
                  </pic:spPr>
                </pic:pic>
              </a:graphicData>
            </a:graphic>
          </wp:anchor>
        </w:drawing>
      </w:r>
      <w:r>
        <w:drawing>
          <wp:anchor distT="0" distB="0" distL="114300" distR="114300" simplePos="0" relativeHeight="251736064" behindDoc="0" locked="0" layoutInCell="1" allowOverlap="1">
            <wp:simplePos x="0" y="0"/>
            <wp:positionH relativeFrom="column">
              <wp:posOffset>6573520</wp:posOffset>
            </wp:positionH>
            <wp:positionV relativeFrom="paragraph">
              <wp:posOffset>2837180</wp:posOffset>
            </wp:positionV>
            <wp:extent cx="244475" cy="256540"/>
            <wp:effectExtent l="0" t="0" r="3175" b="10160"/>
            <wp:wrapNone/>
            <wp:docPr id="45"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6"/>
                    <pic:cNvPicPr>
                      <a:picLocks noChangeAspect="1"/>
                    </pic:cNvPicPr>
                  </pic:nvPicPr>
                  <pic:blipFill>
                    <a:blip r:embed="rId102"/>
                    <a:stretch>
                      <a:fillRect/>
                    </a:stretch>
                  </pic:blipFill>
                  <pic:spPr>
                    <a:xfrm>
                      <a:off x="0" y="0"/>
                      <a:ext cx="244475" cy="256540"/>
                    </a:xfrm>
                    <a:prstGeom prst="rect">
                      <a:avLst/>
                    </a:prstGeom>
                    <a:noFill/>
                    <a:ln>
                      <a:noFill/>
                    </a:ln>
                  </pic:spPr>
                </pic:pic>
              </a:graphicData>
            </a:graphic>
          </wp:anchor>
        </w:drawing>
      </w:r>
      <w:r>
        <w:drawing>
          <wp:anchor distT="0" distB="0" distL="114300" distR="114300" simplePos="0" relativeHeight="251734016" behindDoc="0" locked="0" layoutInCell="1" allowOverlap="1">
            <wp:simplePos x="0" y="0"/>
            <wp:positionH relativeFrom="column">
              <wp:posOffset>6584315</wp:posOffset>
            </wp:positionH>
            <wp:positionV relativeFrom="paragraph">
              <wp:posOffset>3102610</wp:posOffset>
            </wp:positionV>
            <wp:extent cx="228600" cy="222885"/>
            <wp:effectExtent l="0" t="0" r="0" b="5715"/>
            <wp:wrapNone/>
            <wp:docPr id="50"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8"/>
                    <pic:cNvPicPr>
                      <a:picLocks noChangeAspect="1"/>
                    </pic:cNvPicPr>
                  </pic:nvPicPr>
                  <pic:blipFill>
                    <a:blip r:embed="rId103"/>
                    <a:stretch>
                      <a:fillRect/>
                    </a:stretch>
                  </pic:blipFill>
                  <pic:spPr>
                    <a:xfrm>
                      <a:off x="0" y="0"/>
                      <a:ext cx="228600" cy="222885"/>
                    </a:xfrm>
                    <a:prstGeom prst="rect">
                      <a:avLst/>
                    </a:prstGeom>
                    <a:noFill/>
                    <a:ln>
                      <a:noFill/>
                    </a:ln>
                  </pic:spPr>
                </pic:pic>
              </a:graphicData>
            </a:graphic>
          </wp:anchor>
        </w:drawing>
      </w:r>
      <w:r>
        <w:drawing>
          <wp:anchor distT="0" distB="0" distL="114300" distR="114300" simplePos="0" relativeHeight="251735040" behindDoc="0" locked="0" layoutInCell="1" allowOverlap="1">
            <wp:simplePos x="0" y="0"/>
            <wp:positionH relativeFrom="column">
              <wp:posOffset>6586220</wp:posOffset>
            </wp:positionH>
            <wp:positionV relativeFrom="paragraph">
              <wp:posOffset>3332480</wp:posOffset>
            </wp:positionV>
            <wp:extent cx="228600" cy="227965"/>
            <wp:effectExtent l="0" t="0" r="0" b="635"/>
            <wp:wrapNone/>
            <wp:docPr id="48"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7"/>
                    <pic:cNvPicPr>
                      <a:picLocks noChangeAspect="1"/>
                    </pic:cNvPicPr>
                  </pic:nvPicPr>
                  <pic:blipFill>
                    <a:blip r:embed="rId104"/>
                    <a:stretch>
                      <a:fillRect/>
                    </a:stretch>
                  </pic:blipFill>
                  <pic:spPr>
                    <a:xfrm>
                      <a:off x="0" y="0"/>
                      <a:ext cx="228600" cy="227965"/>
                    </a:xfrm>
                    <a:prstGeom prst="rect">
                      <a:avLst/>
                    </a:prstGeom>
                    <a:noFill/>
                    <a:ln>
                      <a:noFill/>
                    </a:ln>
                  </pic:spPr>
                </pic:pic>
              </a:graphicData>
            </a:graphic>
          </wp:anchor>
        </w:drawing>
      </w:r>
      <w:r>
        <mc:AlternateContent>
          <mc:Choice Requires="wps">
            <w:drawing>
              <wp:anchor distT="0" distB="0" distL="114300" distR="114300" simplePos="0" relativeHeight="251689984" behindDoc="0" locked="0" layoutInCell="1" allowOverlap="1">
                <wp:simplePos x="0" y="0"/>
                <wp:positionH relativeFrom="column">
                  <wp:posOffset>3053715</wp:posOffset>
                </wp:positionH>
                <wp:positionV relativeFrom="paragraph">
                  <wp:posOffset>4954905</wp:posOffset>
                </wp:positionV>
                <wp:extent cx="1828800" cy="1828800"/>
                <wp:effectExtent l="0" t="0" r="0" b="0"/>
                <wp:wrapNone/>
                <wp:docPr id="164" name="文本框 16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AAE989E">
                            <w:pPr>
                              <w:pStyle w:val="3"/>
                              <w:rPr>
                                <w:color w:val="auto"/>
                                <w:highlight w:val="none"/>
                              </w:rPr>
                            </w:pPr>
                            <w:bookmarkStart w:id="33" w:name="_Toc3917"/>
                            <w:r>
                              <w:rPr>
                                <w:rFonts w:hint="eastAsia"/>
                                <w:color w:val="auto"/>
                                <w:highlight w:val="none"/>
                              </w:rPr>
                              <w:t>附图6环境现状监测点位图</w:t>
                            </w:r>
                            <w:bookmarkEnd w:id="33"/>
                          </w:p>
                        </w:txbxContent>
                      </wps:txbx>
                      <wps:bodyPr rot="0" spcFirstLastPara="0" vertOverflow="overflow" horzOverflow="overflow" vert="horz" wrap="none" lIns="91440" tIns="45720" rIns="91440" bIns="45720" numCol="1" spcCol="0" rtlCol="0" fromWordArt="0" anchor="t" anchorCtr="0" forceAA="0" compatLnSpc="1">
                        <a:spAutoFit/>
                      </wps:bodyPr>
                    </wps:wsp>
                  </a:graphicData>
                </a:graphic>
              </wp:anchor>
            </w:drawing>
          </mc:Choice>
          <mc:Fallback>
            <w:pict>
              <v:shape id="_x0000_s1026" o:spid="_x0000_s1026" o:spt="202" type="#_x0000_t202" style="position:absolute;left:0pt;margin-left:240.45pt;margin-top:390.15pt;height:144pt;width:144pt;mso-wrap-style:none;z-index:251689984;mso-width-relative:page;mso-height-relative:page;" filled="f" stroked="f" coordsize="21600,21600" o:gfxdata="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">
                <v:fill on="f" focussize="0,0"/>
                <v:stroke on="f" weight="0.5pt"/>
                <v:imagedata o:title=""/>
                <o:lock v:ext="edit" aspectratio="f"/>
                <v:textbox style="mso-fit-shape-to-text:t;">
                  <w:txbxContent>
                    <w:p w14:paraId="5AAE989E">
                      <w:pPr>
                        <w:pStyle w:val="3"/>
                        <w:rPr>
                          <w:color w:val="auto"/>
                          <w:highlight w:val="none"/>
                        </w:rPr>
                      </w:pPr>
                      <w:bookmarkStart w:id="33" w:name="_Toc3917"/>
                      <w:r>
                        <w:rPr>
                          <w:rFonts w:hint="eastAsia"/>
                          <w:color w:val="auto"/>
                          <w:highlight w:val="none"/>
                        </w:rPr>
                        <w:t>附图6环境现状监测点位图</w:t>
                      </w:r>
                      <w:bookmarkEnd w:id="33"/>
                    </w:p>
                  </w:txbxContent>
                </v:textbox>
              </v:shape>
            </w:pict>
          </mc:Fallback>
        </mc:AlternateContent>
      </w:r>
      <w:r>
        <w:drawing>
          <wp:anchor distT="0" distB="0" distL="114300" distR="114300" simplePos="0" relativeHeight="251737088" behindDoc="0" locked="0" layoutInCell="1" allowOverlap="1">
            <wp:simplePos x="0" y="0"/>
            <wp:positionH relativeFrom="column">
              <wp:posOffset>6583045</wp:posOffset>
            </wp:positionH>
            <wp:positionV relativeFrom="paragraph">
              <wp:posOffset>3767455</wp:posOffset>
            </wp:positionV>
            <wp:extent cx="220345" cy="269875"/>
            <wp:effectExtent l="0" t="0" r="8255" b="15875"/>
            <wp:wrapNone/>
            <wp:docPr id="44"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5"/>
                    <pic:cNvPicPr>
                      <a:picLocks noChangeAspect="1"/>
                    </pic:cNvPicPr>
                  </pic:nvPicPr>
                  <pic:blipFill>
                    <a:blip r:embed="rId105"/>
                    <a:stretch>
                      <a:fillRect/>
                    </a:stretch>
                  </pic:blipFill>
                  <pic:spPr>
                    <a:xfrm>
                      <a:off x="0" y="0"/>
                      <a:ext cx="220345" cy="269875"/>
                    </a:xfrm>
                    <a:prstGeom prst="rect">
                      <a:avLst/>
                    </a:prstGeom>
                    <a:noFill/>
                    <a:ln>
                      <a:noFill/>
                    </a:ln>
                  </pic:spPr>
                </pic:pic>
              </a:graphicData>
            </a:graphic>
          </wp:anchor>
        </w:drawing>
      </w:r>
      <w:r>
        <w:rPr>
          <w:sz w:val="18"/>
        </w:rPr>
        <mc:AlternateContent>
          <mc:Choice Requires="wps">
            <w:drawing>
              <wp:anchor distT="0" distB="0" distL="114300" distR="114300" simplePos="0" relativeHeight="251731968" behindDoc="0" locked="0" layoutInCell="1" allowOverlap="1">
                <wp:simplePos x="0" y="0"/>
                <wp:positionH relativeFrom="column">
                  <wp:posOffset>6490970</wp:posOffset>
                </wp:positionH>
                <wp:positionV relativeFrom="paragraph">
                  <wp:posOffset>2579370</wp:posOffset>
                </wp:positionV>
                <wp:extent cx="1839595" cy="1627505"/>
                <wp:effectExtent l="4445" t="4445" r="22860" b="6350"/>
                <wp:wrapNone/>
                <wp:docPr id="41" name="文本框 41"/>
                <wp:cNvGraphicFramePr/>
                <a:graphic xmlns:a="http://schemas.openxmlformats.org/drawingml/2006/main">
                  <a:graphicData uri="http://schemas.microsoft.com/office/word/2010/wordprocessingShape">
                    <wps:wsp>
                      <wps:cNvSpPr txBox="1"/>
                      <wps:spPr>
                        <a:xfrm>
                          <a:off x="8069580" y="3644265"/>
                          <a:ext cx="1839595" cy="1627505"/>
                        </a:xfrm>
                        <a:prstGeom prst="rect">
                          <a:avLst/>
                        </a:prstGeom>
                        <a:solidFill>
                          <a:schemeClr val="lt1">
                            <a:alpha val="65000"/>
                          </a:schemeClr>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4998C9D9">
                            <w:pPr>
                              <w:jc w:val="center"/>
                              <w:rPr>
                                <w:rFonts w:hint="eastAsia" w:ascii="微软雅黑" w:hAnsi="微软雅黑" w:eastAsia="微软雅黑" w:cs="微软雅黑"/>
                                <w:b/>
                                <w:bCs/>
                                <w:color w:val="auto"/>
                                <w:lang w:val="en-US" w:eastAsia="zh-CN"/>
                              </w:rPr>
                            </w:pPr>
                            <w:r>
                              <w:rPr>
                                <w:rFonts w:hint="eastAsia" w:ascii="微软雅黑" w:hAnsi="微软雅黑" w:eastAsia="微软雅黑" w:cs="微软雅黑"/>
                                <w:b/>
                                <w:bCs/>
                                <w:color w:val="auto"/>
                                <w:lang w:val="en-US" w:eastAsia="zh-CN"/>
                              </w:rPr>
                              <w:t>图例</w:t>
                            </w:r>
                          </w:p>
                          <w:p w14:paraId="06FB80D1">
                            <w:pPr>
                              <w:pStyle w:val="2"/>
                              <w:ind w:firstLine="420" w:firstLineChars="200"/>
                              <w:rPr>
                                <w:rFonts w:hint="eastAsia" w:ascii="微软雅黑" w:hAnsi="微软雅黑" w:eastAsia="微软雅黑" w:cs="微软雅黑"/>
                                <w:b/>
                                <w:bCs/>
                                <w:color w:val="auto"/>
                                <w:sz w:val="21"/>
                                <w:szCs w:val="21"/>
                                <w:lang w:val="en-US" w:eastAsia="zh-CN"/>
                              </w:rPr>
                            </w:pPr>
                            <w:r>
                              <w:rPr>
                                <w:rFonts w:hint="eastAsia" w:ascii="微软雅黑" w:hAnsi="微软雅黑" w:eastAsia="微软雅黑" w:cs="微软雅黑"/>
                                <w:b/>
                                <w:bCs/>
                                <w:color w:val="auto"/>
                                <w:sz w:val="21"/>
                                <w:szCs w:val="21"/>
                                <w:lang w:val="en-US" w:eastAsia="zh-CN"/>
                              </w:rPr>
                              <w:t>环境空气监测点位</w:t>
                            </w:r>
                          </w:p>
                          <w:p w14:paraId="3CC9779B">
                            <w:pPr>
                              <w:ind w:firstLine="420" w:firstLineChars="200"/>
                              <w:rPr>
                                <w:rFonts w:hint="eastAsia" w:ascii="微软雅黑" w:hAnsi="微软雅黑" w:eastAsia="微软雅黑" w:cs="微软雅黑"/>
                                <w:b/>
                                <w:bCs/>
                                <w:color w:val="auto"/>
                                <w:sz w:val="21"/>
                                <w:szCs w:val="21"/>
                                <w:lang w:val="en-US" w:eastAsia="zh-CN"/>
                              </w:rPr>
                            </w:pPr>
                            <w:r>
                              <w:rPr>
                                <w:rFonts w:hint="eastAsia" w:ascii="微软雅黑" w:hAnsi="微软雅黑" w:eastAsia="微软雅黑" w:cs="微软雅黑"/>
                                <w:b/>
                                <w:bCs/>
                                <w:color w:val="auto"/>
                                <w:sz w:val="21"/>
                                <w:szCs w:val="21"/>
                                <w:lang w:val="en-US" w:eastAsia="zh-CN"/>
                              </w:rPr>
                              <w:t>地表水环境监测点位</w:t>
                            </w:r>
                          </w:p>
                          <w:p w14:paraId="1CCA3947">
                            <w:pPr>
                              <w:pStyle w:val="2"/>
                              <w:ind w:firstLine="420" w:firstLineChars="200"/>
                              <w:rPr>
                                <w:rFonts w:hint="eastAsia" w:ascii="微软雅黑" w:hAnsi="微软雅黑" w:eastAsia="微软雅黑" w:cs="微软雅黑"/>
                                <w:b/>
                                <w:bCs/>
                                <w:color w:val="auto"/>
                                <w:sz w:val="21"/>
                                <w:szCs w:val="21"/>
                                <w:lang w:val="en-US" w:eastAsia="zh-CN"/>
                              </w:rPr>
                            </w:pPr>
                            <w:r>
                              <w:rPr>
                                <w:rFonts w:hint="eastAsia" w:ascii="微软雅黑" w:hAnsi="微软雅黑" w:eastAsia="微软雅黑" w:cs="微软雅黑"/>
                                <w:b/>
                                <w:bCs/>
                                <w:color w:val="auto"/>
                                <w:sz w:val="21"/>
                                <w:szCs w:val="21"/>
                                <w:lang w:val="en-US" w:eastAsia="zh-CN"/>
                              </w:rPr>
                              <w:t>地下水环境监测点位</w:t>
                            </w:r>
                          </w:p>
                          <w:p w14:paraId="386877D5">
                            <w:pPr>
                              <w:ind w:firstLine="420" w:firstLineChars="200"/>
                              <w:rPr>
                                <w:rFonts w:hint="eastAsia" w:ascii="微软雅黑" w:hAnsi="微软雅黑" w:eastAsia="微软雅黑" w:cs="微软雅黑"/>
                                <w:b/>
                                <w:bCs/>
                                <w:color w:val="auto"/>
                                <w:sz w:val="21"/>
                                <w:szCs w:val="21"/>
                                <w:lang w:val="en-US" w:eastAsia="zh-CN"/>
                              </w:rPr>
                            </w:pPr>
                            <w:r>
                              <w:rPr>
                                <w:rFonts w:hint="eastAsia" w:ascii="微软雅黑" w:hAnsi="微软雅黑" w:eastAsia="微软雅黑" w:cs="微软雅黑"/>
                                <w:b/>
                                <w:bCs/>
                                <w:color w:val="auto"/>
                                <w:sz w:val="21"/>
                                <w:szCs w:val="21"/>
                                <w:lang w:val="en-US" w:eastAsia="zh-CN"/>
                              </w:rPr>
                              <w:t>环境噪声监测点位</w:t>
                            </w:r>
                          </w:p>
                          <w:p w14:paraId="72334020">
                            <w:pPr>
                              <w:pStyle w:val="2"/>
                              <w:ind w:firstLine="420" w:firstLineChars="200"/>
                              <w:rPr>
                                <w:rFonts w:hint="eastAsia" w:ascii="微软雅黑" w:hAnsi="微软雅黑" w:eastAsia="微软雅黑" w:cs="微软雅黑"/>
                                <w:b/>
                                <w:bCs/>
                                <w:color w:val="auto"/>
                                <w:lang w:val="en-US" w:eastAsia="zh-CN"/>
                              </w:rPr>
                            </w:pPr>
                            <w:r>
                              <w:rPr>
                                <w:rFonts w:hint="eastAsia" w:ascii="微软雅黑" w:hAnsi="微软雅黑" w:eastAsia="微软雅黑" w:cs="微软雅黑"/>
                                <w:b/>
                                <w:bCs/>
                                <w:color w:val="auto"/>
                                <w:sz w:val="21"/>
                                <w:szCs w:val="21"/>
                                <w:lang w:val="en-US" w:eastAsia="zh-CN"/>
                              </w:rPr>
                              <w:t>土壤环境监测点位</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11.1pt;margin-top:203.1pt;height:128.15pt;width:144.85pt;z-index:251731968;mso-width-relative:page;mso-height-relative:page;" fillcolor="#FFFFFF [3201]" filled="t" stroked="t" coordsize="21600,21600" o:gfxdata="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">
                <v:fill on="t" opacity="42598f" focussize="0,0"/>
                <v:stroke weight="0.5pt" color="#000000 [3204]" joinstyle="round"/>
                <v:imagedata o:title=""/>
                <o:lock v:ext="edit" aspectratio="f"/>
                <v:textbox>
                  <w:txbxContent>
                    <w:p w14:paraId="4998C9D9">
                      <w:pPr>
                        <w:jc w:val="center"/>
                        <w:rPr>
                          <w:rFonts w:hint="eastAsia" w:ascii="微软雅黑" w:hAnsi="微软雅黑" w:eastAsia="微软雅黑" w:cs="微软雅黑"/>
                          <w:b/>
                          <w:bCs/>
                          <w:color w:val="auto"/>
                          <w:lang w:val="en-US" w:eastAsia="zh-CN"/>
                        </w:rPr>
                      </w:pPr>
                      <w:r>
                        <w:rPr>
                          <w:rFonts w:hint="eastAsia" w:ascii="微软雅黑" w:hAnsi="微软雅黑" w:eastAsia="微软雅黑" w:cs="微软雅黑"/>
                          <w:b/>
                          <w:bCs/>
                          <w:color w:val="auto"/>
                          <w:lang w:val="en-US" w:eastAsia="zh-CN"/>
                        </w:rPr>
                        <w:t>图例</w:t>
                      </w:r>
                    </w:p>
                    <w:p w14:paraId="06FB80D1">
                      <w:pPr>
                        <w:pStyle w:val="2"/>
                        <w:ind w:firstLine="420" w:firstLineChars="200"/>
                        <w:rPr>
                          <w:rFonts w:hint="eastAsia" w:ascii="微软雅黑" w:hAnsi="微软雅黑" w:eastAsia="微软雅黑" w:cs="微软雅黑"/>
                          <w:b/>
                          <w:bCs/>
                          <w:color w:val="auto"/>
                          <w:sz w:val="21"/>
                          <w:szCs w:val="21"/>
                          <w:lang w:val="en-US" w:eastAsia="zh-CN"/>
                        </w:rPr>
                      </w:pPr>
                      <w:r>
                        <w:rPr>
                          <w:rFonts w:hint="eastAsia" w:ascii="微软雅黑" w:hAnsi="微软雅黑" w:eastAsia="微软雅黑" w:cs="微软雅黑"/>
                          <w:b/>
                          <w:bCs/>
                          <w:color w:val="auto"/>
                          <w:sz w:val="21"/>
                          <w:szCs w:val="21"/>
                          <w:lang w:val="en-US" w:eastAsia="zh-CN"/>
                        </w:rPr>
                        <w:t>环境空气监测点位</w:t>
                      </w:r>
                    </w:p>
                    <w:p w14:paraId="3CC9779B">
                      <w:pPr>
                        <w:ind w:firstLine="420" w:firstLineChars="200"/>
                        <w:rPr>
                          <w:rFonts w:hint="eastAsia" w:ascii="微软雅黑" w:hAnsi="微软雅黑" w:eastAsia="微软雅黑" w:cs="微软雅黑"/>
                          <w:b/>
                          <w:bCs/>
                          <w:color w:val="auto"/>
                          <w:sz w:val="21"/>
                          <w:szCs w:val="21"/>
                          <w:lang w:val="en-US" w:eastAsia="zh-CN"/>
                        </w:rPr>
                      </w:pPr>
                      <w:r>
                        <w:rPr>
                          <w:rFonts w:hint="eastAsia" w:ascii="微软雅黑" w:hAnsi="微软雅黑" w:eastAsia="微软雅黑" w:cs="微软雅黑"/>
                          <w:b/>
                          <w:bCs/>
                          <w:color w:val="auto"/>
                          <w:sz w:val="21"/>
                          <w:szCs w:val="21"/>
                          <w:lang w:val="en-US" w:eastAsia="zh-CN"/>
                        </w:rPr>
                        <w:t>地表水环境监测点位</w:t>
                      </w:r>
                    </w:p>
                    <w:p w14:paraId="1CCA3947">
                      <w:pPr>
                        <w:pStyle w:val="2"/>
                        <w:ind w:firstLine="420" w:firstLineChars="200"/>
                        <w:rPr>
                          <w:rFonts w:hint="eastAsia" w:ascii="微软雅黑" w:hAnsi="微软雅黑" w:eastAsia="微软雅黑" w:cs="微软雅黑"/>
                          <w:b/>
                          <w:bCs/>
                          <w:color w:val="auto"/>
                          <w:sz w:val="21"/>
                          <w:szCs w:val="21"/>
                          <w:lang w:val="en-US" w:eastAsia="zh-CN"/>
                        </w:rPr>
                      </w:pPr>
                      <w:r>
                        <w:rPr>
                          <w:rFonts w:hint="eastAsia" w:ascii="微软雅黑" w:hAnsi="微软雅黑" w:eastAsia="微软雅黑" w:cs="微软雅黑"/>
                          <w:b/>
                          <w:bCs/>
                          <w:color w:val="auto"/>
                          <w:sz w:val="21"/>
                          <w:szCs w:val="21"/>
                          <w:lang w:val="en-US" w:eastAsia="zh-CN"/>
                        </w:rPr>
                        <w:t>地下水环境监测点位</w:t>
                      </w:r>
                    </w:p>
                    <w:p w14:paraId="386877D5">
                      <w:pPr>
                        <w:ind w:firstLine="420" w:firstLineChars="200"/>
                        <w:rPr>
                          <w:rFonts w:hint="eastAsia" w:ascii="微软雅黑" w:hAnsi="微软雅黑" w:eastAsia="微软雅黑" w:cs="微软雅黑"/>
                          <w:b/>
                          <w:bCs/>
                          <w:color w:val="auto"/>
                          <w:sz w:val="21"/>
                          <w:szCs w:val="21"/>
                          <w:lang w:val="en-US" w:eastAsia="zh-CN"/>
                        </w:rPr>
                      </w:pPr>
                      <w:r>
                        <w:rPr>
                          <w:rFonts w:hint="eastAsia" w:ascii="微软雅黑" w:hAnsi="微软雅黑" w:eastAsia="微软雅黑" w:cs="微软雅黑"/>
                          <w:b/>
                          <w:bCs/>
                          <w:color w:val="auto"/>
                          <w:sz w:val="21"/>
                          <w:szCs w:val="21"/>
                          <w:lang w:val="en-US" w:eastAsia="zh-CN"/>
                        </w:rPr>
                        <w:t>环境噪声监测点位</w:t>
                      </w:r>
                    </w:p>
                    <w:p w14:paraId="72334020">
                      <w:pPr>
                        <w:pStyle w:val="2"/>
                        <w:ind w:firstLine="420" w:firstLineChars="200"/>
                        <w:rPr>
                          <w:rFonts w:hint="eastAsia" w:ascii="微软雅黑" w:hAnsi="微软雅黑" w:eastAsia="微软雅黑" w:cs="微软雅黑"/>
                          <w:b/>
                          <w:bCs/>
                          <w:color w:val="auto"/>
                          <w:lang w:val="en-US" w:eastAsia="zh-CN"/>
                        </w:rPr>
                      </w:pPr>
                      <w:r>
                        <w:rPr>
                          <w:rFonts w:hint="eastAsia" w:ascii="微软雅黑" w:hAnsi="微软雅黑" w:eastAsia="微软雅黑" w:cs="微软雅黑"/>
                          <w:b/>
                          <w:bCs/>
                          <w:color w:val="auto"/>
                          <w:sz w:val="21"/>
                          <w:szCs w:val="21"/>
                          <w:lang w:val="en-US" w:eastAsia="zh-CN"/>
                        </w:rPr>
                        <w:t>土壤环境监测点位</w:t>
                      </w:r>
                    </w:p>
                  </w:txbxContent>
                </v:textbox>
              </v:shape>
            </w:pict>
          </mc:Fallback>
        </mc:AlternateContent>
      </w:r>
      <w:r>
        <w:drawing>
          <wp:anchor distT="0" distB="0" distL="114300" distR="114300" simplePos="0" relativeHeight="251691008" behindDoc="0" locked="0" layoutInCell="1" allowOverlap="1">
            <wp:simplePos x="0" y="0"/>
            <wp:positionH relativeFrom="column">
              <wp:posOffset>8054975</wp:posOffset>
            </wp:positionH>
            <wp:positionV relativeFrom="paragraph">
              <wp:posOffset>84455</wp:posOffset>
            </wp:positionV>
            <wp:extent cx="514350" cy="752475"/>
            <wp:effectExtent l="0" t="0" r="0" b="9525"/>
            <wp:wrapNone/>
            <wp:docPr id="16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图片 1"/>
                    <pic:cNvPicPr>
                      <a:picLocks noChangeAspect="1"/>
                    </pic:cNvPicPr>
                  </pic:nvPicPr>
                  <pic:blipFill>
                    <a:blip r:embed="rId96"/>
                    <a:stretch>
                      <a:fillRect/>
                    </a:stretch>
                  </pic:blipFill>
                  <pic:spPr>
                    <a:xfrm>
                      <a:off x="0" y="0"/>
                      <a:ext cx="514350" cy="752475"/>
                    </a:xfrm>
                    <a:prstGeom prst="rect">
                      <a:avLst/>
                    </a:prstGeom>
                    <a:noFill/>
                    <a:ln>
                      <a:noFill/>
                    </a:ln>
                  </pic:spPr>
                </pic:pic>
              </a:graphicData>
            </a:graphic>
          </wp:anchor>
        </w:drawing>
      </w:r>
      <w:r>
        <w:drawing>
          <wp:inline distT="0" distB="0" distL="114300" distR="114300">
            <wp:extent cx="8525510" cy="4742815"/>
            <wp:effectExtent l="57150" t="57150" r="66040" b="57785"/>
            <wp:docPr id="40"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3"/>
                    <pic:cNvPicPr>
                      <a:picLocks noChangeAspect="1"/>
                    </pic:cNvPicPr>
                  </pic:nvPicPr>
                  <pic:blipFill>
                    <a:blip r:embed="rId106"/>
                    <a:stretch>
                      <a:fillRect/>
                    </a:stretch>
                  </pic:blipFill>
                  <pic:spPr>
                    <a:xfrm>
                      <a:off x="0" y="0"/>
                      <a:ext cx="8525510" cy="4742815"/>
                    </a:xfrm>
                    <a:prstGeom prst="rect">
                      <a:avLst/>
                    </a:prstGeom>
                    <a:noFill/>
                    <a:ln w="57150" cmpd="thickThin">
                      <a:solidFill>
                        <a:schemeClr val="tx1"/>
                      </a:solidFill>
                      <a:miter lim="800000"/>
                      <a:headEnd/>
                      <a:tailEnd/>
                    </a:ln>
                  </pic:spPr>
                </pic:pic>
              </a:graphicData>
            </a:graphic>
          </wp:inline>
        </w:drawing>
      </w:r>
    </w:p>
    <w:p w14:paraId="252C51CA">
      <w:pPr>
        <w:jc w:val="center"/>
        <w:sectPr>
          <w:pgSz w:w="16838" w:h="11906" w:orient="landscape"/>
          <w:pgMar w:top="1531" w:right="1701" w:bottom="1531" w:left="1701" w:header="851" w:footer="851" w:gutter="0"/>
          <w:pgBorders>
            <w:top w:val="none" w:sz="0" w:space="0"/>
            <w:left w:val="none" w:sz="0" w:space="0"/>
            <w:bottom w:val="none" w:sz="0" w:space="0"/>
            <w:right w:val="none" w:sz="0" w:space="0"/>
          </w:pgBorders>
          <w:pgNumType w:fmt="numberInDash"/>
          <w:cols w:space="720" w:num="1"/>
          <w:docGrid w:linePitch="312" w:charSpace="0"/>
        </w:sectPr>
      </w:pPr>
    </w:p>
    <w:p w14:paraId="304A8913">
      <w:pPr>
        <w:jc w:val="center"/>
        <w:sectPr>
          <w:pgSz w:w="16838" w:h="11906" w:orient="landscape"/>
          <w:pgMar w:top="1531" w:right="1701" w:bottom="1531" w:left="1701" w:header="851" w:footer="851" w:gutter="0"/>
          <w:pgBorders>
            <w:top w:val="none" w:sz="0" w:space="0"/>
            <w:left w:val="none" w:sz="0" w:space="0"/>
            <w:bottom w:val="none" w:sz="0" w:space="0"/>
            <w:right w:val="none" w:sz="0" w:space="0"/>
          </w:pgBorders>
          <w:pgNumType w:fmt="numberInDash"/>
          <w:cols w:space="720" w:num="1"/>
          <w:docGrid w:linePitch="312" w:charSpace="0"/>
        </w:sectPr>
      </w:pPr>
      <w:r>
        <w:rPr>
          <w:sz w:val="30"/>
        </w:rPr>
        <mc:AlternateContent>
          <mc:Choice Requires="wps">
            <w:drawing>
              <wp:anchor distT="0" distB="0" distL="114300" distR="114300" simplePos="0" relativeHeight="251692032" behindDoc="0" locked="0" layoutInCell="1" allowOverlap="1">
                <wp:simplePos x="0" y="0"/>
                <wp:positionH relativeFrom="column">
                  <wp:posOffset>3420110</wp:posOffset>
                </wp:positionH>
                <wp:positionV relativeFrom="paragraph">
                  <wp:posOffset>4491355</wp:posOffset>
                </wp:positionV>
                <wp:extent cx="1828800" cy="1828800"/>
                <wp:effectExtent l="0" t="0" r="0" b="0"/>
                <wp:wrapNone/>
                <wp:docPr id="166" name="文本框 16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7E593F9">
                            <w:pPr>
                              <w:pStyle w:val="3"/>
                              <w:rPr>
                                <w:color w:val="auto"/>
                                <w:sz w:val="32"/>
                                <w:szCs w:val="32"/>
                              </w:rPr>
                            </w:pPr>
                            <w:r>
                              <w:rPr>
                                <w:rFonts w:hint="eastAsia"/>
                                <w:color w:val="auto"/>
                              </w:rPr>
                              <w:t>附图7跟踪</w:t>
                            </w:r>
                            <w:r>
                              <w:rPr>
                                <w:rFonts w:hint="eastAsia"/>
                                <w:color w:val="auto"/>
                                <w:sz w:val="32"/>
                                <w:szCs w:val="32"/>
                              </w:rPr>
                              <w:t>监测点位图</w:t>
                            </w:r>
                          </w:p>
                        </w:txbxContent>
                      </wps:txbx>
                      <wps:bodyPr rot="0" spcFirstLastPara="0" vertOverflow="overflow" horzOverflow="overflow" vert="horz" wrap="none" lIns="91440" tIns="45720" rIns="91440" bIns="45720" numCol="1" spcCol="0" rtlCol="0" fromWordArt="0" anchor="t" anchorCtr="0" forceAA="0" compatLnSpc="1">
                        <a:spAutoFit/>
                      </wps:bodyPr>
                    </wps:wsp>
                  </a:graphicData>
                </a:graphic>
              </wp:anchor>
            </w:drawing>
          </mc:Choice>
          <mc:Fallback>
            <w:pict>
              <v:shape id="_x0000_s1026" o:spid="_x0000_s1026" o:spt="202" type="#_x0000_t202" style="position:absolute;left:0pt;margin-left:269.3pt;margin-top:353.65pt;height:144pt;width:144pt;mso-wrap-style:none;z-index:251692032;mso-width-relative:page;mso-height-relative:page;" filled="f" stroked="f" coordsize="21600,21600" o:gfxdata="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">
                <v:fill on="f" focussize="0,0"/>
                <v:stroke on="f" weight="0.5pt"/>
                <v:imagedata o:title=""/>
                <o:lock v:ext="edit" aspectratio="f"/>
                <v:textbox style="mso-fit-shape-to-text:t;">
                  <w:txbxContent>
                    <w:p w14:paraId="67E593F9">
                      <w:pPr>
                        <w:pStyle w:val="3"/>
                        <w:rPr>
                          <w:color w:val="auto"/>
                          <w:sz w:val="32"/>
                          <w:szCs w:val="32"/>
                        </w:rPr>
                      </w:pPr>
                      <w:r>
                        <w:rPr>
                          <w:rFonts w:hint="eastAsia"/>
                          <w:color w:val="auto"/>
                        </w:rPr>
                        <w:t>附图7跟踪</w:t>
                      </w:r>
                      <w:r>
                        <w:rPr>
                          <w:rFonts w:hint="eastAsia"/>
                          <w:color w:val="auto"/>
                          <w:sz w:val="32"/>
                          <w:szCs w:val="32"/>
                        </w:rPr>
                        <w:t>监测点位图</w:t>
                      </w:r>
                    </w:p>
                  </w:txbxContent>
                </v:textbox>
              </v:shape>
            </w:pict>
          </mc:Fallback>
        </mc:AlternateContent>
      </w:r>
      <w:r>
        <w:drawing>
          <wp:anchor distT="0" distB="0" distL="114300" distR="114300" simplePos="0" relativeHeight="251699200" behindDoc="0" locked="0" layoutInCell="1" allowOverlap="1">
            <wp:simplePos x="0" y="0"/>
            <wp:positionH relativeFrom="column">
              <wp:posOffset>6428105</wp:posOffset>
            </wp:positionH>
            <wp:positionV relativeFrom="paragraph">
              <wp:posOffset>2984500</wp:posOffset>
            </wp:positionV>
            <wp:extent cx="206375" cy="257175"/>
            <wp:effectExtent l="0" t="0" r="3175" b="9525"/>
            <wp:wrapNone/>
            <wp:docPr id="190"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图片 17"/>
                    <pic:cNvPicPr>
                      <a:picLocks noChangeAspect="1"/>
                    </pic:cNvPicPr>
                  </pic:nvPicPr>
                  <pic:blipFill>
                    <a:blip r:embed="rId107"/>
                    <a:stretch>
                      <a:fillRect/>
                    </a:stretch>
                  </pic:blipFill>
                  <pic:spPr>
                    <a:xfrm>
                      <a:off x="0" y="0"/>
                      <a:ext cx="206375" cy="257175"/>
                    </a:xfrm>
                    <a:prstGeom prst="rect">
                      <a:avLst/>
                    </a:prstGeom>
                    <a:noFill/>
                    <a:ln>
                      <a:noFill/>
                    </a:ln>
                  </pic:spPr>
                </pic:pic>
              </a:graphicData>
            </a:graphic>
          </wp:anchor>
        </w:drawing>
      </w:r>
      <w:r>
        <w:drawing>
          <wp:anchor distT="0" distB="0" distL="114300" distR="114300" simplePos="0" relativeHeight="251700224" behindDoc="0" locked="0" layoutInCell="1" allowOverlap="1">
            <wp:simplePos x="0" y="0"/>
            <wp:positionH relativeFrom="column">
              <wp:posOffset>6428105</wp:posOffset>
            </wp:positionH>
            <wp:positionV relativeFrom="paragraph">
              <wp:posOffset>3317875</wp:posOffset>
            </wp:positionV>
            <wp:extent cx="207645" cy="278130"/>
            <wp:effectExtent l="0" t="0" r="1905" b="7620"/>
            <wp:wrapNone/>
            <wp:docPr id="195"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图片 18"/>
                    <pic:cNvPicPr>
                      <a:picLocks noChangeAspect="1"/>
                    </pic:cNvPicPr>
                  </pic:nvPicPr>
                  <pic:blipFill>
                    <a:blip r:embed="rId108"/>
                    <a:stretch>
                      <a:fillRect/>
                    </a:stretch>
                  </pic:blipFill>
                  <pic:spPr>
                    <a:xfrm>
                      <a:off x="0" y="0"/>
                      <a:ext cx="207645" cy="278130"/>
                    </a:xfrm>
                    <a:prstGeom prst="rect">
                      <a:avLst/>
                    </a:prstGeom>
                    <a:noFill/>
                    <a:ln>
                      <a:noFill/>
                    </a:ln>
                  </pic:spPr>
                </pic:pic>
              </a:graphicData>
            </a:graphic>
          </wp:anchor>
        </w:drawing>
      </w:r>
      <w:r>
        <w:drawing>
          <wp:anchor distT="0" distB="0" distL="114300" distR="114300" simplePos="0" relativeHeight="251698176" behindDoc="0" locked="0" layoutInCell="1" allowOverlap="1">
            <wp:simplePos x="0" y="0"/>
            <wp:positionH relativeFrom="column">
              <wp:posOffset>6428105</wp:posOffset>
            </wp:positionH>
            <wp:positionV relativeFrom="paragraph">
              <wp:posOffset>3667125</wp:posOffset>
            </wp:positionV>
            <wp:extent cx="196850" cy="268605"/>
            <wp:effectExtent l="0" t="0" r="12700" b="17145"/>
            <wp:wrapNone/>
            <wp:docPr id="178"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图片 14"/>
                    <pic:cNvPicPr>
                      <a:picLocks noChangeAspect="1"/>
                    </pic:cNvPicPr>
                  </pic:nvPicPr>
                  <pic:blipFill>
                    <a:blip r:embed="rId109"/>
                    <a:stretch>
                      <a:fillRect/>
                    </a:stretch>
                  </pic:blipFill>
                  <pic:spPr>
                    <a:xfrm>
                      <a:off x="0" y="0"/>
                      <a:ext cx="196850" cy="268605"/>
                    </a:xfrm>
                    <a:prstGeom prst="rect">
                      <a:avLst/>
                    </a:prstGeom>
                    <a:noFill/>
                    <a:ln>
                      <a:noFill/>
                    </a:ln>
                  </pic:spPr>
                </pic:pic>
              </a:graphicData>
            </a:graphic>
          </wp:anchor>
        </w:drawing>
      </w:r>
      <w:r>
        <mc:AlternateContent>
          <mc:Choice Requires="wps">
            <w:drawing>
              <wp:anchor distT="0" distB="0" distL="114300" distR="114300" simplePos="0" relativeHeight="251697152" behindDoc="0" locked="0" layoutInCell="1" allowOverlap="1">
                <wp:simplePos x="0" y="0"/>
                <wp:positionH relativeFrom="column">
                  <wp:posOffset>6437630</wp:posOffset>
                </wp:positionH>
                <wp:positionV relativeFrom="paragraph">
                  <wp:posOffset>2676525</wp:posOffset>
                </wp:positionV>
                <wp:extent cx="190500" cy="174625"/>
                <wp:effectExtent l="12700" t="12700" r="25400" b="22225"/>
                <wp:wrapNone/>
                <wp:docPr id="176" name="矩形 176"/>
                <wp:cNvGraphicFramePr/>
                <a:graphic xmlns:a="http://schemas.openxmlformats.org/drawingml/2006/main">
                  <a:graphicData uri="http://schemas.microsoft.com/office/word/2010/wordprocessingShape">
                    <wps:wsp>
                      <wps:cNvSpPr/>
                      <wps:spPr>
                        <a:xfrm>
                          <a:off x="7517765" y="3648710"/>
                          <a:ext cx="190500" cy="174625"/>
                        </a:xfrm>
                        <a:prstGeom prst="rect">
                          <a:avLst/>
                        </a:prstGeom>
                        <a:no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506.9pt;margin-top:210.75pt;height:13.75pt;width:15pt;z-index:251697152;v-text-anchor:middle;mso-width-relative:page;mso-height-relative:page;" filled="f" stroked="t" coordsize="21600,21600" o:gfxdata="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">
                <v:fill on="f" focussize="0,0"/>
                <v:stroke weight="2pt" color="#FF0000 [2404]" joinstyle="round"/>
                <v:imagedata o:title=""/>
                <o:lock v:ext="edit" aspectratio="f"/>
              </v:rect>
            </w:pict>
          </mc:Fallback>
        </mc:AlternateContent>
      </w:r>
      <w:r>
        <mc:AlternateContent>
          <mc:Choice Requires="wps">
            <w:drawing>
              <wp:anchor distT="0" distB="0" distL="114300" distR="114300" simplePos="0" relativeHeight="251696128" behindDoc="0" locked="0" layoutInCell="1" allowOverlap="1">
                <wp:simplePos x="0" y="0"/>
                <wp:positionH relativeFrom="column">
                  <wp:posOffset>6292215</wp:posOffset>
                </wp:positionH>
                <wp:positionV relativeFrom="paragraph">
                  <wp:posOffset>2376170</wp:posOffset>
                </wp:positionV>
                <wp:extent cx="1773555" cy="1750060"/>
                <wp:effectExtent l="4445" t="4445" r="12700" b="17145"/>
                <wp:wrapNone/>
                <wp:docPr id="175" name="文本框 175"/>
                <wp:cNvGraphicFramePr/>
                <a:graphic xmlns:a="http://schemas.openxmlformats.org/drawingml/2006/main">
                  <a:graphicData uri="http://schemas.microsoft.com/office/word/2010/wordprocessingShape">
                    <wps:wsp>
                      <wps:cNvSpPr txBox="1"/>
                      <wps:spPr>
                        <a:xfrm>
                          <a:off x="0" y="0"/>
                          <a:ext cx="1773555" cy="1750060"/>
                        </a:xfrm>
                        <a:prstGeom prst="rect">
                          <a:avLst/>
                        </a:prstGeom>
                        <a:solidFill>
                          <a:schemeClr val="lt1">
                            <a:alpha val="48000"/>
                          </a:schemeClr>
                        </a:solidFill>
                        <a:ln w="6350">
                          <a:solidFill>
                            <a:schemeClr val="tx1"/>
                          </a:solidFill>
                        </a:ln>
                      </wps:spPr>
                      <wps:style>
                        <a:lnRef idx="0">
                          <a:schemeClr val="accent1"/>
                        </a:lnRef>
                        <a:fillRef idx="0">
                          <a:schemeClr val="accent1"/>
                        </a:fillRef>
                        <a:effectRef idx="0">
                          <a:schemeClr val="accent1"/>
                        </a:effectRef>
                        <a:fontRef idx="minor">
                          <a:schemeClr val="dk1"/>
                        </a:fontRef>
                      </wps:style>
                      <wps:txbx>
                        <w:txbxContent>
                          <w:p w14:paraId="2E7CC974">
                            <w:pPr>
                              <w:spacing w:line="360" w:lineRule="auto"/>
                              <w:jc w:val="center"/>
                              <w:rPr>
                                <w:b/>
                                <w:bCs/>
                              </w:rPr>
                            </w:pPr>
                            <w:r>
                              <w:rPr>
                                <w:rFonts w:hint="eastAsia"/>
                                <w:b/>
                                <w:bCs/>
                              </w:rPr>
                              <w:t>图例</w:t>
                            </w:r>
                          </w:p>
                          <w:p w14:paraId="044928B5">
                            <w:pPr>
                              <w:pStyle w:val="2"/>
                              <w:spacing w:line="480" w:lineRule="auto"/>
                              <w:ind w:firstLine="422" w:firstLineChars="200"/>
                              <w:rPr>
                                <w:b/>
                                <w:bCs/>
                                <w:sz w:val="21"/>
                                <w:szCs w:val="21"/>
                              </w:rPr>
                            </w:pPr>
                            <w:r>
                              <w:rPr>
                                <w:rFonts w:hint="eastAsia"/>
                                <w:b/>
                                <w:bCs/>
                                <w:sz w:val="21"/>
                                <w:szCs w:val="21"/>
                              </w:rPr>
                              <w:t>本项目厂区</w:t>
                            </w:r>
                          </w:p>
                          <w:p w14:paraId="05AB58C3">
                            <w:pPr>
                              <w:pStyle w:val="2"/>
                              <w:spacing w:line="480" w:lineRule="auto"/>
                              <w:ind w:firstLine="422" w:firstLineChars="200"/>
                              <w:rPr>
                                <w:b/>
                                <w:bCs/>
                                <w:sz w:val="21"/>
                                <w:szCs w:val="21"/>
                              </w:rPr>
                            </w:pPr>
                            <w:r>
                              <w:rPr>
                                <w:rFonts w:hint="eastAsia"/>
                                <w:b/>
                                <w:bCs/>
                                <w:sz w:val="21"/>
                                <w:szCs w:val="21"/>
                              </w:rPr>
                              <w:t>有组织废气监测点位</w:t>
                            </w:r>
                          </w:p>
                          <w:p w14:paraId="1978DC60">
                            <w:pPr>
                              <w:spacing w:line="480" w:lineRule="auto"/>
                              <w:ind w:firstLine="422" w:firstLineChars="200"/>
                              <w:rPr>
                                <w:b/>
                                <w:bCs/>
                                <w:szCs w:val="21"/>
                              </w:rPr>
                            </w:pPr>
                            <w:r>
                              <w:rPr>
                                <w:rFonts w:hint="eastAsia"/>
                                <w:b/>
                                <w:bCs/>
                                <w:szCs w:val="21"/>
                              </w:rPr>
                              <w:t>无组织废气监测点位</w:t>
                            </w:r>
                          </w:p>
                          <w:p w14:paraId="4CAB16CE">
                            <w:pPr>
                              <w:pStyle w:val="2"/>
                              <w:spacing w:line="480" w:lineRule="auto"/>
                              <w:ind w:firstLine="422" w:firstLineChars="200"/>
                            </w:pPr>
                            <w:r>
                              <w:rPr>
                                <w:rFonts w:hint="eastAsia"/>
                                <w:b/>
                                <w:bCs/>
                                <w:sz w:val="21"/>
                                <w:szCs w:val="21"/>
                              </w:rPr>
                              <w:t>噪声监测点位</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95.45pt;margin-top:187.1pt;height:137.8pt;width:139.65pt;z-index:251696128;mso-width-relative:page;mso-height-relative:page;" fillcolor="#FFFFFF [3201]" filled="t" stroked="t" coordsize="21600,21600" o:gfxdata="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">
                <v:fill on="t" opacity="31457f" focussize="0,0"/>
                <v:stroke weight="0.5pt" color="#000000 [3213]" joinstyle="round"/>
                <v:imagedata o:title=""/>
                <o:lock v:ext="edit" aspectratio="f"/>
                <v:textbox>
                  <w:txbxContent>
                    <w:p w14:paraId="2E7CC974">
                      <w:pPr>
                        <w:spacing w:line="360" w:lineRule="auto"/>
                        <w:jc w:val="center"/>
                        <w:rPr>
                          <w:b/>
                          <w:bCs/>
                        </w:rPr>
                      </w:pPr>
                      <w:r>
                        <w:rPr>
                          <w:rFonts w:hint="eastAsia"/>
                          <w:b/>
                          <w:bCs/>
                        </w:rPr>
                        <w:t>图例</w:t>
                      </w:r>
                    </w:p>
                    <w:p w14:paraId="044928B5">
                      <w:pPr>
                        <w:pStyle w:val="2"/>
                        <w:spacing w:line="480" w:lineRule="auto"/>
                        <w:ind w:firstLine="422" w:firstLineChars="200"/>
                        <w:rPr>
                          <w:b/>
                          <w:bCs/>
                          <w:sz w:val="21"/>
                          <w:szCs w:val="21"/>
                        </w:rPr>
                      </w:pPr>
                      <w:r>
                        <w:rPr>
                          <w:rFonts w:hint="eastAsia"/>
                          <w:b/>
                          <w:bCs/>
                          <w:sz w:val="21"/>
                          <w:szCs w:val="21"/>
                        </w:rPr>
                        <w:t>本项目厂区</w:t>
                      </w:r>
                    </w:p>
                    <w:p w14:paraId="05AB58C3">
                      <w:pPr>
                        <w:pStyle w:val="2"/>
                        <w:spacing w:line="480" w:lineRule="auto"/>
                        <w:ind w:firstLine="422" w:firstLineChars="200"/>
                        <w:rPr>
                          <w:b/>
                          <w:bCs/>
                          <w:sz w:val="21"/>
                          <w:szCs w:val="21"/>
                        </w:rPr>
                      </w:pPr>
                      <w:r>
                        <w:rPr>
                          <w:rFonts w:hint="eastAsia"/>
                          <w:b/>
                          <w:bCs/>
                          <w:sz w:val="21"/>
                          <w:szCs w:val="21"/>
                        </w:rPr>
                        <w:t>有组织废气监测点位</w:t>
                      </w:r>
                    </w:p>
                    <w:p w14:paraId="1978DC60">
                      <w:pPr>
                        <w:spacing w:line="480" w:lineRule="auto"/>
                        <w:ind w:firstLine="422" w:firstLineChars="200"/>
                        <w:rPr>
                          <w:b/>
                          <w:bCs/>
                          <w:szCs w:val="21"/>
                        </w:rPr>
                      </w:pPr>
                      <w:r>
                        <w:rPr>
                          <w:rFonts w:hint="eastAsia"/>
                          <w:b/>
                          <w:bCs/>
                          <w:szCs w:val="21"/>
                        </w:rPr>
                        <w:t>无组织废气监测点位</w:t>
                      </w:r>
                    </w:p>
                    <w:p w14:paraId="4CAB16CE">
                      <w:pPr>
                        <w:pStyle w:val="2"/>
                        <w:spacing w:line="480" w:lineRule="auto"/>
                        <w:ind w:firstLine="422" w:firstLineChars="200"/>
                      </w:pPr>
                      <w:r>
                        <w:rPr>
                          <w:rFonts w:hint="eastAsia"/>
                          <w:b/>
                          <w:bCs/>
                          <w:sz w:val="21"/>
                          <w:szCs w:val="21"/>
                        </w:rPr>
                        <w:t>噪声监测点位</w:t>
                      </w:r>
                    </w:p>
                  </w:txbxContent>
                </v:textbox>
              </v:shape>
            </w:pict>
          </mc:Fallback>
        </mc:AlternateContent>
      </w:r>
      <w:r>
        <w:drawing>
          <wp:anchor distT="0" distB="0" distL="114300" distR="114300" simplePos="0" relativeHeight="251704320" behindDoc="0" locked="0" layoutInCell="1" allowOverlap="1">
            <wp:simplePos x="0" y="0"/>
            <wp:positionH relativeFrom="column">
              <wp:posOffset>7907020</wp:posOffset>
            </wp:positionH>
            <wp:positionV relativeFrom="paragraph">
              <wp:posOffset>66040</wp:posOffset>
            </wp:positionV>
            <wp:extent cx="514350" cy="752475"/>
            <wp:effectExtent l="0" t="0" r="0" b="9525"/>
            <wp:wrapNone/>
            <wp:docPr id="25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图片 1"/>
                    <pic:cNvPicPr>
                      <a:picLocks noChangeAspect="1"/>
                    </pic:cNvPicPr>
                  </pic:nvPicPr>
                  <pic:blipFill>
                    <a:blip r:embed="rId96"/>
                    <a:stretch>
                      <a:fillRect/>
                    </a:stretch>
                  </pic:blipFill>
                  <pic:spPr>
                    <a:xfrm>
                      <a:off x="0" y="0"/>
                      <a:ext cx="514350" cy="752475"/>
                    </a:xfrm>
                    <a:prstGeom prst="rect">
                      <a:avLst/>
                    </a:prstGeom>
                    <a:noFill/>
                    <a:ln>
                      <a:noFill/>
                    </a:ln>
                  </pic:spPr>
                </pic:pic>
              </a:graphicData>
            </a:graphic>
          </wp:anchor>
        </w:drawing>
      </w:r>
      <w:r>
        <w:drawing>
          <wp:inline distT="0" distB="0" distL="114300" distR="114300">
            <wp:extent cx="8522335" cy="4348480"/>
            <wp:effectExtent l="57150" t="57150" r="69215" b="71120"/>
            <wp:docPr id="47"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8"/>
                    <pic:cNvPicPr>
                      <a:picLocks noChangeAspect="1"/>
                    </pic:cNvPicPr>
                  </pic:nvPicPr>
                  <pic:blipFill>
                    <a:blip r:embed="rId110"/>
                    <a:stretch>
                      <a:fillRect/>
                    </a:stretch>
                  </pic:blipFill>
                  <pic:spPr>
                    <a:xfrm>
                      <a:off x="0" y="0"/>
                      <a:ext cx="8522335" cy="4348480"/>
                    </a:xfrm>
                    <a:prstGeom prst="rect">
                      <a:avLst/>
                    </a:prstGeom>
                    <a:noFill/>
                    <a:ln w="57150" cmpd="thickThin">
                      <a:solidFill>
                        <a:schemeClr val="tx1"/>
                      </a:solidFill>
                      <a:miter lim="800000"/>
                      <a:headEnd/>
                      <a:tailEnd/>
                    </a:ln>
                  </pic:spPr>
                </pic:pic>
              </a:graphicData>
            </a:graphic>
          </wp:inline>
        </w:drawing>
      </w:r>
    </w:p>
    <w:p w14:paraId="36797DD0">
      <w:pPr>
        <w:pStyle w:val="3"/>
        <w:jc w:val="center"/>
        <w:sectPr>
          <w:headerReference r:id="rId8" w:type="default"/>
          <w:footerReference r:id="rId9" w:type="default"/>
          <w:pgSz w:w="16838" w:h="11906" w:orient="landscape"/>
          <w:pgMar w:top="1701" w:right="1417" w:bottom="1417" w:left="1417" w:header="851" w:footer="992" w:gutter="0"/>
          <w:pgBorders>
            <w:top w:val="none" w:sz="0" w:space="0"/>
            <w:left w:val="none" w:sz="0" w:space="0"/>
            <w:bottom w:val="none" w:sz="0" w:space="0"/>
            <w:right w:val="none" w:sz="0" w:space="0"/>
          </w:pgBorders>
          <w:pgNumType w:fmt="numberInDash"/>
          <w:cols w:space="720" w:num="1"/>
          <w:docGrid w:type="lines" w:linePitch="312" w:charSpace="0"/>
        </w:sectPr>
      </w:pPr>
      <w:r>
        <w:drawing>
          <wp:anchor distT="0" distB="0" distL="114300" distR="114300" simplePos="0" relativeHeight="251711488" behindDoc="0" locked="0" layoutInCell="1" allowOverlap="1">
            <wp:simplePos x="0" y="0"/>
            <wp:positionH relativeFrom="column">
              <wp:posOffset>7795260</wp:posOffset>
            </wp:positionH>
            <wp:positionV relativeFrom="paragraph">
              <wp:posOffset>4872990</wp:posOffset>
            </wp:positionV>
            <wp:extent cx="1095375" cy="352425"/>
            <wp:effectExtent l="0" t="0" r="9525" b="9525"/>
            <wp:wrapNone/>
            <wp:docPr id="38"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5"/>
                    <pic:cNvPicPr>
                      <a:picLocks noChangeAspect="1"/>
                    </pic:cNvPicPr>
                  </pic:nvPicPr>
                  <pic:blipFill>
                    <a:blip r:embed="rId111"/>
                    <a:stretch>
                      <a:fillRect/>
                    </a:stretch>
                  </pic:blipFill>
                  <pic:spPr>
                    <a:xfrm>
                      <a:off x="0" y="0"/>
                      <a:ext cx="1095375" cy="352425"/>
                    </a:xfrm>
                    <a:prstGeom prst="rect">
                      <a:avLst/>
                    </a:prstGeom>
                    <a:noFill/>
                    <a:ln>
                      <a:noFill/>
                    </a:ln>
                  </pic:spPr>
                </pic:pic>
              </a:graphicData>
            </a:graphic>
          </wp:anchor>
        </w:drawing>
      </w:r>
      <w:r>
        <w:rPr>
          <w:color w:val="auto"/>
        </w:rPr>
        <w:drawing>
          <wp:anchor distT="0" distB="0" distL="114300" distR="114300" simplePos="0" relativeHeight="251678720" behindDoc="0" locked="0" layoutInCell="1" allowOverlap="1">
            <wp:simplePos x="0" y="0"/>
            <wp:positionH relativeFrom="column">
              <wp:posOffset>8303260</wp:posOffset>
            </wp:positionH>
            <wp:positionV relativeFrom="paragraph">
              <wp:posOffset>353695</wp:posOffset>
            </wp:positionV>
            <wp:extent cx="560705" cy="604520"/>
            <wp:effectExtent l="0" t="0" r="0" b="13970"/>
            <wp:wrapNone/>
            <wp:docPr id="15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图片 1"/>
                    <pic:cNvPicPr>
                      <a:picLocks noChangeAspect="1"/>
                    </pic:cNvPicPr>
                  </pic:nvPicPr>
                  <pic:blipFill>
                    <a:blip r:embed="rId112"/>
                    <a:srcRect b="14622"/>
                    <a:stretch>
                      <a:fillRect/>
                    </a:stretch>
                  </pic:blipFill>
                  <pic:spPr>
                    <a:xfrm rot="19620000">
                      <a:off x="0" y="0"/>
                      <a:ext cx="560705" cy="604520"/>
                    </a:xfrm>
                    <a:prstGeom prst="rect">
                      <a:avLst/>
                    </a:prstGeom>
                    <a:noFill/>
                    <a:ln>
                      <a:noFill/>
                    </a:ln>
                  </pic:spPr>
                </pic:pic>
              </a:graphicData>
            </a:graphic>
          </wp:anchor>
        </w:drawing>
      </w:r>
      <w:r>
        <mc:AlternateContent>
          <mc:Choice Requires="wps">
            <w:drawing>
              <wp:anchor distT="0" distB="0" distL="114300" distR="114300" simplePos="0" relativeHeight="251701248" behindDoc="0" locked="0" layoutInCell="1" allowOverlap="1">
                <wp:simplePos x="0" y="0"/>
                <wp:positionH relativeFrom="column">
                  <wp:posOffset>3576320</wp:posOffset>
                </wp:positionH>
                <wp:positionV relativeFrom="paragraph">
                  <wp:posOffset>5320030</wp:posOffset>
                </wp:positionV>
                <wp:extent cx="1828800" cy="1828800"/>
                <wp:effectExtent l="0" t="0" r="0" b="0"/>
                <wp:wrapNone/>
                <wp:docPr id="196" name="文本框 19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512C3B0">
                            <w:pPr>
                              <w:pStyle w:val="3"/>
                              <w:rPr>
                                <w:color w:val="auto"/>
                                <w:sz w:val="32"/>
                                <w:szCs w:val="32"/>
                              </w:rPr>
                            </w:pPr>
                            <w:r>
                              <w:rPr>
                                <w:rFonts w:hint="eastAsia"/>
                                <w:color w:val="auto"/>
                              </w:rPr>
                              <w:t>附图8厂区布置</w:t>
                            </w:r>
                            <w:r>
                              <w:rPr>
                                <w:rFonts w:hint="eastAsia"/>
                                <w:color w:val="auto"/>
                                <w:sz w:val="32"/>
                                <w:szCs w:val="32"/>
                              </w:rPr>
                              <w:t>图</w:t>
                            </w:r>
                          </w:p>
                        </w:txbxContent>
                      </wps:txbx>
                      <wps:bodyPr rot="0" spcFirstLastPara="0" vertOverflow="overflow" horzOverflow="overflow" vert="horz" wrap="none" lIns="91440" tIns="45720" rIns="91440" bIns="45720" numCol="1" spcCol="0" rtlCol="0" fromWordArt="0" anchor="t" anchorCtr="0" forceAA="0" compatLnSpc="1">
                        <a:spAutoFit/>
                      </wps:bodyPr>
                    </wps:wsp>
                  </a:graphicData>
                </a:graphic>
              </wp:anchor>
            </w:drawing>
          </mc:Choice>
          <mc:Fallback>
            <w:pict>
              <v:shape id="_x0000_s1026" o:spid="_x0000_s1026" o:spt="202" type="#_x0000_t202" style="position:absolute;left:0pt;margin-left:281.6pt;margin-top:418.9pt;height:144pt;width:144pt;mso-wrap-style:none;z-index:251701248;mso-width-relative:page;mso-height-relative:page;" filled="f" stroked="f" coordsize="21600,21600" o:gfxdata="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">
                <v:fill on="f" focussize="0,0"/>
                <v:stroke on="f" weight="0.5pt"/>
                <v:imagedata o:title=""/>
                <o:lock v:ext="edit" aspectratio="f"/>
                <v:textbox style="mso-fit-shape-to-text:t;">
                  <w:txbxContent>
                    <w:p w14:paraId="6512C3B0">
                      <w:pPr>
                        <w:pStyle w:val="3"/>
                        <w:rPr>
                          <w:color w:val="auto"/>
                          <w:sz w:val="32"/>
                          <w:szCs w:val="32"/>
                        </w:rPr>
                      </w:pPr>
                      <w:r>
                        <w:rPr>
                          <w:rFonts w:hint="eastAsia"/>
                          <w:color w:val="auto"/>
                        </w:rPr>
                        <w:t>附图8厂区布置</w:t>
                      </w:r>
                      <w:r>
                        <w:rPr>
                          <w:rFonts w:hint="eastAsia"/>
                          <w:color w:val="auto"/>
                          <w:sz w:val="32"/>
                          <w:szCs w:val="32"/>
                        </w:rPr>
                        <w:t>图</w:t>
                      </w:r>
                    </w:p>
                  </w:txbxContent>
                </v:textbox>
              </v:shape>
            </w:pict>
          </mc:Fallback>
        </mc:AlternateContent>
      </w:r>
      <w:r>
        <w:drawing>
          <wp:inline distT="0" distB="0" distL="114300" distR="114300">
            <wp:extent cx="8885555" cy="5113020"/>
            <wp:effectExtent l="57150" t="57150" r="67945" b="68580"/>
            <wp:docPr id="37"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4"/>
                    <pic:cNvPicPr>
                      <a:picLocks noChangeAspect="1"/>
                    </pic:cNvPicPr>
                  </pic:nvPicPr>
                  <pic:blipFill>
                    <a:blip r:embed="rId113"/>
                    <a:stretch>
                      <a:fillRect/>
                    </a:stretch>
                  </pic:blipFill>
                  <pic:spPr>
                    <a:xfrm>
                      <a:off x="0" y="0"/>
                      <a:ext cx="8885555" cy="5113020"/>
                    </a:xfrm>
                    <a:prstGeom prst="rect">
                      <a:avLst/>
                    </a:prstGeom>
                    <a:noFill/>
                    <a:ln w="57150" cmpd="thickThin">
                      <a:solidFill>
                        <a:schemeClr val="tx1"/>
                      </a:solidFill>
                      <a:miter lim="800000"/>
                      <a:headEnd/>
                      <a:tailEnd/>
                    </a:ln>
                  </pic:spPr>
                </pic:pic>
              </a:graphicData>
            </a:graphic>
          </wp:inline>
        </w:drawing>
      </w:r>
    </w:p>
    <w:p w14:paraId="56BF4D54">
      <w:pPr>
        <w:rPr>
          <w:rFonts w:hint="eastAsia" w:eastAsia="宋体"/>
          <w:lang w:eastAsia="zh-CN"/>
          <w14:textOutline w14:w="9525">
            <w14:solidFill>
              <w14:schemeClr w14:val="accent1"/>
            </w14:solidFill>
            <w14:round/>
          </w14:textOutline>
        </w:rPr>
        <w:sectPr>
          <w:pgSz w:w="16838" w:h="11906" w:orient="landscape"/>
          <w:pgMar w:top="1701" w:right="1417" w:bottom="1417" w:left="1417" w:header="851" w:footer="992" w:gutter="0"/>
          <w:pgBorders>
            <w:top w:val="none" w:sz="0" w:space="0"/>
            <w:left w:val="none" w:sz="0" w:space="0"/>
            <w:bottom w:val="none" w:sz="0" w:space="0"/>
            <w:right w:val="none" w:sz="0" w:space="0"/>
          </w:pgBorders>
          <w:pgNumType w:fmt="numberInDash"/>
          <w:cols w:space="720" w:num="1"/>
          <w:docGrid w:type="lines" w:linePitch="312" w:charSpace="0"/>
        </w:sectPr>
      </w:pPr>
      <w:r>
        <w:rPr>
          <w:color w:val="auto"/>
        </w:rPr>
        <w:drawing>
          <wp:anchor distT="0" distB="0" distL="114300" distR="114300" simplePos="0" relativeHeight="251710464" behindDoc="0" locked="0" layoutInCell="1" allowOverlap="1">
            <wp:simplePos x="0" y="0"/>
            <wp:positionH relativeFrom="column">
              <wp:posOffset>8052435</wp:posOffset>
            </wp:positionH>
            <wp:positionV relativeFrom="paragraph">
              <wp:posOffset>310515</wp:posOffset>
            </wp:positionV>
            <wp:extent cx="424180" cy="530225"/>
            <wp:effectExtent l="110490" t="73025" r="113030" b="82550"/>
            <wp:wrapNone/>
            <wp:docPr id="3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1"/>
                    <pic:cNvPicPr>
                      <a:picLocks noChangeAspect="1"/>
                    </pic:cNvPicPr>
                  </pic:nvPicPr>
                  <pic:blipFill>
                    <a:blip r:embed="rId96"/>
                    <a:srcRect b="14622"/>
                    <a:stretch>
                      <a:fillRect/>
                    </a:stretch>
                  </pic:blipFill>
                  <pic:spPr>
                    <a:xfrm rot="19620000">
                      <a:off x="0" y="0"/>
                      <a:ext cx="424180" cy="530225"/>
                    </a:xfrm>
                    <a:prstGeom prst="rect">
                      <a:avLst/>
                    </a:prstGeom>
                    <a:noFill/>
                    <a:ln>
                      <a:noFill/>
                    </a:ln>
                  </pic:spPr>
                </pic:pic>
              </a:graphicData>
            </a:graphic>
          </wp:anchor>
        </w:drawing>
      </w:r>
      <w:r>
        <w:rPr>
          <w:sz w:val="30"/>
        </w:rPr>
        <mc:AlternateContent>
          <mc:Choice Requires="wps">
            <w:drawing>
              <wp:anchor distT="0" distB="0" distL="114300" distR="114300" simplePos="0" relativeHeight="251709440" behindDoc="0" locked="0" layoutInCell="1" allowOverlap="1">
                <wp:simplePos x="0" y="0"/>
                <wp:positionH relativeFrom="column">
                  <wp:posOffset>3566795</wp:posOffset>
                </wp:positionH>
                <wp:positionV relativeFrom="paragraph">
                  <wp:posOffset>5234305</wp:posOffset>
                </wp:positionV>
                <wp:extent cx="1828800" cy="1828800"/>
                <wp:effectExtent l="0" t="0" r="0" b="0"/>
                <wp:wrapNone/>
                <wp:docPr id="19" name="文本框 1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0ACE74E">
                            <w:pPr>
                              <w:pStyle w:val="3"/>
                              <w:rPr>
                                <w:rFonts w:hint="default" w:eastAsia="黑体"/>
                                <w:color w:val="auto"/>
                                <w:sz w:val="32"/>
                                <w:szCs w:val="32"/>
                                <w:lang w:val="en-US" w:eastAsia="zh-CN"/>
                              </w:rPr>
                            </w:pPr>
                            <w:r>
                              <w:rPr>
                                <w:rFonts w:hint="eastAsia"/>
                                <w:color w:val="auto"/>
                              </w:rPr>
                              <w:t>附图9</w:t>
                            </w:r>
                            <w:r>
                              <w:rPr>
                                <w:rFonts w:hint="eastAsia"/>
                                <w:color w:val="auto"/>
                                <w:lang w:val="en-US" w:eastAsia="zh-CN"/>
                              </w:rPr>
                              <w:t>拆解车间平面布置图</w:t>
                            </w:r>
                          </w:p>
                        </w:txbxContent>
                      </wps:txbx>
                      <wps:bodyPr rot="0" spcFirstLastPara="0" vertOverflow="overflow" horzOverflow="overflow" vert="horz" wrap="none" lIns="91440" tIns="45720" rIns="91440" bIns="45720" numCol="1" spcCol="0" rtlCol="0" fromWordArt="0" anchor="t" anchorCtr="0" forceAA="0" compatLnSpc="1">
                        <a:spAutoFit/>
                      </wps:bodyPr>
                    </wps:wsp>
                  </a:graphicData>
                </a:graphic>
              </wp:anchor>
            </w:drawing>
          </mc:Choice>
          <mc:Fallback>
            <w:pict>
              <v:shape id="_x0000_s1026" o:spid="_x0000_s1026" o:spt="202" type="#_x0000_t202" style="position:absolute;left:0pt;margin-left:280.85pt;margin-top:412.15pt;height:144pt;width:144pt;mso-wrap-style:none;z-index:251709440;mso-width-relative:page;mso-height-relative:page;" filled="f" stroked="f" coordsize="21600,21600" o:gfxdata="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">
                <v:fill on="f" focussize="0,0"/>
                <v:stroke on="f" weight="0.5pt"/>
                <v:imagedata o:title=""/>
                <o:lock v:ext="edit" aspectratio="f"/>
                <v:textbox style="mso-fit-shape-to-text:t;">
                  <w:txbxContent>
                    <w:p w14:paraId="30ACE74E">
                      <w:pPr>
                        <w:pStyle w:val="3"/>
                        <w:rPr>
                          <w:rFonts w:hint="default" w:eastAsia="黑体"/>
                          <w:color w:val="auto"/>
                          <w:sz w:val="32"/>
                          <w:szCs w:val="32"/>
                          <w:lang w:val="en-US" w:eastAsia="zh-CN"/>
                        </w:rPr>
                      </w:pPr>
                      <w:r>
                        <w:rPr>
                          <w:rFonts w:hint="eastAsia"/>
                          <w:color w:val="auto"/>
                        </w:rPr>
                        <w:t>附图9</w:t>
                      </w:r>
                      <w:r>
                        <w:rPr>
                          <w:rFonts w:hint="eastAsia"/>
                          <w:color w:val="auto"/>
                          <w:lang w:val="en-US" w:eastAsia="zh-CN"/>
                        </w:rPr>
                        <w:t>拆解车间平面布置图</w:t>
                      </w:r>
                    </w:p>
                  </w:txbxContent>
                </v:textbox>
              </v:shape>
            </w:pict>
          </mc:Fallback>
        </mc:AlternateContent>
      </w:r>
      <w:r>
        <w:rPr>
          <w:rFonts w:hint="eastAsia" w:eastAsia="宋体"/>
          <w:lang w:eastAsia="zh-CN"/>
        </w:rPr>
        <w:drawing>
          <wp:inline distT="0" distB="0" distL="114300" distR="114300">
            <wp:extent cx="8962390" cy="5182235"/>
            <wp:effectExtent l="57150" t="57150" r="67310" b="75565"/>
            <wp:docPr id="34" name="图片 34" descr="汽车拆解布局图最新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descr="汽车拆解布局图最新_01"/>
                    <pic:cNvPicPr>
                      <a:picLocks noChangeAspect="1"/>
                    </pic:cNvPicPr>
                  </pic:nvPicPr>
                  <pic:blipFill>
                    <a:blip r:embed="rId114"/>
                    <a:stretch>
                      <a:fillRect/>
                    </a:stretch>
                  </pic:blipFill>
                  <pic:spPr>
                    <a:xfrm>
                      <a:off x="0" y="0"/>
                      <a:ext cx="8962390" cy="5182235"/>
                    </a:xfrm>
                    <a:prstGeom prst="rect">
                      <a:avLst/>
                    </a:prstGeom>
                    <a:ln w="57150" cmpd="thickThin">
                      <a:solidFill>
                        <a:schemeClr val="tx1"/>
                      </a:solidFill>
                      <a:miter lim="800000"/>
                      <a:headEnd/>
                      <a:tailEnd/>
                    </a:ln>
                  </pic:spPr>
                </pic:pic>
              </a:graphicData>
            </a:graphic>
          </wp:inline>
        </w:drawing>
      </w:r>
    </w:p>
    <w:p w14:paraId="257B0250">
      <w:pPr>
        <w:sectPr>
          <w:pgSz w:w="16838" w:h="11906" w:orient="landscape"/>
          <w:pgMar w:top="1701" w:right="1417" w:bottom="1417" w:left="1417" w:header="851" w:footer="992" w:gutter="0"/>
          <w:pgBorders>
            <w:top w:val="none" w:sz="0" w:space="0"/>
            <w:left w:val="none" w:sz="0" w:space="0"/>
            <w:bottom w:val="none" w:sz="0" w:space="0"/>
            <w:right w:val="none" w:sz="0" w:space="0"/>
          </w:pgBorders>
          <w:pgNumType w:fmt="numberInDash"/>
          <w:cols w:space="720" w:num="1"/>
          <w:docGrid w:type="lines" w:linePitch="312" w:charSpace="0"/>
        </w:sectPr>
      </w:pPr>
      <w:r>
        <w:rPr>
          <w:sz w:val="21"/>
        </w:rPr>
        <mc:AlternateContent>
          <mc:Choice Requires="wps">
            <w:drawing>
              <wp:anchor distT="0" distB="0" distL="114300" distR="114300" simplePos="0" relativeHeight="251725824" behindDoc="0" locked="0" layoutInCell="1" allowOverlap="1">
                <wp:simplePos x="0" y="0"/>
                <wp:positionH relativeFrom="column">
                  <wp:posOffset>7571740</wp:posOffset>
                </wp:positionH>
                <wp:positionV relativeFrom="paragraph">
                  <wp:posOffset>4368165</wp:posOffset>
                </wp:positionV>
                <wp:extent cx="201930" cy="154940"/>
                <wp:effectExtent l="12700" t="12700" r="13970" b="22860"/>
                <wp:wrapNone/>
                <wp:docPr id="66" name="等腰三角形 66"/>
                <wp:cNvGraphicFramePr/>
                <a:graphic xmlns:a="http://schemas.openxmlformats.org/drawingml/2006/main">
                  <a:graphicData uri="http://schemas.microsoft.com/office/word/2010/wordprocessingShape">
                    <wps:wsp>
                      <wps:cNvSpPr/>
                      <wps:spPr>
                        <a:xfrm>
                          <a:off x="0" y="0"/>
                          <a:ext cx="201930" cy="154940"/>
                        </a:xfrm>
                        <a:prstGeom prst="triangle">
                          <a:avLst/>
                        </a:prstGeom>
                        <a:solidFill>
                          <a:schemeClr val="accent6">
                            <a:lumMod val="75000"/>
                          </a:schemeClr>
                        </a:solidFill>
                        <a:ln>
                          <a:solidFill>
                            <a:schemeClr val="accent6">
                              <a:lumMod val="75000"/>
                            </a:schemeClr>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5" type="#_x0000_t5" style="position:absolute;left:0pt;margin-left:596.2pt;margin-top:343.95pt;height:12.2pt;width:15.9pt;z-index:251725824;v-text-anchor:middle;mso-width-relative:page;mso-height-relative:page;" fillcolor="#E46C0A [2409]" filled="t" stroked="t" coordsize="21600,21600" o:gfxdata="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" adj="10800">
                <v:fill on="t" focussize="0,0"/>
                <v:stroke weight="2pt" color="#E46C0A [2409]" joinstyle="round"/>
                <v:imagedata o:title=""/>
                <o:lock v:ext="edit" aspectratio="f"/>
              </v:shape>
            </w:pict>
          </mc:Fallback>
        </mc:AlternateContent>
      </w:r>
      <w:r>
        <w:rPr>
          <w:sz w:val="21"/>
        </w:rPr>
        <mc:AlternateContent>
          <mc:Choice Requires="wps">
            <w:drawing>
              <wp:anchor distT="0" distB="0" distL="114300" distR="114300" simplePos="0" relativeHeight="251724800" behindDoc="0" locked="0" layoutInCell="1" allowOverlap="1">
                <wp:simplePos x="0" y="0"/>
                <wp:positionH relativeFrom="column">
                  <wp:posOffset>7571740</wp:posOffset>
                </wp:positionH>
                <wp:positionV relativeFrom="paragraph">
                  <wp:posOffset>4115435</wp:posOffset>
                </wp:positionV>
                <wp:extent cx="200025" cy="172720"/>
                <wp:effectExtent l="12700" t="12700" r="15875" b="24130"/>
                <wp:wrapNone/>
                <wp:docPr id="65" name="五角星 65"/>
                <wp:cNvGraphicFramePr/>
                <a:graphic xmlns:a="http://schemas.openxmlformats.org/drawingml/2006/main">
                  <a:graphicData uri="http://schemas.microsoft.com/office/word/2010/wordprocessingShape">
                    <wps:wsp>
                      <wps:cNvSpPr/>
                      <wps:spPr>
                        <a:xfrm>
                          <a:off x="0" y="0"/>
                          <a:ext cx="200025" cy="172720"/>
                        </a:xfrm>
                        <a:prstGeom prst="star5">
                          <a:avLst/>
                        </a:prstGeom>
                        <a:solidFill>
                          <a:srgbClr val="FF0000"/>
                        </a:solid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style="position:absolute;left:0pt;margin-left:596.2pt;margin-top:324.05pt;height:13.6pt;width:15.75pt;z-index:251724800;v-text-anchor:middle;mso-width-relative:page;mso-height-relative:page;" fillcolor="#FF0000" filled="t" stroked="t" coordsize="200025,172720" o:gfxdata="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" path="m0,65973l76403,65973,100012,0,123621,65973,200024,65973,138213,106746,161823,172719,100012,131945,38201,172719,61811,106746xe">
                <v:path o:connectlocs="100012,0;0,65973;38201,172719;161823,172719;200024,65973" o:connectangles="247,164,82,82,0"/>
                <v:fill on="t" focussize="0,0"/>
                <v:stroke weight="2pt" color="#FF0000 [2404]" joinstyle="round"/>
                <v:imagedata o:title=""/>
                <o:lock v:ext="edit" aspectratio="f"/>
              </v:shape>
            </w:pict>
          </mc:Fallback>
        </mc:AlternateContent>
      </w:r>
      <w:r>
        <w:rPr>
          <w:sz w:val="21"/>
        </w:rPr>
        <mc:AlternateContent>
          <mc:Choice Requires="wps">
            <w:drawing>
              <wp:anchor distT="0" distB="0" distL="114300" distR="114300" simplePos="0" relativeHeight="251723776" behindDoc="0" locked="0" layoutInCell="1" allowOverlap="1">
                <wp:simplePos x="0" y="0"/>
                <wp:positionH relativeFrom="column">
                  <wp:posOffset>7499985</wp:posOffset>
                </wp:positionH>
                <wp:positionV relativeFrom="paragraph">
                  <wp:posOffset>3876675</wp:posOffset>
                </wp:positionV>
                <wp:extent cx="1071880" cy="1112520"/>
                <wp:effectExtent l="4445" t="4445" r="9525" b="6985"/>
                <wp:wrapNone/>
                <wp:docPr id="64" name="文本框 64"/>
                <wp:cNvGraphicFramePr/>
                <a:graphic xmlns:a="http://schemas.openxmlformats.org/drawingml/2006/main">
                  <a:graphicData uri="http://schemas.microsoft.com/office/word/2010/wordprocessingShape">
                    <wps:wsp>
                      <wps:cNvSpPr txBox="1"/>
                      <wps:spPr>
                        <a:xfrm>
                          <a:off x="8545830" y="4956810"/>
                          <a:ext cx="1071880" cy="1112520"/>
                        </a:xfrm>
                        <a:prstGeom prst="rect">
                          <a:avLst/>
                        </a:prstGeom>
                        <a:solidFill>
                          <a:schemeClr val="lt1">
                            <a:alpha val="73000"/>
                          </a:schemeClr>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0E3715E2">
                            <w:pPr>
                              <w:jc w:val="center"/>
                              <w:rPr>
                                <w:rFonts w:hint="eastAsia"/>
                                <w:b/>
                                <w:bCs/>
                                <w:color w:val="auto"/>
                                <w:lang w:val="en-US" w:eastAsia="zh-CN"/>
                              </w:rPr>
                            </w:pPr>
                            <w:r>
                              <w:rPr>
                                <w:rFonts w:hint="eastAsia"/>
                                <w:b/>
                                <w:bCs/>
                                <w:color w:val="auto"/>
                                <w:lang w:val="en-US" w:eastAsia="zh-CN"/>
                              </w:rPr>
                              <w:t>图例</w:t>
                            </w:r>
                          </w:p>
                          <w:p w14:paraId="251FEADE">
                            <w:pPr>
                              <w:pStyle w:val="42"/>
                              <w:ind w:firstLine="320" w:firstLineChars="200"/>
                              <w:rPr>
                                <w:rFonts w:hint="eastAsia"/>
                                <w:color w:val="auto"/>
                                <w:sz w:val="16"/>
                                <w:szCs w:val="16"/>
                                <w:lang w:val="en-US" w:eastAsia="zh-CN"/>
                              </w:rPr>
                            </w:pPr>
                            <w:r>
                              <w:rPr>
                                <w:rFonts w:hint="eastAsia"/>
                                <w:color w:val="auto"/>
                                <w:sz w:val="16"/>
                                <w:szCs w:val="16"/>
                                <w:lang w:val="en-US" w:eastAsia="zh-CN"/>
                              </w:rPr>
                              <w:t>重点防渗区</w:t>
                            </w:r>
                          </w:p>
                          <w:p w14:paraId="6622EE2D">
                            <w:pPr>
                              <w:pStyle w:val="42"/>
                              <w:ind w:firstLine="320" w:firstLineChars="200"/>
                              <w:rPr>
                                <w:rFonts w:hint="default"/>
                                <w:color w:val="auto"/>
                                <w:lang w:val="en-US" w:eastAsia="zh-CN"/>
                              </w:rPr>
                            </w:pPr>
                            <w:r>
                              <w:rPr>
                                <w:rFonts w:hint="eastAsia"/>
                                <w:color w:val="auto"/>
                                <w:sz w:val="16"/>
                                <w:szCs w:val="16"/>
                                <w:lang w:val="en-US" w:eastAsia="zh-CN"/>
                              </w:rPr>
                              <w:t>简单防渗区</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90.55pt;margin-top:305.25pt;height:87.6pt;width:84.4pt;z-index:251723776;mso-width-relative:page;mso-height-relative:page;" fillcolor="#FFFFFF [3201]" filled="t" stroked="t" coordsize="21600,21600" o:gfxdata="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">
                <v:fill on="t" opacity="47841f" focussize="0,0"/>
                <v:stroke weight="0.5pt" color="#000000 [3204]" joinstyle="round"/>
                <v:imagedata o:title=""/>
                <o:lock v:ext="edit" aspectratio="f"/>
                <v:textbox>
                  <w:txbxContent>
                    <w:p w14:paraId="0E3715E2">
                      <w:pPr>
                        <w:jc w:val="center"/>
                        <w:rPr>
                          <w:rFonts w:hint="eastAsia"/>
                          <w:b/>
                          <w:bCs/>
                          <w:color w:val="auto"/>
                          <w:lang w:val="en-US" w:eastAsia="zh-CN"/>
                        </w:rPr>
                      </w:pPr>
                      <w:r>
                        <w:rPr>
                          <w:rFonts w:hint="eastAsia"/>
                          <w:b/>
                          <w:bCs/>
                          <w:color w:val="auto"/>
                          <w:lang w:val="en-US" w:eastAsia="zh-CN"/>
                        </w:rPr>
                        <w:t>图例</w:t>
                      </w:r>
                    </w:p>
                    <w:p w14:paraId="251FEADE">
                      <w:pPr>
                        <w:pStyle w:val="42"/>
                        <w:ind w:firstLine="320" w:firstLineChars="200"/>
                        <w:rPr>
                          <w:rFonts w:hint="eastAsia"/>
                          <w:color w:val="auto"/>
                          <w:sz w:val="16"/>
                          <w:szCs w:val="16"/>
                          <w:lang w:val="en-US" w:eastAsia="zh-CN"/>
                        </w:rPr>
                      </w:pPr>
                      <w:r>
                        <w:rPr>
                          <w:rFonts w:hint="eastAsia"/>
                          <w:color w:val="auto"/>
                          <w:sz w:val="16"/>
                          <w:szCs w:val="16"/>
                          <w:lang w:val="en-US" w:eastAsia="zh-CN"/>
                        </w:rPr>
                        <w:t>重点防渗区</w:t>
                      </w:r>
                    </w:p>
                    <w:p w14:paraId="6622EE2D">
                      <w:pPr>
                        <w:pStyle w:val="42"/>
                        <w:ind w:firstLine="320" w:firstLineChars="200"/>
                        <w:rPr>
                          <w:rFonts w:hint="default"/>
                          <w:color w:val="auto"/>
                          <w:lang w:val="en-US" w:eastAsia="zh-CN"/>
                        </w:rPr>
                      </w:pPr>
                      <w:r>
                        <w:rPr>
                          <w:rFonts w:hint="eastAsia"/>
                          <w:color w:val="auto"/>
                          <w:sz w:val="16"/>
                          <w:szCs w:val="16"/>
                          <w:lang w:val="en-US" w:eastAsia="zh-CN"/>
                        </w:rPr>
                        <w:t>简单防渗区</w:t>
                      </w:r>
                    </w:p>
                  </w:txbxContent>
                </v:textbox>
              </v:shape>
            </w:pict>
          </mc:Fallback>
        </mc:AlternateContent>
      </w:r>
      <w:r>
        <w:rPr>
          <w:sz w:val="21"/>
        </w:rPr>
        <mc:AlternateContent>
          <mc:Choice Requires="wps">
            <w:drawing>
              <wp:anchor distT="0" distB="0" distL="114300" distR="114300" simplePos="0" relativeHeight="251722752" behindDoc="0" locked="0" layoutInCell="1" allowOverlap="1">
                <wp:simplePos x="0" y="0"/>
                <wp:positionH relativeFrom="column">
                  <wp:posOffset>2041525</wp:posOffset>
                </wp:positionH>
                <wp:positionV relativeFrom="paragraph">
                  <wp:posOffset>1929765</wp:posOffset>
                </wp:positionV>
                <wp:extent cx="201930" cy="154940"/>
                <wp:effectExtent l="12700" t="12700" r="13970" b="22860"/>
                <wp:wrapNone/>
                <wp:docPr id="63" name="等腰三角形 63"/>
                <wp:cNvGraphicFramePr/>
                <a:graphic xmlns:a="http://schemas.openxmlformats.org/drawingml/2006/main">
                  <a:graphicData uri="http://schemas.microsoft.com/office/word/2010/wordprocessingShape">
                    <wps:wsp>
                      <wps:cNvSpPr/>
                      <wps:spPr>
                        <a:xfrm>
                          <a:off x="0" y="0"/>
                          <a:ext cx="201930" cy="154940"/>
                        </a:xfrm>
                        <a:prstGeom prst="triangle">
                          <a:avLst/>
                        </a:prstGeom>
                        <a:solidFill>
                          <a:schemeClr val="accent6">
                            <a:lumMod val="75000"/>
                          </a:schemeClr>
                        </a:solidFill>
                        <a:ln>
                          <a:solidFill>
                            <a:schemeClr val="accent6">
                              <a:lumMod val="75000"/>
                            </a:schemeClr>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5" type="#_x0000_t5" style="position:absolute;left:0pt;margin-left:160.75pt;margin-top:151.95pt;height:12.2pt;width:15.9pt;z-index:251722752;v-text-anchor:middle;mso-width-relative:page;mso-height-relative:page;" fillcolor="#E46C0A [2409]" filled="t" stroked="t" coordsize="21600,21600" o:gfxdata="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" adj="10800">
                <v:fill on="t" focussize="0,0"/>
                <v:stroke weight="2pt" color="#E46C0A [2409]" joinstyle="round"/>
                <v:imagedata o:title=""/>
                <o:lock v:ext="edit" aspectratio="f"/>
              </v:shape>
            </w:pict>
          </mc:Fallback>
        </mc:AlternateContent>
      </w:r>
      <w:r>
        <w:drawing>
          <wp:inline distT="0" distB="0" distL="114300" distR="114300">
            <wp:extent cx="8885555" cy="5113020"/>
            <wp:effectExtent l="57150" t="57150" r="67945" b="68580"/>
            <wp:docPr id="39"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4"/>
                    <pic:cNvPicPr>
                      <a:picLocks noChangeAspect="1"/>
                    </pic:cNvPicPr>
                  </pic:nvPicPr>
                  <pic:blipFill>
                    <a:blip r:embed="rId113"/>
                    <a:stretch>
                      <a:fillRect/>
                    </a:stretch>
                  </pic:blipFill>
                  <pic:spPr>
                    <a:xfrm>
                      <a:off x="0" y="0"/>
                      <a:ext cx="8885555" cy="5113020"/>
                    </a:xfrm>
                    <a:prstGeom prst="rect">
                      <a:avLst/>
                    </a:prstGeom>
                    <a:noFill/>
                    <a:ln w="57150" cmpd="thickThin">
                      <a:solidFill>
                        <a:schemeClr val="tx1"/>
                      </a:solidFill>
                      <a:miter lim="800000"/>
                      <a:headEnd/>
                      <a:tailEnd/>
                    </a:ln>
                  </pic:spPr>
                </pic:pic>
              </a:graphicData>
            </a:graphic>
          </wp:inline>
        </w:drawing>
      </w:r>
      <w:r>
        <w:rPr>
          <w:sz w:val="21"/>
        </w:rPr>
        <mc:AlternateContent>
          <mc:Choice Requires="wps">
            <w:drawing>
              <wp:anchor distT="0" distB="0" distL="114300" distR="114300" simplePos="0" relativeHeight="251721728" behindDoc="0" locked="0" layoutInCell="1" allowOverlap="1">
                <wp:simplePos x="0" y="0"/>
                <wp:positionH relativeFrom="column">
                  <wp:posOffset>3569335</wp:posOffset>
                </wp:positionH>
                <wp:positionV relativeFrom="paragraph">
                  <wp:posOffset>2371090</wp:posOffset>
                </wp:positionV>
                <wp:extent cx="201930" cy="154940"/>
                <wp:effectExtent l="12700" t="12700" r="13970" b="22860"/>
                <wp:wrapNone/>
                <wp:docPr id="60" name="等腰三角形 60"/>
                <wp:cNvGraphicFramePr/>
                <a:graphic xmlns:a="http://schemas.openxmlformats.org/drawingml/2006/main">
                  <a:graphicData uri="http://schemas.microsoft.com/office/word/2010/wordprocessingShape">
                    <wps:wsp>
                      <wps:cNvSpPr/>
                      <wps:spPr>
                        <a:xfrm>
                          <a:off x="4509135" y="3344545"/>
                          <a:ext cx="201930" cy="154940"/>
                        </a:xfrm>
                        <a:prstGeom prst="triangle">
                          <a:avLst/>
                        </a:prstGeom>
                        <a:solidFill>
                          <a:schemeClr val="accent6">
                            <a:lumMod val="75000"/>
                          </a:schemeClr>
                        </a:solidFill>
                        <a:ln>
                          <a:solidFill>
                            <a:schemeClr val="accent6">
                              <a:lumMod val="75000"/>
                            </a:schemeClr>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5" type="#_x0000_t5" style="position:absolute;left:0pt;margin-left:281.05pt;margin-top:186.7pt;height:12.2pt;width:15.9pt;z-index:251721728;v-text-anchor:middle;mso-width-relative:page;mso-height-relative:page;" fillcolor="#E46C0A [2409]" filled="t" stroked="t" coordsize="21600,21600" o:gfxdata="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" adj="10800">
                <v:fill on="t" focussize="0,0"/>
                <v:stroke weight="2pt" color="#E46C0A [2409]" joinstyle="round"/>
                <v:imagedata o:title=""/>
                <o:lock v:ext="edit" aspectratio="f"/>
              </v:shape>
            </w:pict>
          </mc:Fallback>
        </mc:AlternateContent>
      </w:r>
      <w:r>
        <w:rPr>
          <w:sz w:val="21"/>
        </w:rPr>
        <mc:AlternateContent>
          <mc:Choice Requires="wps">
            <w:drawing>
              <wp:anchor distT="0" distB="0" distL="114300" distR="114300" simplePos="0" relativeHeight="251720704" behindDoc="0" locked="0" layoutInCell="1" allowOverlap="1">
                <wp:simplePos x="0" y="0"/>
                <wp:positionH relativeFrom="column">
                  <wp:posOffset>1846580</wp:posOffset>
                </wp:positionH>
                <wp:positionV relativeFrom="paragraph">
                  <wp:posOffset>1508760</wp:posOffset>
                </wp:positionV>
                <wp:extent cx="200025" cy="172720"/>
                <wp:effectExtent l="12700" t="12700" r="15875" b="24130"/>
                <wp:wrapNone/>
                <wp:docPr id="59" name="五角星 59"/>
                <wp:cNvGraphicFramePr/>
                <a:graphic xmlns:a="http://schemas.openxmlformats.org/drawingml/2006/main">
                  <a:graphicData uri="http://schemas.microsoft.com/office/word/2010/wordprocessingShape">
                    <wps:wsp>
                      <wps:cNvSpPr/>
                      <wps:spPr>
                        <a:xfrm>
                          <a:off x="0" y="0"/>
                          <a:ext cx="200025" cy="172720"/>
                        </a:xfrm>
                        <a:prstGeom prst="star5">
                          <a:avLst/>
                        </a:prstGeom>
                        <a:solidFill>
                          <a:srgbClr val="FF0000"/>
                        </a:solid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0134BB91">
                            <w:pPr>
                              <w:jc w:val="center"/>
                              <w:rPr>
                                <w:rFonts w:hint="eastAsia" w:eastAsia="宋体"/>
                                <w:lang w:val="en-US" w:eastAsia="zh-CN"/>
                              </w:rPr>
                            </w:pPr>
                            <w:r>
                              <w:rPr>
                                <w:rFonts w:hint="eastAsia"/>
                                <w:lang w:val="en-US" w:eastAsia="zh-CN"/>
                              </w:rPr>
                              <w:t>v</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style="position:absolute;left:0pt;margin-left:145.4pt;margin-top:118.8pt;height:13.6pt;width:15.75pt;z-index:251720704;v-text-anchor:middle;mso-width-relative:page;mso-height-relative:page;" fillcolor="#FF0000" filled="t" stroked="t" coordsize="200025,172720" o:gfxdata="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" path="m0,65973l76403,65973,100012,0,123621,65973,200024,65973,138213,106746,161823,172719,100012,131945,38201,172719,61811,106746xe">
                <v:path textboxrect="0,0,200025,172720" o:connectlocs="100012,0;0,65973;38201,172719;161823,172719;200024,65973" o:connectangles="247,164,82,82,0"/>
                <v:fill on="t" focussize="0,0"/>
                <v:stroke weight="2pt" color="#FF0000 [2404]" joinstyle="round"/>
                <v:imagedata o:title=""/>
                <o:lock v:ext="edit" aspectratio="f"/>
                <v:textbox>
                  <w:txbxContent>
                    <w:p w14:paraId="0134BB91">
                      <w:pPr>
                        <w:jc w:val="center"/>
                        <w:rPr>
                          <w:rFonts w:hint="eastAsia" w:eastAsia="宋体"/>
                          <w:lang w:val="en-US" w:eastAsia="zh-CN"/>
                        </w:rPr>
                      </w:pPr>
                      <w:r>
                        <w:rPr>
                          <w:rFonts w:hint="eastAsia"/>
                          <w:lang w:val="en-US" w:eastAsia="zh-CN"/>
                        </w:rPr>
                        <w:t>v</w:t>
                      </w:r>
                    </w:p>
                  </w:txbxContent>
                </v:textbox>
              </v:shape>
            </w:pict>
          </mc:Fallback>
        </mc:AlternateContent>
      </w:r>
      <w:r>
        <w:rPr>
          <w:sz w:val="21"/>
        </w:rPr>
        <mc:AlternateContent>
          <mc:Choice Requires="wps">
            <w:drawing>
              <wp:anchor distT="0" distB="0" distL="114300" distR="114300" simplePos="0" relativeHeight="251719680" behindDoc="0" locked="0" layoutInCell="1" allowOverlap="1">
                <wp:simplePos x="0" y="0"/>
                <wp:positionH relativeFrom="column">
                  <wp:posOffset>1468120</wp:posOffset>
                </wp:positionH>
                <wp:positionV relativeFrom="paragraph">
                  <wp:posOffset>1476375</wp:posOffset>
                </wp:positionV>
                <wp:extent cx="200025" cy="172720"/>
                <wp:effectExtent l="12700" t="12700" r="15875" b="24130"/>
                <wp:wrapNone/>
                <wp:docPr id="58" name="五角星 58"/>
                <wp:cNvGraphicFramePr/>
                <a:graphic xmlns:a="http://schemas.openxmlformats.org/drawingml/2006/main">
                  <a:graphicData uri="http://schemas.microsoft.com/office/word/2010/wordprocessingShape">
                    <wps:wsp>
                      <wps:cNvSpPr/>
                      <wps:spPr>
                        <a:xfrm>
                          <a:off x="0" y="0"/>
                          <a:ext cx="200025" cy="172720"/>
                        </a:xfrm>
                        <a:prstGeom prst="star5">
                          <a:avLst/>
                        </a:prstGeom>
                        <a:solidFill>
                          <a:srgbClr val="FF0000"/>
                        </a:solid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01EB1A3E">
                            <w:pPr>
                              <w:jc w:val="center"/>
                              <w:rPr>
                                <w:rFonts w:hint="eastAsia" w:eastAsia="宋体"/>
                                <w:lang w:val="en-US" w:eastAsia="zh-CN"/>
                              </w:rPr>
                            </w:pPr>
                            <w:r>
                              <w:rPr>
                                <w:rFonts w:hint="eastAsia"/>
                                <w:lang w:val="en-US" w:eastAsia="zh-CN"/>
                              </w:rPr>
                              <w:t>v</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style="position:absolute;left:0pt;margin-left:115.6pt;margin-top:116.25pt;height:13.6pt;width:15.75pt;z-index:251719680;v-text-anchor:middle;mso-width-relative:page;mso-height-relative:page;" fillcolor="#FF0000" filled="t" stroked="t" coordsize="200025,172720" o:gfxdata="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" path="m0,65973l76403,65973,100012,0,123621,65973,200024,65973,138213,106746,161823,172719,100012,131945,38201,172719,61811,106746xe">
                <v:path textboxrect="0,0,200025,172720" o:connectlocs="100012,0;0,65973;38201,172719;161823,172719;200024,65973" o:connectangles="247,164,82,82,0"/>
                <v:fill on="t" focussize="0,0"/>
                <v:stroke weight="2pt" color="#FF0000 [2404]" joinstyle="round"/>
                <v:imagedata o:title=""/>
                <o:lock v:ext="edit" aspectratio="f"/>
                <v:textbox>
                  <w:txbxContent>
                    <w:p w14:paraId="01EB1A3E">
                      <w:pPr>
                        <w:jc w:val="center"/>
                        <w:rPr>
                          <w:rFonts w:hint="eastAsia" w:eastAsia="宋体"/>
                          <w:lang w:val="en-US" w:eastAsia="zh-CN"/>
                        </w:rPr>
                      </w:pPr>
                      <w:r>
                        <w:rPr>
                          <w:rFonts w:hint="eastAsia"/>
                          <w:lang w:val="en-US" w:eastAsia="zh-CN"/>
                        </w:rPr>
                        <w:t>v</w:t>
                      </w:r>
                    </w:p>
                  </w:txbxContent>
                </v:textbox>
              </v:shape>
            </w:pict>
          </mc:Fallback>
        </mc:AlternateContent>
      </w:r>
      <w:r>
        <w:rPr>
          <w:sz w:val="21"/>
        </w:rPr>
        <mc:AlternateContent>
          <mc:Choice Requires="wps">
            <w:drawing>
              <wp:anchor distT="0" distB="0" distL="114300" distR="114300" simplePos="0" relativeHeight="251718656" behindDoc="0" locked="0" layoutInCell="1" allowOverlap="1">
                <wp:simplePos x="0" y="0"/>
                <wp:positionH relativeFrom="column">
                  <wp:posOffset>1429385</wp:posOffset>
                </wp:positionH>
                <wp:positionV relativeFrom="paragraph">
                  <wp:posOffset>2416175</wp:posOffset>
                </wp:positionV>
                <wp:extent cx="200025" cy="172720"/>
                <wp:effectExtent l="12700" t="12700" r="15875" b="24130"/>
                <wp:wrapNone/>
                <wp:docPr id="57" name="五角星 57"/>
                <wp:cNvGraphicFramePr/>
                <a:graphic xmlns:a="http://schemas.openxmlformats.org/drawingml/2006/main">
                  <a:graphicData uri="http://schemas.microsoft.com/office/word/2010/wordprocessingShape">
                    <wps:wsp>
                      <wps:cNvSpPr/>
                      <wps:spPr>
                        <a:xfrm>
                          <a:off x="0" y="0"/>
                          <a:ext cx="200025" cy="172720"/>
                        </a:xfrm>
                        <a:prstGeom prst="star5">
                          <a:avLst/>
                        </a:prstGeom>
                        <a:solidFill>
                          <a:srgbClr val="FF0000"/>
                        </a:solid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style="position:absolute;left:0pt;margin-left:112.55pt;margin-top:190.25pt;height:13.6pt;width:15.75pt;z-index:251718656;v-text-anchor:middle;mso-width-relative:page;mso-height-relative:page;" fillcolor="#FF0000" filled="t" stroked="t" coordsize="200025,172720" o:gfxdata="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" path="m0,65973l76403,65973,100012,0,123621,65973,200024,65973,138213,106746,161823,172719,100012,131945,38201,172719,61811,106746xe">
                <v:path o:connectlocs="100012,0;0,65973;38201,172719;161823,172719;200024,65973" o:connectangles="247,164,82,82,0"/>
                <v:fill on="t" focussize="0,0"/>
                <v:stroke weight="2pt" color="#FF0000 [2404]" joinstyle="round"/>
                <v:imagedata o:title=""/>
                <o:lock v:ext="edit" aspectratio="f"/>
              </v:shape>
            </w:pict>
          </mc:Fallback>
        </mc:AlternateContent>
      </w:r>
      <w:r>
        <w:rPr>
          <w:sz w:val="21"/>
        </w:rPr>
        <mc:AlternateContent>
          <mc:Choice Requires="wps">
            <w:drawing>
              <wp:anchor distT="0" distB="0" distL="114300" distR="114300" simplePos="0" relativeHeight="251717632" behindDoc="0" locked="0" layoutInCell="1" allowOverlap="1">
                <wp:simplePos x="0" y="0"/>
                <wp:positionH relativeFrom="column">
                  <wp:posOffset>1550035</wp:posOffset>
                </wp:positionH>
                <wp:positionV relativeFrom="paragraph">
                  <wp:posOffset>3442335</wp:posOffset>
                </wp:positionV>
                <wp:extent cx="200025" cy="172720"/>
                <wp:effectExtent l="12700" t="12700" r="15875" b="24130"/>
                <wp:wrapNone/>
                <wp:docPr id="56" name="五角星 56"/>
                <wp:cNvGraphicFramePr/>
                <a:graphic xmlns:a="http://schemas.openxmlformats.org/drawingml/2006/main">
                  <a:graphicData uri="http://schemas.microsoft.com/office/word/2010/wordprocessingShape">
                    <wps:wsp>
                      <wps:cNvSpPr/>
                      <wps:spPr>
                        <a:xfrm>
                          <a:off x="0" y="0"/>
                          <a:ext cx="200025" cy="172720"/>
                        </a:xfrm>
                        <a:prstGeom prst="star5">
                          <a:avLst/>
                        </a:prstGeom>
                        <a:solidFill>
                          <a:srgbClr val="FF0000"/>
                        </a:solid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style="position:absolute;left:0pt;margin-left:122.05pt;margin-top:271.05pt;height:13.6pt;width:15.75pt;z-index:251717632;v-text-anchor:middle;mso-width-relative:page;mso-height-relative:page;" fillcolor="#FF0000" filled="t" stroked="t" coordsize="200025,172720" o:gfxdata="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" path="m0,65973l76403,65973,100012,0,123621,65973,200024,65973,138213,106746,161823,172719,100012,131945,38201,172719,61811,106746xe">
                <v:path o:connectlocs="100012,0;0,65973;38201,172719;161823,172719;200024,65973" o:connectangles="247,164,82,82,0"/>
                <v:fill on="t" focussize="0,0"/>
                <v:stroke weight="2pt" color="#FF0000 [2404]" joinstyle="round"/>
                <v:imagedata o:title=""/>
                <o:lock v:ext="edit" aspectratio="f"/>
              </v:shape>
            </w:pict>
          </mc:Fallback>
        </mc:AlternateContent>
      </w:r>
      <w:r>
        <w:rPr>
          <w:sz w:val="21"/>
        </w:rPr>
        <mc:AlternateContent>
          <mc:Choice Requires="wps">
            <w:drawing>
              <wp:anchor distT="0" distB="0" distL="114300" distR="114300" simplePos="0" relativeHeight="251716608" behindDoc="0" locked="0" layoutInCell="1" allowOverlap="1">
                <wp:simplePos x="0" y="0"/>
                <wp:positionH relativeFrom="column">
                  <wp:posOffset>3135630</wp:posOffset>
                </wp:positionH>
                <wp:positionV relativeFrom="paragraph">
                  <wp:posOffset>3709670</wp:posOffset>
                </wp:positionV>
                <wp:extent cx="200025" cy="172720"/>
                <wp:effectExtent l="12700" t="12700" r="15875" b="24130"/>
                <wp:wrapNone/>
                <wp:docPr id="55" name="五角星 55"/>
                <wp:cNvGraphicFramePr/>
                <a:graphic xmlns:a="http://schemas.openxmlformats.org/drawingml/2006/main">
                  <a:graphicData uri="http://schemas.microsoft.com/office/word/2010/wordprocessingShape">
                    <wps:wsp>
                      <wps:cNvSpPr/>
                      <wps:spPr>
                        <a:xfrm>
                          <a:off x="0" y="0"/>
                          <a:ext cx="200025" cy="172720"/>
                        </a:xfrm>
                        <a:prstGeom prst="star5">
                          <a:avLst/>
                        </a:prstGeom>
                        <a:solidFill>
                          <a:srgbClr val="FF0000"/>
                        </a:solid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style="position:absolute;left:0pt;margin-left:246.9pt;margin-top:292.1pt;height:13.6pt;width:15.75pt;z-index:251716608;v-text-anchor:middle;mso-width-relative:page;mso-height-relative:page;" fillcolor="#FF0000" filled="t" stroked="t" coordsize="200025,172720" o:gfxdata="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" path="m0,65973l76403,65973,100012,0,123621,65973,200024,65973,138213,106746,161823,172719,100012,131945,38201,172719,61811,106746xe">
                <v:path o:connectlocs="100012,0;0,65973;38201,172719;161823,172719;200024,65973" o:connectangles="247,164,82,82,0"/>
                <v:fill on="t" focussize="0,0"/>
                <v:stroke weight="2pt" color="#FF0000 [2404]" joinstyle="round"/>
                <v:imagedata o:title=""/>
                <o:lock v:ext="edit" aspectratio="f"/>
              </v:shape>
            </w:pict>
          </mc:Fallback>
        </mc:AlternateContent>
      </w:r>
      <w:r>
        <w:rPr>
          <w:sz w:val="21"/>
        </w:rPr>
        <mc:AlternateContent>
          <mc:Choice Requires="wps">
            <w:drawing>
              <wp:anchor distT="0" distB="0" distL="114300" distR="114300" simplePos="0" relativeHeight="251715584" behindDoc="0" locked="0" layoutInCell="1" allowOverlap="1">
                <wp:simplePos x="0" y="0"/>
                <wp:positionH relativeFrom="column">
                  <wp:posOffset>5913755</wp:posOffset>
                </wp:positionH>
                <wp:positionV relativeFrom="paragraph">
                  <wp:posOffset>2764155</wp:posOffset>
                </wp:positionV>
                <wp:extent cx="200025" cy="172720"/>
                <wp:effectExtent l="12700" t="12700" r="15875" b="24130"/>
                <wp:wrapNone/>
                <wp:docPr id="54" name="五角星 54"/>
                <wp:cNvGraphicFramePr/>
                <a:graphic xmlns:a="http://schemas.openxmlformats.org/drawingml/2006/main">
                  <a:graphicData uri="http://schemas.microsoft.com/office/word/2010/wordprocessingShape">
                    <wps:wsp>
                      <wps:cNvSpPr/>
                      <wps:spPr>
                        <a:xfrm>
                          <a:off x="7120255" y="3797935"/>
                          <a:ext cx="200025" cy="172720"/>
                        </a:xfrm>
                        <a:prstGeom prst="star5">
                          <a:avLst/>
                        </a:prstGeom>
                        <a:solidFill>
                          <a:srgbClr val="FF0000"/>
                        </a:solid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style="position:absolute;left:0pt;margin-left:465.65pt;margin-top:217.65pt;height:13.6pt;width:15.75pt;z-index:251715584;v-text-anchor:middle;mso-width-relative:page;mso-height-relative:page;" fillcolor="#FF0000" filled="t" stroked="t" coordsize="200025,172720" o:gfxdata="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&#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" path="m0,65973l76403,65973,100012,0,123621,65973,200024,65973,138213,106746,161823,172719,100012,131945,38201,172719,61811,106746xe">
                <v:path o:connectlocs="100012,0;0,65973;38201,172719;161823,172719;200024,65973" o:connectangles="247,164,82,82,0"/>
                <v:fill on="t" focussize="0,0"/>
                <v:stroke weight="2pt" color="#FF0000 [2404]" joinstyle="round"/>
                <v:imagedata o:title=""/>
                <o:lock v:ext="edit" aspectratio="f"/>
              </v:shape>
            </w:pict>
          </mc:Fallback>
        </mc:AlternateContent>
      </w:r>
      <w:r>
        <w:drawing>
          <wp:anchor distT="0" distB="0" distL="114300" distR="114300" simplePos="0" relativeHeight="251702272" behindDoc="0" locked="0" layoutInCell="1" allowOverlap="1">
            <wp:simplePos x="0" y="0"/>
            <wp:positionH relativeFrom="column">
              <wp:posOffset>8308340</wp:posOffset>
            </wp:positionH>
            <wp:positionV relativeFrom="paragraph">
              <wp:posOffset>205740</wp:posOffset>
            </wp:positionV>
            <wp:extent cx="424180" cy="530225"/>
            <wp:effectExtent l="110490" t="73025" r="113030" b="82550"/>
            <wp:wrapNone/>
            <wp:docPr id="23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图片 1"/>
                    <pic:cNvPicPr>
                      <a:picLocks noChangeAspect="1"/>
                    </pic:cNvPicPr>
                  </pic:nvPicPr>
                  <pic:blipFill>
                    <a:blip r:embed="rId96"/>
                    <a:srcRect b="14622"/>
                    <a:stretch>
                      <a:fillRect/>
                    </a:stretch>
                  </pic:blipFill>
                  <pic:spPr>
                    <a:xfrm rot="19620000">
                      <a:off x="0" y="0"/>
                      <a:ext cx="424180" cy="530225"/>
                    </a:xfrm>
                    <a:prstGeom prst="rect">
                      <a:avLst/>
                    </a:prstGeom>
                    <a:noFill/>
                    <a:ln>
                      <a:noFill/>
                    </a:ln>
                  </pic:spPr>
                </pic:pic>
              </a:graphicData>
            </a:graphic>
          </wp:anchor>
        </w:drawing>
      </w:r>
      <w:r>
        <w:rPr>
          <w:sz w:val="30"/>
        </w:rPr>
        <mc:AlternateContent>
          <mc:Choice Requires="wps">
            <w:drawing>
              <wp:anchor distT="0" distB="0" distL="114300" distR="114300" simplePos="0" relativeHeight="251714560" behindDoc="0" locked="0" layoutInCell="1" allowOverlap="1">
                <wp:simplePos x="0" y="0"/>
                <wp:positionH relativeFrom="column">
                  <wp:posOffset>3566795</wp:posOffset>
                </wp:positionH>
                <wp:positionV relativeFrom="paragraph">
                  <wp:posOffset>5234305</wp:posOffset>
                </wp:positionV>
                <wp:extent cx="1828800" cy="1828800"/>
                <wp:effectExtent l="0" t="0" r="0" b="0"/>
                <wp:wrapNone/>
                <wp:docPr id="51" name="文本框 5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E641B36">
                            <w:pPr>
                              <w:pStyle w:val="3"/>
                              <w:rPr>
                                <w:rFonts w:hint="default" w:eastAsia="黑体"/>
                                <w:color w:val="auto"/>
                                <w:sz w:val="32"/>
                                <w:szCs w:val="32"/>
                                <w:lang w:val="en-US" w:eastAsia="zh-CN"/>
                              </w:rPr>
                            </w:pPr>
                            <w:r>
                              <w:rPr>
                                <w:rFonts w:hint="eastAsia"/>
                                <w:color w:val="auto"/>
                              </w:rPr>
                              <w:t>附图</w:t>
                            </w:r>
                            <w:r>
                              <w:rPr>
                                <w:rFonts w:hint="eastAsia"/>
                                <w:color w:val="auto"/>
                                <w:lang w:val="en-US" w:eastAsia="zh-CN"/>
                              </w:rPr>
                              <w:t>10 分区防渗图</w:t>
                            </w:r>
                          </w:p>
                        </w:txbxContent>
                      </wps:txbx>
                      <wps:bodyPr rot="0" spcFirstLastPara="0" vertOverflow="overflow" horzOverflow="overflow" vert="horz" wrap="none" lIns="91440" tIns="45720" rIns="91440" bIns="45720" numCol="1" spcCol="0" rtlCol="0" fromWordArt="0" anchor="t" anchorCtr="0" forceAA="0" compatLnSpc="1">
                        <a:spAutoFit/>
                      </wps:bodyPr>
                    </wps:wsp>
                  </a:graphicData>
                </a:graphic>
              </wp:anchor>
            </w:drawing>
          </mc:Choice>
          <mc:Fallback>
            <w:pict>
              <v:shape id="_x0000_s1026" o:spid="_x0000_s1026" o:spt="202" type="#_x0000_t202" style="position:absolute;left:0pt;margin-left:280.85pt;margin-top:412.15pt;height:144pt;width:144pt;mso-wrap-style:none;z-index:251714560;mso-width-relative:page;mso-height-relative:page;" filled="f" stroked="f" coordsize="21600,21600" o:gfxdata="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">
                <v:fill on="f" focussize="0,0"/>
                <v:stroke on="f" weight="0.5pt"/>
                <v:imagedata o:title=""/>
                <o:lock v:ext="edit" aspectratio="f"/>
                <v:textbox style="mso-fit-shape-to-text:t;">
                  <w:txbxContent>
                    <w:p w14:paraId="5E641B36">
                      <w:pPr>
                        <w:pStyle w:val="3"/>
                        <w:rPr>
                          <w:rFonts w:hint="default" w:eastAsia="黑体"/>
                          <w:color w:val="auto"/>
                          <w:sz w:val="32"/>
                          <w:szCs w:val="32"/>
                          <w:lang w:val="en-US" w:eastAsia="zh-CN"/>
                        </w:rPr>
                      </w:pPr>
                      <w:r>
                        <w:rPr>
                          <w:rFonts w:hint="eastAsia"/>
                          <w:color w:val="auto"/>
                        </w:rPr>
                        <w:t>附图</w:t>
                      </w:r>
                      <w:r>
                        <w:rPr>
                          <w:rFonts w:hint="eastAsia"/>
                          <w:color w:val="auto"/>
                          <w:lang w:val="en-US" w:eastAsia="zh-CN"/>
                        </w:rPr>
                        <w:t>10 分区防渗图</w:t>
                      </w:r>
                    </w:p>
                  </w:txbxContent>
                </v:textbox>
              </v:shape>
            </w:pict>
          </mc:Fallback>
        </mc:AlternateContent>
      </w:r>
    </w:p>
    <w:p w14:paraId="3934598B">
      <w:r>
        <w:drawing>
          <wp:anchor distT="0" distB="0" distL="114300" distR="114300" simplePos="0" relativeHeight="251730944" behindDoc="0" locked="0" layoutInCell="1" allowOverlap="1">
            <wp:simplePos x="0" y="0"/>
            <wp:positionH relativeFrom="column">
              <wp:posOffset>8414385</wp:posOffset>
            </wp:positionH>
            <wp:positionV relativeFrom="paragraph">
              <wp:posOffset>144780</wp:posOffset>
            </wp:positionV>
            <wp:extent cx="424180" cy="530225"/>
            <wp:effectExtent l="110490" t="73025" r="113030" b="82550"/>
            <wp:wrapNone/>
            <wp:docPr id="7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1"/>
                    <pic:cNvPicPr>
                      <a:picLocks noChangeAspect="1"/>
                    </pic:cNvPicPr>
                  </pic:nvPicPr>
                  <pic:blipFill>
                    <a:blip r:embed="rId96"/>
                    <a:srcRect b="14622"/>
                    <a:stretch>
                      <a:fillRect/>
                    </a:stretch>
                  </pic:blipFill>
                  <pic:spPr>
                    <a:xfrm rot="19620000">
                      <a:off x="0" y="0"/>
                      <a:ext cx="424180" cy="530225"/>
                    </a:xfrm>
                    <a:prstGeom prst="rect">
                      <a:avLst/>
                    </a:prstGeom>
                    <a:noFill/>
                    <a:ln>
                      <a:noFill/>
                    </a:ln>
                  </pic:spPr>
                </pic:pic>
              </a:graphicData>
            </a:graphic>
          </wp:anchor>
        </w:drawing>
      </w:r>
      <w:r>
        <w:rPr>
          <w:sz w:val="30"/>
        </w:rPr>
        <mc:AlternateContent>
          <mc:Choice Requires="wps">
            <w:drawing>
              <wp:anchor distT="0" distB="0" distL="114300" distR="114300" simplePos="0" relativeHeight="251729920" behindDoc="0" locked="0" layoutInCell="1" allowOverlap="1">
                <wp:simplePos x="0" y="0"/>
                <wp:positionH relativeFrom="column">
                  <wp:posOffset>99060</wp:posOffset>
                </wp:positionH>
                <wp:positionV relativeFrom="paragraph">
                  <wp:posOffset>4802505</wp:posOffset>
                </wp:positionV>
                <wp:extent cx="8792210" cy="384810"/>
                <wp:effectExtent l="31750" t="31750" r="34290" b="40640"/>
                <wp:wrapNone/>
                <wp:docPr id="70" name="矩形 70"/>
                <wp:cNvGraphicFramePr/>
                <a:graphic xmlns:a="http://schemas.openxmlformats.org/drawingml/2006/main">
                  <a:graphicData uri="http://schemas.microsoft.com/office/word/2010/wordprocessingShape">
                    <wps:wsp>
                      <wps:cNvSpPr/>
                      <wps:spPr>
                        <a:xfrm>
                          <a:off x="0" y="0"/>
                          <a:ext cx="8792210" cy="384810"/>
                        </a:xfrm>
                        <a:prstGeom prst="rect">
                          <a:avLst/>
                        </a:prstGeom>
                        <a:solidFill>
                          <a:schemeClr val="bg1">
                            <a:alpha val="0"/>
                          </a:schemeClr>
                        </a:solidFill>
                        <a:ln w="63500">
                          <a:solidFill>
                            <a:srgbClr val="FFFF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7.8pt;margin-top:378.15pt;height:30.3pt;width:692.3pt;z-index:251729920;v-text-anchor:middle;mso-width-relative:page;mso-height-relative:page;" fillcolor="#FFFFFF [3212]" filled="t" stroked="t" coordsize="21600,21600" o:gfxdata="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">
                <v:fill on="t" opacity="0f" focussize="0,0"/>
                <v:stroke weight="5pt" color="#FFFF00 [2404]" joinstyle="round"/>
                <v:imagedata o:title=""/>
                <o:lock v:ext="edit" aspectratio="f"/>
              </v:rect>
            </w:pict>
          </mc:Fallback>
        </mc:AlternateContent>
      </w:r>
      <w:r>
        <w:rPr>
          <w:sz w:val="30"/>
        </w:rPr>
        <mc:AlternateContent>
          <mc:Choice Requires="wps">
            <w:drawing>
              <wp:anchor distT="0" distB="0" distL="114300" distR="114300" simplePos="0" relativeHeight="251727872" behindDoc="0" locked="0" layoutInCell="1" allowOverlap="1">
                <wp:simplePos x="0" y="0"/>
                <wp:positionH relativeFrom="column">
                  <wp:posOffset>1333500</wp:posOffset>
                </wp:positionH>
                <wp:positionV relativeFrom="paragraph">
                  <wp:posOffset>344805</wp:posOffset>
                </wp:positionV>
                <wp:extent cx="7610475" cy="835660"/>
                <wp:effectExtent l="31750" t="31750" r="34925" b="46990"/>
                <wp:wrapNone/>
                <wp:docPr id="68" name="矩形 68"/>
                <wp:cNvGraphicFramePr/>
                <a:graphic xmlns:a="http://schemas.openxmlformats.org/drawingml/2006/main">
                  <a:graphicData uri="http://schemas.microsoft.com/office/word/2010/wordprocessingShape">
                    <wps:wsp>
                      <wps:cNvSpPr/>
                      <wps:spPr>
                        <a:xfrm>
                          <a:off x="0" y="0"/>
                          <a:ext cx="7610475" cy="835660"/>
                        </a:xfrm>
                        <a:prstGeom prst="rect">
                          <a:avLst/>
                        </a:prstGeom>
                        <a:solidFill>
                          <a:schemeClr val="accent1">
                            <a:alpha val="0"/>
                          </a:schemeClr>
                        </a:solidFill>
                        <a:ln w="63500">
                          <a:solidFill>
                            <a:srgbClr val="FFFF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05pt;margin-top:27.15pt;height:65.8pt;width:599.25pt;z-index:251727872;v-text-anchor:middle;mso-width-relative:page;mso-height-relative:page;" fillcolor="#4F81BD [3204]" filled="t" stroked="t" coordsize="21600,21600" o:gfxdata="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">
                <v:fill on="t" opacity="0f" focussize="0,0"/>
                <v:stroke weight="5pt" color="#FFFF00 [2404]" joinstyle="round"/>
                <v:imagedata o:title=""/>
                <o:lock v:ext="edit" aspectratio="f"/>
              </v:rect>
            </w:pict>
          </mc:Fallback>
        </mc:AlternateContent>
      </w:r>
      <w:r>
        <w:rPr>
          <w:sz w:val="30"/>
        </w:rPr>
        <mc:AlternateContent>
          <mc:Choice Requires="wps">
            <w:drawing>
              <wp:anchor distT="0" distB="0" distL="114300" distR="114300" simplePos="0" relativeHeight="251728896" behindDoc="0" locked="0" layoutInCell="1" allowOverlap="1">
                <wp:simplePos x="0" y="0"/>
                <wp:positionH relativeFrom="column">
                  <wp:posOffset>7100570</wp:posOffset>
                </wp:positionH>
                <wp:positionV relativeFrom="paragraph">
                  <wp:posOffset>1277620</wp:posOffset>
                </wp:positionV>
                <wp:extent cx="1838325" cy="3414395"/>
                <wp:effectExtent l="31750" t="31750" r="34925" b="40005"/>
                <wp:wrapNone/>
                <wp:docPr id="69" name="矩形 69"/>
                <wp:cNvGraphicFramePr/>
                <a:graphic xmlns:a="http://schemas.openxmlformats.org/drawingml/2006/main">
                  <a:graphicData uri="http://schemas.microsoft.com/office/word/2010/wordprocessingShape">
                    <wps:wsp>
                      <wps:cNvSpPr/>
                      <wps:spPr>
                        <a:xfrm>
                          <a:off x="0" y="0"/>
                          <a:ext cx="1838325" cy="3414395"/>
                        </a:xfrm>
                        <a:prstGeom prst="rect">
                          <a:avLst/>
                        </a:prstGeom>
                        <a:solidFill>
                          <a:schemeClr val="accent1">
                            <a:alpha val="0"/>
                          </a:schemeClr>
                        </a:solidFill>
                        <a:ln w="63500">
                          <a:solidFill>
                            <a:srgbClr val="FFFF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559.1pt;margin-top:100.6pt;height:268.85pt;width:144.75pt;z-index:251728896;v-text-anchor:middle;mso-width-relative:page;mso-height-relative:page;" fillcolor="#4F81BD [3204]" filled="t" stroked="t" coordsize="21600,21600" o:gfxdata="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">
                <v:fill on="t" opacity="0f" focussize="0,0"/>
                <v:stroke weight="5pt" color="#FFFF00 [2404]" joinstyle="round"/>
                <v:imagedata o:title=""/>
                <o:lock v:ext="edit" aspectratio="f"/>
              </v:rect>
            </w:pict>
          </mc:Fallback>
        </mc:AlternateContent>
      </w:r>
      <w:r>
        <w:drawing>
          <wp:inline distT="0" distB="0" distL="114300" distR="114300">
            <wp:extent cx="8885555" cy="5113020"/>
            <wp:effectExtent l="57150" t="57150" r="67945" b="68580"/>
            <wp:docPr id="49"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
                    <pic:cNvPicPr>
                      <a:picLocks noChangeAspect="1"/>
                    </pic:cNvPicPr>
                  </pic:nvPicPr>
                  <pic:blipFill>
                    <a:blip r:embed="rId113"/>
                    <a:stretch>
                      <a:fillRect/>
                    </a:stretch>
                  </pic:blipFill>
                  <pic:spPr>
                    <a:xfrm>
                      <a:off x="0" y="0"/>
                      <a:ext cx="8885555" cy="5113020"/>
                    </a:xfrm>
                    <a:prstGeom prst="rect">
                      <a:avLst/>
                    </a:prstGeom>
                    <a:noFill/>
                    <a:ln w="57150" cmpd="thickThin">
                      <a:solidFill>
                        <a:schemeClr val="tx1"/>
                      </a:solidFill>
                      <a:miter lim="800000"/>
                      <a:headEnd/>
                      <a:tailEnd/>
                    </a:ln>
                  </pic:spPr>
                </pic:pic>
              </a:graphicData>
            </a:graphic>
          </wp:inline>
        </w:drawing>
      </w:r>
      <w:r>
        <w:rPr>
          <w:sz w:val="30"/>
        </w:rPr>
        <mc:AlternateContent>
          <mc:Choice Requires="wps">
            <w:drawing>
              <wp:anchor distT="0" distB="0" distL="114300" distR="114300" simplePos="0" relativeHeight="251726848" behindDoc="0" locked="0" layoutInCell="1" allowOverlap="1">
                <wp:simplePos x="0" y="0"/>
                <wp:positionH relativeFrom="column">
                  <wp:posOffset>72390</wp:posOffset>
                </wp:positionH>
                <wp:positionV relativeFrom="paragraph">
                  <wp:posOffset>166370</wp:posOffset>
                </wp:positionV>
                <wp:extent cx="1179195" cy="4538980"/>
                <wp:effectExtent l="31750" t="31750" r="46355" b="39370"/>
                <wp:wrapNone/>
                <wp:docPr id="67" name="矩形 67"/>
                <wp:cNvGraphicFramePr/>
                <a:graphic xmlns:a="http://schemas.openxmlformats.org/drawingml/2006/main">
                  <a:graphicData uri="http://schemas.microsoft.com/office/word/2010/wordprocessingShape">
                    <wps:wsp>
                      <wps:cNvSpPr/>
                      <wps:spPr>
                        <a:xfrm>
                          <a:off x="972185" y="1246505"/>
                          <a:ext cx="1179195" cy="4538980"/>
                        </a:xfrm>
                        <a:prstGeom prst="rect">
                          <a:avLst/>
                        </a:prstGeom>
                        <a:solidFill>
                          <a:schemeClr val="accent1">
                            <a:alpha val="0"/>
                          </a:schemeClr>
                        </a:solidFill>
                        <a:ln w="63500">
                          <a:solidFill>
                            <a:srgbClr val="FFFF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5.7pt;margin-top:13.1pt;height:357.4pt;width:92.85pt;z-index:251726848;v-text-anchor:middle;mso-width-relative:page;mso-height-relative:page;" fillcolor="#4F81BD [3204]" filled="t" stroked="t" coordsize="21600,21600" o:gfxdata="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">
                <v:fill on="t" opacity="0f" focussize="0,0"/>
                <v:stroke weight="5pt" color="#FFFF00 [2404]" joinstyle="round"/>
                <v:imagedata o:title=""/>
                <o:lock v:ext="edit" aspectratio="f"/>
              </v:rect>
            </w:pict>
          </mc:Fallback>
        </mc:AlternateContent>
      </w:r>
      <w:r>
        <w:rPr>
          <w:sz w:val="30"/>
        </w:rPr>
        <mc:AlternateContent>
          <mc:Choice Requires="wps">
            <w:drawing>
              <wp:anchor distT="0" distB="0" distL="114300" distR="114300" simplePos="0" relativeHeight="251703296" behindDoc="0" locked="0" layoutInCell="1" allowOverlap="1">
                <wp:simplePos x="0" y="0"/>
                <wp:positionH relativeFrom="column">
                  <wp:posOffset>3488690</wp:posOffset>
                </wp:positionH>
                <wp:positionV relativeFrom="paragraph">
                  <wp:posOffset>5288280</wp:posOffset>
                </wp:positionV>
                <wp:extent cx="1828800" cy="1828800"/>
                <wp:effectExtent l="0" t="0" r="0" b="0"/>
                <wp:wrapNone/>
                <wp:docPr id="235" name="文本框 23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1C43BBB">
                            <w:pPr>
                              <w:pStyle w:val="3"/>
                              <w:rPr>
                                <w:rFonts w:hint="eastAsia" w:eastAsia="黑体"/>
                                <w:color w:val="auto"/>
                                <w:sz w:val="32"/>
                                <w:szCs w:val="32"/>
                                <w:lang w:eastAsia="zh-CN"/>
                              </w:rPr>
                            </w:pPr>
                            <w:r>
                              <w:rPr>
                                <w:rFonts w:hint="eastAsia"/>
                                <w:color w:val="auto"/>
                              </w:rPr>
                              <w:t>附图</w:t>
                            </w:r>
                            <w:r>
                              <w:rPr>
                                <w:rFonts w:hint="eastAsia"/>
                                <w:color w:val="auto"/>
                                <w:lang w:val="en-US" w:eastAsia="zh-CN"/>
                              </w:rPr>
                              <w:t>11厂区四至情况图</w:t>
                            </w:r>
                          </w:p>
                        </w:txbxContent>
                      </wps:txbx>
                      <wps:bodyPr rot="0" spcFirstLastPara="0" vertOverflow="overflow" horzOverflow="overflow" vert="horz" wrap="none" lIns="91440" tIns="45720" rIns="91440" bIns="45720" numCol="1" spcCol="0" rtlCol="0" fromWordArt="0" anchor="t" anchorCtr="0" forceAA="0" compatLnSpc="1">
                        <a:spAutoFit/>
                      </wps:bodyPr>
                    </wps:wsp>
                  </a:graphicData>
                </a:graphic>
              </wp:anchor>
            </w:drawing>
          </mc:Choice>
          <mc:Fallback>
            <w:pict>
              <v:shape id="_x0000_s1026" o:spid="_x0000_s1026" o:spt="202" type="#_x0000_t202" style="position:absolute;left:0pt;margin-left:274.7pt;margin-top:416.4pt;height:144pt;width:144pt;mso-wrap-style:none;z-index:251703296;mso-width-relative:page;mso-height-relative:page;" filled="f" stroked="f" coordsize="21600,21600" o:gfxdata="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">
                <v:fill on="f" focussize="0,0"/>
                <v:stroke on="f" weight="0.5pt"/>
                <v:imagedata o:title=""/>
                <o:lock v:ext="edit" aspectratio="f"/>
                <v:textbox style="mso-fit-shape-to-text:t;">
                  <w:txbxContent>
                    <w:p w14:paraId="01C43BBB">
                      <w:pPr>
                        <w:pStyle w:val="3"/>
                        <w:rPr>
                          <w:rFonts w:hint="eastAsia" w:eastAsia="黑体"/>
                          <w:color w:val="auto"/>
                          <w:sz w:val="32"/>
                          <w:szCs w:val="32"/>
                          <w:lang w:eastAsia="zh-CN"/>
                        </w:rPr>
                      </w:pPr>
                      <w:r>
                        <w:rPr>
                          <w:rFonts w:hint="eastAsia"/>
                          <w:color w:val="auto"/>
                        </w:rPr>
                        <w:t>附图</w:t>
                      </w:r>
                      <w:r>
                        <w:rPr>
                          <w:rFonts w:hint="eastAsia"/>
                          <w:color w:val="auto"/>
                          <w:lang w:val="en-US" w:eastAsia="zh-CN"/>
                        </w:rPr>
                        <w:t>11厂区四至情况图</w:t>
                      </w:r>
                    </w:p>
                  </w:txbxContent>
                </v:textbox>
              </v:shape>
            </w:pict>
          </mc:Fallback>
        </mc:AlternateContent>
      </w:r>
    </w:p>
    <w:sectPr>
      <w:pgSz w:w="16838" w:h="11906" w:orient="landscape"/>
      <w:pgMar w:top="1701" w:right="1417" w:bottom="1417" w:left="1417" w:header="851" w:footer="992" w:gutter="0"/>
      <w:pgBorders>
        <w:top w:val="none" w:sz="0" w:space="0"/>
        <w:left w:val="none" w:sz="0" w:space="0"/>
        <w:bottom w:val="none" w:sz="0" w:space="0"/>
        <w:right w:val="none" w:sz="0" w:space="0"/>
      </w:pgBorders>
      <w:pgNumType w:fmt="numberInDash"/>
      <w:cols w:space="720"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28"/>
    <w:family w:val="auto"/>
    <w:pitch w:val="default"/>
    <w:sig w:usb0="E0002EFF" w:usb1="C000785B" w:usb2="00000009" w:usb3="00000000" w:csb0="400001FF" w:csb1="FFFF0000"/>
  </w:font>
  <w:font w:name="宋体">
    <w:panose1 w:val="02010600030101010101"/>
    <w:charset w:val="50"/>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华文行楷">
    <w:altName w:val="微软雅黑"/>
    <w:panose1 w:val="02010800040101010101"/>
    <w:charset w:val="86"/>
    <w:family w:val="auto"/>
    <w:pitch w:val="default"/>
    <w:sig w:usb0="00000000" w:usb1="00000000" w:usb2="00000010" w:usb3="00000000" w:csb0="00040000" w:csb1="00000000"/>
  </w:font>
  <w:font w:name="微软雅黑">
    <w:panose1 w:val="020B0503020204020204"/>
    <w:charset w:val="86"/>
    <w:family w:val="swiss"/>
    <w:pitch w:val="default"/>
    <w:sig w:usb0="80000287" w:usb1="2ACF3C50" w:usb2="00000016" w:usb3="00000000" w:csb0="0004001F" w:csb1="00000000"/>
  </w:font>
  <w:font w:name="仿宋_GB2312">
    <w:altName w:val="仿宋"/>
    <w:panose1 w:val="00000000000000000000"/>
    <w:charset w:val="86"/>
    <w:family w:val="modern"/>
    <w:pitch w:val="default"/>
    <w:sig w:usb0="00000000" w:usb1="00000000" w:usb2="00000010" w:usb3="00000000" w:csb0="00040000" w:csb1="00000000"/>
  </w:font>
  <w:font w:name="仿宋">
    <w:panose1 w:val="02010609060101010101"/>
    <w:charset w:val="86"/>
    <w:family w:val="modern"/>
    <w:pitch w:val="default"/>
    <w:sig w:usb0="800002BF" w:usb1="38CF7CFA" w:usb2="00000016" w:usb3="00000000" w:csb0="00040001" w:csb1="00000000"/>
  </w:font>
  <w:font w:name="Wingdings 2">
    <w:altName w:val="Wingdings"/>
    <w:panose1 w:val="05020102010507070707"/>
    <w:charset w:val="02"/>
    <w:family w:val="roman"/>
    <w:pitch w:val="default"/>
    <w:sig w:usb0="00000000" w:usb1="00000000" w:usb2="00000000" w:usb3="00000000" w:csb0="80000000" w:csb1="00000000"/>
  </w:font>
  <w:font w:name="方正小标宋_GBK">
    <w:altName w:val="微软雅黑"/>
    <w:panose1 w:val="00000000000000000000"/>
    <w:charset w:val="86"/>
    <w:family w:val="script"/>
    <w:pitch w:val="default"/>
    <w:sig w:usb0="00000000" w:usb1="00000000" w:usb2="00082016" w:usb3="00000000" w:csb0="00040001" w:csb1="00000000"/>
  </w:font>
  <w:font w:name="楷体_GB2312">
    <w:altName w:val="楷体"/>
    <w:panose1 w:val="00000000000000000000"/>
    <w:charset w:val="86"/>
    <w:family w:val="modern"/>
    <w:pitch w:val="default"/>
    <w:sig w:usb0="00000000" w:usb1="00000000" w:usb2="00000010" w:usb3="00000000" w:csb0="00040000" w:csb1="00000000"/>
  </w:font>
  <w:font w:name="楷体">
    <w:panose1 w:val="02010609060101010101"/>
    <w:charset w:val="86"/>
    <w:family w:val="auto"/>
    <w:pitch w:val="default"/>
    <w:sig w:usb0="800002BF" w:usb1="38CF7CFA" w:usb2="00000016" w:usb3="00000000" w:csb0="00040001" w:csb1="00000000"/>
  </w:font>
  <w:font w:name="华文仿宋">
    <w:altName w:val="仿宋"/>
    <w:panose1 w:val="02010600040101010101"/>
    <w:charset w:val="86"/>
    <w:family w:val="auto"/>
    <w:pitch w:val="default"/>
    <w:sig w:usb0="00000000" w:usb1="00000000" w:usb2="00000010" w:usb3="00000000" w:csb0="0004009F" w:csb1="00000000"/>
  </w:font>
  <w:font w:name="Cambria Math">
    <w:panose1 w:val="02040503050406030204"/>
    <w:charset w:val="00"/>
    <w:family w:val="roman"/>
    <w:pitch w:val="default"/>
    <w:sig w:usb0="E00006FF" w:usb1="420024FF" w:usb2="02000000" w:usb3="00000000" w:csb0="2000019F" w:csb1="00000000"/>
  </w:font>
  <w:font w:name="Kingsoft UE">
    <w:altName w:val="AMGDT"/>
    <w:panose1 w:val="00000000000000000000"/>
    <w:charset w:val="00"/>
    <w:family w:val="auto"/>
    <w:pitch w:val="default"/>
    <w:sig w:usb0="00000000" w:usb1="00000000" w:usb2="00000000" w:usb3="00000000" w:csb0="00000000" w:csb1="00000000"/>
  </w:font>
  <w:font w:name="AMGDT">
    <w:panose1 w:val="02000400000000000000"/>
    <w:charset w:val="00"/>
    <w:family w:val="auto"/>
    <w:pitch w:val="default"/>
    <w:sig w:usb0="80000003" w:usb1="10000000" w:usb2="00000000" w:usb3="00000000" w:csb0="00000001" w:csb1="00000000"/>
  </w:font>
  <w:font w:name="MS PGothic">
    <w:panose1 w:val="020B0600070205080204"/>
    <w:charset w:val="80"/>
    <w:family w:val="auto"/>
    <w:pitch w:val="default"/>
    <w:sig w:usb0="E00002FF" w:usb1="6AC7FDFB" w:usb2="08000012" w:usb3="00000000" w:csb0="4002009F" w:csb1="DFD70000"/>
  </w:font>
  <w:font w:name="Segoe UI">
    <w:panose1 w:val="020B0502040204020203"/>
    <w:charset w:val="00"/>
    <w:family w:val="auto"/>
    <w:pitch w:val="default"/>
    <w:sig w:usb0="E4002EFF" w:usb1="C000E47F" w:usb2="00000009" w:usb3="00000000" w:csb0="200001FF" w:csb1="00000000"/>
  </w:font>
  <w:font w:name="Symbol">
    <w:panose1 w:val="05050102010706020507"/>
    <w:charset w:val="00"/>
    <w:family w:val="auto"/>
    <w:pitch w:val="default"/>
    <w:sig w:usb0="00000000" w:usb1="00000000" w:usb2="00000000" w:usb3="00000000" w:csb0="80000000" w:csb1="00000000"/>
  </w:font>
  <w:font w:name="Courier New">
    <w:panose1 w:val="02070309020205020404"/>
    <w:charset w:val="00"/>
    <w:family w:val="auto"/>
    <w:pitch w:val="default"/>
    <w:sig w:usb0="E0002EFF" w:usb1="C0007843" w:usb2="00000009" w:usb3="00000000" w:csb0="400001FF" w:csb1="FFFF0000"/>
  </w:font>
  <w:font w:name="Wingdings">
    <w:panose1 w:val="05000000000000000000"/>
    <w:charset w:val="00"/>
    <w:family w:val="auto"/>
    <w:pitch w:val="default"/>
    <w:sig w:usb0="00000000" w:usb1="00000000" w:usb2="00000000" w:usb3="00000000" w:csb0="8000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37AFA90">
    <w:pPr>
      <w:pStyle w:val="2"/>
      <w:ind w:right="360" w:firstLine="360"/>
    </w:pPr>
    <w:r>
      <mc:AlternateContent>
        <mc:Choice Requires="wps">
          <w:drawing>
            <wp:anchor distT="0" distB="0" distL="114300" distR="114300" simplePos="0" relativeHeight="251684864" behindDoc="0" locked="0" layoutInCell="1" allowOverlap="1">
              <wp:simplePos x="0" y="0"/>
              <wp:positionH relativeFrom="margin">
                <wp:align>center</wp:align>
              </wp:positionH>
              <wp:positionV relativeFrom="paragraph">
                <wp:posOffset>0</wp:posOffset>
              </wp:positionV>
              <wp:extent cx="1828800" cy="1828800"/>
              <wp:effectExtent l="0" t="0" r="0" b="0"/>
              <wp:wrapNone/>
              <wp:docPr id="253" name="文本框 25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121F3D5">
                          <w:pPr>
                            <w:pStyle w:val="2"/>
                          </w:pPr>
                          <w:r>
                            <w:fldChar w:fldCharType="begin"/>
                          </w:r>
                          <w:r>
                            <w:instrText xml:space="preserve"> PAGE  \* MERGEFORMAT </w:instrText>
                          </w:r>
                          <w:r>
                            <w:fldChar w:fldCharType="separate"/>
                          </w:r>
                          <w:r>
                            <w:t>- 3 -</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848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">
              <v:fill on="f" focussize="0,0"/>
              <v:stroke on="f" weight="0.5pt"/>
              <v:imagedata o:title=""/>
              <o:lock v:ext="edit" aspectratio="f"/>
              <v:textbox inset="0mm,0mm,0mm,0mm" style="mso-fit-shape-to-text:t;">
                <w:txbxContent>
                  <w:p w14:paraId="1121F3D5">
                    <w:pPr>
                      <w:pStyle w:val="2"/>
                    </w:pPr>
                    <w:r>
                      <w:fldChar w:fldCharType="begin"/>
                    </w:r>
                    <w:r>
                      <w:instrText xml:space="preserve"> PAGE  \* MERGEFORMAT </w:instrText>
                    </w:r>
                    <w:r>
                      <w:fldChar w:fldCharType="separate"/>
                    </w:r>
                    <w:r>
                      <w:t>- 3 -</w:t>
                    </w:r>
                    <w:r>
                      <w:fldChar w:fldCharType="end"/>
                    </w:r>
                  </w:p>
                </w:txbxContent>
              </v:textbox>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6D3A861">
    <w:pPr>
      <w:pStyle w:val="2"/>
      <w:ind w:right="360" w:firstLine="360"/>
    </w:pPr>
    <w:r>
      <mc:AlternateContent>
        <mc:Choice Requires="wps">
          <w:drawing>
            <wp:anchor distT="0" distB="0" distL="114300" distR="114300" simplePos="0" relativeHeight="251685888" behindDoc="0" locked="0" layoutInCell="1" allowOverlap="1">
              <wp:simplePos x="0" y="0"/>
              <wp:positionH relativeFrom="margin">
                <wp:align>center</wp:align>
              </wp:positionH>
              <wp:positionV relativeFrom="paragraph">
                <wp:posOffset>0</wp:posOffset>
              </wp:positionV>
              <wp:extent cx="1828800" cy="1828800"/>
              <wp:effectExtent l="0" t="0" r="0" b="0"/>
              <wp:wrapNone/>
              <wp:docPr id="255" name="文本框 25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DCB7E5D">
                          <w:pPr>
                            <w:pStyle w:val="2"/>
                          </w:pPr>
                          <w:r>
                            <w:fldChar w:fldCharType="begin"/>
                          </w:r>
                          <w:r>
                            <w:instrText xml:space="preserve"> PAGE  \* MERGEFORMAT </w:instrText>
                          </w:r>
                          <w:r>
                            <w:fldChar w:fldCharType="separate"/>
                          </w:r>
                          <w:r>
                            <w:t>- 1 -</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858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">
              <v:fill on="f" focussize="0,0"/>
              <v:stroke on="f" weight="0.5pt"/>
              <v:imagedata o:title=""/>
              <o:lock v:ext="edit" aspectratio="f"/>
              <v:textbox inset="0mm,0mm,0mm,0mm" style="mso-fit-shape-to-text:t;">
                <w:txbxContent>
                  <w:p w14:paraId="6DCB7E5D">
                    <w:pPr>
                      <w:pStyle w:val="2"/>
                    </w:pPr>
                    <w:r>
                      <w:fldChar w:fldCharType="begin"/>
                    </w:r>
                    <w:r>
                      <w:instrText xml:space="preserve"> PAGE  \* MERGEFORMAT </w:instrText>
                    </w:r>
                    <w:r>
                      <w:fldChar w:fldCharType="separate"/>
                    </w:r>
                    <w:r>
                      <w:t>- 1 -</w:t>
                    </w:r>
                    <w:r>
                      <w:fldChar w:fldCharType="end"/>
                    </w:r>
                  </w:p>
                </w:txbxContent>
              </v:textbox>
            </v:shap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91FF025">
    <w:pPr>
      <w:pStyle w:val="2"/>
      <w:ind w:right="360" w:firstLine="360"/>
      <w:jc w:val="center"/>
    </w:pPr>
    <w:r>
      <mc:AlternateContent>
        <mc:Choice Requires="wps">
          <w:drawing>
            <wp:anchor distT="0" distB="0" distL="114300" distR="114300" simplePos="0" relativeHeight="251683840" behindDoc="0" locked="0" layoutInCell="1" allowOverlap="1">
              <wp:simplePos x="0" y="0"/>
              <wp:positionH relativeFrom="margin">
                <wp:align>center</wp:align>
              </wp:positionH>
              <wp:positionV relativeFrom="paragraph">
                <wp:posOffset>0</wp:posOffset>
              </wp:positionV>
              <wp:extent cx="1828800" cy="1828800"/>
              <wp:effectExtent l="0" t="0" r="0" b="0"/>
              <wp:wrapNone/>
              <wp:docPr id="250" name="文本框 25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444B39F">
                          <w:pPr>
                            <w:pStyle w:val="2"/>
                            <w:ind w:right="360" w:firstLine="360"/>
                            <w:jc w:val="center"/>
                          </w:pPr>
                          <w:r>
                            <w:fldChar w:fldCharType="begin"/>
                          </w:r>
                          <w:r>
                            <w:instrText xml:space="preserve">PAGE   \* MERGEFORMAT</w:instrText>
                          </w:r>
                          <w:r>
                            <w:fldChar w:fldCharType="separate"/>
                          </w:r>
                          <w:r>
                            <w:rPr>
                              <w:lang w:val="zh-CN"/>
                            </w:rPr>
                            <w:t>1</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8384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LF16RywCAABZBAAADgAAAAAAAAABACAAAAAfAQAAZHJzL2Uyb0RvYy54bWxQSwUGAAAAAAYA&#10;BgBZAQAAvQUAAAAA&#10;">
              <v:fill on="f" focussize="0,0"/>
              <v:stroke on="f" weight="0.5pt"/>
              <v:imagedata o:title=""/>
              <o:lock v:ext="edit" aspectratio="f"/>
              <v:textbox inset="0mm,0mm,0mm,0mm" style="mso-fit-shape-to-text:t;">
                <w:txbxContent>
                  <w:p w14:paraId="6444B39F">
                    <w:pPr>
                      <w:pStyle w:val="2"/>
                      <w:ind w:right="360" w:firstLine="360"/>
                      <w:jc w:val="center"/>
                    </w:pPr>
                    <w:r>
                      <w:fldChar w:fldCharType="begin"/>
                    </w:r>
                    <w:r>
                      <w:instrText xml:space="preserve">PAGE   \* MERGEFORMAT</w:instrText>
                    </w:r>
                    <w:r>
                      <w:fldChar w:fldCharType="separate"/>
                    </w:r>
                    <w:r>
                      <w:rPr>
                        <w:lang w:val="zh-CN"/>
                      </w:rPr>
                      <w:t>1</w:t>
                    </w:r>
                    <w:r>
                      <w:fldChar w:fldCharType="end"/>
                    </w:r>
                  </w:p>
                </w:txbxContent>
              </v:textbox>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2C3F080">
    <w:pPr>
      <w:pStyle w:val="2"/>
      <w:ind w:right="360" w:firstLine="360"/>
      <w:jc w:val="center"/>
    </w:pPr>
    <w:r>
      <mc:AlternateContent>
        <mc:Choice Requires="wps">
          <w:drawing>
            <wp:anchor distT="0" distB="0" distL="114300" distR="114300" simplePos="0" relativeHeight="251686912" behindDoc="0" locked="0" layoutInCell="1" allowOverlap="1">
              <wp:simplePos x="0" y="0"/>
              <wp:positionH relativeFrom="margin">
                <wp:align>center</wp:align>
              </wp:positionH>
              <wp:positionV relativeFrom="paragraph">
                <wp:posOffset>0</wp:posOffset>
              </wp:positionV>
              <wp:extent cx="1828800" cy="1828800"/>
              <wp:effectExtent l="0" t="0" r="0" b="0"/>
              <wp:wrapNone/>
              <wp:docPr id="256" name="文本框 25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A55D16E">
                          <w:pPr>
                            <w:pStyle w:val="2"/>
                          </w:pPr>
                          <w:r>
                            <w:fldChar w:fldCharType="begin"/>
                          </w:r>
                          <w:r>
                            <w:instrText xml:space="preserve"> PAGE  \* MERGEFORMAT </w:instrText>
                          </w:r>
                          <w:r>
                            <w:fldChar w:fldCharType="separate"/>
                          </w:r>
                          <w:r>
                            <w:t>- 1 -</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869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">
              <v:fill on="f" focussize="0,0"/>
              <v:stroke on="f" weight="0.5pt"/>
              <v:imagedata o:title=""/>
              <o:lock v:ext="edit" aspectratio="f"/>
              <v:textbox inset="0mm,0mm,0mm,0mm" style="mso-fit-shape-to-text:t;">
                <w:txbxContent>
                  <w:p w14:paraId="6A55D16E">
                    <w:pPr>
                      <w:pStyle w:val="2"/>
                    </w:pPr>
                    <w:r>
                      <w:fldChar w:fldCharType="begin"/>
                    </w:r>
                    <w:r>
                      <w:instrText xml:space="preserve"> PAGE  \* MERGEFORMAT </w:instrText>
                    </w:r>
                    <w:r>
                      <w:fldChar w:fldCharType="separate"/>
                    </w:r>
                    <w:r>
                      <w:t>- 1 -</w:t>
                    </w:r>
                    <w:r>
                      <w:fldChar w:fldCharType="end"/>
                    </w:r>
                  </w:p>
                </w:txbxContent>
              </v:textbox>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DC5B2F8">
    <w:pPr>
      <w:pStyle w:val="2"/>
      <w:ind w:right="360" w:firstLine="360"/>
      <w:jc w:val="center"/>
    </w:pPr>
    <w:r>
      <mc:AlternateContent>
        <mc:Choice Requires="wps">
          <w:drawing>
            <wp:anchor distT="0" distB="0" distL="114300" distR="114300" simplePos="0" relativeHeight="251687936" behindDoc="0" locked="0" layoutInCell="1" allowOverlap="1">
              <wp:simplePos x="0" y="0"/>
              <wp:positionH relativeFrom="margin">
                <wp:align>center</wp:align>
              </wp:positionH>
              <wp:positionV relativeFrom="paragraph">
                <wp:posOffset>0</wp:posOffset>
              </wp:positionV>
              <wp:extent cx="1828800" cy="1828800"/>
              <wp:effectExtent l="0" t="0" r="0" b="0"/>
              <wp:wrapNone/>
              <wp:docPr id="257" name="文本框 25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C4CA887">
                          <w:pPr>
                            <w:pStyle w:val="2"/>
                          </w:pPr>
                          <w:r>
                            <w:fldChar w:fldCharType="begin"/>
                          </w:r>
                          <w:r>
                            <w:instrText xml:space="preserve"> PAGE  \* MERGEFORMAT </w:instrText>
                          </w:r>
                          <w:r>
                            <w:fldChar w:fldCharType="separate"/>
                          </w:r>
                          <w:r>
                            <w:t>- 4 -</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8793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">
              <v:fill on="f" focussize="0,0"/>
              <v:stroke on="f" weight="0.5pt"/>
              <v:imagedata o:title=""/>
              <o:lock v:ext="edit" aspectratio="f"/>
              <v:textbox inset="0mm,0mm,0mm,0mm" style="mso-fit-shape-to-text:t;">
                <w:txbxContent>
                  <w:p w14:paraId="1C4CA887">
                    <w:pPr>
                      <w:pStyle w:val="2"/>
                    </w:pPr>
                    <w:r>
                      <w:fldChar w:fldCharType="begin"/>
                    </w:r>
                    <w:r>
                      <w:instrText xml:space="preserve"> PAGE  \* MERGEFORMAT </w:instrText>
                    </w:r>
                    <w:r>
                      <w:fldChar w:fldCharType="separate"/>
                    </w:r>
                    <w:r>
                      <w:t>- 4 -</w:t>
                    </w:r>
                    <w:r>
                      <w:fldChar w:fldCharType="end"/>
                    </w:r>
                  </w:p>
                </w:txbxContent>
              </v:textbox>
            </v:shape>
          </w:pict>
        </mc:Fallback>
      </mc:AlternateConten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3F029BF">
    <w:pPr>
      <w:pStyle w:val="2"/>
      <w:ind w:right="360"/>
    </w:pPr>
    <w:r>
      <mc:AlternateContent>
        <mc:Choice Requires="wps">
          <w:drawing>
            <wp:anchor distT="0" distB="0" distL="114300" distR="114300" simplePos="0" relativeHeight="251688960" behindDoc="0" locked="0" layoutInCell="1" allowOverlap="1">
              <wp:simplePos x="0" y="0"/>
              <wp:positionH relativeFrom="margin">
                <wp:align>center</wp:align>
              </wp:positionH>
              <wp:positionV relativeFrom="paragraph">
                <wp:posOffset>0</wp:posOffset>
              </wp:positionV>
              <wp:extent cx="1828800" cy="1828800"/>
              <wp:effectExtent l="0" t="0" r="0" b="0"/>
              <wp:wrapNone/>
              <wp:docPr id="258" name="文本框 25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454FEF4">
                          <w:pPr>
                            <w:pStyle w:val="2"/>
                          </w:pPr>
                          <w:r>
                            <w:fldChar w:fldCharType="begin"/>
                          </w:r>
                          <w:r>
                            <w:instrText xml:space="preserve"> PAGE  \* MERGEFORMAT </w:instrText>
                          </w:r>
                          <w:r>
                            <w:fldChar w:fldCharType="separate"/>
                          </w:r>
                          <w:r>
                            <w:t>- 42 -</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8896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">
              <v:fill on="f" focussize="0,0"/>
              <v:stroke on="f" weight="0.5pt"/>
              <v:imagedata o:title=""/>
              <o:lock v:ext="edit" aspectratio="f"/>
              <v:textbox inset="0mm,0mm,0mm,0mm" style="mso-fit-shape-to-text:t;">
                <w:txbxContent>
                  <w:p w14:paraId="0454FEF4">
                    <w:pPr>
                      <w:pStyle w:val="2"/>
                    </w:pPr>
                    <w:r>
                      <w:fldChar w:fldCharType="begin"/>
                    </w:r>
                    <w:r>
                      <w:instrText xml:space="preserve"> PAGE  \* MERGEFORMAT </w:instrText>
                    </w:r>
                    <w:r>
                      <w:fldChar w:fldCharType="separate"/>
                    </w:r>
                    <w:r>
                      <w:t>- 42 -</w:t>
                    </w:r>
                    <w:r>
                      <w:fldChar w:fldCharType="end"/>
                    </w:r>
                  </w:p>
                </w:txbxContent>
              </v:textbox>
            </v:shape>
          </w:pict>
        </mc:Fallback>
      </mc:AlternateConten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7ECC3F9">
    <w:pPr>
      <w:pStyle w:val="21"/>
      <w:pBdr>
        <w:bottom w:val="none" w:color="auto" w:sz="0" w:space="0"/>
      </w:pBd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7AE74C9"/>
    <w:multiLevelType w:val="singleLevel"/>
    <w:tmpl w:val="87AE74C9"/>
    <w:lvl w:ilvl="0" w:tentative="0">
      <w:start w:val="2"/>
      <w:numFmt w:val="decimal"/>
      <w:lvlText w:val="%1."/>
      <w:lvlJc w:val="left"/>
      <w:pPr>
        <w:tabs>
          <w:tab w:val="left" w:pos="312"/>
        </w:tabs>
      </w:pPr>
    </w:lvl>
  </w:abstractNum>
  <w:abstractNum w:abstractNumId="1">
    <w:nsid w:val="F3115842"/>
    <w:multiLevelType w:val="singleLevel"/>
    <w:tmpl w:val="F3115842"/>
    <w:lvl w:ilvl="0" w:tentative="0">
      <w:start w:val="1"/>
      <w:numFmt w:val="bullet"/>
      <w:pStyle w:val="16"/>
      <w:lvlText w:val=""/>
      <w:lvlJc w:val="left"/>
      <w:pPr>
        <w:tabs>
          <w:tab w:val="left" w:pos="2040"/>
        </w:tabs>
        <w:ind w:left="2040" w:hanging="360"/>
      </w:pPr>
      <w:rPr>
        <w:rFonts w:hint="default" w:ascii="Wingdings" w:hAnsi="Wingdings"/>
      </w:rPr>
    </w:lvl>
  </w:abstractNum>
  <w:abstractNum w:abstractNumId="2">
    <w:nsid w:val="1FC91163"/>
    <w:multiLevelType w:val="multilevel"/>
    <w:tmpl w:val="1FC91163"/>
    <w:lvl w:ilvl="0" w:tentative="0">
      <w:start w:val="1"/>
      <w:numFmt w:val="decimal"/>
      <w:pStyle w:val="139"/>
      <w:suff w:val="nothing"/>
      <w:lvlText w:val="%1　"/>
      <w:lvlJc w:val="left"/>
      <w:pPr>
        <w:ind w:left="0" w:firstLine="0"/>
      </w:pPr>
      <w:rPr>
        <w:rFonts w:hint="eastAsia" w:ascii="黑体" w:hAnsi="Times New Roman" w:eastAsia="黑体"/>
        <w:b w:val="0"/>
        <w:i w:val="0"/>
        <w:sz w:val="21"/>
        <w:szCs w:val="21"/>
      </w:rPr>
    </w:lvl>
    <w:lvl w:ilvl="1" w:tentative="0">
      <w:start w:val="1"/>
      <w:numFmt w:val="decimal"/>
      <w:pStyle w:val="132"/>
      <w:suff w:val="nothing"/>
      <w:lvlText w:val="%1.%2　"/>
      <w:lvlJc w:val="left"/>
      <w:pPr>
        <w:ind w:left="0" w:firstLine="0"/>
      </w:pPr>
      <w:rPr>
        <w:rFonts w:hint="eastAsia" w:ascii="黑体" w:hAnsi="Times New Roman" w:eastAsia="黑体" w:cs="Times New Roman"/>
        <w:b w:val="0"/>
        <w:bCs w:val="0"/>
        <w:i w:val="0"/>
        <w:iCs w:val="0"/>
        <w:caps w:val="0"/>
        <w:strike w:val="0"/>
        <w:dstrike w:val="0"/>
        <w:vanish w:val="0"/>
        <w:color w:val="000000"/>
        <w:spacing w:val="0"/>
        <w:kern w:val="0"/>
        <w:position w:val="0"/>
        <w:sz w:val="21"/>
        <w:szCs w:val="21"/>
        <w:u w:val="none"/>
        <w:vertAlign w:val="baseline"/>
      </w:rPr>
    </w:lvl>
    <w:lvl w:ilvl="2" w:tentative="0">
      <w:start w:val="1"/>
      <w:numFmt w:val="decimal"/>
      <w:pStyle w:val="135"/>
      <w:suff w:val="nothing"/>
      <w:lvlText w:val="%1.%2.%3　"/>
      <w:lvlJc w:val="left"/>
      <w:pPr>
        <w:ind w:left="0" w:firstLine="0"/>
      </w:pPr>
      <w:rPr>
        <w:rFonts w:hint="eastAsia" w:ascii="黑体" w:hAnsi="Times New Roman" w:eastAsia="黑体"/>
        <w:b w:val="0"/>
        <w:i w:val="0"/>
        <w:sz w:val="21"/>
      </w:rPr>
    </w:lvl>
    <w:lvl w:ilvl="3" w:tentative="0">
      <w:start w:val="1"/>
      <w:numFmt w:val="decimal"/>
      <w:pStyle w:val="138"/>
      <w:suff w:val="nothing"/>
      <w:lvlText w:val="%1.%2.%3.%4　"/>
      <w:lvlJc w:val="left"/>
      <w:pPr>
        <w:ind w:left="0" w:firstLine="0"/>
      </w:pPr>
      <w:rPr>
        <w:rFonts w:hint="eastAsia" w:ascii="黑体" w:hAnsi="Times New Roman" w:eastAsia="黑体"/>
        <w:b w:val="0"/>
        <w:i w:val="0"/>
        <w:sz w:val="21"/>
      </w:rPr>
    </w:lvl>
    <w:lvl w:ilvl="4" w:tentative="0">
      <w:start w:val="1"/>
      <w:numFmt w:val="decimal"/>
      <w:suff w:val="nothing"/>
      <w:lvlText w:val="%1.%2.%3.%4.%5　"/>
      <w:lvlJc w:val="left"/>
      <w:pPr>
        <w:ind w:left="0" w:firstLine="0"/>
      </w:pPr>
      <w:rPr>
        <w:rFonts w:hint="eastAsia" w:ascii="黑体" w:hAnsi="Times New Roman" w:eastAsia="黑体"/>
        <w:b w:val="0"/>
        <w:i w:val="0"/>
        <w:sz w:val="21"/>
      </w:rPr>
    </w:lvl>
    <w:lvl w:ilvl="5" w:tentative="0">
      <w:start w:val="1"/>
      <w:numFmt w:val="decimal"/>
      <w:suff w:val="nothing"/>
      <w:lvlText w:val="%1.%2.%3.%4.%5.%6　"/>
      <w:lvlJc w:val="left"/>
      <w:pPr>
        <w:ind w:left="0" w:firstLine="0"/>
      </w:pPr>
      <w:rPr>
        <w:rFonts w:hint="eastAsia" w:ascii="黑体" w:hAnsi="Times New Roman" w:eastAsia="黑体"/>
        <w:b w:val="0"/>
        <w:i w:val="0"/>
        <w:sz w:val="21"/>
      </w:rPr>
    </w:lvl>
    <w:lvl w:ilvl="6" w:tentative="0">
      <w:start w:val="1"/>
      <w:numFmt w:val="decimal"/>
      <w:suff w:val="nothing"/>
      <w:lvlText w:val="%1%2.%3.%4.%5.%6.%7　"/>
      <w:lvlJc w:val="left"/>
      <w:pPr>
        <w:ind w:left="0" w:firstLine="0"/>
      </w:pPr>
      <w:rPr>
        <w:rFonts w:hint="eastAsia" w:ascii="黑体" w:hAnsi="Times New Roman" w:eastAsia="黑体"/>
        <w:b w:val="0"/>
        <w:i w:val="0"/>
        <w:sz w:val="21"/>
      </w:rPr>
    </w:lvl>
    <w:lvl w:ilvl="7" w:tentative="0">
      <w:start w:val="1"/>
      <w:numFmt w:val="decimal"/>
      <w:lvlText w:val="%1.%2.%3.%4.%5.%6.%7.%8"/>
      <w:lvlJc w:val="left"/>
      <w:pPr>
        <w:tabs>
          <w:tab w:val="left" w:pos="4351"/>
        </w:tabs>
        <w:ind w:left="3969" w:hanging="1418"/>
      </w:pPr>
      <w:rPr>
        <w:rFonts w:hint="eastAsia"/>
      </w:rPr>
    </w:lvl>
    <w:lvl w:ilvl="8" w:tentative="0">
      <w:start w:val="1"/>
      <w:numFmt w:val="decimal"/>
      <w:lvlText w:val="%1.%2.%3.%4.%5.%6.%7.%8.%9"/>
      <w:lvlJc w:val="left"/>
      <w:pPr>
        <w:tabs>
          <w:tab w:val="left" w:pos="4777"/>
        </w:tabs>
        <w:ind w:left="4677" w:hanging="1700"/>
      </w:pPr>
      <w:rPr>
        <w:rFonts w:hint="eastAsia"/>
      </w:rPr>
    </w:lvl>
  </w:abstractNum>
  <w:abstractNum w:abstractNumId="3">
    <w:nsid w:val="30BB46D6"/>
    <w:multiLevelType w:val="singleLevel"/>
    <w:tmpl w:val="30BB46D6"/>
    <w:lvl w:ilvl="0" w:tentative="0">
      <w:start w:val="2"/>
      <w:numFmt w:val="decimal"/>
      <w:suff w:val="nothing"/>
      <w:lvlText w:val="%1）"/>
      <w:lvlJc w:val="left"/>
    </w:lvl>
  </w:abstractNum>
  <w:abstractNum w:abstractNumId="4">
    <w:nsid w:val="62193504"/>
    <w:multiLevelType w:val="singleLevel"/>
    <w:tmpl w:val="62193504"/>
    <w:lvl w:ilvl="0" w:tentative="0">
      <w:start w:val="10"/>
      <w:numFmt w:val="decimal"/>
      <w:lvlText w:val="%1."/>
      <w:lvlJc w:val="left"/>
      <w:pPr>
        <w:tabs>
          <w:tab w:val="left" w:pos="312"/>
        </w:tabs>
      </w:pPr>
    </w:lvl>
  </w:abstractNum>
  <w:abstractNum w:abstractNumId="5">
    <w:nsid w:val="778877B5"/>
    <w:multiLevelType w:val="multilevel"/>
    <w:tmpl w:val="778877B5"/>
    <w:lvl w:ilvl="0" w:tentative="0">
      <w:start w:val="1"/>
      <w:numFmt w:val="lowerLetter"/>
      <w:pStyle w:val="136"/>
      <w:lvlText w:val="%1)"/>
      <w:lvlJc w:val="left"/>
      <w:pPr>
        <w:tabs>
          <w:tab w:val="left" w:pos="840"/>
        </w:tabs>
        <w:ind w:left="839" w:hanging="419"/>
      </w:pPr>
      <w:rPr>
        <w:rFonts w:hint="eastAsia" w:ascii="宋体" w:eastAsia="宋体"/>
        <w:b w:val="0"/>
        <w:i w:val="0"/>
        <w:sz w:val="21"/>
        <w:szCs w:val="21"/>
      </w:rPr>
    </w:lvl>
    <w:lvl w:ilvl="1" w:tentative="0">
      <w:start w:val="1"/>
      <w:numFmt w:val="decimal"/>
      <w:lvlText w:val="%2)"/>
      <w:lvlJc w:val="left"/>
      <w:pPr>
        <w:tabs>
          <w:tab w:val="left" w:pos="1260"/>
        </w:tabs>
        <w:ind w:left="1259" w:hanging="419"/>
      </w:pPr>
      <w:rPr>
        <w:rFonts w:hint="eastAsia"/>
      </w:rPr>
    </w:lvl>
    <w:lvl w:ilvl="2" w:tentative="0">
      <w:start w:val="1"/>
      <w:numFmt w:val="decimal"/>
      <w:lvlText w:val="(%3)"/>
      <w:lvlJc w:val="left"/>
      <w:pPr>
        <w:tabs>
          <w:tab w:val="left" w:pos="0"/>
        </w:tabs>
        <w:ind w:left="1679" w:hanging="420"/>
      </w:pPr>
      <w:rPr>
        <w:rFonts w:hint="eastAsia" w:ascii="宋体" w:eastAsia="宋体"/>
        <w:b w:val="0"/>
        <w:i w:val="0"/>
        <w:sz w:val="21"/>
        <w:szCs w:val="21"/>
      </w:rPr>
    </w:lvl>
    <w:lvl w:ilvl="3" w:tentative="0">
      <w:start w:val="1"/>
      <w:numFmt w:val="decimal"/>
      <w:lvlText w:val="%4."/>
      <w:lvlJc w:val="left"/>
      <w:pPr>
        <w:tabs>
          <w:tab w:val="left" w:pos="2100"/>
        </w:tabs>
        <w:ind w:left="2099" w:hanging="419"/>
      </w:pPr>
      <w:rPr>
        <w:rFonts w:hint="eastAsia"/>
      </w:rPr>
    </w:lvl>
    <w:lvl w:ilvl="4" w:tentative="0">
      <w:start w:val="1"/>
      <w:numFmt w:val="lowerLetter"/>
      <w:lvlText w:val="%5)"/>
      <w:lvlJc w:val="left"/>
      <w:pPr>
        <w:tabs>
          <w:tab w:val="left" w:pos="2520"/>
        </w:tabs>
        <w:ind w:left="2519" w:hanging="419"/>
      </w:pPr>
      <w:rPr>
        <w:rFonts w:hint="eastAsia"/>
      </w:rPr>
    </w:lvl>
    <w:lvl w:ilvl="5" w:tentative="0">
      <w:start w:val="1"/>
      <w:numFmt w:val="lowerRoman"/>
      <w:lvlText w:val="%6."/>
      <w:lvlJc w:val="right"/>
      <w:pPr>
        <w:tabs>
          <w:tab w:val="left" w:pos="2940"/>
        </w:tabs>
        <w:ind w:left="2939" w:hanging="419"/>
      </w:pPr>
      <w:rPr>
        <w:rFonts w:hint="eastAsia"/>
      </w:rPr>
    </w:lvl>
    <w:lvl w:ilvl="6" w:tentative="0">
      <w:start w:val="1"/>
      <w:numFmt w:val="decimal"/>
      <w:lvlText w:val="%7."/>
      <w:lvlJc w:val="left"/>
      <w:pPr>
        <w:tabs>
          <w:tab w:val="left" w:pos="3360"/>
        </w:tabs>
        <w:ind w:left="3359" w:hanging="419"/>
      </w:pPr>
      <w:rPr>
        <w:rFonts w:hint="eastAsia"/>
      </w:rPr>
    </w:lvl>
    <w:lvl w:ilvl="7" w:tentative="0">
      <w:start w:val="1"/>
      <w:numFmt w:val="lowerLetter"/>
      <w:lvlText w:val="%8)"/>
      <w:lvlJc w:val="left"/>
      <w:pPr>
        <w:tabs>
          <w:tab w:val="left" w:pos="3780"/>
        </w:tabs>
        <w:ind w:left="3779" w:hanging="419"/>
      </w:pPr>
      <w:rPr>
        <w:rFonts w:hint="eastAsia"/>
      </w:rPr>
    </w:lvl>
    <w:lvl w:ilvl="8" w:tentative="0">
      <w:start w:val="1"/>
      <w:numFmt w:val="lowerRoman"/>
      <w:lvlText w:val="%9."/>
      <w:lvlJc w:val="right"/>
      <w:pPr>
        <w:tabs>
          <w:tab w:val="left" w:pos="4200"/>
        </w:tabs>
        <w:ind w:left="4199" w:hanging="419"/>
      </w:pPr>
      <w:rPr>
        <w:rFonts w:hint="eastAsia"/>
      </w:rPr>
    </w:lvl>
  </w:abstractNum>
  <w:num w:numId="1">
    <w:abstractNumId w:val="1"/>
  </w:num>
  <w:num w:numId="2">
    <w:abstractNumId w:val="2"/>
  </w:num>
  <w:num w:numId="3">
    <w:abstractNumId w:val="5"/>
  </w:num>
  <w:num w:numId="4">
    <w:abstractNumId w:val="4"/>
  </w:num>
  <w:num w:numId="5">
    <w:abstractNumId w:val="0"/>
  </w:num>
  <w:num w:numId="6">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3"/>
  <w:bordersDoNotSurroundHeader w:val="0"/>
  <w:bordersDoNotSurroundFooter w:val="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attachedTemplate r:id="rId1"/>
  <w:documentProtection w:edit="trackedChanges" w:enforcement="0"/>
  <w:defaultTabStop w:val="420"/>
  <w:doNotHyphenateCaps/>
  <w:drawingGridVerticalSpacing w:val="156"/>
  <w:displayHorizontalDrawingGridEvery w:val="1"/>
  <w:displayVerticalDrawingGridEvery w:val="1"/>
  <w:noPunctuationKerning w:val="1"/>
  <w:characterSpacingControl w:val="compressPunctuation"/>
  <w:noLineBreaksAfter w:lang="zh-CN" w:val="([{·‘“〈《「『【〔〖（．［｛￡￥"/>
  <w:noLineBreaksBefore w:lang="zh-CN" w:val="!),.:;?]}¨·ˇˉ―‖’”…∶、。〃々〉》」』】〕〗！＂＇），．：；？］｀｜｝～￠"/>
  <w:doNotValidateAgainstSchema/>
  <w:doNotDemarcateInvalidXml/>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MjQwNjg0ZjQ0YzllNmY0ODllYTEyYmE0OWZiMTExZGIifQ=="/>
  </w:docVars>
  <w:rsids>
    <w:rsidRoot w:val="00A14947"/>
    <w:rsid w:val="000060B3"/>
    <w:rsid w:val="00012FC2"/>
    <w:rsid w:val="00020D49"/>
    <w:rsid w:val="00024382"/>
    <w:rsid w:val="00031877"/>
    <w:rsid w:val="0004364B"/>
    <w:rsid w:val="00061B1F"/>
    <w:rsid w:val="000628E7"/>
    <w:rsid w:val="000733C4"/>
    <w:rsid w:val="00074783"/>
    <w:rsid w:val="0008070B"/>
    <w:rsid w:val="000810AC"/>
    <w:rsid w:val="00081A02"/>
    <w:rsid w:val="00082231"/>
    <w:rsid w:val="0008392B"/>
    <w:rsid w:val="00092D38"/>
    <w:rsid w:val="0009377B"/>
    <w:rsid w:val="00093A9F"/>
    <w:rsid w:val="000A20C9"/>
    <w:rsid w:val="000A7CE1"/>
    <w:rsid w:val="000B058F"/>
    <w:rsid w:val="000B4467"/>
    <w:rsid w:val="000B4D49"/>
    <w:rsid w:val="000B4DB9"/>
    <w:rsid w:val="000B77DF"/>
    <w:rsid w:val="000C09AC"/>
    <w:rsid w:val="000C767F"/>
    <w:rsid w:val="000D110C"/>
    <w:rsid w:val="000D5A44"/>
    <w:rsid w:val="000E3ED2"/>
    <w:rsid w:val="000F123A"/>
    <w:rsid w:val="000F66FA"/>
    <w:rsid w:val="00100378"/>
    <w:rsid w:val="00101714"/>
    <w:rsid w:val="001145EA"/>
    <w:rsid w:val="00116C10"/>
    <w:rsid w:val="00131F42"/>
    <w:rsid w:val="001357F1"/>
    <w:rsid w:val="001377E0"/>
    <w:rsid w:val="00140FA8"/>
    <w:rsid w:val="00141121"/>
    <w:rsid w:val="00142FEB"/>
    <w:rsid w:val="00143A2D"/>
    <w:rsid w:val="00144145"/>
    <w:rsid w:val="00145A41"/>
    <w:rsid w:val="0015152A"/>
    <w:rsid w:val="00151675"/>
    <w:rsid w:val="00157435"/>
    <w:rsid w:val="00161D90"/>
    <w:rsid w:val="0017504D"/>
    <w:rsid w:val="0017671A"/>
    <w:rsid w:val="00177422"/>
    <w:rsid w:val="00182117"/>
    <w:rsid w:val="00184590"/>
    <w:rsid w:val="001870D1"/>
    <w:rsid w:val="0018781E"/>
    <w:rsid w:val="0019262D"/>
    <w:rsid w:val="00192F54"/>
    <w:rsid w:val="00197F39"/>
    <w:rsid w:val="001A1B35"/>
    <w:rsid w:val="001A48A2"/>
    <w:rsid w:val="001A6F61"/>
    <w:rsid w:val="001A749E"/>
    <w:rsid w:val="001B3A42"/>
    <w:rsid w:val="001B72B8"/>
    <w:rsid w:val="001C69B3"/>
    <w:rsid w:val="001D5595"/>
    <w:rsid w:val="001D7874"/>
    <w:rsid w:val="001D7F22"/>
    <w:rsid w:val="001E7432"/>
    <w:rsid w:val="001F0F17"/>
    <w:rsid w:val="001F2789"/>
    <w:rsid w:val="001F3347"/>
    <w:rsid w:val="001F38A0"/>
    <w:rsid w:val="001F69E4"/>
    <w:rsid w:val="002125B4"/>
    <w:rsid w:val="002155B8"/>
    <w:rsid w:val="00215B72"/>
    <w:rsid w:val="00217134"/>
    <w:rsid w:val="0022263F"/>
    <w:rsid w:val="00224839"/>
    <w:rsid w:val="002249B2"/>
    <w:rsid w:val="00226574"/>
    <w:rsid w:val="002278EC"/>
    <w:rsid w:val="00230E72"/>
    <w:rsid w:val="0023280E"/>
    <w:rsid w:val="00233DAC"/>
    <w:rsid w:val="00234402"/>
    <w:rsid w:val="002377D1"/>
    <w:rsid w:val="00242BF0"/>
    <w:rsid w:val="002506BC"/>
    <w:rsid w:val="00254345"/>
    <w:rsid w:val="00255904"/>
    <w:rsid w:val="0026039D"/>
    <w:rsid w:val="0026126E"/>
    <w:rsid w:val="00264557"/>
    <w:rsid w:val="00273D23"/>
    <w:rsid w:val="002805AB"/>
    <w:rsid w:val="00284204"/>
    <w:rsid w:val="00291773"/>
    <w:rsid w:val="002925B5"/>
    <w:rsid w:val="002A168C"/>
    <w:rsid w:val="002A182D"/>
    <w:rsid w:val="002A3DC7"/>
    <w:rsid w:val="002B49E2"/>
    <w:rsid w:val="002B7B00"/>
    <w:rsid w:val="002B7C44"/>
    <w:rsid w:val="002C02E1"/>
    <w:rsid w:val="002C1D63"/>
    <w:rsid w:val="002C2B17"/>
    <w:rsid w:val="002D3DD0"/>
    <w:rsid w:val="002E1F3A"/>
    <w:rsid w:val="002E298A"/>
    <w:rsid w:val="002E4C35"/>
    <w:rsid w:val="002F7C13"/>
    <w:rsid w:val="00301978"/>
    <w:rsid w:val="0030332C"/>
    <w:rsid w:val="003051C2"/>
    <w:rsid w:val="00312296"/>
    <w:rsid w:val="00314F0E"/>
    <w:rsid w:val="00321D8E"/>
    <w:rsid w:val="00323FF5"/>
    <w:rsid w:val="00325928"/>
    <w:rsid w:val="00332863"/>
    <w:rsid w:val="0033684D"/>
    <w:rsid w:val="00337B42"/>
    <w:rsid w:val="00341B42"/>
    <w:rsid w:val="0034348F"/>
    <w:rsid w:val="00356653"/>
    <w:rsid w:val="0035743F"/>
    <w:rsid w:val="00357BE2"/>
    <w:rsid w:val="0036170C"/>
    <w:rsid w:val="00366E0F"/>
    <w:rsid w:val="00381A72"/>
    <w:rsid w:val="00384676"/>
    <w:rsid w:val="0039040B"/>
    <w:rsid w:val="00390857"/>
    <w:rsid w:val="003A4BF3"/>
    <w:rsid w:val="003A511C"/>
    <w:rsid w:val="003B24B3"/>
    <w:rsid w:val="003B420D"/>
    <w:rsid w:val="003B4337"/>
    <w:rsid w:val="003B70C9"/>
    <w:rsid w:val="003C6C16"/>
    <w:rsid w:val="003D019B"/>
    <w:rsid w:val="003D1DF7"/>
    <w:rsid w:val="003D43E0"/>
    <w:rsid w:val="003D794D"/>
    <w:rsid w:val="003E3058"/>
    <w:rsid w:val="003E524F"/>
    <w:rsid w:val="003E5BB2"/>
    <w:rsid w:val="003E76A9"/>
    <w:rsid w:val="003F0809"/>
    <w:rsid w:val="003F0C2C"/>
    <w:rsid w:val="003F61D8"/>
    <w:rsid w:val="003F6A8C"/>
    <w:rsid w:val="003F755C"/>
    <w:rsid w:val="00400EDA"/>
    <w:rsid w:val="00406F01"/>
    <w:rsid w:val="004166A8"/>
    <w:rsid w:val="00416D50"/>
    <w:rsid w:val="00416FD5"/>
    <w:rsid w:val="00417772"/>
    <w:rsid w:val="00420E6A"/>
    <w:rsid w:val="00425A9E"/>
    <w:rsid w:val="00426D6B"/>
    <w:rsid w:val="00431E6C"/>
    <w:rsid w:val="00433CE7"/>
    <w:rsid w:val="0043429F"/>
    <w:rsid w:val="00436A6C"/>
    <w:rsid w:val="00440F87"/>
    <w:rsid w:val="00452738"/>
    <w:rsid w:val="00456091"/>
    <w:rsid w:val="00457414"/>
    <w:rsid w:val="00466321"/>
    <w:rsid w:val="00466517"/>
    <w:rsid w:val="00484B9B"/>
    <w:rsid w:val="004855F6"/>
    <w:rsid w:val="0048661E"/>
    <w:rsid w:val="004871BE"/>
    <w:rsid w:val="00494670"/>
    <w:rsid w:val="004A3823"/>
    <w:rsid w:val="004C59C6"/>
    <w:rsid w:val="004C7307"/>
    <w:rsid w:val="004C75AA"/>
    <w:rsid w:val="004D52A5"/>
    <w:rsid w:val="004E5932"/>
    <w:rsid w:val="004E6946"/>
    <w:rsid w:val="004F1AD8"/>
    <w:rsid w:val="005039CB"/>
    <w:rsid w:val="0050558F"/>
    <w:rsid w:val="00506286"/>
    <w:rsid w:val="005070CC"/>
    <w:rsid w:val="00510813"/>
    <w:rsid w:val="00511990"/>
    <w:rsid w:val="00511DE0"/>
    <w:rsid w:val="00514870"/>
    <w:rsid w:val="00514B9B"/>
    <w:rsid w:val="00517F02"/>
    <w:rsid w:val="005221E6"/>
    <w:rsid w:val="00524303"/>
    <w:rsid w:val="005258A2"/>
    <w:rsid w:val="00526F25"/>
    <w:rsid w:val="005274F3"/>
    <w:rsid w:val="005401AE"/>
    <w:rsid w:val="00540A63"/>
    <w:rsid w:val="00542E07"/>
    <w:rsid w:val="00545424"/>
    <w:rsid w:val="005517E3"/>
    <w:rsid w:val="00554A7B"/>
    <w:rsid w:val="00554D85"/>
    <w:rsid w:val="0055572C"/>
    <w:rsid w:val="0056106A"/>
    <w:rsid w:val="005720AE"/>
    <w:rsid w:val="005738AA"/>
    <w:rsid w:val="00574B08"/>
    <w:rsid w:val="00574C88"/>
    <w:rsid w:val="005815EC"/>
    <w:rsid w:val="00587FBE"/>
    <w:rsid w:val="00594D77"/>
    <w:rsid w:val="005969E4"/>
    <w:rsid w:val="005A06B7"/>
    <w:rsid w:val="005A1759"/>
    <w:rsid w:val="005A68A7"/>
    <w:rsid w:val="005D2F3E"/>
    <w:rsid w:val="005D36AB"/>
    <w:rsid w:val="005E3B7D"/>
    <w:rsid w:val="006124AF"/>
    <w:rsid w:val="00612A76"/>
    <w:rsid w:val="006143D7"/>
    <w:rsid w:val="00617CC3"/>
    <w:rsid w:val="00621C27"/>
    <w:rsid w:val="00626A52"/>
    <w:rsid w:val="006377A6"/>
    <w:rsid w:val="00637A3D"/>
    <w:rsid w:val="006411EF"/>
    <w:rsid w:val="006425DF"/>
    <w:rsid w:val="006450D0"/>
    <w:rsid w:val="0064632F"/>
    <w:rsid w:val="006533BB"/>
    <w:rsid w:val="0065634C"/>
    <w:rsid w:val="006748B8"/>
    <w:rsid w:val="006775C3"/>
    <w:rsid w:val="00684DB1"/>
    <w:rsid w:val="0069290A"/>
    <w:rsid w:val="00695D3D"/>
    <w:rsid w:val="0069775A"/>
    <w:rsid w:val="00697813"/>
    <w:rsid w:val="006A3EE8"/>
    <w:rsid w:val="006A72BF"/>
    <w:rsid w:val="006B03F2"/>
    <w:rsid w:val="006B37DC"/>
    <w:rsid w:val="006B4F68"/>
    <w:rsid w:val="006C0592"/>
    <w:rsid w:val="006C272E"/>
    <w:rsid w:val="006C5479"/>
    <w:rsid w:val="006D13B5"/>
    <w:rsid w:val="006D79F1"/>
    <w:rsid w:val="006E12FF"/>
    <w:rsid w:val="006E607E"/>
    <w:rsid w:val="006E71B5"/>
    <w:rsid w:val="00706C5D"/>
    <w:rsid w:val="0073244F"/>
    <w:rsid w:val="00732922"/>
    <w:rsid w:val="00744CBD"/>
    <w:rsid w:val="0074737A"/>
    <w:rsid w:val="0075162E"/>
    <w:rsid w:val="00754034"/>
    <w:rsid w:val="00756556"/>
    <w:rsid w:val="007618C4"/>
    <w:rsid w:val="00767980"/>
    <w:rsid w:val="00770B19"/>
    <w:rsid w:val="0077463F"/>
    <w:rsid w:val="0077727E"/>
    <w:rsid w:val="00777E46"/>
    <w:rsid w:val="00780BD9"/>
    <w:rsid w:val="00782065"/>
    <w:rsid w:val="007823A4"/>
    <w:rsid w:val="007836EA"/>
    <w:rsid w:val="00784CDA"/>
    <w:rsid w:val="007906C4"/>
    <w:rsid w:val="007940EA"/>
    <w:rsid w:val="007967E8"/>
    <w:rsid w:val="007A1BC5"/>
    <w:rsid w:val="007A2170"/>
    <w:rsid w:val="007A22BF"/>
    <w:rsid w:val="007A3323"/>
    <w:rsid w:val="007B72B8"/>
    <w:rsid w:val="007B7A58"/>
    <w:rsid w:val="007C21B5"/>
    <w:rsid w:val="007C4C64"/>
    <w:rsid w:val="007E1279"/>
    <w:rsid w:val="007E4BD2"/>
    <w:rsid w:val="007E521D"/>
    <w:rsid w:val="007F60BF"/>
    <w:rsid w:val="007F7844"/>
    <w:rsid w:val="00801393"/>
    <w:rsid w:val="00802F88"/>
    <w:rsid w:val="008031ED"/>
    <w:rsid w:val="00812357"/>
    <w:rsid w:val="0081293E"/>
    <w:rsid w:val="00815184"/>
    <w:rsid w:val="00815465"/>
    <w:rsid w:val="00817E9A"/>
    <w:rsid w:val="008306BD"/>
    <w:rsid w:val="00831A80"/>
    <w:rsid w:val="00831F68"/>
    <w:rsid w:val="00833743"/>
    <w:rsid w:val="008340A4"/>
    <w:rsid w:val="00837B99"/>
    <w:rsid w:val="0087135F"/>
    <w:rsid w:val="00872D94"/>
    <w:rsid w:val="00880364"/>
    <w:rsid w:val="00891592"/>
    <w:rsid w:val="00891E9E"/>
    <w:rsid w:val="008A2F68"/>
    <w:rsid w:val="008A5D4E"/>
    <w:rsid w:val="008B0D0B"/>
    <w:rsid w:val="008B1E9B"/>
    <w:rsid w:val="008B3CEF"/>
    <w:rsid w:val="008B4FA6"/>
    <w:rsid w:val="008B5282"/>
    <w:rsid w:val="008B7C17"/>
    <w:rsid w:val="008C2D01"/>
    <w:rsid w:val="008C40E6"/>
    <w:rsid w:val="008D0F7A"/>
    <w:rsid w:val="008D68E4"/>
    <w:rsid w:val="008E0506"/>
    <w:rsid w:val="008E0CFF"/>
    <w:rsid w:val="008E5D6B"/>
    <w:rsid w:val="008E76F0"/>
    <w:rsid w:val="008F15FE"/>
    <w:rsid w:val="008F2D29"/>
    <w:rsid w:val="008F5187"/>
    <w:rsid w:val="008F52A4"/>
    <w:rsid w:val="008F60D8"/>
    <w:rsid w:val="00902727"/>
    <w:rsid w:val="0090312B"/>
    <w:rsid w:val="00916EDD"/>
    <w:rsid w:val="0091736D"/>
    <w:rsid w:val="00922C7A"/>
    <w:rsid w:val="0093037A"/>
    <w:rsid w:val="009307AB"/>
    <w:rsid w:val="00933225"/>
    <w:rsid w:val="009333AA"/>
    <w:rsid w:val="0094154D"/>
    <w:rsid w:val="0095155F"/>
    <w:rsid w:val="00954429"/>
    <w:rsid w:val="009563CE"/>
    <w:rsid w:val="009603C5"/>
    <w:rsid w:val="00964496"/>
    <w:rsid w:val="0097225E"/>
    <w:rsid w:val="009740BE"/>
    <w:rsid w:val="009748C3"/>
    <w:rsid w:val="00974B59"/>
    <w:rsid w:val="00976328"/>
    <w:rsid w:val="0097680D"/>
    <w:rsid w:val="00981A61"/>
    <w:rsid w:val="00982438"/>
    <w:rsid w:val="0098404C"/>
    <w:rsid w:val="00985283"/>
    <w:rsid w:val="009915B6"/>
    <w:rsid w:val="00995992"/>
    <w:rsid w:val="009A03E5"/>
    <w:rsid w:val="009A0F3B"/>
    <w:rsid w:val="009A1BB4"/>
    <w:rsid w:val="009A2628"/>
    <w:rsid w:val="009A3200"/>
    <w:rsid w:val="009A5E4A"/>
    <w:rsid w:val="009B0897"/>
    <w:rsid w:val="009B3610"/>
    <w:rsid w:val="009B7BD9"/>
    <w:rsid w:val="009C45D0"/>
    <w:rsid w:val="009C7DD5"/>
    <w:rsid w:val="009D6CAD"/>
    <w:rsid w:val="009E165B"/>
    <w:rsid w:val="009E227D"/>
    <w:rsid w:val="009E2FC5"/>
    <w:rsid w:val="009E5019"/>
    <w:rsid w:val="00A0225C"/>
    <w:rsid w:val="00A04F1B"/>
    <w:rsid w:val="00A0501B"/>
    <w:rsid w:val="00A13BEF"/>
    <w:rsid w:val="00A14947"/>
    <w:rsid w:val="00A32A83"/>
    <w:rsid w:val="00A33D6C"/>
    <w:rsid w:val="00A368DB"/>
    <w:rsid w:val="00A423AA"/>
    <w:rsid w:val="00A53EC6"/>
    <w:rsid w:val="00A55C0F"/>
    <w:rsid w:val="00A8713F"/>
    <w:rsid w:val="00A90BA1"/>
    <w:rsid w:val="00A9102A"/>
    <w:rsid w:val="00A93B4D"/>
    <w:rsid w:val="00A9696F"/>
    <w:rsid w:val="00A97A9A"/>
    <w:rsid w:val="00AA0671"/>
    <w:rsid w:val="00AA2531"/>
    <w:rsid w:val="00AB1E09"/>
    <w:rsid w:val="00AB5330"/>
    <w:rsid w:val="00AB7747"/>
    <w:rsid w:val="00AC14CE"/>
    <w:rsid w:val="00AC2A56"/>
    <w:rsid w:val="00AD055E"/>
    <w:rsid w:val="00AD47A7"/>
    <w:rsid w:val="00AD67E5"/>
    <w:rsid w:val="00AE430A"/>
    <w:rsid w:val="00AF0CBF"/>
    <w:rsid w:val="00AF257F"/>
    <w:rsid w:val="00AF33CF"/>
    <w:rsid w:val="00AF4D50"/>
    <w:rsid w:val="00AF6179"/>
    <w:rsid w:val="00AF7668"/>
    <w:rsid w:val="00B0084D"/>
    <w:rsid w:val="00B03251"/>
    <w:rsid w:val="00B1295A"/>
    <w:rsid w:val="00B20A45"/>
    <w:rsid w:val="00B20BFF"/>
    <w:rsid w:val="00B22C5C"/>
    <w:rsid w:val="00B24F30"/>
    <w:rsid w:val="00B31ABF"/>
    <w:rsid w:val="00B33BE3"/>
    <w:rsid w:val="00B40A78"/>
    <w:rsid w:val="00B53B5D"/>
    <w:rsid w:val="00B6055E"/>
    <w:rsid w:val="00B6317D"/>
    <w:rsid w:val="00B63B24"/>
    <w:rsid w:val="00B666B5"/>
    <w:rsid w:val="00B72DF0"/>
    <w:rsid w:val="00B7723F"/>
    <w:rsid w:val="00B80534"/>
    <w:rsid w:val="00B8433C"/>
    <w:rsid w:val="00B87491"/>
    <w:rsid w:val="00B95CDD"/>
    <w:rsid w:val="00B96DC6"/>
    <w:rsid w:val="00BA29E9"/>
    <w:rsid w:val="00BA7142"/>
    <w:rsid w:val="00BB237C"/>
    <w:rsid w:val="00BB41A3"/>
    <w:rsid w:val="00BC32DC"/>
    <w:rsid w:val="00BC35B6"/>
    <w:rsid w:val="00BD0358"/>
    <w:rsid w:val="00BD1B51"/>
    <w:rsid w:val="00BD4596"/>
    <w:rsid w:val="00BE1405"/>
    <w:rsid w:val="00BE312D"/>
    <w:rsid w:val="00BF1C20"/>
    <w:rsid w:val="00BF70C6"/>
    <w:rsid w:val="00C000B8"/>
    <w:rsid w:val="00C023F2"/>
    <w:rsid w:val="00C10578"/>
    <w:rsid w:val="00C135BC"/>
    <w:rsid w:val="00C15C95"/>
    <w:rsid w:val="00C23B7F"/>
    <w:rsid w:val="00C2596A"/>
    <w:rsid w:val="00C27537"/>
    <w:rsid w:val="00C328FE"/>
    <w:rsid w:val="00C33507"/>
    <w:rsid w:val="00C3481A"/>
    <w:rsid w:val="00C359EC"/>
    <w:rsid w:val="00C4409D"/>
    <w:rsid w:val="00C44E72"/>
    <w:rsid w:val="00C45A06"/>
    <w:rsid w:val="00C47E5B"/>
    <w:rsid w:val="00C61E4B"/>
    <w:rsid w:val="00C64BFF"/>
    <w:rsid w:val="00C67E82"/>
    <w:rsid w:val="00C704E9"/>
    <w:rsid w:val="00C72D75"/>
    <w:rsid w:val="00C763C9"/>
    <w:rsid w:val="00C80057"/>
    <w:rsid w:val="00C82232"/>
    <w:rsid w:val="00C82913"/>
    <w:rsid w:val="00C926E7"/>
    <w:rsid w:val="00C972B1"/>
    <w:rsid w:val="00CA2CCE"/>
    <w:rsid w:val="00CA30D7"/>
    <w:rsid w:val="00CA43FD"/>
    <w:rsid w:val="00CA6CA8"/>
    <w:rsid w:val="00CA7EF8"/>
    <w:rsid w:val="00CB5143"/>
    <w:rsid w:val="00CB5C73"/>
    <w:rsid w:val="00CC30EA"/>
    <w:rsid w:val="00CC489B"/>
    <w:rsid w:val="00CD24E2"/>
    <w:rsid w:val="00CD2BCD"/>
    <w:rsid w:val="00CD2BD9"/>
    <w:rsid w:val="00CD3A4C"/>
    <w:rsid w:val="00CD74B2"/>
    <w:rsid w:val="00CE10E9"/>
    <w:rsid w:val="00CE2910"/>
    <w:rsid w:val="00CE3E3D"/>
    <w:rsid w:val="00CE5393"/>
    <w:rsid w:val="00CF36BE"/>
    <w:rsid w:val="00CF6000"/>
    <w:rsid w:val="00D003F3"/>
    <w:rsid w:val="00D0364F"/>
    <w:rsid w:val="00D06834"/>
    <w:rsid w:val="00D1247C"/>
    <w:rsid w:val="00D261E5"/>
    <w:rsid w:val="00D308ED"/>
    <w:rsid w:val="00D36445"/>
    <w:rsid w:val="00D36D86"/>
    <w:rsid w:val="00D428AA"/>
    <w:rsid w:val="00D50A34"/>
    <w:rsid w:val="00D53EFA"/>
    <w:rsid w:val="00D74F5B"/>
    <w:rsid w:val="00D91747"/>
    <w:rsid w:val="00D94A7C"/>
    <w:rsid w:val="00D95896"/>
    <w:rsid w:val="00DA0119"/>
    <w:rsid w:val="00DA193E"/>
    <w:rsid w:val="00DB2983"/>
    <w:rsid w:val="00DC1257"/>
    <w:rsid w:val="00DC3DC0"/>
    <w:rsid w:val="00DC5B2B"/>
    <w:rsid w:val="00DD318D"/>
    <w:rsid w:val="00DE4A59"/>
    <w:rsid w:val="00DF0B33"/>
    <w:rsid w:val="00DF2E12"/>
    <w:rsid w:val="00DF514A"/>
    <w:rsid w:val="00DF6690"/>
    <w:rsid w:val="00DF6804"/>
    <w:rsid w:val="00E0358D"/>
    <w:rsid w:val="00E04323"/>
    <w:rsid w:val="00E070A2"/>
    <w:rsid w:val="00E07A42"/>
    <w:rsid w:val="00E215F9"/>
    <w:rsid w:val="00E2386D"/>
    <w:rsid w:val="00E2656A"/>
    <w:rsid w:val="00E30AF5"/>
    <w:rsid w:val="00E323F2"/>
    <w:rsid w:val="00E40880"/>
    <w:rsid w:val="00E412D0"/>
    <w:rsid w:val="00E455DB"/>
    <w:rsid w:val="00E474FF"/>
    <w:rsid w:val="00E56322"/>
    <w:rsid w:val="00E60982"/>
    <w:rsid w:val="00E62C62"/>
    <w:rsid w:val="00E654C1"/>
    <w:rsid w:val="00E65D97"/>
    <w:rsid w:val="00E72A5A"/>
    <w:rsid w:val="00E73354"/>
    <w:rsid w:val="00E80A73"/>
    <w:rsid w:val="00E9242D"/>
    <w:rsid w:val="00EA6DC5"/>
    <w:rsid w:val="00EB5255"/>
    <w:rsid w:val="00EB5C47"/>
    <w:rsid w:val="00EC72B1"/>
    <w:rsid w:val="00ED0639"/>
    <w:rsid w:val="00ED36F1"/>
    <w:rsid w:val="00EF4578"/>
    <w:rsid w:val="00EF4755"/>
    <w:rsid w:val="00EF7135"/>
    <w:rsid w:val="00F027DB"/>
    <w:rsid w:val="00F14A7A"/>
    <w:rsid w:val="00F201F9"/>
    <w:rsid w:val="00F22985"/>
    <w:rsid w:val="00F3383E"/>
    <w:rsid w:val="00F4274F"/>
    <w:rsid w:val="00F465A7"/>
    <w:rsid w:val="00F50B7C"/>
    <w:rsid w:val="00F550E6"/>
    <w:rsid w:val="00F60D54"/>
    <w:rsid w:val="00F655F6"/>
    <w:rsid w:val="00F72774"/>
    <w:rsid w:val="00F74345"/>
    <w:rsid w:val="00F752C2"/>
    <w:rsid w:val="00F80A0A"/>
    <w:rsid w:val="00F82B19"/>
    <w:rsid w:val="00F9212D"/>
    <w:rsid w:val="00F92B9B"/>
    <w:rsid w:val="00F965DA"/>
    <w:rsid w:val="00F97508"/>
    <w:rsid w:val="00FA406A"/>
    <w:rsid w:val="00FB1040"/>
    <w:rsid w:val="00FB1BE5"/>
    <w:rsid w:val="00FB242D"/>
    <w:rsid w:val="00FB503A"/>
    <w:rsid w:val="00FB516C"/>
    <w:rsid w:val="00FD0236"/>
    <w:rsid w:val="00FD18F4"/>
    <w:rsid w:val="00FD54DB"/>
    <w:rsid w:val="00FD619F"/>
    <w:rsid w:val="00FE63A3"/>
    <w:rsid w:val="00FF0883"/>
    <w:rsid w:val="00FF6667"/>
    <w:rsid w:val="00FF6FE4"/>
    <w:rsid w:val="00FF79DA"/>
    <w:rsid w:val="01030C3D"/>
    <w:rsid w:val="011B7B94"/>
    <w:rsid w:val="01290F7E"/>
    <w:rsid w:val="012969D3"/>
    <w:rsid w:val="01405C9B"/>
    <w:rsid w:val="01443F22"/>
    <w:rsid w:val="015D1E09"/>
    <w:rsid w:val="016D1592"/>
    <w:rsid w:val="0186792C"/>
    <w:rsid w:val="019A5378"/>
    <w:rsid w:val="01C276E2"/>
    <w:rsid w:val="022D308B"/>
    <w:rsid w:val="025916DC"/>
    <w:rsid w:val="02687B9D"/>
    <w:rsid w:val="02697903"/>
    <w:rsid w:val="028B04F2"/>
    <w:rsid w:val="029A778E"/>
    <w:rsid w:val="02B326EA"/>
    <w:rsid w:val="02BC7191"/>
    <w:rsid w:val="02E4100B"/>
    <w:rsid w:val="02ED592F"/>
    <w:rsid w:val="02F96569"/>
    <w:rsid w:val="03045209"/>
    <w:rsid w:val="03367AB9"/>
    <w:rsid w:val="03411FB9"/>
    <w:rsid w:val="0359691D"/>
    <w:rsid w:val="038A6646"/>
    <w:rsid w:val="0394380C"/>
    <w:rsid w:val="03BF7315"/>
    <w:rsid w:val="03C3213A"/>
    <w:rsid w:val="03EA7B21"/>
    <w:rsid w:val="040937F8"/>
    <w:rsid w:val="04293EB0"/>
    <w:rsid w:val="047862E7"/>
    <w:rsid w:val="047C6C0C"/>
    <w:rsid w:val="04F25C61"/>
    <w:rsid w:val="0523561D"/>
    <w:rsid w:val="058B39C0"/>
    <w:rsid w:val="05C309B9"/>
    <w:rsid w:val="05F83EAE"/>
    <w:rsid w:val="05FC3CA6"/>
    <w:rsid w:val="06076152"/>
    <w:rsid w:val="062368E4"/>
    <w:rsid w:val="063750FC"/>
    <w:rsid w:val="063E72B8"/>
    <w:rsid w:val="063E7D85"/>
    <w:rsid w:val="064C75F3"/>
    <w:rsid w:val="067C1268"/>
    <w:rsid w:val="067D0E2A"/>
    <w:rsid w:val="0684131E"/>
    <w:rsid w:val="06AC15A2"/>
    <w:rsid w:val="06F94A29"/>
    <w:rsid w:val="0709669C"/>
    <w:rsid w:val="07252176"/>
    <w:rsid w:val="07260D52"/>
    <w:rsid w:val="07293586"/>
    <w:rsid w:val="07295285"/>
    <w:rsid w:val="07373D51"/>
    <w:rsid w:val="073C64AA"/>
    <w:rsid w:val="073F013D"/>
    <w:rsid w:val="07636392"/>
    <w:rsid w:val="07770C56"/>
    <w:rsid w:val="07842AF5"/>
    <w:rsid w:val="07987934"/>
    <w:rsid w:val="07AA0EFE"/>
    <w:rsid w:val="07C367CC"/>
    <w:rsid w:val="07E44808"/>
    <w:rsid w:val="081710BE"/>
    <w:rsid w:val="08174FD3"/>
    <w:rsid w:val="083A4448"/>
    <w:rsid w:val="08510EF1"/>
    <w:rsid w:val="08517143"/>
    <w:rsid w:val="087B249C"/>
    <w:rsid w:val="087D3409"/>
    <w:rsid w:val="08D04C36"/>
    <w:rsid w:val="08D929AE"/>
    <w:rsid w:val="091D1E92"/>
    <w:rsid w:val="09210574"/>
    <w:rsid w:val="092217DD"/>
    <w:rsid w:val="0932657D"/>
    <w:rsid w:val="093A7294"/>
    <w:rsid w:val="094E7FFF"/>
    <w:rsid w:val="09D24493"/>
    <w:rsid w:val="09D354B8"/>
    <w:rsid w:val="0A00672A"/>
    <w:rsid w:val="0A214C42"/>
    <w:rsid w:val="0A263993"/>
    <w:rsid w:val="0A2D3AC2"/>
    <w:rsid w:val="0A424927"/>
    <w:rsid w:val="0A434157"/>
    <w:rsid w:val="0A493859"/>
    <w:rsid w:val="0A973124"/>
    <w:rsid w:val="0AA755DF"/>
    <w:rsid w:val="0AAA6AA0"/>
    <w:rsid w:val="0AAE0116"/>
    <w:rsid w:val="0AB40179"/>
    <w:rsid w:val="0AEC4F01"/>
    <w:rsid w:val="0B120D44"/>
    <w:rsid w:val="0B203064"/>
    <w:rsid w:val="0B416FFB"/>
    <w:rsid w:val="0B7B0F8D"/>
    <w:rsid w:val="0B830AFC"/>
    <w:rsid w:val="0BAD34E7"/>
    <w:rsid w:val="0BB579E9"/>
    <w:rsid w:val="0BC22E7E"/>
    <w:rsid w:val="0BCB7611"/>
    <w:rsid w:val="0BD27BF6"/>
    <w:rsid w:val="0BFE129A"/>
    <w:rsid w:val="0C2D3229"/>
    <w:rsid w:val="0C3B3C7D"/>
    <w:rsid w:val="0C5C6D2D"/>
    <w:rsid w:val="0C631CB9"/>
    <w:rsid w:val="0C8129F5"/>
    <w:rsid w:val="0C9B5535"/>
    <w:rsid w:val="0CA62094"/>
    <w:rsid w:val="0CAB2EAE"/>
    <w:rsid w:val="0CB161C6"/>
    <w:rsid w:val="0CD93DE3"/>
    <w:rsid w:val="0D16119C"/>
    <w:rsid w:val="0D1F511A"/>
    <w:rsid w:val="0D4817DF"/>
    <w:rsid w:val="0D621C7D"/>
    <w:rsid w:val="0D8038A1"/>
    <w:rsid w:val="0D8A22F8"/>
    <w:rsid w:val="0D936719"/>
    <w:rsid w:val="0D976A12"/>
    <w:rsid w:val="0DA10614"/>
    <w:rsid w:val="0DCC4F3E"/>
    <w:rsid w:val="0DD31359"/>
    <w:rsid w:val="0E101903"/>
    <w:rsid w:val="0E73034D"/>
    <w:rsid w:val="0E991E55"/>
    <w:rsid w:val="0EAF071F"/>
    <w:rsid w:val="0F13775A"/>
    <w:rsid w:val="0F506A8A"/>
    <w:rsid w:val="0F5F45FE"/>
    <w:rsid w:val="0F7B4AA5"/>
    <w:rsid w:val="0F8709E4"/>
    <w:rsid w:val="0F9A112B"/>
    <w:rsid w:val="0FD21A04"/>
    <w:rsid w:val="0FDF5FCD"/>
    <w:rsid w:val="1048370F"/>
    <w:rsid w:val="105618AA"/>
    <w:rsid w:val="105968C8"/>
    <w:rsid w:val="10620E30"/>
    <w:rsid w:val="106D2F64"/>
    <w:rsid w:val="10B63710"/>
    <w:rsid w:val="10CB6FE2"/>
    <w:rsid w:val="10E029F5"/>
    <w:rsid w:val="10F10820"/>
    <w:rsid w:val="10FC76A3"/>
    <w:rsid w:val="111C2F7A"/>
    <w:rsid w:val="11321BA7"/>
    <w:rsid w:val="11665CA1"/>
    <w:rsid w:val="118E2188"/>
    <w:rsid w:val="11F0177A"/>
    <w:rsid w:val="12022184"/>
    <w:rsid w:val="12031855"/>
    <w:rsid w:val="123368BB"/>
    <w:rsid w:val="126006FF"/>
    <w:rsid w:val="127952CC"/>
    <w:rsid w:val="128B7B75"/>
    <w:rsid w:val="1296150D"/>
    <w:rsid w:val="129A2F5A"/>
    <w:rsid w:val="12C34EA2"/>
    <w:rsid w:val="13234267"/>
    <w:rsid w:val="13951726"/>
    <w:rsid w:val="13AC16D1"/>
    <w:rsid w:val="13C72FFB"/>
    <w:rsid w:val="14191E0F"/>
    <w:rsid w:val="14396509"/>
    <w:rsid w:val="14792D07"/>
    <w:rsid w:val="14A00F4F"/>
    <w:rsid w:val="14DD2C3C"/>
    <w:rsid w:val="14DF69A7"/>
    <w:rsid w:val="14ED6C21"/>
    <w:rsid w:val="15330216"/>
    <w:rsid w:val="155F0CA6"/>
    <w:rsid w:val="15625995"/>
    <w:rsid w:val="15AB6535"/>
    <w:rsid w:val="15EA028F"/>
    <w:rsid w:val="16087E1D"/>
    <w:rsid w:val="1626393E"/>
    <w:rsid w:val="162F6542"/>
    <w:rsid w:val="1637344D"/>
    <w:rsid w:val="16610551"/>
    <w:rsid w:val="16692514"/>
    <w:rsid w:val="16810597"/>
    <w:rsid w:val="16953140"/>
    <w:rsid w:val="169B15E8"/>
    <w:rsid w:val="16AF7ABB"/>
    <w:rsid w:val="17137A80"/>
    <w:rsid w:val="173F6EDD"/>
    <w:rsid w:val="175835F5"/>
    <w:rsid w:val="17593411"/>
    <w:rsid w:val="17701D14"/>
    <w:rsid w:val="17735226"/>
    <w:rsid w:val="177B521D"/>
    <w:rsid w:val="17DC4E40"/>
    <w:rsid w:val="182D6233"/>
    <w:rsid w:val="185A6B87"/>
    <w:rsid w:val="18753D95"/>
    <w:rsid w:val="188E7328"/>
    <w:rsid w:val="189F624C"/>
    <w:rsid w:val="18B312F3"/>
    <w:rsid w:val="19D76D4F"/>
    <w:rsid w:val="19FC784D"/>
    <w:rsid w:val="1A1C66C0"/>
    <w:rsid w:val="1A42393B"/>
    <w:rsid w:val="1AAD45DE"/>
    <w:rsid w:val="1AF869F7"/>
    <w:rsid w:val="1B046F80"/>
    <w:rsid w:val="1B3267B5"/>
    <w:rsid w:val="1B334486"/>
    <w:rsid w:val="1B40161D"/>
    <w:rsid w:val="1B41638F"/>
    <w:rsid w:val="1B441859"/>
    <w:rsid w:val="1B4574BC"/>
    <w:rsid w:val="1B473632"/>
    <w:rsid w:val="1B6606B1"/>
    <w:rsid w:val="1B817A42"/>
    <w:rsid w:val="1BE457F1"/>
    <w:rsid w:val="1BFC6CDB"/>
    <w:rsid w:val="1C3D6D0E"/>
    <w:rsid w:val="1C5E7925"/>
    <w:rsid w:val="1C642460"/>
    <w:rsid w:val="1C771E10"/>
    <w:rsid w:val="1CA266AD"/>
    <w:rsid w:val="1CFA525B"/>
    <w:rsid w:val="1CFD070F"/>
    <w:rsid w:val="1CFE7129"/>
    <w:rsid w:val="1D4606C7"/>
    <w:rsid w:val="1D4D3C33"/>
    <w:rsid w:val="1D5F6196"/>
    <w:rsid w:val="1D6132A5"/>
    <w:rsid w:val="1D65301C"/>
    <w:rsid w:val="1D7D5E4D"/>
    <w:rsid w:val="1D8E56D5"/>
    <w:rsid w:val="1E1D0B36"/>
    <w:rsid w:val="1E575C26"/>
    <w:rsid w:val="1E5D5973"/>
    <w:rsid w:val="1E740095"/>
    <w:rsid w:val="1E7A43DA"/>
    <w:rsid w:val="1E83032F"/>
    <w:rsid w:val="1F2B7A3E"/>
    <w:rsid w:val="1FBF2E8A"/>
    <w:rsid w:val="1FE7539E"/>
    <w:rsid w:val="201E2D4E"/>
    <w:rsid w:val="2039362C"/>
    <w:rsid w:val="20671BE0"/>
    <w:rsid w:val="20793DA3"/>
    <w:rsid w:val="20963CB8"/>
    <w:rsid w:val="20A81A1B"/>
    <w:rsid w:val="20B07FB6"/>
    <w:rsid w:val="20B646FB"/>
    <w:rsid w:val="20EE3329"/>
    <w:rsid w:val="20F943E4"/>
    <w:rsid w:val="213B74B1"/>
    <w:rsid w:val="215A2310"/>
    <w:rsid w:val="216037F1"/>
    <w:rsid w:val="216B1FC4"/>
    <w:rsid w:val="21774810"/>
    <w:rsid w:val="21C0222D"/>
    <w:rsid w:val="21D16332"/>
    <w:rsid w:val="21D36529"/>
    <w:rsid w:val="21DE318A"/>
    <w:rsid w:val="21EF5B80"/>
    <w:rsid w:val="22451B7A"/>
    <w:rsid w:val="22576990"/>
    <w:rsid w:val="2280454F"/>
    <w:rsid w:val="22812138"/>
    <w:rsid w:val="228E3B3C"/>
    <w:rsid w:val="22D844EF"/>
    <w:rsid w:val="22EB4F15"/>
    <w:rsid w:val="22EE0337"/>
    <w:rsid w:val="22F179E7"/>
    <w:rsid w:val="22F47480"/>
    <w:rsid w:val="231A47C9"/>
    <w:rsid w:val="231C1D7F"/>
    <w:rsid w:val="236142AD"/>
    <w:rsid w:val="238F2801"/>
    <w:rsid w:val="23B819CC"/>
    <w:rsid w:val="23DE1C48"/>
    <w:rsid w:val="23E61BA7"/>
    <w:rsid w:val="23E72134"/>
    <w:rsid w:val="23FA337F"/>
    <w:rsid w:val="240210CD"/>
    <w:rsid w:val="240426E0"/>
    <w:rsid w:val="242D387D"/>
    <w:rsid w:val="24530DC6"/>
    <w:rsid w:val="246616EE"/>
    <w:rsid w:val="247B6D8A"/>
    <w:rsid w:val="24BF09F7"/>
    <w:rsid w:val="24E13962"/>
    <w:rsid w:val="24F87C82"/>
    <w:rsid w:val="251B0988"/>
    <w:rsid w:val="252D53FE"/>
    <w:rsid w:val="25407ECB"/>
    <w:rsid w:val="25555277"/>
    <w:rsid w:val="2560009D"/>
    <w:rsid w:val="25845680"/>
    <w:rsid w:val="25E81551"/>
    <w:rsid w:val="25EC2D81"/>
    <w:rsid w:val="25F413E1"/>
    <w:rsid w:val="25F41CB5"/>
    <w:rsid w:val="25FD4BAA"/>
    <w:rsid w:val="26033731"/>
    <w:rsid w:val="261541FD"/>
    <w:rsid w:val="26163AF8"/>
    <w:rsid w:val="26CD16D3"/>
    <w:rsid w:val="26D20152"/>
    <w:rsid w:val="27343A60"/>
    <w:rsid w:val="2753338B"/>
    <w:rsid w:val="277057A2"/>
    <w:rsid w:val="27863A8C"/>
    <w:rsid w:val="279F130F"/>
    <w:rsid w:val="27C653F8"/>
    <w:rsid w:val="27DD3406"/>
    <w:rsid w:val="27F54BA9"/>
    <w:rsid w:val="28282FDB"/>
    <w:rsid w:val="282E7E0F"/>
    <w:rsid w:val="28310A64"/>
    <w:rsid w:val="284E28FF"/>
    <w:rsid w:val="285B5708"/>
    <w:rsid w:val="289D2BF5"/>
    <w:rsid w:val="28CC126D"/>
    <w:rsid w:val="28DB24EC"/>
    <w:rsid w:val="29206EB8"/>
    <w:rsid w:val="294A57BC"/>
    <w:rsid w:val="29595666"/>
    <w:rsid w:val="297D3635"/>
    <w:rsid w:val="298246DE"/>
    <w:rsid w:val="29874881"/>
    <w:rsid w:val="29B35025"/>
    <w:rsid w:val="29DA269C"/>
    <w:rsid w:val="29DF6D31"/>
    <w:rsid w:val="29E325E0"/>
    <w:rsid w:val="29E952D0"/>
    <w:rsid w:val="29FD638B"/>
    <w:rsid w:val="2A452503"/>
    <w:rsid w:val="2A4C149E"/>
    <w:rsid w:val="2AB8593F"/>
    <w:rsid w:val="2ACF4C0D"/>
    <w:rsid w:val="2B07100E"/>
    <w:rsid w:val="2B17525A"/>
    <w:rsid w:val="2B275DB5"/>
    <w:rsid w:val="2B2B6F28"/>
    <w:rsid w:val="2B71273A"/>
    <w:rsid w:val="2B9159BD"/>
    <w:rsid w:val="2BA936A8"/>
    <w:rsid w:val="2BB220E8"/>
    <w:rsid w:val="2BB86A0D"/>
    <w:rsid w:val="2BCD4808"/>
    <w:rsid w:val="2BED5EEE"/>
    <w:rsid w:val="2BF4231C"/>
    <w:rsid w:val="2C315A5A"/>
    <w:rsid w:val="2C4642B8"/>
    <w:rsid w:val="2C4B1C25"/>
    <w:rsid w:val="2C7A3CC3"/>
    <w:rsid w:val="2CED74EF"/>
    <w:rsid w:val="2D224C6B"/>
    <w:rsid w:val="2D644DA3"/>
    <w:rsid w:val="2D74105A"/>
    <w:rsid w:val="2D7E1E10"/>
    <w:rsid w:val="2D9E56F5"/>
    <w:rsid w:val="2DBC06BD"/>
    <w:rsid w:val="2DBD78B6"/>
    <w:rsid w:val="2E20326E"/>
    <w:rsid w:val="2E497F73"/>
    <w:rsid w:val="2E4B52BB"/>
    <w:rsid w:val="2E667F96"/>
    <w:rsid w:val="2E8226AB"/>
    <w:rsid w:val="2ECD09DF"/>
    <w:rsid w:val="2F3778B6"/>
    <w:rsid w:val="2F432A92"/>
    <w:rsid w:val="2F82598C"/>
    <w:rsid w:val="2FAD4289"/>
    <w:rsid w:val="2FBA37C3"/>
    <w:rsid w:val="2FD065E6"/>
    <w:rsid w:val="2FD45DE0"/>
    <w:rsid w:val="2FD96870"/>
    <w:rsid w:val="2FE16BDD"/>
    <w:rsid w:val="2FF4329E"/>
    <w:rsid w:val="300E356C"/>
    <w:rsid w:val="3034687E"/>
    <w:rsid w:val="303B6235"/>
    <w:rsid w:val="3051655C"/>
    <w:rsid w:val="30580BC9"/>
    <w:rsid w:val="30913879"/>
    <w:rsid w:val="30BE5874"/>
    <w:rsid w:val="30EB3665"/>
    <w:rsid w:val="30F15566"/>
    <w:rsid w:val="311E2ED7"/>
    <w:rsid w:val="314A51EB"/>
    <w:rsid w:val="315619EE"/>
    <w:rsid w:val="315B6409"/>
    <w:rsid w:val="315C449C"/>
    <w:rsid w:val="31691C51"/>
    <w:rsid w:val="317B5EB7"/>
    <w:rsid w:val="31891289"/>
    <w:rsid w:val="31B476AD"/>
    <w:rsid w:val="31B82709"/>
    <w:rsid w:val="31BF5037"/>
    <w:rsid w:val="31C50AF5"/>
    <w:rsid w:val="31D05482"/>
    <w:rsid w:val="31F808C8"/>
    <w:rsid w:val="320649B6"/>
    <w:rsid w:val="32085A04"/>
    <w:rsid w:val="322821F1"/>
    <w:rsid w:val="32400B34"/>
    <w:rsid w:val="32404D17"/>
    <w:rsid w:val="32406C85"/>
    <w:rsid w:val="32834632"/>
    <w:rsid w:val="32840A28"/>
    <w:rsid w:val="32851723"/>
    <w:rsid w:val="329E6876"/>
    <w:rsid w:val="32F475D7"/>
    <w:rsid w:val="333015F2"/>
    <w:rsid w:val="334B6320"/>
    <w:rsid w:val="3355004F"/>
    <w:rsid w:val="33880B79"/>
    <w:rsid w:val="339870FB"/>
    <w:rsid w:val="33997C02"/>
    <w:rsid w:val="33D55B1C"/>
    <w:rsid w:val="33D934D4"/>
    <w:rsid w:val="33FE2F6A"/>
    <w:rsid w:val="34010999"/>
    <w:rsid w:val="3406258F"/>
    <w:rsid w:val="340E07E5"/>
    <w:rsid w:val="340F3C74"/>
    <w:rsid w:val="341D1DC0"/>
    <w:rsid w:val="34235BF7"/>
    <w:rsid w:val="346E6803"/>
    <w:rsid w:val="348A41FF"/>
    <w:rsid w:val="34BB6DDE"/>
    <w:rsid w:val="34D94F2C"/>
    <w:rsid w:val="34F76D28"/>
    <w:rsid w:val="34FF3509"/>
    <w:rsid w:val="358C5FA8"/>
    <w:rsid w:val="35A87AF3"/>
    <w:rsid w:val="35B84103"/>
    <w:rsid w:val="35C007AA"/>
    <w:rsid w:val="35C15DF1"/>
    <w:rsid w:val="35C57C5F"/>
    <w:rsid w:val="35E87EEF"/>
    <w:rsid w:val="35F60AB4"/>
    <w:rsid w:val="36074A7F"/>
    <w:rsid w:val="36203B2D"/>
    <w:rsid w:val="364610BA"/>
    <w:rsid w:val="36614707"/>
    <w:rsid w:val="36923549"/>
    <w:rsid w:val="36B75FBF"/>
    <w:rsid w:val="36BD0C45"/>
    <w:rsid w:val="36BD71AC"/>
    <w:rsid w:val="36EF0520"/>
    <w:rsid w:val="36FC318B"/>
    <w:rsid w:val="37487ECD"/>
    <w:rsid w:val="37705357"/>
    <w:rsid w:val="37873377"/>
    <w:rsid w:val="37B8653C"/>
    <w:rsid w:val="37D20C10"/>
    <w:rsid w:val="37E00298"/>
    <w:rsid w:val="37EA43F2"/>
    <w:rsid w:val="38026E8B"/>
    <w:rsid w:val="380F076E"/>
    <w:rsid w:val="3827572A"/>
    <w:rsid w:val="38276DFB"/>
    <w:rsid w:val="38485CA4"/>
    <w:rsid w:val="389C0B0B"/>
    <w:rsid w:val="38A071A7"/>
    <w:rsid w:val="38B302F9"/>
    <w:rsid w:val="38C366D5"/>
    <w:rsid w:val="38DA0C9D"/>
    <w:rsid w:val="38ED1159"/>
    <w:rsid w:val="38F12CD3"/>
    <w:rsid w:val="38F94775"/>
    <w:rsid w:val="392971ED"/>
    <w:rsid w:val="39325651"/>
    <w:rsid w:val="39594C04"/>
    <w:rsid w:val="396640F2"/>
    <w:rsid w:val="39750C34"/>
    <w:rsid w:val="3975611A"/>
    <w:rsid w:val="39822409"/>
    <w:rsid w:val="39AD65CA"/>
    <w:rsid w:val="39E017EF"/>
    <w:rsid w:val="39E27588"/>
    <w:rsid w:val="3A1476F5"/>
    <w:rsid w:val="3A1B4AD9"/>
    <w:rsid w:val="3A8521B0"/>
    <w:rsid w:val="3A872856"/>
    <w:rsid w:val="3A927923"/>
    <w:rsid w:val="3A976388"/>
    <w:rsid w:val="3A9972F5"/>
    <w:rsid w:val="3AED319B"/>
    <w:rsid w:val="3B195CA1"/>
    <w:rsid w:val="3B1D4DDE"/>
    <w:rsid w:val="3B3763D1"/>
    <w:rsid w:val="3B3C17FE"/>
    <w:rsid w:val="3B470980"/>
    <w:rsid w:val="3B65343C"/>
    <w:rsid w:val="3B667CC7"/>
    <w:rsid w:val="3B7F30A4"/>
    <w:rsid w:val="3BAC0468"/>
    <w:rsid w:val="3BBC4409"/>
    <w:rsid w:val="3BBE25BE"/>
    <w:rsid w:val="3BC66F24"/>
    <w:rsid w:val="3BC80918"/>
    <w:rsid w:val="3C1732DC"/>
    <w:rsid w:val="3C26420D"/>
    <w:rsid w:val="3C2F6E1E"/>
    <w:rsid w:val="3C3F3DAD"/>
    <w:rsid w:val="3C4F64BA"/>
    <w:rsid w:val="3C64201C"/>
    <w:rsid w:val="3C6B65EC"/>
    <w:rsid w:val="3C913456"/>
    <w:rsid w:val="3CAD65E9"/>
    <w:rsid w:val="3CDA245A"/>
    <w:rsid w:val="3CF03B2D"/>
    <w:rsid w:val="3D065A58"/>
    <w:rsid w:val="3D1E06B7"/>
    <w:rsid w:val="3D714A2D"/>
    <w:rsid w:val="3D811AD9"/>
    <w:rsid w:val="3D8D7A02"/>
    <w:rsid w:val="3D91532C"/>
    <w:rsid w:val="3DA5282E"/>
    <w:rsid w:val="3DE31B87"/>
    <w:rsid w:val="3DF15216"/>
    <w:rsid w:val="3E2C6B78"/>
    <w:rsid w:val="3E4558CA"/>
    <w:rsid w:val="3E587C7A"/>
    <w:rsid w:val="3E666F81"/>
    <w:rsid w:val="3E832EAB"/>
    <w:rsid w:val="3EA43820"/>
    <w:rsid w:val="3EDA0523"/>
    <w:rsid w:val="3EDE28C9"/>
    <w:rsid w:val="3EF93CF5"/>
    <w:rsid w:val="3F142A05"/>
    <w:rsid w:val="3F6D027B"/>
    <w:rsid w:val="3FA20D9C"/>
    <w:rsid w:val="3FD50795"/>
    <w:rsid w:val="3FED670A"/>
    <w:rsid w:val="3FF11C02"/>
    <w:rsid w:val="400F705A"/>
    <w:rsid w:val="4036788B"/>
    <w:rsid w:val="40462E7B"/>
    <w:rsid w:val="407A6407"/>
    <w:rsid w:val="40864CE1"/>
    <w:rsid w:val="40891111"/>
    <w:rsid w:val="409A42F6"/>
    <w:rsid w:val="409F151A"/>
    <w:rsid w:val="40A20669"/>
    <w:rsid w:val="40AB39C3"/>
    <w:rsid w:val="40B5213B"/>
    <w:rsid w:val="40B87CB6"/>
    <w:rsid w:val="40C16AC1"/>
    <w:rsid w:val="4175043E"/>
    <w:rsid w:val="41AF1816"/>
    <w:rsid w:val="41CC1ADC"/>
    <w:rsid w:val="41D37CA5"/>
    <w:rsid w:val="41DF1118"/>
    <w:rsid w:val="41E94631"/>
    <w:rsid w:val="41FC227B"/>
    <w:rsid w:val="4200449D"/>
    <w:rsid w:val="42130DB8"/>
    <w:rsid w:val="42197F81"/>
    <w:rsid w:val="423A3BCC"/>
    <w:rsid w:val="424E57D2"/>
    <w:rsid w:val="42783ADD"/>
    <w:rsid w:val="42B26C49"/>
    <w:rsid w:val="42BF022A"/>
    <w:rsid w:val="42CA554C"/>
    <w:rsid w:val="42F661CB"/>
    <w:rsid w:val="430420E0"/>
    <w:rsid w:val="43140F4E"/>
    <w:rsid w:val="432D47AA"/>
    <w:rsid w:val="433A6FE6"/>
    <w:rsid w:val="43480868"/>
    <w:rsid w:val="434E3895"/>
    <w:rsid w:val="4350713C"/>
    <w:rsid w:val="43616478"/>
    <w:rsid w:val="436653E0"/>
    <w:rsid w:val="43717EBD"/>
    <w:rsid w:val="4382168F"/>
    <w:rsid w:val="43C338C5"/>
    <w:rsid w:val="43C4431A"/>
    <w:rsid w:val="43C776D4"/>
    <w:rsid w:val="43D648A2"/>
    <w:rsid w:val="43F949C1"/>
    <w:rsid w:val="440D210C"/>
    <w:rsid w:val="441330CB"/>
    <w:rsid w:val="443E32E0"/>
    <w:rsid w:val="4441719E"/>
    <w:rsid w:val="445D419E"/>
    <w:rsid w:val="445F3A8E"/>
    <w:rsid w:val="44680FDA"/>
    <w:rsid w:val="447B6144"/>
    <w:rsid w:val="44944236"/>
    <w:rsid w:val="44B4795E"/>
    <w:rsid w:val="44B951CC"/>
    <w:rsid w:val="44CD14E0"/>
    <w:rsid w:val="44E90C2C"/>
    <w:rsid w:val="44F20B0B"/>
    <w:rsid w:val="44F9008E"/>
    <w:rsid w:val="451A1FEA"/>
    <w:rsid w:val="452E5F4C"/>
    <w:rsid w:val="455952F4"/>
    <w:rsid w:val="45612018"/>
    <w:rsid w:val="45670046"/>
    <w:rsid w:val="458946E9"/>
    <w:rsid w:val="45A47C0E"/>
    <w:rsid w:val="46235FD4"/>
    <w:rsid w:val="46577FD6"/>
    <w:rsid w:val="4679616B"/>
    <w:rsid w:val="468620D3"/>
    <w:rsid w:val="46D955A7"/>
    <w:rsid w:val="46DF3CB6"/>
    <w:rsid w:val="47133957"/>
    <w:rsid w:val="47227A7A"/>
    <w:rsid w:val="472B377E"/>
    <w:rsid w:val="47305B9A"/>
    <w:rsid w:val="478657BA"/>
    <w:rsid w:val="47A07E0C"/>
    <w:rsid w:val="47AF7B8F"/>
    <w:rsid w:val="48671147"/>
    <w:rsid w:val="4870272E"/>
    <w:rsid w:val="48795E5D"/>
    <w:rsid w:val="487F17BC"/>
    <w:rsid w:val="48C6392C"/>
    <w:rsid w:val="48F30C2D"/>
    <w:rsid w:val="49034ABE"/>
    <w:rsid w:val="490A5549"/>
    <w:rsid w:val="492B0767"/>
    <w:rsid w:val="497A4930"/>
    <w:rsid w:val="49AD4C3D"/>
    <w:rsid w:val="49DC7715"/>
    <w:rsid w:val="49DF6AE6"/>
    <w:rsid w:val="49E862B8"/>
    <w:rsid w:val="49ED389F"/>
    <w:rsid w:val="4A023139"/>
    <w:rsid w:val="4A0C035E"/>
    <w:rsid w:val="4A3C5376"/>
    <w:rsid w:val="4A603E29"/>
    <w:rsid w:val="4A7B576F"/>
    <w:rsid w:val="4A9A4826"/>
    <w:rsid w:val="4AC21E54"/>
    <w:rsid w:val="4AC447B8"/>
    <w:rsid w:val="4AC46AC1"/>
    <w:rsid w:val="4AF22774"/>
    <w:rsid w:val="4AF5156C"/>
    <w:rsid w:val="4AF561A9"/>
    <w:rsid w:val="4B1E6306"/>
    <w:rsid w:val="4B37592E"/>
    <w:rsid w:val="4B6B5BD9"/>
    <w:rsid w:val="4C2D4658"/>
    <w:rsid w:val="4C4A0649"/>
    <w:rsid w:val="4C4F4556"/>
    <w:rsid w:val="4C631FAC"/>
    <w:rsid w:val="4C6A38FC"/>
    <w:rsid w:val="4C7E5ECA"/>
    <w:rsid w:val="4C876AA5"/>
    <w:rsid w:val="4CD14482"/>
    <w:rsid w:val="4D0E00FB"/>
    <w:rsid w:val="4D176606"/>
    <w:rsid w:val="4D5C5F70"/>
    <w:rsid w:val="4D611DEF"/>
    <w:rsid w:val="4D6A4686"/>
    <w:rsid w:val="4DA70238"/>
    <w:rsid w:val="4DCB7C70"/>
    <w:rsid w:val="4DDA2A9E"/>
    <w:rsid w:val="4DDA64EC"/>
    <w:rsid w:val="4DEC4FB0"/>
    <w:rsid w:val="4DF0086F"/>
    <w:rsid w:val="4E075D8A"/>
    <w:rsid w:val="4E444401"/>
    <w:rsid w:val="4E905911"/>
    <w:rsid w:val="4EC00FAD"/>
    <w:rsid w:val="4ED16898"/>
    <w:rsid w:val="4EEE046C"/>
    <w:rsid w:val="4EF0479F"/>
    <w:rsid w:val="4F0040A4"/>
    <w:rsid w:val="4F8D1DDB"/>
    <w:rsid w:val="4F9843DC"/>
    <w:rsid w:val="4F9A1BAC"/>
    <w:rsid w:val="4FC62A8C"/>
    <w:rsid w:val="4FCA1801"/>
    <w:rsid w:val="4FCE3CFA"/>
    <w:rsid w:val="4FE20F0D"/>
    <w:rsid w:val="4FE51552"/>
    <w:rsid w:val="501940E1"/>
    <w:rsid w:val="50504C4B"/>
    <w:rsid w:val="50881E80"/>
    <w:rsid w:val="509C6E7C"/>
    <w:rsid w:val="50D334A5"/>
    <w:rsid w:val="510C1123"/>
    <w:rsid w:val="51287EC4"/>
    <w:rsid w:val="5162104E"/>
    <w:rsid w:val="516A3C8E"/>
    <w:rsid w:val="51760F4A"/>
    <w:rsid w:val="51894824"/>
    <w:rsid w:val="518A76FD"/>
    <w:rsid w:val="51DD3111"/>
    <w:rsid w:val="522662FA"/>
    <w:rsid w:val="526E2766"/>
    <w:rsid w:val="52745CBE"/>
    <w:rsid w:val="529572F3"/>
    <w:rsid w:val="52AC1EB5"/>
    <w:rsid w:val="52BA2A6A"/>
    <w:rsid w:val="52C1754F"/>
    <w:rsid w:val="532F0EE1"/>
    <w:rsid w:val="53361DBD"/>
    <w:rsid w:val="533F0A29"/>
    <w:rsid w:val="53467A5F"/>
    <w:rsid w:val="53982AFD"/>
    <w:rsid w:val="53A039CC"/>
    <w:rsid w:val="53A1505A"/>
    <w:rsid w:val="53AA3208"/>
    <w:rsid w:val="54063E08"/>
    <w:rsid w:val="540C5AC0"/>
    <w:rsid w:val="54105F5C"/>
    <w:rsid w:val="54183C3E"/>
    <w:rsid w:val="543437E8"/>
    <w:rsid w:val="54387E3C"/>
    <w:rsid w:val="545934F5"/>
    <w:rsid w:val="546D2E9C"/>
    <w:rsid w:val="54984EB3"/>
    <w:rsid w:val="54C02CF4"/>
    <w:rsid w:val="54E40912"/>
    <w:rsid w:val="54F73313"/>
    <w:rsid w:val="54F80955"/>
    <w:rsid w:val="552A2F13"/>
    <w:rsid w:val="55434CEA"/>
    <w:rsid w:val="555170A7"/>
    <w:rsid w:val="557F7F39"/>
    <w:rsid w:val="5587536D"/>
    <w:rsid w:val="559B174B"/>
    <w:rsid w:val="55CE0CF4"/>
    <w:rsid w:val="55ED1388"/>
    <w:rsid w:val="566174C0"/>
    <w:rsid w:val="5689574D"/>
    <w:rsid w:val="56B22A9C"/>
    <w:rsid w:val="56C211E9"/>
    <w:rsid w:val="56FB1D20"/>
    <w:rsid w:val="57452F9B"/>
    <w:rsid w:val="577C20F8"/>
    <w:rsid w:val="57894B94"/>
    <w:rsid w:val="579B6D0A"/>
    <w:rsid w:val="57A05549"/>
    <w:rsid w:val="57A73307"/>
    <w:rsid w:val="57B72A76"/>
    <w:rsid w:val="57C33EC0"/>
    <w:rsid w:val="57C3426C"/>
    <w:rsid w:val="57C719A7"/>
    <w:rsid w:val="57CE1F93"/>
    <w:rsid w:val="580B1898"/>
    <w:rsid w:val="58157AE8"/>
    <w:rsid w:val="58226A23"/>
    <w:rsid w:val="585C75A1"/>
    <w:rsid w:val="588743D1"/>
    <w:rsid w:val="5887701A"/>
    <w:rsid w:val="589F66DB"/>
    <w:rsid w:val="58C10CA6"/>
    <w:rsid w:val="58D6458E"/>
    <w:rsid w:val="58F01A00"/>
    <w:rsid w:val="58F15747"/>
    <w:rsid w:val="58F90FA7"/>
    <w:rsid w:val="590E4DA8"/>
    <w:rsid w:val="59163274"/>
    <w:rsid w:val="593605A7"/>
    <w:rsid w:val="595533C9"/>
    <w:rsid w:val="59572542"/>
    <w:rsid w:val="59920F37"/>
    <w:rsid w:val="59C0439F"/>
    <w:rsid w:val="59ED7F51"/>
    <w:rsid w:val="5A1629CD"/>
    <w:rsid w:val="5A7C0740"/>
    <w:rsid w:val="5AAB1359"/>
    <w:rsid w:val="5ABE2233"/>
    <w:rsid w:val="5AF07E83"/>
    <w:rsid w:val="5B0A5143"/>
    <w:rsid w:val="5B0B62AA"/>
    <w:rsid w:val="5B11310A"/>
    <w:rsid w:val="5B353211"/>
    <w:rsid w:val="5B456FD5"/>
    <w:rsid w:val="5B735B62"/>
    <w:rsid w:val="5B7756EE"/>
    <w:rsid w:val="5B7C71A8"/>
    <w:rsid w:val="5B7D1277"/>
    <w:rsid w:val="5B835E40"/>
    <w:rsid w:val="5BD43B5A"/>
    <w:rsid w:val="5BDF5D95"/>
    <w:rsid w:val="5BF81B2D"/>
    <w:rsid w:val="5BFE7528"/>
    <w:rsid w:val="5C855107"/>
    <w:rsid w:val="5C99400A"/>
    <w:rsid w:val="5C9E4CC1"/>
    <w:rsid w:val="5CC9588B"/>
    <w:rsid w:val="5CD13CE2"/>
    <w:rsid w:val="5CDE116A"/>
    <w:rsid w:val="5DBE00FA"/>
    <w:rsid w:val="5E070FAB"/>
    <w:rsid w:val="5E2467F1"/>
    <w:rsid w:val="5E3D2C1E"/>
    <w:rsid w:val="5E6A6B08"/>
    <w:rsid w:val="5E6D21CC"/>
    <w:rsid w:val="5E850121"/>
    <w:rsid w:val="5EA30672"/>
    <w:rsid w:val="5EAA1489"/>
    <w:rsid w:val="5EB866E3"/>
    <w:rsid w:val="5ED34F2C"/>
    <w:rsid w:val="5EE46547"/>
    <w:rsid w:val="5F1A2B43"/>
    <w:rsid w:val="5F612966"/>
    <w:rsid w:val="5FA02679"/>
    <w:rsid w:val="5FAE11B4"/>
    <w:rsid w:val="5FB837BB"/>
    <w:rsid w:val="5FBD6654"/>
    <w:rsid w:val="5FD11F47"/>
    <w:rsid w:val="5FE61949"/>
    <w:rsid w:val="5FEA6617"/>
    <w:rsid w:val="5FEF1E03"/>
    <w:rsid w:val="5FFC2B66"/>
    <w:rsid w:val="6030412E"/>
    <w:rsid w:val="609D79A4"/>
    <w:rsid w:val="60B172E4"/>
    <w:rsid w:val="60CC405A"/>
    <w:rsid w:val="60D16016"/>
    <w:rsid w:val="60DB04F7"/>
    <w:rsid w:val="610929DB"/>
    <w:rsid w:val="61412A26"/>
    <w:rsid w:val="617D17A4"/>
    <w:rsid w:val="61D840E6"/>
    <w:rsid w:val="61DA41F3"/>
    <w:rsid w:val="61E215D8"/>
    <w:rsid w:val="621B3775"/>
    <w:rsid w:val="62364782"/>
    <w:rsid w:val="62784D0B"/>
    <w:rsid w:val="62B17737"/>
    <w:rsid w:val="62E144E7"/>
    <w:rsid w:val="632B645E"/>
    <w:rsid w:val="63391FAE"/>
    <w:rsid w:val="63502B32"/>
    <w:rsid w:val="6394356A"/>
    <w:rsid w:val="63965A59"/>
    <w:rsid w:val="63A44D5B"/>
    <w:rsid w:val="63A64C3B"/>
    <w:rsid w:val="63BE184E"/>
    <w:rsid w:val="63C243EA"/>
    <w:rsid w:val="63C30904"/>
    <w:rsid w:val="63C61B2C"/>
    <w:rsid w:val="63D40BE9"/>
    <w:rsid w:val="63F22EC9"/>
    <w:rsid w:val="64102431"/>
    <w:rsid w:val="643423CE"/>
    <w:rsid w:val="64432F0D"/>
    <w:rsid w:val="644D5289"/>
    <w:rsid w:val="646B1B68"/>
    <w:rsid w:val="647436DB"/>
    <w:rsid w:val="64986E00"/>
    <w:rsid w:val="64993BE5"/>
    <w:rsid w:val="64A5243A"/>
    <w:rsid w:val="64D36CC6"/>
    <w:rsid w:val="64D64E43"/>
    <w:rsid w:val="64E9193A"/>
    <w:rsid w:val="64F531DE"/>
    <w:rsid w:val="65035894"/>
    <w:rsid w:val="65047CB0"/>
    <w:rsid w:val="650A5824"/>
    <w:rsid w:val="6520507C"/>
    <w:rsid w:val="65230992"/>
    <w:rsid w:val="65373578"/>
    <w:rsid w:val="65A10C08"/>
    <w:rsid w:val="65AA1463"/>
    <w:rsid w:val="65C66601"/>
    <w:rsid w:val="660E4EA0"/>
    <w:rsid w:val="66665E29"/>
    <w:rsid w:val="66D006B2"/>
    <w:rsid w:val="66ED7F8D"/>
    <w:rsid w:val="66F27D4F"/>
    <w:rsid w:val="67197973"/>
    <w:rsid w:val="671F124A"/>
    <w:rsid w:val="67210C21"/>
    <w:rsid w:val="674E74A1"/>
    <w:rsid w:val="6764278C"/>
    <w:rsid w:val="67662826"/>
    <w:rsid w:val="677A33C6"/>
    <w:rsid w:val="6780592A"/>
    <w:rsid w:val="67836B62"/>
    <w:rsid w:val="678F06A9"/>
    <w:rsid w:val="679D02A1"/>
    <w:rsid w:val="67B92565"/>
    <w:rsid w:val="67D223E1"/>
    <w:rsid w:val="67FD64F3"/>
    <w:rsid w:val="68177DB2"/>
    <w:rsid w:val="681E342B"/>
    <w:rsid w:val="681F6961"/>
    <w:rsid w:val="68273FF7"/>
    <w:rsid w:val="683C4D53"/>
    <w:rsid w:val="684108A7"/>
    <w:rsid w:val="68610A2F"/>
    <w:rsid w:val="68805514"/>
    <w:rsid w:val="68A815DC"/>
    <w:rsid w:val="68D57715"/>
    <w:rsid w:val="691D1027"/>
    <w:rsid w:val="69316E2F"/>
    <w:rsid w:val="694E2071"/>
    <w:rsid w:val="694E5BAF"/>
    <w:rsid w:val="695546F0"/>
    <w:rsid w:val="695A0B28"/>
    <w:rsid w:val="69766163"/>
    <w:rsid w:val="697A3B33"/>
    <w:rsid w:val="69871138"/>
    <w:rsid w:val="69D31893"/>
    <w:rsid w:val="69D44760"/>
    <w:rsid w:val="6A153453"/>
    <w:rsid w:val="6A3F26B9"/>
    <w:rsid w:val="6A424DAF"/>
    <w:rsid w:val="6A520EC7"/>
    <w:rsid w:val="6A5A2333"/>
    <w:rsid w:val="6AF43053"/>
    <w:rsid w:val="6AF87E20"/>
    <w:rsid w:val="6B005B79"/>
    <w:rsid w:val="6B322639"/>
    <w:rsid w:val="6B364C7D"/>
    <w:rsid w:val="6B5E7836"/>
    <w:rsid w:val="6B975711"/>
    <w:rsid w:val="6BE24E05"/>
    <w:rsid w:val="6BFA7971"/>
    <w:rsid w:val="6C160282"/>
    <w:rsid w:val="6C167CDC"/>
    <w:rsid w:val="6C583B33"/>
    <w:rsid w:val="6C636C38"/>
    <w:rsid w:val="6C69261A"/>
    <w:rsid w:val="6C7070E5"/>
    <w:rsid w:val="6C8A23F8"/>
    <w:rsid w:val="6CD06A37"/>
    <w:rsid w:val="6CF77FB4"/>
    <w:rsid w:val="6D536D97"/>
    <w:rsid w:val="6D661180"/>
    <w:rsid w:val="6D6864B2"/>
    <w:rsid w:val="6DB34098"/>
    <w:rsid w:val="6DB545B6"/>
    <w:rsid w:val="6DE02FB4"/>
    <w:rsid w:val="6E0255B4"/>
    <w:rsid w:val="6E514CED"/>
    <w:rsid w:val="6E531C4A"/>
    <w:rsid w:val="6E5F6C62"/>
    <w:rsid w:val="6E9F481D"/>
    <w:rsid w:val="6EB563D5"/>
    <w:rsid w:val="6EB71EE1"/>
    <w:rsid w:val="6ED92677"/>
    <w:rsid w:val="6EF80CA9"/>
    <w:rsid w:val="6F225983"/>
    <w:rsid w:val="6F76338D"/>
    <w:rsid w:val="6F76603A"/>
    <w:rsid w:val="6F7829A4"/>
    <w:rsid w:val="6FAD3037"/>
    <w:rsid w:val="6FC46A30"/>
    <w:rsid w:val="6FFC5590"/>
    <w:rsid w:val="70005425"/>
    <w:rsid w:val="7004003F"/>
    <w:rsid w:val="70050E05"/>
    <w:rsid w:val="700A2BF8"/>
    <w:rsid w:val="70323D16"/>
    <w:rsid w:val="703C7DB3"/>
    <w:rsid w:val="706D1DD0"/>
    <w:rsid w:val="70856B87"/>
    <w:rsid w:val="708F4965"/>
    <w:rsid w:val="70C920F0"/>
    <w:rsid w:val="70CA7441"/>
    <w:rsid w:val="70D527EE"/>
    <w:rsid w:val="70E60EF4"/>
    <w:rsid w:val="715B5300"/>
    <w:rsid w:val="715B6630"/>
    <w:rsid w:val="716069A4"/>
    <w:rsid w:val="716F713B"/>
    <w:rsid w:val="71A2426A"/>
    <w:rsid w:val="71C1726B"/>
    <w:rsid w:val="71C33899"/>
    <w:rsid w:val="71C52476"/>
    <w:rsid w:val="71D27F8A"/>
    <w:rsid w:val="72553024"/>
    <w:rsid w:val="72785CFB"/>
    <w:rsid w:val="728D3B0A"/>
    <w:rsid w:val="72A400E2"/>
    <w:rsid w:val="72FF4856"/>
    <w:rsid w:val="730E5F22"/>
    <w:rsid w:val="73122968"/>
    <w:rsid w:val="731F5D5E"/>
    <w:rsid w:val="732B4921"/>
    <w:rsid w:val="736F3422"/>
    <w:rsid w:val="73B01345"/>
    <w:rsid w:val="73C16636"/>
    <w:rsid w:val="73C51AD5"/>
    <w:rsid w:val="741C5DA2"/>
    <w:rsid w:val="741E793C"/>
    <w:rsid w:val="744E52EF"/>
    <w:rsid w:val="745E3944"/>
    <w:rsid w:val="747800B5"/>
    <w:rsid w:val="748E2BE1"/>
    <w:rsid w:val="74C00FC6"/>
    <w:rsid w:val="74C756F8"/>
    <w:rsid w:val="74EC45FF"/>
    <w:rsid w:val="753F6E24"/>
    <w:rsid w:val="7556657B"/>
    <w:rsid w:val="759C6138"/>
    <w:rsid w:val="75BA53BB"/>
    <w:rsid w:val="75F13CF2"/>
    <w:rsid w:val="760D357C"/>
    <w:rsid w:val="761E5632"/>
    <w:rsid w:val="7635099D"/>
    <w:rsid w:val="76846542"/>
    <w:rsid w:val="76B178AE"/>
    <w:rsid w:val="76E61A55"/>
    <w:rsid w:val="76FE6A05"/>
    <w:rsid w:val="771547DB"/>
    <w:rsid w:val="77163BB5"/>
    <w:rsid w:val="77762421"/>
    <w:rsid w:val="778669EA"/>
    <w:rsid w:val="778923FF"/>
    <w:rsid w:val="77A65F72"/>
    <w:rsid w:val="77B56B1F"/>
    <w:rsid w:val="77CE58CF"/>
    <w:rsid w:val="77E75C40"/>
    <w:rsid w:val="77F263D0"/>
    <w:rsid w:val="78017187"/>
    <w:rsid w:val="78033ACE"/>
    <w:rsid w:val="780C3839"/>
    <w:rsid w:val="780F09F4"/>
    <w:rsid w:val="78146DC4"/>
    <w:rsid w:val="781E67A9"/>
    <w:rsid w:val="785E3A65"/>
    <w:rsid w:val="787768D5"/>
    <w:rsid w:val="788D39AD"/>
    <w:rsid w:val="788F7257"/>
    <w:rsid w:val="78A90480"/>
    <w:rsid w:val="78AB1FAD"/>
    <w:rsid w:val="78C768EC"/>
    <w:rsid w:val="78CD7D86"/>
    <w:rsid w:val="78F7685E"/>
    <w:rsid w:val="79297BCF"/>
    <w:rsid w:val="793F040F"/>
    <w:rsid w:val="794826DF"/>
    <w:rsid w:val="796A6861"/>
    <w:rsid w:val="797B4B81"/>
    <w:rsid w:val="79BE355E"/>
    <w:rsid w:val="7A0348C4"/>
    <w:rsid w:val="7A29339B"/>
    <w:rsid w:val="7A364017"/>
    <w:rsid w:val="7A5C080C"/>
    <w:rsid w:val="7A7A2FB4"/>
    <w:rsid w:val="7A8265E1"/>
    <w:rsid w:val="7A947EAE"/>
    <w:rsid w:val="7A9D0D0F"/>
    <w:rsid w:val="7AE31984"/>
    <w:rsid w:val="7AE83EA1"/>
    <w:rsid w:val="7B09415C"/>
    <w:rsid w:val="7B10480D"/>
    <w:rsid w:val="7B58479C"/>
    <w:rsid w:val="7B686D42"/>
    <w:rsid w:val="7B6E6A33"/>
    <w:rsid w:val="7B841746"/>
    <w:rsid w:val="7BA66F59"/>
    <w:rsid w:val="7BB354D3"/>
    <w:rsid w:val="7BB55D72"/>
    <w:rsid w:val="7BD02039"/>
    <w:rsid w:val="7C00579F"/>
    <w:rsid w:val="7C0C364E"/>
    <w:rsid w:val="7C1248FC"/>
    <w:rsid w:val="7C2860EC"/>
    <w:rsid w:val="7C316561"/>
    <w:rsid w:val="7C3F55BB"/>
    <w:rsid w:val="7C6C5AC7"/>
    <w:rsid w:val="7C71484F"/>
    <w:rsid w:val="7C91252D"/>
    <w:rsid w:val="7CB21697"/>
    <w:rsid w:val="7CC6544B"/>
    <w:rsid w:val="7CD80453"/>
    <w:rsid w:val="7CEA0B56"/>
    <w:rsid w:val="7CF232B2"/>
    <w:rsid w:val="7D0239FF"/>
    <w:rsid w:val="7D103EFC"/>
    <w:rsid w:val="7D1A0A6B"/>
    <w:rsid w:val="7D3A4D76"/>
    <w:rsid w:val="7D3C6306"/>
    <w:rsid w:val="7D5E40CD"/>
    <w:rsid w:val="7D7A1BD8"/>
    <w:rsid w:val="7DCB56F9"/>
    <w:rsid w:val="7DCD56F2"/>
    <w:rsid w:val="7E0F0D88"/>
    <w:rsid w:val="7E273FDB"/>
    <w:rsid w:val="7E384236"/>
    <w:rsid w:val="7E3E2595"/>
    <w:rsid w:val="7E4603A6"/>
    <w:rsid w:val="7E7050B0"/>
    <w:rsid w:val="7E8D708F"/>
    <w:rsid w:val="7EA3028D"/>
    <w:rsid w:val="7EC37022"/>
    <w:rsid w:val="7F001CE7"/>
    <w:rsid w:val="7F0A3897"/>
    <w:rsid w:val="7F2D7CEE"/>
    <w:rsid w:val="7F3F158A"/>
    <w:rsid w:val="7F4655C7"/>
    <w:rsid w:val="7F6D06E4"/>
    <w:rsid w:val="7F6D458E"/>
    <w:rsid w:val="7FB702DD"/>
    <w:rsid w:val="7FBE4A54"/>
    <w:rsid w:val="7FC527AC"/>
    <w:rsid w:val="7FE47E50"/>
    <w:rsid w:val="7FE77CD6"/>
    <w:rsid w:val="7FF16F6D"/>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2"/>
    </o:shapelayout>
  </w:shapeDefaults>
  <w:doNotEmbedSmartTag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9" w:semiHidden="0" w:name="heading 1" w:locked="1"/>
    <w:lsdException w:qFormat="1" w:unhideWhenUsed="0" w:uiPriority="0" w:semiHidden="0" w:name="heading 2" w:locked="1"/>
    <w:lsdException w:qFormat="1" w:unhideWhenUsed="0" w:uiPriority="0" w:semiHidden="0" w:name="heading 3" w:locked="1"/>
    <w:lsdException w:qFormat="1" w:uiPriority="0" w:name="heading 4" w:locked="1"/>
    <w:lsdException w:qFormat="1" w:uiPriority="0" w:name="heading 5" w:locked="1"/>
    <w:lsdException w:qFormat="1" w:uiPriority="0" w:name="heading 6" w:locked="1"/>
    <w:lsdException w:qFormat="1" w:uiPriority="0" w:name="heading 7" w:locked="1"/>
    <w:lsdException w:qFormat="1" w:uiPriority="0" w:name="heading 8" w:locked="1"/>
    <w:lsdException w:qFormat="1" w:uiPriority="0" w:name="heading 9" w:locked="1"/>
    <w:lsdException w:unhideWhenUsed="0" w:uiPriority="0" w:semiHidden="0" w:name="index 1" w:locked="1"/>
    <w:lsdException w:unhideWhenUsed="0" w:uiPriority="0" w:semiHidden="0" w:name="index 2" w:locked="1"/>
    <w:lsdException w:unhideWhenUsed="0" w:uiPriority="0" w:semiHidden="0" w:name="index 3" w:locked="1"/>
    <w:lsdException w:unhideWhenUsed="0" w:uiPriority="0" w:semiHidden="0" w:name="index 4" w:locked="1"/>
    <w:lsdException w:unhideWhenUsed="0" w:uiPriority="0" w:semiHidden="0" w:name="index 5" w:locked="1"/>
    <w:lsdException w:unhideWhenUsed="0" w:uiPriority="0" w:semiHidden="0" w:name="index 6" w:locked="1"/>
    <w:lsdException w:unhideWhenUsed="0" w:uiPriority="0" w:semiHidden="0" w:name="index 7" w:locked="1"/>
    <w:lsdException w:unhideWhenUsed="0" w:uiPriority="0" w:semiHidden="0" w:name="index 8" w:locked="1"/>
    <w:lsdException w:unhideWhenUsed="0" w:uiPriority="0" w:semiHidden="0" w:name="index 9" w:locked="1"/>
    <w:lsdException w:qFormat="1" w:unhideWhenUsed="0" w:uiPriority="39" w:semiHidden="0" w:name="toc 1" w:locked="1"/>
    <w:lsdException w:qFormat="1" w:unhideWhenUsed="0" w:uiPriority="39" w:semiHidden="0" w:name="toc 2" w:locked="1"/>
    <w:lsdException w:unhideWhenUsed="0" w:uiPriority="0" w:semiHidden="0" w:name="toc 3" w:locked="1"/>
    <w:lsdException w:unhideWhenUsed="0" w:uiPriority="0" w:semiHidden="0" w:name="toc 4" w:locked="1"/>
    <w:lsdException w:unhideWhenUsed="0" w:uiPriority="0" w:semiHidden="0" w:name="toc 5" w:locked="1"/>
    <w:lsdException w:unhideWhenUsed="0" w:uiPriority="0" w:semiHidden="0" w:name="toc 6" w:locked="1"/>
    <w:lsdException w:unhideWhenUsed="0" w:uiPriority="0" w:semiHidden="0" w:name="toc 7" w:locked="1"/>
    <w:lsdException w:unhideWhenUsed="0" w:uiPriority="0" w:semiHidden="0" w:name="toc 8" w:locked="1"/>
    <w:lsdException w:unhideWhenUsed="0" w:uiPriority="0" w:semiHidden="0" w:name="toc 9" w:locked="1"/>
    <w:lsdException w:qFormat="1" w:unhideWhenUsed="0" w:uiPriority="0" w:semiHidden="0" w:name="Normal Indent" w:locked="1"/>
    <w:lsdException w:unhideWhenUsed="0" w:uiPriority="0" w:semiHidden="0" w:name="footnote text" w:locked="1"/>
    <w:lsdException w:qFormat="1" w:unhideWhenUsed="0" w:uiPriority="0" w:name="annotation text"/>
    <w:lsdException w:qFormat="1" w:unhideWhenUsed="0" w:uiPriority="0" w:semiHidden="0" w:name="header"/>
    <w:lsdException w:qFormat="1" w:unhideWhenUsed="0" w:uiPriority="99" w:semiHidden="0" w:name="footer"/>
    <w:lsdException w:unhideWhenUsed="0" w:uiPriority="0" w:semiHidden="0" w:name="index heading" w:locked="1"/>
    <w:lsdException w:qFormat="1" w:unhideWhenUsed="0" w:uiPriority="0" w:semiHidden="0" w:name="caption" w:locked="1"/>
    <w:lsdException w:unhideWhenUsed="0" w:uiPriority="0" w:semiHidden="0" w:name="table of figures" w:locked="1"/>
    <w:lsdException w:unhideWhenUsed="0" w:uiPriority="0" w:semiHidden="0" w:name="envelope address" w:locked="1"/>
    <w:lsdException w:unhideWhenUsed="0" w:uiPriority="0" w:semiHidden="0" w:name="envelope return" w:locked="1"/>
    <w:lsdException w:unhideWhenUsed="0" w:uiPriority="0" w:semiHidden="0" w:name="footnote reference" w:locked="1"/>
    <w:lsdException w:qFormat="1" w:unhideWhenUsed="0" w:uiPriority="0" w:name="annotation reference"/>
    <w:lsdException w:unhideWhenUsed="0" w:uiPriority="0" w:semiHidden="0" w:name="line number" w:locked="1"/>
    <w:lsdException w:qFormat="1" w:unhideWhenUsed="0" w:uiPriority="0" w:semiHidden="0" w:name="page number" w:locked="1"/>
    <w:lsdException w:unhideWhenUsed="0" w:uiPriority="0" w:semiHidden="0" w:name="endnote reference" w:locked="1"/>
    <w:lsdException w:unhideWhenUsed="0" w:uiPriority="0" w:semiHidden="0" w:name="endnote text" w:locked="1"/>
    <w:lsdException w:unhideWhenUsed="0" w:uiPriority="0" w:semiHidden="0" w:name="table of authorities" w:locked="1"/>
    <w:lsdException w:unhideWhenUsed="0" w:uiPriority="0" w:semiHidden="0" w:name="macro" w:locked="1"/>
    <w:lsdException w:unhideWhenUsed="0" w:uiPriority="0" w:semiHidden="0" w:name="toa heading" w:locked="1"/>
    <w:lsdException w:qFormat="1" w:unhideWhenUsed="0" w:uiPriority="99" w:semiHidden="0" w:name="List" w:locked="1"/>
    <w:lsdException w:unhideWhenUsed="0" w:uiPriority="0" w:semiHidden="0" w:name="List Bullet" w:locked="1"/>
    <w:lsdException w:unhideWhenUsed="0" w:uiPriority="0" w:semiHidden="0" w:name="List Number" w:locked="1"/>
    <w:lsdException w:unhideWhenUsed="0" w:uiPriority="0" w:semiHidden="0" w:name="List 2" w:locked="1"/>
    <w:lsdException w:qFormat="1" w:uiPriority="99" w:semiHidden="0" w:name="List 3" w:locked="1"/>
    <w:lsdException w:unhideWhenUsed="0" w:uiPriority="0" w:semiHidden="0" w:name="List 4" w:locked="1"/>
    <w:lsdException w:unhideWhenUsed="0" w:uiPriority="0" w:semiHidden="0" w:name="List 5" w:locked="1"/>
    <w:lsdException w:unhideWhenUsed="0" w:uiPriority="0" w:semiHidden="0" w:name="List Bullet 2" w:locked="1"/>
    <w:lsdException w:unhideWhenUsed="0" w:uiPriority="0" w:semiHidden="0" w:name="List Bullet 3" w:locked="1"/>
    <w:lsdException w:unhideWhenUsed="0" w:uiPriority="0" w:semiHidden="0" w:name="List Bullet 4" w:locked="1"/>
    <w:lsdException w:qFormat="1" w:unhideWhenUsed="0" w:uiPriority="0" w:semiHidden="0" w:name="List Bullet 5" w:locked="1"/>
    <w:lsdException w:unhideWhenUsed="0" w:uiPriority="0" w:semiHidden="0" w:name="List Number 2" w:locked="1"/>
    <w:lsdException w:unhideWhenUsed="0" w:uiPriority="0" w:semiHidden="0" w:name="List Number 3" w:locked="1"/>
    <w:lsdException w:unhideWhenUsed="0" w:uiPriority="0" w:semiHidden="0" w:name="List Number 4" w:locked="1"/>
    <w:lsdException w:unhideWhenUsed="0" w:uiPriority="0" w:semiHidden="0" w:name="List Number 5" w:locked="1"/>
    <w:lsdException w:qFormat="1" w:unhideWhenUsed="0" w:uiPriority="0" w:semiHidden="0" w:name="Title" w:locked="1"/>
    <w:lsdException w:unhideWhenUsed="0" w:uiPriority="0" w:semiHidden="0" w:name="Closing" w:locked="1"/>
    <w:lsdException w:unhideWhenUsed="0" w:uiPriority="0" w:semiHidden="0" w:name="Signature" w:locked="1"/>
    <w:lsdException w:qFormat="1" w:uiPriority="1" w:name="Default Paragraph Font"/>
    <w:lsdException w:qFormat="1" w:unhideWhenUsed="0" w:uiPriority="0" w:semiHidden="0" w:name="Body Text"/>
    <w:lsdException w:qFormat="1" w:unhideWhenUsed="0" w:uiPriority="0" w:semiHidden="0" w:name="Body Text Indent"/>
    <w:lsdException w:unhideWhenUsed="0" w:uiPriority="0" w:semiHidden="0" w:name="List Continue" w:locked="1"/>
    <w:lsdException w:unhideWhenUsed="0" w:uiPriority="0" w:semiHidden="0" w:name="List Continue 2" w:locked="1"/>
    <w:lsdException w:unhideWhenUsed="0" w:uiPriority="0" w:semiHidden="0" w:name="List Continue 3" w:locked="1"/>
    <w:lsdException w:unhideWhenUsed="0" w:uiPriority="0" w:semiHidden="0" w:name="List Continue 4" w:locked="1"/>
    <w:lsdException w:unhideWhenUsed="0" w:uiPriority="0" w:semiHidden="0" w:name="List Continue 5" w:locked="1"/>
    <w:lsdException w:unhideWhenUsed="0" w:uiPriority="0" w:semiHidden="0" w:name="Message Header" w:locked="1"/>
    <w:lsdException w:qFormat="1" w:unhideWhenUsed="0" w:uiPriority="11" w:semiHidden="0" w:name="Subtitle" w:locked="1"/>
    <w:lsdException w:unhideWhenUsed="0" w:uiPriority="0" w:semiHidden="0" w:name="Salutation" w:locked="1"/>
    <w:lsdException w:qFormat="1" w:unhideWhenUsed="0" w:uiPriority="0" w:semiHidden="0" w:name="Date"/>
    <w:lsdException w:qFormat="1" w:uiPriority="99" w:semiHidden="0" w:name="Body Text First Indent" w:locked="1"/>
    <w:lsdException w:qFormat="1" w:unhideWhenUsed="0" w:uiPriority="0" w:semiHidden="0" w:name="Body Text First Indent 2" w:locked="1"/>
    <w:lsdException w:unhideWhenUsed="0" w:uiPriority="0" w:semiHidden="0" w:name="Note Heading" w:locked="1"/>
    <w:lsdException w:qFormat="1" w:unhideWhenUsed="0" w:uiPriority="0" w:semiHidden="0" w:name="Body Text 2" w:locked="1"/>
    <w:lsdException w:unhideWhenUsed="0" w:uiPriority="0" w:semiHidden="0" w:name="Body Text 3" w:locked="1"/>
    <w:lsdException w:qFormat="1" w:unhideWhenUsed="0" w:uiPriority="0" w:semiHidden="0" w:name="Body Text Indent 2" w:locked="1"/>
    <w:lsdException w:unhideWhenUsed="0" w:uiPriority="0" w:semiHidden="0" w:name="Body Text Indent 3" w:locked="1"/>
    <w:lsdException w:qFormat="1" w:unhideWhenUsed="0" w:uiPriority="0" w:semiHidden="0" w:name="Block Text" w:locked="1"/>
    <w:lsdException w:qFormat="1" w:unhideWhenUsed="0" w:uiPriority="0" w:semiHidden="0" w:name="Hyperlink" w:locked="1"/>
    <w:lsdException w:unhideWhenUsed="0" w:uiPriority="0" w:semiHidden="0" w:name="FollowedHyperlink" w:locked="1"/>
    <w:lsdException w:qFormat="1" w:unhideWhenUsed="0" w:uiPriority="0" w:semiHidden="0" w:name="Strong" w:locked="1"/>
    <w:lsdException w:qFormat="1" w:unhideWhenUsed="0" w:uiPriority="0" w:semiHidden="0" w:name="Emphasis" w:locked="1"/>
    <w:lsdException w:unhideWhenUsed="0" w:uiPriority="0" w:semiHidden="0" w:name="Document Map" w:locked="1"/>
    <w:lsdException w:qFormat="1" w:unhideWhenUsed="0" w:uiPriority="0" w:semiHidden="0" w:name="Plain Text" w:locked="1"/>
    <w:lsdException w:unhideWhenUsed="0" w:uiPriority="0" w:semiHidden="0" w:name="E-mail Signature" w:locked="1"/>
    <w:lsdException w:qFormat="1" w:unhideWhenUsed="0" w:uiPriority="99" w:semiHidden="0" w:name="Normal (Web)"/>
    <w:lsdException w:unhideWhenUsed="0" w:uiPriority="0" w:semiHidden="0" w:name="HTML Acronym" w:locked="1"/>
    <w:lsdException w:unhideWhenUsed="0" w:uiPriority="0" w:semiHidden="0" w:name="HTML Address" w:locked="1"/>
    <w:lsdException w:unhideWhenUsed="0" w:uiPriority="0" w:semiHidden="0" w:name="HTML Cite" w:locked="1"/>
    <w:lsdException w:unhideWhenUsed="0" w:uiPriority="0" w:semiHidden="0" w:name="HTML Code" w:locked="1"/>
    <w:lsdException w:unhideWhenUsed="0" w:uiPriority="0" w:semiHidden="0" w:name="HTML Definition" w:locked="1"/>
    <w:lsdException w:unhideWhenUsed="0" w:uiPriority="0" w:semiHidden="0" w:name="HTML Keyboard" w:locked="1"/>
    <w:lsdException w:qFormat="1" w:unhideWhenUsed="0" w:uiPriority="0" w:semiHidden="0" w:name="HTML Preformatted" w:locked="1"/>
    <w:lsdException w:unhideWhenUsed="0" w:uiPriority="0" w:semiHidden="0" w:name="HTML Sample" w:locked="1"/>
    <w:lsdException w:unhideWhenUsed="0" w:uiPriority="0" w:semiHidden="0" w:name="HTML Typewriter" w:locked="1"/>
    <w:lsdException w:unhideWhenUsed="0" w:uiPriority="0" w:semiHidden="0" w:name="HTML Variable" w:locked="1"/>
    <w:lsdException w:qFormat="1" w:uiPriority="99" w:name="Normal Table"/>
    <w:lsdException w:qFormat="1" w:unhideWhenUsed="0" w:uiPriority="0" w:name="annotation subject"/>
    <w:lsdException w:uiPriority="0" w:name="Table Simple 1" w:locked="1"/>
    <w:lsdException w:uiPriority="0" w:name="Table Simple 2" w:locked="1"/>
    <w:lsdException w:uiPriority="0" w:name="Table Simple 3" w:locked="1"/>
    <w:lsdException w:uiPriority="0" w:name="Table Classic 1" w:locked="1"/>
    <w:lsdException w:uiPriority="0" w:name="Table Classic 2" w:locked="1"/>
    <w:lsdException w:uiPriority="0" w:name="Table Classic 3" w:locked="1"/>
    <w:lsdException w:uiPriority="0" w:name="Table Classic 4" w:locked="1"/>
    <w:lsdException w:uiPriority="0" w:name="Table Colorful 1" w:locked="1"/>
    <w:lsdException w:uiPriority="0" w:name="Table Colorful 2" w:locked="1"/>
    <w:lsdException w:uiPriority="0" w:name="Table Colorful 3" w:locked="1"/>
    <w:lsdException w:uiPriority="0" w:name="Table Columns 1" w:locked="1"/>
    <w:lsdException w:uiPriority="0" w:name="Table Columns 2" w:locked="1"/>
    <w:lsdException w:uiPriority="0" w:name="Table Columns 3" w:locked="1"/>
    <w:lsdException w:uiPriority="0" w:name="Table Columns 4" w:locked="1"/>
    <w:lsdException w:uiPriority="0" w:name="Table Columns 5" w:locked="1"/>
    <w:lsdException w:uiPriority="0" w:name="Table Grid 1" w:locked="1"/>
    <w:lsdException w:uiPriority="0" w:name="Table Grid 2" w:locked="1"/>
    <w:lsdException w:uiPriority="0" w:name="Table Grid 3" w:locked="1"/>
    <w:lsdException w:uiPriority="0" w:name="Table Grid 4" w:locked="1"/>
    <w:lsdException w:uiPriority="0" w:name="Table Grid 5" w:locked="1"/>
    <w:lsdException w:uiPriority="0" w:name="Table Grid 6" w:locked="1"/>
    <w:lsdException w:uiPriority="0" w:name="Table Grid 7" w:locked="1"/>
    <w:lsdException w:uiPriority="0" w:name="Table Grid 8" w:locked="1"/>
    <w:lsdException w:uiPriority="0" w:name="Table List 1" w:locked="1"/>
    <w:lsdException w:uiPriority="0" w:name="Table List 2" w:locked="1"/>
    <w:lsdException w:uiPriority="0" w:name="Table List 3" w:locked="1"/>
    <w:lsdException w:uiPriority="0" w:name="Table List 4" w:locked="1"/>
    <w:lsdException w:uiPriority="0" w:name="Table List 5" w:locked="1"/>
    <w:lsdException w:uiPriority="0" w:name="Table List 6" w:locked="1"/>
    <w:lsdException w:uiPriority="0" w:name="Table List 7" w:locked="1"/>
    <w:lsdException w:uiPriority="0" w:name="Table List 8" w:locked="1"/>
    <w:lsdException w:uiPriority="0" w:name="Table 3D effects 1" w:locked="1"/>
    <w:lsdException w:uiPriority="0" w:name="Table 3D effects 2" w:locked="1"/>
    <w:lsdException w:uiPriority="0" w:name="Table 3D effects 3" w:locked="1"/>
    <w:lsdException w:uiPriority="0" w:name="Table Contemporary" w:locked="1"/>
    <w:lsdException w:uiPriority="0" w:name="Table Elegant" w:locked="1"/>
    <w:lsdException w:uiPriority="0" w:name="Table Professional" w:locked="1"/>
    <w:lsdException w:uiPriority="0" w:name="Table Subtle 1" w:locked="1"/>
    <w:lsdException w:uiPriority="0" w:name="Table Subtle 2" w:locked="1"/>
    <w:lsdException w:uiPriority="0" w:name="Table Web 1" w:locked="1"/>
    <w:lsdException w:uiPriority="0" w:name="Table Web 2" w:locked="1"/>
    <w:lsdException w:uiPriority="0" w:name="Table Web 3" w:locked="1"/>
    <w:lsdException w:qFormat="1" w:unhideWhenUsed="0" w:uiPriority="0" w:name="Balloon Text"/>
    <w:lsdException w:qFormat="1" w:unhideWhenUsed="0" w:uiPriority="59" w:semiHidden="0" w:name="Table Grid"/>
    <w:lsdException w:uiPriority="0" w:name="Table Theme" w:locked="1"/>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Times New Roman" w:hAnsi="Times New Roman" w:eastAsia="宋体" w:cs="Times New Roman"/>
      <w:kern w:val="2"/>
      <w:sz w:val="21"/>
      <w:szCs w:val="24"/>
      <w:lang w:val="en-US" w:eastAsia="zh-CN" w:bidi="ar-SA"/>
    </w:rPr>
  </w:style>
  <w:style w:type="paragraph" w:styleId="3">
    <w:name w:val="heading 1"/>
    <w:basedOn w:val="1"/>
    <w:next w:val="1"/>
    <w:qFormat/>
    <w:locked/>
    <w:uiPriority w:val="99"/>
    <w:pPr>
      <w:keepNext/>
      <w:overflowPunct w:val="0"/>
      <w:snapToGrid w:val="0"/>
      <w:spacing w:before="120" w:after="160" w:line="259" w:lineRule="auto"/>
      <w:ind w:left="432" w:hanging="432"/>
      <w:outlineLvl w:val="0"/>
    </w:pPr>
    <w:rPr>
      <w:rFonts w:eastAsia="黑体"/>
      <w:b/>
      <w:bCs/>
      <w:color w:val="000000"/>
      <w:kern w:val="44"/>
      <w:sz w:val="30"/>
      <w:szCs w:val="30"/>
    </w:rPr>
  </w:style>
  <w:style w:type="paragraph" w:styleId="4">
    <w:name w:val="heading 2"/>
    <w:basedOn w:val="1"/>
    <w:next w:val="1"/>
    <w:qFormat/>
    <w:locked/>
    <w:uiPriority w:val="0"/>
    <w:pPr>
      <w:keepNext/>
      <w:keepLines/>
      <w:adjustRightInd w:val="0"/>
      <w:snapToGrid w:val="0"/>
      <w:spacing w:line="360" w:lineRule="auto"/>
      <w:outlineLvl w:val="1"/>
    </w:pPr>
    <w:rPr>
      <w:b/>
      <w:bCs/>
      <w:sz w:val="28"/>
      <w:szCs w:val="32"/>
    </w:rPr>
  </w:style>
  <w:style w:type="paragraph" w:styleId="5">
    <w:name w:val="heading 3"/>
    <w:basedOn w:val="1"/>
    <w:next w:val="1"/>
    <w:qFormat/>
    <w:locked/>
    <w:uiPriority w:val="0"/>
    <w:pPr>
      <w:keepNext/>
      <w:keepLines/>
      <w:adjustRightInd w:val="0"/>
      <w:snapToGrid w:val="0"/>
      <w:spacing w:line="360" w:lineRule="auto"/>
      <w:outlineLvl w:val="2"/>
    </w:pPr>
    <w:rPr>
      <w:b/>
      <w:bCs/>
      <w:sz w:val="24"/>
      <w:szCs w:val="32"/>
    </w:rPr>
  </w:style>
  <w:style w:type="paragraph" w:styleId="6">
    <w:name w:val="heading 4"/>
    <w:basedOn w:val="1"/>
    <w:next w:val="1"/>
    <w:semiHidden/>
    <w:unhideWhenUsed/>
    <w:qFormat/>
    <w:locked/>
    <w:uiPriority w:val="0"/>
    <w:pPr>
      <w:spacing w:beforeAutospacing="1" w:afterAutospacing="1"/>
      <w:jc w:val="left"/>
      <w:outlineLvl w:val="3"/>
    </w:pPr>
    <w:rPr>
      <w:rFonts w:hint="eastAsia" w:ascii="宋体" w:hAnsi="宋体"/>
      <w:b/>
      <w:bCs/>
      <w:kern w:val="0"/>
      <w:sz w:val="24"/>
    </w:rPr>
  </w:style>
  <w:style w:type="paragraph" w:styleId="7">
    <w:name w:val="heading 5"/>
    <w:basedOn w:val="1"/>
    <w:next w:val="1"/>
    <w:semiHidden/>
    <w:unhideWhenUsed/>
    <w:qFormat/>
    <w:locked/>
    <w:uiPriority w:val="0"/>
    <w:pPr>
      <w:spacing w:beforeAutospacing="1" w:afterAutospacing="1"/>
      <w:jc w:val="left"/>
      <w:outlineLvl w:val="4"/>
    </w:pPr>
    <w:rPr>
      <w:rFonts w:hint="eastAsia" w:ascii="宋体" w:hAnsi="宋体"/>
      <w:b/>
      <w:bCs/>
      <w:kern w:val="0"/>
      <w:sz w:val="20"/>
      <w:szCs w:val="20"/>
    </w:rPr>
  </w:style>
  <w:style w:type="character" w:default="1" w:styleId="36">
    <w:name w:val="Default Paragraph Font"/>
    <w:semiHidden/>
    <w:unhideWhenUsed/>
    <w:qFormat/>
    <w:uiPriority w:val="1"/>
  </w:style>
  <w:style w:type="table" w:default="1" w:styleId="34">
    <w:name w:val="Normal Table"/>
    <w:semiHidden/>
    <w:unhideWhenUsed/>
    <w:qFormat/>
    <w:uiPriority w:val="99"/>
    <w:tblPr>
      <w:tblCellMar>
        <w:top w:w="0" w:type="dxa"/>
        <w:left w:w="108" w:type="dxa"/>
        <w:bottom w:w="0" w:type="dxa"/>
        <w:right w:w="108" w:type="dxa"/>
      </w:tblCellMar>
    </w:tblPr>
  </w:style>
  <w:style w:type="paragraph" w:styleId="2">
    <w:name w:val="footer"/>
    <w:basedOn w:val="1"/>
    <w:next w:val="1"/>
    <w:link w:val="50"/>
    <w:qFormat/>
    <w:uiPriority w:val="99"/>
    <w:pPr>
      <w:tabs>
        <w:tab w:val="center" w:pos="4153"/>
        <w:tab w:val="right" w:pos="8306"/>
      </w:tabs>
      <w:snapToGrid w:val="0"/>
      <w:jc w:val="left"/>
    </w:pPr>
    <w:rPr>
      <w:kern w:val="0"/>
      <w:sz w:val="18"/>
      <w:szCs w:val="20"/>
    </w:rPr>
  </w:style>
  <w:style w:type="paragraph" w:styleId="8">
    <w:name w:val="List 3"/>
    <w:basedOn w:val="1"/>
    <w:unhideWhenUsed/>
    <w:qFormat/>
    <w:locked/>
    <w:uiPriority w:val="99"/>
    <w:pPr>
      <w:jc w:val="center"/>
    </w:pPr>
    <w:rPr>
      <w:szCs w:val="20"/>
    </w:rPr>
  </w:style>
  <w:style w:type="paragraph" w:styleId="9">
    <w:name w:val="Normal Indent"/>
    <w:basedOn w:val="1"/>
    <w:next w:val="1"/>
    <w:qFormat/>
    <w:locked/>
    <w:uiPriority w:val="0"/>
    <w:pPr>
      <w:ind w:firstLine="420" w:firstLineChars="200"/>
    </w:pPr>
  </w:style>
  <w:style w:type="paragraph" w:styleId="10">
    <w:name w:val="caption"/>
    <w:basedOn w:val="1"/>
    <w:next w:val="1"/>
    <w:qFormat/>
    <w:locked/>
    <w:uiPriority w:val="0"/>
    <w:pPr>
      <w:spacing w:line="360" w:lineRule="auto"/>
      <w:jc w:val="center"/>
    </w:pPr>
    <w:rPr>
      <w:sz w:val="24"/>
    </w:rPr>
  </w:style>
  <w:style w:type="paragraph" w:styleId="11">
    <w:name w:val="annotation text"/>
    <w:basedOn w:val="1"/>
    <w:link w:val="51"/>
    <w:semiHidden/>
    <w:qFormat/>
    <w:uiPriority w:val="0"/>
    <w:pPr>
      <w:jc w:val="left"/>
    </w:pPr>
    <w:rPr>
      <w:kern w:val="0"/>
      <w:sz w:val="24"/>
      <w:szCs w:val="20"/>
    </w:rPr>
  </w:style>
  <w:style w:type="paragraph" w:styleId="12">
    <w:name w:val="Body Text"/>
    <w:basedOn w:val="1"/>
    <w:link w:val="52"/>
    <w:qFormat/>
    <w:uiPriority w:val="0"/>
    <w:pPr>
      <w:widowControl/>
      <w:snapToGrid w:val="0"/>
      <w:spacing w:before="60" w:after="160" w:line="259" w:lineRule="auto"/>
      <w:ind w:right="113"/>
    </w:pPr>
    <w:rPr>
      <w:kern w:val="0"/>
      <w:sz w:val="18"/>
      <w:szCs w:val="20"/>
    </w:rPr>
  </w:style>
  <w:style w:type="paragraph" w:styleId="13">
    <w:name w:val="Body Text Indent"/>
    <w:basedOn w:val="1"/>
    <w:link w:val="53"/>
    <w:qFormat/>
    <w:uiPriority w:val="0"/>
    <w:pPr>
      <w:spacing w:after="120"/>
      <w:ind w:left="420" w:leftChars="200"/>
    </w:pPr>
    <w:rPr>
      <w:kern w:val="0"/>
      <w:sz w:val="24"/>
      <w:szCs w:val="20"/>
    </w:rPr>
  </w:style>
  <w:style w:type="paragraph" w:styleId="14">
    <w:name w:val="Block Text"/>
    <w:basedOn w:val="1"/>
    <w:qFormat/>
    <w:locked/>
    <w:uiPriority w:val="0"/>
    <w:pPr>
      <w:spacing w:line="360" w:lineRule="auto"/>
      <w:ind w:left="113" w:leftChars="54" w:right="-29" w:rightChars="-14" w:firstLine="480" w:firstLineChars="200"/>
    </w:pPr>
    <w:rPr>
      <w:sz w:val="24"/>
    </w:rPr>
  </w:style>
  <w:style w:type="paragraph" w:styleId="15">
    <w:name w:val="Plain Text"/>
    <w:basedOn w:val="1"/>
    <w:qFormat/>
    <w:locked/>
    <w:uiPriority w:val="0"/>
    <w:rPr>
      <w:rFonts w:ascii="宋体" w:hAnsi="Courier New"/>
      <w:szCs w:val="20"/>
    </w:rPr>
  </w:style>
  <w:style w:type="paragraph" w:styleId="16">
    <w:name w:val="List Bullet 5"/>
    <w:basedOn w:val="1"/>
    <w:qFormat/>
    <w:locked/>
    <w:uiPriority w:val="0"/>
    <w:pPr>
      <w:numPr>
        <w:ilvl w:val="0"/>
        <w:numId w:val="1"/>
      </w:numPr>
    </w:pPr>
  </w:style>
  <w:style w:type="paragraph" w:styleId="17">
    <w:name w:val="Date"/>
    <w:basedOn w:val="1"/>
    <w:next w:val="1"/>
    <w:link w:val="55"/>
    <w:qFormat/>
    <w:uiPriority w:val="0"/>
    <w:pPr>
      <w:ind w:left="100" w:leftChars="2500"/>
    </w:pPr>
    <w:rPr>
      <w:kern w:val="0"/>
      <w:sz w:val="24"/>
      <w:szCs w:val="20"/>
    </w:rPr>
  </w:style>
  <w:style w:type="paragraph" w:styleId="18">
    <w:name w:val="Body Text Indent 2"/>
    <w:basedOn w:val="1"/>
    <w:next w:val="19"/>
    <w:link w:val="56"/>
    <w:qFormat/>
    <w:locked/>
    <w:uiPriority w:val="0"/>
    <w:pPr>
      <w:spacing w:after="120" w:line="480" w:lineRule="auto"/>
      <w:ind w:left="420" w:leftChars="200"/>
    </w:pPr>
  </w:style>
  <w:style w:type="paragraph" w:styleId="19">
    <w:name w:val="Body Text First Indent 2"/>
    <w:basedOn w:val="13"/>
    <w:next w:val="12"/>
    <w:link w:val="54"/>
    <w:qFormat/>
    <w:locked/>
    <w:uiPriority w:val="0"/>
    <w:pPr>
      <w:ind w:firstLine="420" w:firstLineChars="200"/>
    </w:pPr>
    <w:rPr>
      <w:kern w:val="2"/>
      <w:sz w:val="21"/>
      <w:szCs w:val="24"/>
    </w:rPr>
  </w:style>
  <w:style w:type="paragraph" w:styleId="20">
    <w:name w:val="Balloon Text"/>
    <w:basedOn w:val="1"/>
    <w:link w:val="57"/>
    <w:semiHidden/>
    <w:qFormat/>
    <w:uiPriority w:val="0"/>
    <w:rPr>
      <w:kern w:val="0"/>
      <w:sz w:val="18"/>
      <w:szCs w:val="20"/>
    </w:rPr>
  </w:style>
  <w:style w:type="paragraph" w:styleId="21">
    <w:name w:val="header"/>
    <w:basedOn w:val="1"/>
    <w:next w:val="22"/>
    <w:link w:val="58"/>
    <w:qFormat/>
    <w:uiPriority w:val="0"/>
    <w:pPr>
      <w:pBdr>
        <w:bottom w:val="single" w:color="auto" w:sz="6" w:space="1"/>
      </w:pBdr>
      <w:tabs>
        <w:tab w:val="center" w:pos="4153"/>
        <w:tab w:val="right" w:pos="8306"/>
      </w:tabs>
      <w:snapToGrid w:val="0"/>
      <w:jc w:val="center"/>
    </w:pPr>
    <w:rPr>
      <w:kern w:val="0"/>
      <w:sz w:val="18"/>
      <w:szCs w:val="20"/>
    </w:rPr>
  </w:style>
  <w:style w:type="paragraph" w:customStyle="1" w:styleId="22">
    <w:name w:val="样式5"/>
    <w:basedOn w:val="23"/>
    <w:next w:val="1"/>
    <w:qFormat/>
    <w:uiPriority w:val="0"/>
    <w:pPr>
      <w:tabs>
        <w:tab w:val="left" w:pos="0"/>
        <w:tab w:val="left" w:pos="870"/>
        <w:tab w:val="left" w:pos="1080"/>
        <w:tab w:val="left" w:pos="3150"/>
      </w:tabs>
      <w:spacing w:line="380" w:lineRule="exact"/>
      <w:ind w:firstLine="566" w:firstLineChars="202"/>
    </w:pPr>
    <w:rPr>
      <w:rFonts w:eastAsia="华文行楷"/>
      <w:sz w:val="28"/>
    </w:rPr>
  </w:style>
  <w:style w:type="paragraph" w:customStyle="1" w:styleId="23">
    <w:name w:val="正文1"/>
    <w:basedOn w:val="24"/>
    <w:next w:val="1"/>
    <w:qFormat/>
    <w:uiPriority w:val="0"/>
    <w:pPr>
      <w:tabs>
        <w:tab w:val="left" w:pos="0"/>
        <w:tab w:val="left" w:pos="870"/>
        <w:tab w:val="left" w:pos="1080"/>
        <w:tab w:val="left" w:pos="3150"/>
      </w:tabs>
      <w:spacing w:line="460" w:lineRule="exact"/>
      <w:ind w:firstLine="200" w:firstLineChars="200"/>
    </w:pPr>
    <w:rPr>
      <w:sz w:val="24"/>
    </w:rPr>
  </w:style>
  <w:style w:type="paragraph" w:customStyle="1" w:styleId="24">
    <w:name w:val="表格文字"/>
    <w:basedOn w:val="12"/>
    <w:next w:val="1"/>
    <w:qFormat/>
    <w:uiPriority w:val="0"/>
    <w:pPr>
      <w:adjustRightInd w:val="0"/>
      <w:spacing w:line="240" w:lineRule="atLeast"/>
      <w:jc w:val="center"/>
    </w:pPr>
    <w:rPr>
      <w:spacing w:val="24"/>
    </w:rPr>
  </w:style>
  <w:style w:type="paragraph" w:styleId="25">
    <w:name w:val="toc 1"/>
    <w:basedOn w:val="1"/>
    <w:next w:val="1"/>
    <w:qFormat/>
    <w:locked/>
    <w:uiPriority w:val="39"/>
    <w:pPr>
      <w:spacing w:before="120" w:after="120"/>
      <w:jc w:val="left"/>
    </w:pPr>
    <w:rPr>
      <w:b/>
      <w:bCs/>
      <w:caps/>
      <w:sz w:val="20"/>
      <w:szCs w:val="20"/>
    </w:rPr>
  </w:style>
  <w:style w:type="paragraph" w:styleId="26">
    <w:name w:val="List"/>
    <w:basedOn w:val="1"/>
    <w:qFormat/>
    <w:locked/>
    <w:uiPriority w:val="99"/>
    <w:pPr>
      <w:jc w:val="center"/>
    </w:pPr>
    <w:rPr>
      <w:szCs w:val="21"/>
    </w:rPr>
  </w:style>
  <w:style w:type="paragraph" w:styleId="27">
    <w:name w:val="toc 2"/>
    <w:basedOn w:val="1"/>
    <w:next w:val="1"/>
    <w:qFormat/>
    <w:locked/>
    <w:uiPriority w:val="39"/>
    <w:pPr>
      <w:ind w:left="210"/>
      <w:jc w:val="left"/>
    </w:pPr>
    <w:rPr>
      <w:smallCaps/>
      <w:sz w:val="20"/>
      <w:szCs w:val="20"/>
    </w:rPr>
  </w:style>
  <w:style w:type="paragraph" w:styleId="28">
    <w:name w:val="Body Text 2"/>
    <w:basedOn w:val="1"/>
    <w:qFormat/>
    <w:locked/>
    <w:uiPriority w:val="0"/>
    <w:pPr>
      <w:jc w:val="center"/>
    </w:pPr>
  </w:style>
  <w:style w:type="paragraph" w:styleId="29">
    <w:name w:val="HTML Preformatted"/>
    <w:basedOn w:val="1"/>
    <w:qFormat/>
    <w:locked/>
    <w:uiPriority w:val="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hint="eastAsia" w:ascii="宋体" w:hAnsi="宋体" w:eastAsia="宋体" w:cs="宋体"/>
      <w:kern w:val="0"/>
      <w:sz w:val="24"/>
      <w:szCs w:val="24"/>
      <w:lang w:val="en-US" w:eastAsia="zh-CN" w:bidi="ar"/>
    </w:rPr>
  </w:style>
  <w:style w:type="paragraph" w:styleId="30">
    <w:name w:val="Normal (Web)"/>
    <w:basedOn w:val="1"/>
    <w:link w:val="59"/>
    <w:qFormat/>
    <w:uiPriority w:val="99"/>
    <w:pPr>
      <w:widowControl/>
      <w:spacing w:before="100" w:beforeAutospacing="1" w:after="100" w:afterAutospacing="1"/>
      <w:jc w:val="left"/>
    </w:pPr>
    <w:rPr>
      <w:rFonts w:ascii="宋体" w:hAnsi="宋体"/>
      <w:kern w:val="0"/>
      <w:sz w:val="24"/>
      <w:szCs w:val="20"/>
    </w:rPr>
  </w:style>
  <w:style w:type="paragraph" w:styleId="31">
    <w:name w:val="Title"/>
    <w:basedOn w:val="26"/>
    <w:next w:val="1"/>
    <w:qFormat/>
    <w:locked/>
    <w:uiPriority w:val="0"/>
    <w:pPr>
      <w:outlineLvl w:val="0"/>
    </w:pPr>
    <w:rPr>
      <w:bCs/>
      <w:kern w:val="0"/>
      <w:szCs w:val="32"/>
    </w:rPr>
  </w:style>
  <w:style w:type="paragraph" w:styleId="32">
    <w:name w:val="annotation subject"/>
    <w:basedOn w:val="11"/>
    <w:next w:val="11"/>
    <w:link w:val="60"/>
    <w:semiHidden/>
    <w:qFormat/>
    <w:uiPriority w:val="0"/>
    <w:rPr>
      <w:b/>
    </w:rPr>
  </w:style>
  <w:style w:type="paragraph" w:styleId="33">
    <w:name w:val="Body Text First Indent"/>
    <w:basedOn w:val="12"/>
    <w:next w:val="1"/>
    <w:unhideWhenUsed/>
    <w:qFormat/>
    <w:locked/>
    <w:uiPriority w:val="99"/>
    <w:pPr>
      <w:ind w:firstLine="420" w:firstLineChars="100"/>
    </w:pPr>
  </w:style>
  <w:style w:type="table" w:styleId="35">
    <w:name w:val="Table Grid"/>
    <w:basedOn w:val="34"/>
    <w:qFormat/>
    <w:uiPriority w:val="5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37">
    <w:name w:val="Strong"/>
    <w:basedOn w:val="36"/>
    <w:qFormat/>
    <w:locked/>
    <w:uiPriority w:val="0"/>
    <w:rPr>
      <w:b/>
    </w:rPr>
  </w:style>
  <w:style w:type="character" w:styleId="38">
    <w:name w:val="page number"/>
    <w:qFormat/>
    <w:locked/>
    <w:uiPriority w:val="0"/>
  </w:style>
  <w:style w:type="character" w:styleId="39">
    <w:name w:val="Emphasis"/>
    <w:basedOn w:val="36"/>
    <w:qFormat/>
    <w:locked/>
    <w:uiPriority w:val="0"/>
    <w:rPr>
      <w:i/>
    </w:rPr>
  </w:style>
  <w:style w:type="character" w:styleId="40">
    <w:name w:val="Hyperlink"/>
    <w:qFormat/>
    <w:locked/>
    <w:uiPriority w:val="0"/>
    <w:rPr>
      <w:color w:val="0000FF"/>
      <w:u w:val="single"/>
    </w:rPr>
  </w:style>
  <w:style w:type="character" w:styleId="41">
    <w:name w:val="annotation reference"/>
    <w:semiHidden/>
    <w:qFormat/>
    <w:uiPriority w:val="0"/>
    <w:rPr>
      <w:sz w:val="21"/>
    </w:rPr>
  </w:style>
  <w:style w:type="paragraph" w:customStyle="1" w:styleId="42">
    <w:name w:val="Default"/>
    <w:basedOn w:val="43"/>
    <w:next w:val="44"/>
    <w:qFormat/>
    <w:uiPriority w:val="0"/>
    <w:pPr>
      <w:autoSpaceDE w:val="0"/>
      <w:autoSpaceDN w:val="0"/>
      <w:adjustRightInd w:val="0"/>
    </w:pPr>
    <w:rPr>
      <w:rFonts w:ascii="微软雅黑" w:eastAsia="微软雅黑" w:cs="微软雅黑"/>
      <w:color w:val="000000"/>
      <w:sz w:val="24"/>
      <w:szCs w:val="24"/>
    </w:rPr>
  </w:style>
  <w:style w:type="paragraph" w:customStyle="1" w:styleId="43">
    <w:name w:val="纯文本1"/>
    <w:basedOn w:val="1"/>
    <w:qFormat/>
    <w:uiPriority w:val="0"/>
    <w:rPr>
      <w:rFonts w:ascii="宋体" w:hAnsi="Courier New" w:cs="宋体"/>
      <w:sz w:val="20"/>
      <w:szCs w:val="20"/>
    </w:rPr>
  </w:style>
  <w:style w:type="paragraph" w:customStyle="1" w:styleId="44">
    <w:name w:val="Char Char Char Char Char Char1 Char Char Char Char"/>
    <w:basedOn w:val="1"/>
    <w:next w:val="1"/>
    <w:autoRedefine/>
    <w:semiHidden/>
    <w:qFormat/>
    <w:uiPriority w:val="0"/>
    <w:pPr>
      <w:spacing w:line="360" w:lineRule="auto"/>
      <w:ind w:firstLine="200" w:firstLineChars="200"/>
    </w:pPr>
    <w:rPr>
      <w:rFonts w:ascii="宋体" w:hAnsi="宋体" w:cs="宋体"/>
      <w:szCs w:val="21"/>
    </w:rPr>
  </w:style>
  <w:style w:type="paragraph" w:customStyle="1" w:styleId="45">
    <w:name w:val="xl27"/>
    <w:basedOn w:val="1"/>
    <w:next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kern w:val="0"/>
      <w:sz w:val="20"/>
      <w:szCs w:val="20"/>
    </w:rPr>
  </w:style>
  <w:style w:type="paragraph" w:customStyle="1" w:styleId="46">
    <w:name w:val="样式 正文文本缩进 + 行距: 1.5 倍行距"/>
    <w:basedOn w:val="47"/>
    <w:qFormat/>
    <w:uiPriority w:val="0"/>
    <w:pPr>
      <w:spacing w:line="360" w:lineRule="auto"/>
      <w:ind w:left="90" w:leftChars="32" w:firstLine="560" w:firstLineChars="200"/>
    </w:pPr>
    <w:rPr>
      <w:rFonts w:cs="宋体"/>
    </w:rPr>
  </w:style>
  <w:style w:type="paragraph" w:customStyle="1" w:styleId="47">
    <w:name w:val="Body Text Indent"/>
    <w:basedOn w:val="1"/>
    <w:next w:val="46"/>
    <w:qFormat/>
    <w:uiPriority w:val="0"/>
    <w:pPr>
      <w:spacing w:after="120" w:afterLines="0"/>
      <w:ind w:left="420" w:leftChars="200"/>
    </w:pPr>
    <w:rPr>
      <w:rFonts w:ascii="Times New Roman" w:hAnsi="Times New Roman" w:eastAsia="宋体"/>
      <w:sz w:val="24"/>
    </w:rPr>
  </w:style>
  <w:style w:type="paragraph" w:customStyle="1" w:styleId="48">
    <w:name w:val="正文文本缩进1"/>
    <w:basedOn w:val="1"/>
    <w:next w:val="46"/>
    <w:qFormat/>
    <w:uiPriority w:val="0"/>
    <w:pPr>
      <w:spacing w:after="120"/>
      <w:ind w:left="420" w:leftChars="200"/>
    </w:pPr>
    <w:rPr>
      <w:sz w:val="24"/>
    </w:rPr>
  </w:style>
  <w:style w:type="paragraph" w:customStyle="1" w:styleId="49">
    <w:name w:val="_Style 4"/>
    <w:next w:val="1"/>
    <w:qFormat/>
    <w:uiPriority w:val="1"/>
    <w:pPr>
      <w:widowControl w:val="0"/>
      <w:jc w:val="both"/>
    </w:pPr>
    <w:rPr>
      <w:rFonts w:ascii="Calibri" w:hAnsi="Calibri" w:eastAsia="仿宋_GB2312" w:cs="Times New Roman"/>
      <w:kern w:val="2"/>
      <w:sz w:val="24"/>
      <w:szCs w:val="22"/>
      <w:lang w:val="en-US" w:eastAsia="zh-CN" w:bidi="ar-SA"/>
    </w:rPr>
  </w:style>
  <w:style w:type="character" w:customStyle="1" w:styleId="50">
    <w:name w:val="页脚 字符1"/>
    <w:link w:val="2"/>
    <w:qFormat/>
    <w:locked/>
    <w:uiPriority w:val="99"/>
    <w:rPr>
      <w:sz w:val="18"/>
    </w:rPr>
  </w:style>
  <w:style w:type="character" w:customStyle="1" w:styleId="51">
    <w:name w:val="批注文字 字符"/>
    <w:link w:val="11"/>
    <w:qFormat/>
    <w:locked/>
    <w:uiPriority w:val="0"/>
    <w:rPr>
      <w:rFonts w:ascii="Times New Roman" w:hAnsi="Times New Roman" w:eastAsia="宋体"/>
      <w:sz w:val="24"/>
    </w:rPr>
  </w:style>
  <w:style w:type="character" w:customStyle="1" w:styleId="52">
    <w:name w:val="正文文本 字符"/>
    <w:link w:val="12"/>
    <w:qFormat/>
    <w:locked/>
    <w:uiPriority w:val="0"/>
    <w:rPr>
      <w:sz w:val="18"/>
    </w:rPr>
  </w:style>
  <w:style w:type="character" w:customStyle="1" w:styleId="53">
    <w:name w:val="正文文本缩进 字符"/>
    <w:link w:val="13"/>
    <w:semiHidden/>
    <w:qFormat/>
    <w:locked/>
    <w:uiPriority w:val="0"/>
    <w:rPr>
      <w:rFonts w:ascii="Times New Roman" w:hAnsi="Times New Roman" w:eastAsia="宋体"/>
      <w:sz w:val="24"/>
    </w:rPr>
  </w:style>
  <w:style w:type="character" w:customStyle="1" w:styleId="54">
    <w:name w:val="正文文本首行缩进 2 字符"/>
    <w:link w:val="19"/>
    <w:qFormat/>
    <w:uiPriority w:val="0"/>
    <w:rPr>
      <w:rFonts w:ascii="Times New Roman" w:hAnsi="Times New Roman" w:eastAsia="宋体"/>
      <w:kern w:val="2"/>
      <w:sz w:val="21"/>
      <w:szCs w:val="24"/>
    </w:rPr>
  </w:style>
  <w:style w:type="character" w:customStyle="1" w:styleId="55">
    <w:name w:val="日期 字符1"/>
    <w:link w:val="17"/>
    <w:qFormat/>
    <w:locked/>
    <w:uiPriority w:val="0"/>
    <w:rPr>
      <w:rFonts w:ascii="Times New Roman" w:hAnsi="Times New Roman" w:eastAsia="宋体"/>
      <w:sz w:val="24"/>
    </w:rPr>
  </w:style>
  <w:style w:type="character" w:customStyle="1" w:styleId="56">
    <w:name w:val="正文文本缩进 2 字符"/>
    <w:link w:val="18"/>
    <w:qFormat/>
    <w:uiPriority w:val="0"/>
    <w:rPr>
      <w:kern w:val="2"/>
      <w:sz w:val="21"/>
      <w:szCs w:val="24"/>
    </w:rPr>
  </w:style>
  <w:style w:type="character" w:customStyle="1" w:styleId="57">
    <w:name w:val="批注框文本 字符"/>
    <w:link w:val="20"/>
    <w:semiHidden/>
    <w:qFormat/>
    <w:locked/>
    <w:uiPriority w:val="0"/>
    <w:rPr>
      <w:rFonts w:ascii="Times New Roman" w:hAnsi="Times New Roman" w:eastAsia="宋体"/>
      <w:sz w:val="18"/>
    </w:rPr>
  </w:style>
  <w:style w:type="character" w:customStyle="1" w:styleId="58">
    <w:name w:val="页眉 字符"/>
    <w:link w:val="21"/>
    <w:qFormat/>
    <w:locked/>
    <w:uiPriority w:val="0"/>
    <w:rPr>
      <w:sz w:val="18"/>
    </w:rPr>
  </w:style>
  <w:style w:type="character" w:customStyle="1" w:styleId="59">
    <w:name w:val="普通(网站) 字符"/>
    <w:link w:val="30"/>
    <w:qFormat/>
    <w:locked/>
    <w:uiPriority w:val="0"/>
    <w:rPr>
      <w:rFonts w:ascii="宋体" w:hAnsi="宋体" w:eastAsia="宋体"/>
      <w:sz w:val="24"/>
    </w:rPr>
  </w:style>
  <w:style w:type="character" w:customStyle="1" w:styleId="60">
    <w:name w:val="批注主题 字符"/>
    <w:link w:val="32"/>
    <w:semiHidden/>
    <w:qFormat/>
    <w:locked/>
    <w:uiPriority w:val="0"/>
    <w:rPr>
      <w:rFonts w:ascii="Times New Roman" w:hAnsi="Times New Roman" w:eastAsia="宋体"/>
      <w:b/>
      <w:kern w:val="2"/>
      <w:sz w:val="24"/>
    </w:rPr>
  </w:style>
  <w:style w:type="paragraph" w:customStyle="1" w:styleId="61">
    <w:name w:val="样式35"/>
    <w:basedOn w:val="1"/>
    <w:next w:val="62"/>
    <w:qFormat/>
    <w:uiPriority w:val="0"/>
    <w:pPr>
      <w:spacing w:line="312" w:lineRule="auto"/>
      <w:ind w:firstLine="567"/>
    </w:pPr>
    <w:rPr>
      <w:rFonts w:ascii="宋体"/>
      <w:sz w:val="28"/>
    </w:rPr>
  </w:style>
  <w:style w:type="paragraph" w:customStyle="1" w:styleId="62">
    <w:name w:val="font6"/>
    <w:next w:val="27"/>
    <w:autoRedefine/>
    <w:qFormat/>
    <w:uiPriority w:val="0"/>
    <w:pPr>
      <w:spacing w:before="280" w:after="280"/>
      <w:jc w:val="both"/>
    </w:pPr>
    <w:rPr>
      <w:rFonts w:ascii="Times New Roman" w:hAnsi="Times New Roman" w:eastAsia="宋体" w:cs="Times New Roman"/>
      <w:kern w:val="2"/>
      <w:sz w:val="21"/>
      <w:szCs w:val="22"/>
      <w:lang w:val="en-US" w:eastAsia="zh-CN" w:bidi="ar-SA"/>
    </w:rPr>
  </w:style>
  <w:style w:type="paragraph" w:customStyle="1" w:styleId="63">
    <w:name w:val="0正文"/>
    <w:basedOn w:val="13"/>
    <w:next w:val="21"/>
    <w:unhideWhenUsed/>
    <w:qFormat/>
    <w:uiPriority w:val="0"/>
    <w:pPr>
      <w:spacing w:line="360" w:lineRule="auto"/>
      <w:ind w:firstLine="720" w:firstLineChars="200"/>
    </w:pPr>
    <w:rPr>
      <w:kern w:val="2"/>
      <w:szCs w:val="22"/>
    </w:rPr>
  </w:style>
  <w:style w:type="paragraph" w:customStyle="1" w:styleId="64">
    <w:name w:val="【正文】"/>
    <w:basedOn w:val="1"/>
    <w:next w:val="63"/>
    <w:qFormat/>
    <w:uiPriority w:val="0"/>
    <w:pPr>
      <w:spacing w:line="360" w:lineRule="auto"/>
    </w:pPr>
    <w:rPr>
      <w:spacing w:val="17"/>
      <w:kern w:val="0"/>
      <w:szCs w:val="20"/>
      <w:lang w:val="zh-CN"/>
    </w:rPr>
  </w:style>
  <w:style w:type="paragraph" w:customStyle="1" w:styleId="65">
    <w:name w:val="表头"/>
    <w:basedOn w:val="12"/>
    <w:qFormat/>
    <w:uiPriority w:val="0"/>
    <w:pPr>
      <w:adjustRightInd w:val="0"/>
      <w:spacing w:before="80" w:after="80"/>
      <w:jc w:val="center"/>
      <w:textAlignment w:val="baseline"/>
    </w:pPr>
    <w:rPr>
      <w:rFonts w:ascii="仿宋_GB2312" w:eastAsia="仿宋_GB2312"/>
      <w:sz w:val="24"/>
    </w:rPr>
  </w:style>
  <w:style w:type="paragraph" w:customStyle="1" w:styleId="66">
    <w:name w:val="报告书正文"/>
    <w:basedOn w:val="1"/>
    <w:qFormat/>
    <w:uiPriority w:val="0"/>
    <w:pPr>
      <w:spacing w:line="360" w:lineRule="auto"/>
      <w:ind w:firstLine="480" w:firstLineChars="200"/>
    </w:pPr>
    <w:rPr>
      <w:sz w:val="24"/>
    </w:rPr>
  </w:style>
  <w:style w:type="character" w:customStyle="1" w:styleId="67">
    <w:name w:val="NormalCharacter"/>
    <w:semiHidden/>
    <w:qFormat/>
    <w:uiPriority w:val="0"/>
    <w:rPr>
      <w:kern w:val="2"/>
      <w:sz w:val="21"/>
      <w:szCs w:val="24"/>
      <w:lang w:val="en-US" w:eastAsia="zh-CN" w:bidi="ar-SA"/>
    </w:rPr>
  </w:style>
  <w:style w:type="character" w:customStyle="1" w:styleId="68">
    <w:name w:val="页脚 字符"/>
    <w:qFormat/>
    <w:uiPriority w:val="99"/>
  </w:style>
  <w:style w:type="character" w:customStyle="1" w:styleId="69">
    <w:name w:val="正文文本 字符1"/>
    <w:semiHidden/>
    <w:qFormat/>
    <w:uiPriority w:val="0"/>
    <w:rPr>
      <w:rFonts w:ascii="Times New Roman" w:hAnsi="Times New Roman" w:eastAsia="宋体"/>
      <w:sz w:val="24"/>
    </w:rPr>
  </w:style>
  <w:style w:type="character" w:customStyle="1" w:styleId="70">
    <w:name w:val="表格 Char"/>
    <w:link w:val="71"/>
    <w:qFormat/>
    <w:locked/>
    <w:uiPriority w:val="0"/>
    <w:rPr>
      <w:rFonts w:ascii="宋体"/>
      <w:sz w:val="21"/>
    </w:rPr>
  </w:style>
  <w:style w:type="paragraph" w:customStyle="1" w:styleId="71">
    <w:name w:val="表格"/>
    <w:basedOn w:val="9"/>
    <w:next w:val="1"/>
    <w:link w:val="70"/>
    <w:qFormat/>
    <w:uiPriority w:val="0"/>
    <w:pPr>
      <w:adjustRightInd w:val="0"/>
      <w:snapToGrid w:val="0"/>
      <w:spacing w:beforeLines="10" w:afterLines="10" w:line="259" w:lineRule="auto"/>
      <w:jc w:val="center"/>
    </w:pPr>
    <w:rPr>
      <w:rFonts w:ascii="宋体"/>
      <w:kern w:val="0"/>
      <w:szCs w:val="20"/>
    </w:rPr>
  </w:style>
  <w:style w:type="character" w:customStyle="1" w:styleId="72">
    <w:name w:val="日期 字符"/>
    <w:semiHidden/>
    <w:qFormat/>
    <w:uiPriority w:val="0"/>
    <w:rPr>
      <w:rFonts w:ascii="Times New Roman" w:hAnsi="Times New Roman" w:eastAsia="宋体"/>
      <w:sz w:val="24"/>
    </w:rPr>
  </w:style>
  <w:style w:type="character" w:customStyle="1" w:styleId="73">
    <w:name w:val="批注文字 字符1"/>
    <w:semiHidden/>
    <w:qFormat/>
    <w:uiPriority w:val="0"/>
    <w:rPr>
      <w:rFonts w:ascii="Times New Roman" w:hAnsi="Times New Roman" w:eastAsia="宋体"/>
      <w:sz w:val="24"/>
    </w:rPr>
  </w:style>
  <w:style w:type="paragraph" w:customStyle="1" w:styleId="74">
    <w:name w:val="正文_10"/>
    <w:qFormat/>
    <w:uiPriority w:val="0"/>
    <w:pPr>
      <w:widowControl w:val="0"/>
      <w:jc w:val="both"/>
    </w:pPr>
    <w:rPr>
      <w:rFonts w:ascii="Times New Roman" w:hAnsi="Times New Roman" w:eastAsia="宋体" w:cs="Times New Roman"/>
      <w:kern w:val="2"/>
      <w:sz w:val="21"/>
      <w:szCs w:val="22"/>
      <w:lang w:val="en-US" w:eastAsia="zh-CN" w:bidi="ar-SA"/>
    </w:rPr>
  </w:style>
  <w:style w:type="paragraph" w:customStyle="1" w:styleId="75">
    <w:name w:val="普通(网站)2"/>
    <w:basedOn w:val="1"/>
    <w:qFormat/>
    <w:uiPriority w:val="0"/>
    <w:pPr>
      <w:widowControl/>
      <w:spacing w:before="100" w:beforeAutospacing="1" w:after="100" w:afterAutospacing="1"/>
      <w:jc w:val="left"/>
    </w:pPr>
    <w:rPr>
      <w:rFonts w:ascii="宋体" w:hAnsi="宋体"/>
      <w:sz w:val="24"/>
      <w:szCs w:val="20"/>
    </w:rPr>
  </w:style>
  <w:style w:type="paragraph" w:styleId="76">
    <w:name w:val="List Paragraph"/>
    <w:basedOn w:val="1"/>
    <w:qFormat/>
    <w:uiPriority w:val="34"/>
    <w:pPr>
      <w:ind w:firstLine="420" w:firstLineChars="200"/>
    </w:pPr>
  </w:style>
  <w:style w:type="paragraph" w:customStyle="1" w:styleId="77">
    <w:name w:val="样式13"/>
    <w:basedOn w:val="1"/>
    <w:link w:val="78"/>
    <w:qFormat/>
    <w:uiPriority w:val="0"/>
    <w:pPr>
      <w:spacing w:line="360" w:lineRule="auto"/>
      <w:ind w:firstLine="480" w:firstLineChars="200"/>
    </w:pPr>
    <w:rPr>
      <w:rFonts w:ascii="宋体" w:hAnsi="宋体"/>
      <w:color w:val="000000"/>
      <w:sz w:val="24"/>
    </w:rPr>
  </w:style>
  <w:style w:type="character" w:customStyle="1" w:styleId="78">
    <w:name w:val="样式13 Char Char"/>
    <w:link w:val="77"/>
    <w:qFormat/>
    <w:uiPriority w:val="0"/>
    <w:rPr>
      <w:rFonts w:ascii="宋体" w:hAnsi="宋体"/>
      <w:color w:val="000000"/>
      <w:kern w:val="2"/>
      <w:sz w:val="24"/>
      <w:szCs w:val="24"/>
    </w:rPr>
  </w:style>
  <w:style w:type="paragraph" w:customStyle="1" w:styleId="79">
    <w:name w:val="Table Paragraph"/>
    <w:basedOn w:val="1"/>
    <w:qFormat/>
    <w:uiPriority w:val="1"/>
    <w:pPr>
      <w:jc w:val="left"/>
    </w:pPr>
    <w:rPr>
      <w:rFonts w:ascii="Calibri" w:hAnsi="Calibri"/>
      <w:kern w:val="0"/>
      <w:sz w:val="22"/>
      <w:szCs w:val="22"/>
      <w:lang w:eastAsia="en-US"/>
    </w:rPr>
  </w:style>
  <w:style w:type="table" w:customStyle="1" w:styleId="80">
    <w:name w:val="Table Normal"/>
    <w:unhideWhenUsed/>
    <w:qFormat/>
    <w:uiPriority w:val="2"/>
    <w:pPr>
      <w:widowControl w:val="0"/>
      <w:autoSpaceDE w:val="0"/>
      <w:autoSpaceDN w:val="0"/>
    </w:pPr>
    <w:rPr>
      <w:rFonts w:ascii="Calibri" w:hAnsi="Calibri"/>
      <w:sz w:val="22"/>
      <w:szCs w:val="22"/>
      <w:lang w:eastAsia="en-US"/>
    </w:rPr>
    <w:tblPr>
      <w:tblCellMar>
        <w:top w:w="0" w:type="dxa"/>
        <w:left w:w="0" w:type="dxa"/>
        <w:bottom w:w="0" w:type="dxa"/>
        <w:right w:w="0" w:type="dxa"/>
      </w:tblCellMar>
    </w:tblPr>
  </w:style>
  <w:style w:type="paragraph" w:customStyle="1" w:styleId="81">
    <w:name w:val="正文B"/>
    <w:basedOn w:val="1"/>
    <w:link w:val="82"/>
    <w:qFormat/>
    <w:uiPriority w:val="0"/>
    <w:pPr>
      <w:spacing w:line="360" w:lineRule="auto"/>
      <w:ind w:firstLine="200" w:firstLineChars="200"/>
    </w:pPr>
    <w:rPr>
      <w:rFonts w:ascii="宋体" w:hAnsi="宋体" w:cs="宋体"/>
      <w:sz w:val="24"/>
      <w:szCs w:val="20"/>
    </w:rPr>
  </w:style>
  <w:style w:type="character" w:customStyle="1" w:styleId="82">
    <w:name w:val="正文B Char"/>
    <w:link w:val="81"/>
    <w:qFormat/>
    <w:uiPriority w:val="0"/>
    <w:rPr>
      <w:rFonts w:ascii="宋体" w:hAnsi="宋体" w:cs="宋体"/>
      <w:kern w:val="2"/>
      <w:sz w:val="24"/>
    </w:rPr>
  </w:style>
  <w:style w:type="paragraph" w:customStyle="1" w:styleId="83">
    <w:name w:val="报告表中表格1"/>
    <w:basedOn w:val="1"/>
    <w:qFormat/>
    <w:uiPriority w:val="0"/>
    <w:pPr>
      <w:adjustRightInd w:val="0"/>
      <w:snapToGrid w:val="0"/>
      <w:spacing w:line="300" w:lineRule="exact"/>
      <w:jc w:val="center"/>
    </w:pPr>
    <w:rPr>
      <w:rFonts w:ascii="宋体" w:hAnsi="宋体"/>
      <w:bCs/>
      <w:color w:val="000000"/>
      <w:kern w:val="0"/>
      <w:sz w:val="18"/>
      <w:szCs w:val="21"/>
    </w:rPr>
  </w:style>
  <w:style w:type="paragraph" w:customStyle="1" w:styleId="84">
    <w:name w:val="报告正文"/>
    <w:basedOn w:val="85"/>
    <w:qFormat/>
    <w:uiPriority w:val="0"/>
    <w:pPr>
      <w:adjustRightInd w:val="0"/>
      <w:snapToGrid w:val="0"/>
      <w:spacing w:line="480" w:lineRule="exact"/>
      <w:ind w:firstLine="200" w:firstLineChars="200"/>
    </w:pPr>
    <w:rPr>
      <w:sz w:val="24"/>
    </w:rPr>
  </w:style>
  <w:style w:type="paragraph" w:customStyle="1" w:styleId="85">
    <w:name w:val="p17"/>
    <w:basedOn w:val="1"/>
    <w:qFormat/>
    <w:uiPriority w:val="0"/>
    <w:pPr>
      <w:widowControl/>
    </w:pPr>
    <w:rPr>
      <w:rFonts w:ascii="宋体" w:hAnsi="宋体" w:cs="宋体"/>
      <w:kern w:val="0"/>
      <w:szCs w:val="21"/>
    </w:rPr>
  </w:style>
  <w:style w:type="paragraph" w:customStyle="1" w:styleId="86">
    <w:name w:val="表格内容"/>
    <w:next w:val="1"/>
    <w:qFormat/>
    <w:uiPriority w:val="0"/>
    <w:pPr>
      <w:jc w:val="center"/>
    </w:pPr>
    <w:rPr>
      <w:rFonts w:ascii="Times New Roman" w:hAnsi="Times New Roman" w:eastAsia="Times New Roman" w:cs="Times New Roman"/>
      <w:kern w:val="2"/>
      <w:sz w:val="21"/>
      <w:szCs w:val="21"/>
      <w:lang w:val="en-US" w:eastAsia="zh-CN" w:bidi="ar-SA"/>
    </w:rPr>
  </w:style>
  <w:style w:type="paragraph" w:customStyle="1" w:styleId="87">
    <w:name w:val="表格 内容"/>
    <w:basedOn w:val="1"/>
    <w:qFormat/>
    <w:uiPriority w:val="0"/>
    <w:pPr>
      <w:autoSpaceDE w:val="0"/>
      <w:autoSpaceDN w:val="0"/>
      <w:adjustRightInd w:val="0"/>
      <w:jc w:val="center"/>
    </w:pPr>
    <w:rPr>
      <w:kern w:val="0"/>
      <w:szCs w:val="44"/>
    </w:rPr>
  </w:style>
  <w:style w:type="paragraph" w:customStyle="1" w:styleId="88">
    <w:name w:val="环保表内字（小五）"/>
    <w:basedOn w:val="1"/>
    <w:qFormat/>
    <w:uiPriority w:val="0"/>
    <w:pPr>
      <w:adjustRightInd w:val="0"/>
      <w:snapToGrid w:val="0"/>
      <w:spacing w:line="0" w:lineRule="atLeast"/>
      <w:jc w:val="center"/>
    </w:pPr>
    <w:rPr>
      <w:snapToGrid w:val="0"/>
      <w:color w:val="FF0000"/>
      <w:kern w:val="0"/>
      <w:sz w:val="24"/>
    </w:rPr>
  </w:style>
  <w:style w:type="paragraph" w:customStyle="1" w:styleId="89">
    <w:name w:val="正文文本缩进 21"/>
    <w:basedOn w:val="1"/>
    <w:qFormat/>
    <w:uiPriority w:val="0"/>
    <w:pPr>
      <w:spacing w:line="400" w:lineRule="exact"/>
      <w:ind w:firstLine="480" w:firstLineChars="200"/>
    </w:pPr>
    <w:rPr>
      <w:sz w:val="24"/>
    </w:rPr>
  </w:style>
  <w:style w:type="paragraph" w:customStyle="1" w:styleId="90">
    <w:name w:val="表格（窄）"/>
    <w:basedOn w:val="1"/>
    <w:qFormat/>
    <w:uiPriority w:val="0"/>
    <w:pPr>
      <w:jc w:val="center"/>
    </w:pPr>
    <w:rPr>
      <w:kern w:val="0"/>
    </w:rPr>
  </w:style>
  <w:style w:type="paragraph" w:customStyle="1" w:styleId="91">
    <w:name w:val="样式 小四 居中 行距: 1.5 倍行距"/>
    <w:basedOn w:val="1"/>
    <w:qFormat/>
    <w:uiPriority w:val="0"/>
    <w:pPr>
      <w:spacing w:line="360" w:lineRule="auto"/>
      <w:jc w:val="center"/>
    </w:pPr>
    <w:rPr>
      <w:rFonts w:eastAsia="黑体"/>
    </w:rPr>
  </w:style>
  <w:style w:type="paragraph" w:customStyle="1" w:styleId="92">
    <w:name w:val="环保正文"/>
    <w:basedOn w:val="1"/>
    <w:qFormat/>
    <w:uiPriority w:val="0"/>
    <w:pPr>
      <w:spacing w:line="360" w:lineRule="auto"/>
      <w:ind w:firstLine="200" w:firstLineChars="200"/>
    </w:pPr>
    <w:rPr>
      <w:sz w:val="24"/>
      <w:szCs w:val="22"/>
    </w:rPr>
  </w:style>
  <w:style w:type="paragraph" w:customStyle="1" w:styleId="93">
    <w:name w:val="新表头2"/>
    <w:basedOn w:val="94"/>
    <w:qFormat/>
    <w:uiPriority w:val="0"/>
    <w:pPr>
      <w:tabs>
        <w:tab w:val="center" w:pos="3990"/>
        <w:tab w:val="center" w:pos="4011"/>
      </w:tabs>
    </w:pPr>
  </w:style>
  <w:style w:type="paragraph" w:customStyle="1" w:styleId="94">
    <w:name w:val="新表头"/>
    <w:basedOn w:val="1"/>
    <w:qFormat/>
    <w:uiPriority w:val="0"/>
    <w:pPr>
      <w:tabs>
        <w:tab w:val="center" w:pos="4011"/>
      </w:tabs>
      <w:ind w:firstLine="422" w:firstLineChars="200"/>
    </w:pPr>
    <w:rPr>
      <w:b/>
    </w:rPr>
  </w:style>
  <w:style w:type="paragraph" w:customStyle="1" w:styleId="95">
    <w:name w:val="样式1"/>
    <w:basedOn w:val="9"/>
    <w:next w:val="14"/>
    <w:qFormat/>
    <w:uiPriority w:val="0"/>
    <w:pPr>
      <w:tabs>
        <w:tab w:val="right" w:leader="dot" w:pos="8607"/>
        <w:tab w:val="right" w:leader="dot" w:pos="8891"/>
      </w:tabs>
      <w:spacing w:line="360" w:lineRule="auto"/>
      <w:ind w:firstLine="482"/>
      <w:jc w:val="left"/>
    </w:pPr>
    <w:rPr>
      <w:sz w:val="24"/>
      <w:szCs w:val="28"/>
    </w:rPr>
  </w:style>
  <w:style w:type="paragraph" w:customStyle="1" w:styleId="96">
    <w:name w:val="L-报告正文"/>
    <w:basedOn w:val="1"/>
    <w:qFormat/>
    <w:uiPriority w:val="0"/>
    <w:pPr>
      <w:widowControl/>
      <w:adjustRightInd w:val="0"/>
      <w:spacing w:line="360" w:lineRule="auto"/>
      <w:ind w:firstLine="200" w:firstLineChars="200"/>
    </w:pPr>
    <w:rPr>
      <w:kern w:val="0"/>
      <w:sz w:val="24"/>
    </w:rPr>
  </w:style>
  <w:style w:type="paragraph" w:customStyle="1" w:styleId="97">
    <w:name w:val="样式 小四 黑色 行距: 固定值 25 磅1"/>
    <w:basedOn w:val="1"/>
    <w:qFormat/>
    <w:uiPriority w:val="0"/>
    <w:pPr>
      <w:spacing w:line="500" w:lineRule="exact"/>
      <w:ind w:firstLine="480" w:firstLineChars="200"/>
    </w:pPr>
    <w:rPr>
      <w:rFonts w:cs="宋体"/>
      <w:color w:val="000000"/>
      <w:sz w:val="24"/>
      <w:szCs w:val="21"/>
    </w:rPr>
  </w:style>
  <w:style w:type="paragraph" w:customStyle="1" w:styleId="98">
    <w:name w:val="环保表头"/>
    <w:qFormat/>
    <w:uiPriority w:val="0"/>
    <w:pPr>
      <w:spacing w:before="159" w:beforeLines="50"/>
      <w:jc w:val="center"/>
    </w:pPr>
    <w:rPr>
      <w:rFonts w:ascii="宋体" w:hAnsi="宋体" w:eastAsia="黑体" w:cs="Times New Roman"/>
      <w:b/>
      <w:kern w:val="2"/>
      <w:sz w:val="21"/>
      <w:szCs w:val="21"/>
      <w:lang w:val="en-US" w:eastAsia="zh-CN" w:bidi="ar-SA"/>
    </w:rPr>
  </w:style>
  <w:style w:type="paragraph" w:customStyle="1" w:styleId="99">
    <w:name w:val="正文（首行缩进）"/>
    <w:basedOn w:val="1"/>
    <w:qFormat/>
    <w:uiPriority w:val="0"/>
    <w:pPr>
      <w:spacing w:line="360" w:lineRule="auto"/>
      <w:ind w:firstLine="560"/>
    </w:pPr>
    <w:rPr>
      <w:szCs w:val="21"/>
      <w:lang w:val="zh-CN"/>
    </w:rPr>
  </w:style>
  <w:style w:type="paragraph" w:customStyle="1" w:styleId="100">
    <w:name w:val="表内容"/>
    <w:basedOn w:val="1"/>
    <w:next w:val="1"/>
    <w:qFormat/>
    <w:uiPriority w:val="0"/>
    <w:pPr>
      <w:spacing w:line="320" w:lineRule="exact"/>
      <w:jc w:val="center"/>
    </w:pPr>
    <w:rPr>
      <w:szCs w:val="20"/>
    </w:rPr>
  </w:style>
  <w:style w:type="paragraph" w:customStyle="1" w:styleId="101">
    <w:name w:val="样式 正文 +1"/>
    <w:basedOn w:val="1"/>
    <w:qFormat/>
    <w:uiPriority w:val="0"/>
    <w:pPr>
      <w:spacing w:line="360" w:lineRule="auto"/>
      <w:ind w:firstLine="200" w:firstLineChars="200"/>
      <w:jc w:val="left"/>
    </w:pPr>
    <w:rPr>
      <w:rFonts w:cs="宋体"/>
      <w:sz w:val="24"/>
      <w:szCs w:val="20"/>
    </w:rPr>
  </w:style>
  <w:style w:type="paragraph" w:customStyle="1" w:styleId="102">
    <w:name w:val="环正文"/>
    <w:basedOn w:val="1"/>
    <w:qFormat/>
    <w:uiPriority w:val="0"/>
    <w:pPr>
      <w:widowControl/>
      <w:suppressAutoHyphens/>
      <w:adjustRightInd w:val="0"/>
      <w:spacing w:line="500" w:lineRule="exact"/>
      <w:ind w:firstLine="555"/>
      <w:textAlignment w:val="baseline"/>
    </w:pPr>
    <w:rPr>
      <w:rFonts w:eastAsia="仿宋_GB2312"/>
      <w:color w:val="000000"/>
      <w:kern w:val="0"/>
      <w:sz w:val="28"/>
      <w:szCs w:val="28"/>
    </w:rPr>
  </w:style>
  <w:style w:type="paragraph" w:customStyle="1" w:styleId="103">
    <w:name w:val="环表头"/>
    <w:basedOn w:val="1"/>
    <w:qFormat/>
    <w:uiPriority w:val="0"/>
    <w:pPr>
      <w:widowControl/>
      <w:suppressAutoHyphens/>
      <w:adjustRightInd w:val="0"/>
      <w:spacing w:before="156" w:beforeLines="50" w:line="500" w:lineRule="exact"/>
      <w:jc w:val="center"/>
      <w:textAlignment w:val="baseline"/>
    </w:pPr>
    <w:rPr>
      <w:rFonts w:eastAsia="仿宋_GB2312"/>
      <w:b/>
      <w:color w:val="000000"/>
      <w:kern w:val="0"/>
      <w:sz w:val="28"/>
      <w:szCs w:val="28"/>
    </w:rPr>
  </w:style>
  <w:style w:type="character" w:customStyle="1" w:styleId="104">
    <w:name w:val="font21"/>
    <w:qFormat/>
    <w:uiPriority w:val="0"/>
    <w:rPr>
      <w:rFonts w:hint="eastAsia" w:ascii="宋体" w:hAnsi="宋体" w:eastAsia="宋体" w:cs="宋体"/>
      <w:color w:val="000000"/>
      <w:sz w:val="22"/>
      <w:szCs w:val="22"/>
      <w:u w:val="none"/>
    </w:rPr>
  </w:style>
  <w:style w:type="character" w:customStyle="1" w:styleId="105">
    <w:name w:val="font41"/>
    <w:qFormat/>
    <w:uiPriority w:val="0"/>
    <w:rPr>
      <w:rFonts w:hint="default" w:ascii="Times New Roman" w:hAnsi="Times New Roman" w:cs="Times New Roman"/>
      <w:color w:val="000000"/>
      <w:sz w:val="22"/>
      <w:szCs w:val="22"/>
      <w:u w:val="none"/>
    </w:rPr>
  </w:style>
  <w:style w:type="character" w:customStyle="1" w:styleId="106">
    <w:name w:val="font11"/>
    <w:qFormat/>
    <w:uiPriority w:val="0"/>
    <w:rPr>
      <w:rFonts w:hint="default" w:ascii="Times New Roman" w:hAnsi="Times New Roman" w:cs="Times New Roman"/>
      <w:color w:val="000000"/>
      <w:sz w:val="24"/>
      <w:szCs w:val="24"/>
      <w:u w:val="none"/>
    </w:rPr>
  </w:style>
  <w:style w:type="character" w:customStyle="1" w:styleId="107">
    <w:name w:val="font31"/>
    <w:basedOn w:val="36"/>
    <w:qFormat/>
    <w:uiPriority w:val="0"/>
    <w:rPr>
      <w:rFonts w:ascii="Wingdings 2" w:hAnsi="Wingdings 2" w:eastAsia="Wingdings 2" w:cs="Wingdings 2"/>
      <w:color w:val="000000"/>
      <w:sz w:val="24"/>
      <w:szCs w:val="24"/>
      <w:u w:val="none"/>
    </w:rPr>
  </w:style>
  <w:style w:type="character" w:customStyle="1" w:styleId="108">
    <w:name w:val="font01"/>
    <w:qFormat/>
    <w:uiPriority w:val="0"/>
    <w:rPr>
      <w:rFonts w:hint="eastAsia" w:ascii="宋体" w:hAnsi="宋体" w:eastAsia="宋体" w:cs="宋体"/>
      <w:color w:val="000000"/>
      <w:sz w:val="22"/>
      <w:szCs w:val="22"/>
      <w:u w:val="none"/>
      <w:vertAlign w:val="subscript"/>
    </w:rPr>
  </w:style>
  <w:style w:type="paragraph" w:customStyle="1" w:styleId="109">
    <w:name w:val="报告书"/>
    <w:basedOn w:val="1"/>
    <w:qFormat/>
    <w:uiPriority w:val="0"/>
    <w:pPr>
      <w:autoSpaceDE w:val="0"/>
      <w:autoSpaceDN w:val="0"/>
      <w:adjustRightInd w:val="0"/>
      <w:spacing w:line="360" w:lineRule="auto"/>
      <w:ind w:firstLine="480" w:firstLineChars="200"/>
      <w:textAlignment w:val="bottom"/>
    </w:pPr>
    <w:rPr>
      <w:rFonts w:hAnsi="宋体"/>
      <w:bCs/>
      <w:kern w:val="0"/>
      <w:sz w:val="24"/>
    </w:rPr>
  </w:style>
  <w:style w:type="paragraph" w:customStyle="1" w:styleId="110">
    <w:name w:val="正文小四首缩1.3行距"/>
    <w:basedOn w:val="1"/>
    <w:qFormat/>
    <w:uiPriority w:val="0"/>
    <w:pPr>
      <w:spacing w:line="360" w:lineRule="auto"/>
      <w:ind w:firstLine="480" w:firstLineChars="200"/>
    </w:pPr>
    <w:rPr>
      <w:rFonts w:eastAsia="Times New Roman"/>
      <w:bCs/>
      <w:kern w:val="0"/>
      <w:sz w:val="24"/>
    </w:rPr>
  </w:style>
  <w:style w:type="paragraph" w:customStyle="1" w:styleId="111">
    <w:name w:val="环评表-正文小四首行缩进2-1.5倍行距"/>
    <w:basedOn w:val="1"/>
    <w:qFormat/>
    <w:uiPriority w:val="0"/>
    <w:pPr>
      <w:adjustRightInd w:val="0"/>
      <w:snapToGrid w:val="0"/>
      <w:spacing w:line="360" w:lineRule="auto"/>
      <w:ind w:firstLine="720" w:firstLineChars="200"/>
    </w:pPr>
    <w:rPr>
      <w:sz w:val="24"/>
    </w:rPr>
  </w:style>
  <w:style w:type="paragraph" w:customStyle="1" w:styleId="112">
    <w:name w:val="表文字"/>
    <w:qFormat/>
    <w:uiPriority w:val="0"/>
    <w:pPr>
      <w:spacing w:before="20" w:beforeLines="20" w:after="20" w:afterLines="20"/>
      <w:jc w:val="center"/>
    </w:pPr>
    <w:rPr>
      <w:rFonts w:ascii="Times New Roman" w:hAnsi="Times New Roman" w:eastAsia="宋体" w:cs="Times New Roman"/>
      <w:sz w:val="21"/>
      <w:szCs w:val="22"/>
      <w:lang w:val="en-US" w:eastAsia="zh-CN" w:bidi="ar-SA"/>
    </w:rPr>
  </w:style>
  <w:style w:type="paragraph" w:customStyle="1" w:styleId="113">
    <w:name w:val="大气正文"/>
    <w:basedOn w:val="1"/>
    <w:qFormat/>
    <w:uiPriority w:val="0"/>
    <w:pPr>
      <w:spacing w:line="440" w:lineRule="exact"/>
      <w:ind w:firstLine="200" w:firstLineChars="200"/>
      <w:jc w:val="left"/>
    </w:pPr>
    <w:rPr>
      <w:sz w:val="24"/>
    </w:rPr>
  </w:style>
  <w:style w:type="paragraph" w:customStyle="1" w:styleId="114">
    <w:name w:val="(a正文"/>
    <w:basedOn w:val="1"/>
    <w:qFormat/>
    <w:uiPriority w:val="0"/>
    <w:pPr>
      <w:spacing w:line="360" w:lineRule="auto"/>
      <w:ind w:firstLine="200" w:firstLineChars="200"/>
    </w:pPr>
    <w:rPr>
      <w:color w:val="000000"/>
      <w:kern w:val="0"/>
      <w:sz w:val="24"/>
    </w:rPr>
  </w:style>
  <w:style w:type="paragraph" w:customStyle="1" w:styleId="115">
    <w:name w:val="宁"/>
    <w:basedOn w:val="1"/>
    <w:qFormat/>
    <w:uiPriority w:val="0"/>
    <w:pPr>
      <w:spacing w:line="360" w:lineRule="auto"/>
      <w:ind w:firstLine="1446" w:firstLineChars="200"/>
    </w:pPr>
    <w:rPr>
      <w:kern w:val="0"/>
      <w:sz w:val="24"/>
    </w:rPr>
  </w:style>
  <w:style w:type="paragraph" w:customStyle="1" w:styleId="116">
    <w:name w:val="Table Text"/>
    <w:basedOn w:val="1"/>
    <w:semiHidden/>
    <w:qFormat/>
    <w:uiPriority w:val="0"/>
    <w:rPr>
      <w:rFonts w:ascii="宋体" w:hAnsi="宋体" w:cs="宋体"/>
      <w:sz w:val="24"/>
      <w:lang w:eastAsia="en-US"/>
    </w:rPr>
  </w:style>
  <w:style w:type="paragraph" w:customStyle="1" w:styleId="117">
    <w:name w:val="表内"/>
    <w:basedOn w:val="118"/>
    <w:qFormat/>
    <w:uiPriority w:val="0"/>
    <w:pPr>
      <w:spacing w:before="0" w:beforeLines="0"/>
      <w:jc w:val="center"/>
    </w:pPr>
    <w:rPr>
      <w:b w:val="0"/>
    </w:rPr>
  </w:style>
  <w:style w:type="paragraph" w:customStyle="1" w:styleId="118">
    <w:name w:val="表头文字"/>
    <w:basedOn w:val="1"/>
    <w:next w:val="119"/>
    <w:qFormat/>
    <w:uiPriority w:val="0"/>
    <w:pPr>
      <w:widowControl/>
      <w:spacing w:before="100" w:beforeLines="100"/>
      <w:jc w:val="left"/>
    </w:pPr>
    <w:rPr>
      <w:b/>
      <w:kern w:val="0"/>
    </w:rPr>
  </w:style>
  <w:style w:type="paragraph" w:customStyle="1" w:styleId="119">
    <w:name w:val="表内文字"/>
    <w:basedOn w:val="12"/>
    <w:qFormat/>
    <w:uiPriority w:val="0"/>
    <w:pPr>
      <w:spacing w:line="240" w:lineRule="auto"/>
      <w:jc w:val="center"/>
    </w:pPr>
    <w:rPr>
      <w:sz w:val="21"/>
      <w:lang w:val="zh-CN"/>
    </w:rPr>
  </w:style>
  <w:style w:type="table" w:customStyle="1" w:styleId="120">
    <w:name w:val="标准表格"/>
    <w:basedOn w:val="34"/>
    <w:qFormat/>
    <w:uiPriority w:val="0"/>
    <w:pPr>
      <w:spacing w:before="74"/>
      <w:jc w:val="center"/>
    </w:pPr>
    <w:rPr>
      <w:sz w:val="18"/>
      <w:szCs w:val="18"/>
    </w:rPr>
    <w:tblP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Pr>
    <w:tcPr>
      <w:shd w:val="clear" w:color="auto" w:fill="CCE8CF"/>
      <w:vAlign w:val="center"/>
    </w:tcPr>
    <w:tblStylePr w:type="firstRow">
      <w:pPr>
        <w:ind w:firstLine="0" w:firstLineChars="0"/>
        <w:jc w:val="center"/>
      </w:pPr>
      <w:rPr>
        <w:rFonts w:hint="default" w:ascii="Times New Roman" w:hAnsi="Times New Roman" w:cs="Times New Roman"/>
        <w:sz w:val="18"/>
        <w:szCs w:val="18"/>
      </w:rPr>
    </w:tblStylePr>
    <w:tblStylePr w:type="firstCol">
      <w:pPr>
        <w:jc w:val="center"/>
      </w:pPr>
    </w:tblStylePr>
  </w:style>
  <w:style w:type="paragraph" w:customStyle="1" w:styleId="121">
    <w:name w:val="图题"/>
    <w:basedOn w:val="5"/>
    <w:autoRedefine/>
    <w:qFormat/>
    <w:uiPriority w:val="0"/>
    <w:pPr>
      <w:keepNext w:val="0"/>
      <w:spacing w:line="40" w:lineRule="atLeast"/>
      <w:outlineLvl w:val="9"/>
    </w:pPr>
    <w:rPr>
      <w:szCs w:val="20"/>
    </w:rPr>
  </w:style>
  <w:style w:type="paragraph" w:customStyle="1" w:styleId="122">
    <w:name w:val="表格内"/>
    <w:basedOn w:val="1"/>
    <w:next w:val="1"/>
    <w:qFormat/>
    <w:uiPriority w:val="0"/>
    <w:pPr>
      <w:adjustRightInd w:val="0"/>
      <w:snapToGrid w:val="0"/>
      <w:spacing w:before="40" w:after="40"/>
      <w:jc w:val="center"/>
    </w:pPr>
    <w:rPr>
      <w:kern w:val="0"/>
    </w:rPr>
  </w:style>
  <w:style w:type="paragraph" w:customStyle="1" w:styleId="123">
    <w:name w:val="正文A"/>
    <w:basedOn w:val="15"/>
    <w:autoRedefine/>
    <w:qFormat/>
    <w:uiPriority w:val="0"/>
    <w:pPr>
      <w:snapToGrid w:val="0"/>
      <w:spacing w:line="360" w:lineRule="auto"/>
      <w:ind w:firstLine="201" w:firstLineChars="201"/>
    </w:pPr>
    <w:rPr>
      <w:rFonts w:hAnsi="宋体"/>
      <w:szCs w:val="21"/>
    </w:rPr>
  </w:style>
  <w:style w:type="paragraph" w:customStyle="1" w:styleId="124">
    <w:name w:val="正文6.20"/>
    <w:basedOn w:val="1"/>
    <w:autoRedefine/>
    <w:qFormat/>
    <w:uiPriority w:val="0"/>
    <w:pPr>
      <w:ind w:firstLine="480" w:firstLineChars="200"/>
    </w:pPr>
  </w:style>
  <w:style w:type="paragraph" w:customStyle="1" w:styleId="125">
    <w:name w:val="a-表内"/>
    <w:autoRedefine/>
    <w:qFormat/>
    <w:uiPriority w:val="0"/>
    <w:pPr>
      <w:adjustRightInd w:val="0"/>
      <w:snapToGrid w:val="0"/>
      <w:jc w:val="center"/>
    </w:pPr>
    <w:rPr>
      <w:rFonts w:ascii="Times New Roman" w:hAnsi="Times New Roman" w:eastAsia="宋体" w:cs="Times New Roman"/>
      <w:color w:val="000000"/>
      <w:kern w:val="2"/>
      <w:sz w:val="21"/>
      <w:szCs w:val="21"/>
      <w:lang w:val="en-US" w:eastAsia="zh-CN" w:bidi="ar-SA"/>
    </w:rPr>
  </w:style>
  <w:style w:type="paragraph" w:customStyle="1" w:styleId="126">
    <w:name w:val="正文内容"/>
    <w:basedOn w:val="1"/>
    <w:autoRedefine/>
    <w:qFormat/>
    <w:uiPriority w:val="0"/>
    <w:pPr>
      <w:ind w:firstLine="200" w:firstLineChars="200"/>
    </w:pPr>
    <w:rPr>
      <w:sz w:val="28"/>
    </w:rPr>
  </w:style>
  <w:style w:type="paragraph" w:customStyle="1" w:styleId="127">
    <w:name w:val="Body text|1"/>
    <w:basedOn w:val="1"/>
    <w:qFormat/>
    <w:uiPriority w:val="0"/>
    <w:pPr>
      <w:spacing w:line="264" w:lineRule="auto"/>
    </w:pPr>
    <w:rPr>
      <w:rFonts w:ascii="宋体" w:hAnsi="宋体" w:cs="宋体"/>
      <w:sz w:val="26"/>
      <w:szCs w:val="26"/>
      <w:lang w:val="zh-TW" w:eastAsia="zh-TW" w:bidi="zh-TW"/>
    </w:rPr>
  </w:style>
  <w:style w:type="paragraph" w:customStyle="1" w:styleId="128">
    <w:name w:val="Other|1"/>
    <w:basedOn w:val="1"/>
    <w:qFormat/>
    <w:uiPriority w:val="0"/>
    <w:rPr>
      <w:rFonts w:ascii="宋体" w:hAnsi="宋体" w:cs="宋体"/>
      <w:sz w:val="36"/>
      <w:szCs w:val="36"/>
      <w:lang w:val="zh-TW" w:eastAsia="zh-TW" w:bidi="zh-TW"/>
    </w:rPr>
  </w:style>
  <w:style w:type="paragraph" w:customStyle="1" w:styleId="129">
    <w:name w:val="表格正文"/>
    <w:basedOn w:val="130"/>
    <w:qFormat/>
    <w:uiPriority w:val="0"/>
    <w:pPr>
      <w:widowControl/>
      <w:spacing w:line="240" w:lineRule="auto"/>
      <w:jc w:val="center"/>
    </w:pPr>
    <w:rPr>
      <w:sz w:val="21"/>
    </w:rPr>
  </w:style>
  <w:style w:type="paragraph" w:customStyle="1" w:styleId="130">
    <w:name w:val="环评正文"/>
    <w:basedOn w:val="1"/>
    <w:qFormat/>
    <w:uiPriority w:val="0"/>
    <w:pPr>
      <w:spacing w:line="360" w:lineRule="auto"/>
      <w:jc w:val="left"/>
    </w:pPr>
    <w:rPr>
      <w:color w:val="000000"/>
      <w:sz w:val="24"/>
    </w:rPr>
  </w:style>
  <w:style w:type="paragraph" w:customStyle="1" w:styleId="131">
    <w:name w:val="Table caption|1"/>
    <w:basedOn w:val="1"/>
    <w:qFormat/>
    <w:uiPriority w:val="0"/>
    <w:rPr>
      <w:rFonts w:ascii="宋体" w:hAnsi="宋体" w:cs="宋体"/>
      <w:sz w:val="36"/>
      <w:szCs w:val="36"/>
      <w:lang w:val="zh-TW" w:eastAsia="zh-TW" w:bidi="zh-TW"/>
    </w:rPr>
  </w:style>
  <w:style w:type="paragraph" w:customStyle="1" w:styleId="132">
    <w:name w:val="一级条标题"/>
    <w:next w:val="133"/>
    <w:qFormat/>
    <w:uiPriority w:val="0"/>
    <w:pPr>
      <w:numPr>
        <w:ilvl w:val="1"/>
        <w:numId w:val="2"/>
      </w:numPr>
      <w:spacing w:before="156" w:beforeLines="50" w:after="156" w:afterLines="50"/>
      <w:outlineLvl w:val="2"/>
    </w:pPr>
    <w:rPr>
      <w:rFonts w:ascii="黑体" w:hAnsi="Times New Roman" w:eastAsia="黑体" w:cs="Times New Roman"/>
      <w:sz w:val="21"/>
      <w:szCs w:val="21"/>
      <w:lang w:val="en-US" w:eastAsia="zh-CN" w:bidi="ar-SA"/>
    </w:rPr>
  </w:style>
  <w:style w:type="paragraph" w:customStyle="1" w:styleId="133">
    <w:name w:val="段"/>
    <w:qFormat/>
    <w:uiPriority w:val="0"/>
    <w:pPr>
      <w:tabs>
        <w:tab w:val="center" w:pos="4201"/>
        <w:tab w:val="right" w:leader="dot" w:pos="9298"/>
      </w:tabs>
      <w:autoSpaceDE w:val="0"/>
      <w:autoSpaceDN w:val="0"/>
      <w:ind w:firstLine="420" w:firstLineChars="200"/>
      <w:jc w:val="both"/>
    </w:pPr>
    <w:rPr>
      <w:rFonts w:ascii="宋体" w:hAnsi="Times New Roman" w:eastAsia="宋体" w:cs="Times New Roman"/>
      <w:sz w:val="21"/>
      <w:lang w:val="en-US" w:eastAsia="zh-CN" w:bidi="ar-SA"/>
    </w:rPr>
  </w:style>
  <w:style w:type="paragraph" w:customStyle="1" w:styleId="134">
    <w:name w:val="二级无"/>
    <w:basedOn w:val="135"/>
    <w:qFormat/>
    <w:uiPriority w:val="0"/>
    <w:pPr>
      <w:spacing w:before="0" w:beforeLines="0" w:after="0" w:afterLines="0"/>
    </w:pPr>
    <w:rPr>
      <w:rFonts w:ascii="宋体" w:eastAsia="宋体"/>
    </w:rPr>
  </w:style>
  <w:style w:type="paragraph" w:customStyle="1" w:styleId="135">
    <w:name w:val="二级条标题"/>
    <w:basedOn w:val="132"/>
    <w:next w:val="133"/>
    <w:qFormat/>
    <w:uiPriority w:val="0"/>
    <w:pPr>
      <w:numPr>
        <w:ilvl w:val="2"/>
      </w:numPr>
      <w:spacing w:before="50" w:after="50"/>
      <w:outlineLvl w:val="3"/>
    </w:pPr>
  </w:style>
  <w:style w:type="paragraph" w:customStyle="1" w:styleId="136">
    <w:name w:val="字母编号列项（一级）"/>
    <w:qFormat/>
    <w:uiPriority w:val="0"/>
    <w:pPr>
      <w:numPr>
        <w:ilvl w:val="0"/>
        <w:numId w:val="3"/>
      </w:numPr>
      <w:jc w:val="both"/>
    </w:pPr>
    <w:rPr>
      <w:rFonts w:ascii="宋体" w:hAnsi="Times New Roman" w:eastAsia="宋体" w:cs="Times New Roman"/>
      <w:sz w:val="21"/>
      <w:lang w:val="en-US" w:eastAsia="zh-CN" w:bidi="ar-SA"/>
    </w:rPr>
  </w:style>
  <w:style w:type="paragraph" w:customStyle="1" w:styleId="137">
    <w:name w:val="三级无"/>
    <w:basedOn w:val="138"/>
    <w:qFormat/>
    <w:uiPriority w:val="0"/>
    <w:pPr>
      <w:spacing w:before="0" w:beforeLines="0" w:after="0" w:afterLines="0"/>
    </w:pPr>
    <w:rPr>
      <w:rFonts w:ascii="宋体" w:eastAsia="宋体"/>
    </w:rPr>
  </w:style>
  <w:style w:type="paragraph" w:customStyle="1" w:styleId="138">
    <w:name w:val="三级条标题"/>
    <w:basedOn w:val="135"/>
    <w:next w:val="133"/>
    <w:qFormat/>
    <w:uiPriority w:val="0"/>
    <w:pPr>
      <w:numPr>
        <w:ilvl w:val="3"/>
      </w:numPr>
      <w:outlineLvl w:val="4"/>
    </w:pPr>
  </w:style>
  <w:style w:type="paragraph" w:customStyle="1" w:styleId="139">
    <w:name w:val="章标题"/>
    <w:next w:val="133"/>
    <w:qFormat/>
    <w:uiPriority w:val="0"/>
    <w:pPr>
      <w:numPr>
        <w:ilvl w:val="0"/>
        <w:numId w:val="2"/>
      </w:numPr>
      <w:spacing w:before="312" w:beforeLines="100" w:after="312" w:afterLines="100"/>
      <w:jc w:val="both"/>
      <w:outlineLvl w:val="1"/>
    </w:pPr>
    <w:rPr>
      <w:rFonts w:ascii="黑体" w:hAnsi="Times New Roman" w:eastAsia="黑体" w:cs="Times New Roman"/>
      <w:sz w:val="21"/>
      <w:lang w:val="en-US" w:eastAsia="zh-CN" w:bidi="ar-SA"/>
    </w:rPr>
  </w:style>
  <w:style w:type="paragraph" w:customStyle="1" w:styleId="140">
    <w:name w:val="1正文段落"/>
    <w:basedOn w:val="1"/>
    <w:qFormat/>
    <w:uiPriority w:val="0"/>
    <w:pPr>
      <w:spacing w:line="360" w:lineRule="auto"/>
      <w:ind w:firstLine="480" w:firstLineChars="200"/>
      <w:jc w:val="left"/>
    </w:pPr>
    <w:rPr>
      <w:snapToGrid w:val="0"/>
      <w:kern w:val="0"/>
      <w:sz w:val="24"/>
    </w:rPr>
  </w:style>
  <w:style w:type="paragraph" w:customStyle="1" w:styleId="141">
    <w:name w:val="1 博创正文"/>
    <w:basedOn w:val="1"/>
    <w:qFormat/>
    <w:uiPriority w:val="0"/>
    <w:pPr>
      <w:adjustRightInd w:val="0"/>
      <w:snapToGrid w:val="0"/>
      <w:spacing w:line="360" w:lineRule="auto"/>
      <w:ind w:firstLine="420" w:firstLineChars="200"/>
    </w:pPr>
  </w:style>
  <w:style w:type="paragraph" w:customStyle="1" w:styleId="142">
    <w:name w:val="2 博创 表格标题"/>
    <w:basedOn w:val="1"/>
    <w:unhideWhenUsed/>
    <w:qFormat/>
    <w:uiPriority w:val="0"/>
    <w:pPr>
      <w:autoSpaceDE w:val="0"/>
      <w:autoSpaceDN w:val="0"/>
      <w:jc w:val="center"/>
    </w:pPr>
    <w:rPr>
      <w:rFonts w:hint="eastAsia"/>
      <w:b/>
      <w:snapToGrid w:val="0"/>
    </w:rPr>
  </w:style>
  <w:style w:type="paragraph" w:customStyle="1" w:styleId="143">
    <w:name w:val="3 博创表格内容"/>
    <w:basedOn w:val="1"/>
    <w:unhideWhenUsed/>
    <w:qFormat/>
    <w:uiPriority w:val="0"/>
    <w:pPr>
      <w:autoSpaceDE w:val="0"/>
      <w:autoSpaceDN w:val="0"/>
      <w:jc w:val="center"/>
    </w:pPr>
    <w:rPr>
      <w:rFonts w:hint="eastAsia"/>
      <w:kern w:val="0"/>
      <w:szCs w:val="20"/>
    </w:rPr>
  </w:style>
  <w:style w:type="paragraph" w:customStyle="1" w:styleId="144">
    <w:name w:val="报告表正文"/>
    <w:basedOn w:val="84"/>
    <w:link w:val="146"/>
    <w:autoRedefine/>
    <w:qFormat/>
    <w:uiPriority w:val="0"/>
    <w:pPr>
      <w:adjustRightInd w:val="0"/>
      <w:spacing w:line="312" w:lineRule="auto"/>
      <w:ind w:left="113" w:right="113" w:firstLine="482"/>
      <w:jc w:val="left"/>
      <w:textAlignment w:val="baseline"/>
    </w:pPr>
    <w:rPr>
      <w:kern w:val="0"/>
      <w:sz w:val="24"/>
      <w:szCs w:val="20"/>
    </w:rPr>
  </w:style>
  <w:style w:type="paragraph" w:customStyle="1" w:styleId="145">
    <w:name w:val="5-正文"/>
    <w:basedOn w:val="1"/>
    <w:autoRedefine/>
    <w:qFormat/>
    <w:uiPriority w:val="0"/>
    <w:pPr>
      <w:spacing w:line="360" w:lineRule="auto"/>
      <w:ind w:firstLine="200" w:firstLineChars="200"/>
      <w:jc w:val="left"/>
    </w:pPr>
    <w:rPr>
      <w:sz w:val="24"/>
      <w:szCs w:val="20"/>
    </w:rPr>
  </w:style>
  <w:style w:type="character" w:customStyle="1" w:styleId="146">
    <w:name w:val="报告表正文 Char"/>
    <w:basedOn w:val="36"/>
    <w:link w:val="144"/>
    <w:autoRedefine/>
    <w:qFormat/>
    <w:uiPriority w:val="0"/>
    <w:rPr>
      <w:kern w:val="0"/>
      <w:sz w:val="24"/>
      <w:szCs w:val="20"/>
    </w:rPr>
  </w:style>
</w:styles>
</file>

<file path=word/_rels/document.xml.rels><?xml version="1.0" encoding="UTF-8" standalone="yes"?>
<Relationships xmlns="http://schemas.openxmlformats.org/package/2006/relationships"><Relationship Id="rId99" Type="http://schemas.openxmlformats.org/officeDocument/2006/relationships/image" Target="media/image87.png"/><Relationship Id="rId98" Type="http://schemas.openxmlformats.org/officeDocument/2006/relationships/image" Target="media/image86.png"/><Relationship Id="rId97" Type="http://schemas.openxmlformats.org/officeDocument/2006/relationships/image" Target="media/image85.png"/><Relationship Id="rId96" Type="http://schemas.openxmlformats.org/officeDocument/2006/relationships/image" Target="media/image84.png"/><Relationship Id="rId95" Type="http://schemas.openxmlformats.org/officeDocument/2006/relationships/image" Target="media/image83.png"/><Relationship Id="rId94" Type="http://schemas.openxmlformats.org/officeDocument/2006/relationships/image" Target="media/image82.png"/><Relationship Id="rId93" Type="http://schemas.openxmlformats.org/officeDocument/2006/relationships/image" Target="media/image81.png"/><Relationship Id="rId92" Type="http://schemas.openxmlformats.org/officeDocument/2006/relationships/image" Target="media/image80.jpeg"/><Relationship Id="rId91" Type="http://schemas.openxmlformats.org/officeDocument/2006/relationships/image" Target="media/image79.jpeg"/><Relationship Id="rId90" Type="http://schemas.openxmlformats.org/officeDocument/2006/relationships/image" Target="media/image78.jpeg"/><Relationship Id="rId9" Type="http://schemas.openxmlformats.org/officeDocument/2006/relationships/footer" Target="footer6.xml"/><Relationship Id="rId89" Type="http://schemas.openxmlformats.org/officeDocument/2006/relationships/image" Target="media/image77.jpeg"/><Relationship Id="rId88" Type="http://schemas.openxmlformats.org/officeDocument/2006/relationships/image" Target="media/image76.jpeg"/><Relationship Id="rId87" Type="http://schemas.openxmlformats.org/officeDocument/2006/relationships/image" Target="media/image75.jpeg"/><Relationship Id="rId86" Type="http://schemas.openxmlformats.org/officeDocument/2006/relationships/image" Target="media/image74.jpeg"/><Relationship Id="rId85" Type="http://schemas.openxmlformats.org/officeDocument/2006/relationships/image" Target="media/image73.jpeg"/><Relationship Id="rId84" Type="http://schemas.openxmlformats.org/officeDocument/2006/relationships/image" Target="media/image72.jpeg"/><Relationship Id="rId83" Type="http://schemas.openxmlformats.org/officeDocument/2006/relationships/image" Target="media/image71.jpeg"/><Relationship Id="rId82" Type="http://schemas.openxmlformats.org/officeDocument/2006/relationships/image" Target="media/image70.jpeg"/><Relationship Id="rId81" Type="http://schemas.openxmlformats.org/officeDocument/2006/relationships/image" Target="media/image69.jpeg"/><Relationship Id="rId80" Type="http://schemas.openxmlformats.org/officeDocument/2006/relationships/image" Target="media/image68.jpeg"/><Relationship Id="rId8" Type="http://schemas.openxmlformats.org/officeDocument/2006/relationships/header" Target="header1.xml"/><Relationship Id="rId79" Type="http://schemas.openxmlformats.org/officeDocument/2006/relationships/image" Target="media/image67.jpeg"/><Relationship Id="rId78" Type="http://schemas.openxmlformats.org/officeDocument/2006/relationships/image" Target="media/image66.jpeg"/><Relationship Id="rId77" Type="http://schemas.openxmlformats.org/officeDocument/2006/relationships/image" Target="media/image65.jpeg"/><Relationship Id="rId76" Type="http://schemas.openxmlformats.org/officeDocument/2006/relationships/image" Target="media/image64.jpeg"/><Relationship Id="rId75" Type="http://schemas.openxmlformats.org/officeDocument/2006/relationships/image" Target="media/image63.jpeg"/><Relationship Id="rId74" Type="http://schemas.openxmlformats.org/officeDocument/2006/relationships/image" Target="media/image62.jpeg"/><Relationship Id="rId73" Type="http://schemas.openxmlformats.org/officeDocument/2006/relationships/image" Target="media/image61.jpeg"/><Relationship Id="rId72" Type="http://schemas.openxmlformats.org/officeDocument/2006/relationships/image" Target="media/image60.jpeg"/><Relationship Id="rId71" Type="http://schemas.openxmlformats.org/officeDocument/2006/relationships/image" Target="media/image59.jpeg"/><Relationship Id="rId70" Type="http://schemas.openxmlformats.org/officeDocument/2006/relationships/image" Target="media/image58.jpeg"/><Relationship Id="rId7" Type="http://schemas.openxmlformats.org/officeDocument/2006/relationships/footer" Target="footer5.xml"/><Relationship Id="rId69" Type="http://schemas.openxmlformats.org/officeDocument/2006/relationships/image" Target="media/image57.jpeg"/><Relationship Id="rId68" Type="http://schemas.openxmlformats.org/officeDocument/2006/relationships/image" Target="media/image56.jpeg"/><Relationship Id="rId67" Type="http://schemas.openxmlformats.org/officeDocument/2006/relationships/image" Target="media/image55.jpeg"/><Relationship Id="rId66" Type="http://schemas.openxmlformats.org/officeDocument/2006/relationships/image" Target="media/image54.jpeg"/><Relationship Id="rId65" Type="http://schemas.openxmlformats.org/officeDocument/2006/relationships/image" Target="media/image53.jpeg"/><Relationship Id="rId64" Type="http://schemas.openxmlformats.org/officeDocument/2006/relationships/image" Target="media/image52.jpeg"/><Relationship Id="rId63" Type="http://schemas.openxmlformats.org/officeDocument/2006/relationships/image" Target="media/image51.jpeg"/><Relationship Id="rId62" Type="http://schemas.openxmlformats.org/officeDocument/2006/relationships/image" Target="media/image50.jpeg"/><Relationship Id="rId61" Type="http://schemas.openxmlformats.org/officeDocument/2006/relationships/image" Target="media/image49.jpeg"/><Relationship Id="rId60" Type="http://schemas.openxmlformats.org/officeDocument/2006/relationships/image" Target="media/image48.jpeg"/><Relationship Id="rId6" Type="http://schemas.openxmlformats.org/officeDocument/2006/relationships/footer" Target="footer4.xml"/><Relationship Id="rId59" Type="http://schemas.openxmlformats.org/officeDocument/2006/relationships/image" Target="media/image47.jpeg"/><Relationship Id="rId58" Type="http://schemas.openxmlformats.org/officeDocument/2006/relationships/image" Target="media/image46.jpeg"/><Relationship Id="rId57" Type="http://schemas.openxmlformats.org/officeDocument/2006/relationships/image" Target="media/image45.jpeg"/><Relationship Id="rId56" Type="http://schemas.openxmlformats.org/officeDocument/2006/relationships/image" Target="media/image44.jpeg"/><Relationship Id="rId55" Type="http://schemas.openxmlformats.org/officeDocument/2006/relationships/image" Target="media/image43.jpeg"/><Relationship Id="rId54" Type="http://schemas.openxmlformats.org/officeDocument/2006/relationships/image" Target="media/image42.jpeg"/><Relationship Id="rId53" Type="http://schemas.openxmlformats.org/officeDocument/2006/relationships/image" Target="media/image41.jpeg"/><Relationship Id="rId52" Type="http://schemas.openxmlformats.org/officeDocument/2006/relationships/image" Target="media/image40.jpeg"/><Relationship Id="rId51" Type="http://schemas.openxmlformats.org/officeDocument/2006/relationships/image" Target="media/image39.jpeg"/><Relationship Id="rId50" Type="http://schemas.openxmlformats.org/officeDocument/2006/relationships/image" Target="media/image38.jpeg"/><Relationship Id="rId5" Type="http://schemas.openxmlformats.org/officeDocument/2006/relationships/footer" Target="footer3.xml"/><Relationship Id="rId49" Type="http://schemas.openxmlformats.org/officeDocument/2006/relationships/image" Target="media/image37.png"/><Relationship Id="rId48" Type="http://schemas.openxmlformats.org/officeDocument/2006/relationships/image" Target="media/image36.png"/><Relationship Id="rId47" Type="http://schemas.openxmlformats.org/officeDocument/2006/relationships/image" Target="media/image35.png"/><Relationship Id="rId46" Type="http://schemas.openxmlformats.org/officeDocument/2006/relationships/image" Target="media/image34.png"/><Relationship Id="rId45" Type="http://schemas.openxmlformats.org/officeDocument/2006/relationships/image" Target="media/image33.png"/><Relationship Id="rId44" Type="http://schemas.openxmlformats.org/officeDocument/2006/relationships/image" Target="media/image32.png"/><Relationship Id="rId43" Type="http://schemas.openxmlformats.org/officeDocument/2006/relationships/image" Target="media/image31.png"/><Relationship Id="rId42" Type="http://schemas.openxmlformats.org/officeDocument/2006/relationships/image" Target="media/image30.png"/><Relationship Id="rId41" Type="http://schemas.openxmlformats.org/officeDocument/2006/relationships/image" Target="media/image29.png"/><Relationship Id="rId40" Type="http://schemas.openxmlformats.org/officeDocument/2006/relationships/image" Target="media/image28.png"/><Relationship Id="rId4" Type="http://schemas.openxmlformats.org/officeDocument/2006/relationships/footer" Target="footer2.xml"/><Relationship Id="rId39" Type="http://schemas.openxmlformats.org/officeDocument/2006/relationships/image" Target="media/image27.png"/><Relationship Id="rId38" Type="http://schemas.openxmlformats.org/officeDocument/2006/relationships/image" Target="media/image26.png"/><Relationship Id="rId37" Type="http://schemas.openxmlformats.org/officeDocument/2006/relationships/image" Target="media/image25.png"/><Relationship Id="rId36" Type="http://schemas.openxmlformats.org/officeDocument/2006/relationships/image" Target="media/image24.png"/><Relationship Id="rId35" Type="http://schemas.openxmlformats.org/officeDocument/2006/relationships/image" Target="media/image23.png"/><Relationship Id="rId34" Type="http://schemas.openxmlformats.org/officeDocument/2006/relationships/image" Target="media/image22.png"/><Relationship Id="rId33" Type="http://schemas.openxmlformats.org/officeDocument/2006/relationships/image" Target="media/image21.png"/><Relationship Id="rId32" Type="http://schemas.openxmlformats.org/officeDocument/2006/relationships/image" Target="media/image20.png"/><Relationship Id="rId31" Type="http://schemas.openxmlformats.org/officeDocument/2006/relationships/image" Target="media/image19.wmf"/><Relationship Id="rId30" Type="http://schemas.openxmlformats.org/officeDocument/2006/relationships/oleObject" Target="embeddings/oleObject2.bin"/><Relationship Id="rId3" Type="http://schemas.openxmlformats.org/officeDocument/2006/relationships/footer" Target="footer1.xml"/><Relationship Id="rId29" Type="http://schemas.openxmlformats.org/officeDocument/2006/relationships/image" Target="media/image18.wmf"/><Relationship Id="rId28" Type="http://schemas.openxmlformats.org/officeDocument/2006/relationships/image" Target="media/image17.png"/><Relationship Id="rId27" Type="http://schemas.openxmlformats.org/officeDocument/2006/relationships/image" Target="media/image16.png"/><Relationship Id="rId26" Type="http://schemas.openxmlformats.org/officeDocument/2006/relationships/image" Target="media/image15.png"/><Relationship Id="rId25" Type="http://schemas.openxmlformats.org/officeDocument/2006/relationships/image" Target="media/image14.png"/><Relationship Id="rId24" Type="http://schemas.openxmlformats.org/officeDocument/2006/relationships/image" Target="media/image13.png"/><Relationship Id="rId23" Type="http://schemas.openxmlformats.org/officeDocument/2006/relationships/image" Target="media/image12.wmf"/><Relationship Id="rId22" Type="http://schemas.openxmlformats.org/officeDocument/2006/relationships/oleObject" Target="embeddings/oleObject1.bin"/><Relationship Id="rId21" Type="http://schemas.openxmlformats.org/officeDocument/2006/relationships/image" Target="media/image11.png"/><Relationship Id="rId20" Type="http://schemas.openxmlformats.org/officeDocument/2006/relationships/image" Target="media/image10.jpeg"/><Relationship Id="rId2" Type="http://schemas.openxmlformats.org/officeDocument/2006/relationships/settings" Target="settings.xml"/><Relationship Id="rId19" Type="http://schemas.openxmlformats.org/officeDocument/2006/relationships/image" Target="media/image9.jpeg"/><Relationship Id="rId18" Type="http://schemas.openxmlformats.org/officeDocument/2006/relationships/image" Target="media/image8.png"/><Relationship Id="rId17" Type="http://schemas.openxmlformats.org/officeDocument/2006/relationships/image" Target="media/image7.png"/><Relationship Id="rId16" Type="http://schemas.openxmlformats.org/officeDocument/2006/relationships/image" Target="media/image6.png"/><Relationship Id="rId15" Type="http://schemas.openxmlformats.org/officeDocument/2006/relationships/image" Target="media/image5.png"/><Relationship Id="rId14" Type="http://schemas.openxmlformats.org/officeDocument/2006/relationships/image" Target="media/image4.png"/><Relationship Id="rId13" Type="http://schemas.openxmlformats.org/officeDocument/2006/relationships/image" Target="media/image3.jpeg"/><Relationship Id="rId12" Type="http://schemas.openxmlformats.org/officeDocument/2006/relationships/image" Target="media/image2.jpeg"/><Relationship Id="rId117" Type="http://schemas.openxmlformats.org/officeDocument/2006/relationships/fontTable" Target="fontTable.xml"/><Relationship Id="rId116" Type="http://schemas.openxmlformats.org/officeDocument/2006/relationships/numbering" Target="numbering.xml"/><Relationship Id="rId115" Type="http://schemas.openxmlformats.org/officeDocument/2006/relationships/customXml" Target="../customXml/item1.xml"/><Relationship Id="rId114" Type="http://schemas.openxmlformats.org/officeDocument/2006/relationships/image" Target="media/image102.jpeg"/><Relationship Id="rId113" Type="http://schemas.openxmlformats.org/officeDocument/2006/relationships/image" Target="media/image101.png"/><Relationship Id="rId112" Type="http://schemas.openxmlformats.org/officeDocument/2006/relationships/image" Target="media/image100.png"/><Relationship Id="rId111" Type="http://schemas.openxmlformats.org/officeDocument/2006/relationships/image" Target="media/image99.png"/><Relationship Id="rId110" Type="http://schemas.openxmlformats.org/officeDocument/2006/relationships/image" Target="media/image98.png"/><Relationship Id="rId11" Type="http://schemas.openxmlformats.org/officeDocument/2006/relationships/image" Target="media/image1.jpeg"/><Relationship Id="rId109" Type="http://schemas.openxmlformats.org/officeDocument/2006/relationships/image" Target="media/image97.png"/><Relationship Id="rId108" Type="http://schemas.openxmlformats.org/officeDocument/2006/relationships/image" Target="media/image96.png"/><Relationship Id="rId107" Type="http://schemas.openxmlformats.org/officeDocument/2006/relationships/image" Target="media/image95.png"/><Relationship Id="rId106" Type="http://schemas.openxmlformats.org/officeDocument/2006/relationships/image" Target="media/image94.png"/><Relationship Id="rId105" Type="http://schemas.openxmlformats.org/officeDocument/2006/relationships/image" Target="media/image93.png"/><Relationship Id="rId104" Type="http://schemas.openxmlformats.org/officeDocument/2006/relationships/image" Target="media/image92.png"/><Relationship Id="rId103" Type="http://schemas.openxmlformats.org/officeDocument/2006/relationships/image" Target="media/image91.png"/><Relationship Id="rId102" Type="http://schemas.openxmlformats.org/officeDocument/2006/relationships/image" Target="media/image90.png"/><Relationship Id="rId101" Type="http://schemas.openxmlformats.org/officeDocument/2006/relationships/image" Target="media/image89.png"/><Relationship Id="rId100" Type="http://schemas.openxmlformats.org/officeDocument/2006/relationships/image" Target="media/image88.png"/><Relationship Id="rId10" Type="http://schemas.openxmlformats.org/officeDocument/2006/relationships/theme" Target="theme/theme1.xml"/><Relationship Id="rId1" Type="http://schemas.openxmlformats.org/officeDocument/2006/relationships/styles" Target="styles.xml"/></Relationships>
</file>

<file path=word/_rels/settings.xml.rels><?xml version="1.0" encoding="UTF-8" standalone="yes"?>
<Relationships xmlns="http://schemas.openxmlformats.org/package/2006/relationships"><Relationship Id="rId1" Type="http://schemas.openxmlformats.org/officeDocument/2006/relationships/attachedTemplate" Target="file:///C:\dsoa\wdzx97.dot" TargetMode="Externa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extobjs>
    <extobj name="ECB019B1-382A-4266-B25C-5B523AA43C14-1">
      <extobjdata type="ECB019B1-382A-4266-B25C-5B523AA43C14" data="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"/>
    </extobj>
  </extobj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wdzx97.dot</Template>
  <Company>微软中国</Company>
  <Pages>234</Pages>
  <Words>13825</Words>
  <Characters>14650</Characters>
  <Lines>6830</Lines>
  <Paragraphs>7949</Paragraphs>
  <TotalTime>11</TotalTime>
  <ScaleCrop>false</ScaleCrop>
  <LinksUpToDate>false</LinksUpToDate>
  <CharactersWithSpaces>14768</CharactersWithSpaces>
  <Application>WPS Office_12.1.0.21915_F1E327BC-269C-435d-A152-05C5408002CA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2020-12-24T01:29:00Z</dcterms:created>
  <dc:creator>lhj</dc:creator>
  <cp:lastModifiedBy>Godlike</cp:lastModifiedBy>
  <cp:lastPrinted>2025-05-28T01:59:00Z</cp:lastPrinted>
  <dcterms:modified xsi:type="dcterms:W3CDTF">2025-07-28T00:51:06Z</dcterms:modified>
  <dc:title>附件2</dc:title>
  <cp:revision>5</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2052-12.1.0.21915</vt:lpwstr>
  </property>
  <property fmtid="{D5CDD505-2E9C-101B-9397-08002B2CF9AE}" pid="3" name="ICV">
    <vt:lpwstr>C83A32CD306B44AFB1B70BFE4785FF63_13</vt:lpwstr>
  </property>
  <property fmtid="{D5CDD505-2E9C-101B-9397-08002B2CF9AE}" pid="4" name="KSOTemplateDocerSaveRecord">
    <vt:lpwstr>eyJoZGlkIjoiODFjY2EzM2RiZjk3MzRiMjU4ODU2N2YxN2EzN2I5MmEiLCJ1c2VySWQiOiIyNDgyMTkwNDgifQ==</vt:lpwstr>
  </property>
</Properties>
</file>